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ind w:firstLine="0"/>
        <w:rPr>
          <w:rFonts w:hint="eastAsia" w:ascii="方正仿宋_GBK" w:hAnsi="方正仿宋_GBK" w:eastAsia="方正仿宋_GBK" w:cs="方正仿宋_GBK"/>
          <w:b/>
          <w:bCs/>
          <w:sz w:val="84"/>
          <w:highlight w:val="none"/>
        </w:rPr>
      </w:pPr>
      <w:r>
        <w:rPr>
          <w:rFonts w:hint="eastAsia" w:ascii="方正仿宋_GBK" w:hAnsi="方正仿宋_GBK" w:eastAsia="方正仿宋_GBK" w:cs="方正仿宋_GBK"/>
          <w:b/>
          <w:bCs/>
          <w:sz w:val="84"/>
          <w:highlight w:val="none"/>
        </w:rPr>
      </w:r>
      <w:r>
        <w:rPr>
          <w:highlight w:val="none"/>
        </w:rPr>
      </w:r>
    </w:p>
    <w:p>
      <w:pPr>
        <w:pStyle w:val="1042"/>
        <w:ind w:firstLine="0"/>
        <w:jc w:val="center"/>
        <w:rPr>
          <w:rFonts w:hint="eastAsia" w:eastAsia="黑体"/>
          <w:b/>
          <w:bCs/>
          <w:sz w:val="84"/>
          <w:highlight w:val="none"/>
        </w:rPr>
      </w:pPr>
      <w:r>
        <w:rPr>
          <w:rFonts w:hint="eastAsia" w:eastAsia="黑体"/>
          <w:b/>
          <w:bCs/>
          <w:sz w:val="84"/>
          <w:highlight w:val="none"/>
        </w:rPr>
        <w:t xml:space="preserve">招　标　文　件</w:t>
      </w:r>
      <w:r>
        <w:rPr>
          <w:rFonts w:hint="eastAsia" w:eastAsia="黑体"/>
          <w:b/>
          <w:bCs/>
          <w:sz w:val="84"/>
          <w:highlight w:val="none"/>
        </w:rPr>
      </w:r>
      <w:r>
        <w:rPr>
          <w:highlight w:val="none"/>
        </w:rPr>
      </w:r>
    </w:p>
    <w:p>
      <w:pPr>
        <w:pStyle w:val="1042"/>
        <w:ind w:firstLine="0"/>
        <w:rPr>
          <w:rFonts w:hint="eastAsia"/>
          <w:b/>
          <w:bCs/>
          <w:sz w:val="32"/>
          <w:highlight w:val="none"/>
        </w:rPr>
      </w:pPr>
      <w:r>
        <w:rPr>
          <w:rFonts w:hint="eastAsia"/>
          <w:b/>
          <w:bCs/>
          <w:sz w:val="32"/>
          <w:highlight w:val="none"/>
        </w:rPr>
      </w:r>
      <w:r>
        <w:rPr>
          <w:highlight w:val="none"/>
        </w:rPr>
      </w:r>
    </w:p>
    <w:p>
      <w:pPr>
        <w:pStyle w:val="1042"/>
        <w:ind w:firstLine="0"/>
        <w:rPr>
          <w:rFonts w:hint="eastAsia"/>
          <w:b/>
          <w:bCs/>
          <w:sz w:val="32"/>
          <w:highlight w:val="none"/>
        </w:rPr>
      </w:pPr>
      <w:r>
        <w:rPr>
          <w:rFonts w:hint="eastAsia"/>
          <w:b/>
          <w:bCs/>
          <w:sz w:val="32"/>
          <w:highlight w:val="none"/>
        </w:rPr>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hint="eastAsia"/>
          <w:b/>
          <w:bCs/>
          <w:sz w:val="32"/>
          <w:highlight w:val="none"/>
        </w:rPr>
        <w:t xml:space="preserve">项目名称：</w:t>
      </w:r>
      <w:r>
        <w:rPr>
          <w:rFonts w:ascii="FangSong" w:hAnsi="FangSong" w:eastAsia="FangSong" w:cs="FangSong"/>
          <w:color w:val="000000"/>
          <w:sz w:val="28"/>
          <w:highlight w:val="none"/>
        </w:rPr>
        <w:t xml:space="preserve">南通市生态环境监测站专用设备购置项目</w:t>
      </w:r>
      <w:r>
        <w:rPr>
          <w:highlight w:val="none"/>
        </w:rPr>
      </w:r>
      <w:r>
        <w:rPr>
          <w:sz w:val="22"/>
          <w:highlight w:val="none"/>
        </w:rPr>
      </w:r>
    </w:p>
    <w:p>
      <w:pPr>
        <w:pStyle w:val="955"/>
        <w:rPr>
          <w:b/>
          <w:sz w:val="30"/>
          <w:szCs w:val="30"/>
          <w:highlight w:val="none"/>
        </w:rPr>
      </w:pPr>
      <w:r>
        <w:rPr>
          <w:rFonts w:hint="eastAsia"/>
          <w:b/>
          <w:bCs/>
          <w:sz w:val="32"/>
          <w:highlight w:val="none"/>
        </w:rPr>
        <w:t xml:space="preserve">项目编号：</w:t>
      </w:r>
      <w:r>
        <w:rPr>
          <w:rFonts w:hint="eastAsia" w:ascii="Times New Roman" w:hAnsi="Times New Roman" w:eastAsia="方正仿宋_GBK" w:cs="Times New Roman"/>
          <w:sz w:val="28"/>
          <w:szCs w:val="28"/>
          <w:highlight w:val="none"/>
          <w:lang w:val="en-US" w:eastAsia="zh-CN" w:bidi="ar-SA"/>
        </w:rPr>
        <w:t xml:space="preserve">JSZC-320600-XXDF-G2024-0065</w:t>
      </w:r>
      <w:r>
        <w:rPr>
          <w:b/>
          <w:sz w:val="30"/>
          <w:szCs w:val="30"/>
          <w:highlight w:val="none"/>
        </w:rPr>
      </w:r>
      <w:r>
        <w:rPr>
          <w:highlight w:val="none"/>
        </w:rPr>
      </w:r>
    </w:p>
    <w:p>
      <w:pPr>
        <w:pStyle w:val="955"/>
        <w:rPr>
          <w:rFonts w:hint="eastAsia"/>
          <w:b/>
          <w:color w:val="ff0000"/>
          <w:sz w:val="30"/>
          <w:szCs w:val="30"/>
          <w:highlight w:val="none"/>
        </w:rPr>
      </w:pPr>
      <w:r>
        <w:rPr>
          <w:rFonts w:hint="eastAsia"/>
          <w:b/>
          <w:color w:val="ff0000"/>
          <w:sz w:val="30"/>
          <w:szCs w:val="30"/>
          <w:highlight w:val="none"/>
        </w:rPr>
      </w:r>
      <w:r>
        <w:rPr>
          <w:highlight w:val="none"/>
        </w:rPr>
      </w:r>
    </w:p>
    <w:p>
      <w:pPr>
        <w:pStyle w:val="1042"/>
        <w:ind w:firstLine="0"/>
        <w:spacing w:before="0" w:after="0"/>
        <w:rPr>
          <w:rFonts w:hint="eastAsia" w:ascii="宋体" w:hAnsi="宋体"/>
          <w:highlight w:val="none"/>
        </w:rPr>
      </w:pPr>
      <w:r>
        <w:rPr>
          <w:rFonts w:hint="eastAsia" w:ascii="宋体" w:hAnsi="宋体"/>
          <w:highlight w:val="none"/>
        </w:rPr>
      </w:r>
      <w:r>
        <w:rPr>
          <w:highlight w:val="none"/>
        </w:rPr>
      </w:r>
    </w:p>
    <w:p>
      <w:pPr>
        <w:pStyle w:val="1042"/>
        <w:ind w:firstLine="0"/>
        <w:spacing w:before="0" w:after="0"/>
        <w:rPr>
          <w:rFonts w:hint="eastAsia" w:ascii="宋体" w:hAnsi="宋体"/>
          <w:highlight w:val="none"/>
        </w:rPr>
      </w:pPr>
      <w:r>
        <w:rPr>
          <w:rFonts w:hint="eastAsia" w:ascii="宋体" w:hAnsi="宋体"/>
          <w:highlight w:val="none"/>
        </w:rPr>
      </w:r>
      <w:r>
        <w:rPr>
          <w:highlight w:val="none"/>
        </w:rPr>
      </w:r>
    </w:p>
    <w:p>
      <w:pPr>
        <w:pStyle w:val="1042"/>
        <w:ind w:firstLine="0"/>
        <w:spacing w:before="0" w:after="0"/>
        <w:rPr>
          <w:rFonts w:hint="eastAsia" w:ascii="宋体" w:hAnsi="宋体"/>
          <w:highlight w:val="none"/>
        </w:rPr>
      </w:pPr>
      <w:r>
        <w:rPr>
          <w:rFonts w:hint="eastAsia" w:ascii="宋体" w:hAnsi="宋体"/>
          <w:highlight w:val="none"/>
        </w:rPr>
      </w:r>
      <w:r>
        <w:rPr>
          <w:highlight w:val="none"/>
        </w:rPr>
      </w:r>
    </w:p>
    <w:p>
      <w:pPr>
        <w:pStyle w:val="1042"/>
        <w:ind w:firstLine="0"/>
        <w:spacing w:before="0" w:after="0"/>
        <w:rPr>
          <w:rFonts w:hint="eastAsia" w:ascii="宋体" w:hAnsi="宋体"/>
          <w:highlight w:val="none"/>
        </w:rPr>
      </w:pPr>
      <w:r>
        <w:rPr>
          <w:rFonts w:hint="eastAsia" w:ascii="宋体" w:hAnsi="宋体"/>
          <w:highlight w:val="none"/>
        </w:rPr>
      </w:r>
      <w:r>
        <w:rPr>
          <w:highlight w:val="none"/>
        </w:rPr>
      </w:r>
    </w:p>
    <w:p>
      <w:pPr>
        <w:pStyle w:val="1042"/>
        <w:ind w:firstLine="0"/>
        <w:spacing w:before="0" w:after="0"/>
        <w:rPr>
          <w:rFonts w:hint="eastAsia" w:ascii="宋体" w:hAnsi="宋体"/>
          <w:highlight w:val="none"/>
        </w:rPr>
      </w:pPr>
      <w:r>
        <w:rPr>
          <w:rFonts w:hint="eastAsia" w:ascii="宋体" w:hAnsi="宋体"/>
          <w:highlight w:val="none"/>
        </w:rPr>
      </w:r>
      <w:r>
        <w:rPr>
          <w:highlight w:val="none"/>
        </w:rPr>
      </w:r>
    </w:p>
    <w:p>
      <w:pPr>
        <w:pStyle w:val="1042"/>
        <w:ind w:firstLine="0"/>
        <w:spacing w:before="0" w:after="0"/>
        <w:rPr>
          <w:rFonts w:hint="eastAsia" w:ascii="宋体" w:hAnsi="宋体"/>
          <w:highlight w:val="none"/>
        </w:rPr>
      </w:pPr>
      <w:r>
        <w:rPr>
          <w:rFonts w:hint="eastAsia" w:ascii="宋体" w:hAnsi="宋体"/>
          <w:highlight w:val="none"/>
        </w:rPr>
      </w:r>
      <w:r>
        <w:rPr>
          <w:highlight w:val="none"/>
        </w:rPr>
      </w:r>
    </w:p>
    <w:p>
      <w:pPr>
        <w:pStyle w:val="1042"/>
        <w:ind w:firstLine="0"/>
        <w:spacing w:before="0" w:after="0"/>
        <w:rPr>
          <w:rFonts w:hint="eastAsia" w:ascii="宋体" w:hAnsi="宋体"/>
          <w:highlight w:val="none"/>
        </w:rPr>
      </w:pPr>
      <w:r>
        <w:rPr>
          <w:rFonts w:hint="eastAsia" w:ascii="宋体" w:hAnsi="宋体"/>
          <w:highlight w:val="none"/>
        </w:rPr>
      </w:r>
      <w:r>
        <w:rPr>
          <w:highlight w:val="none"/>
        </w:rPr>
      </w:r>
    </w:p>
    <w:p>
      <w:pPr>
        <w:pStyle w:val="955"/>
        <w:ind w:left="3205" w:hanging="1928"/>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采 购 人： </w:t>
      </w:r>
      <w:r>
        <w:rPr>
          <w:rFonts w:hint="eastAsia" w:ascii="宋体" w:hAnsi="宋体" w:cs="宋体"/>
          <w:b/>
          <w:bCs/>
          <w:sz w:val="32"/>
          <w:szCs w:val="32"/>
          <w:highlight w:val="none"/>
          <w:u w:val="single"/>
        </w:rPr>
        <w:t xml:space="preserve">南通市生态环境监测站</w:t>
      </w:r>
      <w:r>
        <w:rPr>
          <w:rFonts w:hint="eastAsia" w:ascii="宋体" w:hAnsi="宋体" w:cs="宋体"/>
          <w:b/>
          <w:bCs/>
          <w:sz w:val="32"/>
          <w:szCs w:val="32"/>
          <w:highlight w:val="none"/>
          <w:u w:val="single"/>
        </w:rPr>
      </w:r>
      <w:r>
        <w:rPr>
          <w:highlight w:val="none"/>
        </w:rPr>
      </w:r>
    </w:p>
    <w:p>
      <w:pPr>
        <w:pStyle w:val="955"/>
        <w:ind w:firstLine="1285"/>
        <w:spacing w:before="120" w:after="120"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代理机构： </w:t>
      </w:r>
      <w:r>
        <w:rPr>
          <w:rFonts w:hint="eastAsia" w:ascii="宋体" w:hAnsi="宋体" w:cs="宋体"/>
          <w:b/>
          <w:bCs/>
          <w:sz w:val="32"/>
          <w:szCs w:val="32"/>
          <w:highlight w:val="none"/>
          <w:u w:val="single"/>
        </w:rPr>
        <w:t xml:space="preserve">江苏新东方工程管理咨询有限公司</w:t>
      </w:r>
      <w:r>
        <w:rPr>
          <w:rFonts w:hint="eastAsia" w:ascii="宋体" w:hAnsi="宋体" w:cs="宋体"/>
          <w:b/>
          <w:bCs/>
          <w:sz w:val="32"/>
          <w:szCs w:val="32"/>
          <w:highlight w:val="none"/>
        </w:rPr>
      </w:r>
      <w:r>
        <w:rPr>
          <w:highlight w:val="none"/>
        </w:rPr>
      </w:r>
    </w:p>
    <w:p>
      <w:pPr>
        <w:pStyle w:val="955"/>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t xml:space="preserve">二〇二四年九月 </w:t>
      </w:r>
      <w:r>
        <w:rPr>
          <w:rFonts w:hint="eastAsia" w:ascii="宋体" w:hAnsi="宋体" w:cs="宋体"/>
          <w:b/>
          <w:sz w:val="36"/>
          <w:szCs w:val="36"/>
          <w:highlight w:val="none"/>
        </w:rPr>
      </w:r>
      <w:r>
        <w:rPr>
          <w:highlight w:val="none"/>
        </w:rPr>
      </w:r>
    </w:p>
    <w:p>
      <w:pPr>
        <w:pStyle w:val="1042"/>
        <w:ind w:firstLine="0"/>
        <w:rPr>
          <w:rFonts w:hint="eastAsia"/>
          <w:highlight w:val="none"/>
          <w:u w:val="single"/>
        </w:rPr>
      </w:pPr>
      <w:r>
        <w:rPr>
          <w:rFonts w:hint="eastAsia"/>
          <w:highlight w:val="none"/>
          <w:u w:val="single"/>
        </w:rPr>
      </w:r>
      <w:r>
        <w:rPr>
          <w:highlight w:val="none"/>
        </w:rPr>
      </w:r>
    </w:p>
    <w:p>
      <w:pPr>
        <w:pStyle w:val="1042"/>
        <w:ind w:firstLine="0"/>
        <w:rPr>
          <w:rFonts w:hint="eastAsia"/>
          <w:highlight w:val="none"/>
        </w:rPr>
      </w:pPr>
      <w:r>
        <w:rPr>
          <w:rFonts w:hint="eastAsia"/>
          <w:highlight w:val="none"/>
        </w:rPr>
      </w:r>
      <w:r>
        <w:rPr>
          <w:highlight w:val="none"/>
        </w:rPr>
      </w:r>
    </w:p>
    <w:p>
      <w:pPr>
        <w:pStyle w:val="955"/>
        <w:jc w:val="center"/>
        <w:spacing w:line="480" w:lineRule="auto"/>
        <w:rPr>
          <w:rFonts w:hint="eastAsia"/>
          <w:highlight w:val="none"/>
        </w:rPr>
        <w:sectPr>
          <w:footerReference w:type="default" r:id="rId10"/>
          <w:footnotePr/>
          <w:endnotePr/>
          <w:type w:val="nextPage"/>
          <w:pgSz w:w="11906" w:h="16839" w:orient="portrait"/>
          <w:pgMar w:top="1431" w:right="1719" w:bottom="1153" w:left="1700" w:header="0" w:footer="994" w:gutter="0"/>
          <w:cols w:num="1" w:sep="0" w:space="1701" w:equalWidth="1"/>
          <w:docGrid w:linePitch="360"/>
        </w:sectPr>
        <w:outlineLvl w:val="0"/>
      </w:pPr>
      <w:r>
        <w:rPr>
          <w:highlight w:val="none"/>
        </w:rPr>
      </w:r>
      <w:bookmarkStart w:id="0" w:name="_Toc120614210"/>
      <w:r>
        <w:rPr>
          <w:highlight w:val="none"/>
        </w:rPr>
      </w:r>
      <w:bookmarkStart w:id="1" w:name="_Toc479757206"/>
      <w:r>
        <w:rPr>
          <w:highlight w:val="none"/>
        </w:rPr>
      </w:r>
      <w:bookmarkStart w:id="2" w:name="_Toc16938516"/>
      <w:r>
        <w:rPr>
          <w:highlight w:val="none"/>
        </w:rPr>
      </w:r>
      <w:bookmarkStart w:id="3" w:name="_Toc523127445"/>
      <w:r>
        <w:rPr>
          <w:highlight w:val="none"/>
        </w:rPr>
      </w:r>
      <w:bookmarkStart w:id="4" w:name="_Toc513029200"/>
      <w:r>
        <w:rPr>
          <w:highlight w:val="none"/>
        </w:rPr>
      </w:r>
      <w:bookmarkStart w:id="5" w:name="_Toc20823272"/>
      <w:r>
        <w:rPr>
          <w:rFonts w:hint="eastAsia"/>
          <w:highlight w:val="none"/>
        </w:rPr>
      </w:r>
      <w:r>
        <w:rPr>
          <w:highlight w:val="none"/>
        </w:rPr>
      </w:r>
    </w:p>
    <w:p>
      <w:pPr>
        <w:pStyle w:val="955"/>
        <w:jc w:val="center"/>
        <w:spacing w:line="480" w:lineRule="auto"/>
        <w:rPr>
          <w:rFonts w:hint="eastAsia" w:ascii="黑体" w:hAnsi="Arial" w:eastAsia="黑体"/>
          <w:b/>
          <w:sz w:val="44"/>
          <w:highlight w:val="none"/>
        </w:rPr>
        <w:outlineLvl w:val="0"/>
      </w:pPr>
      <w:r>
        <w:rPr>
          <w:rFonts w:hint="eastAsia"/>
          <w:highlight w:val="none"/>
        </w:rPr>
        <w:t xml:space="preserve"> </w:t>
      </w:r>
      <w:r>
        <w:rPr>
          <w:rFonts w:hint="eastAsia" w:ascii="黑体" w:hAnsi="Arial" w:eastAsia="黑体"/>
          <w:b/>
          <w:sz w:val="44"/>
          <w:highlight w:val="none"/>
        </w:rPr>
        <w:t xml:space="preserve">总  目  录</w:t>
      </w:r>
      <w:r>
        <w:rPr>
          <w:rFonts w:hint="eastAsia" w:ascii="黑体" w:hAnsi="Arial" w:eastAsia="黑体"/>
          <w:b/>
          <w:sz w:val="44"/>
          <w:highlight w:val="none"/>
        </w:rPr>
      </w:r>
      <w:r>
        <w:rPr>
          <w:highlight w:val="none"/>
        </w:rPr>
      </w:r>
    </w:p>
    <w:p>
      <w:pPr>
        <w:pStyle w:val="955"/>
        <w:spacing w:line="480" w:lineRule="auto"/>
        <w:rPr>
          <w:rFonts w:hint="eastAsia" w:ascii="方正仿宋_GB2312" w:hAnsi="Arial" w:eastAsia="方正仿宋_GB2312"/>
          <w:b/>
          <w:sz w:val="28"/>
          <w:highlight w:val="none"/>
        </w:rPr>
      </w:pPr>
      <w:r>
        <w:rPr>
          <w:rFonts w:hint="eastAsia" w:ascii="方正仿宋_GB2312" w:hAnsi="Arial" w:eastAsia="方正仿宋_GB2312"/>
          <w:b/>
          <w:sz w:val="28"/>
          <w:highlight w:val="none"/>
        </w:rPr>
      </w:r>
      <w:r>
        <w:rPr>
          <w:highlight w:val="none"/>
        </w:rPr>
      </w:r>
    </w:p>
    <w:p>
      <w:pPr>
        <w:pStyle w:val="955"/>
        <w:numPr>
          <w:ilvl w:val="0"/>
          <w:numId w:val="4"/>
        </w:numPr>
        <w:spacing w:line="480" w:lineRule="auto"/>
        <w:tabs>
          <w:tab w:val="left" w:pos="1440" w:leader="none"/>
        </w:tabs>
        <w:rPr>
          <w:rFonts w:hint="eastAsia"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r>
      <w:r>
        <w:rPr>
          <w:highlight w:val="none"/>
        </w:rPr>
      </w:r>
    </w:p>
    <w:p>
      <w:pPr>
        <w:pStyle w:val="955"/>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r>
      <w:r>
        <w:rPr>
          <w:highlight w:val="none"/>
        </w:rPr>
      </w:r>
    </w:p>
    <w:p>
      <w:pPr>
        <w:pStyle w:val="955"/>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r>
      <w:r>
        <w:rPr>
          <w:highlight w:val="none"/>
        </w:rPr>
      </w:r>
    </w:p>
    <w:p>
      <w:pPr>
        <w:pStyle w:val="955"/>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highlight w:val="none"/>
        </w:rPr>
      </w:r>
    </w:p>
    <w:p>
      <w:pPr>
        <w:pStyle w:val="955"/>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sectPr>
          <w:footerReference w:type="default" r:id="rId11"/>
          <w:footnotePr/>
          <w:endnotePr/>
          <w:type w:val="nextPage"/>
          <w:pgSz w:w="11906" w:h="16839" w:orient="portrait"/>
          <w:pgMar w:top="1431" w:right="1719" w:bottom="1153" w:left="1700" w:header="0" w:footer="994" w:gutter="0"/>
          <w:pgNumType w:start="1"/>
          <w:cols w:num="1" w:sep="0" w:space="1701" w:equalWidth="1"/>
          <w:docGrid w:linePitch="360"/>
        </w:sect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6"/>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rPr>
          <w:rFonts w:hint="eastAsia" w:ascii="黑体" w:eastAsia="黑体"/>
          <w:bCs/>
          <w:sz w:val="44"/>
          <w:szCs w:val="44"/>
          <w:highlight w:val="none"/>
        </w:rPr>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hint="eastAsia" w:ascii="宋体" w:hAnsi="宋体"/>
          <w:sz w:val="24"/>
          <w:szCs w:val="24"/>
          <w:highlight w:val="none"/>
        </w:rPr>
        <w:t xml:space="preserve">受</w:t>
      </w:r>
      <w:r>
        <w:rPr>
          <w:rFonts w:hint="eastAsia" w:ascii="宋体" w:hAnsi="宋体"/>
          <w:bCs/>
          <w:sz w:val="24"/>
          <w:szCs w:val="24"/>
          <w:highlight w:val="none"/>
        </w:rPr>
        <w:t xml:space="preserve">南通市</w:t>
      </w:r>
      <w:r>
        <w:rPr>
          <w:rFonts w:hint="eastAsia" w:ascii="宋体" w:hAnsi="宋体"/>
          <w:bCs/>
          <w:sz w:val="24"/>
          <w:szCs w:val="24"/>
          <w:highlight w:val="none"/>
        </w:rPr>
        <w:t xml:space="preserve">生态环境监测站</w:t>
      </w:r>
      <w:r>
        <w:rPr>
          <w:rFonts w:hint="eastAsia" w:ascii="宋体" w:hAnsi="宋体"/>
          <w:sz w:val="24"/>
          <w:szCs w:val="24"/>
          <w:highlight w:val="none"/>
        </w:rPr>
        <w:t xml:space="preserve">的委托</w:t>
      </w:r>
      <w:r>
        <w:rPr>
          <w:rFonts w:hint="eastAsia" w:ascii="宋体" w:hAnsi="宋体"/>
          <w:bCs/>
          <w:sz w:val="24"/>
          <w:szCs w:val="24"/>
          <w:highlight w:val="none"/>
        </w:rPr>
        <w:t xml:space="preserve">，江苏新东方工程管理咨询有限公司就</w:t>
      </w:r>
      <w:r>
        <w:rPr>
          <w:rFonts w:ascii="SimSun" w:hAnsi="SimSun" w:eastAsia="SimSun" w:cs="SimSun"/>
          <w:color w:val="000000"/>
          <w:sz w:val="24"/>
          <w:highlight w:val="none"/>
        </w:rPr>
        <w:t xml:space="preserve">南通市生态环境监测站专用设备购置项目</w:t>
      </w:r>
      <w:r>
        <w:rPr>
          <w:rFonts w:hint="eastAsia" w:ascii="宋体" w:hAnsi="宋体"/>
          <w:bCs/>
          <w:sz w:val="24"/>
          <w:szCs w:val="24"/>
          <w:highlight w:val="none"/>
        </w:rPr>
        <w:t xml:space="preserve">(</w:t>
      </w:r>
      <w:r>
        <w:rPr>
          <w:rFonts w:hint="eastAsia" w:ascii="宋体" w:hAnsi="宋体"/>
          <w:sz w:val="24"/>
          <w:szCs w:val="24"/>
          <w:highlight w:val="none"/>
        </w:rPr>
        <w:t xml:space="preserve">项目编号：JSZC-320600-XXDF-G2024-0065 </w:t>
      </w:r>
      <w:r>
        <w:rPr>
          <w:rFonts w:hint="eastAsia" w:ascii="宋体" w:hAnsi="宋体"/>
          <w:bCs/>
          <w:sz w:val="24"/>
          <w:szCs w:val="24"/>
          <w:highlight w:val="none"/>
        </w:rPr>
        <w:t xml:space="preserve">)项目</w:t>
      </w:r>
      <w:r>
        <w:rPr>
          <w:rFonts w:hint="eastAsia" w:ascii="宋体" w:hAnsi="宋体"/>
          <w:sz w:val="24"/>
          <w:szCs w:val="24"/>
          <w:highlight w:val="none"/>
        </w:rPr>
        <w:t xml:space="preserve">进行公开招标采购，欢迎符合条件的投标人投标。</w:t>
      </w:r>
      <w:r>
        <w:rPr>
          <w:highlight w:val="none"/>
        </w:rPr>
      </w:r>
      <w:r>
        <w:rPr>
          <w:sz w:val="22"/>
          <w:highlight w:val="none"/>
        </w:rPr>
      </w:r>
    </w:p>
    <w:p>
      <w:pPr>
        <w:pStyle w:val="955"/>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rPr>
          <w:highlight w:val="none"/>
        </w:rPr>
      </w:r>
    </w:p>
    <w:p>
      <w:pPr>
        <w:pStyle w:val="955"/>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Cs/>
          <w:sz w:val="24"/>
          <w:szCs w:val="24"/>
          <w:highlight w:val="none"/>
          <w:u w:val="single"/>
        </w:rPr>
        <w:t xml:space="preserve">南通市</w:t>
      </w:r>
      <w:r>
        <w:rPr>
          <w:rFonts w:hint="eastAsia" w:ascii="宋体" w:hAnsi="宋体"/>
          <w:bCs/>
          <w:sz w:val="24"/>
          <w:szCs w:val="24"/>
          <w:highlight w:val="none"/>
          <w:u w:val="single"/>
        </w:rPr>
        <w:t xml:space="preserve">生态环境</w:t>
      </w:r>
      <w:r>
        <w:rPr>
          <w:rFonts w:hint="eastAsia" w:ascii="宋体" w:hAnsi="宋体"/>
          <w:bCs/>
          <w:sz w:val="24"/>
          <w:szCs w:val="24"/>
          <w:highlight w:val="none"/>
          <w:u w:val="single"/>
        </w:rPr>
        <w:t xml:space="preserve">监测站专用设备</w:t>
      </w:r>
      <w:r>
        <w:rPr>
          <w:rFonts w:hint="eastAsia" w:ascii="宋体" w:hAnsi="宋体"/>
          <w:bCs/>
          <w:sz w:val="24"/>
          <w:szCs w:val="24"/>
          <w:highlight w:val="none"/>
          <w:u w:val="single"/>
        </w:rPr>
        <w:t xml:space="preserve">购置</w:t>
      </w:r>
      <w:r>
        <w:rPr>
          <w:rFonts w:hint="eastAsia" w:ascii="宋体" w:hAnsi="宋体"/>
          <w:bCs/>
          <w:sz w:val="24"/>
          <w:szCs w:val="24"/>
          <w:highlight w:val="none"/>
          <w:u w:val="single"/>
        </w:rPr>
        <w:t xml:space="preserve">项目</w:t>
      </w:r>
      <w:r>
        <w:rPr>
          <w:rFonts w:hint="eastAsia" w:ascii="宋体" w:hAnsi="宋体"/>
          <w:sz w:val="24"/>
          <w:szCs w:val="24"/>
          <w:highlight w:val="none"/>
        </w:rPr>
        <w:t xml:space="preserve">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2024</w:t>
      </w:r>
      <w:r>
        <w:rPr>
          <w:rFonts w:hint="eastAsia" w:ascii="宋体" w:hAnsi="宋体"/>
          <w:bCs/>
          <w:sz w:val="24"/>
          <w:szCs w:val="24"/>
          <w:highlight w:val="none"/>
          <w:u w:val="single"/>
        </w:rPr>
        <w:t xml:space="preserve">年 </w:t>
      </w:r>
      <w:r>
        <w:rPr>
          <w:rFonts w:hint="eastAsia" w:ascii="宋体" w:hAnsi="宋体"/>
          <w:bCs/>
          <w:sz w:val="24"/>
          <w:szCs w:val="24"/>
          <w:highlight w:val="none"/>
          <w:u w:val="single"/>
          <w:lang w:val="en-US" w:eastAsia="zh-CN"/>
        </w:rPr>
        <w:t xml:space="preserve">10</w:t>
      </w:r>
      <w:r>
        <w:rPr>
          <w:rFonts w:hint="eastAsia" w:ascii="宋体" w:hAnsi="宋体"/>
          <w:bCs/>
          <w:sz w:val="24"/>
          <w:szCs w:val="24"/>
          <w:highlight w:val="none"/>
          <w:u w:val="single"/>
        </w:rPr>
        <w:t xml:space="preserve"> 月 </w:t>
      </w:r>
      <w:r>
        <w:rPr>
          <w:rFonts w:hint="eastAsia" w:ascii="宋体" w:hAnsi="宋体"/>
          <w:bCs/>
          <w:sz w:val="24"/>
          <w:szCs w:val="24"/>
          <w:highlight w:val="none"/>
          <w:u w:val="single"/>
          <w:lang w:val="en-US" w:eastAsia="zh-CN"/>
        </w:rPr>
        <w:t xml:space="preserve">24</w:t>
      </w:r>
      <w:r>
        <w:rPr>
          <w:rFonts w:hint="eastAsia" w:ascii="宋体" w:hAnsi="宋体"/>
          <w:bCs/>
          <w:sz w:val="24"/>
          <w:szCs w:val="24"/>
          <w:highlight w:val="none"/>
          <w:u w:val="single"/>
        </w:rPr>
        <w:t xml:space="preserve"> 日14点00分（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rPr>
          <w:highlight w:val="none"/>
        </w:rPr>
      </w:r>
    </w:p>
    <w:p>
      <w:pPr>
        <w:pStyle w:val="958"/>
        <w:spacing w:before="145" w:after="145" w:line="360" w:lineRule="auto"/>
        <w:rPr>
          <w:highlight w:val="none"/>
        </w:rPr>
      </w:pPr>
      <w:r>
        <w:rPr>
          <w:highlight w:val="none"/>
        </w:rPr>
      </w:r>
      <w:bookmarkStart w:id="6" w:name="_Toc28359002"/>
      <w:r>
        <w:rPr>
          <w:highlight w:val="none"/>
        </w:rPr>
      </w:r>
      <w:bookmarkStart w:id="7" w:name="_Toc38985263"/>
      <w:r>
        <w:rPr>
          <w:highlight w:val="none"/>
        </w:rPr>
      </w:r>
      <w:bookmarkStart w:id="8" w:name="_Toc35393621"/>
      <w:r>
        <w:rPr>
          <w:highlight w:val="none"/>
        </w:rPr>
      </w:r>
      <w:bookmarkStart w:id="9" w:name="_Toc35393790"/>
      <w:r>
        <w:rPr>
          <w:highlight w:val="none"/>
        </w:rPr>
      </w:r>
      <w:bookmarkStart w:id="10" w:name="_Toc28359079"/>
      <w:r>
        <w:rPr>
          <w:highlight w:val="none"/>
        </w:rPr>
      </w:r>
      <w:bookmarkStart w:id="11" w:name="_Hlk24379207"/>
      <w:r>
        <w:rPr>
          <w:rFonts w:hint="eastAsia"/>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rPr>
          <w:highlight w:val="none"/>
        </w:rP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1.项目编号：</w:t>
      </w:r>
      <w:r>
        <w:rPr>
          <w:rFonts w:ascii="Segoe UI" w:hAnsi="Segoe UI" w:eastAsia="Segoe UI" w:cs="Segoe UI"/>
          <w:i w:val="0"/>
          <w:iCs w:val="0"/>
          <w:caps w:val="0"/>
          <w:spacing w:val="0"/>
          <w:sz w:val="21"/>
          <w:szCs w:val="21"/>
          <w:highlight w:val="none"/>
          <w:shd w:val="clear" w:color="auto" w:fill="ffffff"/>
        </w:rPr>
        <w:t xml:space="preserve">JSZC-320600-XXDF-G2024-0065</w:t>
      </w:r>
      <w:r>
        <w:rPr>
          <w:rFonts w:hint="eastAsia" w:ascii="宋体" w:hAnsi="宋体"/>
          <w:sz w:val="24"/>
          <w:szCs w:val="24"/>
          <w:highlight w:val="none"/>
        </w:rPr>
        <w:t xml:space="preserve"> </w:t>
      </w:r>
      <w:r>
        <w:rPr>
          <w:rFonts w:hint="eastAsia" w:ascii="宋体" w:hAnsi="宋体"/>
          <w:sz w:val="24"/>
          <w:szCs w:val="24"/>
          <w:highlight w:val="none"/>
        </w:rPr>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hint="eastAsia" w:ascii="宋体" w:hAnsi="宋体"/>
          <w:sz w:val="24"/>
          <w:szCs w:val="24"/>
          <w:highlight w:val="none"/>
        </w:rPr>
        <w:t xml:space="preserve">    2.项目名称：</w:t>
      </w:r>
      <w:bookmarkEnd w:id="11"/>
      <w:r>
        <w:rPr>
          <w:rFonts w:ascii="SimSun" w:hAnsi="SimSun" w:eastAsia="SimSun" w:cs="SimSun"/>
          <w:color w:val="000000"/>
          <w:sz w:val="24"/>
          <w:highlight w:val="none"/>
        </w:rPr>
        <w:t xml:space="preserve">南通市生态环境监测站专用设备购置项目</w:t>
      </w:r>
      <w:r>
        <w:rPr>
          <w:highlight w:val="none"/>
        </w:rPr>
      </w:r>
      <w:r>
        <w:rPr>
          <w:sz w:val="22"/>
          <w:highlight w:val="none"/>
        </w:rPr>
      </w:r>
    </w:p>
    <w:p>
      <w:pPr>
        <w:pStyle w:val="955"/>
        <w:ind w:firstLine="480"/>
        <w:spacing w:line="360" w:lineRule="auto"/>
        <w:rPr>
          <w:rFonts w:hint="eastAsia" w:ascii="宋体" w:hAnsi="宋体" w:cs="宋体"/>
          <w:sz w:val="24"/>
          <w:szCs w:val="24"/>
          <w:highlight w:val="none"/>
        </w:rPr>
      </w:pPr>
      <w:r>
        <w:rPr>
          <w:rFonts w:hint="eastAsia" w:ascii="宋体" w:hAnsi="宋体"/>
          <w:sz w:val="24"/>
          <w:szCs w:val="24"/>
          <w:highlight w:val="none"/>
        </w:rPr>
        <w:t xml:space="preserve">3.预算金额：</w:t>
      </w:r>
      <w:r>
        <w:rPr>
          <w:rFonts w:hint="eastAsia" w:ascii="宋体" w:hAnsi="宋体"/>
          <w:bCs/>
          <w:sz w:val="24"/>
          <w:szCs w:val="24"/>
          <w:highlight w:val="none"/>
        </w:rPr>
        <w:t xml:space="preserve">354</w:t>
      </w:r>
      <w:r>
        <w:rPr>
          <w:rFonts w:hint="eastAsia" w:ascii="宋体" w:hAnsi="宋体"/>
          <w:bCs/>
          <w:sz w:val="24"/>
          <w:szCs w:val="24"/>
          <w:highlight w:val="none"/>
          <w:lang w:val="zh-CN"/>
        </w:rPr>
        <w:t xml:space="preserve">万元。</w:t>
      </w:r>
      <w:r>
        <w:rPr>
          <w:rFonts w:hint="eastAsia" w:ascii="宋体" w:hAnsi="宋体" w:cs="宋体"/>
          <w:sz w:val="24"/>
          <w:szCs w:val="24"/>
          <w:highlight w:val="none"/>
        </w:rPr>
      </w:r>
      <w:r>
        <w:rPr>
          <w:highlight w:val="none"/>
        </w:rPr>
      </w:r>
    </w:p>
    <w:p>
      <w:pPr>
        <w:pStyle w:val="955"/>
        <w:ind w:firstLine="480"/>
        <w:spacing w:line="360" w:lineRule="auto"/>
        <w:rPr>
          <w:rFonts w:ascii="宋体" w:hAnsi="宋体"/>
          <w:bCs/>
          <w:color w:val="ff0000"/>
          <w:sz w:val="24"/>
          <w:szCs w:val="24"/>
          <w:highlight w:val="none"/>
        </w:rPr>
      </w:pPr>
      <w:r>
        <w:rPr>
          <w:rFonts w:hint="eastAsia" w:ascii="宋体" w:hAnsi="宋体"/>
          <w:sz w:val="24"/>
          <w:szCs w:val="24"/>
          <w:highlight w:val="none"/>
        </w:rPr>
        <w:t xml:space="preserve">4.最高限价：</w:t>
      </w:r>
      <w:r>
        <w:rPr>
          <w:rFonts w:hint="eastAsia" w:ascii="宋体" w:hAnsi="宋体"/>
          <w:bCs/>
          <w:sz w:val="24"/>
          <w:szCs w:val="24"/>
          <w:highlight w:val="none"/>
        </w:rPr>
        <w:t xml:space="preserve">354</w:t>
      </w:r>
      <w:r>
        <w:rPr>
          <w:rFonts w:hint="eastAsia" w:ascii="宋体" w:hAnsi="宋体"/>
          <w:bCs/>
          <w:sz w:val="24"/>
          <w:szCs w:val="24"/>
          <w:highlight w:val="none"/>
          <w:lang w:val="zh-CN"/>
        </w:rPr>
        <w:t xml:space="preserve">万元，</w:t>
      </w:r>
      <w:r>
        <w:rPr>
          <w:rFonts w:hint="eastAsia" w:cs="宋体"/>
          <w:sz w:val="24"/>
          <w:szCs w:val="24"/>
          <w:highlight w:val="none"/>
        </w:rPr>
        <w:t xml:space="preserve">投标报价超过最高限价的为无效投标</w:t>
      </w:r>
      <w:r>
        <w:rPr>
          <w:rFonts w:hint="eastAsia" w:ascii="宋体" w:hAnsi="宋体"/>
          <w:color w:val="0000ff"/>
          <w:sz w:val="24"/>
          <w:szCs w:val="24"/>
          <w:highlight w:val="none"/>
        </w:rPr>
        <w:t xml:space="preserve">。</w:t>
      </w:r>
      <w:r>
        <w:rPr>
          <w:rFonts w:ascii="宋体" w:hAnsi="宋体"/>
          <w:bCs/>
          <w:color w:val="ff0000"/>
          <w:sz w:val="24"/>
          <w:szCs w:val="24"/>
          <w:highlight w:val="none"/>
        </w:rPr>
      </w:r>
      <w:r>
        <w:rPr>
          <w:highlight w:val="none"/>
        </w:rPr>
      </w:r>
    </w:p>
    <w:p>
      <w:pPr>
        <w:pStyle w:val="955"/>
        <w:ind w:firstLine="480"/>
        <w:spacing w:line="360" w:lineRule="auto"/>
        <w:rPr>
          <w:rFonts w:ascii="宋体" w:hAnsi="宋体" w:cs="宋体"/>
          <w:bCs/>
          <w:color w:val="ff0000"/>
          <w:sz w:val="24"/>
          <w:szCs w:val="24"/>
          <w:highlight w:val="none"/>
        </w:rPr>
      </w:pPr>
      <w:r>
        <w:rPr>
          <w:rFonts w:hint="eastAsia" w:ascii="宋体" w:hAnsi="宋体"/>
          <w:sz w:val="24"/>
          <w:szCs w:val="24"/>
          <w:highlight w:val="none"/>
        </w:rPr>
        <w:t xml:space="preserve">5.采购需求：详见采购需求。</w:t>
      </w:r>
      <w:r>
        <w:rPr>
          <w:rFonts w:ascii="宋体" w:hAnsi="宋体" w:cs="宋体"/>
          <w:bCs/>
          <w:color w:val="ff0000"/>
          <w:sz w:val="24"/>
          <w:szCs w:val="24"/>
          <w:highlight w:val="none"/>
        </w:rPr>
      </w:r>
      <w:r>
        <w:rPr>
          <w:highlight w:val="none"/>
        </w:rPr>
      </w:r>
    </w:p>
    <w:p>
      <w:pPr>
        <w:pStyle w:val="955"/>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6.合同履行期限：详见采购需求</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rPr>
          <w:highlight w:val="none"/>
        </w:rPr>
      </w:r>
    </w:p>
    <w:p>
      <w:pPr>
        <w:pStyle w:val="958"/>
        <w:spacing w:before="145" w:after="145" w:line="360" w:lineRule="auto"/>
        <w:rPr>
          <w:highlight w:val="none"/>
        </w:rPr>
      </w:pPr>
      <w:r>
        <w:rPr>
          <w:highlight w:val="none"/>
        </w:rPr>
      </w:r>
      <w:bookmarkStart w:id="12" w:name="_Toc28359080"/>
      <w:r>
        <w:rPr>
          <w:highlight w:val="none"/>
        </w:rPr>
      </w:r>
      <w:bookmarkStart w:id="13" w:name="_Toc28359003"/>
      <w:r>
        <w:rPr>
          <w:highlight w:val="none"/>
        </w:rPr>
      </w:r>
      <w:bookmarkStart w:id="14" w:name="_Toc38985264"/>
      <w:r>
        <w:rPr>
          <w:highlight w:val="none"/>
        </w:rPr>
      </w:r>
      <w:bookmarkStart w:id="15" w:name="_Toc35393791"/>
      <w:r>
        <w:rPr>
          <w:highlight w:val="none"/>
        </w:rPr>
      </w:r>
      <w:bookmarkStart w:id="16" w:name="_Toc35393622"/>
      <w:r>
        <w:rPr>
          <w:rFonts w:hint="eastAsia"/>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rPr>
          <w:highlight w:val="none"/>
        </w:rPr>
      </w:r>
    </w:p>
    <w:p>
      <w:pPr>
        <w:pStyle w:val="955"/>
        <w:ind w:firstLine="480"/>
        <w:spacing w:line="360" w:lineRule="auto"/>
        <w:rPr>
          <w:rFonts w:hint="eastAsia" w:ascii="宋体" w:hAnsi="宋体"/>
          <w:sz w:val="24"/>
          <w:szCs w:val="24"/>
          <w:highlight w:val="none"/>
        </w:rPr>
      </w:pPr>
      <w:r>
        <w:rPr>
          <w:highlight w:val="none"/>
        </w:rPr>
      </w:r>
      <w:bookmarkStart w:id="17" w:name="_Toc35393623"/>
      <w:r>
        <w:rPr>
          <w:highlight w:val="none"/>
        </w:rPr>
      </w:r>
      <w:bookmarkStart w:id="18" w:name="_Toc35393792"/>
      <w:r>
        <w:rPr>
          <w:highlight w:val="none"/>
        </w:rPr>
      </w:r>
      <w:bookmarkStart w:id="19" w:name="_Toc28359081"/>
      <w:r>
        <w:rPr>
          <w:highlight w:val="none"/>
        </w:rPr>
      </w:r>
      <w:bookmarkStart w:id="20" w:name="_Toc28359004"/>
      <w:r>
        <w:rPr>
          <w:highlight w:val="none"/>
        </w:rPr>
      </w:r>
      <w:bookmarkStart w:id="21"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rPr>
          <w:highlight w:val="none"/>
        </w:rP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rPr>
          <w:highlight w:val="none"/>
        </w:rPr>
      </w:r>
    </w:p>
    <w:p>
      <w:pPr>
        <w:pStyle w:val="955"/>
        <w:ind w:firstLine="480"/>
        <w:spacing w:line="360" w:lineRule="auto"/>
        <w:rPr>
          <w:rFonts w:hint="eastAsia"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highlight w:val="none"/>
        </w:rPr>
      </w:r>
      <w:r>
        <w:rPr>
          <w:highlight w:val="none"/>
        </w:rPr>
      </w:r>
    </w:p>
    <w:p>
      <w:pPr>
        <w:pStyle w:val="955"/>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3.落实政府采购政策需满足的资格要求：</w:t>
      </w:r>
      <w:r>
        <w:rPr>
          <w:rFonts w:hint="eastAsia" w:ascii="宋体" w:hAnsi="宋体"/>
          <w:sz w:val="24"/>
          <w:szCs w:val="24"/>
          <w:highlight w:val="none"/>
          <w:lang w:val="en-US" w:eastAsia="zh-CN"/>
        </w:rPr>
        <w:t xml:space="preserve">无。</w:t>
      </w:r>
      <w:r>
        <w:rPr>
          <w:rFonts w:hint="eastAsia" w:ascii="宋体" w:hAnsi="宋体" w:eastAsia="宋体"/>
          <w:sz w:val="24"/>
          <w:szCs w:val="24"/>
          <w:highlight w:val="none"/>
          <w:lang w:val="en-US" w:eastAsia="zh-CN"/>
        </w:rPr>
      </w:r>
      <w:r>
        <w:rPr>
          <w:highlight w:val="none"/>
        </w:rPr>
      </w:r>
    </w:p>
    <w:p>
      <w:pPr>
        <w:pStyle w:val="955"/>
        <w:ind w:firstLine="480"/>
        <w:spacing w:line="360" w:lineRule="auto"/>
        <w:rPr>
          <w:rFonts w:hint="eastAsia" w:ascii="宋体" w:hAnsi="宋体" w:cs="宋体"/>
          <w:sz w:val="24"/>
          <w:szCs w:val="24"/>
          <w:highlight w:val="none"/>
        </w:rPr>
      </w:pPr>
      <w:r>
        <w:rPr>
          <w:rFonts w:hint="eastAsia" w:ascii="宋体" w:hAnsi="宋体"/>
          <w:sz w:val="24"/>
          <w:szCs w:val="24"/>
          <w:highlight w:val="none"/>
        </w:rPr>
        <w:t xml:space="preserve">4.本项目不接受联合体投标</w:t>
      </w:r>
      <w:r>
        <w:rPr>
          <w:rFonts w:hint="eastAsia" w:ascii="宋体" w:hAnsi="宋体" w:cs="宋体"/>
          <w:sz w:val="24"/>
          <w:szCs w:val="24"/>
          <w:highlight w:val="none"/>
        </w:rPr>
      </w:r>
      <w:r>
        <w:rPr>
          <w:highlight w:val="none"/>
        </w:rP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5.本项目不接受分包。</w:t>
      </w:r>
      <w:r>
        <w:rPr>
          <w:rFonts w:hint="eastAsia" w:ascii="宋体" w:hAnsi="宋体"/>
          <w:sz w:val="24"/>
          <w:szCs w:val="24"/>
          <w:highlight w:val="none"/>
        </w:rPr>
      </w:r>
      <w:r>
        <w:rPr>
          <w:highlight w:val="none"/>
        </w:rPr>
      </w:r>
    </w:p>
    <w:p>
      <w:pPr>
        <w:pStyle w:val="955"/>
        <w:ind w:firstLine="480"/>
        <w:spacing w:line="360" w:lineRule="auto"/>
        <w:rPr>
          <w:rFonts w:hint="eastAsia" w:ascii="宋体" w:hAnsi="宋体"/>
          <w:color w:val="ff0000"/>
          <w:sz w:val="24"/>
          <w:szCs w:val="24"/>
          <w:highlight w:val="none"/>
        </w:rPr>
      </w:pPr>
      <w:r>
        <w:rPr>
          <w:rFonts w:hint="eastAsia" w:ascii="宋体" w:hAnsi="宋体"/>
          <w:b/>
          <w:bCs/>
          <w:sz w:val="24"/>
          <w:szCs w:val="24"/>
          <w:highlight w:val="none"/>
        </w:rPr>
        <w:t xml:space="preserve">（二）本项目的特定资格要求:无</w:t>
      </w:r>
      <w:r>
        <w:rPr>
          <w:rFonts w:hint="eastAsia" w:ascii="宋体" w:hAnsi="宋体"/>
          <w:sz w:val="24"/>
          <w:szCs w:val="24"/>
          <w:highlight w:val="none"/>
        </w:rPr>
        <w:t xml:space="preserve">。</w:t>
      </w:r>
      <w:r>
        <w:rPr>
          <w:rFonts w:hint="eastAsia" w:ascii="宋体" w:hAnsi="宋体"/>
          <w:color w:val="ff0000"/>
          <w:sz w:val="24"/>
          <w:szCs w:val="24"/>
          <w:highlight w:val="none"/>
        </w:rPr>
      </w:r>
      <w:r>
        <w:rPr>
          <w:highlight w:val="none"/>
        </w:rPr>
      </w:r>
    </w:p>
    <w:p>
      <w:pPr>
        <w:pStyle w:val="958"/>
        <w:spacing w:before="145" w:after="145" w:line="360" w:lineRule="auto"/>
        <w:rPr>
          <w:highlight w:val="none"/>
        </w:rPr>
      </w:pPr>
      <w:r>
        <w:rPr>
          <w:rFonts w:hint="eastAsia"/>
          <w:highlight w:val="none"/>
        </w:rPr>
        <w:t xml:space="preserve">三、获取招标文件</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r>
        <w:rPr>
          <w:highlight w:val="none"/>
        </w:rPr>
      </w:r>
    </w:p>
    <w:p>
      <w:pPr>
        <w:pStyle w:val="955"/>
        <w:ind w:firstLine="540"/>
        <w:spacing w:line="360" w:lineRule="auto"/>
        <w:rPr>
          <w:rFonts w:ascii="宋体" w:hAnsi="宋体" w:cs="宋体"/>
          <w:sz w:val="24"/>
          <w:szCs w:val="24"/>
          <w:highlight w:val="none"/>
        </w:rPr>
      </w:pPr>
      <w:r>
        <w:rPr>
          <w:highlight w:val="none"/>
        </w:rPr>
      </w:r>
      <w:bookmarkStart w:id="22" w:name="_Toc28359082"/>
      <w:r>
        <w:rPr>
          <w:highlight w:val="none"/>
        </w:rPr>
      </w:r>
      <w:bookmarkStart w:id="23" w:name="_Toc28359005"/>
      <w:r>
        <w:rPr>
          <w:highlight w:val="none"/>
        </w:rPr>
      </w:r>
      <w:bookmarkStart w:id="24" w:name="_Toc35393793"/>
      <w:r>
        <w:rPr>
          <w:highlight w:val="none"/>
        </w:rPr>
      </w:r>
      <w:bookmarkStart w:id="25" w:name="_Toc38985266"/>
      <w:r>
        <w:rPr>
          <w:highlight w:val="none"/>
        </w:rPr>
      </w:r>
      <w:bookmarkStart w:id="26" w:name="_Toc35393624"/>
      <w:r>
        <w:rPr>
          <w:rFonts w:hint="eastAsia" w:ascii="宋体" w:hAnsi="宋体" w:cs="宋体"/>
          <w:sz w:val="24"/>
          <w:szCs w:val="24"/>
          <w:highlight w:val="none"/>
        </w:rPr>
        <w:t xml:space="preserve">1.时间：自招标文件公告发布之日起5个工作日。</w:t>
      </w:r>
      <w:r>
        <w:rPr>
          <w:rFonts w:ascii="宋体" w:hAnsi="宋体" w:cs="宋体"/>
          <w:sz w:val="24"/>
          <w:szCs w:val="24"/>
          <w:highlight w:val="none"/>
        </w:rPr>
      </w:r>
      <w:r>
        <w:rPr>
          <w:highlight w:val="none"/>
        </w:rPr>
      </w:r>
    </w:p>
    <w:p>
      <w:pPr>
        <w:pStyle w:val="955"/>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2.方式：网上注册登记成功后系统免费下载招标文件。</w:t>
      </w:r>
      <w:r>
        <w:rPr>
          <w:rFonts w:ascii="宋体" w:hAnsi="宋体" w:cs="宋体"/>
          <w:sz w:val="24"/>
          <w:szCs w:val="24"/>
          <w:highlight w:val="none"/>
          <w:u w:val="single"/>
        </w:rPr>
      </w:r>
      <w:r>
        <w:rPr>
          <w:highlight w:val="none"/>
        </w:rPr>
      </w:r>
    </w:p>
    <w:p>
      <w:pPr>
        <w:pStyle w:val="958"/>
        <w:spacing w:before="145" w:after="145" w:line="360" w:lineRule="auto"/>
        <w:rPr>
          <w:highlight w:val="none"/>
        </w:rPr>
      </w:pPr>
      <w:r>
        <w:rPr>
          <w:rFonts w:hint="eastAsia"/>
          <w:highlight w:val="none"/>
        </w:rPr>
        <w:t xml:space="preserve">四、提交投</w:t>
      </w:r>
      <w:r>
        <w:rPr>
          <w:rFonts w:hint="eastAsia"/>
          <w:highlight w:val="none"/>
        </w:rPr>
        <w:t xml:space="preserve">标文件</w:t>
      </w:r>
      <w:bookmarkEnd w:id="22"/>
      <w:r>
        <w:rPr>
          <w:highlight w:val="none"/>
        </w:rPr>
      </w:r>
      <w:bookmarkEnd w:id="23"/>
      <w:r>
        <w:rPr>
          <w:rFonts w:hint="eastAsia"/>
          <w:highlight w:val="none"/>
        </w:rPr>
        <w:t xml:space="preserve">截止时间、开标时间和地点</w:t>
      </w:r>
      <w:bookmarkEnd w:id="24"/>
      <w:r>
        <w:rPr>
          <w:highlight w:val="none"/>
        </w:rPr>
      </w:r>
      <w:bookmarkEnd w:id="25"/>
      <w:r>
        <w:rPr>
          <w:highlight w:val="none"/>
        </w:rPr>
      </w:r>
      <w:bookmarkEnd w:id="26"/>
      <w:r>
        <w:rPr>
          <w:highlight w:val="none"/>
        </w:rPr>
      </w:r>
      <w:r>
        <w:rPr>
          <w:highlight w:val="none"/>
        </w:rPr>
      </w:r>
    </w:p>
    <w:p>
      <w:pPr>
        <w:pStyle w:val="955"/>
        <w:ind w:firstLine="480"/>
        <w:spacing w:line="360" w:lineRule="auto"/>
        <w:rPr>
          <w:rFonts w:ascii="宋体" w:hAnsi="宋体"/>
          <w:bCs/>
          <w:sz w:val="24"/>
          <w:szCs w:val="24"/>
          <w:highlight w:val="none"/>
          <w:u w:val="singl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2024年 </w:t>
      </w:r>
      <w:r>
        <w:rPr>
          <w:rFonts w:hint="eastAsia" w:ascii="宋体" w:hAnsi="宋体"/>
          <w:bCs/>
          <w:sz w:val="24"/>
          <w:szCs w:val="24"/>
          <w:highlight w:val="none"/>
          <w:u w:val="single"/>
          <w:lang w:val="en-US" w:eastAsia="zh-CN"/>
        </w:rPr>
        <w:t xml:space="preserve">10</w:t>
      </w:r>
      <w:r>
        <w:rPr>
          <w:rFonts w:hint="eastAsia" w:ascii="宋体" w:hAnsi="宋体"/>
          <w:bCs/>
          <w:sz w:val="24"/>
          <w:szCs w:val="24"/>
          <w:highlight w:val="none"/>
          <w:u w:val="single"/>
        </w:rPr>
        <w:t xml:space="preserve">月 </w:t>
      </w:r>
      <w:r>
        <w:rPr>
          <w:rFonts w:hint="eastAsia" w:ascii="宋体" w:hAnsi="宋体"/>
          <w:bCs/>
          <w:sz w:val="24"/>
          <w:szCs w:val="24"/>
          <w:highlight w:val="none"/>
          <w:u w:val="single"/>
          <w:lang w:val="en-US" w:eastAsia="zh-CN"/>
        </w:rPr>
        <w:t xml:space="preserve">24</w:t>
      </w:r>
      <w:r>
        <w:rPr>
          <w:rFonts w:hint="eastAsia" w:ascii="宋体" w:hAnsi="宋体"/>
          <w:bCs/>
          <w:sz w:val="24"/>
          <w:szCs w:val="24"/>
          <w:highlight w:val="none"/>
          <w:u w:val="single"/>
        </w:rPr>
        <w:t xml:space="preserve">日14点00分</w:t>
      </w:r>
      <w:r>
        <w:rPr>
          <w:rFonts w:hint="eastAsia" w:ascii="宋体" w:hAnsi="宋体"/>
          <w:bCs/>
          <w:sz w:val="24"/>
          <w:szCs w:val="24"/>
          <w:highlight w:val="none"/>
        </w:rPr>
        <w:t xml:space="preserve">（北京时间）</w:t>
      </w:r>
      <w:r>
        <w:rPr>
          <w:rFonts w:ascii="宋体" w:hAnsi="宋体"/>
          <w:bCs/>
          <w:sz w:val="24"/>
          <w:szCs w:val="24"/>
          <w:highlight w:val="none"/>
          <w:u w:val="single"/>
        </w:rPr>
      </w:r>
      <w:r>
        <w:rPr>
          <w:highlight w:val="none"/>
        </w:rPr>
      </w:r>
    </w:p>
    <w:p>
      <w:pPr>
        <w:pStyle w:val="955"/>
        <w:ind w:firstLine="480"/>
        <w:spacing w:line="360" w:lineRule="auto"/>
        <w:rPr>
          <w:rFonts w:hint="eastAsia" w:ascii="宋体" w:hAnsi="宋体"/>
          <w:bCs/>
          <w:sz w:val="24"/>
          <w:szCs w:val="24"/>
          <w:highlight w:val="none"/>
          <w:u w:val="single"/>
        </w:rPr>
      </w:pPr>
      <w:r>
        <w:rPr>
          <w:rFonts w:hint="eastAsia" w:ascii="宋体" w:hAnsi="宋体"/>
          <w:sz w:val="24"/>
          <w:szCs w:val="24"/>
          <w:highlight w:val="none"/>
        </w:rPr>
        <w:t xml:space="preserve">2.地点：“苏采云”政府采购交易</w:t>
      </w:r>
      <w:r>
        <w:rPr>
          <w:rFonts w:hint="eastAsia" w:ascii="宋体" w:hAnsi="宋体"/>
          <w:sz w:val="24"/>
          <w:szCs w:val="24"/>
          <w:highlight w:val="none"/>
        </w:rPr>
        <w:t xml:space="preserve">系统网上开标大厅。</w:t>
      </w:r>
      <w:r>
        <w:rPr>
          <w:rFonts w:hint="eastAsia" w:ascii="宋体" w:hAnsi="宋体"/>
          <w:bCs/>
          <w:sz w:val="24"/>
          <w:szCs w:val="24"/>
          <w:highlight w:val="none"/>
          <w:u w:val="single"/>
        </w:rPr>
      </w:r>
      <w:r>
        <w:rPr>
          <w:highlight w:val="none"/>
        </w:rPr>
      </w:r>
    </w:p>
    <w:p>
      <w:pPr>
        <w:pStyle w:val="958"/>
        <w:spacing w:before="145" w:after="145" w:line="360" w:lineRule="auto"/>
        <w:rPr>
          <w:highlight w:val="none"/>
        </w:rPr>
      </w:pPr>
      <w:r>
        <w:rPr>
          <w:highlight w:val="none"/>
        </w:rPr>
      </w:r>
      <w:bookmarkStart w:id="27" w:name="_Toc35393625"/>
      <w:r>
        <w:rPr>
          <w:highlight w:val="none"/>
        </w:rPr>
      </w:r>
      <w:bookmarkStart w:id="28" w:name="_Toc35393794"/>
      <w:r>
        <w:rPr>
          <w:highlight w:val="none"/>
        </w:rPr>
      </w:r>
      <w:bookmarkStart w:id="29" w:name="_Toc38985267"/>
      <w:r>
        <w:rPr>
          <w:highlight w:val="none"/>
        </w:rPr>
      </w:r>
      <w:bookmarkStart w:id="30" w:name="_Toc28359084"/>
      <w:r>
        <w:rPr>
          <w:highlight w:val="none"/>
        </w:rPr>
      </w:r>
      <w:bookmarkStart w:id="31" w:name="_Toc28359007"/>
      <w:r>
        <w:rPr>
          <w:rFonts w:hint="eastAsia"/>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rPr>
          <w:highlight w:val="none"/>
        </w:rPr>
      </w:r>
    </w:p>
    <w:p>
      <w:pPr>
        <w:pStyle w:val="955"/>
        <w:ind w:firstLine="480"/>
        <w:rPr>
          <w:rFonts w:ascii="宋体" w:hAnsi="宋体" w:cs="宋体"/>
          <w:sz w:val="24"/>
          <w:szCs w:val="24"/>
          <w:highlight w:val="none"/>
        </w:rPr>
      </w:pPr>
      <w:r>
        <w:rPr>
          <w:highlight w:val="none"/>
        </w:rPr>
      </w:r>
      <w:bookmarkStart w:id="32" w:name="_Toc38985268"/>
      <w:r>
        <w:rPr>
          <w:highlight w:val="none"/>
        </w:rPr>
      </w:r>
      <w:bookmarkStart w:id="33" w:name="_Toc35393795"/>
      <w:r>
        <w:rPr>
          <w:highlight w:val="none"/>
        </w:rPr>
      </w:r>
      <w:bookmarkStart w:id="34" w:name="_Toc35393626"/>
      <w:r>
        <w:rPr>
          <w:rFonts w:hint="eastAsia" w:ascii="宋体" w:hAnsi="宋体" w:cs="宋体"/>
          <w:sz w:val="24"/>
          <w:szCs w:val="24"/>
          <w:highlight w:val="none"/>
        </w:rPr>
        <w:t xml:space="preserve">招标公告及招标文件公告期限为自本公告发布之日起5个工作日。</w:t>
      </w:r>
      <w:r>
        <w:rPr>
          <w:rFonts w:ascii="宋体" w:hAnsi="宋体" w:cs="宋体"/>
          <w:sz w:val="24"/>
          <w:szCs w:val="24"/>
          <w:highlight w:val="none"/>
        </w:rPr>
      </w:r>
      <w:r>
        <w:rPr>
          <w:highlight w:val="none"/>
        </w:rPr>
      </w:r>
    </w:p>
    <w:p>
      <w:pPr>
        <w:pStyle w:val="958"/>
        <w:spacing w:before="145" w:after="145" w:line="360" w:lineRule="auto"/>
        <w:rPr>
          <w:highlight w:val="none"/>
        </w:rPr>
      </w:pPr>
      <w:r>
        <w:rPr>
          <w:rFonts w:hint="eastAsia"/>
          <w:highlight w:val="none"/>
        </w:rPr>
        <w:t xml:space="preserve">六、其他补充事宜</w:t>
      </w:r>
      <w:bookmarkEnd w:id="32"/>
      <w:r>
        <w:rPr>
          <w:highlight w:val="none"/>
        </w:rPr>
      </w:r>
      <w:bookmarkEnd w:id="33"/>
      <w:r>
        <w:rPr>
          <w:highlight w:val="none"/>
        </w:rPr>
      </w:r>
      <w:bookmarkEnd w:id="34"/>
      <w:r>
        <w:rPr>
          <w:highlight w:val="none"/>
        </w:rPr>
      </w:r>
      <w:r>
        <w:rPr>
          <w:highlight w:val="none"/>
        </w:rPr>
      </w:r>
    </w:p>
    <w:p>
      <w:pPr>
        <w:pStyle w:val="955"/>
        <w:ind w:firstLine="480"/>
        <w:spacing w:line="480" w:lineRule="exact"/>
        <w:rPr>
          <w:rFonts w:hint="eastAsia" w:ascii="宋体" w:hAnsi="宋体" w:cs="宋体"/>
          <w:sz w:val="24"/>
          <w:szCs w:val="24"/>
          <w:highlight w:val="none"/>
        </w:rPr>
      </w:pPr>
      <w:r>
        <w:rPr>
          <w:highlight w:val="none"/>
        </w:rPr>
      </w:r>
      <w:bookmarkStart w:id="35" w:name="_Toc35393627"/>
      <w:r>
        <w:rPr>
          <w:highlight w:val="none"/>
        </w:rPr>
      </w:r>
      <w:bookmarkStart w:id="36" w:name="_Toc38985269"/>
      <w:r>
        <w:rPr>
          <w:highlight w:val="none"/>
        </w:rPr>
      </w:r>
      <w:bookmarkStart w:id="37" w:name="_Toc28359008"/>
      <w:r>
        <w:rPr>
          <w:highlight w:val="none"/>
        </w:rPr>
      </w:r>
      <w:bookmarkStart w:id="38" w:name="_Toc28359085"/>
      <w:r>
        <w:rPr>
          <w:highlight w:val="none"/>
        </w:rPr>
      </w:r>
      <w:bookmarkStart w:id="39" w:name="_Toc35393796"/>
      <w:r>
        <w:rPr>
          <w:rFonts w:hint="eastAsia" w:ascii="宋体" w:hAnsi="宋体" w:cs="宋体"/>
          <w:sz w:val="24"/>
          <w:szCs w:val="24"/>
          <w:highlight w:val="none"/>
        </w:rPr>
        <w:t xml:space="preserve">1.</w:t>
      </w:r>
      <w:r>
        <w:rPr>
          <w:rFonts w:ascii="宋体" w:hAnsi="宋体" w:cs="宋体"/>
          <w:sz w:val="24"/>
          <w:szCs w:val="24"/>
          <w:highlight w:val="none"/>
        </w:rPr>
        <w:t xml:space="preserve">投标保证金：免收</w:t>
      </w:r>
      <w:r>
        <w:rPr>
          <w:rFonts w:hint="eastAsia" w:ascii="宋体" w:hAnsi="宋体" w:cs="宋体"/>
          <w:sz w:val="24"/>
          <w:szCs w:val="24"/>
          <w:highlight w:val="none"/>
        </w:rPr>
      </w:r>
      <w:r>
        <w:rPr>
          <w:highlight w:val="none"/>
        </w:rPr>
      </w:r>
    </w:p>
    <w:p>
      <w:pPr>
        <w:pStyle w:val="955"/>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项目演示、样品、答辩等：</w:t>
      </w:r>
      <w:r>
        <w:rPr>
          <w:rFonts w:hint="eastAsia" w:ascii="宋体" w:hAnsi="宋体" w:cs="宋体"/>
          <w:sz w:val="24"/>
          <w:szCs w:val="24"/>
          <w:highlight w:val="none"/>
        </w:rPr>
        <w:t xml:space="preserve">无</w:t>
      </w:r>
      <w:r>
        <w:rPr>
          <w:rFonts w:ascii="宋体" w:hAnsi="宋体" w:cs="宋体"/>
          <w:sz w:val="24"/>
          <w:szCs w:val="24"/>
          <w:highlight w:val="none"/>
        </w:rPr>
      </w:r>
      <w:r>
        <w:rPr>
          <w:highlight w:val="none"/>
        </w:rPr>
      </w:r>
    </w:p>
    <w:p>
      <w:pPr>
        <w:pStyle w:val="955"/>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rPr>
          <w:rFonts w:hint="eastAsia" w:ascii="宋体" w:hAnsi="宋体" w:cs="宋体"/>
          <w:sz w:val="24"/>
          <w:szCs w:val="24"/>
          <w:highlight w:val="none"/>
        </w:rPr>
      </w:r>
      <w:r>
        <w:rPr>
          <w:highlight w:val="none"/>
        </w:rPr>
      </w:r>
    </w:p>
    <w:p>
      <w:pPr>
        <w:pStyle w:val="955"/>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cs="宋体"/>
          <w:sz w:val="24"/>
          <w:szCs w:val="24"/>
          <w:highlight w:val="none"/>
        </w:rPr>
      </w:r>
      <w:r>
        <w:rPr>
          <w:highlight w:val="none"/>
        </w:rPr>
      </w:r>
    </w:p>
    <w:p>
      <w:pPr>
        <w:pStyle w:val="955"/>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r>
        <w:rPr>
          <w:rFonts w:hint="eastAsia" w:ascii="宋体" w:hAnsi="宋体" w:cs="宋体"/>
          <w:sz w:val="24"/>
          <w:szCs w:val="24"/>
          <w:highlight w:val="none"/>
        </w:rPr>
      </w:r>
      <w:r>
        <w:rPr>
          <w:highlight w:val="none"/>
        </w:rPr>
      </w:r>
    </w:p>
    <w:p>
      <w:pPr>
        <w:pStyle w:val="955"/>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6.“苏采云”系统使用相关提醒</w:t>
      </w:r>
      <w:r>
        <w:rPr>
          <w:rFonts w:hint="eastAsia" w:ascii="宋体" w:hAnsi="宋体"/>
          <w:bCs/>
          <w:sz w:val="24"/>
          <w:szCs w:val="24"/>
          <w:highlight w:val="none"/>
        </w:rPr>
      </w:r>
      <w:r>
        <w:rPr>
          <w:highlight w:val="none"/>
        </w:rPr>
      </w:r>
    </w:p>
    <w:p>
      <w:pPr>
        <w:pStyle w:val="955"/>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6.1.根据省财政厅《关</w:t>
      </w:r>
      <w:r>
        <w:rPr>
          <w:rFonts w:hint="eastAsia" w:ascii="宋体" w:hAnsi="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bCs/>
          <w:sz w:val="24"/>
          <w:szCs w:val="24"/>
          <w:highlight w:val="none"/>
        </w:rPr>
      </w:r>
      <w:r>
        <w:rPr>
          <w:highlight w:val="none"/>
        </w:rPr>
      </w:r>
    </w:p>
    <w:p>
      <w:pPr>
        <w:pStyle w:val="955"/>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6.2领取CA和办理电子签章请至南通市政务服务中心裙楼四楼（南通市公共资源交中心）CA办理窗口办理，详见《江苏省政府采购数字证书(投标人) CA及电子签章办理指南》），请及时进行注册并按要求制作、上传电子投标文件。</w:t>
      </w:r>
      <w:r>
        <w:rPr>
          <w:rFonts w:hint="eastAsia" w:ascii="宋体" w:hAnsi="宋体"/>
          <w:bCs/>
          <w:sz w:val="24"/>
          <w:szCs w:val="24"/>
          <w:highlight w:val="none"/>
        </w:rPr>
      </w:r>
      <w:r>
        <w:rPr>
          <w:highlight w:val="none"/>
        </w:rPr>
      </w:r>
    </w:p>
    <w:p>
      <w:pPr>
        <w:pStyle w:val="955"/>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6.3开标当天投标人应及时登录“苏采云”不见面开标大厅，并</w:t>
      </w:r>
      <w:r>
        <w:rPr>
          <w:rFonts w:hint="eastAsia" w:ascii="宋体" w:hAnsi="宋体"/>
          <w:bCs/>
          <w:sz w:val="24"/>
          <w:szCs w:val="24"/>
          <w:highlight w:val="none"/>
        </w:rPr>
        <w:t xml:space="preserve">在规定时间内自行实施远程解密。投标人解密时间限定为响应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投标人自行承担；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highlight w:val="none"/>
        </w:rPr>
      </w:r>
      <w:r>
        <w:rPr>
          <w:highlight w:val="none"/>
        </w:rPr>
      </w:r>
    </w:p>
    <w:p>
      <w:pPr>
        <w:pStyle w:val="958"/>
        <w:spacing w:before="145" w:after="145" w:line="360" w:lineRule="auto"/>
        <w:rPr>
          <w:highlight w:val="none"/>
        </w:rPr>
      </w:pPr>
      <w:r>
        <w:rPr>
          <w:rFonts w:hint="eastAsia"/>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rPr>
          <w:highlight w:val="none"/>
        </w:rPr>
      </w:r>
    </w:p>
    <w:p>
      <w:pPr>
        <w:pStyle w:val="955"/>
        <w:contextualSpacing/>
        <w:ind w:firstLine="480"/>
        <w:spacing w:line="360" w:lineRule="auto"/>
        <w:rPr>
          <w:rFonts w:cs="宋体"/>
          <w:sz w:val="24"/>
          <w:szCs w:val="24"/>
          <w:highlight w:val="none"/>
        </w:rPr>
      </w:pPr>
      <w:r>
        <w:rPr>
          <w:highlight w:val="none"/>
        </w:rPr>
      </w:r>
      <w:bookmarkStart w:id="40" w:name="_Toc28359087"/>
      <w:r>
        <w:rPr>
          <w:highlight w:val="none"/>
        </w:rPr>
      </w:r>
      <w:bookmarkStart w:id="41" w:name="_Toc28359010"/>
      <w:r>
        <w:rPr>
          <w:rFonts w:hint="eastAsia" w:cs="宋体"/>
          <w:sz w:val="24"/>
          <w:szCs w:val="24"/>
          <w:highlight w:val="none"/>
        </w:rPr>
        <w:t xml:space="preserve">1、采购人信息</w:t>
      </w:r>
      <w:r>
        <w:rPr>
          <w:rFonts w:cs="宋体"/>
          <w:sz w:val="24"/>
          <w:szCs w:val="24"/>
          <w:highlight w:val="none"/>
        </w:rPr>
      </w:r>
      <w:r>
        <w:rPr>
          <w:highlight w:val="none"/>
        </w:rPr>
      </w:r>
    </w:p>
    <w:p>
      <w:pPr>
        <w:pStyle w:val="955"/>
        <w:ind w:firstLine="480"/>
        <w:jc w:val="left"/>
        <w:spacing w:line="360" w:lineRule="auto"/>
        <w:rPr>
          <w:bCs/>
          <w:sz w:val="24"/>
          <w:szCs w:val="24"/>
          <w:highlight w:val="none"/>
        </w:rPr>
      </w:pPr>
      <w:r>
        <w:rPr>
          <w:rFonts w:hint="eastAsia"/>
          <w:bCs/>
          <w:sz w:val="24"/>
          <w:szCs w:val="24"/>
          <w:highlight w:val="none"/>
        </w:rPr>
        <w:t xml:space="preserve">采购</w:t>
      </w:r>
      <w:r>
        <w:rPr>
          <w:rFonts w:hint="eastAsia"/>
          <w:bCs/>
          <w:sz w:val="24"/>
          <w:szCs w:val="24"/>
          <w:highlight w:val="none"/>
        </w:rPr>
        <w:t xml:space="preserve">人：南通市生态环境监测站</w:t>
      </w:r>
      <w:r>
        <w:rPr>
          <w:bCs/>
          <w:sz w:val="24"/>
          <w:szCs w:val="24"/>
          <w:highlight w:val="none"/>
        </w:rPr>
      </w:r>
      <w:r>
        <w:rPr>
          <w:highlight w:val="none"/>
        </w:rPr>
      </w:r>
    </w:p>
    <w:p>
      <w:pPr>
        <w:pStyle w:val="955"/>
        <w:ind w:firstLine="480"/>
        <w:jc w:val="left"/>
        <w:spacing w:line="360" w:lineRule="auto"/>
        <w:rPr>
          <w:bCs/>
          <w:sz w:val="24"/>
          <w:szCs w:val="24"/>
          <w:highlight w:val="none"/>
        </w:rPr>
      </w:pPr>
      <w:r>
        <w:rPr>
          <w:rFonts w:hint="eastAsia"/>
          <w:bCs/>
          <w:sz w:val="24"/>
          <w:szCs w:val="24"/>
          <w:highlight w:val="none"/>
        </w:rPr>
        <w:t xml:space="preserve">地  址：南通市通州区朝霞路99号5号楼</w:t>
      </w:r>
      <w:r>
        <w:rPr>
          <w:bCs/>
          <w:sz w:val="24"/>
          <w:szCs w:val="24"/>
          <w:highlight w:val="none"/>
        </w:rPr>
      </w:r>
      <w:r>
        <w:rPr>
          <w:highlight w:val="none"/>
        </w:rPr>
      </w:r>
    </w:p>
    <w:p>
      <w:pPr>
        <w:pStyle w:val="955"/>
        <w:ind w:firstLine="480"/>
        <w:jc w:val="left"/>
        <w:spacing w:line="360" w:lineRule="auto"/>
        <w:rPr>
          <w:bCs/>
          <w:sz w:val="24"/>
          <w:szCs w:val="24"/>
          <w:highlight w:val="none"/>
        </w:rPr>
      </w:pPr>
      <w:r>
        <w:rPr>
          <w:rFonts w:hint="eastAsia"/>
          <w:bCs/>
          <w:sz w:val="24"/>
          <w:szCs w:val="24"/>
          <w:highlight w:val="none"/>
        </w:rPr>
        <w:t xml:space="preserve">联系人：张先生</w:t>
      </w:r>
      <w:r>
        <w:rPr>
          <w:bCs/>
          <w:sz w:val="24"/>
          <w:szCs w:val="24"/>
          <w:highlight w:val="none"/>
        </w:rPr>
      </w:r>
      <w:r>
        <w:rPr>
          <w:highlight w:val="none"/>
        </w:rPr>
      </w:r>
    </w:p>
    <w:p>
      <w:pPr>
        <w:pStyle w:val="955"/>
        <w:ind w:firstLine="480"/>
        <w:jc w:val="left"/>
        <w:spacing w:line="360" w:lineRule="auto"/>
        <w:rPr>
          <w:bCs/>
          <w:sz w:val="24"/>
          <w:szCs w:val="24"/>
          <w:highlight w:val="none"/>
        </w:rPr>
      </w:pPr>
      <w:r>
        <w:rPr>
          <w:rFonts w:hint="eastAsia"/>
          <w:bCs/>
          <w:sz w:val="24"/>
          <w:szCs w:val="24"/>
          <w:highlight w:val="none"/>
        </w:rPr>
        <w:t xml:space="preserve">联系方式：</w:t>
      </w:r>
      <w:r>
        <w:rPr>
          <w:rFonts w:hint="eastAsia"/>
          <w:bCs/>
          <w:sz w:val="24"/>
          <w:szCs w:val="24"/>
          <w:highlight w:val="none"/>
          <w:lang w:val="zh-CN"/>
        </w:rPr>
        <w:t xml:space="preserve">0513-86126536</w:t>
      </w:r>
      <w:r>
        <w:rPr>
          <w:bCs/>
          <w:sz w:val="24"/>
          <w:szCs w:val="24"/>
          <w:highlight w:val="none"/>
        </w:rPr>
      </w:r>
      <w:r>
        <w:rPr>
          <w:highlight w:val="none"/>
        </w:rPr>
      </w:r>
    </w:p>
    <w:p>
      <w:pPr>
        <w:pStyle w:val="955"/>
        <w:ind w:firstLine="480"/>
        <w:jc w:val="left"/>
        <w:spacing w:line="360" w:lineRule="auto"/>
        <w:rPr>
          <w:bCs/>
          <w:sz w:val="24"/>
          <w:szCs w:val="24"/>
          <w:highlight w:val="none"/>
        </w:rPr>
      </w:pPr>
      <w:r>
        <w:rPr>
          <w:rFonts w:hint="eastAsia"/>
          <w:bCs/>
          <w:sz w:val="24"/>
          <w:szCs w:val="24"/>
          <w:highlight w:val="none"/>
        </w:rPr>
        <w:t xml:space="preserve">2、招标代理机构信息</w:t>
      </w:r>
      <w:r>
        <w:rPr>
          <w:bCs/>
          <w:sz w:val="24"/>
          <w:szCs w:val="24"/>
          <w:highlight w:val="none"/>
        </w:rPr>
      </w:r>
      <w:r>
        <w:rPr>
          <w:highlight w:val="none"/>
        </w:rPr>
      </w:r>
    </w:p>
    <w:p>
      <w:pPr>
        <w:pStyle w:val="955"/>
        <w:ind w:firstLine="480"/>
        <w:jc w:val="left"/>
        <w:spacing w:line="360" w:lineRule="auto"/>
        <w:rPr>
          <w:bCs/>
          <w:sz w:val="24"/>
          <w:szCs w:val="24"/>
          <w:highlight w:val="none"/>
        </w:rPr>
      </w:pPr>
      <w:r>
        <w:rPr>
          <w:rFonts w:hint="eastAsia"/>
          <w:bCs/>
          <w:sz w:val="24"/>
          <w:szCs w:val="24"/>
          <w:highlight w:val="none"/>
        </w:rPr>
        <w:t xml:space="preserve">名称：江苏新东方工程</w:t>
      </w:r>
      <w:r>
        <w:rPr>
          <w:rFonts w:hint="eastAsia"/>
          <w:bCs/>
          <w:sz w:val="24"/>
          <w:szCs w:val="24"/>
          <w:highlight w:val="none"/>
        </w:rPr>
        <w:t xml:space="preserve">管理咨询有限公司</w:t>
      </w:r>
      <w:r>
        <w:rPr>
          <w:bCs/>
          <w:sz w:val="24"/>
          <w:szCs w:val="24"/>
          <w:highlight w:val="none"/>
        </w:rPr>
      </w:r>
      <w:r>
        <w:rPr>
          <w:highlight w:val="none"/>
        </w:rPr>
      </w:r>
    </w:p>
    <w:p>
      <w:pPr>
        <w:pStyle w:val="955"/>
        <w:ind w:firstLine="480"/>
        <w:jc w:val="left"/>
        <w:spacing w:line="360" w:lineRule="auto"/>
        <w:rPr>
          <w:bCs/>
          <w:sz w:val="24"/>
          <w:szCs w:val="24"/>
          <w:highlight w:val="none"/>
        </w:rPr>
      </w:pPr>
      <w:r>
        <w:rPr>
          <w:rFonts w:hint="eastAsia"/>
          <w:bCs/>
          <w:sz w:val="24"/>
          <w:szCs w:val="24"/>
          <w:highlight w:val="none"/>
        </w:rPr>
        <w:t xml:space="preserve">地址：南通市崇川区外环东路12号2层南侧</w:t>
      </w:r>
      <w:r>
        <w:rPr>
          <w:bCs/>
          <w:sz w:val="24"/>
          <w:szCs w:val="24"/>
          <w:highlight w:val="none"/>
        </w:rPr>
      </w:r>
      <w:r>
        <w:rPr>
          <w:highlight w:val="none"/>
        </w:rPr>
      </w:r>
    </w:p>
    <w:p>
      <w:pPr>
        <w:pStyle w:val="955"/>
        <w:ind w:firstLine="480"/>
        <w:jc w:val="left"/>
        <w:spacing w:line="360" w:lineRule="auto"/>
        <w:rPr>
          <w:bCs/>
          <w:sz w:val="24"/>
          <w:szCs w:val="24"/>
          <w:highlight w:val="none"/>
        </w:rPr>
      </w:pPr>
      <w:r>
        <w:rPr>
          <w:rFonts w:hint="eastAsia"/>
          <w:bCs/>
          <w:sz w:val="24"/>
          <w:szCs w:val="24"/>
          <w:highlight w:val="none"/>
        </w:rPr>
        <w:t xml:space="preserve">联系方式：张女士15996553483</w:t>
      </w:r>
      <w:r>
        <w:rPr>
          <w:bCs/>
          <w:sz w:val="24"/>
          <w:szCs w:val="24"/>
          <w:highlight w:val="none"/>
        </w:rPr>
      </w:r>
      <w:r>
        <w:rPr>
          <w:highlight w:val="none"/>
        </w:rPr>
      </w:r>
    </w:p>
    <w:p>
      <w:pPr>
        <w:pStyle w:val="955"/>
        <w:ind w:firstLine="480"/>
        <w:jc w:val="left"/>
        <w:spacing w:line="360" w:lineRule="auto"/>
        <w:rPr>
          <w:bCs/>
          <w:sz w:val="24"/>
          <w:szCs w:val="24"/>
          <w:highlight w:val="none"/>
        </w:rPr>
      </w:pPr>
      <w:r>
        <w:rPr>
          <w:rFonts w:hint="eastAsia"/>
          <w:bCs/>
          <w:sz w:val="24"/>
          <w:szCs w:val="24"/>
          <w:highlight w:val="none"/>
        </w:rPr>
        <w:t xml:space="preserve">电子邮箱：</w:t>
      </w:r>
      <w:r>
        <w:rPr>
          <w:highlight w:val="none"/>
        </w:rPr>
        <w:fldChar w:fldCharType="begin"/>
      </w:r>
      <w:r>
        <w:rPr>
          <w:highlight w:val="none"/>
        </w:rPr>
        <w:instrText xml:space="preserve"> HYPERLINK "mailto:1013963231@qq.com" </w:instrText>
      </w:r>
      <w:r>
        <w:rPr>
          <w:highlight w:val="none"/>
        </w:rPr>
        <w:fldChar w:fldCharType="separate"/>
      </w:r>
      <w:r>
        <w:rPr>
          <w:rFonts w:hint="eastAsia"/>
          <w:bCs/>
          <w:sz w:val="24"/>
          <w:szCs w:val="24"/>
          <w:highlight w:val="none"/>
        </w:rPr>
        <w:t xml:space="preserve">329985170@qq.com</w:t>
      </w:r>
      <w:r>
        <w:rPr>
          <w:rFonts w:hint="eastAsia"/>
          <w:bCs/>
          <w:sz w:val="24"/>
          <w:szCs w:val="24"/>
          <w:highlight w:val="none"/>
        </w:rPr>
        <w:fldChar w:fldCharType="end"/>
      </w:r>
      <w:r>
        <w:rPr>
          <w:bCs/>
          <w:sz w:val="24"/>
          <w:szCs w:val="24"/>
          <w:highlight w:val="none"/>
        </w:rPr>
      </w:r>
      <w:r>
        <w:rPr>
          <w:highlight w:val="none"/>
        </w:rPr>
      </w:r>
    </w:p>
    <w:p>
      <w:pPr>
        <w:pStyle w:val="955"/>
        <w:contextualSpacing/>
        <w:ind w:firstLine="480"/>
        <w:spacing w:line="360" w:lineRule="auto"/>
        <w:rPr>
          <w:rFonts w:cs="宋体"/>
          <w:sz w:val="24"/>
          <w:szCs w:val="24"/>
          <w:highlight w:val="none"/>
        </w:rPr>
      </w:pPr>
      <w:r>
        <w:rPr>
          <w:rFonts w:hint="eastAsia" w:cs="宋体"/>
          <w:sz w:val="24"/>
          <w:szCs w:val="24"/>
          <w:highlight w:val="none"/>
        </w:rPr>
        <w:t xml:space="preserve">3、项目联系方式</w:t>
      </w:r>
      <w:r>
        <w:rPr>
          <w:rFonts w:cs="宋体"/>
          <w:sz w:val="24"/>
          <w:szCs w:val="24"/>
          <w:highlight w:val="none"/>
        </w:rPr>
      </w:r>
      <w:r>
        <w:rPr>
          <w:highlight w:val="none"/>
        </w:rPr>
      </w:r>
    </w:p>
    <w:p>
      <w:pPr>
        <w:pStyle w:val="955"/>
        <w:ind w:firstLine="480"/>
        <w:spacing w:line="360" w:lineRule="auto"/>
        <w:rPr>
          <w:rFonts w:cs="宋体"/>
          <w:sz w:val="24"/>
          <w:szCs w:val="24"/>
          <w:highlight w:val="none"/>
        </w:rPr>
      </w:pPr>
      <w:r>
        <w:rPr>
          <w:rFonts w:hint="eastAsia" w:cs="宋体"/>
          <w:bCs/>
          <w:sz w:val="24"/>
          <w:szCs w:val="24"/>
          <w:highlight w:val="none"/>
        </w:rPr>
        <w:t xml:space="preserve">项目联系人：</w:t>
      </w:r>
      <w:r>
        <w:rPr>
          <w:rFonts w:hint="eastAsia" w:cs="宋体"/>
          <w:sz w:val="24"/>
          <w:szCs w:val="24"/>
          <w:highlight w:val="none"/>
        </w:rPr>
        <w:t xml:space="preserve">张女士</w:t>
      </w:r>
      <w:r>
        <w:rPr>
          <w:rFonts w:cs="宋体"/>
          <w:sz w:val="24"/>
          <w:szCs w:val="24"/>
          <w:highlight w:val="none"/>
        </w:rPr>
      </w:r>
      <w:r>
        <w:rPr>
          <w:highlight w:val="none"/>
        </w:rPr>
      </w:r>
    </w:p>
    <w:p>
      <w:pPr>
        <w:pStyle w:val="955"/>
        <w:ind w:firstLine="480"/>
        <w:spacing w:line="360" w:lineRule="auto"/>
        <w:rPr>
          <w:rFonts w:cs="宋体"/>
          <w:sz w:val="24"/>
          <w:szCs w:val="22"/>
          <w:highlight w:val="none"/>
        </w:rPr>
      </w:pPr>
      <w:r>
        <w:rPr>
          <w:rFonts w:hint="eastAsia" w:cs="宋体"/>
          <w:sz w:val="24"/>
          <w:szCs w:val="24"/>
          <w:highlight w:val="none"/>
        </w:rPr>
        <w:t xml:space="preserve">电话：0513-85679898</w:t>
      </w:r>
      <w:r>
        <w:rPr>
          <w:rFonts w:cs="宋体"/>
          <w:sz w:val="24"/>
          <w:szCs w:val="22"/>
          <w:highlight w:val="none"/>
        </w:rPr>
      </w:r>
      <w:r>
        <w:rPr>
          <w:highlight w:val="none"/>
        </w:rPr>
      </w:r>
    </w:p>
    <w:p>
      <w:pPr>
        <w:pStyle w:val="955"/>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3.软件技术支持：0519-86722801</w:t>
      </w:r>
      <w:r>
        <w:rPr>
          <w:rFonts w:hint="eastAsia" w:ascii="宋体" w:hAnsi="宋体"/>
          <w:sz w:val="24"/>
          <w:szCs w:val="24"/>
          <w:highlight w:val="none"/>
        </w:rPr>
      </w:r>
      <w:r>
        <w:rPr>
          <w:highlight w:val="none"/>
        </w:rPr>
      </w:r>
    </w:p>
    <w:p>
      <w:pPr>
        <w:pStyle w:val="955"/>
        <w:ind w:firstLine="480"/>
        <w:jc w:val="left"/>
        <w:spacing w:line="480" w:lineRule="exact"/>
        <w:shd w:val="clear" w:color="auto" w:fill="ffffff"/>
        <w:widowControl/>
        <w:rPr>
          <w:rFonts w:hint="eastAsia" w:ascii="宋体" w:hAnsi="宋体"/>
          <w:sz w:val="24"/>
          <w:highlight w:val="none"/>
        </w:rPr>
      </w:pPr>
      <w:r>
        <w:rPr>
          <w:rFonts w:hint="eastAsia" w:ascii="宋体" w:hAnsi="宋体"/>
          <w:sz w:val="24"/>
          <w:szCs w:val="24"/>
          <w:highlight w:val="none"/>
        </w:rPr>
        <w:t xml:space="preserve"> 那家铭: 0513-59001950</w:t>
      </w:r>
      <w:bookmarkEnd w:id="40"/>
      <w:r>
        <w:rPr>
          <w:highlight w:val="none"/>
        </w:rPr>
      </w:r>
      <w:bookmarkEnd w:id="41"/>
      <w:r>
        <w:rPr>
          <w:rFonts w:hint="eastAsia" w:ascii="宋体" w:hAnsi="宋体"/>
          <w:sz w:val="24"/>
          <w:highlight w:val="none"/>
        </w:rPr>
      </w:r>
      <w:r>
        <w:rPr>
          <w:highlight w:val="none"/>
        </w:rPr>
      </w:r>
    </w:p>
    <w:p>
      <w:pPr>
        <w:pStyle w:val="955"/>
        <w:ind w:right="840"/>
        <w:rPr>
          <w:rFonts w:hint="eastAsia" w:ascii="宋体" w:hAnsi="宋体"/>
          <w:sz w:val="24"/>
          <w:szCs w:val="24"/>
          <w:highlight w:val="none"/>
        </w:rPr>
      </w:pPr>
      <w:r>
        <w:rPr>
          <w:rFonts w:hint="eastAsia" w:ascii="宋体" w:hAnsi="宋体"/>
          <w:sz w:val="24"/>
          <w:szCs w:val="24"/>
          <w:highlight w:val="none"/>
        </w:rPr>
      </w:r>
      <w:r>
        <w:rPr>
          <w:highlight w:val="none"/>
        </w:rPr>
      </w:r>
    </w:p>
    <w:p>
      <w:pPr>
        <w:pStyle w:val="1022"/>
        <w:ind w:firstLine="0"/>
        <w:jc w:val="center"/>
        <w:rPr>
          <w:rFonts w:hint="eastAsia" w:ascii="黑体" w:eastAsia="黑体"/>
          <w:b/>
          <w:bCs/>
          <w:highlight w:val="none"/>
        </w:rPr>
        <w:outlineLvl w:val="0"/>
      </w:pPr>
      <w:r>
        <w:rPr>
          <w:rFonts w:hint="eastAsia" w:ascii="宋体" w:hAnsi="宋体"/>
          <w:sz w:val="24"/>
          <w:szCs w:val="24"/>
          <w:highlight w:val="none"/>
        </w:rPr>
        <w:br w:type="page" w:clear="all"/>
      </w:r>
      <w:bookmarkStart w:id="42" w:name="_Toc120614211"/>
      <w:r>
        <w:rPr>
          <w:rFonts w:hint="eastAsia" w:ascii="黑体" w:eastAsia="黑体"/>
          <w:sz w:val="44"/>
          <w:szCs w:val="44"/>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2"/>
      <w:r>
        <w:rPr>
          <w:highlight w:val="none"/>
        </w:rPr>
      </w:r>
      <w:bookmarkStart w:id="43" w:name="_Toc16938518"/>
      <w:r>
        <w:rPr>
          <w:highlight w:val="none"/>
        </w:rPr>
      </w:r>
      <w:bookmarkStart w:id="44" w:name="_Toc513029202"/>
      <w:r>
        <w:rPr>
          <w:highlight w:val="none"/>
        </w:rPr>
      </w:r>
      <w:bookmarkStart w:id="45" w:name="_Toc120614213"/>
      <w:r>
        <w:rPr>
          <w:highlight w:val="none"/>
        </w:rPr>
      </w:r>
      <w:bookmarkStart w:id="46" w:name="_Toc20823274"/>
      <w:r>
        <w:rPr>
          <w:rFonts w:hint="eastAsia" w:ascii="黑体" w:eastAsia="黑体"/>
          <w:sz w:val="44"/>
          <w:szCs w:val="44"/>
          <w:highlight w:val="none"/>
        </w:rPr>
        <w:t xml:space="preserve">投标人须知</w:t>
      </w:r>
      <w:bookmarkEnd w:id="43"/>
      <w:r>
        <w:rPr>
          <w:highlight w:val="none"/>
        </w:rPr>
      </w:r>
      <w:bookmarkEnd w:id="44"/>
      <w:r>
        <w:rPr>
          <w:highlight w:val="none"/>
        </w:rPr>
      </w:r>
      <w:bookmarkEnd w:id="45"/>
      <w:r>
        <w:rPr>
          <w:highlight w:val="none"/>
        </w:rPr>
      </w:r>
      <w:bookmarkEnd w:id="46"/>
      <w:r>
        <w:rPr>
          <w:rFonts w:hint="eastAsia" w:ascii="黑体" w:eastAsia="黑体"/>
          <w:b/>
          <w:bCs/>
          <w:highlight w:val="none"/>
        </w:rPr>
      </w:r>
      <w:r>
        <w:rPr>
          <w:highlight w:val="none"/>
        </w:rPr>
      </w:r>
    </w:p>
    <w:p>
      <w:pPr>
        <w:pStyle w:val="958"/>
        <w:spacing w:before="145" w:after="145" w:line="360" w:lineRule="auto"/>
        <w:rPr>
          <w:rFonts w:hint="eastAsia"/>
          <w:highlight w:val="none"/>
        </w:rPr>
      </w:pPr>
      <w:r>
        <w:rPr>
          <w:highlight w:val="none"/>
        </w:rPr>
      </w:r>
      <w:bookmarkStart w:id="47" w:name="_Toc513029203"/>
      <w:r>
        <w:rPr>
          <w:highlight w:val="none"/>
        </w:rPr>
      </w:r>
      <w:bookmarkStart w:id="48" w:name="_Toc16938519"/>
      <w:r>
        <w:rPr>
          <w:highlight w:val="none"/>
        </w:rPr>
      </w:r>
      <w:bookmarkStart w:id="49" w:name="_Toc20823275"/>
      <w:r>
        <w:rPr>
          <w:highlight w:val="none"/>
        </w:rPr>
      </w:r>
      <w:bookmarkStart w:id="50" w:name="_Toc120614214"/>
      <w:r>
        <w:rPr>
          <w:rFonts w:hint="eastAsia"/>
          <w:highlight w:val="none"/>
        </w:rPr>
        <w:t xml:space="preserve">一、总则</w:t>
      </w:r>
      <w:bookmarkEnd w:id="47"/>
      <w:r>
        <w:rPr>
          <w:highlight w:val="none"/>
        </w:rPr>
      </w:r>
      <w:bookmarkEnd w:id="48"/>
      <w:r>
        <w:rPr>
          <w:highlight w:val="none"/>
        </w:rPr>
      </w:r>
      <w:bookmarkEnd w:id="49"/>
      <w:r>
        <w:rPr>
          <w:highlight w:val="none"/>
        </w:rPr>
      </w:r>
      <w:bookmarkEnd w:id="50"/>
      <w:r>
        <w:rPr>
          <w:rFonts w:hint="eastAsia"/>
          <w:highlight w:val="none"/>
        </w:rPr>
      </w:r>
      <w:r>
        <w:rPr>
          <w:highlight w:val="none"/>
        </w:rPr>
      </w:r>
    </w:p>
    <w:p>
      <w:pPr>
        <w:pStyle w:val="959"/>
        <w:spacing w:before="0" w:after="0" w:line="240" w:lineRule="auto"/>
        <w:rPr>
          <w:rFonts w:hint="eastAsia"/>
          <w:b w:val="0"/>
          <w:bCs w:val="0"/>
          <w:highlight w:val="none"/>
        </w:rPr>
      </w:pPr>
      <w:r>
        <w:rPr>
          <w:highlight w:val="none"/>
        </w:rPr>
      </w:r>
      <w:bookmarkStart w:id="51" w:name="_Hlt16619475"/>
      <w:r>
        <w:rPr>
          <w:highlight w:val="none"/>
        </w:rPr>
      </w:r>
      <w:bookmarkEnd w:id="51"/>
      <w:r>
        <w:rPr>
          <w:highlight w:val="none"/>
        </w:rPr>
      </w:r>
      <w:bookmarkStart w:id="52" w:name="_Toc458694821"/>
      <w:r>
        <w:rPr>
          <w:highlight w:val="none"/>
        </w:rPr>
      </w:r>
      <w:bookmarkStart w:id="53" w:name="_Toc16938520"/>
      <w:r>
        <w:rPr>
          <w:highlight w:val="none"/>
        </w:rPr>
      </w:r>
      <w:bookmarkStart w:id="54" w:name="_Toc513029204"/>
      <w:r>
        <w:rPr>
          <w:highlight w:val="none"/>
        </w:rPr>
      </w:r>
      <w:bookmarkStart w:id="55" w:name="_Toc20823276"/>
      <w:r>
        <w:rPr>
          <w:rFonts w:hint="eastAsia"/>
          <w:b w:val="0"/>
          <w:bCs w:val="0"/>
          <w:highlight w:val="none"/>
        </w:rPr>
        <w:t xml:space="preserve">1</w:t>
      </w:r>
      <w:bookmarkEnd w:id="52"/>
      <w:r>
        <w:rPr>
          <w:rFonts w:hint="eastAsia"/>
          <w:b w:val="0"/>
          <w:bCs w:val="0"/>
          <w:highlight w:val="none"/>
        </w:rPr>
        <w:t xml:space="preserve">、招标方式</w:t>
      </w:r>
      <w:bookmarkEnd w:id="53"/>
      <w:r>
        <w:rPr>
          <w:highlight w:val="none"/>
        </w:rPr>
      </w:r>
      <w:bookmarkEnd w:id="54"/>
      <w:r>
        <w:rPr>
          <w:highlight w:val="none"/>
        </w:rPr>
      </w:r>
      <w:bookmarkEnd w:id="55"/>
      <w:r>
        <w:rPr>
          <w:rFonts w:hint="eastAsia"/>
          <w:b w:val="0"/>
          <w:bCs w:val="0"/>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rPr>
          <w:highlight w:val="none"/>
        </w:rPr>
      </w:r>
    </w:p>
    <w:p>
      <w:pPr>
        <w:pStyle w:val="959"/>
        <w:spacing w:before="0" w:after="0" w:line="240" w:lineRule="auto"/>
        <w:rPr>
          <w:rFonts w:hint="eastAsia"/>
          <w:b w:val="0"/>
          <w:bCs w:val="0"/>
          <w:highlight w:val="none"/>
        </w:rPr>
      </w:pPr>
      <w:r>
        <w:rPr>
          <w:highlight w:val="none"/>
        </w:rPr>
      </w:r>
      <w:bookmarkStart w:id="56" w:name="_Toc16938521"/>
      <w:r>
        <w:rPr>
          <w:highlight w:val="none"/>
        </w:rPr>
      </w:r>
      <w:bookmarkStart w:id="57" w:name="_Toc20823277"/>
      <w:r>
        <w:rPr>
          <w:highlight w:val="none"/>
        </w:rPr>
      </w:r>
      <w:bookmarkStart w:id="58" w:name="_Toc513029205"/>
      <w:r>
        <w:rPr>
          <w:rFonts w:hint="eastAsia"/>
          <w:b w:val="0"/>
          <w:bCs w:val="0"/>
          <w:highlight w:val="none"/>
        </w:rPr>
        <w:t xml:space="preserve">2、合格的</w:t>
      </w:r>
      <w:bookmarkEnd w:id="56"/>
      <w:r>
        <w:rPr>
          <w:highlight w:val="none"/>
        </w:rPr>
      </w:r>
      <w:bookmarkEnd w:id="57"/>
      <w:r>
        <w:rPr>
          <w:highlight w:val="none"/>
        </w:rPr>
      </w:r>
      <w:bookmarkEnd w:id="58"/>
      <w:r>
        <w:rPr>
          <w:rFonts w:hint="eastAsia"/>
          <w:b w:val="0"/>
          <w:bCs w:val="0"/>
          <w:highlight w:val="none"/>
        </w:rPr>
        <w:t xml:space="preserve">投标人</w:t>
      </w:r>
      <w:r>
        <w:rPr>
          <w:rFonts w:hint="eastAsia"/>
          <w:b w:val="0"/>
          <w:bCs w:val="0"/>
          <w:highlight w:val="none"/>
        </w:rPr>
      </w:r>
      <w:r>
        <w:rPr>
          <w:highlight w:val="none"/>
        </w:rPr>
      </w:r>
    </w:p>
    <w:p>
      <w:pPr>
        <w:pStyle w:val="955"/>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2.1满足招标公告中投标人的资格要求的规定。</w:t>
      </w:r>
      <w:r>
        <w:rPr>
          <w:rFonts w:hint="eastAsia" w:ascii="宋体" w:hAnsi="宋体"/>
          <w:sz w:val="24"/>
          <w:szCs w:val="24"/>
          <w:highlight w:val="none"/>
        </w:rPr>
      </w:r>
      <w:r>
        <w:rPr>
          <w:highlight w:val="none"/>
        </w:rPr>
      </w:r>
    </w:p>
    <w:p>
      <w:pPr>
        <w:pStyle w:val="955"/>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rPr>
          <w:rFonts w:hint="eastAsia" w:ascii="宋体" w:hAnsi="宋体"/>
          <w:sz w:val="24"/>
          <w:szCs w:val="24"/>
          <w:highlight w:val="none"/>
        </w:rPr>
      </w:r>
      <w:r>
        <w:rPr>
          <w:highlight w:val="none"/>
        </w:rPr>
      </w:r>
    </w:p>
    <w:p>
      <w:pPr>
        <w:pStyle w:val="959"/>
        <w:spacing w:before="0" w:after="0" w:line="240" w:lineRule="auto"/>
        <w:rPr>
          <w:rFonts w:hint="eastAsia"/>
          <w:b w:val="0"/>
          <w:bCs w:val="0"/>
          <w:highlight w:val="none"/>
        </w:rPr>
      </w:pPr>
      <w:r>
        <w:rPr>
          <w:highlight w:val="none"/>
        </w:rPr>
      </w:r>
      <w:bookmarkStart w:id="59" w:name="_Toc20823278"/>
      <w:r>
        <w:rPr>
          <w:highlight w:val="none"/>
        </w:rPr>
      </w:r>
      <w:bookmarkStart w:id="60" w:name="_Toc16938522"/>
      <w:r>
        <w:rPr>
          <w:highlight w:val="none"/>
        </w:rPr>
      </w:r>
      <w:bookmarkStart w:id="61" w:name="_Toc513029206"/>
      <w:r>
        <w:rPr>
          <w:rFonts w:hint="eastAsia"/>
          <w:b w:val="0"/>
          <w:bCs w:val="0"/>
          <w:highlight w:val="none"/>
        </w:rPr>
        <w:t xml:space="preserve">3、适用法律</w:t>
      </w:r>
      <w:bookmarkEnd w:id="59"/>
      <w:r>
        <w:rPr>
          <w:highlight w:val="none"/>
        </w:rPr>
      </w:r>
      <w:bookmarkEnd w:id="60"/>
      <w:r>
        <w:rPr>
          <w:highlight w:val="none"/>
        </w:rPr>
      </w:r>
      <w:bookmarkEnd w:id="61"/>
      <w:r>
        <w:rPr>
          <w:rFonts w:hint="eastAsia"/>
          <w:b w:val="0"/>
          <w:bCs w:val="0"/>
          <w:highlight w:val="none"/>
        </w:rPr>
      </w:r>
      <w:r>
        <w:rPr>
          <w:highlight w:val="none"/>
        </w:rPr>
      </w:r>
    </w:p>
    <w:p>
      <w:pPr>
        <w:pStyle w:val="955"/>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rPr>
          <w:highlight w:val="none"/>
        </w:rPr>
      </w:r>
    </w:p>
    <w:p>
      <w:pPr>
        <w:pStyle w:val="959"/>
        <w:spacing w:before="0" w:after="0" w:line="240" w:lineRule="auto"/>
        <w:rPr>
          <w:rFonts w:hint="eastAsia"/>
          <w:b w:val="0"/>
          <w:bCs w:val="0"/>
          <w:highlight w:val="none"/>
        </w:rPr>
      </w:pPr>
      <w:r>
        <w:rPr>
          <w:highlight w:val="none"/>
        </w:rPr>
      </w:r>
      <w:bookmarkStart w:id="62" w:name="_Toc20823279"/>
      <w:r>
        <w:rPr>
          <w:highlight w:val="none"/>
        </w:rPr>
      </w:r>
      <w:bookmarkStart w:id="63" w:name="_Toc16938523"/>
      <w:r>
        <w:rPr>
          <w:highlight w:val="none"/>
        </w:rPr>
      </w:r>
      <w:bookmarkStart w:id="64" w:name="_Toc462564067"/>
      <w:r>
        <w:rPr>
          <w:highlight w:val="none"/>
        </w:rPr>
      </w:r>
      <w:bookmarkStart w:id="65" w:name="_Toc513029207"/>
      <w:r>
        <w:rPr>
          <w:rFonts w:hint="eastAsia"/>
          <w:b w:val="0"/>
          <w:bCs w:val="0"/>
          <w:highlight w:val="none"/>
        </w:rPr>
        <w:t xml:space="preserve">4、投标费用</w:t>
      </w:r>
      <w:bookmarkEnd w:id="62"/>
      <w:r>
        <w:rPr>
          <w:highlight w:val="none"/>
        </w:rPr>
      </w:r>
      <w:bookmarkEnd w:id="63"/>
      <w:r>
        <w:rPr>
          <w:highlight w:val="none"/>
        </w:rPr>
      </w:r>
      <w:bookmarkEnd w:id="64"/>
      <w:r>
        <w:rPr>
          <w:highlight w:val="none"/>
        </w:rPr>
      </w:r>
      <w:bookmarkEnd w:id="65"/>
      <w:r>
        <w:rPr>
          <w:rFonts w:hint="eastAsia"/>
          <w:b w:val="0"/>
          <w:bCs w:val="0"/>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w:t>
      </w:r>
      <w:r>
        <w:rPr>
          <w:rFonts w:hint="eastAsia" w:ascii="宋体" w:hAnsi="宋体" w:cs="宋体"/>
          <w:sz w:val="24"/>
          <w:szCs w:val="24"/>
          <w:highlight w:val="none"/>
        </w:rPr>
        <w:t xml:space="preserve">江苏新东方工程管理咨询有限公司</w:t>
      </w:r>
      <w:r>
        <w:rPr>
          <w:rFonts w:hint="eastAsia" w:ascii="宋体" w:hAnsi="宋体"/>
          <w:sz w:val="24"/>
          <w:highlight w:val="none"/>
        </w:rPr>
        <w:t xml:space="preserve">（以下简称采购代理机构）在任何情况下均无义务和责任承担这些费用。</w:t>
      </w:r>
      <w:r>
        <w:rPr>
          <w:rFonts w:hint="eastAsia" w:ascii="宋体" w:hAnsi="宋体"/>
          <w:sz w:val="24"/>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sz w:val="24"/>
          <w:highlight w:val="none"/>
        </w:rPr>
        <w:t xml:space="preserve">4.2本次招标采购代理机构和采购人不收取标书工本费与中标服务费。</w:t>
      </w:r>
      <w:r>
        <w:rPr>
          <w:rFonts w:hint="eastAsia" w:ascii="宋体" w:hAnsi="宋体"/>
          <w:sz w:val="24"/>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sz w:val="24"/>
          <w:highlight w:val="none"/>
        </w:rPr>
        <w:t xml:space="preserve">4.3本项目招标代理服务费</w:t>
      </w:r>
      <w:r>
        <w:rPr>
          <w:rFonts w:hint="eastAsia" w:ascii="宋体" w:hAnsi="宋体"/>
          <w:color w:val="ff0000"/>
          <w:sz w:val="24"/>
          <w:highlight w:val="none"/>
          <w:u w:val="single"/>
        </w:rPr>
        <w:t xml:space="preserve">4000元</w:t>
      </w:r>
      <w:r>
        <w:rPr>
          <w:rFonts w:hint="eastAsia" w:ascii="宋体" w:hAnsi="宋体"/>
          <w:sz w:val="24"/>
          <w:highlight w:val="none"/>
        </w:rPr>
        <w:t xml:space="preserve">，由中标人支付。</w:t>
      </w:r>
      <w:r>
        <w:rPr>
          <w:rFonts w:hint="eastAsia" w:ascii="宋体" w:hAnsi="宋体"/>
          <w:sz w:val="24"/>
          <w:highlight w:val="none"/>
        </w:rPr>
      </w:r>
      <w:r>
        <w:rPr>
          <w:highlight w:val="none"/>
        </w:rPr>
      </w:r>
    </w:p>
    <w:p>
      <w:pPr>
        <w:pStyle w:val="959"/>
        <w:spacing w:before="0" w:after="0" w:line="48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rFonts w:hint="eastAsia" w:ascii="黑体" w:hAnsi="宋体"/>
          <w:b w:val="0"/>
          <w:bCs w:val="0"/>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rPr>
          <w:highlight w:val="none"/>
        </w:rPr>
      </w:r>
    </w:p>
    <w:p>
      <w:pPr>
        <w:pStyle w:val="958"/>
        <w:spacing w:before="145" w:after="145" w:line="360" w:lineRule="auto"/>
        <w:rPr>
          <w:rFonts w:hint="eastAsia"/>
          <w:highlight w:val="none"/>
        </w:rPr>
      </w:pPr>
      <w:r>
        <w:rPr>
          <w:highlight w:val="none"/>
        </w:rPr>
      </w:r>
      <w:bookmarkStart w:id="66" w:name="_Toc513029209"/>
      <w:r>
        <w:rPr>
          <w:highlight w:val="none"/>
        </w:rPr>
      </w:r>
      <w:bookmarkStart w:id="67" w:name="_Toc16938525"/>
      <w:r>
        <w:rPr>
          <w:highlight w:val="none"/>
        </w:rPr>
      </w:r>
      <w:bookmarkStart w:id="68" w:name="_Toc120614215"/>
      <w:r>
        <w:rPr>
          <w:highlight w:val="none"/>
        </w:rPr>
      </w:r>
      <w:bookmarkStart w:id="69" w:name="_Toc20823281"/>
      <w:r>
        <w:rPr>
          <w:rFonts w:hint="eastAsia"/>
          <w:highlight w:val="none"/>
        </w:rPr>
        <w:t xml:space="preserve">二、招标文件</w:t>
      </w:r>
      <w:bookmarkEnd w:id="66"/>
      <w:r>
        <w:rPr>
          <w:highlight w:val="none"/>
        </w:rPr>
      </w:r>
      <w:bookmarkEnd w:id="67"/>
      <w:r>
        <w:rPr>
          <w:highlight w:val="none"/>
        </w:rPr>
      </w:r>
      <w:bookmarkEnd w:id="68"/>
      <w:r>
        <w:rPr>
          <w:highlight w:val="none"/>
        </w:rPr>
      </w:r>
      <w:bookmarkEnd w:id="69"/>
      <w:r>
        <w:rPr>
          <w:rFonts w:hint="eastAsia"/>
          <w:highlight w:val="none"/>
        </w:rPr>
      </w:r>
      <w:r>
        <w:rPr>
          <w:highlight w:val="none"/>
        </w:rPr>
      </w:r>
    </w:p>
    <w:p>
      <w:pPr>
        <w:pStyle w:val="959"/>
        <w:spacing w:before="0" w:after="0" w:line="240" w:lineRule="auto"/>
        <w:rPr>
          <w:rFonts w:hint="eastAsia"/>
          <w:b w:val="0"/>
          <w:bCs w:val="0"/>
          <w:highlight w:val="none"/>
        </w:rPr>
      </w:pPr>
      <w:r>
        <w:rPr>
          <w:highlight w:val="none"/>
        </w:rPr>
      </w:r>
      <w:bookmarkStart w:id="70" w:name="_Toc16938526"/>
      <w:r>
        <w:rPr>
          <w:highlight w:val="none"/>
        </w:rPr>
      </w:r>
      <w:bookmarkStart w:id="71" w:name="_Toc513029210"/>
      <w:r>
        <w:rPr>
          <w:highlight w:val="none"/>
        </w:rPr>
      </w:r>
      <w:bookmarkStart w:id="72" w:name="_Toc20823282"/>
      <w:r>
        <w:rPr>
          <w:rFonts w:hint="eastAsia"/>
          <w:b w:val="0"/>
          <w:bCs w:val="0"/>
          <w:highlight w:val="none"/>
        </w:rPr>
        <w:t xml:space="preserve">6、招标文件构成</w:t>
      </w:r>
      <w:bookmarkEnd w:id="70"/>
      <w:r>
        <w:rPr>
          <w:highlight w:val="none"/>
        </w:rPr>
      </w:r>
      <w:bookmarkEnd w:id="71"/>
      <w:r>
        <w:rPr>
          <w:highlight w:val="none"/>
        </w:rPr>
      </w:r>
      <w:bookmarkEnd w:id="72"/>
      <w:r>
        <w:rPr>
          <w:rFonts w:hint="eastAsia"/>
          <w:b w:val="0"/>
          <w:bCs w:val="0"/>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rFonts w:hint="eastAsia" w:ascii="宋体" w:hAnsi="宋体"/>
          <w:sz w:val="24"/>
          <w:highlight w:val="none"/>
        </w:rPr>
      </w:r>
      <w:r>
        <w:rPr>
          <w:highlight w:val="none"/>
        </w:rPr>
      </w:r>
    </w:p>
    <w:p>
      <w:pPr>
        <w:pStyle w:val="95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sz w:val="24"/>
          <w:szCs w:val="24"/>
          <w:highlight w:val="none"/>
        </w:rPr>
      </w:r>
      <w:r>
        <w:rPr>
          <w:highlight w:val="none"/>
        </w:rPr>
      </w:r>
    </w:p>
    <w:p>
      <w:pPr>
        <w:pStyle w:val="95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rPr>
          <w:highlight w:val="none"/>
        </w:rPr>
      </w:r>
    </w:p>
    <w:p>
      <w:pPr>
        <w:pStyle w:val="95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rPr>
          <w:highlight w:val="none"/>
        </w:rPr>
      </w:r>
    </w:p>
    <w:p>
      <w:pPr>
        <w:pStyle w:val="95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rPr>
          <w:highlight w:val="none"/>
        </w:rPr>
      </w:r>
    </w:p>
    <w:p>
      <w:pPr>
        <w:pStyle w:val="95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rPr>
          <w:rFonts w:hint="eastAsia" w:ascii="宋体" w:hAnsi="宋体"/>
          <w:sz w:val="24"/>
          <w:szCs w:val="24"/>
          <w:highlight w:val="none"/>
        </w:rPr>
      </w:r>
      <w:r>
        <w:rPr>
          <w:highlight w:val="none"/>
        </w:rPr>
      </w:r>
    </w:p>
    <w:p>
      <w:pPr>
        <w:pStyle w:val="95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rFonts w:hint="eastAsia" w:ascii="宋体" w:hAnsi="宋体"/>
          <w:sz w:val="24"/>
          <w:szCs w:val="24"/>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请仔细检查招标文件是否齐全，如有缺漏请立即与采购代理机构联系解决。</w:t>
      </w:r>
      <w:r>
        <w:rPr>
          <w:rFonts w:hint="eastAsia" w:ascii="宋体" w:hAnsi="宋体"/>
          <w:sz w:val="24"/>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rPr>
          <w:highlight w:val="none"/>
        </w:rPr>
      </w:r>
    </w:p>
    <w:p>
      <w:pPr>
        <w:pStyle w:val="959"/>
        <w:spacing w:before="0" w:after="0" w:line="240" w:lineRule="auto"/>
        <w:rPr>
          <w:rFonts w:hint="eastAsia"/>
          <w:b w:val="0"/>
          <w:bCs w:val="0"/>
          <w:highlight w:val="none"/>
        </w:rPr>
      </w:pPr>
      <w:r>
        <w:rPr>
          <w:highlight w:val="none"/>
        </w:rPr>
      </w:r>
      <w:bookmarkStart w:id="73" w:name="_Toc20823283"/>
      <w:r>
        <w:rPr>
          <w:highlight w:val="none"/>
        </w:rPr>
      </w:r>
      <w:bookmarkStart w:id="74" w:name="_Toc513029211"/>
      <w:r>
        <w:rPr>
          <w:highlight w:val="none"/>
        </w:rPr>
      </w:r>
      <w:bookmarkStart w:id="75" w:name="_Toc462564070"/>
      <w:r>
        <w:rPr>
          <w:highlight w:val="none"/>
        </w:rPr>
      </w:r>
      <w:bookmarkStart w:id="76" w:name="_Toc16938527"/>
      <w:r>
        <w:rPr>
          <w:rFonts w:hint="eastAsia"/>
          <w:b w:val="0"/>
          <w:bCs w:val="0"/>
          <w:highlight w:val="none"/>
        </w:rPr>
        <w:t xml:space="preserve">7、招标文件的澄清</w:t>
      </w:r>
      <w:bookmarkEnd w:id="73"/>
      <w:r>
        <w:rPr>
          <w:highlight w:val="none"/>
        </w:rPr>
      </w:r>
      <w:bookmarkEnd w:id="74"/>
      <w:r>
        <w:rPr>
          <w:highlight w:val="none"/>
        </w:rPr>
      </w:r>
      <w:bookmarkEnd w:id="75"/>
      <w:r>
        <w:rPr>
          <w:highlight w:val="none"/>
        </w:rPr>
      </w:r>
      <w:bookmarkEnd w:id="76"/>
      <w:r>
        <w:rPr>
          <w:rFonts w:hint="eastAsia"/>
          <w:b w:val="0"/>
          <w:bCs w:val="0"/>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highlight w:val="none"/>
        </w:rPr>
        <w:t xml:space="preserve"> 任何要求对招标文件进行澄清的投标人，应在投标截止期</w:t>
      </w:r>
      <w:r>
        <w:rPr>
          <w:rFonts w:hint="eastAsia" w:ascii="方正仿宋_GB2312" w:hAnsi="方正仿宋_GB2312"/>
          <w:b/>
          <w:sz w:val="24"/>
          <w:szCs w:val="24"/>
          <w:highlight w:val="none"/>
        </w:rPr>
        <w:t xml:space="preserve">十日</w:t>
      </w:r>
      <w:r>
        <w:rPr>
          <w:rFonts w:hint="eastAsia" w:ascii="方正仿宋_GB2312" w:hAnsi="方正仿宋_GB2312"/>
          <w:sz w:val="24"/>
          <w:szCs w:val="24"/>
          <w:highlight w:val="none"/>
        </w:rPr>
        <w:t xml:space="preserve">前</w:t>
      </w:r>
      <w:r>
        <w:rPr>
          <w:rFonts w:hint="eastAsia" w:ascii="宋体" w:hAnsi="宋体"/>
          <w:sz w:val="24"/>
          <w:highlight w:val="none"/>
        </w:rPr>
        <w:t xml:space="preserve">按招标公告中的通讯地址，以书面形式通知采购代理机构。采购人有权对发出的招标文件进行必要的澄清或修改。</w:t>
      </w:r>
      <w:r>
        <w:rPr>
          <w:rFonts w:hint="eastAsia" w:ascii="宋体" w:hAnsi="宋体"/>
          <w:sz w:val="24"/>
          <w:szCs w:val="24"/>
          <w:highlight w:val="none"/>
        </w:rPr>
      </w:r>
      <w:r>
        <w:rPr>
          <w:highlight w:val="none"/>
        </w:rPr>
      </w:r>
    </w:p>
    <w:p>
      <w:pPr>
        <w:pStyle w:val="959"/>
        <w:spacing w:before="0" w:after="0" w:line="240" w:lineRule="auto"/>
        <w:rPr>
          <w:rFonts w:hint="eastAsia"/>
          <w:b w:val="0"/>
          <w:bCs w:val="0"/>
          <w:highlight w:val="none"/>
        </w:rPr>
      </w:pPr>
      <w:r>
        <w:rPr>
          <w:highlight w:val="none"/>
        </w:rPr>
      </w:r>
      <w:bookmarkStart w:id="77" w:name="_Toc513029212"/>
      <w:r>
        <w:rPr>
          <w:highlight w:val="none"/>
        </w:rPr>
      </w:r>
      <w:bookmarkStart w:id="78" w:name="_Toc462564071"/>
      <w:r>
        <w:rPr>
          <w:highlight w:val="none"/>
        </w:rPr>
      </w:r>
      <w:bookmarkStart w:id="79" w:name="_Toc16938528"/>
      <w:r>
        <w:rPr>
          <w:highlight w:val="none"/>
        </w:rPr>
      </w:r>
      <w:bookmarkStart w:id="80" w:name="_Toc20823284"/>
      <w:r>
        <w:rPr>
          <w:rFonts w:hint="eastAsia"/>
          <w:b w:val="0"/>
          <w:bCs w:val="0"/>
          <w:highlight w:val="none"/>
        </w:rPr>
        <w:t xml:space="preserve">8、招标文件的修改</w:t>
      </w:r>
      <w:bookmarkEnd w:id="77"/>
      <w:r>
        <w:rPr>
          <w:highlight w:val="none"/>
        </w:rPr>
      </w:r>
      <w:bookmarkEnd w:id="78"/>
      <w:r>
        <w:rPr>
          <w:highlight w:val="none"/>
        </w:rPr>
      </w:r>
      <w:bookmarkEnd w:id="79"/>
      <w:r>
        <w:rPr>
          <w:highlight w:val="none"/>
        </w:rPr>
      </w:r>
      <w:bookmarkEnd w:id="80"/>
      <w:r>
        <w:rPr>
          <w:rFonts w:hint="eastAsia"/>
          <w:b w:val="0"/>
          <w:bCs w:val="0"/>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在投标截止时间</w:t>
      </w:r>
      <w:r>
        <w:rPr>
          <w:rFonts w:hint="eastAsia" w:ascii="方正仿宋_GB2312" w:hAnsi="方正仿宋_GB2312"/>
          <w:sz w:val="24"/>
          <w:highlight w:val="none"/>
        </w:rPr>
        <w:t xml:space="preserve">前</w:t>
      </w:r>
      <w:r>
        <w:rPr>
          <w:rFonts w:hint="eastAsia" w:ascii="宋体" w:hAnsi="宋体"/>
          <w:sz w:val="24"/>
          <w:highlight w:val="none"/>
        </w:rPr>
        <w:t xml:space="preserve">，采购代理机构可以对招标文件进行修改。</w:t>
      </w:r>
      <w:r>
        <w:rPr>
          <w:rFonts w:hint="eastAsia" w:ascii="宋体" w:hAnsi="宋体"/>
          <w:sz w:val="24"/>
          <w:highlight w:val="none"/>
        </w:rPr>
      </w:r>
      <w:r>
        <w:rPr>
          <w:highlight w:val="none"/>
        </w:rPr>
      </w:r>
    </w:p>
    <w:p>
      <w:pPr>
        <w:pStyle w:val="955"/>
        <w:ind w:firstLine="480"/>
        <w:spacing w:line="500" w:lineRule="exact"/>
        <w:rPr>
          <w:rFonts w:hint="eastAsia"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rPr>
        <w:t xml:space="preserve">采购代理机构</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Arial"/>
          <w:sz w:val="28"/>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rPr>
          <w:highlight w:val="none"/>
        </w:rPr>
      </w:r>
    </w:p>
    <w:p>
      <w:pPr>
        <w:pStyle w:val="955"/>
        <w:contextualSpacing/>
        <w:ind w:firstLine="480"/>
        <w:spacing w:line="360" w:lineRule="auto"/>
        <w:rPr>
          <w:rFonts w:ascii="宋体" w:hAnsi="宋体" w:cs="宋体"/>
          <w:b/>
          <w:bCs/>
          <w:sz w:val="24"/>
          <w:szCs w:val="24"/>
          <w:highlight w:val="none"/>
          <w:u w:val="single"/>
        </w:rPr>
      </w:pPr>
      <w:r>
        <w:rPr>
          <w:rFonts w:hint="eastAsia" w:ascii="宋体" w:hAnsi="宋体" w:cs="宋体"/>
          <w:b/>
          <w:bCs/>
          <w:sz w:val="24"/>
          <w:szCs w:val="24"/>
          <w:highlight w:val="none"/>
          <w:u w:val="single"/>
        </w:rPr>
        <w:t xml:space="preserve">8.4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ascii="宋体" w:hAnsi="宋体" w:cs="宋体"/>
          <w:b/>
          <w:bCs/>
          <w:sz w:val="24"/>
          <w:szCs w:val="24"/>
          <w:highlight w:val="none"/>
          <w:u w:val="single"/>
        </w:rPr>
      </w:r>
      <w:r>
        <w:rPr>
          <w:highlight w:val="none"/>
        </w:rPr>
      </w:r>
    </w:p>
    <w:p>
      <w:pPr>
        <w:pStyle w:val="958"/>
        <w:spacing w:before="145" w:after="145" w:line="360" w:lineRule="auto"/>
        <w:rPr>
          <w:rFonts w:hint="eastAsia"/>
          <w:highlight w:val="none"/>
        </w:rPr>
      </w:pPr>
      <w:r>
        <w:rPr>
          <w:highlight w:val="none"/>
        </w:rPr>
      </w:r>
      <w:bookmarkStart w:id="81" w:name="_Toc16938529"/>
      <w:r>
        <w:rPr>
          <w:highlight w:val="none"/>
        </w:rPr>
      </w:r>
      <w:bookmarkStart w:id="82" w:name="_Toc513029213"/>
      <w:r>
        <w:rPr>
          <w:highlight w:val="none"/>
        </w:rPr>
      </w:r>
      <w:bookmarkStart w:id="83" w:name="_Toc120614216"/>
      <w:r>
        <w:rPr>
          <w:highlight w:val="none"/>
        </w:rPr>
      </w:r>
      <w:bookmarkStart w:id="84" w:name="_Toc20823285"/>
      <w:r>
        <w:rPr>
          <w:highlight w:val="none"/>
        </w:rPr>
      </w:r>
      <w:bookmarkStart w:id="85" w:name="_Toc462564072"/>
      <w:r>
        <w:rPr>
          <w:rFonts w:hint="eastAsia"/>
          <w:highlight w:val="none"/>
        </w:rPr>
        <w:t xml:space="preserve">三、投标文件的编制</w:t>
      </w:r>
      <w:bookmarkEnd w:id="81"/>
      <w:r>
        <w:rPr>
          <w:highlight w:val="none"/>
        </w:rPr>
      </w:r>
      <w:bookmarkEnd w:id="82"/>
      <w:r>
        <w:rPr>
          <w:highlight w:val="none"/>
        </w:rPr>
      </w:r>
      <w:bookmarkEnd w:id="83"/>
      <w:r>
        <w:rPr>
          <w:highlight w:val="none"/>
        </w:rPr>
      </w:r>
      <w:bookmarkEnd w:id="84"/>
      <w:r>
        <w:rPr>
          <w:highlight w:val="none"/>
        </w:rPr>
      </w:r>
      <w:bookmarkEnd w:id="85"/>
      <w:r>
        <w:rPr>
          <w:rFonts w:hint="eastAsia"/>
          <w:highlight w:val="none"/>
        </w:rPr>
      </w:r>
      <w:r>
        <w:rPr>
          <w:highlight w:val="none"/>
        </w:rPr>
      </w:r>
    </w:p>
    <w:p>
      <w:pPr>
        <w:pStyle w:val="959"/>
        <w:spacing w:before="0" w:after="0" w:line="240" w:lineRule="auto"/>
        <w:rPr>
          <w:rFonts w:hint="eastAsia"/>
          <w:bCs w:val="0"/>
          <w:highlight w:val="none"/>
        </w:rPr>
      </w:pPr>
      <w:r>
        <w:rPr>
          <w:highlight w:val="none"/>
        </w:rPr>
      </w:r>
      <w:bookmarkStart w:id="86" w:name="_Toc462564073"/>
      <w:r>
        <w:rPr>
          <w:highlight w:val="none"/>
        </w:rPr>
      </w:r>
      <w:bookmarkStart w:id="87" w:name="_Toc16938530"/>
      <w:r>
        <w:rPr>
          <w:highlight w:val="none"/>
        </w:rPr>
      </w:r>
      <w:bookmarkStart w:id="88" w:name="_Toc20823286"/>
      <w:r>
        <w:rPr>
          <w:highlight w:val="none"/>
        </w:rPr>
      </w:r>
      <w:bookmarkStart w:id="89" w:name="_Toc513029214"/>
      <w:r>
        <w:rPr>
          <w:rFonts w:hint="eastAsia"/>
          <w:b w:val="0"/>
          <w:bCs w:val="0"/>
          <w:highlight w:val="none"/>
        </w:rPr>
        <w:t xml:space="preserve">9、投标文件的语言及度量衡单位</w:t>
      </w:r>
      <w:bookmarkEnd w:id="86"/>
      <w:r>
        <w:rPr>
          <w:highlight w:val="none"/>
        </w:rPr>
      </w:r>
      <w:bookmarkEnd w:id="87"/>
      <w:r>
        <w:rPr>
          <w:highlight w:val="none"/>
        </w:rPr>
      </w:r>
      <w:bookmarkEnd w:id="88"/>
      <w:r>
        <w:rPr>
          <w:highlight w:val="none"/>
        </w:rPr>
      </w:r>
      <w:bookmarkEnd w:id="89"/>
      <w:r>
        <w:rPr>
          <w:rFonts w:hint="eastAsia"/>
          <w:bCs w:val="0"/>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投标人提交的投标文件以及投标人与采购代理机构就有关投标的所有来往通知、函件和文件均应使用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rPr>
          <w:rFonts w:hint="eastAsia" w:ascii="宋体" w:hAnsi="宋体"/>
          <w:sz w:val="24"/>
          <w:highlight w:val="none"/>
        </w:rPr>
      </w:r>
      <w:r>
        <w:rPr>
          <w:highlight w:val="none"/>
        </w:rPr>
      </w:r>
    </w:p>
    <w:p>
      <w:pPr>
        <w:pStyle w:val="959"/>
        <w:spacing w:before="0" w:after="0" w:line="240" w:lineRule="auto"/>
        <w:rPr>
          <w:rFonts w:hint="eastAsia"/>
          <w:b w:val="0"/>
          <w:bCs w:val="0"/>
          <w:highlight w:val="none"/>
        </w:rPr>
      </w:pPr>
      <w:r>
        <w:rPr>
          <w:highlight w:val="none"/>
        </w:rPr>
      </w:r>
      <w:bookmarkStart w:id="90" w:name="_Toc513029215"/>
      <w:r>
        <w:rPr>
          <w:highlight w:val="none"/>
        </w:rPr>
      </w:r>
      <w:bookmarkStart w:id="91" w:name="_Toc462564074"/>
      <w:r>
        <w:rPr>
          <w:highlight w:val="none"/>
        </w:rPr>
      </w:r>
      <w:bookmarkStart w:id="92" w:name="_Toc16938531"/>
      <w:r>
        <w:rPr>
          <w:highlight w:val="none"/>
        </w:rPr>
      </w:r>
      <w:bookmarkStart w:id="93" w:name="_Toc20823287"/>
      <w:r>
        <w:rPr>
          <w:rFonts w:hint="eastAsia"/>
          <w:b w:val="0"/>
          <w:bCs w:val="0"/>
          <w:highlight w:val="none"/>
        </w:rPr>
        <w:t xml:space="preserve">10、投标文件构成</w:t>
      </w:r>
      <w:bookmarkEnd w:id="90"/>
      <w:r>
        <w:rPr>
          <w:highlight w:val="none"/>
        </w:rPr>
      </w:r>
      <w:bookmarkEnd w:id="91"/>
      <w:r>
        <w:rPr>
          <w:highlight w:val="none"/>
        </w:rPr>
      </w:r>
      <w:bookmarkEnd w:id="92"/>
      <w:r>
        <w:rPr>
          <w:highlight w:val="none"/>
        </w:rPr>
      </w:r>
      <w:bookmarkEnd w:id="93"/>
      <w:r>
        <w:rPr>
          <w:rFonts w:hint="eastAsia"/>
          <w:b w:val="0"/>
          <w:bCs w:val="0"/>
          <w:highlight w:val="none"/>
        </w:rPr>
      </w:r>
      <w:r>
        <w:rPr>
          <w:highlight w:val="none"/>
        </w:rPr>
      </w:r>
    </w:p>
    <w:p>
      <w:pPr>
        <w:pStyle w:val="955"/>
        <w:ind w:firstLine="480"/>
        <w:spacing w:line="440" w:lineRule="exact"/>
        <w:rPr>
          <w:rFonts w:hint="eastAsia" w:ascii="宋体" w:hAnsi="宋体"/>
          <w:sz w:val="24"/>
          <w:highlight w:val="none"/>
        </w:rPr>
      </w:pPr>
      <w:r>
        <w:rPr>
          <w:rFonts w:hint="eastAsia" w:ascii="宋体" w:hAnsi="宋体"/>
          <w:bCs/>
          <w:sz w:val="24"/>
          <w:highlight w:val="none"/>
        </w:rPr>
        <w:t xml:space="preserve">10.1</w:t>
      </w:r>
      <w:r>
        <w:rPr>
          <w:rFonts w:hint="eastAsia" w:ascii="宋体" w:hAnsi="宋体"/>
          <w:sz w:val="24"/>
          <w:highlight w:val="none"/>
        </w:rPr>
        <w:t xml:space="preserve"> 投标人编写的投标文件应包括</w:t>
      </w:r>
      <w:r>
        <w:rPr>
          <w:rFonts w:hint="eastAsia" w:ascii="宋体" w:hAnsi="宋体"/>
          <w:sz w:val="24"/>
          <w:highlight w:val="none"/>
          <w:u w:val="single"/>
        </w:rPr>
        <w:t xml:space="preserve">资格证明文件</w:t>
      </w:r>
      <w:r>
        <w:rPr>
          <w:rFonts w:hint="eastAsia" w:ascii="宋体" w:hAnsi="宋体"/>
          <w:sz w:val="24"/>
          <w:highlight w:val="none"/>
        </w:rPr>
        <w:t xml:space="preserve">、</w:t>
      </w:r>
      <w:r>
        <w:rPr>
          <w:rFonts w:hint="eastAsia" w:ascii="宋体" w:hAnsi="宋体"/>
          <w:sz w:val="24"/>
          <w:highlight w:val="none"/>
          <w:u w:val="single"/>
        </w:rPr>
        <w:t xml:space="preserve">符合性证明文件</w:t>
      </w:r>
      <w:r>
        <w:rPr>
          <w:rFonts w:hint="eastAsia" w:ascii="宋体" w:hAnsi="宋体"/>
          <w:sz w:val="24"/>
          <w:highlight w:val="none"/>
        </w:rPr>
        <w:t xml:space="preserve">、</w:t>
      </w:r>
      <w:r>
        <w:rPr>
          <w:rFonts w:hint="eastAsia" w:ascii="宋体" w:hAnsi="宋体"/>
          <w:sz w:val="24"/>
          <w:highlight w:val="none"/>
          <w:u w:val="single"/>
        </w:rPr>
        <w:t xml:space="preserve">投标分项报价表</w:t>
      </w:r>
      <w:r>
        <w:rPr>
          <w:rFonts w:hint="eastAsia" w:ascii="宋体" w:hAnsi="宋体"/>
          <w:sz w:val="24"/>
          <w:highlight w:val="none"/>
        </w:rPr>
        <w:t xml:space="preserve">、</w:t>
      </w:r>
      <w:r>
        <w:rPr>
          <w:rFonts w:hint="eastAsia" w:ascii="宋体" w:hAnsi="宋体"/>
          <w:sz w:val="24"/>
          <w:highlight w:val="none"/>
          <w:u w:val="single"/>
        </w:rPr>
        <w:t xml:space="preserve">技术要求响应及偏离表</w:t>
      </w:r>
      <w:r>
        <w:rPr>
          <w:rFonts w:hint="eastAsia" w:ascii="宋体" w:hAnsi="宋体"/>
          <w:sz w:val="24"/>
          <w:highlight w:val="none"/>
        </w:rPr>
        <w:t xml:space="preserve">、</w:t>
      </w:r>
      <w:r>
        <w:rPr>
          <w:rFonts w:hint="eastAsia" w:ascii="宋体" w:hAnsi="宋体"/>
          <w:sz w:val="24"/>
          <w:highlight w:val="none"/>
          <w:u w:val="single"/>
        </w:rPr>
        <w:t xml:space="preserve">商务要求响应及偏离表</w:t>
      </w:r>
      <w:r>
        <w:rPr>
          <w:rFonts w:hint="eastAsia" w:ascii="宋体" w:hAnsi="宋体"/>
          <w:sz w:val="24"/>
          <w:highlight w:val="none"/>
        </w:rPr>
        <w:t xml:space="preserve">、</w:t>
      </w:r>
      <w:r>
        <w:rPr>
          <w:rFonts w:hint="eastAsia" w:ascii="宋体" w:hAnsi="宋体"/>
          <w:sz w:val="24"/>
          <w:highlight w:val="none"/>
          <w:u w:val="single"/>
        </w:rPr>
        <w:t xml:space="preserve">其他证明文件</w:t>
      </w:r>
      <w:r>
        <w:rPr>
          <w:rFonts w:hint="eastAsia" w:ascii="宋体" w:hAnsi="宋体"/>
          <w:sz w:val="24"/>
          <w:highlight w:val="none"/>
        </w:rPr>
        <w:t xml:space="preserve">、</w:t>
      </w:r>
      <w:r>
        <w:rPr>
          <w:rFonts w:hint="eastAsia" w:ascii="宋体" w:hAnsi="宋体"/>
          <w:sz w:val="24"/>
          <w:highlight w:val="none"/>
          <w:u w:val="single"/>
        </w:rPr>
        <w:t xml:space="preserve">投标函</w:t>
      </w:r>
      <w:r>
        <w:rPr>
          <w:rFonts w:hint="eastAsia" w:ascii="宋体" w:hAnsi="宋体"/>
          <w:sz w:val="24"/>
          <w:highlight w:val="none"/>
        </w:rPr>
        <w:t xml:space="preserve">、</w:t>
      </w:r>
      <w:r>
        <w:rPr>
          <w:rFonts w:hint="eastAsia" w:ascii="宋体" w:hAnsi="宋体"/>
          <w:sz w:val="24"/>
          <w:highlight w:val="none"/>
          <w:u w:val="single"/>
        </w:rPr>
        <w:t xml:space="preserve">开标一览表</w:t>
      </w:r>
      <w:r>
        <w:rPr>
          <w:rFonts w:hint="eastAsia" w:ascii="宋体" w:hAnsi="宋体"/>
          <w:sz w:val="24"/>
          <w:highlight w:val="none"/>
        </w:rPr>
        <w:t xml:space="preserve">等部分。</w:t>
      </w:r>
      <w:r>
        <w:rPr>
          <w:rFonts w:hint="eastAsia" w:ascii="宋体" w:hAnsi="宋体"/>
          <w:sz w:val="24"/>
          <w:highlight w:val="none"/>
        </w:rPr>
      </w:r>
      <w:r>
        <w:rPr>
          <w:highlight w:val="none"/>
        </w:rPr>
      </w:r>
    </w:p>
    <w:p>
      <w:pPr>
        <w:pStyle w:val="955"/>
        <w:ind w:firstLine="480"/>
        <w:spacing w:line="440" w:lineRule="exact"/>
        <w:rPr>
          <w:rFonts w:hint="eastAsia" w:ascii="宋体" w:hAnsi="宋体"/>
          <w:sz w:val="24"/>
          <w:highlight w:val="none"/>
        </w:rPr>
      </w:pPr>
      <w:r>
        <w:rPr>
          <w:rFonts w:hint="eastAsia" w:ascii="宋体" w:hAnsi="宋体"/>
          <w:sz w:val="24"/>
          <w:highlight w:val="none"/>
        </w:rPr>
        <w:t xml:space="preserve">10.2 如标书制作工具中格式和内容与“江苏政府采购网”发布的招标文件不一致，请以“江苏政府采购网”发布的招标文件为准。</w:t>
      </w:r>
      <w:r>
        <w:rPr>
          <w:rFonts w:hint="eastAsia" w:ascii="宋体" w:hAnsi="宋体"/>
          <w:sz w:val="24"/>
          <w:highlight w:val="none"/>
        </w:rPr>
      </w:r>
      <w:r>
        <w:rPr>
          <w:highlight w:val="none"/>
        </w:rPr>
      </w:r>
    </w:p>
    <w:p>
      <w:pPr>
        <w:pStyle w:val="959"/>
        <w:spacing w:before="0" w:after="0" w:line="240" w:lineRule="auto"/>
        <w:rPr>
          <w:rFonts w:hint="eastAsia"/>
          <w:b w:val="0"/>
          <w:bCs w:val="0"/>
          <w:highlight w:val="none"/>
        </w:rPr>
      </w:pPr>
      <w:r>
        <w:rPr>
          <w:highlight w:val="none"/>
        </w:rPr>
      </w:r>
      <w:bookmarkStart w:id="94" w:name="_Hlt26954838"/>
      <w:r>
        <w:rPr>
          <w:highlight w:val="none"/>
        </w:rPr>
      </w:r>
      <w:bookmarkEnd w:id="94"/>
      <w:r>
        <w:rPr>
          <w:highlight w:val="none"/>
        </w:rPr>
      </w:r>
      <w:bookmarkStart w:id="95" w:name="_Hlt26670360"/>
      <w:r>
        <w:rPr>
          <w:highlight w:val="none"/>
        </w:rPr>
      </w:r>
      <w:bookmarkEnd w:id="95"/>
      <w:r>
        <w:rPr>
          <w:highlight w:val="none"/>
        </w:rPr>
      </w:r>
      <w:bookmarkStart w:id="96" w:name="_Hlt26668975"/>
      <w:r>
        <w:rPr>
          <w:highlight w:val="none"/>
        </w:rPr>
      </w:r>
      <w:bookmarkEnd w:id="96"/>
      <w:r>
        <w:rPr>
          <w:highlight w:val="none"/>
        </w:rPr>
      </w:r>
      <w:bookmarkStart w:id="97" w:name="_Toc49090509"/>
      <w:r>
        <w:rPr>
          <w:highlight w:val="none"/>
        </w:rPr>
      </w:r>
      <w:bookmarkStart w:id="98" w:name="_Toc513029219"/>
      <w:r>
        <w:rPr>
          <w:highlight w:val="none"/>
        </w:rPr>
      </w:r>
      <w:bookmarkStart w:id="99" w:name="_Toc14577357"/>
      <w:r>
        <w:rPr>
          <w:highlight w:val="none"/>
        </w:rPr>
      </w:r>
      <w:bookmarkStart w:id="100" w:name="_Toc14577354"/>
      <w:r>
        <w:rPr>
          <w:highlight w:val="none"/>
        </w:rPr>
      </w:r>
      <w:bookmarkStart w:id="101" w:name="_Toc49090507"/>
      <w:r>
        <w:rPr>
          <w:highlight w:val="none"/>
        </w:rPr>
      </w:r>
      <w:bookmarkStart w:id="102" w:name="_Toc513029216"/>
      <w:r>
        <w:rPr>
          <w:rFonts w:hint="eastAsia"/>
          <w:b w:val="0"/>
          <w:bCs w:val="0"/>
          <w:highlight w:val="none"/>
        </w:rPr>
        <w:t xml:space="preserve">11、证明投标人及投标标的符合招标文件规定的文件</w:t>
      </w:r>
      <w:bookmarkEnd w:id="97"/>
      <w:r>
        <w:rPr>
          <w:highlight w:val="none"/>
        </w:rPr>
      </w:r>
      <w:bookmarkEnd w:id="98"/>
      <w:r>
        <w:rPr>
          <w:highlight w:val="none"/>
        </w:rPr>
      </w:r>
      <w:bookmarkEnd w:id="99"/>
      <w:r>
        <w:rPr>
          <w:rFonts w:hint="eastAsia"/>
          <w:b w:val="0"/>
          <w:bCs w:val="0"/>
          <w:highlight w:val="none"/>
        </w:rPr>
      </w:r>
      <w:r>
        <w:rPr>
          <w:highlight w:val="none"/>
        </w:rPr>
      </w:r>
    </w:p>
    <w:p>
      <w:pPr>
        <w:pStyle w:val="955"/>
        <w:spacing w:line="480" w:lineRule="exact"/>
        <w:rPr>
          <w:rFonts w:hint="eastAsia" w:ascii="宋体" w:hAnsi="宋体"/>
          <w:sz w:val="24"/>
          <w:szCs w:val="24"/>
          <w:highlight w:val="none"/>
        </w:rPr>
      </w:pPr>
      <w:r>
        <w:rPr>
          <w:highlight w:val="none"/>
        </w:rPr>
      </w:r>
      <w:bookmarkEnd w:id="100"/>
      <w:r>
        <w:rPr>
          <w:highlight w:val="none"/>
        </w:rPr>
      </w:r>
      <w:bookmarkEnd w:id="101"/>
      <w:r>
        <w:rPr>
          <w:highlight w:val="none"/>
        </w:rPr>
      </w:r>
      <w:bookmarkEnd w:id="102"/>
      <w:r>
        <w:rPr>
          <w:highlight w:val="none"/>
        </w:rPr>
      </w:r>
      <w:bookmarkStart w:id="103" w:name="_Toc14577355"/>
      <w:r>
        <w:rPr>
          <w:highlight w:val="none"/>
        </w:rPr>
      </w:r>
      <w:bookmarkStart w:id="104" w:name="_Toc49090508"/>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rPr>
          <w:highlight w:val="none"/>
        </w:rPr>
      </w:r>
    </w:p>
    <w:p>
      <w:pPr>
        <w:pStyle w:val="959"/>
        <w:spacing w:before="0" w:after="0" w:line="240" w:lineRule="auto"/>
        <w:rPr>
          <w:rFonts w:hint="eastAsia"/>
          <w:b w:val="0"/>
          <w:bCs w:val="0"/>
          <w:highlight w:val="none"/>
        </w:rPr>
      </w:pPr>
      <w:r>
        <w:rPr>
          <w:rFonts w:hint="eastAsia"/>
          <w:b w:val="0"/>
          <w:bCs w:val="0"/>
          <w:highlight w:val="none"/>
        </w:rPr>
        <w:t xml:space="preserve">12、投标分项报价</w:t>
      </w:r>
      <w:bookmarkEnd w:id="103"/>
      <w:r>
        <w:rPr>
          <w:highlight w:val="none"/>
        </w:rPr>
      </w:r>
      <w:bookmarkStart w:id="105" w:name="_Hlt26670373"/>
      <w:r>
        <w:rPr>
          <w:highlight w:val="none"/>
        </w:rPr>
      </w:r>
      <w:bookmarkEnd w:id="105"/>
      <w:r>
        <w:rPr>
          <w:rFonts w:hint="eastAsia"/>
          <w:b w:val="0"/>
          <w:bCs w:val="0"/>
          <w:highlight w:val="none"/>
        </w:rPr>
        <w:t xml:space="preserve">表</w:t>
      </w:r>
      <w:bookmarkEnd w:id="104"/>
      <w:r>
        <w:rPr>
          <w:rFonts w:hint="eastAsia"/>
          <w:b w:val="0"/>
          <w:bCs w:val="0"/>
          <w:highlight w:val="none"/>
        </w:rPr>
      </w:r>
      <w:r>
        <w:rPr>
          <w:highlight w:val="none"/>
        </w:rPr>
      </w:r>
    </w:p>
    <w:p>
      <w:pPr>
        <w:pStyle w:val="955"/>
        <w:ind w:firstLine="480"/>
        <w:spacing w:line="500" w:lineRule="exact"/>
        <w:rPr>
          <w:rFonts w:hint="eastAsia"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 投标人应按照招标文件规定格式填报投标分项报价表</w:t>
      </w:r>
      <w:bookmarkStart w:id="106" w:name="_Hlt26670399"/>
      <w:r>
        <w:rPr>
          <w:highlight w:val="none"/>
        </w:rPr>
      </w:r>
      <w:bookmarkEnd w:id="106"/>
      <w:r>
        <w:rPr>
          <w:rFonts w:hint="eastAsia" w:ascii="宋体" w:hAnsi="宋体"/>
          <w:sz w:val="24"/>
          <w:highlight w:val="none"/>
        </w:rPr>
        <w:t xml:space="preserve">。</w:t>
      </w:r>
      <w:r>
        <w:rPr>
          <w:rFonts w:hint="eastAsia" w:ascii="宋体" w:hAnsi="宋体"/>
          <w:bCs/>
          <w:sz w:val="24"/>
          <w:highlight w:val="none"/>
        </w:rPr>
      </w:r>
      <w:r>
        <w:rPr>
          <w:highlight w:val="none"/>
        </w:rPr>
      </w:r>
    </w:p>
    <w:p>
      <w:pPr>
        <w:pStyle w:val="955"/>
        <w:ind w:firstLine="480"/>
        <w:spacing w:line="500" w:lineRule="exact"/>
        <w:rPr>
          <w:rFonts w:hint="eastAsia"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rPr>
          <w:highlight w:val="none"/>
        </w:rPr>
      </w:r>
    </w:p>
    <w:p>
      <w:pPr>
        <w:pStyle w:val="959"/>
        <w:spacing w:before="0" w:after="0" w:line="240" w:lineRule="auto"/>
        <w:rPr>
          <w:rFonts w:hint="eastAsia"/>
          <w:b w:val="0"/>
          <w:bCs w:val="0"/>
          <w:highlight w:val="none"/>
        </w:rPr>
      </w:pPr>
      <w:r>
        <w:rPr>
          <w:highlight w:val="none"/>
        </w:rPr>
      </w:r>
      <w:bookmarkStart w:id="107" w:name="_Hlt26954731"/>
      <w:r>
        <w:rPr>
          <w:highlight w:val="none"/>
        </w:rPr>
      </w:r>
      <w:bookmarkEnd w:id="107"/>
      <w:r>
        <w:rPr>
          <w:highlight w:val="none"/>
        </w:rPr>
      </w:r>
      <w:bookmarkStart w:id="108" w:name="_Hlt26668983"/>
      <w:r>
        <w:rPr>
          <w:highlight w:val="none"/>
        </w:rPr>
      </w:r>
      <w:bookmarkEnd w:id="108"/>
      <w:r>
        <w:rPr>
          <w:highlight w:val="none"/>
        </w:rPr>
      </w:r>
      <w:bookmarkStart w:id="109" w:name="_Hlt26670425"/>
      <w:r>
        <w:rPr>
          <w:highlight w:val="none"/>
        </w:rPr>
      </w:r>
      <w:bookmarkEnd w:id="109"/>
      <w:r>
        <w:rPr>
          <w:highlight w:val="none"/>
        </w:rPr>
      </w:r>
      <w:bookmarkStart w:id="110" w:name="_Hlt26954844"/>
      <w:r>
        <w:rPr>
          <w:highlight w:val="none"/>
        </w:rPr>
      </w:r>
      <w:bookmarkEnd w:id="110"/>
      <w:r>
        <w:rPr>
          <w:highlight w:val="none"/>
        </w:rPr>
      </w:r>
      <w:bookmarkStart w:id="111" w:name="_Hlt26954846"/>
      <w:r>
        <w:rPr>
          <w:highlight w:val="none"/>
        </w:rPr>
      </w:r>
      <w:bookmarkEnd w:id="111"/>
      <w:r>
        <w:rPr>
          <w:highlight w:val="none"/>
        </w:rPr>
      </w:r>
      <w:bookmarkStart w:id="112" w:name="_Hlt26670403"/>
      <w:r>
        <w:rPr>
          <w:highlight w:val="none"/>
        </w:rPr>
      </w:r>
      <w:bookmarkEnd w:id="112"/>
      <w:r>
        <w:rPr>
          <w:highlight w:val="none"/>
        </w:rPr>
      </w:r>
      <w:bookmarkStart w:id="113" w:name="_Hlt26954848"/>
      <w:r>
        <w:rPr>
          <w:highlight w:val="none"/>
        </w:rPr>
      </w:r>
      <w:bookmarkEnd w:id="113"/>
      <w:r>
        <w:rPr>
          <w:highlight w:val="none"/>
        </w:rPr>
      </w:r>
      <w:bookmarkStart w:id="114" w:name="_Hlt26670486"/>
      <w:r>
        <w:rPr>
          <w:highlight w:val="none"/>
        </w:rPr>
      </w:r>
      <w:bookmarkEnd w:id="114"/>
      <w:r>
        <w:rPr>
          <w:highlight w:val="none"/>
        </w:rPr>
      </w:r>
      <w:bookmarkStart w:id="115" w:name="_Hlt26670482"/>
      <w:r>
        <w:rPr>
          <w:highlight w:val="none"/>
        </w:rPr>
      </w:r>
      <w:bookmarkEnd w:id="115"/>
      <w:r>
        <w:rPr>
          <w:highlight w:val="none"/>
        </w:rPr>
      </w:r>
      <w:bookmarkStart w:id="116" w:name="_Hlt26954842"/>
      <w:r>
        <w:rPr>
          <w:highlight w:val="none"/>
        </w:rPr>
      </w:r>
      <w:bookmarkEnd w:id="116"/>
      <w:r>
        <w:rPr>
          <w:rFonts w:hint="eastAsia"/>
          <w:b w:val="0"/>
          <w:bCs w:val="0"/>
          <w:highlight w:val="none"/>
        </w:rPr>
        <w:t xml:space="preserve">13、技术要求响应及偏离表、商务要求响应及偏离表</w:t>
      </w:r>
      <w:r>
        <w:rPr>
          <w:rFonts w:hint="eastAsia"/>
          <w:b w:val="0"/>
          <w:bCs w:val="0"/>
          <w:highlight w:val="none"/>
        </w:rPr>
      </w:r>
      <w:r>
        <w:rPr>
          <w:highlight w:val="none"/>
        </w:rPr>
      </w:r>
    </w:p>
    <w:p>
      <w:pPr>
        <w:pStyle w:val="955"/>
        <w:ind w:firstLine="480"/>
        <w:spacing w:line="500" w:lineRule="exact"/>
        <w:rPr>
          <w:rFonts w:hint="eastAsia" w:ascii="宋体" w:hAnsi="Arial" w:cs="宋体"/>
          <w:sz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rFonts w:hint="eastAsia" w:ascii="宋体" w:hAnsi="Arial" w:cs="宋体"/>
          <w:sz w:val="24"/>
          <w:highlight w:val="none"/>
          <w:lang w:val="zh-CN"/>
        </w:rPr>
      </w:r>
      <w:r>
        <w:rPr>
          <w:highlight w:val="none"/>
        </w:rPr>
      </w:r>
    </w:p>
    <w:p>
      <w:pPr>
        <w:pStyle w:val="955"/>
        <w:ind w:firstLine="480"/>
        <w:spacing w:line="500" w:lineRule="exact"/>
        <w:tabs>
          <w:tab w:val="left" w:pos="1035" w:leader="none"/>
        </w:tabs>
        <w:rPr>
          <w:rFonts w:ascii="宋体" w:hAnsi="Arial" w:cs="宋体"/>
          <w:sz w:val="24"/>
          <w:highlight w:val="none"/>
        </w:rPr>
      </w:pPr>
      <w:r>
        <w:rPr>
          <w:rFonts w:hint="eastAsia" w:ascii="宋体" w:hAnsi="Arial" w:cs="宋体"/>
          <w:sz w:val="24"/>
          <w:highlight w:val="none"/>
          <w:lang w:val="zh-CN"/>
        </w:rPr>
        <w:t xml:space="preserve">13.2 投标人可在投标文件中提供认为需要的其他技术文件或说明。</w:t>
      </w:r>
      <w:r>
        <w:rPr>
          <w:rFonts w:ascii="宋体" w:hAnsi="Arial" w:cs="宋体"/>
          <w:sz w:val="24"/>
          <w:highlight w:val="none"/>
          <w:lang w:val="zh-CN"/>
        </w:rPr>
      </w:r>
      <w:r>
        <w:rPr>
          <w:highlight w:val="none"/>
        </w:rPr>
      </w:r>
    </w:p>
    <w:p>
      <w:pPr>
        <w:pStyle w:val="959"/>
        <w:spacing w:before="0" w:after="0" w:line="240" w:lineRule="auto"/>
        <w:rPr>
          <w:rFonts w:hint="eastAsia"/>
          <w:b w:val="0"/>
          <w:bCs w:val="0"/>
          <w:highlight w:val="none"/>
        </w:rPr>
      </w:pPr>
      <w:r>
        <w:rPr>
          <w:highlight w:val="none"/>
        </w:rPr>
      </w:r>
      <w:bookmarkStart w:id="117" w:name="_Toc49090510"/>
      <w:r>
        <w:rPr>
          <w:highlight w:val="none"/>
        </w:rPr>
      </w:r>
      <w:bookmarkStart w:id="118" w:name="_Toc14577359"/>
      <w:r>
        <w:rPr>
          <w:rFonts w:hint="eastAsia"/>
          <w:b w:val="0"/>
          <w:bCs w:val="0"/>
          <w:highlight w:val="none"/>
        </w:rPr>
        <w:t xml:space="preserve">14、投标函和开标一览表</w:t>
      </w:r>
      <w:r>
        <w:rPr>
          <w:rFonts w:hint="eastAsia"/>
          <w:b w:val="0"/>
          <w:bCs w:val="0"/>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bCs/>
          <w:sz w:val="24"/>
          <w:highlight w:val="none"/>
        </w:rPr>
        <w:t xml:space="preserve">14.1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rPr>
          <w:highlight w:val="none"/>
        </w:rPr>
      </w:r>
    </w:p>
    <w:p>
      <w:pPr>
        <w:pStyle w:val="955"/>
        <w:ind w:firstLine="480"/>
        <w:spacing w:line="500" w:lineRule="exact"/>
        <w:rPr>
          <w:rFonts w:hint="eastAsia" w:ascii="宋体" w:hAnsi="宋体"/>
          <w:sz w:val="24"/>
          <w:highlight w:val="none"/>
        </w:rPr>
      </w:pPr>
      <w:r>
        <w:rPr>
          <w:rFonts w:hint="eastAsia" w:ascii="宋体" w:hAnsi="宋体"/>
          <w:bCs/>
          <w:sz w:val="24"/>
          <w:highlight w:val="none"/>
        </w:rPr>
        <w:t xml:space="preserve">14.2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rPr>
          <w:rFonts w:hint="eastAsia" w:ascii="宋体" w:hAnsi="宋体"/>
          <w:sz w:val="24"/>
          <w:highlight w:val="none"/>
        </w:rPr>
      </w:r>
      <w:r>
        <w:rPr>
          <w:highlight w:val="none"/>
        </w:rPr>
      </w:r>
    </w:p>
    <w:p>
      <w:pPr>
        <w:pStyle w:val="959"/>
        <w:spacing w:before="0" w:after="0" w:line="240" w:lineRule="auto"/>
        <w:rPr>
          <w:rFonts w:hint="eastAsia"/>
          <w:b w:val="0"/>
          <w:bCs w:val="0"/>
          <w:highlight w:val="none"/>
        </w:rPr>
      </w:pPr>
      <w:r>
        <w:rPr>
          <w:highlight w:val="none"/>
        </w:rPr>
      </w:r>
      <w:bookmarkEnd w:id="117"/>
      <w:r>
        <w:rPr>
          <w:highlight w:val="none"/>
        </w:rPr>
      </w:r>
      <w:bookmarkEnd w:id="118"/>
      <w:r>
        <w:rPr>
          <w:highlight w:val="none"/>
        </w:rPr>
      </w:r>
      <w:bookmarkStart w:id="119" w:name="_Hlt26954734"/>
      <w:r>
        <w:rPr>
          <w:highlight w:val="none"/>
        </w:rPr>
      </w:r>
      <w:bookmarkEnd w:id="119"/>
      <w:r>
        <w:rPr>
          <w:highlight w:val="none"/>
        </w:rPr>
      </w:r>
      <w:bookmarkStart w:id="120" w:name="_Hlt26670489"/>
      <w:r>
        <w:rPr>
          <w:highlight w:val="none"/>
        </w:rPr>
      </w:r>
      <w:bookmarkEnd w:id="120"/>
      <w:r>
        <w:rPr>
          <w:highlight w:val="none"/>
        </w:rPr>
      </w:r>
      <w:bookmarkStart w:id="121" w:name="_Hlt26954850"/>
      <w:r>
        <w:rPr>
          <w:highlight w:val="none"/>
        </w:rPr>
      </w:r>
      <w:bookmarkEnd w:id="121"/>
      <w:r>
        <w:rPr>
          <w:highlight w:val="none"/>
        </w:rPr>
      </w:r>
      <w:bookmarkStart w:id="122" w:name="_Toc14577360"/>
      <w:r>
        <w:rPr>
          <w:highlight w:val="none"/>
        </w:rPr>
      </w:r>
      <w:bookmarkStart w:id="123" w:name="_Toc49090511"/>
      <w:r>
        <w:rPr>
          <w:rFonts w:hint="eastAsia"/>
          <w:b w:val="0"/>
          <w:bCs w:val="0"/>
          <w:highlight w:val="none"/>
        </w:rPr>
        <w:t xml:space="preserve">15、投标有效期</w:t>
      </w:r>
      <w:bookmarkEnd w:id="122"/>
      <w:r>
        <w:rPr>
          <w:highlight w:val="none"/>
        </w:rPr>
      </w:r>
      <w:bookmarkEnd w:id="123"/>
      <w:r>
        <w:rPr>
          <w:rFonts w:hint="eastAsia"/>
          <w:b w:val="0"/>
          <w:bCs w:val="0"/>
          <w:highlight w:val="none"/>
        </w:rPr>
      </w:r>
      <w:r>
        <w:rPr>
          <w:highlight w:val="none"/>
        </w:rPr>
      </w:r>
    </w:p>
    <w:p>
      <w:pPr>
        <w:pStyle w:val="955"/>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 投标有效期为采购代理机构规定的开标之日后</w:t>
      </w:r>
      <w:r>
        <w:rPr>
          <w:rFonts w:hint="eastAsia" w:ascii="方正仿宋_GB2312" w:hAnsi="方正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rPr>
          <w:highlight w:val="none"/>
        </w:rPr>
      </w:r>
    </w:p>
    <w:p>
      <w:pPr>
        <w:pStyle w:val="959"/>
        <w:spacing w:before="0" w:after="0" w:line="240" w:lineRule="auto"/>
        <w:rPr>
          <w:rFonts w:hint="eastAsia"/>
          <w:b w:val="0"/>
          <w:bCs w:val="0"/>
          <w:highlight w:val="none"/>
        </w:rPr>
      </w:pPr>
      <w:r>
        <w:rPr>
          <w:rFonts w:hint="eastAsia"/>
          <w:b w:val="0"/>
          <w:bCs w:val="0"/>
          <w:highlight w:val="none"/>
        </w:rPr>
        <w:t xml:space="preserve">16、投标有效期的延长</w:t>
      </w:r>
      <w:r>
        <w:rPr>
          <w:rFonts w:hint="eastAsia"/>
          <w:b w:val="0"/>
          <w:bCs w:val="0"/>
          <w:highlight w:val="none"/>
        </w:rPr>
      </w:r>
      <w:r>
        <w:rPr>
          <w:highlight w:val="none"/>
        </w:rPr>
      </w:r>
    </w:p>
    <w:p>
      <w:pPr>
        <w:pStyle w:val="955"/>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rPr>
          <w:highlight w:val="none"/>
        </w:rPr>
      </w:r>
    </w:p>
    <w:p>
      <w:pPr>
        <w:pStyle w:val="958"/>
        <w:spacing w:before="145" w:after="145" w:line="360" w:lineRule="auto"/>
        <w:rPr>
          <w:rFonts w:hint="eastAsia"/>
          <w:highlight w:val="none"/>
        </w:rPr>
      </w:pPr>
      <w:r>
        <w:rPr>
          <w:highlight w:val="none"/>
        </w:rPr>
      </w:r>
      <w:bookmarkStart w:id="124" w:name="_Hlt26954739"/>
      <w:r>
        <w:rPr>
          <w:highlight w:val="none"/>
        </w:rPr>
      </w:r>
      <w:bookmarkEnd w:id="124"/>
      <w:r>
        <w:rPr>
          <w:highlight w:val="none"/>
        </w:rPr>
      </w:r>
      <w:bookmarkStart w:id="125" w:name="_Hlt26954852"/>
      <w:r>
        <w:rPr>
          <w:highlight w:val="none"/>
        </w:rPr>
      </w:r>
      <w:bookmarkEnd w:id="125"/>
      <w:r>
        <w:rPr>
          <w:highlight w:val="none"/>
        </w:rPr>
      </w:r>
      <w:bookmarkStart w:id="126" w:name="_Toc120614217"/>
      <w:r>
        <w:rPr>
          <w:highlight w:val="none"/>
        </w:rPr>
      </w:r>
      <w:bookmarkStart w:id="127" w:name="_Toc20823296"/>
      <w:r>
        <w:rPr>
          <w:highlight w:val="none"/>
        </w:rPr>
      </w:r>
      <w:bookmarkStart w:id="128" w:name="_Toc16938540"/>
      <w:r>
        <w:rPr>
          <w:highlight w:val="none"/>
        </w:rPr>
      </w:r>
      <w:bookmarkStart w:id="129" w:name="_Toc513029224"/>
      <w:r>
        <w:rPr>
          <w:rFonts w:hint="eastAsia"/>
          <w:highlight w:val="none"/>
        </w:rPr>
        <w:t xml:space="preserve">四、投标文件的递交</w:t>
      </w:r>
      <w:bookmarkEnd w:id="126"/>
      <w:r>
        <w:rPr>
          <w:highlight w:val="none"/>
        </w:rPr>
      </w:r>
      <w:bookmarkEnd w:id="127"/>
      <w:r>
        <w:rPr>
          <w:highlight w:val="none"/>
        </w:rPr>
      </w:r>
      <w:bookmarkEnd w:id="128"/>
      <w:r>
        <w:rPr>
          <w:highlight w:val="none"/>
        </w:rPr>
      </w:r>
      <w:bookmarkEnd w:id="129"/>
      <w:r>
        <w:rPr>
          <w:rFonts w:hint="eastAsia"/>
          <w:highlight w:val="none"/>
        </w:rPr>
      </w:r>
      <w:r>
        <w:rPr>
          <w:highlight w:val="none"/>
        </w:rPr>
      </w:r>
    </w:p>
    <w:p>
      <w:pPr>
        <w:pStyle w:val="959"/>
        <w:spacing w:before="0" w:after="0" w:line="240" w:lineRule="auto"/>
        <w:rPr>
          <w:rFonts w:hint="eastAsia" w:ascii="黑体"/>
          <w:b w:val="0"/>
          <w:bCs w:val="0"/>
          <w:highlight w:val="none"/>
        </w:rPr>
      </w:pPr>
      <w:r>
        <w:rPr>
          <w:highlight w:val="none"/>
        </w:rPr>
      </w:r>
      <w:bookmarkStart w:id="130" w:name="_Toc16938541"/>
      <w:r>
        <w:rPr>
          <w:highlight w:val="none"/>
        </w:rPr>
      </w:r>
      <w:bookmarkStart w:id="131" w:name="_Toc462564084"/>
      <w:r>
        <w:rPr>
          <w:highlight w:val="none"/>
        </w:rPr>
      </w:r>
      <w:bookmarkStart w:id="132" w:name="_Toc20823297"/>
      <w:r>
        <w:rPr>
          <w:highlight w:val="none"/>
        </w:rPr>
      </w:r>
      <w:bookmarkStart w:id="133" w:name="_Toc513029225"/>
      <w:r>
        <w:rPr>
          <w:rFonts w:hint="eastAsia"/>
          <w:b w:val="0"/>
          <w:bCs w:val="0"/>
          <w:highlight w:val="none"/>
        </w:rPr>
        <w:t xml:space="preserve">17、</w:t>
      </w:r>
      <w:r>
        <w:rPr>
          <w:rFonts w:hint="eastAsia" w:ascii="黑体"/>
          <w:b w:val="0"/>
          <w:bCs w:val="0"/>
          <w:highlight w:val="none"/>
        </w:rPr>
        <w:t xml:space="preserve">投标文件</w:t>
      </w:r>
      <w:bookmarkEnd w:id="130"/>
      <w:r>
        <w:rPr>
          <w:highlight w:val="none"/>
        </w:rPr>
      </w:r>
      <w:bookmarkEnd w:id="131"/>
      <w:r>
        <w:rPr>
          <w:highlight w:val="none"/>
        </w:rPr>
      </w:r>
      <w:bookmarkEnd w:id="132"/>
      <w:r>
        <w:rPr>
          <w:highlight w:val="none"/>
        </w:rPr>
      </w:r>
      <w:bookmarkEnd w:id="133"/>
      <w:r>
        <w:rPr>
          <w:rFonts w:hint="eastAsia" w:ascii="黑体"/>
          <w:b w:val="0"/>
          <w:bCs w:val="0"/>
          <w:highlight w:val="none"/>
        </w:rPr>
        <w:t xml:space="preserve">的递交</w:t>
      </w:r>
      <w:r>
        <w:rPr>
          <w:rFonts w:hint="eastAsia" w:ascii="黑体"/>
          <w:b w:val="0"/>
          <w:bCs w:val="0"/>
          <w:highlight w:val="none"/>
        </w:rPr>
      </w:r>
      <w:r>
        <w:rPr>
          <w:highlight w:val="none"/>
        </w:rPr>
      </w:r>
    </w:p>
    <w:p>
      <w:pPr>
        <w:pStyle w:val="955"/>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17.1 电子投标文件的递交</w:t>
      </w:r>
      <w:r>
        <w:rPr>
          <w:rFonts w:hint="eastAsia" w:ascii="宋体" w:hAnsi="宋体"/>
          <w:sz w:val="24"/>
          <w:szCs w:val="24"/>
          <w:highlight w:val="none"/>
        </w:rPr>
      </w:r>
      <w:r>
        <w:rPr>
          <w:highlight w:val="none"/>
        </w:rPr>
      </w:r>
    </w:p>
    <w:p>
      <w:pPr>
        <w:pStyle w:val="955"/>
        <w:ind w:firstLine="480"/>
        <w:spacing w:line="500" w:lineRule="exact"/>
        <w:rPr>
          <w:rFonts w:hint="eastAsia" w:ascii="宋体" w:hAnsi="宋体"/>
          <w:sz w:val="24"/>
          <w:szCs w:val="24"/>
          <w:highlight w:val="none"/>
        </w:rPr>
      </w:pPr>
      <w:r>
        <w:rPr>
          <w:highlight w:val="none"/>
        </w:rPr>
      </w:r>
      <w:bookmarkStart w:id="134" w:name="_Toc16938542"/>
      <w:r>
        <w:rPr>
          <w:highlight w:val="none"/>
        </w:rPr>
      </w:r>
      <w:bookmarkStart w:id="135" w:name="_Toc513029226"/>
      <w:r>
        <w:rPr>
          <w:highlight w:val="none"/>
        </w:rPr>
      </w:r>
      <w:bookmarkStart w:id="136" w:name="_Toc20823298"/>
      <w:r>
        <w:rPr>
          <w:rFonts w:hint="eastAsia" w:ascii="宋体" w:hAnsi="宋体"/>
          <w:sz w:val="24"/>
          <w:szCs w:val="24"/>
          <w:highlight w:val="none"/>
        </w:rPr>
        <w:t xml:space="preserve">线上提交与接收地点：投标人应当通过“苏采云”系统提交数据电文形式的投标文件（即电子投标），“苏采云”系统自动接收。</w:t>
      </w:r>
      <w:r>
        <w:rPr>
          <w:rFonts w:hint="eastAsia" w:ascii="宋体" w:hAnsi="宋体"/>
          <w:sz w:val="24"/>
          <w:szCs w:val="24"/>
          <w:highlight w:val="none"/>
        </w:rPr>
      </w:r>
      <w:r>
        <w:rPr>
          <w:highlight w:val="none"/>
        </w:rPr>
      </w:r>
    </w:p>
    <w:p>
      <w:pPr>
        <w:pStyle w:val="955"/>
        <w:contextualSpacing/>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说明：电子投标文件应由其法定代表人或被授权人在规定的网上投标时间内，凭CA证书登录“苏采云”系统在线编制投标文件（电子数据），通过“苏采云”系统提交政府采购客户端工具导出加密的投标文件（后缀名为zip）。响应文件不得超过150M!并在投标截止时间之前上传投标文件。投标人应在达到开标时间后，使用CA数字证书解密各自投标文件。</w:t>
      </w:r>
      <w:r>
        <w:rPr>
          <w:rFonts w:hint="eastAsia" w:ascii="宋体" w:hAnsi="宋体" w:cs="宋体"/>
          <w:b/>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17.2.投标文件的密封（加密）要求：</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投标人须通过“苏采云”系统提供的政府采购客户端工具（使用“CA数字证书”）加盖电子签章。</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说明：投标人应在用CA数字证书以及自备的能够登录“苏采云”系统的电脑，在达到开标时间后，使用CA数字证书解密各自投标文件。</w:t>
      </w:r>
      <w:r>
        <w:rPr>
          <w:rFonts w:ascii="宋体" w:hAnsi="宋体" w:cs="宋体"/>
          <w:bCs/>
          <w:sz w:val="24"/>
          <w:szCs w:val="24"/>
          <w:highlight w:val="none"/>
        </w:rPr>
      </w:r>
      <w:r>
        <w:rPr>
          <w:highlight w:val="none"/>
        </w:rPr>
      </w:r>
    </w:p>
    <w:p>
      <w:pPr>
        <w:pStyle w:val="955"/>
        <w:contextualSpacing/>
        <w:ind w:firstLine="482"/>
        <w:spacing w:line="360" w:lineRule="auto"/>
        <w:rPr>
          <w:highlight w:val="none"/>
        </w:rPr>
      </w:pPr>
      <w:r>
        <w:rPr>
          <w:rFonts w:hint="eastAsia" w:ascii="宋体" w:hAnsi="宋体" w:cs="宋体"/>
          <w:bCs/>
          <w:sz w:val="24"/>
          <w:szCs w:val="24"/>
          <w:highlight w:val="none"/>
        </w:rPr>
        <w:t xml:space="preserve">投标人未按规定加密的投标文件，“苏采云”系统将拒收并提示。</w:t>
      </w:r>
      <w:r>
        <w:rPr>
          <w:highlight w:val="none"/>
        </w:rPr>
      </w:r>
    </w:p>
    <w:p>
      <w:pPr>
        <w:pStyle w:val="959"/>
        <w:rPr>
          <w:rFonts w:hint="eastAsia"/>
          <w:b w:val="0"/>
          <w:highlight w:val="none"/>
        </w:rPr>
      </w:pPr>
      <w:r>
        <w:rPr>
          <w:rFonts w:hint="eastAsia"/>
          <w:b w:val="0"/>
          <w:highlight w:val="none"/>
        </w:rPr>
        <w:t xml:space="preserve">18、投标截止</w:t>
      </w:r>
      <w:bookmarkEnd w:id="134"/>
      <w:r>
        <w:rPr>
          <w:highlight w:val="none"/>
        </w:rPr>
      </w:r>
      <w:bookmarkEnd w:id="135"/>
      <w:r>
        <w:rPr>
          <w:highlight w:val="none"/>
        </w:rPr>
      </w:r>
      <w:bookmarkEnd w:id="136"/>
      <w:r>
        <w:rPr>
          <w:rFonts w:hint="eastAsia"/>
          <w:b w:val="0"/>
          <w:highlight w:val="none"/>
        </w:rPr>
        <w:t xml:space="preserve">时间</w:t>
      </w:r>
      <w:r>
        <w:rPr>
          <w:rFonts w:hint="eastAsia"/>
          <w:b w:val="0"/>
          <w:highlight w:val="none"/>
        </w:rPr>
      </w:r>
      <w:r>
        <w:rPr>
          <w:highlight w:val="none"/>
        </w:rPr>
      </w:r>
    </w:p>
    <w:p>
      <w:pPr>
        <w:pStyle w:val="955"/>
        <w:ind w:firstLine="480"/>
        <w:spacing w:line="500" w:lineRule="exact"/>
        <w:rPr>
          <w:rFonts w:hint="eastAsia" w:ascii="宋体" w:hAnsi="宋体"/>
          <w:bCs/>
          <w:i/>
          <w:sz w:val="24"/>
          <w:highlight w:val="none"/>
          <w:u w:val="single"/>
        </w:rPr>
      </w:pPr>
      <w:r>
        <w:rPr>
          <w:rFonts w:hint="eastAsia" w:ascii="宋体" w:hAnsi="宋体"/>
          <w:i/>
          <w:sz w:val="24"/>
          <w:highlight w:val="none"/>
          <w:u w:val="single"/>
        </w:rPr>
        <w:t xml:space="preserve">18.1</w:t>
      </w:r>
      <w:r>
        <w:rPr>
          <w:rFonts w:hint="eastAsia" w:ascii="宋体" w:hAnsi="宋体"/>
          <w:bCs/>
          <w:i/>
          <w:sz w:val="24"/>
          <w:highlight w:val="none"/>
          <w:u w:val="single"/>
        </w:rPr>
        <w:t xml:space="preserve"> 投标人上传电子投标文件的时间不得迟于招标公告中规定的投标截止时间。</w:t>
      </w:r>
      <w:r>
        <w:rPr>
          <w:rFonts w:hint="eastAsia" w:ascii="宋体" w:hAnsi="宋体"/>
          <w:bCs/>
          <w:i/>
          <w:sz w:val="24"/>
          <w:highlight w:val="none"/>
          <w:u w:val="single"/>
        </w:rPr>
      </w:r>
      <w:r>
        <w:rPr>
          <w:highlight w:val="none"/>
        </w:rPr>
      </w:r>
    </w:p>
    <w:p>
      <w:pPr>
        <w:pStyle w:val="955"/>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bCs/>
          <w:sz w:val="24"/>
          <w:highlight w:val="none"/>
        </w:rPr>
      </w:r>
      <w:r>
        <w:rPr>
          <w:highlight w:val="none"/>
        </w:rPr>
      </w:r>
    </w:p>
    <w:p>
      <w:pPr>
        <w:pStyle w:val="955"/>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rPr>
          <w:highlight w:val="none"/>
        </w:rPr>
      </w:r>
    </w:p>
    <w:p>
      <w:pPr>
        <w:pStyle w:val="959"/>
        <w:spacing w:before="0" w:after="0" w:line="240" w:lineRule="auto"/>
        <w:rPr>
          <w:rFonts w:hint="eastAsia"/>
          <w:b w:val="0"/>
          <w:bCs w:val="0"/>
          <w:highlight w:val="none"/>
        </w:rPr>
      </w:pPr>
      <w:r>
        <w:rPr>
          <w:highlight w:val="none"/>
        </w:rPr>
      </w:r>
      <w:bookmarkStart w:id="137" w:name="_Toc20823299"/>
      <w:r>
        <w:rPr>
          <w:highlight w:val="none"/>
        </w:rPr>
      </w:r>
      <w:bookmarkStart w:id="138" w:name="_Toc16938543"/>
      <w:r>
        <w:rPr>
          <w:highlight w:val="none"/>
        </w:rPr>
      </w:r>
      <w:bookmarkStart w:id="139" w:name="_Toc513029227"/>
      <w:r>
        <w:rPr>
          <w:rFonts w:hint="eastAsia"/>
          <w:b w:val="0"/>
          <w:bCs w:val="0"/>
          <w:highlight w:val="none"/>
        </w:rPr>
        <w:t xml:space="preserve">19、投标文件</w:t>
      </w:r>
      <w:bookmarkEnd w:id="137"/>
      <w:r>
        <w:rPr>
          <w:highlight w:val="none"/>
        </w:rPr>
      </w:r>
      <w:bookmarkEnd w:id="138"/>
      <w:r>
        <w:rPr>
          <w:highlight w:val="none"/>
        </w:rPr>
      </w:r>
      <w:bookmarkEnd w:id="139"/>
      <w:r>
        <w:rPr>
          <w:rFonts w:hint="eastAsia"/>
          <w:b w:val="0"/>
          <w:bCs w:val="0"/>
          <w:highlight w:val="none"/>
        </w:rPr>
        <w:t xml:space="preserve">的拒收</w:t>
      </w:r>
      <w:r>
        <w:rPr>
          <w:rFonts w:hint="eastAsia"/>
          <w:b w:val="0"/>
          <w:bCs w:val="0"/>
          <w:highlight w:val="none"/>
        </w:rPr>
      </w:r>
      <w:r>
        <w:rPr>
          <w:highlight w:val="none"/>
        </w:rPr>
      </w:r>
    </w:p>
    <w:p>
      <w:pPr>
        <w:pStyle w:val="955"/>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采购代理机构拒绝接收在其规定的投标截止时间后上传的任何投标文件。</w:t>
      </w:r>
      <w:r>
        <w:rPr>
          <w:rFonts w:hint="eastAsia" w:ascii="宋体" w:hAnsi="宋体"/>
          <w:bCs/>
          <w:sz w:val="24"/>
          <w:highlight w:val="none"/>
        </w:rPr>
      </w:r>
      <w:r>
        <w:rPr>
          <w:highlight w:val="none"/>
        </w:rPr>
      </w:r>
    </w:p>
    <w:p>
      <w:pPr>
        <w:pStyle w:val="959"/>
        <w:spacing w:before="0" w:after="0" w:line="240" w:lineRule="auto"/>
        <w:rPr>
          <w:rFonts w:hint="eastAsia"/>
          <w:b w:val="0"/>
          <w:bCs w:val="0"/>
          <w:highlight w:val="none"/>
        </w:rPr>
      </w:pPr>
      <w:r>
        <w:rPr>
          <w:highlight w:val="none"/>
        </w:rPr>
      </w:r>
      <w:bookmarkStart w:id="140" w:name="_Toc16938544"/>
      <w:r>
        <w:rPr>
          <w:highlight w:val="none"/>
        </w:rPr>
      </w:r>
      <w:bookmarkStart w:id="141" w:name="_Toc513029228"/>
      <w:r>
        <w:rPr>
          <w:highlight w:val="none"/>
        </w:rPr>
      </w:r>
      <w:bookmarkStart w:id="142" w:name="_Toc20823300"/>
      <w:r>
        <w:rPr>
          <w:rFonts w:hint="eastAsia"/>
          <w:b w:val="0"/>
          <w:bCs w:val="0"/>
          <w:highlight w:val="none"/>
        </w:rPr>
        <w:t xml:space="preserve">20、投标文件的撤回和修改</w:t>
      </w:r>
      <w:bookmarkEnd w:id="140"/>
      <w:r>
        <w:rPr>
          <w:highlight w:val="none"/>
        </w:rPr>
      </w:r>
      <w:bookmarkEnd w:id="141"/>
      <w:r>
        <w:rPr>
          <w:highlight w:val="none"/>
        </w:rPr>
      </w:r>
      <w:bookmarkEnd w:id="142"/>
      <w:r>
        <w:rPr>
          <w:rFonts w:hint="eastAsia"/>
          <w:b w:val="0"/>
          <w:bCs w:val="0"/>
          <w:highlight w:val="none"/>
        </w:rPr>
      </w:r>
      <w:r>
        <w:rPr>
          <w:highlight w:val="none"/>
        </w:rPr>
      </w:r>
    </w:p>
    <w:p>
      <w:pPr>
        <w:pStyle w:val="955"/>
        <w:ind w:firstLine="480"/>
        <w:spacing w:line="480" w:lineRule="exact"/>
        <w:rPr>
          <w:rFonts w:hint="eastAsia" w:ascii="宋体" w:hAnsi="宋体"/>
          <w:sz w:val="24"/>
          <w:highlight w:val="none"/>
        </w:rPr>
      </w:pPr>
      <w:r>
        <w:rPr>
          <w:rFonts w:hint="eastAsia" w:ascii="宋体" w:hAnsi="宋体"/>
          <w:sz w:val="24"/>
          <w:highlight w:val="none"/>
        </w:rPr>
        <w:t xml:space="preserve">20.1 投标文件的撤回</w:t>
      </w:r>
      <w:r>
        <w:rPr>
          <w:rFonts w:hint="eastAsia" w:ascii="宋体" w:hAnsi="宋体"/>
          <w:sz w:val="24"/>
          <w:highlight w:val="none"/>
        </w:rPr>
      </w:r>
      <w:r>
        <w:rPr>
          <w:highlight w:val="none"/>
        </w:rPr>
      </w:r>
    </w:p>
    <w:p>
      <w:pPr>
        <w:pStyle w:val="955"/>
        <w:ind w:firstLine="480"/>
        <w:spacing w:line="480" w:lineRule="exact"/>
        <w:rPr>
          <w:rFonts w:hint="eastAsia" w:ascii="宋体" w:hAnsi="宋体"/>
          <w:sz w:val="24"/>
          <w:highlight w:val="none"/>
        </w:rPr>
      </w:pPr>
      <w:r>
        <w:rPr>
          <w:rFonts w:hint="eastAsia" w:ascii="宋体" w:hAnsi="宋体"/>
          <w:sz w:val="24"/>
          <w:highlight w:val="none"/>
        </w:rPr>
        <w:t xml:space="preserve">21.1.1 电子投标文件的撤回</w:t>
      </w:r>
      <w:r>
        <w:rPr>
          <w:rFonts w:hint="eastAsia" w:ascii="宋体" w:hAnsi="宋体"/>
          <w:sz w:val="24"/>
          <w:highlight w:val="none"/>
        </w:rPr>
      </w:r>
      <w:r>
        <w:rPr>
          <w:highlight w:val="none"/>
        </w:rPr>
      </w:r>
    </w:p>
    <w:p>
      <w:pPr>
        <w:pStyle w:val="955"/>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w:t>
      </w:r>
      <w:r>
        <w:rPr>
          <w:rFonts w:hint="eastAsia" w:ascii="宋体" w:hAnsi="宋体" w:cs="宋体"/>
          <w:bCs/>
          <w:sz w:val="24"/>
          <w:szCs w:val="24"/>
          <w:highlight w:val="none"/>
        </w:rPr>
        <w:t xml:space="preserve">“苏采云”系统供应商操作手册</w:t>
      </w:r>
      <w:r>
        <w:rPr>
          <w:rFonts w:hint="eastAsia" w:ascii="宋体" w:hAnsi="宋体"/>
          <w:sz w:val="24"/>
          <w:highlight w:val="none"/>
        </w:rPr>
        <w:t xml:space="preserve">。</w:t>
      </w:r>
      <w:r>
        <w:rPr>
          <w:rFonts w:hint="eastAsia" w:ascii="宋体" w:hAnsi="宋体"/>
          <w:sz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20.2 投标文件的修改</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w:t>
      </w:r>
      <w:r>
        <w:rPr>
          <w:rFonts w:hint="eastAsia" w:ascii="宋体" w:hAnsi="宋体" w:cs="宋体"/>
          <w:bCs/>
          <w:sz w:val="24"/>
          <w:szCs w:val="24"/>
          <w:highlight w:val="none"/>
        </w:rPr>
        <w:t xml:space="preserve">“苏采云”系统供应商操作手册</w:t>
      </w:r>
      <w:r>
        <w:rPr>
          <w:rFonts w:hint="eastAsia" w:ascii="宋体" w:hAnsi="宋体"/>
          <w:sz w:val="24"/>
          <w:highlight w:val="none"/>
        </w:rPr>
        <w:t xml:space="preserve">。</w:t>
      </w:r>
      <w:r>
        <w:rPr>
          <w:rFonts w:hint="eastAsia" w:ascii="宋体" w:hAnsi="宋体"/>
          <w:sz w:val="24"/>
          <w:highlight w:val="none"/>
        </w:rPr>
      </w:r>
      <w:r>
        <w:rPr>
          <w:highlight w:val="none"/>
        </w:rPr>
      </w:r>
    </w:p>
    <w:p>
      <w:pPr>
        <w:pStyle w:val="955"/>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rPr>
          <w:highlight w:val="none"/>
        </w:rPr>
      </w:r>
    </w:p>
    <w:p>
      <w:pPr>
        <w:pStyle w:val="955"/>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rPr>
          <w:highlight w:val="none"/>
        </w:rPr>
      </w:r>
    </w:p>
    <w:p>
      <w:pPr>
        <w:pStyle w:val="958"/>
        <w:spacing w:before="145" w:after="145" w:line="360" w:lineRule="auto"/>
        <w:rPr>
          <w:rFonts w:hint="eastAsia"/>
          <w:highlight w:val="none"/>
        </w:rPr>
      </w:pPr>
      <w:r>
        <w:rPr>
          <w:highlight w:val="none"/>
        </w:rPr>
      </w:r>
      <w:bookmarkStart w:id="143" w:name="_Toc20823301"/>
      <w:r>
        <w:rPr>
          <w:highlight w:val="none"/>
        </w:rPr>
      </w:r>
      <w:bookmarkStart w:id="144" w:name="_Toc120614218"/>
      <w:r>
        <w:rPr>
          <w:highlight w:val="none"/>
        </w:rPr>
      </w:r>
      <w:bookmarkStart w:id="145" w:name="_Toc16938545"/>
      <w:r>
        <w:rPr>
          <w:highlight w:val="none"/>
        </w:rPr>
      </w:r>
      <w:bookmarkStart w:id="146" w:name="_Toc513029229"/>
      <w:r>
        <w:rPr>
          <w:rFonts w:hint="eastAsia"/>
          <w:highlight w:val="none"/>
        </w:rPr>
        <w:t xml:space="preserve">五、开标与评标</w:t>
      </w:r>
      <w:bookmarkEnd w:id="143"/>
      <w:r>
        <w:rPr>
          <w:highlight w:val="none"/>
        </w:rPr>
      </w:r>
      <w:bookmarkEnd w:id="144"/>
      <w:r>
        <w:rPr>
          <w:highlight w:val="none"/>
        </w:rPr>
      </w:r>
      <w:bookmarkEnd w:id="145"/>
      <w:r>
        <w:rPr>
          <w:highlight w:val="none"/>
        </w:rPr>
      </w:r>
      <w:bookmarkEnd w:id="146"/>
      <w:r>
        <w:rPr>
          <w:rFonts w:hint="eastAsia"/>
          <w:highlight w:val="none"/>
        </w:rPr>
      </w:r>
      <w:r>
        <w:rPr>
          <w:highlight w:val="none"/>
        </w:rPr>
      </w:r>
    </w:p>
    <w:p>
      <w:pPr>
        <w:pStyle w:val="959"/>
        <w:spacing w:before="0" w:after="0" w:line="240" w:lineRule="auto"/>
        <w:rPr>
          <w:rFonts w:hint="eastAsia"/>
          <w:b w:val="0"/>
          <w:bCs w:val="0"/>
          <w:highlight w:val="none"/>
        </w:rPr>
      </w:pPr>
      <w:r>
        <w:rPr>
          <w:highlight w:val="none"/>
        </w:rPr>
      </w:r>
      <w:bookmarkStart w:id="147" w:name="_Toc513029230"/>
      <w:r>
        <w:rPr>
          <w:highlight w:val="none"/>
        </w:rPr>
      </w:r>
      <w:bookmarkStart w:id="148" w:name="_Toc16938546"/>
      <w:r>
        <w:rPr>
          <w:highlight w:val="none"/>
        </w:rPr>
      </w:r>
      <w:bookmarkStart w:id="149" w:name="_Toc20823302"/>
      <w:r>
        <w:rPr>
          <w:rFonts w:hint="eastAsia"/>
          <w:b w:val="0"/>
          <w:bCs w:val="0"/>
          <w:highlight w:val="none"/>
        </w:rPr>
        <w:t xml:space="preserve">21、开标</w:t>
      </w:r>
      <w:bookmarkEnd w:id="147"/>
      <w:r>
        <w:rPr>
          <w:highlight w:val="none"/>
        </w:rPr>
      </w:r>
      <w:bookmarkEnd w:id="148"/>
      <w:r>
        <w:rPr>
          <w:highlight w:val="none"/>
        </w:rPr>
      </w:r>
      <w:bookmarkEnd w:id="149"/>
      <w:r>
        <w:rPr>
          <w:rFonts w:hint="eastAsia"/>
          <w:b w:val="0"/>
          <w:bCs w:val="0"/>
          <w:highlight w:val="none"/>
        </w:rPr>
      </w:r>
      <w:r>
        <w:rPr>
          <w:highlight w:val="none"/>
        </w:rPr>
      </w:r>
    </w:p>
    <w:p>
      <w:pPr>
        <w:pStyle w:val="955"/>
        <w:contextualSpacing/>
        <w:ind w:firstLine="482"/>
        <w:spacing w:line="360" w:lineRule="auto"/>
        <w:rPr>
          <w:rFonts w:ascii="宋体" w:hAnsi="宋体" w:cs="宋体"/>
          <w:bCs/>
          <w:sz w:val="24"/>
          <w:szCs w:val="24"/>
          <w:highlight w:val="none"/>
        </w:rPr>
      </w:pPr>
      <w:r>
        <w:rPr>
          <w:highlight w:val="none"/>
        </w:rPr>
      </w:r>
      <w:bookmarkStart w:id="150" w:name="_Toc513029231"/>
      <w:r>
        <w:rPr>
          <w:highlight w:val="none"/>
        </w:rPr>
      </w:r>
      <w:bookmarkStart w:id="151" w:name="_Toc16938547"/>
      <w:r>
        <w:rPr>
          <w:highlight w:val="none"/>
        </w:rPr>
      </w:r>
      <w:bookmarkStart w:id="152" w:name="_Toc20823303"/>
      <w:r>
        <w:rPr>
          <w:rFonts w:hint="eastAsia" w:ascii="宋体" w:hAnsi="宋体" w:cs="宋体"/>
          <w:bCs/>
          <w:sz w:val="24"/>
          <w:szCs w:val="24"/>
          <w:highlight w:val="none"/>
        </w:rPr>
        <w:t xml:space="preserve">21.1招标人或招标代理机构将在招标公告中规定的时间和地点组织公开开标。</w:t>
      </w:r>
      <w:r>
        <w:rPr>
          <w:rFonts w:hint="eastAsia" w:ascii="宋体" w:hAnsi="宋体" w:cs="宋体"/>
          <w:sz w:val="24"/>
          <w:szCs w:val="24"/>
          <w:highlight w:val="none"/>
        </w:rPr>
        <w:t xml:space="preserve">投标人应当按照</w:t>
      </w:r>
      <w:r>
        <w:rPr>
          <w:rFonts w:hint="eastAsia" w:ascii="宋体" w:hAnsi="宋体" w:cs="宋体"/>
          <w:bCs/>
          <w:sz w:val="24"/>
          <w:szCs w:val="24"/>
          <w:highlight w:val="none"/>
        </w:rPr>
        <w:t xml:space="preserve">“苏采云”系统供应商操作手册</w:t>
      </w:r>
      <w:r>
        <w:rPr>
          <w:rFonts w:hint="eastAsia" w:ascii="宋体" w:hAnsi="宋体" w:cs="宋体"/>
          <w:sz w:val="24"/>
          <w:szCs w:val="24"/>
          <w:highlight w:val="none"/>
        </w:rPr>
        <w:t xml:space="preserve">规定，参加开标活动，在</w:t>
      </w:r>
      <w:r>
        <w:rPr>
          <w:rFonts w:hint="eastAsia" w:ascii="宋体" w:hAnsi="宋体" w:cs="宋体"/>
          <w:b/>
          <w:sz w:val="24"/>
          <w:szCs w:val="24"/>
          <w:highlight w:val="none"/>
        </w:rPr>
        <w:t xml:space="preserve">开标后</w:t>
      </w:r>
      <w:r>
        <w:rPr>
          <w:rFonts w:hint="eastAsia" w:ascii="宋体" w:hAnsi="宋体" w:cs="宋体"/>
          <w:b/>
          <w:sz w:val="24"/>
          <w:szCs w:val="24"/>
          <w:highlight w:val="none"/>
          <w:u w:val="single"/>
        </w:rPr>
        <w:t xml:space="preserve">30分钟</w:t>
      </w:r>
      <w:r>
        <w:rPr>
          <w:rFonts w:hint="eastAsia" w:ascii="宋体" w:hAnsi="宋体" w:cs="宋体"/>
          <w:b/>
          <w:sz w:val="24"/>
          <w:szCs w:val="24"/>
          <w:highlight w:val="none"/>
        </w:rPr>
        <w:t xml:space="preserve">之内</w:t>
      </w:r>
      <w:r>
        <w:rPr>
          <w:rFonts w:hint="eastAsia" w:ascii="宋体" w:hAnsi="宋体" w:cs="宋体"/>
          <w:sz w:val="24"/>
          <w:szCs w:val="24"/>
          <w:highlight w:val="none"/>
        </w:rPr>
        <w:t xml:space="preserve">对投标文件进行解密。</w:t>
      </w:r>
      <w:r>
        <w:rPr>
          <w:rFonts w:ascii="宋体" w:hAnsi="宋体" w:cs="宋体"/>
          <w:bCs/>
          <w:sz w:val="24"/>
          <w:szCs w:val="24"/>
          <w:highlight w:val="none"/>
        </w:rPr>
      </w:r>
      <w:r>
        <w:rPr>
          <w:highlight w:val="none"/>
        </w:rPr>
      </w:r>
    </w:p>
    <w:p>
      <w:pPr>
        <w:pStyle w:val="955"/>
        <w:contextualSpacing/>
        <w:ind w:firstLine="480"/>
        <w:spacing w:line="360" w:lineRule="auto"/>
        <w:rPr>
          <w:rFonts w:ascii="宋体" w:hAnsi="宋体" w:cs="宋体"/>
          <w:b/>
          <w:sz w:val="24"/>
          <w:szCs w:val="24"/>
          <w:highlight w:val="none"/>
        </w:rPr>
      </w:pPr>
      <w:r>
        <w:rPr>
          <w:rFonts w:hint="eastAsia" w:ascii="宋体" w:hAnsi="宋体" w:cs="宋体"/>
          <w:b/>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rFonts w:ascii="宋体" w:hAnsi="宋体" w:cs="宋体"/>
          <w:b/>
          <w:sz w:val="24"/>
          <w:szCs w:val="24"/>
          <w:highlight w:val="none"/>
        </w:rPr>
      </w:r>
      <w:r>
        <w:rPr>
          <w:highlight w:val="none"/>
        </w:rPr>
      </w:r>
    </w:p>
    <w:p>
      <w:pPr>
        <w:pStyle w:val="955"/>
        <w:contextualSpacing/>
        <w:ind w:firstLine="482"/>
        <w:spacing w:line="360" w:lineRule="auto"/>
        <w:rPr>
          <w:rFonts w:ascii="宋体" w:hAnsi="宋体" w:cs="宋体"/>
          <w:sz w:val="24"/>
          <w:szCs w:val="24"/>
          <w:highlight w:val="none"/>
        </w:rPr>
      </w:pPr>
      <w:r>
        <w:rPr>
          <w:rFonts w:hint="eastAsia" w:ascii="宋体" w:hAnsi="宋体" w:cs="宋体"/>
          <w:bCs/>
          <w:sz w:val="24"/>
          <w:szCs w:val="24"/>
          <w:highlight w:val="none"/>
        </w:rPr>
        <w:t xml:space="preserve">21.2</w:t>
      </w:r>
      <w:r>
        <w:rPr>
          <w:rFonts w:hint="eastAsia" w:ascii="宋体" w:hAnsi="宋体" w:cs="宋体"/>
          <w:sz w:val="24"/>
          <w:szCs w:val="24"/>
          <w:highlight w:val="none"/>
        </w:rPr>
        <w:t xml:space="preserve">开标仪式由</w:t>
      </w:r>
      <w:r>
        <w:rPr>
          <w:rFonts w:hint="eastAsia" w:ascii="宋体" w:hAnsi="宋体" w:cs="宋体"/>
          <w:bCs/>
          <w:sz w:val="24"/>
          <w:szCs w:val="24"/>
          <w:highlight w:val="none"/>
        </w:rPr>
        <w:t xml:space="preserve">招标代理机构</w:t>
      </w:r>
      <w:r>
        <w:rPr>
          <w:rFonts w:hint="eastAsia" w:ascii="宋体" w:hAnsi="宋体" w:cs="宋体"/>
          <w:sz w:val="24"/>
          <w:szCs w:val="24"/>
          <w:highlight w:val="none"/>
        </w:rPr>
        <w:t xml:space="preserve">组织。苏采云系统将自动对项目进行开标，并宣布各投标人名称和投标价格。</w:t>
      </w:r>
      <w:r>
        <w:rPr>
          <w:rFonts w:ascii="宋体" w:hAnsi="宋体" w:cs="宋体"/>
          <w:sz w:val="24"/>
          <w:szCs w:val="24"/>
          <w:highlight w:val="none"/>
        </w:rPr>
      </w:r>
      <w:r>
        <w:rPr>
          <w:highlight w:val="none"/>
        </w:rPr>
      </w:r>
    </w:p>
    <w:p>
      <w:pPr>
        <w:pStyle w:val="955"/>
        <w:contextualSpacing/>
        <w:ind w:firstLine="482"/>
        <w:spacing w:line="360" w:lineRule="auto"/>
        <w:rPr>
          <w:rFonts w:ascii="宋体" w:hAnsi="宋体" w:cs="宋体"/>
          <w:sz w:val="24"/>
          <w:szCs w:val="24"/>
          <w:highlight w:val="none"/>
        </w:rPr>
      </w:pPr>
      <w:r>
        <w:rPr>
          <w:rFonts w:hint="eastAsia" w:ascii="宋体" w:hAnsi="宋体" w:cs="宋体"/>
          <w:bCs/>
          <w:sz w:val="24"/>
          <w:szCs w:val="24"/>
          <w:highlight w:val="none"/>
        </w:rPr>
        <w:t xml:space="preserve">21.3投标人在开标过程中涉及到的投标文件解密、开标结果确认等工作，应按照“苏采云”系统供应商操作手册规定执行。</w:t>
      </w:r>
      <w:r>
        <w:rPr>
          <w:rFonts w:ascii="宋体" w:hAnsi="宋体" w:cs="宋体"/>
          <w:sz w:val="24"/>
          <w:szCs w:val="24"/>
          <w:highlight w:val="none"/>
        </w:rPr>
      </w:r>
      <w:r>
        <w:rPr>
          <w:highlight w:val="none"/>
        </w:rPr>
      </w:r>
    </w:p>
    <w:p>
      <w:pPr>
        <w:pStyle w:val="955"/>
        <w:contextualSpacing/>
        <w:ind w:firstLine="482"/>
        <w:spacing w:line="360" w:lineRule="auto"/>
        <w:rPr>
          <w:rFonts w:ascii="宋体" w:hAnsi="宋体" w:cs="宋体"/>
          <w:b/>
          <w:sz w:val="24"/>
          <w:szCs w:val="24"/>
          <w:highlight w:val="none"/>
        </w:rPr>
      </w:pPr>
      <w:r>
        <w:rPr>
          <w:rFonts w:hint="eastAsia" w:ascii="宋体" w:hAnsi="宋体" w:cs="宋体"/>
          <w:sz w:val="24"/>
          <w:szCs w:val="24"/>
          <w:highlight w:val="none"/>
        </w:rPr>
        <w:t xml:space="preserve">21.4投标人如果对开标过程和开标记录有疑义，应当根据</w:t>
      </w:r>
      <w:r>
        <w:rPr>
          <w:rFonts w:hint="eastAsia" w:ascii="宋体" w:hAnsi="宋体" w:cs="宋体"/>
          <w:bCs/>
          <w:sz w:val="24"/>
          <w:szCs w:val="24"/>
          <w:highlight w:val="none"/>
        </w:rPr>
        <w:t xml:space="preserve">“苏采云”系统供应商操作手册</w:t>
      </w:r>
      <w:r>
        <w:rPr>
          <w:rFonts w:hint="eastAsia" w:ascii="宋体" w:hAnsi="宋体" w:cs="宋体"/>
          <w:sz w:val="24"/>
          <w:szCs w:val="24"/>
          <w:highlight w:val="none"/>
        </w:rPr>
        <w:t xml:space="preserve">规定提出，如苏采云系统中《开标记录表》宣布后5分钟内未提出的，视同认可开标结果。</w:t>
      </w:r>
      <w:r>
        <w:rPr>
          <w:rFonts w:ascii="宋体" w:hAnsi="宋体" w:cs="宋体"/>
          <w:b/>
          <w:sz w:val="24"/>
          <w:szCs w:val="24"/>
          <w:highlight w:val="none"/>
        </w:rPr>
      </w:r>
      <w:r>
        <w:rPr>
          <w:highlight w:val="none"/>
        </w:rPr>
      </w:r>
    </w:p>
    <w:p>
      <w:pPr>
        <w:pStyle w:val="959"/>
        <w:spacing w:before="0" w:after="0" w:line="240" w:lineRule="auto"/>
        <w:rPr>
          <w:rFonts w:hint="eastAsia"/>
          <w:b w:val="0"/>
          <w:bCs w:val="0"/>
          <w:highlight w:val="none"/>
        </w:rPr>
      </w:pPr>
      <w:r>
        <w:rPr>
          <w:rFonts w:hint="eastAsia"/>
          <w:b w:val="0"/>
          <w:bCs w:val="0"/>
          <w:highlight w:val="none"/>
        </w:rPr>
        <w:t xml:space="preserve">22、评标委员会</w:t>
      </w:r>
      <w:r>
        <w:rPr>
          <w:rFonts w:hint="eastAsia"/>
          <w:b w:val="0"/>
          <w:bCs w:val="0"/>
          <w:highlight w:val="none"/>
        </w:rPr>
      </w:r>
      <w:r>
        <w:rPr>
          <w:highlight w:val="none"/>
        </w:rPr>
      </w:r>
    </w:p>
    <w:p>
      <w:pPr>
        <w:pStyle w:val="955"/>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开标后，采购代理机构将立即组织评标委员会（以下简称评委会）进行评标。</w:t>
      </w:r>
      <w:r>
        <w:rPr>
          <w:rFonts w:hint="eastAsia" w:ascii="宋体" w:hAnsi="宋体"/>
          <w:b/>
          <w:sz w:val="24"/>
          <w:szCs w:val="24"/>
          <w:highlight w:val="none"/>
        </w:rPr>
      </w:r>
      <w:r>
        <w:rPr>
          <w:highlight w:val="none"/>
        </w:rPr>
      </w:r>
    </w:p>
    <w:p>
      <w:pPr>
        <w:pStyle w:val="955"/>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 评委会由采购人代表和有关技术、经济等方面的专家组成，且人员构成符合政府采购有关规定。</w:t>
      </w:r>
      <w:r>
        <w:rPr>
          <w:rFonts w:hint="eastAsia" w:ascii="宋体" w:hAnsi="宋体"/>
          <w:sz w:val="24"/>
          <w:szCs w:val="24"/>
          <w:highlight w:val="none"/>
        </w:rPr>
      </w:r>
      <w:r>
        <w:rPr>
          <w:highlight w:val="none"/>
        </w:rPr>
      </w:r>
    </w:p>
    <w:p>
      <w:pPr>
        <w:pStyle w:val="955"/>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22.3评委会独立工作，负责评审所有投标文件并确定中标侯选人。</w:t>
      </w:r>
      <w:r>
        <w:rPr>
          <w:rFonts w:hint="eastAsia" w:ascii="宋体" w:hAnsi="宋体"/>
          <w:sz w:val="24"/>
          <w:szCs w:val="24"/>
          <w:highlight w:val="none"/>
        </w:rPr>
      </w:r>
      <w:r>
        <w:rPr>
          <w:highlight w:val="none"/>
        </w:rPr>
      </w:r>
    </w:p>
    <w:p>
      <w:pPr>
        <w:pStyle w:val="959"/>
        <w:spacing w:before="0" w:after="0" w:line="240" w:lineRule="auto"/>
        <w:rPr>
          <w:rFonts w:hint="eastAsia" w:ascii="黑体"/>
          <w:b w:val="0"/>
          <w:bCs w:val="0"/>
          <w:highlight w:val="none"/>
        </w:rPr>
      </w:pPr>
      <w:r>
        <w:rPr>
          <w:rFonts w:hint="eastAsia" w:ascii="黑体"/>
          <w:b w:val="0"/>
          <w:bCs w:val="0"/>
          <w:highlight w:val="none"/>
        </w:rPr>
        <w:t xml:space="preserve">23、评标过程的保密与公正</w:t>
      </w:r>
      <w:r>
        <w:rPr>
          <w:rFonts w:hint="eastAsia" w:ascii="黑体"/>
          <w:b w:val="0"/>
          <w:bCs w:val="0"/>
          <w:highlight w:val="none"/>
        </w:rPr>
      </w:r>
      <w:r>
        <w:rPr>
          <w:highlight w:val="none"/>
        </w:rPr>
      </w:r>
    </w:p>
    <w:p>
      <w:pPr>
        <w:pStyle w:val="955"/>
        <w:ind w:firstLine="480"/>
        <w:spacing w:line="500" w:lineRule="exact"/>
        <w:rPr>
          <w:rFonts w:hint="eastAsia" w:ascii="宋体" w:hAnsi="宋体"/>
          <w:bCs/>
          <w:sz w:val="24"/>
          <w:highlight w:val="none"/>
        </w:rPr>
      </w:pPr>
      <w:r>
        <w:rPr>
          <w:highlight w:val="none"/>
        </w:rPr>
      </w:r>
      <w:bookmarkEnd w:id="150"/>
      <w:r>
        <w:rPr>
          <w:highlight w:val="none"/>
        </w:rPr>
      </w:r>
      <w:bookmarkEnd w:id="151"/>
      <w:r>
        <w:rPr>
          <w:highlight w:val="none"/>
        </w:rPr>
      </w:r>
      <w:bookmarkEnd w:id="152"/>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凡是与审查、澄清、评价和比较投标的有关资料以及授标建议等，采购人、评委、采购代理机构均不得向投标人或与评标无关的其他人员透露。</w:t>
      </w:r>
      <w:r>
        <w:rPr>
          <w:rFonts w:hint="eastAsia" w:ascii="宋体" w:hAnsi="宋体"/>
          <w:bCs/>
          <w:sz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 采购代理机构和评标委员会不向未中标的投标人解释未中标原因，也不公布评标过程中的相关细节。</w:t>
      </w:r>
      <w:r>
        <w:rPr>
          <w:rFonts w:hint="eastAsia" w:ascii="宋体" w:hAnsi="宋体"/>
          <w:sz w:val="24"/>
          <w:szCs w:val="24"/>
          <w:highlight w:val="none"/>
        </w:rPr>
      </w:r>
      <w:r>
        <w:rPr>
          <w:highlight w:val="none"/>
        </w:rPr>
      </w:r>
    </w:p>
    <w:p>
      <w:pPr>
        <w:pStyle w:val="955"/>
        <w:ind w:firstLine="480"/>
        <w:spacing w:line="480" w:lineRule="exact"/>
        <w:rPr>
          <w:rFonts w:ascii="宋体" w:hAnsi="宋体"/>
          <w:sz w:val="24"/>
          <w:szCs w:val="24"/>
          <w:highlight w:val="none"/>
        </w:rPr>
      </w:pPr>
      <w:r>
        <w:rPr>
          <w:rFonts w:hint="eastAsia" w:ascii="宋体" w:hAnsi="宋体"/>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sz w:val="24"/>
          <w:szCs w:val="24"/>
          <w:highlight w:val="none"/>
        </w:rPr>
      </w:r>
      <w:r>
        <w:rPr>
          <w:highlight w:val="none"/>
        </w:rPr>
      </w:r>
    </w:p>
    <w:p>
      <w:pPr>
        <w:pStyle w:val="959"/>
        <w:spacing w:before="0" w:after="0" w:line="240" w:lineRule="auto"/>
        <w:rPr>
          <w:rFonts w:hint="eastAsia"/>
          <w:b w:val="0"/>
          <w:bCs w:val="0"/>
          <w:highlight w:val="none"/>
        </w:rPr>
      </w:pPr>
      <w:r>
        <w:rPr>
          <w:highlight w:val="none"/>
        </w:rPr>
      </w:r>
      <w:bookmarkStart w:id="153" w:name="_Toc16938548"/>
      <w:r>
        <w:rPr>
          <w:highlight w:val="none"/>
        </w:rPr>
      </w:r>
      <w:bookmarkStart w:id="154" w:name="_Toc513029232"/>
      <w:r>
        <w:rPr>
          <w:highlight w:val="none"/>
        </w:rPr>
      </w:r>
      <w:bookmarkStart w:id="155" w:name="_Toc20823304"/>
      <w:r>
        <w:rPr>
          <w:rFonts w:hint="eastAsia"/>
          <w:b w:val="0"/>
          <w:bCs w:val="0"/>
          <w:highlight w:val="none"/>
        </w:rPr>
        <w:t xml:space="preserve">24、投标文件的澄清</w:t>
      </w:r>
      <w:bookmarkEnd w:id="153"/>
      <w:r>
        <w:rPr>
          <w:highlight w:val="none"/>
        </w:rPr>
      </w:r>
      <w:bookmarkEnd w:id="154"/>
      <w:r>
        <w:rPr>
          <w:highlight w:val="none"/>
        </w:rPr>
      </w:r>
      <w:bookmarkEnd w:id="155"/>
      <w:r>
        <w:rPr>
          <w:rFonts w:hint="eastAsia"/>
          <w:b w:val="0"/>
          <w:bCs w:val="0"/>
          <w:highlight w:val="none"/>
        </w:rPr>
      </w:r>
      <w:r>
        <w:rPr>
          <w:highlight w:val="none"/>
        </w:rPr>
      </w:r>
    </w:p>
    <w:p>
      <w:pPr>
        <w:pStyle w:val="955"/>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rPr>
          <w:highlight w:val="none"/>
        </w:rPr>
      </w:r>
    </w:p>
    <w:p>
      <w:pPr>
        <w:pStyle w:val="955"/>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w:t>
      </w:r>
      <w:r>
        <w:rPr>
          <w:rFonts w:hint="eastAsia" w:ascii="宋体" w:hAnsi="宋体"/>
          <w:sz w:val="24"/>
          <w:szCs w:val="24"/>
          <w:highlight w:val="none"/>
        </w:rPr>
        <w:t xml:space="preserve">投标人</w:t>
      </w:r>
      <w:r>
        <w:rPr>
          <w:rFonts w:ascii="宋体" w:hAnsi="宋体"/>
          <w:sz w:val="24"/>
          <w:szCs w:val="24"/>
          <w:highlight w:val="none"/>
        </w:rPr>
        <w:t xml:space="preserve">都做澄清要求</w:t>
      </w:r>
      <w:r>
        <w:rPr>
          <w:rFonts w:hint="eastAsia" w:ascii="宋体" w:hAnsi="宋体"/>
          <w:sz w:val="24"/>
          <w:szCs w:val="24"/>
          <w:highlight w:val="none"/>
        </w:rPr>
        <w:t xml:space="preserve">。</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rPr>
          <w:highlight w:val="none"/>
        </w:rPr>
      </w:r>
    </w:p>
    <w:p>
      <w:pPr>
        <w:pStyle w:val="955"/>
        <w:spacing w:line="480" w:lineRule="exact"/>
        <w:rPr>
          <w:rFonts w:hint="eastAsia" w:ascii="宋体" w:hAnsi="宋体"/>
          <w:sz w:val="24"/>
          <w:szCs w:val="24"/>
          <w:highlight w:val="none"/>
        </w:rPr>
      </w:pPr>
      <w:r>
        <w:rPr>
          <w:rFonts w:hint="eastAsia" w:ascii="宋体" w:hAnsi="宋体"/>
          <w:sz w:val="24"/>
          <w:szCs w:val="24"/>
          <w:highlight w:val="none"/>
        </w:rPr>
        <w:t xml:space="preserve">    24.3 接到评委会澄清、说明和补正要求的投标人如未按规定做出澄清、说明和补正，其风险由投标人自行承担。</w:t>
      </w:r>
      <w:r>
        <w:rPr>
          <w:rFonts w:hint="eastAsia" w:ascii="宋体" w:hAnsi="宋体"/>
          <w:sz w:val="24"/>
          <w:szCs w:val="24"/>
          <w:highlight w:val="none"/>
        </w:rPr>
      </w:r>
      <w:r>
        <w:rPr>
          <w:highlight w:val="none"/>
        </w:rPr>
      </w:r>
    </w:p>
    <w:p>
      <w:pPr>
        <w:pStyle w:val="959"/>
        <w:spacing w:before="0" w:after="0" w:line="240" w:lineRule="auto"/>
        <w:rPr>
          <w:rFonts w:hint="eastAsia"/>
          <w:b w:val="0"/>
          <w:bCs w:val="0"/>
          <w:highlight w:val="none"/>
        </w:rPr>
      </w:pPr>
      <w:r>
        <w:rPr>
          <w:highlight w:val="none"/>
        </w:rPr>
      </w:r>
      <w:bookmarkStart w:id="156" w:name="_Toc16938549"/>
      <w:r>
        <w:rPr>
          <w:highlight w:val="none"/>
        </w:rPr>
      </w:r>
      <w:bookmarkStart w:id="157" w:name="_Toc20823305"/>
      <w:r>
        <w:rPr>
          <w:highlight w:val="none"/>
        </w:rPr>
      </w:r>
      <w:bookmarkStart w:id="158" w:name="_Toc513029233"/>
      <w:r>
        <w:rPr>
          <w:rFonts w:hint="eastAsia"/>
          <w:b w:val="0"/>
          <w:bCs w:val="0"/>
          <w:highlight w:val="none"/>
        </w:rPr>
        <w:t xml:space="preserve">25、对投标文件的初审</w:t>
      </w:r>
      <w:bookmarkEnd w:id="156"/>
      <w:r>
        <w:rPr>
          <w:highlight w:val="none"/>
        </w:rPr>
      </w:r>
      <w:bookmarkEnd w:id="157"/>
      <w:r>
        <w:rPr>
          <w:highlight w:val="none"/>
        </w:rPr>
      </w:r>
      <w:bookmarkEnd w:id="158"/>
      <w:r>
        <w:rPr>
          <w:rFonts w:hint="eastAsia"/>
          <w:b w:val="0"/>
          <w:bCs w:val="0"/>
          <w:highlight w:val="none"/>
        </w:rPr>
      </w:r>
      <w:r>
        <w:rPr>
          <w:highlight w:val="none"/>
        </w:rPr>
      </w:r>
    </w:p>
    <w:p>
      <w:pPr>
        <w:pStyle w:val="955"/>
        <w:ind w:firstLine="480"/>
        <w:spacing w:line="46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rPr>
          <w:highlight w:val="none"/>
        </w:rPr>
      </w:r>
    </w:p>
    <w:p>
      <w:pPr>
        <w:pStyle w:val="955"/>
        <w:ind w:firstLine="480"/>
        <w:spacing w:line="460" w:lineRule="exact"/>
        <w:rPr>
          <w:rFonts w:hint="eastAsia" w:ascii="宋体" w:hAnsi="宋体"/>
          <w:bCs/>
          <w:sz w:val="24"/>
          <w:highlight w:val="none"/>
        </w:rPr>
      </w:pPr>
      <w:r>
        <w:rPr>
          <w:rFonts w:hint="eastAsia" w:ascii="宋体" w:hAnsi="宋体"/>
          <w:bCs/>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rPr>
          <w:highlight w:val="none"/>
        </w:rPr>
      </w:r>
    </w:p>
    <w:p>
      <w:pPr>
        <w:pStyle w:val="955"/>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rPr>
          <w:highlight w:val="none"/>
        </w:rPr>
      </w:r>
    </w:p>
    <w:p>
      <w:pPr>
        <w:pStyle w:val="955"/>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bCs/>
          <w:sz w:val="24"/>
          <w:highlight w:val="none"/>
        </w:rPr>
      </w:r>
      <w:r>
        <w:rPr>
          <w:highlight w:val="none"/>
        </w:rPr>
      </w:r>
    </w:p>
    <w:p>
      <w:pPr>
        <w:pStyle w:val="955"/>
        <w:ind w:firstLine="480"/>
        <w:spacing w:line="460" w:lineRule="exact"/>
        <w:rPr>
          <w:rFonts w:hint="eastAsia" w:ascii="宋体" w:hAnsi="宋体"/>
          <w:bCs/>
          <w:sz w:val="24"/>
          <w:highlight w:val="none"/>
        </w:rPr>
      </w:pPr>
      <w:r>
        <w:rPr>
          <w:rFonts w:hint="eastAsia" w:ascii="宋体" w:hAnsi="宋体"/>
          <w:bCs/>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rPr>
          <w:highlight w:val="none"/>
        </w:rPr>
      </w:r>
    </w:p>
    <w:p>
      <w:pPr>
        <w:pStyle w:val="955"/>
        <w:ind w:firstLine="480"/>
        <w:spacing w:line="460" w:lineRule="exact"/>
        <w:rPr>
          <w:rFonts w:hint="eastAsia" w:ascii="宋体" w:hAnsi="宋体"/>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w:t>
      </w:r>
      <w:r>
        <w:rPr>
          <w:rFonts w:hint="eastAsia" w:ascii="宋体" w:hAnsi="宋体"/>
          <w:sz w:val="24"/>
          <w:highlight w:val="none"/>
        </w:rPr>
        <w:t xml:space="preserve">，采购代理机构将在苏采云系统中告知未通过资格审查或符合性审查的原因，评标结束后，采购代理机构将不再告知未通过资格审查和符合性审查的原因。</w:t>
      </w:r>
      <w:r>
        <w:rPr>
          <w:rFonts w:hint="eastAsia" w:ascii="宋体" w:hAnsi="宋体"/>
          <w:sz w:val="24"/>
          <w:highlight w:val="none"/>
        </w:rPr>
      </w:r>
      <w:r>
        <w:rPr>
          <w:highlight w:val="none"/>
        </w:rPr>
      </w:r>
    </w:p>
    <w:p>
      <w:pPr>
        <w:pStyle w:val="955"/>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rPr>
          <w:highlight w:val="none"/>
        </w:rPr>
      </w:r>
    </w:p>
    <w:p>
      <w:pPr>
        <w:pStyle w:val="955"/>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rPr>
          <w:highlight w:val="none"/>
        </w:rPr>
      </w:r>
    </w:p>
    <w:p>
      <w:pPr>
        <w:pStyle w:val="955"/>
        <w:ind w:firstLine="480"/>
        <w:spacing w:line="46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rPr>
          <w:highlight w:val="none"/>
        </w:rPr>
      </w:r>
    </w:p>
    <w:p>
      <w:pPr>
        <w:pStyle w:val="955"/>
        <w:ind w:firstLine="480"/>
        <w:spacing w:line="46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rPr>
          <w:highlight w:val="none"/>
        </w:rPr>
      </w:r>
    </w:p>
    <w:p>
      <w:pPr>
        <w:pStyle w:val="955"/>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rPr>
          <w:highlight w:val="none"/>
        </w:rPr>
      </w:r>
    </w:p>
    <w:p>
      <w:pPr>
        <w:pStyle w:val="955"/>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rPr>
          <w:highlight w:val="none"/>
        </w:rPr>
      </w:r>
    </w:p>
    <w:p>
      <w:pPr>
        <w:pStyle w:val="955"/>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rPr>
          <w:highlight w:val="none"/>
        </w:rPr>
      </w:r>
    </w:p>
    <w:p>
      <w:pPr>
        <w:pStyle w:val="955"/>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rPr>
          <w:highlight w:val="none"/>
        </w:rPr>
      </w:r>
    </w:p>
    <w:p>
      <w:pPr>
        <w:pStyle w:val="955"/>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rPr>
          <w:highlight w:val="none"/>
        </w:rPr>
      </w:r>
    </w:p>
    <w:p>
      <w:pPr>
        <w:pStyle w:val="955"/>
        <w:ind w:firstLine="480"/>
        <w:spacing w:line="46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告知投标人</w:t>
      </w:r>
      <w:r>
        <w:rPr>
          <w:rFonts w:ascii="宋体" w:hAnsi="宋体"/>
          <w:bCs/>
          <w:sz w:val="24"/>
          <w:highlight w:val="none"/>
        </w:rPr>
        <w:t xml:space="preserve">，</w:t>
      </w:r>
      <w:r>
        <w:rPr>
          <w:rFonts w:hint="eastAsia" w:ascii="宋体" w:hAnsi="宋体"/>
          <w:bCs/>
          <w:sz w:val="24"/>
          <w:highlight w:val="none"/>
        </w:rPr>
        <w:t xml:space="preserve">调整后的价格应对投标人具有约束力。如果投标人不接受修正后的价格，则其投标将被拒绝。</w:t>
      </w:r>
      <w:r>
        <w:rPr>
          <w:rFonts w:ascii="宋体" w:hAnsi="宋体"/>
          <w:bCs/>
          <w:sz w:val="24"/>
          <w:highlight w:val="none"/>
        </w:rPr>
      </w:r>
      <w:r>
        <w:rPr>
          <w:highlight w:val="none"/>
        </w:rPr>
      </w:r>
    </w:p>
    <w:p>
      <w:pPr>
        <w:pStyle w:val="955"/>
        <w:ind w:firstLine="540"/>
        <w:spacing w:line="460" w:lineRule="exact"/>
        <w:rPr>
          <w:rFonts w:hint="eastAsia" w:ascii="宋体" w:hAnsi="宋体"/>
          <w:sz w:val="24"/>
          <w:highlight w:val="none"/>
        </w:rPr>
      </w:pPr>
      <w:r>
        <w:rPr>
          <w:highlight w:val="none"/>
        </w:rPr>
      </w:r>
      <w:bookmarkStart w:id="159" w:name="_Toc20823306"/>
      <w:r>
        <w:rPr>
          <w:highlight w:val="none"/>
        </w:rPr>
      </w:r>
      <w:bookmarkStart w:id="160" w:name="_Toc16938550"/>
      <w:r>
        <w:rPr>
          <w:highlight w:val="none"/>
        </w:rPr>
      </w:r>
      <w:bookmarkStart w:id="161" w:name="_Toc513029234"/>
      <w:r>
        <w:rPr>
          <w:rFonts w:hint="eastAsia" w:ascii="宋体" w:hAnsi="宋体"/>
          <w:sz w:val="24"/>
          <w:highlight w:val="none"/>
        </w:rPr>
        <w:t xml:space="preserve">25.6投标人在开、评标全过程中应保持通讯畅通，及时登录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并安排专人与采购代理机构及评标委员会联系。</w:t>
      </w:r>
      <w:r>
        <w:rPr>
          <w:rFonts w:hint="eastAsia" w:ascii="宋体" w:hAnsi="宋体"/>
          <w:sz w:val="24"/>
          <w:highlight w:val="none"/>
        </w:rPr>
      </w:r>
      <w:r>
        <w:rPr>
          <w:highlight w:val="none"/>
        </w:rPr>
      </w:r>
    </w:p>
    <w:p>
      <w:pPr>
        <w:pStyle w:val="959"/>
        <w:spacing w:before="0" w:after="0" w:line="240" w:lineRule="auto"/>
        <w:rPr>
          <w:rFonts w:hint="eastAsia"/>
          <w:b w:val="0"/>
          <w:bCs w:val="0"/>
          <w:highlight w:val="none"/>
        </w:rPr>
      </w:pPr>
      <w:r>
        <w:rPr>
          <w:rFonts w:hint="eastAsia"/>
          <w:b w:val="0"/>
          <w:bCs w:val="0"/>
          <w:highlight w:val="none"/>
        </w:rPr>
        <w:t xml:space="preserve">26、</w:t>
      </w:r>
      <w:bookmarkEnd w:id="159"/>
      <w:r>
        <w:rPr>
          <w:highlight w:val="none"/>
        </w:rPr>
      </w:r>
      <w:bookmarkEnd w:id="160"/>
      <w:r>
        <w:rPr>
          <w:highlight w:val="none"/>
        </w:rPr>
      </w:r>
      <w:bookmarkEnd w:id="161"/>
      <w:r>
        <w:rPr>
          <w:rFonts w:hint="eastAsia"/>
          <w:b w:val="0"/>
          <w:bCs w:val="0"/>
          <w:highlight w:val="none"/>
        </w:rPr>
        <w:t xml:space="preserve">无效投标条款和废标条款</w:t>
      </w:r>
      <w:r>
        <w:rPr>
          <w:rFonts w:hint="eastAsia"/>
          <w:b w:val="0"/>
          <w:bCs w:val="0"/>
          <w:highlight w:val="none"/>
        </w:rPr>
      </w:r>
      <w:r>
        <w:rPr>
          <w:highlight w:val="none"/>
        </w:rPr>
      </w:r>
    </w:p>
    <w:p>
      <w:pPr>
        <w:pStyle w:val="955"/>
        <w:ind w:left="478"/>
        <w:spacing w:line="440" w:lineRule="exact"/>
        <w:rPr>
          <w:rFonts w:hint="eastAsia" w:ascii="宋体" w:hAnsi="宋体"/>
          <w:bCs/>
          <w:sz w:val="24"/>
          <w:highlight w:val="none"/>
        </w:rPr>
      </w:pPr>
      <w:r>
        <w:rPr>
          <w:highlight w:val="none"/>
        </w:rPr>
      </w:r>
      <w:bookmarkStart w:id="162" w:name="_Toc16938551"/>
      <w:r>
        <w:rPr>
          <w:highlight w:val="none"/>
        </w:rPr>
      </w:r>
      <w:bookmarkStart w:id="163" w:name="_Toc20823307"/>
      <w:r>
        <w:rPr>
          <w:highlight w:val="none"/>
        </w:rPr>
      </w:r>
      <w:bookmarkStart w:id="164" w:name="_Toc513029235"/>
      <w:r>
        <w:rPr>
          <w:rFonts w:hint="eastAsia" w:ascii="宋体" w:hAnsi="宋体"/>
          <w:bCs/>
          <w:sz w:val="24"/>
          <w:highlight w:val="none"/>
        </w:rPr>
        <w:t xml:space="preserve">26.1无效投标条款</w:t>
      </w:r>
      <w:r>
        <w:rPr>
          <w:rFonts w:hint="eastAsia" w:ascii="宋体" w:hAnsi="宋体"/>
          <w:bCs/>
          <w:sz w:val="24"/>
          <w:highlight w:val="none"/>
        </w:rPr>
      </w:r>
      <w:r>
        <w:rPr>
          <w:highlight w:val="none"/>
        </w:rPr>
      </w:r>
    </w:p>
    <w:p>
      <w:pPr>
        <w:pStyle w:val="955"/>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rPr>
          <w:highlight w:val="none"/>
        </w:rPr>
      </w:r>
    </w:p>
    <w:p>
      <w:pPr>
        <w:pStyle w:val="955"/>
        <w:ind w:firstLine="480"/>
        <w:spacing w:line="440" w:lineRule="exact"/>
        <w:rPr>
          <w:rFonts w:hint="eastAsia" w:ascii="宋体" w:hAnsi="宋体"/>
          <w:bCs/>
          <w:sz w:val="24"/>
          <w:highlight w:val="none"/>
        </w:rPr>
      </w:pPr>
      <w:r>
        <w:rPr>
          <w:rFonts w:hint="eastAsia" w:ascii="宋体" w:hAnsi="宋体"/>
          <w:bCs/>
          <w:sz w:val="24"/>
          <w:highlight w:val="none"/>
        </w:rPr>
        <w:t xml:space="preserve">26.1.2 投标人未按照招标文件要求上传电子投标文件的。</w:t>
      </w:r>
      <w:r>
        <w:rPr>
          <w:rFonts w:hint="eastAsia" w:ascii="宋体" w:hAnsi="宋体"/>
          <w:bCs/>
          <w:sz w:val="24"/>
          <w:highlight w:val="none"/>
        </w:rPr>
      </w:r>
      <w:r>
        <w:rPr>
          <w:highlight w:val="none"/>
        </w:rPr>
      </w:r>
    </w:p>
    <w:p>
      <w:pPr>
        <w:pStyle w:val="955"/>
        <w:ind w:left="478"/>
        <w:spacing w:line="440" w:lineRule="exact"/>
        <w:rPr>
          <w:rFonts w:hint="eastAsia" w:ascii="宋体" w:hAnsi="宋体"/>
          <w:bCs/>
          <w:sz w:val="24"/>
          <w:highlight w:val="none"/>
        </w:rPr>
      </w:pPr>
      <w:r>
        <w:rPr>
          <w:rFonts w:hint="eastAsia" w:ascii="宋体" w:hAnsi="宋体"/>
          <w:bCs/>
          <w:sz w:val="24"/>
          <w:highlight w:val="none"/>
        </w:rPr>
        <w:t xml:space="preserve">26.1.3同一投标人提交两个（含两个）以上不同的投标报价的。</w:t>
      </w:r>
      <w:r>
        <w:rPr>
          <w:rFonts w:hint="eastAsia" w:ascii="宋体" w:hAnsi="宋体"/>
          <w:bCs/>
          <w:sz w:val="24"/>
          <w:highlight w:val="none"/>
        </w:rPr>
      </w:r>
      <w:r>
        <w:rPr>
          <w:highlight w:val="none"/>
        </w:rPr>
      </w:r>
    </w:p>
    <w:p>
      <w:pPr>
        <w:pStyle w:val="955"/>
        <w:ind w:left="478"/>
        <w:spacing w:line="440" w:lineRule="exact"/>
        <w:rPr>
          <w:rFonts w:hint="eastAsia" w:ascii="宋体" w:hAnsi="宋体"/>
          <w:bCs/>
          <w:sz w:val="24"/>
          <w:highlight w:val="none"/>
        </w:rPr>
      </w:pPr>
      <w:r>
        <w:rPr>
          <w:rFonts w:hint="eastAsia" w:ascii="宋体" w:hAnsi="宋体"/>
          <w:bCs/>
          <w:sz w:val="24"/>
          <w:highlight w:val="none"/>
        </w:rPr>
        <w:t xml:space="preserve">26.1.4投标人不具备招标文件中规定资格要求的。</w:t>
      </w:r>
      <w:r>
        <w:rPr>
          <w:rFonts w:hint="eastAsia" w:ascii="宋体" w:hAnsi="宋体"/>
          <w:bCs/>
          <w:sz w:val="24"/>
          <w:highlight w:val="none"/>
        </w:rPr>
      </w:r>
      <w:r>
        <w:rPr>
          <w:highlight w:val="none"/>
        </w:rPr>
      </w:r>
    </w:p>
    <w:p>
      <w:pPr>
        <w:pStyle w:val="955"/>
        <w:ind w:firstLine="480"/>
        <w:spacing w:line="440" w:lineRule="exact"/>
        <w:rPr>
          <w:rFonts w:hint="eastAsia" w:ascii="宋体" w:hAnsi="宋体"/>
          <w:bCs/>
          <w:sz w:val="24"/>
          <w:highlight w:val="none"/>
        </w:rPr>
      </w:pPr>
      <w:r>
        <w:rPr>
          <w:rFonts w:hint="eastAsia" w:ascii="宋体" w:hAnsi="宋体"/>
          <w:bCs/>
          <w:sz w:val="24"/>
          <w:highlight w:val="none"/>
        </w:rPr>
        <w:t xml:space="preserve">26.1.5投标人的报价超过了采购预算或最高限价的。</w:t>
      </w:r>
      <w:r>
        <w:rPr>
          <w:rFonts w:hint="eastAsia" w:ascii="宋体" w:hAnsi="宋体"/>
          <w:bCs/>
          <w:sz w:val="24"/>
          <w:highlight w:val="none"/>
        </w:rPr>
      </w:r>
      <w:r>
        <w:rPr>
          <w:highlight w:val="none"/>
        </w:rPr>
      </w:r>
    </w:p>
    <w:p>
      <w:pPr>
        <w:pStyle w:val="955"/>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26.1.6</w:t>
      </w:r>
      <w:r>
        <w:rPr>
          <w:rFonts w:hint="eastAsia" w:ascii="宋体" w:hAnsi="宋体"/>
          <w:bCs/>
          <w:sz w:val="24"/>
          <w:highlight w:val="none"/>
          <w:u w:val="single"/>
        </w:rPr>
        <w:t xml:space="preserve">未通过符合性审查的</w:t>
      </w:r>
      <w:r>
        <w:rPr>
          <w:rFonts w:hint="eastAsia" w:ascii="宋体" w:hAnsi="宋体"/>
          <w:bCs/>
          <w:sz w:val="24"/>
          <w:highlight w:val="none"/>
        </w:rPr>
        <w:t xml:space="preserve">。</w:t>
      </w:r>
      <w:r>
        <w:rPr>
          <w:rFonts w:hint="eastAsia" w:ascii="宋体" w:hAnsi="宋体"/>
          <w:bCs/>
          <w:i/>
          <w:sz w:val="24"/>
          <w:highlight w:val="none"/>
          <w:u w:val="single"/>
        </w:rPr>
      </w:r>
      <w:r>
        <w:rPr>
          <w:highlight w:val="none"/>
        </w:rPr>
      </w:r>
    </w:p>
    <w:p>
      <w:pPr>
        <w:pStyle w:val="955"/>
        <w:ind w:firstLine="360"/>
        <w:spacing w:line="440" w:lineRule="exact"/>
        <w:rPr>
          <w:rFonts w:hint="eastAsia" w:ascii="宋体" w:hAnsi="宋体"/>
          <w:bCs/>
          <w:i/>
          <w:sz w:val="24"/>
          <w:highlight w:val="none"/>
          <w:u w:val="single"/>
        </w:rPr>
      </w:pPr>
      <w:r>
        <w:rPr>
          <w:rFonts w:hint="eastAsia" w:ascii="宋体" w:hAnsi="宋体"/>
          <w:bCs/>
          <w:sz w:val="24"/>
          <w:highlight w:val="none"/>
        </w:rPr>
        <w:t xml:space="preserve"> 26.1.7不符合招标文件中</w:t>
      </w:r>
      <w:r>
        <w:rPr>
          <w:rFonts w:hint="eastAsia" w:ascii="宋体" w:hAnsi="宋体"/>
          <w:bCs/>
          <w:sz w:val="24"/>
          <w:highlight w:val="none"/>
        </w:rPr>
        <w:t xml:space="preserve">规定的实质性要求和条件的（</w:t>
      </w:r>
      <w:r>
        <w:rPr>
          <w:rFonts w:hint="eastAsia" w:ascii="宋体" w:hAnsi="宋体"/>
          <w:b/>
          <w:i/>
          <w:sz w:val="24"/>
          <w:highlight w:val="none"/>
          <w:u w:val="single"/>
        </w:rPr>
        <w:t xml:space="preserve">本招标文件中斜体且有下划线部分为实质性要求和条件</w:t>
      </w:r>
      <w:r>
        <w:rPr>
          <w:rFonts w:hint="eastAsia" w:ascii="宋体" w:hAnsi="宋体"/>
          <w:bCs/>
          <w:i/>
          <w:sz w:val="24"/>
          <w:highlight w:val="none"/>
          <w:u w:val="single"/>
        </w:rPr>
        <w:t xml:space="preserve">）。</w:t>
      </w:r>
      <w:r>
        <w:rPr>
          <w:rFonts w:hint="eastAsia" w:ascii="宋体" w:hAnsi="宋体"/>
          <w:bCs/>
          <w:i/>
          <w:sz w:val="24"/>
          <w:highlight w:val="none"/>
          <w:u w:val="single"/>
        </w:rPr>
      </w:r>
      <w:r>
        <w:rPr>
          <w:highlight w:val="none"/>
        </w:rPr>
      </w:r>
    </w:p>
    <w:p>
      <w:pPr>
        <w:pStyle w:val="955"/>
        <w:ind w:firstLine="480"/>
        <w:spacing w:line="440" w:lineRule="exact"/>
        <w:rPr>
          <w:rFonts w:hint="eastAsia" w:ascii="宋体" w:hAnsi="宋体"/>
          <w:bCs/>
          <w:sz w:val="24"/>
          <w:highlight w:val="none"/>
        </w:rPr>
      </w:pPr>
      <w:r>
        <w:rPr>
          <w:rFonts w:hint="eastAsia" w:ascii="宋体" w:hAnsi="宋体"/>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rPr>
          <w:highlight w:val="none"/>
        </w:rPr>
      </w:r>
    </w:p>
    <w:p>
      <w:pPr>
        <w:pStyle w:val="955"/>
        <w:ind w:firstLine="480"/>
        <w:spacing w:line="440" w:lineRule="exact"/>
        <w:rPr>
          <w:rFonts w:hint="eastAsia" w:ascii="宋体" w:hAnsi="宋体"/>
          <w:bCs/>
          <w:sz w:val="24"/>
          <w:highlight w:val="none"/>
        </w:rPr>
      </w:pPr>
      <w:r>
        <w:rPr>
          <w:rFonts w:hint="eastAsia" w:ascii="宋体" w:hAnsi="宋体"/>
          <w:bCs/>
          <w:sz w:val="24"/>
          <w:highlight w:val="none"/>
        </w:rPr>
        <w:t xml:space="preserve">26.1.9 投标文件含有采购人不能接受的附加条件的。</w:t>
      </w:r>
      <w:r>
        <w:rPr>
          <w:rFonts w:hint="eastAsia" w:ascii="宋体" w:hAnsi="宋体"/>
          <w:bCs/>
          <w:sz w:val="24"/>
          <w:highlight w:val="none"/>
        </w:rPr>
      </w:r>
      <w:r>
        <w:rPr>
          <w:highlight w:val="none"/>
        </w:rPr>
      </w:r>
    </w:p>
    <w:p>
      <w:pPr>
        <w:pStyle w:val="955"/>
        <w:ind w:firstLine="480"/>
        <w:spacing w:line="440" w:lineRule="exact"/>
        <w:rPr>
          <w:rFonts w:hint="eastAsia" w:ascii="宋体" w:hAnsi="宋体"/>
          <w:bCs/>
          <w:sz w:val="24"/>
          <w:highlight w:val="none"/>
        </w:rPr>
      </w:pPr>
      <w:r>
        <w:rPr>
          <w:rFonts w:hint="eastAsia" w:ascii="宋体" w:hAnsi="宋体"/>
          <w:bCs/>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highlight w:val="none"/>
        </w:rPr>
      </w:r>
      <w:r>
        <w:rPr>
          <w:highlight w:val="none"/>
        </w:rPr>
      </w:r>
    </w:p>
    <w:p>
      <w:pPr>
        <w:pStyle w:val="955"/>
        <w:ind w:firstLine="480"/>
        <w:spacing w:line="440" w:lineRule="exact"/>
        <w:rPr>
          <w:rFonts w:hint="eastAsia" w:ascii="宋体" w:hAnsi="宋体"/>
          <w:bCs/>
          <w:sz w:val="24"/>
          <w:highlight w:val="none"/>
        </w:rPr>
      </w:pPr>
      <w:r>
        <w:rPr>
          <w:rFonts w:hint="eastAsia" w:ascii="宋体" w:hAnsi="宋体"/>
          <w:bCs/>
          <w:sz w:val="24"/>
          <w:highlight w:val="none"/>
        </w:rPr>
        <w:t xml:space="preserve">26.1.11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rPr>
          <w:highlight w:val="none"/>
        </w:rPr>
      </w:r>
    </w:p>
    <w:p>
      <w:pPr>
        <w:pStyle w:val="955"/>
        <w:ind w:firstLine="480"/>
        <w:spacing w:line="480" w:lineRule="exact"/>
        <w:rPr>
          <w:rFonts w:hint="eastAsia" w:ascii="宋体" w:hAnsi="宋体"/>
          <w:bCs/>
          <w:sz w:val="24"/>
          <w:highlight w:val="none"/>
        </w:rPr>
      </w:pPr>
      <w:r>
        <w:rPr>
          <w:rFonts w:hint="eastAsia" w:ascii="宋体" w:hAnsi="宋体"/>
          <w:bCs/>
          <w:sz w:val="24"/>
          <w:highlight w:val="none"/>
        </w:rPr>
        <w:t xml:space="preserve">26.1.12投标人的商务技术部分得分相差异常悬殊，评标委员会一致认为得分畸低者有可能影响产品质量或者不能诚信履约的。</w:t>
      </w:r>
      <w:r>
        <w:rPr>
          <w:rFonts w:hint="eastAsia" w:ascii="宋体" w:hAnsi="宋体"/>
          <w:bCs/>
          <w:sz w:val="24"/>
          <w:highlight w:val="none"/>
        </w:rPr>
      </w:r>
      <w:r>
        <w:rPr>
          <w:highlight w:val="none"/>
        </w:rPr>
      </w:r>
    </w:p>
    <w:p>
      <w:pPr>
        <w:pStyle w:val="955"/>
        <w:ind w:firstLine="480"/>
        <w:spacing w:line="440" w:lineRule="exact"/>
        <w:rPr>
          <w:rFonts w:hint="eastAsia" w:ascii="宋体" w:hAnsi="宋体"/>
          <w:bCs/>
          <w:sz w:val="24"/>
          <w:highlight w:val="none"/>
        </w:rPr>
      </w:pPr>
      <w:r>
        <w:rPr>
          <w:rFonts w:hint="eastAsia" w:ascii="宋体" w:hAnsi="宋体"/>
          <w:bCs/>
          <w:sz w:val="24"/>
          <w:highlight w:val="none"/>
        </w:rPr>
        <w:t xml:space="preserve">26.1.13其他法律、法规及本招标文件规定的属无效投标的情形。</w:t>
      </w:r>
      <w:r>
        <w:rPr>
          <w:rFonts w:hint="eastAsia" w:ascii="宋体" w:hAnsi="宋体"/>
          <w:bCs/>
          <w:sz w:val="24"/>
          <w:highlight w:val="none"/>
        </w:rPr>
      </w:r>
      <w:r>
        <w:rPr>
          <w:highlight w:val="none"/>
        </w:rPr>
      </w:r>
    </w:p>
    <w:p>
      <w:pPr>
        <w:pStyle w:val="955"/>
        <w:ind w:left="478"/>
        <w:spacing w:line="44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rPr>
          <w:highlight w:val="none"/>
        </w:rPr>
      </w:r>
    </w:p>
    <w:p>
      <w:pPr>
        <w:pStyle w:val="955"/>
        <w:ind w:left="478"/>
        <w:spacing w:line="440" w:lineRule="exact"/>
        <w:rPr>
          <w:rFonts w:hint="eastAsia" w:ascii="宋体" w:hAnsi="宋体"/>
          <w:bCs/>
          <w:sz w:val="24"/>
          <w:highlight w:val="none"/>
        </w:rPr>
      </w:pPr>
      <w:r>
        <w:rPr>
          <w:rFonts w:hint="eastAsia" w:ascii="宋体" w:hAnsi="宋体"/>
          <w:bCs/>
          <w:sz w:val="24"/>
          <w:highlight w:val="none"/>
        </w:rPr>
        <w:t xml:space="preserve">26.2.1符合专业条件的投标人或者对招标文件作实质响应的投标人不足三家的。</w:t>
      </w:r>
      <w:r>
        <w:rPr>
          <w:rFonts w:hint="eastAsia" w:ascii="宋体" w:hAnsi="宋体"/>
          <w:bCs/>
          <w:sz w:val="24"/>
          <w:highlight w:val="none"/>
        </w:rPr>
      </w:r>
      <w:r>
        <w:rPr>
          <w:highlight w:val="none"/>
        </w:rPr>
      </w:r>
    </w:p>
    <w:p>
      <w:pPr>
        <w:pStyle w:val="955"/>
        <w:ind w:left="478"/>
        <w:spacing w:line="440" w:lineRule="exact"/>
        <w:rPr>
          <w:rFonts w:hint="eastAsia" w:ascii="宋体" w:hAnsi="宋体"/>
          <w:bCs/>
          <w:sz w:val="24"/>
          <w:highlight w:val="none"/>
        </w:rPr>
      </w:pPr>
      <w:r>
        <w:rPr>
          <w:rFonts w:hint="eastAsia" w:ascii="宋体" w:hAnsi="宋体"/>
          <w:bCs/>
          <w:sz w:val="24"/>
          <w:highlight w:val="none"/>
        </w:rPr>
        <w:t xml:space="preserve">26.2.2出现影响采购公正的违法、违规行为的。</w:t>
      </w:r>
      <w:r>
        <w:rPr>
          <w:rFonts w:hint="eastAsia" w:ascii="宋体" w:hAnsi="宋体"/>
          <w:bCs/>
          <w:sz w:val="24"/>
          <w:highlight w:val="none"/>
        </w:rPr>
      </w:r>
      <w:r>
        <w:rPr>
          <w:highlight w:val="none"/>
        </w:rPr>
      </w:r>
    </w:p>
    <w:p>
      <w:pPr>
        <w:pStyle w:val="955"/>
        <w:ind w:left="478"/>
        <w:spacing w:line="44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rPr>
          <w:highlight w:val="none"/>
        </w:rPr>
      </w:r>
    </w:p>
    <w:p>
      <w:pPr>
        <w:pStyle w:val="955"/>
        <w:ind w:left="478"/>
        <w:spacing w:line="440" w:lineRule="exact"/>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ascii="宋体" w:hAnsi="宋体"/>
          <w:bCs/>
          <w:sz w:val="24"/>
          <w:highlight w:val="none"/>
        </w:rPr>
      </w:r>
      <w:r>
        <w:rPr>
          <w:highlight w:val="none"/>
        </w:rPr>
      </w:r>
    </w:p>
    <w:p>
      <w:pPr>
        <w:pStyle w:val="955"/>
        <w:ind w:left="478"/>
        <w:spacing w:line="44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rPr>
          <w:highlight w:val="none"/>
        </w:rPr>
      </w:r>
    </w:p>
    <w:p>
      <w:pPr>
        <w:pStyle w:val="955"/>
        <w:ind w:left="478"/>
        <w:spacing w:line="440" w:lineRule="exact"/>
        <w:rPr>
          <w:rFonts w:hint="eastAsia" w:ascii="宋体" w:hAnsi="宋体"/>
          <w:bCs/>
          <w:sz w:val="24"/>
          <w:highlight w:val="none"/>
        </w:rPr>
      </w:pPr>
      <w:r>
        <w:rPr>
          <w:rFonts w:hint="eastAsia" w:ascii="宋体" w:hAnsi="宋体"/>
          <w:bCs/>
          <w:sz w:val="24"/>
          <w:highlight w:val="none"/>
        </w:rPr>
        <w:t xml:space="preserve">26.3 投标截止时间结束后参加投标的投标人不足三家的处理：</w:t>
      </w:r>
      <w:r>
        <w:rPr>
          <w:rFonts w:hint="eastAsia" w:ascii="宋体" w:hAnsi="宋体"/>
          <w:bCs/>
          <w:sz w:val="24"/>
          <w:highlight w:val="none"/>
        </w:rPr>
      </w:r>
      <w:r>
        <w:rPr>
          <w:highlight w:val="none"/>
        </w:rPr>
      </w:r>
    </w:p>
    <w:p>
      <w:pPr>
        <w:pStyle w:val="955"/>
        <w:ind w:firstLine="480"/>
        <w:spacing w:line="44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26.3.1如出现投标截止时间结束后参加投标的投标人或者在评标期间对招标文件做出实质响应的投标人不足三家情况，按政府采购相关规定执行。</w:t>
      </w:r>
      <w:r>
        <w:rPr>
          <w:rFonts w:hint="eastAsia" w:ascii="宋体" w:hAnsi="宋体"/>
          <w:bCs/>
          <w:sz w:val="24"/>
          <w:highlight w:val="none"/>
        </w:rPr>
      </w:r>
      <w:r>
        <w:rPr>
          <w:highlight w:val="none"/>
        </w:rPr>
      </w:r>
    </w:p>
    <w:p>
      <w:pPr>
        <w:pStyle w:val="958"/>
        <w:spacing w:before="145" w:after="145" w:line="360" w:lineRule="auto"/>
        <w:rPr>
          <w:rFonts w:hint="eastAsia"/>
          <w:highlight w:val="none"/>
        </w:rPr>
      </w:pPr>
      <w:r>
        <w:rPr>
          <w:highlight w:val="none"/>
        </w:rPr>
      </w:r>
      <w:bookmarkStart w:id="165" w:name="_Toc120614219"/>
      <w:r>
        <w:rPr>
          <w:rFonts w:hint="eastAsia"/>
          <w:highlight w:val="none"/>
        </w:rPr>
        <w:t xml:space="preserve">六、</w:t>
      </w:r>
      <w:bookmarkEnd w:id="162"/>
      <w:r>
        <w:rPr>
          <w:highlight w:val="none"/>
        </w:rPr>
      </w:r>
      <w:bookmarkEnd w:id="163"/>
      <w:r>
        <w:rPr>
          <w:highlight w:val="none"/>
        </w:rPr>
      </w:r>
      <w:bookmarkEnd w:id="164"/>
      <w:r>
        <w:rPr>
          <w:rFonts w:hint="eastAsia"/>
          <w:highlight w:val="none"/>
        </w:rPr>
        <w:t xml:space="preserve">定标</w:t>
      </w:r>
      <w:bookmarkEnd w:id="165"/>
      <w:r>
        <w:rPr>
          <w:rFonts w:hint="eastAsia"/>
          <w:highlight w:val="none"/>
        </w:rPr>
      </w:r>
      <w:r>
        <w:rPr>
          <w:highlight w:val="none"/>
        </w:rPr>
      </w:r>
    </w:p>
    <w:p>
      <w:pPr>
        <w:pStyle w:val="959"/>
        <w:spacing w:before="0" w:after="0" w:line="240" w:lineRule="auto"/>
        <w:rPr>
          <w:rFonts w:hint="eastAsia" w:ascii="黑体" w:hAnsi="宋体"/>
          <w:b w:val="0"/>
          <w:sz w:val="30"/>
          <w:szCs w:val="30"/>
          <w:highlight w:val="none"/>
        </w:rPr>
      </w:pPr>
      <w:r>
        <w:rPr>
          <w:highlight w:val="none"/>
        </w:rPr>
      </w:r>
      <w:bookmarkStart w:id="166" w:name="_Toc513029238"/>
      <w:r>
        <w:rPr>
          <w:highlight w:val="none"/>
        </w:rPr>
      </w:r>
      <w:bookmarkStart w:id="167" w:name="_Toc16938554"/>
      <w:r>
        <w:rPr>
          <w:highlight w:val="none"/>
        </w:rPr>
      </w:r>
      <w:bookmarkStart w:id="168" w:name="_Toc20823310"/>
      <w:r>
        <w:rPr>
          <w:rFonts w:hint="eastAsia" w:ascii="黑体" w:hAnsi="宋体"/>
          <w:b w:val="0"/>
          <w:sz w:val="30"/>
          <w:szCs w:val="30"/>
          <w:highlight w:val="none"/>
        </w:rPr>
        <w:t xml:space="preserve">27、</w:t>
      </w:r>
      <w:bookmarkEnd w:id="166"/>
      <w:r>
        <w:rPr>
          <w:rFonts w:hint="eastAsia" w:ascii="黑体" w:hAnsi="宋体"/>
          <w:b w:val="0"/>
          <w:sz w:val="30"/>
          <w:szCs w:val="30"/>
          <w:highlight w:val="none"/>
        </w:rPr>
        <w:t xml:space="preserve">确定</w:t>
      </w:r>
      <w:bookmarkEnd w:id="167"/>
      <w:r>
        <w:rPr>
          <w:highlight w:val="none"/>
        </w:rPr>
      </w:r>
      <w:bookmarkEnd w:id="168"/>
      <w:r>
        <w:rPr>
          <w:rFonts w:hint="eastAsia" w:ascii="黑体" w:hAnsi="宋体"/>
          <w:b w:val="0"/>
          <w:sz w:val="30"/>
          <w:szCs w:val="30"/>
          <w:highlight w:val="none"/>
        </w:rPr>
        <w:t xml:space="preserve">中标单位</w:t>
      </w:r>
      <w:r>
        <w:rPr>
          <w:rFonts w:hint="eastAsia" w:ascii="黑体" w:hAnsi="宋体"/>
          <w:b w:val="0"/>
          <w:sz w:val="30"/>
          <w:szCs w:val="30"/>
          <w:highlight w:val="none"/>
        </w:rPr>
      </w:r>
      <w:r>
        <w:rPr>
          <w:highlight w:val="none"/>
        </w:rPr>
      </w:r>
    </w:p>
    <w:p>
      <w:pPr>
        <w:pStyle w:val="955"/>
        <w:ind w:firstLine="480"/>
        <w:spacing w:line="440" w:lineRule="exact"/>
        <w:rPr>
          <w:rFonts w:hint="eastAsia" w:ascii="宋体" w:hAnsi="宋体"/>
          <w:bCs/>
          <w:sz w:val="24"/>
          <w:highlight w:val="none"/>
        </w:rPr>
      </w:pPr>
      <w:r>
        <w:rPr>
          <w:rFonts w:hint="eastAsia" w:ascii="宋体" w:hAnsi="宋体"/>
          <w:bCs/>
          <w:sz w:val="24"/>
          <w:highlight w:val="none"/>
        </w:rPr>
        <w:t xml:space="preserve">27.1中标候选人的选取原则和数量见招标文件第五章规定。 </w:t>
      </w:r>
      <w:r>
        <w:rPr>
          <w:rFonts w:hint="eastAsia" w:ascii="宋体" w:hAnsi="宋体"/>
          <w:bCs/>
          <w:sz w:val="24"/>
          <w:highlight w:val="none"/>
        </w:rPr>
      </w:r>
      <w:r>
        <w:rPr>
          <w:highlight w:val="none"/>
        </w:rPr>
      </w:r>
    </w:p>
    <w:p>
      <w:pPr>
        <w:pStyle w:val="955"/>
        <w:ind w:firstLine="480"/>
        <w:spacing w:line="440" w:lineRule="exact"/>
        <w:rPr>
          <w:rFonts w:hint="eastAsia" w:ascii="宋体" w:hAnsi="宋体"/>
          <w:bCs/>
          <w:sz w:val="24"/>
          <w:highlight w:val="none"/>
        </w:rPr>
      </w:pPr>
      <w:r>
        <w:rPr>
          <w:rFonts w:hint="eastAsia" w:ascii="宋体" w:hAnsi="宋体"/>
          <w:bCs/>
          <w:sz w:val="24"/>
          <w:highlight w:val="none"/>
        </w:rPr>
        <w:t xml:space="preserve">27.2 采购人应根据评委会推荐的中标候选人确定中标人。</w:t>
      </w:r>
      <w:r>
        <w:rPr>
          <w:rFonts w:hint="eastAsia" w:ascii="宋体" w:hAnsi="宋体"/>
          <w:bCs/>
          <w:sz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27.3 </w:t>
      </w:r>
      <w:r>
        <w:rPr>
          <w:rFonts w:hint="eastAsia" w:ascii="宋体" w:hAnsi="宋体"/>
          <w:sz w:val="24"/>
          <w:szCs w:val="24"/>
          <w:highlight w:val="none"/>
        </w:rPr>
        <w:t xml:space="preserve">采购代理机构将在“江苏政府采购网”发布中标公告，公告期限为1个工作日。</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 若有充分证据证明，中标人出现下列情况之一的，一经查实，将被取消中标资格：</w:t>
      </w:r>
      <w:r>
        <w:rPr>
          <w:rFonts w:hint="eastAsia" w:ascii="宋体" w:hAnsi="宋体"/>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highlight w:val="none"/>
        </w:rPr>
      </w:r>
      <w:bookmarkStart w:id="169" w:name="_Toc200451960"/>
      <w:r>
        <w:rPr>
          <w:rFonts w:hint="eastAsia" w:ascii="宋体" w:hAnsi="宋体" w:cs="宋体"/>
          <w:bCs/>
          <w:sz w:val="24"/>
          <w:szCs w:val="24"/>
          <w:highlight w:val="none"/>
        </w:rPr>
        <w:t xml:space="preserve">27.4.1提供虚假材料谋取中标的。</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27.4.2向招标人或招标代理机构行贿或者评审专家提供其他不正当利益的。</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27.4.3恶意竞争，报价明显低于其自身合理成本且又无法提供证明的。</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27.4.4属于本文件规定的无效条件，但在评审过程中又未被评标委员会发现的。</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27.4.5与评审专家、招标人、其他投标人或者招标代理机构工作人员恶意串通的。</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27.4.6采取不正当手段诋毁、排挤其他投标人的。</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27.4.7中标后无正当理由拒不与招标人签订政府采购合同或者未按照招标文件确定的事项签订政府采购合同的。</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27.4.8将政府采购合同转包的。</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27.5.有下列情形之一的，视为投标人串通参与投标，投标无效：</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27.5.1不同投标人的投标文件由同一单位或者个人编制；</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27.5.2不同投标人委托同一单位或者个人办理投标事宜；</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27.5.3不同投标人的投标文件载明的项目管理成员或者联系人员为同一人；</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27.5.4不同投标人的投标文件异常一致或者响应报价呈规律性差异；</w:t>
      </w:r>
      <w:r>
        <w:rPr>
          <w:rFonts w:ascii="宋体" w:hAnsi="宋体" w:cs="宋体"/>
          <w:bCs/>
          <w:sz w:val="24"/>
          <w:szCs w:val="24"/>
          <w:highlight w:val="none"/>
        </w:rPr>
      </w:r>
      <w:r>
        <w:rPr>
          <w:highlight w:val="none"/>
        </w:rPr>
      </w:r>
    </w:p>
    <w:p>
      <w:pPr>
        <w:pStyle w:val="955"/>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27.5.5不同投标人的投标文件相互混装。</w:t>
      </w:r>
      <w:r>
        <w:rPr>
          <w:rFonts w:ascii="宋体" w:hAnsi="宋体" w:cs="宋体"/>
          <w:bCs/>
          <w:sz w:val="24"/>
          <w:szCs w:val="24"/>
          <w:highlight w:val="none"/>
        </w:rPr>
      </w:r>
      <w:r>
        <w:rPr>
          <w:highlight w:val="none"/>
        </w:rPr>
      </w:r>
    </w:p>
    <w:p>
      <w:pPr>
        <w:pStyle w:val="959"/>
        <w:spacing w:before="0" w:after="0" w:line="240" w:lineRule="auto"/>
        <w:rPr>
          <w:rFonts w:hint="eastAsia" w:ascii="黑体" w:hAnsi="宋体"/>
          <w:b w:val="0"/>
          <w:sz w:val="30"/>
          <w:szCs w:val="30"/>
          <w:highlight w:val="none"/>
        </w:rPr>
      </w:pPr>
      <w:r>
        <w:rPr>
          <w:rFonts w:hint="eastAsia" w:ascii="黑体" w:hAnsi="宋体"/>
          <w:b w:val="0"/>
          <w:sz w:val="30"/>
          <w:szCs w:val="30"/>
          <w:highlight w:val="none"/>
        </w:rPr>
        <w:t xml:space="preserve">28、质疑处理</w:t>
      </w:r>
      <w:bookmarkEnd w:id="169"/>
      <w:r>
        <w:rPr>
          <w:rFonts w:hint="eastAsia" w:ascii="黑体" w:hAnsi="宋体"/>
          <w:b w:val="0"/>
          <w:sz w:val="30"/>
          <w:szCs w:val="30"/>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28.1 提出质疑的投标人应当是参与所质疑项目采购活动的投标人。潜在投标人依法获取其可质疑的采购文件的，可以对采购文件提出质疑。</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sz w:val="24"/>
          <w:szCs w:val="24"/>
          <w:highlight w:val="none"/>
        </w:rPr>
      </w:r>
      <w:r>
        <w:rPr>
          <w:highlight w:val="none"/>
        </w:rPr>
      </w:r>
    </w:p>
    <w:p>
      <w:pPr>
        <w:pStyle w:val="955"/>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r>
      <w:r>
        <w:rPr>
          <w:highlight w:val="none"/>
        </w:rPr>
      </w:r>
    </w:p>
    <w:p>
      <w:pPr>
        <w:pStyle w:val="955"/>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r>
      <w:r>
        <w:rPr>
          <w:highlight w:val="none"/>
        </w:rPr>
      </w:r>
    </w:p>
    <w:p>
      <w:pPr>
        <w:pStyle w:val="955"/>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28.2.3</w:t>
      </w:r>
      <w:r>
        <w:rPr>
          <w:rFonts w:hAnsi="宋体" w:cs="宋体"/>
          <w:sz w:val="24"/>
          <w:szCs w:val="24"/>
          <w:highlight w:val="none"/>
        </w:rPr>
        <w:t xml:space="preserve">对中标或者成交结果提出质疑的，为中标或者成交结果公告期限届满之日。</w:t>
      </w:r>
      <w:r>
        <w:rPr>
          <w:rFonts w:hint="eastAsia" w:hAnsi="宋体" w:cs="宋体"/>
          <w:sz w:val="24"/>
          <w:szCs w:val="24"/>
          <w:highlight w:val="none"/>
        </w:rPr>
      </w:r>
      <w:r>
        <w:rPr>
          <w:highlight w:val="none"/>
        </w:rPr>
      </w:r>
    </w:p>
    <w:p>
      <w:pPr>
        <w:pStyle w:val="955"/>
        <w:ind w:firstLine="480"/>
        <w:spacing w:line="480" w:lineRule="exact"/>
        <w:rPr>
          <w:rFonts w:hint="eastAsia" w:hAnsi="宋体" w:cs="宋体"/>
          <w:sz w:val="24"/>
          <w:szCs w:val="24"/>
          <w:highlight w:val="none"/>
        </w:rPr>
      </w:pPr>
      <w:r>
        <w:rPr>
          <w:rFonts w:hint="eastAsia" w:hAnsi="宋体"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hAnsi="宋体" w:cs="宋体"/>
          <w:sz w:val="24"/>
          <w:szCs w:val="24"/>
          <w:highlight w:val="none"/>
        </w:rPr>
        <w:t xml:space="preserve">采购人</w:t>
      </w:r>
      <w:r>
        <w:rPr>
          <w:rFonts w:hint="eastAsia" w:hAnsi="宋体" w:cs="宋体"/>
          <w:sz w:val="24"/>
          <w:szCs w:val="24"/>
          <w:highlight w:val="none"/>
        </w:rPr>
        <w:t xml:space="preserve">将只对投标人第一次质疑作出答复。</w:t>
      </w:r>
      <w:r>
        <w:rPr>
          <w:rFonts w:hint="eastAsia" w:hAnsi="宋体" w:cs="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sz w:val="24"/>
          <w:szCs w:val="24"/>
          <w:highlight w:val="none"/>
        </w:rPr>
      </w:r>
      <w:r>
        <w:rPr>
          <w:highlight w:val="none"/>
        </w:rPr>
      </w:r>
    </w:p>
    <w:p>
      <w:pPr>
        <w:pStyle w:val="955"/>
        <w:ind w:firstLine="480"/>
        <w:spacing w:line="480" w:lineRule="exact"/>
        <w:rPr>
          <w:rFonts w:ascii="宋体" w:hAnsi="宋体"/>
          <w:b/>
          <w:sz w:val="24"/>
          <w:szCs w:val="24"/>
          <w:highlight w:val="none"/>
        </w:rPr>
      </w:pPr>
      <w:r>
        <w:rPr>
          <w:rFonts w:hint="eastAsia" w:ascii="宋体" w:hAnsi="宋体"/>
          <w:sz w:val="24"/>
          <w:szCs w:val="24"/>
          <w:highlight w:val="none"/>
        </w:rPr>
        <w:t xml:space="preserve">28.4投标人（含</w:t>
      </w:r>
      <w:r>
        <w:rPr>
          <w:rFonts w:ascii="宋体" w:hAnsi="宋体"/>
          <w:sz w:val="24"/>
          <w:szCs w:val="24"/>
          <w:highlight w:val="none"/>
        </w:rPr>
        <w:t xml:space="preserve">潜在</w:t>
      </w:r>
      <w:r>
        <w:rPr>
          <w:rFonts w:hint="eastAsia" w:ascii="宋体" w:hAnsi="宋体"/>
          <w:sz w:val="24"/>
          <w:szCs w:val="24"/>
          <w:highlight w:val="none"/>
        </w:rPr>
        <w:t xml:space="preserve">投标人</w:t>
      </w:r>
      <w:r>
        <w:rPr>
          <w:rFonts w:ascii="宋体" w:hAnsi="宋体"/>
          <w:sz w:val="24"/>
          <w:szCs w:val="24"/>
          <w:highlight w:val="none"/>
        </w:rPr>
        <w:t xml:space="preserve">）</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投标人</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w:t>
      </w:r>
      <w:r>
        <w:rPr>
          <w:rFonts w:ascii="宋体" w:hAnsi="宋体"/>
          <w:sz w:val="24"/>
          <w:szCs w:val="24"/>
          <w:highlight w:val="none"/>
        </w:rPr>
        <w:t xml:space="preserve">和评标标准、合同文本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投标人对除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w:t>
      </w:r>
      <w:r>
        <w:rPr>
          <w:rFonts w:hint="eastAsia" w:ascii="宋体" w:hAnsi="宋体"/>
          <w:sz w:val="24"/>
          <w:szCs w:val="24"/>
          <w:highlight w:val="none"/>
        </w:rPr>
        <w:t xml:space="preserve">采购代理机构</w:t>
      </w:r>
      <w:r>
        <w:rPr>
          <w:rFonts w:ascii="宋体" w:hAnsi="宋体"/>
          <w:sz w:val="24"/>
          <w:szCs w:val="24"/>
          <w:highlight w:val="none"/>
        </w:rPr>
        <w:t xml:space="preserve">提出，由</w:t>
      </w:r>
      <w:r>
        <w:rPr>
          <w:rFonts w:hint="eastAsia" w:ascii="宋体" w:hAnsi="宋体"/>
          <w:sz w:val="24"/>
          <w:szCs w:val="24"/>
          <w:highlight w:val="none"/>
        </w:rPr>
        <w:t xml:space="preserve">采购代理机构负责</w:t>
      </w:r>
      <w:r>
        <w:rPr>
          <w:rFonts w:ascii="宋体" w:hAnsi="宋体"/>
          <w:sz w:val="24"/>
          <w:szCs w:val="24"/>
          <w:highlight w:val="none"/>
        </w:rPr>
        <w:t xml:space="preserve">答复。</w:t>
      </w:r>
      <w:r>
        <w:rPr>
          <w:rFonts w:ascii="宋体" w:hAnsi="宋体"/>
          <w:b/>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采购代理机构及采购人只接收以纸质原件形式送达的质疑,建议投标人尽量通过邮寄方式提交质疑（采购人和采购代理机构不接受未填写快递运单的快件）。</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采购代理机构质疑接收人为陈先生，联系地址：</w:t>
      </w:r>
      <w:r>
        <w:rPr>
          <w:rFonts w:hint="eastAsia" w:ascii="宋体" w:hAnsi="宋体" w:cs="宋体"/>
          <w:sz w:val="24"/>
          <w:szCs w:val="24"/>
          <w:highlight w:val="none"/>
        </w:rPr>
        <w:t xml:space="preserve">南通市崇川区外环东路12号2楼南侧</w:t>
      </w:r>
      <w:r>
        <w:rPr>
          <w:rFonts w:hint="eastAsia" w:ascii="宋体" w:hAnsi="宋体"/>
          <w:sz w:val="24"/>
          <w:szCs w:val="24"/>
          <w:highlight w:val="none"/>
        </w:rPr>
        <w:t xml:space="preserve">，联系电话：</w:t>
      </w:r>
      <w:r>
        <w:rPr>
          <w:rFonts w:hint="eastAsia" w:ascii="宋体" w:hAnsi="宋体"/>
          <w:sz w:val="24"/>
          <w:szCs w:val="24"/>
          <w:highlight w:val="none"/>
        </w:rPr>
        <w:t xml:space="preserve">13167486131，0513-85679898</w:t>
      </w:r>
      <w:r>
        <w:rPr>
          <w:rFonts w:hint="eastAsia" w:ascii="宋体" w:hAnsi="宋体"/>
          <w:sz w:val="24"/>
          <w:szCs w:val="24"/>
          <w:highlight w:val="none"/>
        </w:rPr>
        <w:t xml:space="preserve">。</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28.5.4 未参加投标活动的投标人或在投标活动中自身权益未受到损害的投标人所提出的质疑。</w:t>
      </w:r>
      <w:r>
        <w:rPr>
          <w:rFonts w:hint="eastAsia" w:ascii="宋体" w:hAnsi="宋体"/>
          <w:sz w:val="24"/>
          <w:szCs w:val="24"/>
          <w:highlight w:val="none"/>
        </w:rPr>
      </w:r>
      <w:r>
        <w:rPr>
          <w:highlight w:val="none"/>
        </w:rPr>
      </w:r>
    </w:p>
    <w:p>
      <w:pPr>
        <w:pStyle w:val="955"/>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28.5.5投标人组成联合体参加投标，联合体中任何一方或多方未按要求签字、盖章、加盖公章的质疑。</w:t>
      </w:r>
      <w:r>
        <w:rPr>
          <w:rFonts w:hint="eastAsia" w:ascii="宋体" w:hAnsi="宋体"/>
          <w:sz w:val="24"/>
          <w:szCs w:val="24"/>
          <w:highlight w:val="none"/>
        </w:rPr>
      </w:r>
      <w:r>
        <w:rPr>
          <w:highlight w:val="none"/>
        </w:rPr>
      </w:r>
    </w:p>
    <w:p>
      <w:pPr>
        <w:pStyle w:val="955"/>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sz w:val="24"/>
          <w:szCs w:val="24"/>
          <w:highlight w:val="none"/>
        </w:rPr>
      </w:r>
      <w:r>
        <w:rPr>
          <w:highlight w:val="none"/>
        </w:rPr>
      </w:r>
    </w:p>
    <w:p>
      <w:pPr>
        <w:pStyle w:val="959"/>
        <w:spacing w:before="0" w:after="0" w:line="240" w:lineRule="auto"/>
        <w:rPr>
          <w:rFonts w:hint="eastAsia" w:ascii="黑体" w:hAnsi="宋体"/>
          <w:b w:val="0"/>
          <w:sz w:val="30"/>
          <w:szCs w:val="30"/>
          <w:highlight w:val="none"/>
        </w:rPr>
      </w:pPr>
      <w:r>
        <w:rPr>
          <w:rFonts w:hint="eastAsia" w:ascii="黑体" w:hAnsi="宋体"/>
          <w:b w:val="0"/>
          <w:sz w:val="30"/>
          <w:szCs w:val="30"/>
          <w:highlight w:val="none"/>
        </w:rPr>
        <w:t xml:space="preserve">29、中标通知书</w:t>
      </w:r>
      <w:r>
        <w:rPr>
          <w:rFonts w:hint="eastAsia" w:ascii="黑体" w:hAnsi="宋体"/>
          <w:b w:val="0"/>
          <w:sz w:val="30"/>
          <w:szCs w:val="30"/>
          <w:highlight w:val="none"/>
        </w:rPr>
      </w:r>
      <w:r>
        <w:rPr>
          <w:highlight w:val="none"/>
        </w:rPr>
      </w:r>
    </w:p>
    <w:p>
      <w:pPr>
        <w:pStyle w:val="955"/>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highlight w:val="none"/>
        </w:rPr>
      </w:r>
      <w:r>
        <w:rPr>
          <w:highlight w:val="none"/>
        </w:rPr>
      </w:r>
    </w:p>
    <w:p>
      <w:pPr>
        <w:pStyle w:val="955"/>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rPr>
          <w:highlight w:val="none"/>
        </w:rPr>
      </w:r>
    </w:p>
    <w:p>
      <w:pPr>
        <w:pStyle w:val="958"/>
        <w:spacing w:before="145" w:after="145" w:line="360" w:lineRule="auto"/>
        <w:rPr>
          <w:rFonts w:hint="eastAsia"/>
          <w:highlight w:val="none"/>
        </w:rPr>
      </w:pPr>
      <w:r>
        <w:rPr>
          <w:highlight w:val="none"/>
        </w:rPr>
      </w:r>
      <w:bookmarkStart w:id="170" w:name="_Toc120614220"/>
      <w:r>
        <w:rPr>
          <w:highlight w:val="none"/>
        </w:rPr>
      </w:r>
      <w:bookmarkStart w:id="171" w:name="_Toc16938552"/>
      <w:r>
        <w:rPr>
          <w:highlight w:val="none"/>
        </w:rPr>
      </w:r>
      <w:bookmarkStart w:id="172" w:name="_Toc513029236"/>
      <w:r>
        <w:rPr>
          <w:highlight w:val="none"/>
        </w:rPr>
      </w:r>
      <w:bookmarkStart w:id="173" w:name="_Toc20823308"/>
      <w:r>
        <w:rPr>
          <w:rFonts w:hint="eastAsia"/>
          <w:highlight w:val="none"/>
        </w:rPr>
        <w:t xml:space="preserve">七、授予合同</w:t>
      </w:r>
      <w:bookmarkEnd w:id="170"/>
      <w:r>
        <w:rPr>
          <w:rFonts w:hint="eastAsia"/>
          <w:highlight w:val="none"/>
        </w:rPr>
      </w:r>
      <w:r>
        <w:rPr>
          <w:highlight w:val="none"/>
        </w:rPr>
      </w:r>
    </w:p>
    <w:p>
      <w:pPr>
        <w:pStyle w:val="959"/>
        <w:spacing w:before="0" w:after="0" w:line="240" w:lineRule="auto"/>
        <w:rPr>
          <w:rFonts w:hint="eastAsia" w:ascii="黑体" w:hAnsi="宋体"/>
          <w:b w:val="0"/>
          <w:sz w:val="30"/>
          <w:szCs w:val="30"/>
          <w:highlight w:val="none"/>
        </w:rPr>
      </w:pPr>
      <w:r>
        <w:rPr>
          <w:highlight w:val="none"/>
        </w:rPr>
      </w:r>
      <w:bookmarkEnd w:id="171"/>
      <w:r>
        <w:rPr>
          <w:highlight w:val="none"/>
        </w:rPr>
      </w:r>
      <w:bookmarkEnd w:id="172"/>
      <w:r>
        <w:rPr>
          <w:highlight w:val="none"/>
        </w:rPr>
      </w:r>
      <w:bookmarkEnd w:id="173"/>
      <w:r>
        <w:rPr>
          <w:highlight w:val="none"/>
        </w:rPr>
      </w:r>
      <w:bookmarkStart w:id="174" w:name="_Toc16938553"/>
      <w:r>
        <w:rPr>
          <w:highlight w:val="none"/>
        </w:rPr>
      </w:r>
      <w:bookmarkStart w:id="175" w:name="_Toc513029237"/>
      <w:r>
        <w:rPr>
          <w:highlight w:val="none"/>
        </w:rPr>
      </w:r>
      <w:bookmarkStart w:id="176" w:name="_Toc20823309"/>
      <w:r>
        <w:rPr>
          <w:rFonts w:hint="eastAsia" w:ascii="黑体" w:hAnsi="宋体"/>
          <w:b w:val="0"/>
          <w:sz w:val="30"/>
          <w:szCs w:val="30"/>
          <w:highlight w:val="none"/>
        </w:rPr>
        <w:t xml:space="preserve">30. 签订合同</w:t>
      </w:r>
      <w:r>
        <w:rPr>
          <w:rFonts w:hint="eastAsia" w:ascii="黑体" w:hAnsi="宋体"/>
          <w:b w:val="0"/>
          <w:sz w:val="30"/>
          <w:szCs w:val="30"/>
          <w:highlight w:val="none"/>
        </w:rPr>
      </w:r>
      <w:r>
        <w:rPr>
          <w:highlight w:val="none"/>
        </w:rPr>
      </w:r>
    </w:p>
    <w:p>
      <w:pPr>
        <w:pStyle w:val="955"/>
        <w:ind w:firstLine="480"/>
        <w:spacing w:line="360" w:lineRule="auto"/>
        <w:rPr>
          <w:rFonts w:ascii="宋体" w:hAnsi="宋体"/>
          <w:sz w:val="24"/>
          <w:szCs w:val="22"/>
          <w:highlight w:val="none"/>
        </w:rPr>
      </w:pPr>
      <w:r>
        <w:rPr>
          <w:rFonts w:hint="eastAsia" w:ascii="宋体" w:hAnsi="宋体"/>
          <w:sz w:val="24"/>
          <w:szCs w:val="22"/>
          <w:highlight w:val="none"/>
        </w:rPr>
        <w:t xml:space="preserve">30.1履约</w:t>
      </w:r>
      <w:r>
        <w:rPr>
          <w:rFonts w:hint="eastAsia" w:ascii="宋体" w:hAnsi="宋体"/>
          <w:sz w:val="24"/>
          <w:szCs w:val="22"/>
          <w:highlight w:val="none"/>
        </w:rPr>
        <w:t xml:space="preserve">保证金</w:t>
      </w:r>
      <w:r>
        <w:rPr>
          <w:rFonts w:ascii="宋体" w:hAnsi="宋体"/>
          <w:sz w:val="24"/>
          <w:szCs w:val="22"/>
          <w:highlight w:val="none"/>
        </w:rPr>
      </w:r>
      <w:r>
        <w:rPr>
          <w:highlight w:val="none"/>
        </w:rPr>
      </w:r>
    </w:p>
    <w:p>
      <w:pPr>
        <w:pStyle w:val="955"/>
        <w:ind w:firstLine="480"/>
        <w:spacing w:line="360" w:lineRule="auto"/>
        <w:rPr>
          <w:rFonts w:ascii="宋体" w:hAnsi="宋体"/>
          <w:sz w:val="24"/>
          <w:szCs w:val="22"/>
          <w:highlight w:val="none"/>
        </w:rPr>
      </w:pPr>
      <w:r>
        <w:rPr>
          <w:rFonts w:hint="eastAsia" w:ascii="宋体" w:hAnsi="宋体"/>
          <w:sz w:val="24"/>
          <w:szCs w:val="22"/>
          <w:highlight w:val="none"/>
        </w:rPr>
        <w:t xml:space="preserve">30.1.1</w:t>
      </w:r>
      <w:r>
        <w:rPr>
          <w:rFonts w:ascii="宋体" w:hAnsi="宋体"/>
          <w:sz w:val="24"/>
          <w:szCs w:val="22"/>
          <w:highlight w:val="none"/>
        </w:rPr>
        <w:t xml:space="preserve">本项目</w:t>
      </w:r>
      <w:r>
        <w:rPr>
          <w:rFonts w:hint="eastAsia" w:ascii="宋体" w:hAnsi="宋体"/>
          <w:sz w:val="24"/>
          <w:szCs w:val="22"/>
          <w:highlight w:val="none"/>
        </w:rPr>
        <w:t xml:space="preserve">中标</w:t>
      </w:r>
      <w:r>
        <w:rPr>
          <w:rFonts w:ascii="宋体" w:hAnsi="宋体"/>
          <w:sz w:val="24"/>
          <w:szCs w:val="22"/>
          <w:highlight w:val="none"/>
        </w:rPr>
        <w:t xml:space="preserve">后的履约保证金为</w:t>
      </w:r>
      <w:r>
        <w:rPr>
          <w:rFonts w:hint="eastAsia" w:ascii="宋体" w:hAnsi="宋体"/>
          <w:sz w:val="24"/>
          <w:szCs w:val="22"/>
          <w:highlight w:val="none"/>
        </w:rPr>
        <w:t xml:space="preserve">中标价的5%（取整）</w:t>
      </w:r>
      <w:r>
        <w:rPr>
          <w:rFonts w:ascii="宋体" w:hAnsi="宋体"/>
          <w:sz w:val="24"/>
          <w:szCs w:val="22"/>
          <w:highlight w:val="none"/>
        </w:rPr>
        <w:t xml:space="preserve">。</w:t>
      </w:r>
      <w:r>
        <w:rPr>
          <w:rFonts w:ascii="宋体" w:hAnsi="宋体"/>
          <w:sz w:val="24"/>
          <w:szCs w:val="22"/>
          <w:highlight w:val="none"/>
        </w:rPr>
      </w:r>
      <w:r>
        <w:rPr>
          <w:highlight w:val="none"/>
        </w:rPr>
      </w:r>
    </w:p>
    <w:p>
      <w:pPr>
        <w:pStyle w:val="955"/>
        <w:ind w:firstLine="480"/>
        <w:spacing w:line="360" w:lineRule="auto"/>
        <w:rPr>
          <w:rFonts w:ascii="Calibri" w:hAnsi="宋体"/>
          <w:sz w:val="24"/>
          <w:szCs w:val="22"/>
          <w:highlight w:val="none"/>
        </w:rPr>
      </w:pPr>
      <w:r>
        <w:rPr>
          <w:rFonts w:hint="eastAsia" w:ascii="宋体" w:hAnsi="宋体"/>
          <w:sz w:val="24"/>
          <w:szCs w:val="22"/>
          <w:highlight w:val="none"/>
        </w:rPr>
        <w:t xml:space="preserve">30.1.</w:t>
      </w:r>
      <w:r>
        <w:rPr>
          <w:rFonts w:ascii="宋体" w:hAnsi="宋体"/>
          <w:sz w:val="24"/>
          <w:szCs w:val="22"/>
          <w:highlight w:val="none"/>
        </w:rPr>
        <w:t xml:space="preserve">2中标供应商可以选择以</w:t>
      </w:r>
      <w:r>
        <w:rPr>
          <w:rFonts w:hint="eastAsia" w:ascii="宋体" w:hAnsi="宋体"/>
          <w:sz w:val="24"/>
          <w:szCs w:val="22"/>
          <w:highlight w:val="none"/>
        </w:rPr>
        <w:t xml:space="preserve">应</w:t>
      </w:r>
      <w:r>
        <w:rPr>
          <w:rFonts w:hint="eastAsia" w:ascii="Calibri" w:hAnsi="宋体"/>
          <w:sz w:val="24"/>
          <w:szCs w:val="22"/>
          <w:highlight w:val="none"/>
        </w:rPr>
        <w:t xml:space="preserve">当以</w:t>
      </w:r>
      <w:r>
        <w:rPr>
          <w:rFonts w:hint="eastAsia" w:ascii="Calibri" w:hAnsi="宋体"/>
          <w:b/>
          <w:bCs/>
          <w:sz w:val="24"/>
          <w:szCs w:val="22"/>
          <w:highlight w:val="none"/>
          <w:u w:val="single"/>
        </w:rPr>
        <w:t xml:space="preserve">数字人民币、支票、汇票或者金融机构、担保机构出具的保函等</w:t>
      </w:r>
      <w:r>
        <w:rPr>
          <w:rFonts w:ascii="Calibri" w:hAnsi="宋体"/>
          <w:sz w:val="24"/>
          <w:szCs w:val="22"/>
          <w:highlight w:val="none"/>
        </w:rPr>
        <w:t xml:space="preserve">非现金形式缴纳履约保证金。</w:t>
      </w:r>
      <w:r>
        <w:rPr>
          <w:rFonts w:ascii="Calibri" w:hAnsi="宋体"/>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30.1.3中标供应商在中标通知书发出之日起30日内，凭“中标通知书”和“履约保证金”的缴纳凭证，与采购人签订合同，超期或未有协商，则视为自动放弃中标资格。</w:t>
      </w:r>
      <w:r>
        <w:rPr>
          <w:rFonts w:hint="eastAsia" w:ascii="宋体" w:hAnsi="宋体"/>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30.1.4中标供应商全部履约合同义务，经采购单位验收合格无质量、进度等问题的，采购人在验收合格后，中标供应商提交相应的申请材料，经采购人确认后15个工作日内一次性退还履约保证金，采购</w:t>
      </w:r>
      <w:r>
        <w:rPr>
          <w:rFonts w:hint="eastAsia" w:ascii="宋体" w:hAnsi="宋体"/>
          <w:sz w:val="24"/>
          <w:szCs w:val="22"/>
          <w:highlight w:val="none"/>
        </w:rPr>
        <w:t xml:space="preserve">人无正当理由逾期退还履约保证金的，则自逾期之日起向供应商支付违约金，违约金以逾期未还履约保证金为基数，按全国银行间同业拆借中心公布的一年期贷款市场报价利率计算。</w:t>
      </w:r>
      <w:r>
        <w:rPr>
          <w:rFonts w:hint="eastAsia" w:ascii="宋体" w:hAnsi="宋体"/>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30.1.5由于中标供应商原因，在签订合同后出现不按合同履行的情况，采购单位有权将履约保证金作为违约金，全额不予退还，同时采购单位亦有权终止合同，中标供应商还须承担相应的法律赔偿责任。</w:t>
      </w:r>
      <w:r>
        <w:rPr>
          <w:rFonts w:hint="eastAsia" w:ascii="宋体" w:hAnsi="宋体"/>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30.1.6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宋体" w:hAnsi="宋体"/>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30.2签订合同</w:t>
      </w:r>
      <w:r>
        <w:rPr>
          <w:rFonts w:hint="eastAsia" w:ascii="宋体" w:hAnsi="宋体"/>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2.l中标供应商应当在中标通知书发出之日起三十日内，按照招标文件确定的事项与采购人签订政府采购合同。</w:t>
      </w:r>
      <w:r>
        <w:rPr>
          <w:rFonts w:hint="eastAsia" w:ascii="宋体" w:hAnsi="宋体"/>
          <w:sz w:val="24"/>
          <w:szCs w:val="22"/>
          <w:highlight w:val="none"/>
        </w:rPr>
      </w:r>
      <w:r>
        <w:rPr>
          <w:highlight w:val="none"/>
        </w:rPr>
      </w:r>
    </w:p>
    <w:p>
      <w:pPr>
        <w:pStyle w:val="955"/>
        <w:ind w:firstLine="360"/>
        <w:jc w:val="left"/>
        <w:spacing w:line="360" w:lineRule="auto"/>
        <w:rPr>
          <w:rFonts w:ascii="宋体" w:hAnsi="宋体" w:cs="宋体"/>
          <w:b/>
          <w:bCs/>
          <w:sz w:val="24"/>
          <w:szCs w:val="22"/>
          <w:highlight w:val="none"/>
        </w:rPr>
      </w:pPr>
      <w:r>
        <w:rPr>
          <w:rFonts w:hint="eastAsia" w:ascii="宋体" w:hAnsi="宋体" w:cs="宋体"/>
          <w:sz w:val="24"/>
          <w:szCs w:val="22"/>
          <w:highlight w:val="none"/>
        </w:rPr>
        <w:t xml:space="preserve">★</w:t>
      </w:r>
      <w:r>
        <w:rPr>
          <w:rFonts w:hint="eastAsia" w:ascii="宋体" w:hAnsi="宋体" w:cs="宋体"/>
          <w:b/>
          <w:bCs/>
          <w:sz w:val="24"/>
          <w:szCs w:val="22"/>
          <w:highlight w:val="none"/>
        </w:rPr>
        <w:t xml:space="preserve">签订合同时需做好提交各类声明函、承诺函、业绩证明、资质、职称证书等相应原件的核查准备；核查后发现虚假或违背承诺的，依照相关法律法规规定处理。</w:t>
      </w:r>
      <w:r>
        <w:rPr>
          <w:rFonts w:ascii="宋体" w:hAnsi="宋体" w:cs="宋体"/>
          <w:b/>
          <w:bCs/>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30.2.2招标文件、中标供应商的投标文件及招投标过程中有关澄清、承诺文件均应作为合同附件。</w:t>
      </w:r>
      <w:r>
        <w:rPr>
          <w:rFonts w:hint="eastAsia" w:ascii="宋体" w:hAnsi="宋体"/>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30.2.3签订合同后，中标供应商不得将货物及其他相关服务进行转包。未经采购人同意，中标供应商也不得采用分包的形式履行合同，否则采购人有权终止合同，中标供应商的履约保证金将不予退还。政府采购合同分包履行的，中标供应商就采购项目和分包项目向采购人负责，分包供应商就分包项目承担责任。转包或分包造成采购人损失的，中标供应商应承担相应赔偿责任。</w:t>
      </w:r>
      <w:r>
        <w:rPr>
          <w:rFonts w:hint="eastAsia" w:ascii="宋体" w:hAnsi="宋体"/>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30.3货物和服务的追加、减少和添购。</w:t>
      </w:r>
      <w:r>
        <w:rPr>
          <w:rFonts w:hint="eastAsia" w:ascii="宋体" w:hAnsi="宋体"/>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30.3.1政府采购合同履行中，采购人需追加与合同标的相同的货物和服务的，在不改变合同其他条款的前提下，可以与中标供应商协商签订补充合同，但所有补充合同的采购金额不超过原合同金额10%。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sz w:val="24"/>
          <w:szCs w:val="22"/>
          <w:highlight w:val="none"/>
        </w:rPr>
      </w:r>
      <w:r>
        <w:rPr>
          <w:highlight w:val="none"/>
        </w:rPr>
      </w:r>
    </w:p>
    <w:p>
      <w:pPr>
        <w:pStyle w:val="955"/>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30.3.2采购结束后，采购人若由于各种客观原因，必须对采购项目所牵涉的货物和服务进行适当的减少时，在双方协商一致的前提下，可以按照采购时的价格水平做相应的调减，并据此签订补充合同。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宋体" w:hAnsi="宋体"/>
          <w:sz w:val="24"/>
          <w:szCs w:val="22"/>
          <w:highlight w:val="none"/>
        </w:rPr>
      </w:r>
      <w:r>
        <w:rPr>
          <w:highlight w:val="none"/>
        </w:rPr>
      </w:r>
    </w:p>
    <w:p>
      <w:pPr>
        <w:pStyle w:val="959"/>
        <w:spacing w:before="0" w:after="0" w:line="240" w:lineRule="auto"/>
        <w:rPr>
          <w:rFonts w:ascii="黑体" w:hAnsi="宋体"/>
          <w:b w:val="0"/>
          <w:sz w:val="30"/>
          <w:szCs w:val="30"/>
          <w:highlight w:val="none"/>
        </w:rPr>
      </w:pPr>
      <w:r>
        <w:rPr>
          <w:highlight w:val="none"/>
        </w:rPr>
      </w:r>
      <w:bookmarkEnd w:id="174"/>
      <w:r>
        <w:rPr>
          <w:highlight w:val="none"/>
        </w:rPr>
      </w:r>
      <w:bookmarkEnd w:id="175"/>
      <w:r>
        <w:rPr>
          <w:highlight w:val="none"/>
        </w:rPr>
      </w:r>
      <w:bookmarkEnd w:id="176"/>
      <w:r>
        <w:rPr>
          <w:highlight w:val="none"/>
        </w:rPr>
      </w:r>
      <w:bookmarkStart w:id="177" w:name="_Toc16938558"/>
      <w:r>
        <w:rPr>
          <w:highlight w:val="none"/>
        </w:rPr>
      </w:r>
      <w:bookmarkStart w:id="178" w:name="_Toc513029242"/>
      <w:r>
        <w:rPr>
          <w:highlight w:val="none"/>
        </w:rPr>
      </w:r>
      <w:bookmarkStart w:id="179" w:name="_Toc20823314"/>
      <w:r>
        <w:rPr>
          <w:highlight w:val="none"/>
        </w:rPr>
      </w:r>
      <w:bookmarkStart w:id="180" w:name="_Toc120614221"/>
      <w:r>
        <w:rPr>
          <w:highlight w:val="none"/>
        </w:rPr>
      </w:r>
      <w:bookmarkStart w:id="181" w:name="_Toc479757207"/>
      <w:r>
        <w:rPr>
          <w:rFonts w:hint="eastAsia" w:ascii="黑体" w:hAnsi="宋体"/>
          <w:b w:val="0"/>
          <w:sz w:val="30"/>
          <w:szCs w:val="30"/>
          <w:highlight w:val="none"/>
        </w:rPr>
        <w:t xml:space="preserve">31、政府采购履约资金扶持政策</w:t>
      </w:r>
      <w:r>
        <w:rPr>
          <w:rFonts w:ascii="黑体" w:hAnsi="宋体"/>
          <w:b w:val="0"/>
          <w:sz w:val="30"/>
          <w:szCs w:val="30"/>
          <w:highlight w:val="none"/>
        </w:rPr>
      </w:r>
      <w:r>
        <w:rPr>
          <w:highlight w:val="none"/>
        </w:rPr>
      </w:r>
    </w:p>
    <w:p>
      <w:pPr>
        <w:pStyle w:val="955"/>
        <w:ind w:firstLine="480"/>
        <w:spacing w:line="360" w:lineRule="auto"/>
        <w:rPr>
          <w:rFonts w:hint="eastAsia" w:ascii="宋体" w:hAnsi="宋体"/>
          <w:sz w:val="24"/>
          <w:szCs w:val="22"/>
          <w:highlight w:val="none"/>
        </w:rPr>
        <w:outlineLvl w:val="3"/>
      </w:pPr>
      <w:r>
        <w:rPr>
          <w:rFonts w:hint="eastAsia" w:ascii="宋体" w:hAnsi="宋体"/>
          <w:sz w:val="24"/>
          <w:szCs w:val="22"/>
          <w:highlight w:val="none"/>
        </w:rPr>
        <w:t xml:space="preserve">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r>
        <w:rPr>
          <w:rFonts w:hint="eastAsia" w:ascii="宋体" w:hAnsi="宋体"/>
          <w:sz w:val="24"/>
          <w:szCs w:val="22"/>
          <w:highlight w:val="none"/>
        </w:rPr>
      </w:r>
      <w:r>
        <w:rPr>
          <w:highlight w:val="none"/>
        </w:rPr>
      </w:r>
    </w:p>
    <w:p>
      <w:pPr>
        <w:pStyle w:val="970"/>
        <w:ind w:firstLine="0"/>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ind w:firstLine="480"/>
        <w:spacing w:line="360" w:lineRule="auto"/>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rFonts w:hint="eastAsia"/>
          <w:highlight w:val="none"/>
        </w:rPr>
      </w:pPr>
      <w:r>
        <w:rPr>
          <w:rFonts w:hint="eastAsia"/>
          <w:highlight w:val="none"/>
        </w:rPr>
      </w:r>
      <w:r>
        <w:rPr>
          <w:highlight w:val="none"/>
        </w:rPr>
      </w:r>
    </w:p>
    <w:p>
      <w:pPr>
        <w:pStyle w:val="955"/>
        <w:rPr>
          <w:highlight w:val="none"/>
        </w:rPr>
      </w:pPr>
      <w:r>
        <w:rPr>
          <w:highlight w:val="none"/>
        </w:rPr>
      </w:r>
      <w:r>
        <w:rPr>
          <w:highlight w:val="none"/>
        </w:rPr>
      </w:r>
    </w:p>
    <w:p>
      <w:pPr>
        <w:pStyle w:val="955"/>
        <w:rPr>
          <w:highlight w:val="none"/>
        </w:rPr>
      </w:pPr>
      <w:r>
        <w:rPr>
          <w:highlight w:val="none"/>
        </w:rPr>
      </w:r>
      <w:r>
        <w:rPr>
          <w:highlight w:val="none"/>
        </w:rPr>
      </w:r>
    </w:p>
    <w:p>
      <w:pPr>
        <w:pStyle w:val="1022"/>
        <w:ind w:firstLine="0"/>
        <w:rPr>
          <w:rFonts w:hint="eastAsia"/>
          <w:highlight w:val="none"/>
        </w:rPr>
      </w:pPr>
      <w:r>
        <w:rPr>
          <w:rFonts w:hint="eastAsia"/>
          <w:highlight w:val="none"/>
        </w:rPr>
      </w:r>
      <w:r>
        <w:rPr>
          <w:highlight w:val="none"/>
        </w:rPr>
      </w:r>
    </w:p>
    <w:p>
      <w:pPr>
        <w:pStyle w:val="994"/>
        <w:jc w:val="center"/>
        <w:spacing w:before="120" w:after="120" w:line="0" w:lineRule="atLeast"/>
        <w:rPr>
          <w:rFonts w:hint="eastAsia" w:hAnsi="宋体"/>
          <w:sz w:val="24"/>
          <w:szCs w:val="24"/>
          <w:highlight w:val="none"/>
        </w:rPr>
        <w:outlineLvl w:val="0"/>
      </w:pPr>
      <w:r>
        <w:rPr>
          <w:highlight w:val="none"/>
        </w:rPr>
      </w:r>
      <w:bookmarkEnd w:id="177"/>
      <w:r>
        <w:rPr>
          <w:highlight w:val="none"/>
        </w:rPr>
      </w:r>
      <w:bookmarkEnd w:id="178"/>
      <w:r>
        <w:rPr>
          <w:highlight w:val="none"/>
        </w:rPr>
      </w:r>
      <w:bookmarkEnd w:id="179"/>
      <w:r>
        <w:rPr>
          <w:highlight w:val="none"/>
        </w:rPr>
      </w:r>
      <w:bookmarkEnd w:id="180"/>
      <w:r>
        <w:rPr>
          <w:highlight w:val="none"/>
        </w:rPr>
      </w:r>
      <w:bookmarkEnd w:id="181"/>
      <w:r>
        <w:rPr>
          <w:highlight w:val="none"/>
        </w:rPr>
      </w:r>
      <w:bookmarkStart w:id="182" w:name="_Hlt16619369"/>
      <w:r>
        <w:rPr>
          <w:highlight w:val="none"/>
        </w:rPr>
      </w:r>
      <w:bookmarkEnd w:id="182"/>
      <w:r>
        <w:rPr>
          <w:highlight w:val="none"/>
        </w:rPr>
      </w:r>
      <w:bookmarkStart w:id="183" w:name="_Hlt16619350"/>
      <w:r>
        <w:rPr>
          <w:highlight w:val="none"/>
        </w:rPr>
      </w:r>
      <w:bookmarkStart w:id="184" w:name="_Toc16938590"/>
      <w:r>
        <w:rPr>
          <w:highlight w:val="none"/>
        </w:rPr>
      </w:r>
      <w:bookmarkStart w:id="185" w:name="_Toc20823346"/>
      <w:r>
        <w:rPr>
          <w:highlight w:val="none"/>
        </w:rPr>
      </w:r>
      <w:bookmarkStart w:id="186" w:name="_Toc120614244"/>
      <w:r>
        <w:rPr>
          <w:rFonts w:hint="eastAsia" w:ascii="黑体" w:eastAsia="黑体"/>
          <w:bCs/>
          <w:sz w:val="44"/>
          <w:highlight w:val="none"/>
        </w:rPr>
        <w:br w:type="page" w:clear="all"/>
      </w:r>
      <w:r>
        <w:rPr>
          <w:rFonts w:hint="eastAsia" w:ascii="黑体" w:eastAsia="黑体"/>
          <w:bCs/>
          <w:sz w:val="44"/>
          <w:highlight w:val="none"/>
        </w:rPr>
        <w:t xml:space="preserve">第</w:t>
      </w:r>
      <w:bookmarkEnd w:id="183"/>
      <w:r>
        <w:rPr>
          <w:rFonts w:hint="eastAsia" w:ascii="黑体" w:eastAsia="黑体"/>
          <w:bCs/>
          <w:sz w:val="44"/>
          <w:highlight w:val="none"/>
          <w:lang w:val="en-US" w:eastAsia="zh-CN"/>
        </w:rPr>
        <w:t xml:space="preserve">三</w:t>
      </w:r>
      <w:r>
        <w:rPr>
          <w:rFonts w:hint="eastAsia" w:ascii="黑体" w:eastAsia="黑体"/>
          <w:bCs/>
          <w:sz w:val="44"/>
          <w:highlight w:val="none"/>
        </w:rPr>
        <w:t xml:space="preserve">章 采购需求</w:t>
      </w:r>
      <w:bookmarkEnd w:id="184"/>
      <w:r>
        <w:rPr>
          <w:highlight w:val="none"/>
        </w:rPr>
      </w:r>
      <w:bookmarkEnd w:id="185"/>
      <w:r>
        <w:rPr>
          <w:highlight w:val="none"/>
        </w:rPr>
      </w:r>
      <w:bookmarkEnd w:id="186"/>
      <w:r>
        <w:rPr>
          <w:rFonts w:hint="eastAsia" w:hAnsi="宋体"/>
          <w:sz w:val="24"/>
          <w:szCs w:val="24"/>
          <w:highlight w:val="none"/>
        </w:rPr>
      </w:r>
      <w:r>
        <w:rPr>
          <w:highlight w:val="none"/>
        </w:rPr>
      </w:r>
    </w:p>
    <w:p>
      <w:pPr>
        <w:pStyle w:val="955"/>
        <w:spacing w:line="360" w:lineRule="auto"/>
        <w:rPr>
          <w:rStyle w:val="1074"/>
          <w:rFonts w:ascii="Times New Roman" w:hAnsi="Times New Roman"/>
          <w:bCs/>
          <w:color w:val="000000"/>
          <w:sz w:val="28"/>
          <w:szCs w:val="28"/>
          <w:highlight w:val="none"/>
        </w:rPr>
        <w:outlineLvl w:val="1"/>
      </w:pPr>
      <w:r>
        <w:rPr>
          <w:highlight w:val="none"/>
        </w:rPr>
      </w:r>
      <w:bookmarkStart w:id="189" w:name="_Toc26554093"/>
      <w:r>
        <w:rPr>
          <w:highlight w:val="none"/>
        </w:rPr>
      </w:r>
      <w:bookmarkStart w:id="190" w:name="_Toc49090575"/>
      <w:r>
        <w:rPr>
          <w:rFonts w:hint="eastAsia" w:ascii="宋体" w:hAnsi="宋体" w:cs="宋体"/>
          <w:b/>
          <w:sz w:val="24"/>
          <w:highlight w:val="none"/>
        </w:rPr>
        <w:t xml:space="preserve">一、有关说明</w:t>
      </w:r>
      <w:r>
        <w:rPr>
          <w:rStyle w:val="1074"/>
          <w:rFonts w:ascii="Times New Roman" w:hAnsi="Times New Roman"/>
          <w:bCs/>
          <w:color w:val="000000"/>
          <w:sz w:val="28"/>
          <w:szCs w:val="28"/>
          <w:highlight w:val="none"/>
        </w:rPr>
      </w:r>
      <w:r>
        <w:rPr>
          <w:highlight w:val="none"/>
        </w:rPr>
      </w:r>
    </w:p>
    <w:p>
      <w:pPr>
        <w:pStyle w:val="955"/>
        <w:ind w:firstLine="480"/>
        <w:jc w:val="left"/>
        <w:spacing w:line="360" w:lineRule="auto"/>
        <w:rPr>
          <w:rFonts w:hAnsi="宋体"/>
          <w:bCs/>
          <w:sz w:val="24"/>
          <w:highlight w:val="none"/>
        </w:rPr>
      </w:pPr>
      <w:r>
        <w:rPr>
          <w:rFonts w:hint="eastAsia" w:hAnsi="宋体"/>
          <w:bCs/>
          <w:sz w:val="24"/>
          <w:highlight w:val="none"/>
        </w:rPr>
        <w:t xml:space="preserve">响应供应商不能简单照搬照抄招标项目需求说明中的技术要求，必须作实事求是的响应：</w:t>
      </w:r>
      <w:r>
        <w:rPr>
          <w:rFonts w:hAnsi="宋体"/>
          <w:bCs/>
          <w:sz w:val="24"/>
          <w:highlight w:val="none"/>
        </w:rPr>
      </w:r>
      <w:r>
        <w:rPr>
          <w:highlight w:val="none"/>
        </w:rPr>
      </w:r>
    </w:p>
    <w:p>
      <w:pPr>
        <w:pStyle w:val="955"/>
        <w:ind w:firstLine="480"/>
        <w:jc w:val="left"/>
        <w:spacing w:line="360" w:lineRule="auto"/>
        <w:rPr>
          <w:rFonts w:hAnsi="宋体"/>
          <w:bCs/>
          <w:sz w:val="24"/>
          <w:highlight w:val="none"/>
        </w:rPr>
      </w:pPr>
      <w:r>
        <w:rPr>
          <w:rFonts w:hint="eastAsia" w:hAnsi="宋体"/>
          <w:bCs/>
          <w:sz w:val="24"/>
          <w:highlight w:val="none"/>
        </w:rPr>
        <w:t xml:space="preserve">1.照搬照抄项目需求说明中的技术要求，一旦成交中标，在与采购人签订合同和履约环节中不得提出异议，一切后果和损失由中标人承担。</w:t>
      </w:r>
      <w:r>
        <w:rPr>
          <w:rFonts w:hAnsi="宋体"/>
          <w:bCs/>
          <w:sz w:val="24"/>
          <w:highlight w:val="none"/>
        </w:rPr>
      </w:r>
      <w:r>
        <w:rPr>
          <w:highlight w:val="none"/>
        </w:rPr>
      </w:r>
    </w:p>
    <w:p>
      <w:pPr>
        <w:pStyle w:val="955"/>
        <w:ind w:firstLine="480"/>
        <w:jc w:val="left"/>
        <w:spacing w:line="360" w:lineRule="auto"/>
        <w:rPr>
          <w:rFonts w:hAnsi="宋体"/>
          <w:bCs/>
          <w:sz w:val="24"/>
          <w:highlight w:val="none"/>
        </w:rPr>
      </w:pPr>
      <w:r>
        <w:rPr>
          <w:rFonts w:hint="eastAsia" w:hAnsi="宋体"/>
          <w:bCs/>
          <w:sz w:val="24"/>
          <w:highlight w:val="none"/>
        </w:rPr>
        <w:t xml:space="preserve">2.公开招标响应供应商提供的货物和服务与采购人提出的项目需求说明中的技术要求不同，必须在逐一逐条响应的《技术条款响应正负偏离表》上明示偏离的部分。</w:t>
      </w:r>
      <w:r>
        <w:rPr>
          <w:rFonts w:hAnsi="宋体"/>
          <w:bCs/>
          <w:sz w:val="24"/>
          <w:highlight w:val="none"/>
        </w:rPr>
      </w:r>
      <w:r>
        <w:rPr>
          <w:highlight w:val="none"/>
        </w:rPr>
      </w:r>
    </w:p>
    <w:p>
      <w:pPr>
        <w:pStyle w:val="955"/>
        <w:ind w:firstLine="480"/>
        <w:jc w:val="left"/>
        <w:spacing w:line="360" w:lineRule="auto"/>
        <w:rPr>
          <w:rFonts w:hint="eastAsia" w:hAnsi="宋体"/>
          <w:bCs/>
          <w:sz w:val="24"/>
          <w:highlight w:val="none"/>
        </w:rPr>
      </w:pPr>
      <w:r>
        <w:rPr>
          <w:rFonts w:hint="eastAsia" w:hAnsi="宋体"/>
          <w:bCs/>
          <w:sz w:val="24"/>
          <w:highlight w:val="none"/>
        </w:rPr>
        <w:t xml:space="preserve">3.项目需求产品的技术参数响应：</w:t>
      </w:r>
      <w:r>
        <w:rPr>
          <w:rFonts w:hint="eastAsia" w:hAnsi="宋体"/>
          <w:bCs/>
          <w:sz w:val="24"/>
          <w:highlight w:val="none"/>
        </w:rPr>
      </w:r>
      <w:r>
        <w:rPr>
          <w:highlight w:val="none"/>
        </w:rPr>
      </w:r>
    </w:p>
    <w:p>
      <w:pPr>
        <w:pStyle w:val="955"/>
        <w:ind w:firstLine="480"/>
        <w:jc w:val="left"/>
        <w:spacing w:line="360" w:lineRule="auto"/>
        <w:rPr>
          <w:rFonts w:hAnsi="宋体"/>
          <w:bCs/>
          <w:sz w:val="24"/>
          <w:highlight w:val="none"/>
        </w:rPr>
      </w:pPr>
      <w:r>
        <w:rPr>
          <w:rFonts w:hint="eastAsia" w:hAnsi="宋体"/>
          <w:bCs/>
          <w:sz w:val="24"/>
          <w:highlight w:val="none"/>
        </w:rPr>
        <w:t xml:space="preserve">为鼓励不同品牌的充分竞争，如某主要技术参数属于个别品牌专有，则该主要技术参数不具有限制性，供应商可以自行调整，但不得影响产品功能。公开招标响应供应商可对提供的竞标产品涉及的技术参数进行对比参照，并具体提供以下材料：</w:t>
      </w:r>
      <w:r>
        <w:rPr>
          <w:rFonts w:hAnsi="宋体"/>
          <w:bCs/>
          <w:sz w:val="24"/>
          <w:highlight w:val="none"/>
        </w:rPr>
      </w:r>
      <w:r>
        <w:rPr>
          <w:highlight w:val="none"/>
        </w:rPr>
      </w:r>
    </w:p>
    <w:p>
      <w:pPr>
        <w:pStyle w:val="955"/>
        <w:ind w:firstLine="480"/>
        <w:jc w:val="left"/>
        <w:spacing w:line="360" w:lineRule="auto"/>
        <w:rPr>
          <w:rFonts w:hAnsi="宋体"/>
          <w:bCs/>
          <w:sz w:val="24"/>
          <w:highlight w:val="none"/>
        </w:rPr>
      </w:pPr>
      <w:r>
        <w:rPr>
          <w:rFonts w:hint="eastAsia" w:hAnsi="宋体"/>
          <w:bCs/>
          <w:sz w:val="24"/>
          <w:highlight w:val="none"/>
        </w:rPr>
        <w:t xml:space="preserve">（1）指标排它性的证明材料；</w:t>
      </w:r>
      <w:r>
        <w:rPr>
          <w:rFonts w:hAnsi="宋体"/>
          <w:bCs/>
          <w:sz w:val="24"/>
          <w:highlight w:val="none"/>
        </w:rPr>
      </w:r>
      <w:r>
        <w:rPr>
          <w:highlight w:val="none"/>
        </w:rPr>
      </w:r>
    </w:p>
    <w:p>
      <w:pPr>
        <w:pStyle w:val="955"/>
        <w:ind w:firstLine="480"/>
        <w:jc w:val="left"/>
        <w:spacing w:line="360" w:lineRule="auto"/>
        <w:rPr>
          <w:rFonts w:hAnsi="宋体"/>
          <w:bCs/>
          <w:sz w:val="24"/>
          <w:highlight w:val="none"/>
        </w:rPr>
      </w:pPr>
      <w:r>
        <w:rPr>
          <w:rFonts w:hint="eastAsia" w:hAnsi="宋体"/>
          <w:bCs/>
          <w:sz w:val="24"/>
          <w:highlight w:val="none"/>
        </w:rPr>
        <w:t xml:space="preserve">（2）产品调整对比表；</w:t>
      </w:r>
      <w:r>
        <w:rPr>
          <w:rFonts w:hAnsi="宋体"/>
          <w:bCs/>
          <w:sz w:val="24"/>
          <w:highlight w:val="none"/>
        </w:rPr>
      </w:r>
      <w:r>
        <w:rPr>
          <w:highlight w:val="none"/>
        </w:rPr>
      </w:r>
    </w:p>
    <w:p>
      <w:pPr>
        <w:pStyle w:val="955"/>
        <w:ind w:firstLine="480"/>
        <w:jc w:val="left"/>
        <w:spacing w:line="360" w:lineRule="auto"/>
        <w:rPr>
          <w:rFonts w:hAnsi="宋体"/>
          <w:bCs/>
          <w:sz w:val="24"/>
          <w:highlight w:val="none"/>
        </w:rPr>
      </w:pPr>
      <w:r>
        <w:rPr>
          <w:rFonts w:hint="eastAsia" w:hAnsi="宋体"/>
          <w:bCs/>
          <w:sz w:val="24"/>
          <w:highlight w:val="none"/>
        </w:rPr>
        <w:t xml:space="preserve">（3）调整后产品的详细技术参数；</w:t>
      </w:r>
      <w:r>
        <w:rPr>
          <w:rFonts w:hAnsi="宋体"/>
          <w:bCs/>
          <w:sz w:val="24"/>
          <w:highlight w:val="none"/>
        </w:rPr>
      </w:r>
      <w:r>
        <w:rPr>
          <w:highlight w:val="none"/>
        </w:rPr>
      </w:r>
    </w:p>
    <w:p>
      <w:pPr>
        <w:pStyle w:val="955"/>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highlight w:val="none"/>
        </w:rPr>
        <w:t xml:space="preserve">4.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int="eastAsia" w:ascii="宋体" w:hAnsi="宋体" w:cs="宋体"/>
          <w:b/>
          <w:color w:val="000000"/>
          <w:sz w:val="24"/>
          <w:szCs w:val="24"/>
          <w:highlight w:val="none"/>
        </w:rPr>
      </w:r>
      <w:r>
        <w:rPr>
          <w:highlight w:val="none"/>
        </w:rPr>
      </w:r>
    </w:p>
    <w:p>
      <w:pPr>
        <w:pStyle w:val="955"/>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二、采购标的清单</w:t>
      </w:r>
      <w:r>
        <w:rPr>
          <w:rFonts w:hint="eastAsia" w:ascii="宋体" w:hAnsi="宋体" w:cs="宋体"/>
          <w:b/>
          <w:color w:val="000000"/>
          <w:sz w:val="24"/>
          <w:szCs w:val="24"/>
          <w:highlight w:val="none"/>
        </w:rPr>
      </w:r>
      <w:r>
        <w:rPr>
          <w:highlight w:val="none"/>
        </w:rPr>
      </w:r>
    </w:p>
    <w:p>
      <w:pPr>
        <w:pStyle w:val="955"/>
        <w:ind w:firstLine="480"/>
        <w:jc w:val="center"/>
        <w:spacing w:line="360" w:lineRule="auto"/>
        <w:rPr>
          <w:b/>
          <w:sz w:val="24"/>
          <w:highlight w:val="none"/>
        </w:rPr>
      </w:pPr>
      <w:r>
        <w:rPr>
          <w:highlight w:val="none"/>
        </w:rPr>
      </w:r>
      <w:bookmarkStart w:id="191" w:name="_Toc120614281"/>
      <w:r>
        <w:rPr>
          <w:b/>
          <w:sz w:val="24"/>
          <w:highlight w:val="none"/>
        </w:rPr>
        <w:t xml:space="preserve">项目采购（具体配置等见技术参数中相关）</w:t>
      </w:r>
      <w:r>
        <w:rPr>
          <w:b/>
          <w:sz w:val="24"/>
          <w:highlight w:val="none"/>
        </w:rPr>
      </w:r>
      <w:r>
        <w:rPr>
          <w:highlight w:val="none"/>
        </w:rPr>
      </w:r>
    </w:p>
    <w:tbl>
      <w:tblPr>
        <w:tblW w:w="94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3877"/>
        <w:gridCol w:w="1348"/>
        <w:gridCol w:w="1701"/>
        <w:gridCol w:w="1631"/>
      </w:tblGrid>
      <w:tr>
        <w:trPr>
          <w:trHeight w:val="58"/>
        </w:trPr>
        <w:tc>
          <w:tcPr>
            <w:tcW w:w="859" w:type="dxa"/>
            <w:vAlign w:val="center"/>
            <w:textDirection w:val="lrTb"/>
            <w:noWrap w:val="false"/>
          </w:tcPr>
          <w:p>
            <w:pPr>
              <w:pStyle w:val="955"/>
              <w:jc w:val="center"/>
              <w:rPr>
                <w:highlight w:val="none"/>
              </w:rPr>
            </w:pPr>
            <w:r>
              <w:rPr>
                <w:highlight w:val="none"/>
              </w:rPr>
            </w:r>
            <w:bookmarkStart w:id="192" w:name="_Toc476309293"/>
            <w:r>
              <w:rPr>
                <w:highlight w:val="none"/>
              </w:rPr>
            </w:r>
            <w:bookmarkStart w:id="193" w:name="_Toc476304221"/>
            <w:r>
              <w:rPr>
                <w:highlight w:val="none"/>
              </w:rPr>
            </w:r>
            <w:bookmarkStart w:id="194" w:name="_Toc476311267"/>
            <w:r>
              <w:rPr>
                <w:highlight w:val="none"/>
              </w:rPr>
            </w:r>
            <w:bookmarkStart w:id="195" w:name="_Toc476732432"/>
            <w:r>
              <w:rPr>
                <w:highlight w:val="none"/>
              </w:rPr>
              <w:t xml:space="preserve">序号</w:t>
            </w:r>
            <w:bookmarkEnd w:id="192"/>
            <w:r>
              <w:rPr>
                <w:highlight w:val="none"/>
              </w:rPr>
            </w:r>
            <w:bookmarkEnd w:id="193"/>
            <w:r>
              <w:rPr>
                <w:highlight w:val="none"/>
              </w:rPr>
            </w:r>
            <w:bookmarkEnd w:id="194"/>
            <w:r>
              <w:rPr>
                <w:highlight w:val="none"/>
              </w:rPr>
            </w:r>
            <w:bookmarkEnd w:id="195"/>
            <w:r>
              <w:rPr>
                <w:highlight w:val="none"/>
              </w:rPr>
            </w:r>
            <w:r>
              <w:rPr>
                <w:highlight w:val="none"/>
              </w:rPr>
            </w:r>
          </w:p>
        </w:tc>
        <w:tc>
          <w:tcPr>
            <w:tcW w:w="3877" w:type="dxa"/>
            <w:vAlign w:val="center"/>
            <w:textDirection w:val="lrTb"/>
            <w:noWrap w:val="false"/>
          </w:tcPr>
          <w:p>
            <w:pPr>
              <w:pStyle w:val="955"/>
              <w:jc w:val="center"/>
              <w:rPr>
                <w:highlight w:val="none"/>
              </w:rPr>
            </w:pPr>
            <w:r>
              <w:rPr>
                <w:highlight w:val="none"/>
              </w:rPr>
              <w:t xml:space="preserve">采购</w:t>
            </w:r>
            <w:r>
              <w:rPr>
                <w:highlight w:val="none"/>
              </w:rPr>
            </w:r>
          </w:p>
        </w:tc>
        <w:tc>
          <w:tcPr>
            <w:tcW w:w="1348" w:type="dxa"/>
            <w:vAlign w:val="center"/>
            <w:textDirection w:val="lrTb"/>
            <w:noWrap w:val="false"/>
          </w:tcPr>
          <w:p>
            <w:pPr>
              <w:pStyle w:val="955"/>
              <w:jc w:val="center"/>
              <w:rPr>
                <w:highlight w:val="none"/>
              </w:rPr>
            </w:pPr>
            <w:r>
              <w:rPr>
                <w:highlight w:val="none"/>
              </w:rPr>
            </w:r>
            <w:bookmarkStart w:id="196" w:name="_Toc476304223"/>
            <w:r>
              <w:rPr>
                <w:highlight w:val="none"/>
              </w:rPr>
            </w:r>
            <w:bookmarkStart w:id="197" w:name="_Toc476309295"/>
            <w:r>
              <w:rPr>
                <w:highlight w:val="none"/>
              </w:rPr>
            </w:r>
            <w:bookmarkStart w:id="198" w:name="_Toc476311269"/>
            <w:r>
              <w:rPr>
                <w:highlight w:val="none"/>
              </w:rPr>
            </w:r>
            <w:bookmarkStart w:id="199" w:name="_Toc476732434"/>
            <w:r>
              <w:rPr>
                <w:highlight w:val="none"/>
              </w:rPr>
              <w:t xml:space="preserve">数量</w:t>
            </w:r>
            <w:bookmarkEnd w:id="196"/>
            <w:r>
              <w:rPr>
                <w:highlight w:val="none"/>
              </w:rPr>
            </w:r>
            <w:bookmarkEnd w:id="197"/>
            <w:r>
              <w:rPr>
                <w:highlight w:val="none"/>
              </w:rPr>
            </w:r>
            <w:bookmarkEnd w:id="198"/>
            <w:r>
              <w:rPr>
                <w:highlight w:val="none"/>
              </w:rPr>
            </w:r>
            <w:bookmarkEnd w:id="199"/>
            <w:r>
              <w:rPr>
                <w:highlight w:val="none"/>
              </w:rPr>
              <w:t xml:space="preserve">(台、套)</w:t>
            </w:r>
            <w:r>
              <w:rPr>
                <w:highlight w:val="none"/>
              </w:rPr>
            </w:r>
          </w:p>
        </w:tc>
        <w:tc>
          <w:tcPr>
            <w:tcW w:w="1701" w:type="dxa"/>
            <w:vAlign w:val="center"/>
            <w:textDirection w:val="lrTb"/>
            <w:noWrap w:val="false"/>
          </w:tcPr>
          <w:p>
            <w:pPr>
              <w:pStyle w:val="955"/>
              <w:jc w:val="center"/>
              <w:rPr>
                <w:highlight w:val="none"/>
              </w:rPr>
            </w:pPr>
            <w:r>
              <w:rPr>
                <w:highlight w:val="none"/>
              </w:rPr>
              <w:t xml:space="preserve">供货周期</w:t>
            </w:r>
            <w:r>
              <w:rPr>
                <w:highlight w:val="none"/>
              </w:rPr>
            </w:r>
          </w:p>
        </w:tc>
        <w:tc>
          <w:tcPr>
            <w:tcW w:w="1631" w:type="dxa"/>
            <w:vAlign w:val="center"/>
            <w:textDirection w:val="lrTb"/>
            <w:noWrap w:val="false"/>
          </w:tcPr>
          <w:p>
            <w:pPr>
              <w:pStyle w:val="955"/>
              <w:jc w:val="center"/>
              <w:rPr>
                <w:highlight w:val="none"/>
              </w:rPr>
            </w:pPr>
            <w:r>
              <w:rPr>
                <w:highlight w:val="none"/>
              </w:rPr>
              <w:t xml:space="preserve">说明</w:t>
            </w:r>
            <w:r>
              <w:rPr>
                <w:highlight w:val="none"/>
              </w:rPr>
            </w:r>
          </w:p>
        </w:tc>
      </w:tr>
      <w:tr>
        <w:trPr>
          <w:trHeight w:val="150"/>
        </w:trPr>
        <w:tc>
          <w:tcPr>
            <w:tcW w:w="859" w:type="dxa"/>
            <w:vAlign w:val="center"/>
            <w:textDirection w:val="lrTb"/>
            <w:noWrap w:val="false"/>
          </w:tcPr>
          <w:p>
            <w:pPr>
              <w:pStyle w:val="955"/>
              <w:jc w:val="center"/>
              <w:rPr>
                <w:highlight w:val="none"/>
              </w:rPr>
            </w:pPr>
            <w:r>
              <w:rPr>
                <w:highlight w:val="none"/>
              </w:rPr>
              <w:t xml:space="preserve">1</w:t>
            </w:r>
            <w:r>
              <w:rPr>
                <w:highlight w:val="none"/>
              </w:rPr>
            </w:r>
          </w:p>
        </w:tc>
        <w:tc>
          <w:tcPr>
            <w:tcW w:w="3877" w:type="dxa"/>
            <w:vAlign w:val="center"/>
            <w:textDirection w:val="lrTb"/>
            <w:noWrap w:val="false"/>
          </w:tcPr>
          <w:p>
            <w:pPr>
              <w:pStyle w:val="955"/>
              <w:jc w:val="center"/>
              <w:widowControl/>
              <w:rPr>
                <w:rStyle w:val="1083"/>
                <w:rFonts w:ascii="Times New Roman" w:hAnsi="Times New Roman" w:cs="Times New Roman"/>
                <w:color w:val="000000"/>
                <w:sz w:val="21"/>
                <w:szCs w:val="21"/>
                <w:highlight w:val="none"/>
              </w:rPr>
            </w:pPr>
            <w:r>
              <w:rPr>
                <w:rStyle w:val="1083"/>
                <w:rFonts w:ascii="Times New Roman" w:hAnsi="Times New Roman" w:cs="Times New Roman"/>
                <w:color w:val="000000"/>
                <w:sz w:val="21"/>
                <w:szCs w:val="21"/>
                <w:highlight w:val="none"/>
              </w:rPr>
              <w:t xml:space="preserve">*X射线荧光光谱仪（及其附属设备）</w:t>
            </w:r>
            <w:r>
              <w:rPr>
                <w:rStyle w:val="1083"/>
                <w:rFonts w:ascii="Times New Roman" w:hAnsi="Times New Roman" w:cs="Times New Roman"/>
                <w:color w:val="000000"/>
                <w:sz w:val="21"/>
                <w:szCs w:val="21"/>
                <w:highlight w:val="none"/>
              </w:rPr>
            </w:r>
            <w:r>
              <w:rPr>
                <w:highlight w:val="none"/>
              </w:rPr>
            </w:r>
          </w:p>
        </w:tc>
        <w:tc>
          <w:tcPr>
            <w:tcW w:w="1348" w:type="dxa"/>
            <w:vAlign w:val="center"/>
            <w:textDirection w:val="lrTb"/>
            <w:noWrap w:val="false"/>
          </w:tcPr>
          <w:p>
            <w:pPr>
              <w:pStyle w:val="955"/>
              <w:jc w:val="center"/>
              <w:rPr>
                <w:highlight w:val="none"/>
              </w:rPr>
            </w:pPr>
            <w:r>
              <w:rPr>
                <w:highlight w:val="none"/>
              </w:rPr>
              <w:t xml:space="preserve">1</w:t>
            </w:r>
            <w:r>
              <w:rPr>
                <w:highlight w:val="none"/>
              </w:rPr>
            </w:r>
          </w:p>
        </w:tc>
        <w:tc>
          <w:tcPr>
            <w:tcW w:w="1701" w:type="dxa"/>
            <w:vAlign w:val="center"/>
            <w:textDirection w:val="lrTb"/>
            <w:noWrap w:val="false"/>
          </w:tcPr>
          <w:p>
            <w:pPr>
              <w:pStyle w:val="955"/>
              <w:jc w:val="center"/>
              <w:rPr>
                <w:highlight w:val="none"/>
              </w:rPr>
            </w:pPr>
            <w:r>
              <w:rPr>
                <w:highlight w:val="none"/>
              </w:rPr>
              <w:t xml:space="preserve">9-12周</w:t>
            </w:r>
            <w:r>
              <w:rPr>
                <w:highlight w:val="none"/>
              </w:rPr>
            </w:r>
          </w:p>
        </w:tc>
        <w:tc>
          <w:tcPr>
            <w:tcW w:w="1631" w:type="dxa"/>
            <w:vAlign w:val="center"/>
            <w:textDirection w:val="lrTb"/>
            <w:noWrap w:val="false"/>
          </w:tcPr>
          <w:p>
            <w:pPr>
              <w:pStyle w:val="955"/>
              <w:jc w:val="center"/>
              <w:rPr>
                <w:highlight w:val="none"/>
              </w:rPr>
            </w:pPr>
            <w:r>
              <w:rPr>
                <w:highlight w:val="none"/>
              </w:rPr>
              <w:t xml:space="preserve">允许进口</w:t>
            </w:r>
            <w:r>
              <w:rPr>
                <w:highlight w:val="none"/>
              </w:rPr>
            </w:r>
          </w:p>
        </w:tc>
      </w:tr>
      <w:tr>
        <w:trPr>
          <w:trHeight w:val="454"/>
        </w:trPr>
        <w:tc>
          <w:tcPr>
            <w:tcW w:w="859" w:type="dxa"/>
            <w:vAlign w:val="center"/>
            <w:textDirection w:val="lrTb"/>
            <w:noWrap w:val="false"/>
          </w:tcPr>
          <w:p>
            <w:pPr>
              <w:pStyle w:val="955"/>
              <w:jc w:val="center"/>
              <w:rPr>
                <w:highlight w:val="none"/>
              </w:rPr>
            </w:pPr>
            <w:r>
              <w:rPr>
                <w:highlight w:val="none"/>
              </w:rPr>
              <w:t xml:space="preserve">2</w:t>
            </w:r>
            <w:r>
              <w:rPr>
                <w:highlight w:val="none"/>
              </w:rPr>
            </w:r>
          </w:p>
        </w:tc>
        <w:tc>
          <w:tcPr>
            <w:tcW w:w="3877" w:type="dxa"/>
            <w:vAlign w:val="center"/>
            <w:textDirection w:val="lrTb"/>
            <w:noWrap w:val="false"/>
          </w:tcPr>
          <w:p>
            <w:pPr>
              <w:pStyle w:val="955"/>
              <w:jc w:val="center"/>
              <w:widowControl/>
              <w:rPr>
                <w:highlight w:val="none"/>
              </w:rPr>
            </w:pPr>
            <w:r>
              <w:rPr>
                <w:rStyle w:val="1083"/>
                <w:rFonts w:ascii="Times New Roman" w:hAnsi="Times New Roman" w:cs="Times New Roman"/>
                <w:color w:val="000000"/>
                <w:sz w:val="21"/>
                <w:szCs w:val="21"/>
                <w:highlight w:val="none"/>
              </w:rPr>
              <w:t xml:space="preserve">全自动固相萃取仪</w:t>
            </w:r>
            <w:r>
              <w:rPr>
                <w:highlight w:val="none"/>
              </w:rPr>
            </w:r>
          </w:p>
        </w:tc>
        <w:tc>
          <w:tcPr>
            <w:tcW w:w="1348" w:type="dxa"/>
            <w:vAlign w:val="center"/>
            <w:textDirection w:val="lrTb"/>
            <w:noWrap w:val="false"/>
          </w:tcPr>
          <w:p>
            <w:pPr>
              <w:pStyle w:val="955"/>
              <w:jc w:val="center"/>
              <w:rPr>
                <w:highlight w:val="none"/>
              </w:rPr>
            </w:pPr>
            <w:r>
              <w:rPr>
                <w:highlight w:val="none"/>
              </w:rPr>
              <w:t xml:space="preserve">1</w:t>
            </w:r>
            <w:r>
              <w:rPr>
                <w:highlight w:val="none"/>
              </w:rPr>
            </w:r>
          </w:p>
        </w:tc>
        <w:tc>
          <w:tcPr>
            <w:tcW w:w="1701" w:type="dxa"/>
            <w:vAlign w:val="center"/>
            <w:textDirection w:val="lrTb"/>
            <w:noWrap w:val="false"/>
          </w:tcPr>
          <w:p>
            <w:pPr>
              <w:pStyle w:val="955"/>
              <w:jc w:val="center"/>
              <w:rPr>
                <w:highlight w:val="none"/>
              </w:rPr>
            </w:pPr>
            <w:r>
              <w:rPr>
                <w:highlight w:val="none"/>
              </w:rPr>
              <w:t xml:space="preserve">2-4周</w:t>
            </w:r>
            <w:r>
              <w:rPr>
                <w:highlight w:val="none"/>
              </w:rPr>
            </w:r>
          </w:p>
        </w:tc>
        <w:tc>
          <w:tcPr>
            <w:tcW w:w="1631" w:type="dxa"/>
            <w:vAlign w:val="center"/>
            <w:textDirection w:val="lrTb"/>
            <w:noWrap w:val="false"/>
          </w:tcPr>
          <w:p>
            <w:pPr>
              <w:pStyle w:val="955"/>
              <w:jc w:val="center"/>
              <w:rPr>
                <w:highlight w:val="none"/>
              </w:rPr>
            </w:pPr>
            <w:r>
              <w:rPr>
                <w:highlight w:val="none"/>
              </w:rPr>
            </w:r>
            <w:r>
              <w:rPr>
                <w:highlight w:val="none"/>
              </w:rPr>
            </w:r>
          </w:p>
        </w:tc>
      </w:tr>
      <w:tr>
        <w:trPr>
          <w:trHeight w:val="454"/>
        </w:trPr>
        <w:tc>
          <w:tcPr>
            <w:tcW w:w="859" w:type="dxa"/>
            <w:vAlign w:val="center"/>
            <w:textDirection w:val="lrTb"/>
            <w:noWrap w:val="false"/>
          </w:tcPr>
          <w:p>
            <w:pPr>
              <w:pStyle w:val="955"/>
              <w:jc w:val="center"/>
              <w:rPr>
                <w:highlight w:val="none"/>
              </w:rPr>
            </w:pPr>
            <w:r>
              <w:rPr>
                <w:highlight w:val="none"/>
              </w:rPr>
              <w:t xml:space="preserve">3</w:t>
            </w:r>
            <w:r>
              <w:rPr>
                <w:highlight w:val="none"/>
              </w:rPr>
            </w:r>
          </w:p>
        </w:tc>
        <w:tc>
          <w:tcPr>
            <w:tcW w:w="3877" w:type="dxa"/>
            <w:vAlign w:val="center"/>
            <w:textDirection w:val="lrTb"/>
            <w:noWrap w:val="false"/>
          </w:tcPr>
          <w:p>
            <w:pPr>
              <w:pStyle w:val="955"/>
              <w:jc w:val="center"/>
              <w:widowControl/>
              <w:rPr>
                <w:highlight w:val="none"/>
              </w:rPr>
            </w:pPr>
            <w:r>
              <w:rPr>
                <w:highlight w:val="none"/>
              </w:rPr>
            </w:r>
            <w:bookmarkStart w:id="200" w:name="_Hlk177392813"/>
            <w:r>
              <w:rPr>
                <w:rStyle w:val="1083"/>
                <w:rFonts w:ascii="Times New Roman" w:hAnsi="Times New Roman" w:cs="Times New Roman"/>
                <w:color w:val="000000"/>
                <w:sz w:val="21"/>
                <w:szCs w:val="21"/>
                <w:highlight w:val="none"/>
              </w:rPr>
              <w:t xml:space="preserve">空压机及气路改造</w:t>
            </w:r>
            <w:bookmarkEnd w:id="200"/>
            <w:r>
              <w:rPr>
                <w:highlight w:val="none"/>
              </w:rPr>
            </w:r>
            <w:r>
              <w:rPr>
                <w:highlight w:val="none"/>
              </w:rPr>
            </w:r>
          </w:p>
        </w:tc>
        <w:tc>
          <w:tcPr>
            <w:tcW w:w="1348" w:type="dxa"/>
            <w:vAlign w:val="center"/>
            <w:textDirection w:val="lrTb"/>
            <w:noWrap w:val="false"/>
          </w:tcPr>
          <w:p>
            <w:pPr>
              <w:pStyle w:val="955"/>
              <w:jc w:val="center"/>
              <w:rPr>
                <w:highlight w:val="none"/>
              </w:rPr>
            </w:pPr>
            <w:r>
              <w:rPr>
                <w:highlight w:val="none"/>
              </w:rPr>
              <w:t xml:space="preserve">1</w:t>
            </w:r>
            <w:r>
              <w:rPr>
                <w:highlight w:val="none"/>
              </w:rPr>
            </w:r>
          </w:p>
        </w:tc>
        <w:tc>
          <w:tcPr>
            <w:tcW w:w="1701" w:type="dxa"/>
            <w:vAlign w:val="center"/>
            <w:textDirection w:val="lrTb"/>
            <w:noWrap w:val="false"/>
          </w:tcPr>
          <w:p>
            <w:pPr>
              <w:pStyle w:val="955"/>
              <w:jc w:val="center"/>
              <w:rPr>
                <w:highlight w:val="none"/>
              </w:rPr>
            </w:pPr>
            <w:r>
              <w:rPr>
                <w:highlight w:val="none"/>
              </w:rPr>
              <w:t xml:space="preserve">2-4周</w:t>
            </w:r>
            <w:r>
              <w:rPr>
                <w:highlight w:val="none"/>
              </w:rPr>
            </w:r>
          </w:p>
        </w:tc>
        <w:tc>
          <w:tcPr>
            <w:tcW w:w="1631" w:type="dxa"/>
            <w:vAlign w:val="center"/>
            <w:textDirection w:val="lrTb"/>
            <w:noWrap w:val="false"/>
          </w:tcPr>
          <w:p>
            <w:pPr>
              <w:pStyle w:val="955"/>
              <w:jc w:val="center"/>
              <w:rPr>
                <w:highlight w:val="none"/>
              </w:rPr>
            </w:pPr>
            <w:r>
              <w:rPr>
                <w:highlight w:val="none"/>
              </w:rPr>
            </w:r>
            <w:r>
              <w:rPr>
                <w:highlight w:val="none"/>
              </w:rPr>
            </w:r>
          </w:p>
        </w:tc>
      </w:tr>
      <w:tr>
        <w:trPr>
          <w:trHeight w:val="454"/>
        </w:trPr>
        <w:tc>
          <w:tcPr>
            <w:tcW w:w="859" w:type="dxa"/>
            <w:vAlign w:val="center"/>
            <w:textDirection w:val="lrTb"/>
            <w:noWrap w:val="false"/>
          </w:tcPr>
          <w:p>
            <w:pPr>
              <w:pStyle w:val="955"/>
              <w:jc w:val="center"/>
              <w:rPr>
                <w:highlight w:val="none"/>
              </w:rPr>
            </w:pPr>
            <w:r>
              <w:rPr>
                <w:highlight w:val="none"/>
              </w:rPr>
              <w:t xml:space="preserve">4</w:t>
            </w:r>
            <w:r>
              <w:rPr>
                <w:highlight w:val="none"/>
              </w:rPr>
            </w:r>
          </w:p>
        </w:tc>
        <w:tc>
          <w:tcPr>
            <w:tcW w:w="3877" w:type="dxa"/>
            <w:vAlign w:val="center"/>
            <w:textDirection w:val="lrTb"/>
            <w:noWrap w:val="false"/>
          </w:tcPr>
          <w:p>
            <w:pPr>
              <w:pStyle w:val="955"/>
              <w:jc w:val="center"/>
              <w:widowControl/>
              <w:rPr>
                <w:highlight w:val="none"/>
              </w:rPr>
            </w:pPr>
            <w:r>
              <w:rPr>
                <w:rStyle w:val="1083"/>
                <w:rFonts w:ascii="Times New Roman" w:hAnsi="Times New Roman" w:cs="Times New Roman"/>
                <w:color w:val="000000"/>
                <w:sz w:val="21"/>
                <w:szCs w:val="21"/>
                <w:highlight w:val="none"/>
              </w:rPr>
              <w:t xml:space="preserve">石墨消解器</w:t>
            </w:r>
            <w:r>
              <w:rPr>
                <w:highlight w:val="none"/>
              </w:rPr>
            </w:r>
          </w:p>
        </w:tc>
        <w:tc>
          <w:tcPr>
            <w:tcW w:w="1348" w:type="dxa"/>
            <w:vAlign w:val="center"/>
            <w:textDirection w:val="lrTb"/>
            <w:noWrap w:val="false"/>
          </w:tcPr>
          <w:p>
            <w:pPr>
              <w:pStyle w:val="955"/>
              <w:jc w:val="center"/>
              <w:rPr>
                <w:highlight w:val="none"/>
              </w:rPr>
            </w:pPr>
            <w:r>
              <w:rPr>
                <w:highlight w:val="none"/>
              </w:rPr>
              <w:t xml:space="preserve">1</w:t>
            </w:r>
            <w:r>
              <w:rPr>
                <w:highlight w:val="none"/>
              </w:rPr>
            </w:r>
          </w:p>
        </w:tc>
        <w:tc>
          <w:tcPr>
            <w:tcW w:w="1701" w:type="dxa"/>
            <w:vAlign w:val="center"/>
            <w:textDirection w:val="lrTb"/>
            <w:noWrap w:val="false"/>
          </w:tcPr>
          <w:p>
            <w:pPr>
              <w:pStyle w:val="955"/>
              <w:jc w:val="center"/>
              <w:rPr>
                <w:highlight w:val="none"/>
              </w:rPr>
            </w:pPr>
            <w:r>
              <w:rPr>
                <w:highlight w:val="none"/>
              </w:rPr>
              <w:t xml:space="preserve">2-4周</w:t>
            </w:r>
            <w:r>
              <w:rPr>
                <w:highlight w:val="none"/>
              </w:rPr>
            </w:r>
          </w:p>
        </w:tc>
        <w:tc>
          <w:tcPr>
            <w:tcW w:w="1631" w:type="dxa"/>
            <w:vAlign w:val="center"/>
            <w:textDirection w:val="lrTb"/>
            <w:noWrap w:val="false"/>
          </w:tcPr>
          <w:p>
            <w:pPr>
              <w:pStyle w:val="955"/>
              <w:jc w:val="center"/>
              <w:rPr>
                <w:highlight w:val="none"/>
              </w:rPr>
            </w:pPr>
            <w:r>
              <w:rPr>
                <w:highlight w:val="none"/>
              </w:rPr>
            </w:r>
            <w:r>
              <w:rPr>
                <w:highlight w:val="none"/>
              </w:rPr>
            </w:r>
          </w:p>
        </w:tc>
      </w:tr>
      <w:tr>
        <w:trPr>
          <w:trHeight w:val="454"/>
        </w:trPr>
        <w:tc>
          <w:tcPr>
            <w:tcW w:w="859" w:type="dxa"/>
            <w:vAlign w:val="center"/>
            <w:textDirection w:val="lrTb"/>
            <w:noWrap w:val="false"/>
          </w:tcPr>
          <w:p>
            <w:pPr>
              <w:pStyle w:val="955"/>
              <w:jc w:val="center"/>
              <w:rPr>
                <w:highlight w:val="none"/>
              </w:rPr>
            </w:pPr>
            <w:r>
              <w:rPr>
                <w:highlight w:val="none"/>
              </w:rPr>
              <w:t xml:space="preserve">5</w:t>
            </w:r>
            <w:r>
              <w:rPr>
                <w:highlight w:val="none"/>
              </w:rPr>
            </w:r>
          </w:p>
        </w:tc>
        <w:tc>
          <w:tcPr>
            <w:tcW w:w="3877" w:type="dxa"/>
            <w:vAlign w:val="center"/>
            <w:textDirection w:val="lrTb"/>
            <w:noWrap w:val="false"/>
          </w:tcPr>
          <w:p>
            <w:pPr>
              <w:pStyle w:val="955"/>
              <w:jc w:val="center"/>
              <w:widowControl/>
              <w:rPr>
                <w:highlight w:val="none"/>
              </w:rPr>
            </w:pPr>
            <w:r>
              <w:rPr>
                <w:rStyle w:val="1083"/>
                <w:rFonts w:ascii="Times New Roman" w:hAnsi="Times New Roman" w:cs="Times New Roman"/>
                <w:color w:val="000000"/>
                <w:sz w:val="21"/>
                <w:szCs w:val="21"/>
                <w:highlight w:val="none"/>
              </w:rPr>
              <w:t xml:space="preserve">配气仪</w:t>
            </w:r>
            <w:r>
              <w:rPr>
                <w:highlight w:val="none"/>
              </w:rPr>
            </w:r>
          </w:p>
        </w:tc>
        <w:tc>
          <w:tcPr>
            <w:tcW w:w="1348" w:type="dxa"/>
            <w:vAlign w:val="center"/>
            <w:textDirection w:val="lrTb"/>
            <w:noWrap w:val="false"/>
          </w:tcPr>
          <w:p>
            <w:pPr>
              <w:pStyle w:val="955"/>
              <w:jc w:val="center"/>
              <w:rPr>
                <w:highlight w:val="none"/>
              </w:rPr>
            </w:pPr>
            <w:r>
              <w:rPr>
                <w:highlight w:val="none"/>
              </w:rPr>
              <w:t xml:space="preserve">1</w:t>
            </w:r>
            <w:r>
              <w:rPr>
                <w:highlight w:val="none"/>
              </w:rPr>
            </w:r>
          </w:p>
        </w:tc>
        <w:tc>
          <w:tcPr>
            <w:tcW w:w="1701" w:type="dxa"/>
            <w:vAlign w:val="center"/>
            <w:textDirection w:val="lrTb"/>
            <w:noWrap w:val="false"/>
          </w:tcPr>
          <w:p>
            <w:pPr>
              <w:pStyle w:val="955"/>
              <w:jc w:val="center"/>
              <w:rPr>
                <w:highlight w:val="none"/>
              </w:rPr>
            </w:pPr>
            <w:r>
              <w:rPr>
                <w:highlight w:val="none"/>
              </w:rPr>
              <w:t xml:space="preserve">2-4周</w:t>
            </w:r>
            <w:r>
              <w:rPr>
                <w:highlight w:val="none"/>
              </w:rPr>
            </w:r>
          </w:p>
        </w:tc>
        <w:tc>
          <w:tcPr>
            <w:tcW w:w="1631" w:type="dxa"/>
            <w:vAlign w:val="center"/>
            <w:textDirection w:val="lrTb"/>
            <w:noWrap w:val="false"/>
          </w:tcPr>
          <w:p>
            <w:pPr>
              <w:pStyle w:val="955"/>
              <w:jc w:val="center"/>
              <w:rPr>
                <w:highlight w:val="none"/>
              </w:rPr>
            </w:pPr>
            <w:r>
              <w:rPr>
                <w:highlight w:val="none"/>
              </w:rPr>
            </w:r>
            <w:r>
              <w:rPr>
                <w:highlight w:val="none"/>
              </w:rPr>
            </w:r>
          </w:p>
        </w:tc>
      </w:tr>
      <w:tr>
        <w:trPr>
          <w:trHeight w:val="454"/>
        </w:trPr>
        <w:tc>
          <w:tcPr>
            <w:tcW w:w="859" w:type="dxa"/>
            <w:vAlign w:val="center"/>
            <w:textDirection w:val="lrTb"/>
            <w:noWrap w:val="false"/>
          </w:tcPr>
          <w:p>
            <w:pPr>
              <w:pStyle w:val="955"/>
              <w:jc w:val="center"/>
              <w:rPr>
                <w:highlight w:val="none"/>
              </w:rPr>
            </w:pPr>
            <w:r>
              <w:rPr>
                <w:highlight w:val="none"/>
              </w:rPr>
              <w:t xml:space="preserve">6</w:t>
            </w:r>
            <w:r>
              <w:rPr>
                <w:highlight w:val="none"/>
              </w:rPr>
            </w:r>
          </w:p>
        </w:tc>
        <w:tc>
          <w:tcPr>
            <w:tcW w:w="3877" w:type="dxa"/>
            <w:vAlign w:val="center"/>
            <w:textDirection w:val="lrTb"/>
            <w:noWrap w:val="false"/>
          </w:tcPr>
          <w:p>
            <w:pPr>
              <w:pStyle w:val="955"/>
              <w:jc w:val="center"/>
              <w:widowControl/>
              <w:rPr>
                <w:highlight w:val="none"/>
              </w:rPr>
            </w:pPr>
            <w:r>
              <w:rPr>
                <w:rStyle w:val="1083"/>
                <w:rFonts w:ascii="Times New Roman" w:hAnsi="Times New Roman" w:cs="Times New Roman"/>
                <w:color w:val="000000"/>
                <w:sz w:val="21"/>
                <w:szCs w:val="21"/>
                <w:highlight w:val="none"/>
              </w:rPr>
              <w:t xml:space="preserve">氢气发生器</w:t>
            </w:r>
            <w:r>
              <w:rPr>
                <w:highlight w:val="none"/>
              </w:rPr>
            </w:r>
          </w:p>
        </w:tc>
        <w:tc>
          <w:tcPr>
            <w:tcW w:w="1348" w:type="dxa"/>
            <w:vAlign w:val="center"/>
            <w:textDirection w:val="lrTb"/>
            <w:noWrap w:val="false"/>
          </w:tcPr>
          <w:p>
            <w:pPr>
              <w:pStyle w:val="955"/>
              <w:jc w:val="center"/>
              <w:rPr>
                <w:highlight w:val="none"/>
              </w:rPr>
            </w:pPr>
            <w:r>
              <w:rPr>
                <w:highlight w:val="none"/>
              </w:rPr>
              <w:t xml:space="preserve">1</w:t>
            </w:r>
            <w:r>
              <w:rPr>
                <w:highlight w:val="none"/>
              </w:rPr>
            </w:r>
          </w:p>
        </w:tc>
        <w:tc>
          <w:tcPr>
            <w:tcW w:w="1701" w:type="dxa"/>
            <w:vAlign w:val="center"/>
            <w:textDirection w:val="lrTb"/>
            <w:noWrap w:val="false"/>
          </w:tcPr>
          <w:p>
            <w:pPr>
              <w:pStyle w:val="955"/>
              <w:jc w:val="center"/>
              <w:rPr>
                <w:highlight w:val="none"/>
              </w:rPr>
            </w:pPr>
            <w:r>
              <w:rPr>
                <w:highlight w:val="none"/>
              </w:rPr>
              <w:t xml:space="preserve">2-4周</w:t>
            </w:r>
            <w:r>
              <w:rPr>
                <w:highlight w:val="none"/>
              </w:rPr>
            </w:r>
          </w:p>
        </w:tc>
        <w:tc>
          <w:tcPr>
            <w:tcW w:w="1631" w:type="dxa"/>
            <w:vAlign w:val="center"/>
            <w:textDirection w:val="lrTb"/>
            <w:noWrap w:val="false"/>
          </w:tcPr>
          <w:p>
            <w:pPr>
              <w:pStyle w:val="955"/>
              <w:jc w:val="center"/>
              <w:rPr>
                <w:highlight w:val="none"/>
              </w:rPr>
            </w:pPr>
            <w:r>
              <w:rPr>
                <w:highlight w:val="none"/>
              </w:rPr>
            </w:r>
            <w:r>
              <w:rPr>
                <w:highlight w:val="none"/>
              </w:rPr>
            </w:r>
          </w:p>
        </w:tc>
      </w:tr>
      <w:tr>
        <w:trPr>
          <w:trHeight w:val="454"/>
        </w:trPr>
        <w:tc>
          <w:tcPr>
            <w:tcW w:w="859" w:type="dxa"/>
            <w:vAlign w:val="center"/>
            <w:textDirection w:val="lrTb"/>
            <w:noWrap w:val="false"/>
          </w:tcPr>
          <w:p>
            <w:pPr>
              <w:pStyle w:val="955"/>
              <w:jc w:val="center"/>
              <w:rPr>
                <w:highlight w:val="none"/>
              </w:rPr>
            </w:pPr>
            <w:r>
              <w:rPr>
                <w:highlight w:val="none"/>
              </w:rPr>
              <w:t xml:space="preserve">7</w:t>
            </w:r>
            <w:r>
              <w:rPr>
                <w:highlight w:val="none"/>
              </w:rPr>
            </w:r>
          </w:p>
        </w:tc>
        <w:tc>
          <w:tcPr>
            <w:tcW w:w="3877" w:type="dxa"/>
            <w:vAlign w:val="center"/>
            <w:textDirection w:val="lrTb"/>
            <w:noWrap w:val="false"/>
          </w:tcPr>
          <w:p>
            <w:pPr>
              <w:pStyle w:val="955"/>
              <w:jc w:val="center"/>
              <w:widowControl/>
              <w:rPr>
                <w:highlight w:val="none"/>
              </w:rPr>
            </w:pPr>
            <w:r>
              <w:rPr>
                <w:highlight w:val="none"/>
              </w:rPr>
              <w:t xml:space="preserve">便携式气象五参数仪</w:t>
            </w:r>
            <w:r>
              <w:rPr>
                <w:highlight w:val="none"/>
              </w:rPr>
            </w:r>
          </w:p>
        </w:tc>
        <w:tc>
          <w:tcPr>
            <w:tcW w:w="1348" w:type="dxa"/>
            <w:vAlign w:val="center"/>
            <w:textDirection w:val="lrTb"/>
            <w:noWrap w:val="false"/>
          </w:tcPr>
          <w:p>
            <w:pPr>
              <w:pStyle w:val="955"/>
              <w:jc w:val="center"/>
              <w:rPr>
                <w:highlight w:val="none"/>
              </w:rPr>
            </w:pPr>
            <w:r>
              <w:rPr>
                <w:highlight w:val="none"/>
              </w:rPr>
              <w:t xml:space="preserve">2</w:t>
            </w:r>
            <w:r>
              <w:rPr>
                <w:highlight w:val="none"/>
              </w:rPr>
            </w:r>
          </w:p>
        </w:tc>
        <w:tc>
          <w:tcPr>
            <w:tcW w:w="1701" w:type="dxa"/>
            <w:vAlign w:val="center"/>
            <w:textDirection w:val="lrTb"/>
            <w:noWrap w:val="false"/>
          </w:tcPr>
          <w:p>
            <w:pPr>
              <w:pStyle w:val="955"/>
              <w:jc w:val="center"/>
              <w:rPr>
                <w:highlight w:val="none"/>
              </w:rPr>
            </w:pPr>
            <w:r>
              <w:rPr>
                <w:highlight w:val="none"/>
              </w:rPr>
              <w:t xml:space="preserve">2-4周</w:t>
            </w:r>
            <w:r>
              <w:rPr>
                <w:highlight w:val="none"/>
              </w:rPr>
            </w:r>
          </w:p>
        </w:tc>
        <w:tc>
          <w:tcPr>
            <w:tcW w:w="1631" w:type="dxa"/>
            <w:vAlign w:val="center"/>
            <w:textDirection w:val="lrTb"/>
            <w:noWrap w:val="false"/>
          </w:tcPr>
          <w:p>
            <w:pPr>
              <w:pStyle w:val="955"/>
              <w:jc w:val="center"/>
              <w:rPr>
                <w:highlight w:val="none"/>
              </w:rPr>
            </w:pPr>
            <w:r>
              <w:rPr>
                <w:highlight w:val="none"/>
              </w:rPr>
            </w:r>
            <w:r>
              <w:rPr>
                <w:highlight w:val="none"/>
              </w:rPr>
            </w:r>
          </w:p>
        </w:tc>
      </w:tr>
      <w:tr>
        <w:trPr>
          <w:trHeight w:val="454"/>
        </w:trPr>
        <w:tc>
          <w:tcPr>
            <w:tcW w:w="859" w:type="dxa"/>
            <w:vAlign w:val="center"/>
            <w:textDirection w:val="lrTb"/>
            <w:noWrap w:val="false"/>
          </w:tcPr>
          <w:p>
            <w:pPr>
              <w:pStyle w:val="955"/>
              <w:jc w:val="center"/>
              <w:rPr>
                <w:highlight w:val="none"/>
              </w:rPr>
            </w:pPr>
            <w:r>
              <w:rPr>
                <w:highlight w:val="none"/>
              </w:rPr>
              <w:t xml:space="preserve">8</w:t>
            </w:r>
            <w:r>
              <w:rPr>
                <w:highlight w:val="none"/>
              </w:rPr>
            </w:r>
          </w:p>
        </w:tc>
        <w:tc>
          <w:tcPr>
            <w:tcW w:w="3877" w:type="dxa"/>
            <w:vAlign w:val="center"/>
            <w:textDirection w:val="lrTb"/>
            <w:noWrap w:val="false"/>
          </w:tcPr>
          <w:p>
            <w:pPr>
              <w:pStyle w:val="955"/>
              <w:jc w:val="center"/>
              <w:widowControl/>
              <w:rPr>
                <w:highlight w:val="none"/>
              </w:rPr>
            </w:pPr>
            <w:r>
              <w:rPr>
                <w:highlight w:val="none"/>
              </w:rPr>
              <w:t xml:space="preserve">海洋水质参数分析仪</w:t>
            </w:r>
            <w:r>
              <w:rPr>
                <w:highlight w:val="none"/>
              </w:rPr>
            </w:r>
          </w:p>
        </w:tc>
        <w:tc>
          <w:tcPr>
            <w:tcW w:w="1348" w:type="dxa"/>
            <w:vAlign w:val="center"/>
            <w:textDirection w:val="lrTb"/>
            <w:noWrap w:val="false"/>
          </w:tcPr>
          <w:p>
            <w:pPr>
              <w:pStyle w:val="955"/>
              <w:jc w:val="center"/>
              <w:rPr>
                <w:highlight w:val="none"/>
              </w:rPr>
            </w:pPr>
            <w:r>
              <w:rPr>
                <w:highlight w:val="none"/>
              </w:rPr>
              <w:t xml:space="preserve">1</w:t>
            </w:r>
            <w:r>
              <w:rPr>
                <w:highlight w:val="none"/>
              </w:rPr>
            </w:r>
          </w:p>
        </w:tc>
        <w:tc>
          <w:tcPr>
            <w:tcW w:w="1701" w:type="dxa"/>
            <w:vAlign w:val="center"/>
            <w:textDirection w:val="lrTb"/>
            <w:noWrap w:val="false"/>
          </w:tcPr>
          <w:p>
            <w:pPr>
              <w:pStyle w:val="955"/>
              <w:jc w:val="center"/>
              <w:rPr>
                <w:highlight w:val="none"/>
              </w:rPr>
            </w:pPr>
            <w:r>
              <w:rPr>
                <w:highlight w:val="none"/>
              </w:rPr>
              <w:t xml:space="preserve">2-4周</w:t>
            </w:r>
            <w:r>
              <w:rPr>
                <w:highlight w:val="none"/>
              </w:rPr>
            </w:r>
          </w:p>
        </w:tc>
        <w:tc>
          <w:tcPr>
            <w:tcW w:w="1631" w:type="dxa"/>
            <w:vAlign w:val="center"/>
            <w:textDirection w:val="lrTb"/>
            <w:noWrap w:val="false"/>
          </w:tcPr>
          <w:p>
            <w:pPr>
              <w:pStyle w:val="955"/>
              <w:jc w:val="center"/>
              <w:rPr>
                <w:highlight w:val="none"/>
              </w:rPr>
            </w:pPr>
            <w:r>
              <w:rPr>
                <w:highlight w:val="none"/>
              </w:rPr>
            </w:r>
            <w:r>
              <w:rPr>
                <w:highlight w:val="none"/>
              </w:rPr>
            </w:r>
          </w:p>
        </w:tc>
      </w:tr>
      <w:tr>
        <w:trPr>
          <w:trHeight w:val="454"/>
        </w:trPr>
        <w:tc>
          <w:tcPr>
            <w:tcW w:w="859" w:type="dxa"/>
            <w:vAlign w:val="center"/>
            <w:textDirection w:val="lrTb"/>
            <w:noWrap w:val="false"/>
          </w:tcPr>
          <w:p>
            <w:pPr>
              <w:pStyle w:val="955"/>
              <w:jc w:val="center"/>
              <w:rPr>
                <w:highlight w:val="none"/>
              </w:rPr>
            </w:pPr>
            <w:r>
              <w:rPr>
                <w:highlight w:val="none"/>
              </w:rPr>
              <w:t xml:space="preserve">9</w:t>
            </w:r>
            <w:r>
              <w:rPr>
                <w:highlight w:val="none"/>
              </w:rPr>
            </w:r>
          </w:p>
        </w:tc>
        <w:tc>
          <w:tcPr>
            <w:tcW w:w="3877" w:type="dxa"/>
            <w:vAlign w:val="center"/>
            <w:textDirection w:val="lrTb"/>
            <w:noWrap w:val="false"/>
          </w:tcPr>
          <w:p>
            <w:pPr>
              <w:pStyle w:val="955"/>
              <w:jc w:val="center"/>
              <w:widowControl/>
              <w:rPr>
                <w:rStyle w:val="1083"/>
                <w:rFonts w:ascii="Times New Roman" w:hAnsi="Times New Roman" w:cs="Times New Roman"/>
                <w:color w:val="000000"/>
                <w:sz w:val="21"/>
                <w:szCs w:val="21"/>
                <w:highlight w:val="none"/>
              </w:rPr>
            </w:pPr>
            <w:r>
              <w:rPr>
                <w:highlight w:val="none"/>
              </w:rPr>
              <w:t xml:space="preserve">甲醛气体检测仪</w:t>
            </w:r>
            <w:r>
              <w:rPr>
                <w:rStyle w:val="1083"/>
                <w:rFonts w:ascii="Times New Roman" w:hAnsi="Times New Roman" w:cs="Times New Roman"/>
                <w:color w:val="000000"/>
                <w:sz w:val="21"/>
                <w:szCs w:val="21"/>
                <w:highlight w:val="none"/>
              </w:rPr>
            </w:r>
            <w:r>
              <w:rPr>
                <w:highlight w:val="none"/>
              </w:rPr>
            </w:r>
          </w:p>
        </w:tc>
        <w:tc>
          <w:tcPr>
            <w:tcW w:w="1348" w:type="dxa"/>
            <w:vAlign w:val="center"/>
            <w:textDirection w:val="lrTb"/>
            <w:noWrap w:val="false"/>
          </w:tcPr>
          <w:p>
            <w:pPr>
              <w:pStyle w:val="955"/>
              <w:jc w:val="center"/>
              <w:rPr>
                <w:highlight w:val="none"/>
              </w:rPr>
            </w:pPr>
            <w:r>
              <w:rPr>
                <w:highlight w:val="none"/>
              </w:rPr>
              <w:t xml:space="preserve">1</w:t>
            </w:r>
            <w:r>
              <w:rPr>
                <w:highlight w:val="none"/>
              </w:rPr>
            </w:r>
          </w:p>
        </w:tc>
        <w:tc>
          <w:tcPr>
            <w:tcW w:w="1701" w:type="dxa"/>
            <w:vAlign w:val="center"/>
            <w:textDirection w:val="lrTb"/>
            <w:noWrap w:val="false"/>
          </w:tcPr>
          <w:p>
            <w:pPr>
              <w:pStyle w:val="955"/>
              <w:jc w:val="center"/>
              <w:rPr>
                <w:highlight w:val="none"/>
              </w:rPr>
            </w:pPr>
            <w:r>
              <w:rPr>
                <w:highlight w:val="none"/>
              </w:rPr>
              <w:t xml:space="preserve">2-4周</w:t>
            </w:r>
            <w:r>
              <w:rPr>
                <w:highlight w:val="none"/>
              </w:rPr>
            </w:r>
          </w:p>
        </w:tc>
        <w:tc>
          <w:tcPr>
            <w:tcW w:w="1631" w:type="dxa"/>
            <w:vAlign w:val="center"/>
            <w:textDirection w:val="lrTb"/>
            <w:noWrap w:val="false"/>
          </w:tcPr>
          <w:p>
            <w:pPr>
              <w:pStyle w:val="955"/>
              <w:jc w:val="center"/>
              <w:rPr>
                <w:highlight w:val="none"/>
              </w:rPr>
            </w:pPr>
            <w:r>
              <w:rPr>
                <w:highlight w:val="none"/>
              </w:rPr>
            </w:r>
            <w:r>
              <w:rPr>
                <w:highlight w:val="none"/>
              </w:rPr>
            </w:r>
          </w:p>
        </w:tc>
      </w:tr>
      <w:tr>
        <w:trPr>
          <w:trHeight w:val="591"/>
        </w:trPr>
        <w:tc>
          <w:tcPr>
            <w:tcW w:w="859" w:type="dxa"/>
            <w:vAlign w:val="center"/>
            <w:textDirection w:val="lrTb"/>
            <w:noWrap w:val="false"/>
          </w:tcPr>
          <w:p>
            <w:pPr>
              <w:pStyle w:val="955"/>
              <w:jc w:val="center"/>
              <w:widowControl/>
              <w:rPr>
                <w:b/>
                <w:bCs/>
                <w:highlight w:val="none"/>
              </w:rPr>
            </w:pPr>
            <w:r>
              <w:rPr>
                <w:b/>
                <w:bCs/>
                <w:highlight w:val="none"/>
              </w:rPr>
              <w:t xml:space="preserve">备注</w:t>
            </w:r>
            <w:r>
              <w:rPr>
                <w:b/>
                <w:bCs/>
                <w:highlight w:val="none"/>
              </w:rPr>
            </w:r>
            <w:r>
              <w:rPr>
                <w:highlight w:val="none"/>
              </w:rPr>
            </w:r>
          </w:p>
        </w:tc>
        <w:tc>
          <w:tcPr>
            <w:gridSpan w:val="4"/>
            <w:tcW w:w="8557" w:type="dxa"/>
            <w:vAlign w:val="center"/>
            <w:textDirection w:val="lrTb"/>
            <w:noWrap w:val="false"/>
          </w:tcPr>
          <w:p>
            <w:pPr>
              <w:pStyle w:val="955"/>
              <w:jc w:val="left"/>
              <w:widowControl/>
              <w:tabs>
                <w:tab w:val="left" w:pos="312" w:leader="none"/>
              </w:tabs>
              <w:rPr>
                <w:rStyle w:val="1083"/>
                <w:rFonts w:ascii="Times New Roman" w:hAnsi="Times New Roman" w:cs="Times New Roman"/>
                <w:b/>
                <w:bCs/>
                <w:color w:val="000000"/>
                <w:sz w:val="21"/>
                <w:szCs w:val="21"/>
                <w:highlight w:val="none"/>
              </w:rPr>
            </w:pPr>
            <w:r>
              <w:rPr>
                <w:rStyle w:val="1083"/>
                <w:rFonts w:ascii="Times New Roman" w:hAnsi="Times New Roman" w:cs="Times New Roman"/>
                <w:b/>
                <w:bCs/>
                <w:color w:val="000000"/>
                <w:sz w:val="21"/>
                <w:szCs w:val="21"/>
                <w:highlight w:val="none"/>
              </w:rPr>
              <w:t xml:space="preserve">1. *核心产品为X射线荧光光谱仪（及其附属设备）</w:t>
            </w:r>
            <w:r>
              <w:rPr>
                <w:rStyle w:val="1083"/>
                <w:rFonts w:ascii="Times New Roman" w:hAnsi="Times New Roman" w:cs="Times New Roman"/>
                <w:b/>
                <w:bCs/>
                <w:color w:val="000000"/>
                <w:sz w:val="21"/>
                <w:szCs w:val="21"/>
                <w:highlight w:val="none"/>
              </w:rPr>
            </w:r>
            <w:r>
              <w:rPr>
                <w:highlight w:val="none"/>
              </w:rPr>
            </w:r>
          </w:p>
          <w:p>
            <w:pPr>
              <w:pStyle w:val="955"/>
              <w:jc w:val="left"/>
              <w:widowControl/>
              <w:tabs>
                <w:tab w:val="left" w:pos="312" w:leader="none"/>
              </w:tabs>
              <w:rPr>
                <w:rStyle w:val="1083"/>
                <w:rFonts w:ascii="Times New Roman" w:hAnsi="Times New Roman" w:cs="Times New Roman"/>
                <w:color w:val="000000"/>
                <w:sz w:val="21"/>
                <w:szCs w:val="21"/>
                <w:highlight w:val="none"/>
              </w:rPr>
            </w:pPr>
            <w:r>
              <w:rPr>
                <w:rStyle w:val="1083"/>
                <w:rFonts w:ascii="Times New Roman" w:hAnsi="Times New Roman" w:cs="Times New Roman"/>
                <w:color w:val="000000"/>
                <w:sz w:val="21"/>
                <w:szCs w:val="21"/>
                <w:highlight w:val="none"/>
              </w:rPr>
              <w:t xml:space="preserve">2. 上述设备除不具备检定/校准条件的设备外，其余均需提供法定计量检定部门出具的计量检定/校准报告。</w:t>
            </w:r>
            <w:r>
              <w:rPr>
                <w:rStyle w:val="1083"/>
                <w:rFonts w:ascii="Times New Roman" w:hAnsi="Times New Roman" w:cs="Times New Roman"/>
                <w:color w:val="000000"/>
                <w:sz w:val="21"/>
                <w:szCs w:val="21"/>
                <w:highlight w:val="none"/>
              </w:rPr>
            </w:r>
            <w:r>
              <w:rPr>
                <w:highlight w:val="none"/>
              </w:rPr>
            </w:r>
          </w:p>
          <w:p>
            <w:pPr>
              <w:pStyle w:val="955"/>
              <w:jc w:val="left"/>
              <w:widowControl/>
              <w:tabs>
                <w:tab w:val="left" w:pos="312" w:leader="none"/>
              </w:tabs>
              <w:rPr>
                <w:rStyle w:val="1083"/>
                <w:rFonts w:ascii="Times New Roman" w:hAnsi="Times New Roman" w:cs="Times New Roman"/>
                <w:color w:val="000000"/>
                <w:sz w:val="21"/>
                <w:szCs w:val="21"/>
                <w:highlight w:val="none"/>
              </w:rPr>
            </w:pPr>
            <w:r>
              <w:rPr>
                <w:rStyle w:val="1083"/>
                <w:rFonts w:ascii="Times New Roman" w:hAnsi="Times New Roman" w:cs="Times New Roman"/>
                <w:color w:val="000000"/>
                <w:sz w:val="21"/>
                <w:szCs w:val="21"/>
                <w:highlight w:val="none"/>
              </w:rPr>
              <w:t xml:space="preserve">3. 所有设备均须安装至指定实验室，投标人需全面考虑相关因素（配件、用气、用水、连接件</w:t>
            </w:r>
            <w:r>
              <w:rPr>
                <w:rStyle w:val="1083"/>
                <w:rFonts w:hint="eastAsia" w:ascii="Times New Roman" w:hAnsi="Times New Roman" w:cs="Times New Roman"/>
                <w:color w:val="000000"/>
                <w:sz w:val="21"/>
                <w:szCs w:val="21"/>
                <w:highlight w:val="none"/>
              </w:rPr>
              <w:t xml:space="preserve">、安全</w:t>
            </w:r>
            <w:r>
              <w:rPr>
                <w:rStyle w:val="1083"/>
                <w:rFonts w:ascii="Times New Roman" w:hAnsi="Times New Roman" w:cs="Times New Roman"/>
                <w:color w:val="000000"/>
                <w:sz w:val="21"/>
                <w:szCs w:val="21"/>
                <w:highlight w:val="none"/>
              </w:rPr>
              <w:t xml:space="preserve">等），确保满足相关</w:t>
            </w:r>
            <w:r>
              <w:rPr>
                <w:rStyle w:val="1083"/>
                <w:rFonts w:hint="eastAsia" w:ascii="Times New Roman" w:hAnsi="Times New Roman" w:cs="Times New Roman"/>
                <w:color w:val="000000"/>
                <w:sz w:val="21"/>
                <w:szCs w:val="21"/>
                <w:highlight w:val="none"/>
              </w:rPr>
              <w:t xml:space="preserve">国家</w:t>
            </w:r>
            <w:r>
              <w:rPr>
                <w:rStyle w:val="1083"/>
                <w:rFonts w:ascii="Times New Roman" w:hAnsi="Times New Roman" w:cs="Times New Roman"/>
                <w:color w:val="000000"/>
                <w:sz w:val="21"/>
                <w:szCs w:val="21"/>
                <w:highlight w:val="none"/>
              </w:rPr>
              <w:t xml:space="preserve">标准</w:t>
            </w:r>
            <w:r>
              <w:rPr>
                <w:rStyle w:val="1083"/>
                <w:rFonts w:hint="eastAsia" w:ascii="Times New Roman" w:hAnsi="Times New Roman" w:cs="Times New Roman"/>
                <w:color w:val="000000"/>
                <w:sz w:val="21"/>
                <w:szCs w:val="21"/>
                <w:highlight w:val="none"/>
              </w:rPr>
              <w:t xml:space="preserve">、技术规范、标准</w:t>
            </w:r>
            <w:r>
              <w:rPr>
                <w:rStyle w:val="1083"/>
                <w:rFonts w:ascii="Times New Roman" w:hAnsi="Times New Roman" w:cs="Times New Roman"/>
                <w:color w:val="000000"/>
                <w:sz w:val="21"/>
                <w:szCs w:val="21"/>
                <w:highlight w:val="none"/>
              </w:rPr>
              <w:t xml:space="preserve">方法验证要求。</w:t>
            </w:r>
            <w:r>
              <w:rPr>
                <w:rStyle w:val="1083"/>
                <w:rFonts w:ascii="Times New Roman" w:hAnsi="Times New Roman" w:cs="Times New Roman"/>
                <w:color w:val="000000"/>
                <w:sz w:val="21"/>
                <w:szCs w:val="21"/>
                <w:highlight w:val="none"/>
              </w:rPr>
            </w:r>
            <w:r>
              <w:rPr>
                <w:highlight w:val="none"/>
              </w:rPr>
            </w:r>
          </w:p>
          <w:p>
            <w:pPr>
              <w:pStyle w:val="955"/>
              <w:jc w:val="left"/>
              <w:widowControl/>
              <w:tabs>
                <w:tab w:val="left" w:pos="312" w:leader="none"/>
              </w:tabs>
              <w:rPr>
                <w:rStyle w:val="1083"/>
                <w:rFonts w:ascii="Times New Roman" w:hAnsi="Times New Roman" w:cs="Times New Roman"/>
                <w:color w:val="000000"/>
                <w:sz w:val="21"/>
                <w:szCs w:val="21"/>
                <w:highlight w:val="none"/>
              </w:rPr>
            </w:pPr>
            <w:r>
              <w:rPr>
                <w:rStyle w:val="1083"/>
                <w:rFonts w:ascii="Times New Roman" w:hAnsi="Times New Roman" w:cs="Times New Roman"/>
                <w:color w:val="000000"/>
                <w:sz w:val="21"/>
                <w:szCs w:val="21"/>
                <w:highlight w:val="none"/>
              </w:rPr>
              <w:t xml:space="preserve">4. 参数偏离表不得直接复制“技术要求”，须提供官网或产品彩页技术参数证明材料。</w:t>
            </w:r>
            <w:r>
              <w:rPr>
                <w:rStyle w:val="1083"/>
                <w:rFonts w:ascii="Times New Roman" w:hAnsi="Times New Roman" w:cs="Times New Roman"/>
                <w:color w:val="000000"/>
                <w:sz w:val="21"/>
                <w:szCs w:val="21"/>
                <w:highlight w:val="none"/>
              </w:rPr>
            </w:r>
            <w:r>
              <w:rPr>
                <w:highlight w:val="none"/>
              </w:rPr>
            </w:r>
          </w:p>
          <w:p>
            <w:pPr>
              <w:pStyle w:val="955"/>
              <w:jc w:val="left"/>
              <w:widowControl/>
              <w:tabs>
                <w:tab w:val="left" w:pos="312" w:leader="none"/>
              </w:tabs>
              <w:rPr>
                <w:rStyle w:val="1083"/>
                <w:rFonts w:ascii="Times New Roman" w:hAnsi="Times New Roman" w:cs="Times New Roman"/>
                <w:color w:val="000000"/>
                <w:sz w:val="21"/>
                <w:szCs w:val="21"/>
                <w:highlight w:val="none"/>
              </w:rPr>
            </w:pPr>
            <w:r>
              <w:rPr>
                <w:rStyle w:val="1083"/>
                <w:rFonts w:ascii="Times New Roman" w:hAnsi="Times New Roman" w:cs="Times New Roman"/>
                <w:color w:val="000000"/>
                <w:sz w:val="21"/>
                <w:szCs w:val="21"/>
                <w:highlight w:val="none"/>
              </w:rPr>
              <w:t xml:space="preserve">5. 仪器设备需按采购人要求提供实验室信息管理系统（LIMS）需要的数据报告格式。</w:t>
            </w:r>
            <w:r>
              <w:rPr>
                <w:rStyle w:val="1083"/>
                <w:rFonts w:ascii="Times New Roman" w:hAnsi="Times New Roman" w:cs="Times New Roman"/>
                <w:color w:val="000000"/>
                <w:sz w:val="21"/>
                <w:szCs w:val="21"/>
                <w:highlight w:val="none"/>
              </w:rPr>
            </w:r>
            <w:r>
              <w:rPr>
                <w:highlight w:val="none"/>
              </w:rPr>
            </w:r>
          </w:p>
          <w:p>
            <w:pPr>
              <w:pStyle w:val="955"/>
              <w:jc w:val="left"/>
              <w:widowControl/>
              <w:tabs>
                <w:tab w:val="left" w:pos="312" w:leader="none"/>
              </w:tabs>
              <w:rPr>
                <w:rStyle w:val="1083"/>
                <w:rFonts w:ascii="Times New Roman" w:hAnsi="Times New Roman" w:cs="Times New Roman"/>
                <w:color w:val="000000"/>
                <w:sz w:val="21"/>
                <w:szCs w:val="21"/>
                <w:highlight w:val="none"/>
              </w:rPr>
            </w:pPr>
            <w:r>
              <w:rPr>
                <w:rStyle w:val="1083"/>
                <w:rFonts w:ascii="Times New Roman" w:hAnsi="Times New Roman" w:cs="Times New Roman"/>
                <w:color w:val="000000"/>
                <w:sz w:val="21"/>
                <w:szCs w:val="21"/>
                <w:highlight w:val="none"/>
              </w:rPr>
              <w:t xml:space="preserve">6. 本项目为“交钥匙”工程，投标人需全面考虑此项目的所有细节，采购人不再为此项目支付额外费用。</w:t>
            </w:r>
            <w:r>
              <w:rPr>
                <w:rStyle w:val="1083"/>
                <w:rFonts w:ascii="Times New Roman" w:hAnsi="Times New Roman" w:cs="Times New Roman"/>
                <w:color w:val="000000"/>
                <w:sz w:val="21"/>
                <w:szCs w:val="21"/>
                <w:highlight w:val="none"/>
              </w:rPr>
            </w:r>
            <w:r>
              <w:rPr>
                <w:highlight w:val="none"/>
              </w:rPr>
            </w:r>
          </w:p>
        </w:tc>
      </w:tr>
    </w:tbl>
    <w:p>
      <w:pPr>
        <w:pStyle w:val="955"/>
        <w:spacing w:before="120" w:after="120"/>
        <w:rPr>
          <w:rFonts w:hint="eastAsia" w:ascii="宋体" w:hAnsi="宋体" w:cs="宋体"/>
          <w:b/>
          <w:sz w:val="24"/>
          <w:szCs w:val="24"/>
          <w:highlight w:val="none"/>
        </w:rPr>
      </w:pPr>
      <w:r>
        <w:rPr>
          <w:rFonts w:hint="eastAsia" w:ascii="宋体" w:hAnsi="宋体" w:cs="宋体"/>
          <w:b/>
          <w:sz w:val="24"/>
          <w:szCs w:val="24"/>
          <w:highlight w:val="none"/>
        </w:rPr>
      </w:r>
      <w:r>
        <w:rPr>
          <w:highlight w:val="none"/>
        </w:rPr>
      </w:r>
    </w:p>
    <w:p>
      <w:pPr>
        <w:pStyle w:val="955"/>
        <w:spacing w:line="360" w:lineRule="auto"/>
        <w:rPr>
          <w:rFonts w:eastAsia="黑体"/>
          <w:sz w:val="24"/>
          <w:highlight w:val="none"/>
        </w:rPr>
        <w:outlineLvl w:val="1"/>
      </w:pPr>
      <w:r>
        <w:rPr>
          <w:b/>
          <w:sz w:val="24"/>
          <w:highlight w:val="none"/>
        </w:rPr>
        <w:t xml:space="preserve">三、技术要求</w:t>
      </w:r>
      <w:r>
        <w:rPr>
          <w:rFonts w:eastAsia="黑体"/>
          <w:sz w:val="24"/>
          <w:highlight w:val="none"/>
        </w:rPr>
      </w:r>
      <w:r>
        <w:rPr>
          <w:highlight w:val="none"/>
        </w:rPr>
      </w:r>
    </w:p>
    <w:p>
      <w:pPr>
        <w:pStyle w:val="955"/>
        <w:spacing w:line="360" w:lineRule="auto"/>
        <w:rPr>
          <w:rFonts w:eastAsia="黑体"/>
          <w:sz w:val="24"/>
          <w:highlight w:val="none"/>
        </w:rPr>
        <w:outlineLvl w:val="1"/>
      </w:pPr>
      <w:r>
        <w:rPr>
          <w:rFonts w:eastAsia="黑体"/>
          <w:sz w:val="24"/>
          <w:highlight w:val="none"/>
        </w:rPr>
        <w:t xml:space="preserve">（一）X射线荧光光谱仪（及其附属设备）</w:t>
      </w:r>
      <w:r>
        <w:rPr>
          <w:rFonts w:eastAsia="黑体"/>
          <w:sz w:val="24"/>
          <w:highlight w:val="none"/>
        </w:rPr>
      </w:r>
      <w:r>
        <w:rPr>
          <w:highlight w:val="none"/>
        </w:rPr>
      </w:r>
    </w:p>
    <w:p>
      <w:pPr>
        <w:pStyle w:val="955"/>
        <w:spacing w:line="360" w:lineRule="auto"/>
        <w:rPr>
          <w:sz w:val="24"/>
          <w:highlight w:val="none"/>
        </w:rPr>
        <w:outlineLvl w:val="1"/>
      </w:pPr>
      <w:r>
        <w:rPr>
          <w:b/>
          <w:sz w:val="24"/>
          <w:highlight w:val="none"/>
        </w:rPr>
        <w:t xml:space="preserve">1、总体要求：</w:t>
      </w:r>
      <w:r>
        <w:rPr>
          <w:sz w:val="24"/>
          <w:highlight w:val="none"/>
        </w:rPr>
        <w:t xml:space="preserve">用于环境空气、土壤和沉积物、固体废物无机元素的测定</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2、配置要求</w:t>
      </w:r>
      <w:r>
        <w:rPr>
          <w:rFonts w:hint="eastAsia"/>
          <w:b/>
          <w:sz w:val="24"/>
          <w:highlight w:val="none"/>
        </w:rPr>
        <w:t xml:space="preserve">（包含但不限于）</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 X射线荧光光谱仪主机1台及配套；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2. 冷水机1台及配套；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3. 压片机1台及配套；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4. 磨样机1台及非金属筛1套；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5. 硼酸包边压样模具1套，塑料环压样模具1套，荧光用工业硼酸5瓶；</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6. 4.0 um厚度Prolene膜不少于90米；6 um厚度Mylar膜1卷；</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7. 34 mm开口（或类似尺寸）不锈钢样品杯60个，28 mm开口（或类似尺寸）不锈钢样品杯20个，滤膜专用无背景散射样品杯20个，含同样数量的固体样品夹具；</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8. 大气颗粒物特氟龙有机滤膜1套（不少于60张）；</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9. 仪器安装所需安装包、管、泵、阀门、气（含瓶、阀、瓶架）、工具等；</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10. 仪器使用所需的环境条件改造，包括但不限于：楼面加固、安全措施、独立接地、UPS供电、试验台、气路铺设等，按现场实际确定，须确保采购人使用安全；</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11. 提供</w:t>
      </w:r>
      <w:r>
        <w:rPr>
          <w:sz w:val="24"/>
          <w:highlight w:val="none"/>
        </w:rPr>
        <w:t xml:space="preserve">方法开发，</w:t>
      </w:r>
      <w:r>
        <w:rPr>
          <w:rFonts w:hint="eastAsia"/>
          <w:sz w:val="24"/>
          <w:highlight w:val="none"/>
        </w:rPr>
        <w:t xml:space="preserve">按土壤和沉积物、环境空气颗粒物无机元素测定标准方法，配置参数、建立方法，绘制标准曲线，完成验证测试，配合采购单位完成相关检测方法取得C</w:t>
      </w:r>
      <w:r>
        <w:rPr>
          <w:sz w:val="24"/>
          <w:highlight w:val="none"/>
        </w:rPr>
        <w:t xml:space="preserve">MA</w:t>
      </w:r>
      <w:r>
        <w:rPr>
          <w:rFonts w:hint="eastAsia"/>
          <w:sz w:val="24"/>
          <w:highlight w:val="none"/>
        </w:rPr>
        <w:t xml:space="preserve">资质；其中水系沉积物无机元素工作曲线（不同编号水系沉积物标准样品（含证书）不少于30个）；土壤无机元素工作曲线（不同编号土壤系列标准样品（含证书）不少于30个）；空气颗粒物无机元素工作曲线（标准滤膜（（含证书））不少于60张，每个元素不少于3个点）；</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12.</w:t>
      </w:r>
      <w:r>
        <w:rPr>
          <w:sz w:val="24"/>
          <w:highlight w:val="none"/>
        </w:rPr>
        <w:t xml:space="preserve"> 中文工作软件及配套</w:t>
      </w:r>
      <w:r>
        <w:rPr>
          <w:rFonts w:hint="eastAsia"/>
          <w:sz w:val="24"/>
          <w:highlight w:val="none"/>
        </w:rPr>
        <w:t xml:space="preserve">工作站（含展示设备</w:t>
      </w:r>
      <w:r>
        <w:rPr>
          <w:sz w:val="24"/>
          <w:highlight w:val="none"/>
        </w:rPr>
        <w:t xml:space="preserve">、正版操作软件和办公软件</w:t>
      </w:r>
      <w:r>
        <w:rPr>
          <w:rFonts w:hint="eastAsia"/>
          <w:sz w:val="24"/>
          <w:highlight w:val="none"/>
        </w:rPr>
        <w:t xml:space="preserve">）、配套打印（双面）设施、扫描设备。</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13. 质保期不低于1年，质保期后提供不少于1年免费维修服务。</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3、技术要求：</w:t>
      </w:r>
      <w:r>
        <w:rPr>
          <w:b/>
          <w:sz w:val="24"/>
          <w:highlight w:val="none"/>
        </w:rPr>
      </w:r>
      <w:r>
        <w:rPr>
          <w:highlight w:val="none"/>
        </w:rPr>
      </w:r>
    </w:p>
    <w:p>
      <w:pPr>
        <w:pStyle w:val="955"/>
        <w:spacing w:line="360" w:lineRule="auto"/>
        <w:rPr>
          <w:sz w:val="24"/>
          <w:highlight w:val="none"/>
        </w:rPr>
        <w:outlineLvl w:val="1"/>
      </w:pPr>
      <w:r>
        <w:rPr>
          <w:sz w:val="24"/>
          <w:highlight w:val="none"/>
        </w:rPr>
        <w:t xml:space="preserve">1.</w:t>
      </w:r>
      <w:r>
        <w:rPr>
          <w:rFonts w:hint="eastAsia"/>
          <w:sz w:val="24"/>
          <w:highlight w:val="none"/>
        </w:rPr>
        <w:t xml:space="preserve"> </w:t>
      </w:r>
      <w:r>
        <w:rPr>
          <w:sz w:val="24"/>
          <w:highlight w:val="none"/>
        </w:rPr>
        <w:t xml:space="preserve">仪器符合《土壤和沉积物 无机元素的测定 波长色散X射线荧光光谱法》</w:t>
      </w:r>
      <w:r>
        <w:rPr>
          <w:rFonts w:hint="eastAsia"/>
          <w:sz w:val="24"/>
          <w:highlight w:val="none"/>
        </w:rPr>
        <w:t xml:space="preserve">（HJ</w:t>
      </w:r>
      <w:r>
        <w:rPr>
          <w:sz w:val="24"/>
          <w:highlight w:val="none"/>
        </w:rPr>
        <w:t xml:space="preserve">780-2015</w:t>
      </w:r>
      <w:r>
        <w:rPr>
          <w:rFonts w:hint="eastAsia"/>
          <w:sz w:val="24"/>
          <w:highlight w:val="none"/>
        </w:rPr>
        <w:t xml:space="preserve">）、</w:t>
      </w:r>
      <w:r>
        <w:rPr>
          <w:sz w:val="24"/>
          <w:highlight w:val="none"/>
        </w:rPr>
        <w:t xml:space="preserve">《环境空气颗粒物中无机元素的测定 波长色散X射线荧光光谱法》</w:t>
      </w:r>
      <w:r>
        <w:rPr>
          <w:rFonts w:hint="eastAsia"/>
          <w:sz w:val="24"/>
          <w:highlight w:val="none"/>
        </w:rPr>
        <w:t xml:space="preserve">（HJ</w:t>
      </w:r>
      <w:r>
        <w:rPr>
          <w:sz w:val="24"/>
          <w:highlight w:val="none"/>
        </w:rPr>
        <w:t xml:space="preserve">830-2017</w:t>
      </w:r>
      <w:r>
        <w:rPr>
          <w:rFonts w:hint="eastAsia"/>
          <w:sz w:val="24"/>
          <w:highlight w:val="none"/>
        </w:rPr>
        <w:t xml:space="preserve">）和</w:t>
      </w:r>
      <w:r>
        <w:rPr>
          <w:sz w:val="24"/>
          <w:highlight w:val="none"/>
        </w:rPr>
        <w:t xml:space="preserve">《固体废物 无机元素的测定 波长色散X射线荧光光谱法》</w:t>
      </w:r>
      <w:r>
        <w:rPr>
          <w:rFonts w:hint="eastAsia"/>
          <w:sz w:val="24"/>
          <w:highlight w:val="none"/>
        </w:rPr>
        <w:t xml:space="preserve">（</w:t>
      </w:r>
      <w:r>
        <w:rPr>
          <w:sz w:val="24"/>
          <w:highlight w:val="none"/>
        </w:rPr>
        <w:t xml:space="preserve">HJ1211</w:t>
      </w:r>
      <w:r>
        <w:rPr>
          <w:rFonts w:hint="eastAsia"/>
          <w:sz w:val="24"/>
          <w:highlight w:val="none"/>
        </w:rPr>
        <w:t xml:space="preserve">-</w:t>
      </w:r>
      <w:r>
        <w:rPr>
          <w:sz w:val="24"/>
          <w:highlight w:val="none"/>
        </w:rPr>
        <w:t xml:space="preserve">2021</w:t>
      </w:r>
      <w:r>
        <w:rPr>
          <w:rFonts w:hint="eastAsia"/>
          <w:sz w:val="24"/>
          <w:highlight w:val="none"/>
        </w:rPr>
        <w:t xml:space="preserve">）等标准方法</w:t>
      </w:r>
      <w:r>
        <w:rPr>
          <w:sz w:val="24"/>
          <w:highlight w:val="none"/>
        </w:rPr>
        <w:t xml:space="preserve">使用要求</w:t>
      </w:r>
      <w:r>
        <w:rPr>
          <w:rFonts w:hint="eastAsia"/>
          <w:sz w:val="24"/>
          <w:highlight w:val="none"/>
        </w:rPr>
        <w:t xml:space="preserve">。</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2. X射线荧光光谱仪适用于金属材料、非金属材料、块状样品、玻璃熔片样品、粉末压片样品、松散粉末样品、液体样品、不规则样品等定性、定量及无标样定量分析，分析元素范围应覆盖元素周期表Be-Am之间的元素，含量范围为0.1PPM-100%。</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3. X射线荧光光谱仪仪器应采用全封闭式设计，仪器内部与外部没有空气连通，仪器内部电路板等均采用水冷的方式，外界空气中的灰尘不会进入的仪器内部。</w:t>
      </w:r>
      <w:r>
        <w:rPr>
          <w:sz w:val="24"/>
          <w:highlight w:val="none"/>
        </w:rPr>
      </w:r>
      <w:r>
        <w:rPr>
          <w:highlight w:val="none"/>
        </w:rPr>
      </w:r>
    </w:p>
    <w:p>
      <w:pPr>
        <w:pStyle w:val="955"/>
        <w:spacing w:line="360" w:lineRule="auto"/>
        <w:rPr>
          <w:rFonts w:ascii="宋体" w:hAnsi="宋体"/>
          <w:b/>
          <w:highlight w:val="none"/>
        </w:rPr>
        <w:outlineLvl w:val="1"/>
      </w:pPr>
      <w:r>
        <w:rPr>
          <w:rFonts w:hint="eastAsia" w:ascii="宋体" w:hAnsi="宋体"/>
          <w:b/>
          <w:highlight w:val="none"/>
        </w:rPr>
        <w:t xml:space="preserve">▲</w:t>
      </w:r>
      <w:r>
        <w:rPr>
          <w:rFonts w:hint="eastAsia"/>
          <w:sz w:val="24"/>
          <w:highlight w:val="none"/>
        </w:rPr>
        <w:t xml:space="preserve">4. X射线荧光光谱仪须为低于《电离辐射防护与辐射源安全基本标准》（GB18871—2002）规定豁免的射线装置，豁免条件必须≥设备最大电压和最大电流，须确保采购人使用安全和设备运行管理规范合法。</w:t>
      </w:r>
      <w:r>
        <w:rPr>
          <w:rFonts w:hint="eastAsia"/>
          <w:b/>
          <w:sz w:val="24"/>
          <w:highlight w:val="none"/>
        </w:rPr>
        <w:t xml:space="preserve">（须提供中华人民共和国生态环境部公开信息查询截图，及放射性同位素与射线装置豁免备案证明文件，需加盖制造商公章）</w:t>
      </w:r>
      <w:r>
        <w:rPr>
          <w:rFonts w:ascii="宋体" w:hAnsi="宋体"/>
          <w:b/>
          <w:highlight w:val="none"/>
        </w:rPr>
      </w:r>
      <w:r>
        <w:rPr>
          <w:highlight w:val="none"/>
        </w:rPr>
      </w:r>
    </w:p>
    <w:p>
      <w:pPr>
        <w:pStyle w:val="955"/>
        <w:spacing w:line="360" w:lineRule="auto"/>
        <w:rPr>
          <w:sz w:val="24"/>
          <w:highlight w:val="none"/>
        </w:rPr>
        <w:outlineLvl w:val="1"/>
      </w:pPr>
      <w:r>
        <w:rPr>
          <w:rFonts w:hint="eastAsia"/>
          <w:sz w:val="24"/>
          <w:highlight w:val="none"/>
        </w:rPr>
        <w:t xml:space="preserve">5. X射线高压发生器</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5.1 最大输出功率≥4 kW。</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5.2 额定电压≥60 kV，20 kV以上1 kV连续可调。</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5.3 额定电流≥160 mA，5 mA以上1 mA连续可调。</w:t>
      </w:r>
      <w:r>
        <w:rPr>
          <w:sz w:val="24"/>
          <w:highlight w:val="none"/>
        </w:rPr>
      </w:r>
      <w:r>
        <w:rPr>
          <w:highlight w:val="none"/>
        </w:rPr>
      </w:r>
    </w:p>
    <w:p>
      <w:pPr>
        <w:pStyle w:val="955"/>
        <w:spacing w:line="360" w:lineRule="auto"/>
        <w:rPr>
          <w:sz w:val="24"/>
          <w:highlight w:val="none"/>
        </w:rPr>
        <w:outlineLvl w:val="1"/>
      </w:pPr>
      <w:r>
        <w:rPr>
          <w:rFonts w:hint="eastAsia" w:ascii="宋体" w:hAnsi="宋体"/>
          <w:b/>
          <w:highlight w:val="none"/>
        </w:rPr>
        <w:t xml:space="preserve">▲</w:t>
      </w:r>
      <w:r>
        <w:rPr>
          <w:rFonts w:hint="eastAsia"/>
          <w:sz w:val="24"/>
          <w:highlight w:val="none"/>
        </w:rPr>
        <w:t xml:space="preserve">5.4 外电压波动1%时，输出电压的稳定性≤±0.00005%。</w:t>
      </w:r>
      <w:r>
        <w:rPr>
          <w:rFonts w:hint="eastAsia"/>
          <w:b/>
          <w:sz w:val="24"/>
          <w:highlight w:val="none"/>
        </w:rPr>
        <w:t xml:space="preserve">（须提供第三方测试报告，需加盖制造商公章）</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6. X射线光管</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6.1 材质采用Rh靶，陶瓷端窗X光管，铍窗厚度：≤</w:t>
      </w:r>
      <w:r>
        <w:rPr>
          <w:sz w:val="24"/>
          <w:highlight w:val="none"/>
        </w:rPr>
        <w:t xml:space="preserve">75</w:t>
      </w:r>
      <w:r>
        <w:rPr>
          <w:rFonts w:hint="eastAsia"/>
          <w:sz w:val="24"/>
          <w:highlight w:val="none"/>
        </w:rPr>
        <w:t xml:space="preserve"> um。</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▲6.2 最大电压≥7</w:t>
      </w:r>
      <w:r>
        <w:rPr>
          <w:sz w:val="24"/>
          <w:highlight w:val="none"/>
        </w:rPr>
        <w:t xml:space="preserve">5</w:t>
      </w:r>
      <w:r>
        <w:rPr>
          <w:rFonts w:hint="eastAsia"/>
          <w:sz w:val="24"/>
          <w:highlight w:val="none"/>
        </w:rPr>
        <w:t xml:space="preserve"> KV，最大电流≥1</w:t>
      </w:r>
      <w:r>
        <w:rPr>
          <w:sz w:val="24"/>
          <w:highlight w:val="none"/>
        </w:rPr>
        <w:t xml:space="preserve">60</w:t>
      </w:r>
      <w:r>
        <w:rPr>
          <w:rFonts w:hint="eastAsia"/>
          <w:sz w:val="24"/>
          <w:highlight w:val="none"/>
        </w:rPr>
        <w:t xml:space="preserve"> mA。</w:t>
      </w:r>
      <w:r>
        <w:rPr>
          <w:rFonts w:hint="eastAsia"/>
          <w:b/>
          <w:sz w:val="24"/>
          <w:highlight w:val="none"/>
        </w:rPr>
        <w:t xml:space="preserve">（</w:t>
      </w:r>
      <w:r>
        <w:rPr>
          <w:rFonts w:ascii="宋体" w:hAnsi="宋体"/>
          <w:b/>
          <w:sz w:val="24"/>
          <w:highlight w:val="none"/>
        </w:rPr>
        <w:t xml:space="preserve">提供技术证明文件</w:t>
      </w:r>
      <w:r>
        <w:rPr>
          <w:rFonts w:hint="eastAsia"/>
          <w:b/>
          <w:sz w:val="24"/>
          <w:highlight w:val="none"/>
        </w:rPr>
        <w:t xml:space="preserve">，需加盖制造商公章</w:t>
      </w:r>
      <w:r>
        <w:rPr>
          <w:rFonts w:ascii="宋体" w:hAnsi="宋体"/>
          <w:b/>
          <w:sz w:val="24"/>
          <w:highlight w:val="none"/>
        </w:rPr>
        <w:t xml:space="preserve">）</w:t>
      </w:r>
      <w:r>
        <w:rPr>
          <w:b/>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▲6.3 采用水冷低温光管头技术，适用低熔点样品。</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6.4 采用下照射方式，样品分析面朝下。</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7</w:t>
      </w:r>
      <w:r>
        <w:rPr>
          <w:sz w:val="24"/>
          <w:highlight w:val="none"/>
        </w:rPr>
        <w:t xml:space="preserve">. 测角仪</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▲7</w:t>
      </w:r>
      <w:r>
        <w:rPr>
          <w:sz w:val="24"/>
          <w:highlight w:val="none"/>
        </w:rPr>
        <w:t xml:space="preserve">.1 采用θ/2θ分别驱动，光学定位，无机械磨损。</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7</w:t>
      </w:r>
      <w:r>
        <w:rPr>
          <w:sz w:val="24"/>
          <w:highlight w:val="none"/>
        </w:rPr>
        <w:t xml:space="preserve">.2 最大定位转速</w:t>
      </w:r>
      <w:r>
        <w:rPr>
          <w:rFonts w:hint="eastAsia"/>
          <w:sz w:val="24"/>
          <w:highlight w:val="none"/>
        </w:rPr>
        <w:t xml:space="preserve">≥</w:t>
      </w:r>
      <w:r>
        <w:rPr>
          <w:sz w:val="24"/>
          <w:highlight w:val="none"/>
        </w:rPr>
        <w:t xml:space="preserve">4800 °/min</w:t>
      </w:r>
      <w:r>
        <w:rPr>
          <w:rFonts w:hint="eastAsia"/>
          <w:sz w:val="24"/>
          <w:highlight w:val="none"/>
        </w:rPr>
        <w:t xml:space="preserve">。</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▲7.3 </w:t>
      </w:r>
      <w:r>
        <w:rPr>
          <w:sz w:val="24"/>
          <w:highlight w:val="none"/>
        </w:rPr>
        <w:t xml:space="preserve">最大扫描速度</w:t>
      </w:r>
      <w:r>
        <w:rPr>
          <w:rFonts w:hint="eastAsia"/>
          <w:sz w:val="24"/>
          <w:highlight w:val="none"/>
        </w:rPr>
        <w:t xml:space="preserve">≥</w:t>
      </w:r>
      <w:r>
        <w:rPr>
          <w:sz w:val="24"/>
          <w:highlight w:val="none"/>
        </w:rPr>
        <w:t xml:space="preserve">1000 °/min。</w:t>
      </w:r>
      <w:r>
        <w:rPr>
          <w:rFonts w:hint="eastAsia"/>
          <w:b/>
          <w:sz w:val="24"/>
          <w:highlight w:val="none"/>
        </w:rPr>
        <w:t xml:space="preserve">（</w:t>
      </w:r>
      <w:r>
        <w:rPr>
          <w:b/>
          <w:sz w:val="24"/>
          <w:highlight w:val="none"/>
        </w:rPr>
        <w:t xml:space="preserve">提供技术证明文件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7</w:t>
      </w:r>
      <w:r>
        <w:rPr>
          <w:sz w:val="24"/>
          <w:highlight w:val="none"/>
        </w:rPr>
        <w:t xml:space="preserve">.</w:t>
      </w:r>
      <w:r>
        <w:rPr>
          <w:rFonts w:hint="eastAsia"/>
          <w:sz w:val="24"/>
          <w:highlight w:val="none"/>
        </w:rPr>
        <w:t xml:space="preserve">4</w:t>
      </w:r>
      <w:r>
        <w:rPr>
          <w:sz w:val="24"/>
          <w:highlight w:val="none"/>
        </w:rPr>
        <w:t xml:space="preserve"> 角度准确度</w:t>
      </w:r>
      <w:r>
        <w:rPr>
          <w:rFonts w:hint="eastAsia"/>
          <w:sz w:val="24"/>
          <w:highlight w:val="none"/>
        </w:rPr>
        <w:t xml:space="preserve">≤</w:t>
      </w:r>
      <w:r>
        <w:rPr>
          <w:sz w:val="24"/>
          <w:highlight w:val="none"/>
        </w:rPr>
        <w:t xml:space="preserve">±0.001 °，角度再现精度</w:t>
      </w:r>
      <w:r>
        <w:rPr>
          <w:rFonts w:hint="eastAsia"/>
          <w:sz w:val="24"/>
          <w:highlight w:val="none"/>
        </w:rPr>
        <w:t xml:space="preserve">≤</w:t>
      </w:r>
      <w:r>
        <w:rPr>
          <w:sz w:val="24"/>
          <w:highlight w:val="none"/>
        </w:rPr>
        <w:t xml:space="preserve">±0.0001</w:t>
      </w:r>
      <w:r>
        <w:rPr>
          <w:rFonts w:hint="eastAsia"/>
          <w:sz w:val="24"/>
          <w:highlight w:val="none"/>
        </w:rPr>
        <w:t xml:space="preserve"> </w:t>
      </w:r>
      <w:r>
        <w:rPr>
          <w:sz w:val="24"/>
          <w:highlight w:val="none"/>
        </w:rPr>
        <w:t xml:space="preserve">°。</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8. 探测器</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8.1 采用正比流气及闪烁计数器，全真空扫描。</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▲8.2正比流气计数器最大物理线性计数≥3000 Kcps；闪烁计数器最大物理线性计数≥3000 kCPS。</w:t>
      </w:r>
      <w:r>
        <w:rPr>
          <w:rFonts w:hint="eastAsia"/>
          <w:b/>
          <w:sz w:val="24"/>
          <w:highlight w:val="none"/>
        </w:rPr>
        <w:t xml:space="preserve">（</w:t>
      </w:r>
      <w:r>
        <w:rPr>
          <w:b/>
          <w:sz w:val="24"/>
          <w:highlight w:val="none"/>
        </w:rPr>
        <w:t xml:space="preserve">提供技术证明文件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8.3 采用动态匹配技术，扩展线性范围≥10000 Kcps。</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9. X-光路</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9.1 至少配备LiF200、LiF220、Ge、PET、XS-55等5种晶体。</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9.2至少配置10位初级滤光片转换器，包括铜、铝等材质的7不同规格滤光片。</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9.3 至少配置4位准直器转换器，包括细准直器与通用准直器。</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9.4 光谱室温度稳定性≤</w:t>
      </w:r>
      <w:r>
        <w:rPr>
          <w:sz w:val="24"/>
          <w:highlight w:val="none"/>
        </w:rPr>
        <w:t xml:space="preserve">±0.05 ℃</w:t>
      </w:r>
      <w:r>
        <w:rPr>
          <w:rFonts w:hint="eastAsia"/>
          <w:sz w:val="24"/>
          <w:highlight w:val="none"/>
        </w:rPr>
        <w:t xml:space="preserve">。</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10. 样品台</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10.1 至少配置70位全自动进样器，具有液态和半固态样品自动识别功能，可设置任意进样位进样。</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10.2 应配置粉尘收集装置，有效完全避免粉尘或液体对X射线光管及光谱室的污染；配备真空封挡装置，有效保持样品室冲洗氦气时，光谱室始终处于真空状态。</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11. 压片机最大压力≥40吨，最大行程≥100 mm。</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12. 磨样机采用行星式球磨结构，至少配套4个容积≥100ml的玛瑙球磨罐，并能同时运行；转速≥900 r/min，出粒≤2 mm。</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13. 非金属筛孔径为0.075mm，200目。</w:t>
      </w:r>
      <w:r>
        <w:rPr>
          <w:sz w:val="24"/>
          <w:highlight w:val="none"/>
        </w:rPr>
      </w:r>
      <w:r>
        <w:rPr>
          <w:highlight w:val="none"/>
        </w:rPr>
      </w:r>
    </w:p>
    <w:p>
      <w:pPr>
        <w:pStyle w:val="967"/>
        <w:rPr>
          <w:rFonts w:hint="eastAsia"/>
          <w:highlight w:val="none"/>
        </w:rPr>
      </w:pPr>
      <w:r>
        <w:rPr>
          <w:rFonts w:hint="eastAsia"/>
          <w:highlight w:val="none"/>
        </w:rPr>
      </w:r>
      <w:r>
        <w:rPr>
          <w:highlight w:val="none"/>
        </w:rPr>
      </w:r>
    </w:p>
    <w:p>
      <w:pPr>
        <w:pStyle w:val="955"/>
        <w:spacing w:line="360" w:lineRule="auto"/>
        <w:rPr>
          <w:rFonts w:eastAsia="黑体"/>
          <w:sz w:val="24"/>
          <w:highlight w:val="none"/>
        </w:rPr>
        <w:outlineLvl w:val="1"/>
      </w:pPr>
      <w:r>
        <w:rPr>
          <w:rFonts w:eastAsia="黑体"/>
          <w:sz w:val="24"/>
          <w:highlight w:val="none"/>
        </w:rPr>
        <w:t xml:space="preserve">（</w:t>
      </w:r>
      <w:r>
        <w:rPr>
          <w:rFonts w:hint="eastAsia" w:eastAsia="黑体"/>
          <w:sz w:val="24"/>
          <w:highlight w:val="none"/>
        </w:rPr>
        <w:t xml:space="preserve">二</w:t>
      </w:r>
      <w:r>
        <w:rPr>
          <w:rFonts w:eastAsia="黑体"/>
          <w:sz w:val="24"/>
          <w:highlight w:val="none"/>
        </w:rPr>
        <w:t xml:space="preserve">）</w:t>
      </w:r>
      <w:r>
        <w:rPr>
          <w:rFonts w:hint="eastAsia" w:eastAsia="黑体"/>
          <w:sz w:val="24"/>
          <w:highlight w:val="none"/>
        </w:rPr>
        <w:t xml:space="preserve">全自动固相萃取仪</w:t>
      </w:r>
      <w:r>
        <w:rPr>
          <w:rFonts w:eastAsia="黑体"/>
          <w:sz w:val="24"/>
          <w:highlight w:val="none"/>
        </w:rPr>
      </w:r>
      <w:r>
        <w:rPr>
          <w:highlight w:val="none"/>
        </w:rPr>
      </w:r>
    </w:p>
    <w:p>
      <w:pPr>
        <w:pStyle w:val="955"/>
        <w:spacing w:line="360" w:lineRule="auto"/>
        <w:rPr>
          <w:sz w:val="24"/>
          <w:highlight w:val="none"/>
        </w:rPr>
        <w:outlineLvl w:val="1"/>
      </w:pPr>
      <w:r>
        <w:rPr>
          <w:b/>
          <w:sz w:val="24"/>
          <w:highlight w:val="none"/>
        </w:rPr>
        <w:t xml:space="preserve">1、总体要求：</w:t>
      </w:r>
      <w:r>
        <w:rPr>
          <w:sz w:val="24"/>
          <w:highlight w:val="none"/>
        </w:rPr>
        <w:t xml:space="preserve">用于</w:t>
      </w:r>
      <w:r>
        <w:rPr>
          <w:rFonts w:hint="eastAsia"/>
          <w:sz w:val="24"/>
          <w:highlight w:val="none"/>
        </w:rPr>
        <w:t xml:space="preserve">地表水、地下水、生活污水和工业废水、土壤和沉积物、固体废物中有机物的固相萃取净化。</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2、配置要求</w:t>
      </w:r>
      <w:r>
        <w:rPr>
          <w:rFonts w:hint="eastAsia"/>
          <w:b/>
          <w:sz w:val="24"/>
          <w:highlight w:val="none"/>
        </w:rPr>
        <w:t xml:space="preserve">（包含但不限于）</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 全自动固相萃取仪1台及配套；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2. 15 ml、50 ml样品管各100支，15 ml、50 ml样品架、收集架各1套；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3. 200 ml氮吹浓缩杯22个，浓缩杯支架1套；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4. Waters HLB固相萃取柱30支、Waters C18固相萃取柱30支、Waters氟罗里硅土柱30支；</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5. PP+PTFE材质GL45双孔（孔径3.17mm）瓶盖64个；</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6. 大体积样品推车1台；</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7. 仪器安装所需安装包、管、泵、阀门、气（含瓶、阀）、工具等；</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8. </w:t>
      </w:r>
      <w:r>
        <w:rPr>
          <w:sz w:val="24"/>
          <w:highlight w:val="none"/>
        </w:rPr>
        <w:t xml:space="preserve">中文工作软件及</w:t>
      </w:r>
      <w:r>
        <w:rPr>
          <w:rFonts w:hint="eastAsia"/>
          <w:sz w:val="24"/>
          <w:highlight w:val="none"/>
        </w:rPr>
        <w:t xml:space="preserve">滚轮式移动工作站（含展示设备显示器、正版操作软件和办公软件）、配套打印（双面）设施、扫描设备；</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9. 质保期不低于1年，质保期后提供不少于1年免费维修服务。</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3、技术要求：</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 仪器符合《水质 多环芳烃的测定 液液萃取和固相萃取高效液相色谱法》（HJ 478—2009）、《水质 硝基苯类化合物的测定 液液萃取/固相萃取-气相色谱法》(HJ 648-2013)等标准方法使用</w:t>
      </w:r>
      <w:r>
        <w:rPr>
          <w:sz w:val="24"/>
          <w:highlight w:val="none"/>
        </w:rPr>
        <w:t xml:space="preserve">要求</w:t>
      </w:r>
      <w:r>
        <w:rPr>
          <w:rFonts w:hint="eastAsia"/>
          <w:sz w:val="24"/>
          <w:highlight w:val="none"/>
        </w:rPr>
        <w:t xml:space="preserve">。</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▲2. 全自动固相萃取仪可自动完成固相萃取包括柱活化、上样、淋洗、吹柱、洗脱等全过程，同时萃取通道≥4路，自动连续萃取样品≥30位。</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▲3. 全自动固相萃取仪须适配1 ml、3 ml、6 ml、12 ml体积萃取柱，配备3 ml、6 ml萃取模块；具有萃取柱独立的密封设计，通过密封垫与样品针弹性对接实现密封，能有效防止样品交叉污染，保证良好的重现性和平行性。</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▲4. 须采用正压上样过柱方式，通过进样针和注射泵直接移取样品/溶剂至萃取柱，具有样品/溶剂隔离设计，不直接经过注射泵和切换阀，注射泵流速≥0.5</w:t>
      </w:r>
      <w:r>
        <w:rPr>
          <w:sz w:val="24"/>
          <w:highlight w:val="none"/>
        </w:rPr>
        <w:t xml:space="preserve">～</w:t>
      </w:r>
      <w:r>
        <w:rPr>
          <w:rFonts w:hint="eastAsia"/>
          <w:sz w:val="24"/>
          <w:highlight w:val="none"/>
        </w:rPr>
        <w:t xml:space="preserve">100 mL/min，精度≤0.1 %CV。</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pPr>
      <w:r>
        <w:rPr>
          <w:rFonts w:hint="eastAsia"/>
          <w:sz w:val="24"/>
          <w:highlight w:val="none"/>
        </w:rPr>
        <w:t xml:space="preserve">5. 须预留不少于6种溶剂管路，进行萃取操作时须实现萃取柱溶剂浸泡功能，且具备外接气体吹干功能。</w:t>
      </w:r>
      <w:r>
        <w:rPr>
          <w:sz w:val="24"/>
          <w:highlight w:val="none"/>
        </w:rPr>
      </w:r>
      <w:r>
        <w:rPr>
          <w:highlight w:val="none"/>
        </w:rPr>
      </w:r>
    </w:p>
    <w:p>
      <w:pPr>
        <w:pStyle w:val="955"/>
        <w:spacing w:line="360" w:lineRule="auto"/>
        <w:rPr>
          <w:sz w:val="24"/>
          <w:highlight w:val="none"/>
        </w:rPr>
      </w:pPr>
      <w:r>
        <w:rPr>
          <w:rFonts w:hint="eastAsia"/>
          <w:sz w:val="24"/>
          <w:highlight w:val="none"/>
        </w:rPr>
        <w:t xml:space="preserve">6. 须具有进样针清洗槽，具有专门清洗液自动清洗管道及针的内外壁。</w:t>
      </w:r>
      <w:r>
        <w:rPr>
          <w:sz w:val="24"/>
          <w:highlight w:val="none"/>
        </w:rPr>
      </w:r>
      <w:r>
        <w:rPr>
          <w:highlight w:val="none"/>
        </w:rPr>
      </w:r>
    </w:p>
    <w:p>
      <w:pPr>
        <w:pStyle w:val="955"/>
        <w:spacing w:line="360" w:lineRule="auto"/>
        <w:rPr>
          <w:sz w:val="24"/>
          <w:highlight w:val="none"/>
        </w:rPr>
      </w:pPr>
      <w:r>
        <w:rPr>
          <w:rFonts w:hint="eastAsia"/>
          <w:sz w:val="24"/>
          <w:highlight w:val="none"/>
        </w:rPr>
        <w:t xml:space="preserve">7. 须适配使用15ml，50ml或60ml等离心管作为样品收集管，并至少可收集5段样品萃取液。</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▲8. 须配置大体积上样模块，能实现1 L及以上样品的非注射泵不间断上样，自动化连续处理。</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bCs/>
          <w:sz w:val="24"/>
          <w:highlight w:val="none"/>
        </w:rPr>
        <w:outlineLvl w:val="1"/>
      </w:pPr>
      <w:r>
        <w:rPr>
          <w:rFonts w:hint="eastAsia"/>
          <w:bCs/>
          <w:sz w:val="24"/>
          <w:highlight w:val="none"/>
        </w:rPr>
        <w:t xml:space="preserve">9. 须全部使用不锈钢及PTFE管路，耐受各种有机试剂。</w:t>
      </w:r>
      <w:r>
        <w:rPr>
          <w:bCs/>
          <w:sz w:val="24"/>
          <w:highlight w:val="none"/>
        </w:rPr>
      </w:r>
      <w:r>
        <w:rPr>
          <w:highlight w:val="none"/>
        </w:rPr>
      </w:r>
    </w:p>
    <w:p>
      <w:pPr>
        <w:pStyle w:val="955"/>
        <w:spacing w:line="360" w:lineRule="auto"/>
        <w:rPr>
          <w:bCs/>
          <w:sz w:val="24"/>
          <w:highlight w:val="none"/>
        </w:rPr>
        <w:outlineLvl w:val="1"/>
      </w:pPr>
      <w:r>
        <w:rPr>
          <w:rFonts w:hint="eastAsia"/>
          <w:bCs/>
          <w:sz w:val="24"/>
          <w:highlight w:val="none"/>
        </w:rPr>
        <w:t xml:space="preserve">10. 须具有过柱有机废液、无机废液分开排放收集功能，避免废液混合。</w:t>
      </w:r>
      <w:r>
        <w:rPr>
          <w:bCs/>
          <w:sz w:val="24"/>
          <w:highlight w:val="none"/>
        </w:rPr>
      </w:r>
      <w:r>
        <w:rPr>
          <w:highlight w:val="none"/>
        </w:rPr>
      </w:r>
    </w:p>
    <w:p>
      <w:pPr>
        <w:pStyle w:val="955"/>
        <w:spacing w:line="360" w:lineRule="auto"/>
        <w:rPr>
          <w:bCs/>
          <w:sz w:val="24"/>
          <w:highlight w:val="none"/>
        </w:rPr>
        <w:outlineLvl w:val="1"/>
      </w:pPr>
      <w:r>
        <w:rPr>
          <w:rFonts w:hint="eastAsia"/>
          <w:bCs/>
          <w:sz w:val="24"/>
          <w:highlight w:val="none"/>
        </w:rPr>
        <w:t xml:space="preserve">11. 须具有废液防溢出报警功能，溶剂余量监控和报警功能。</w:t>
      </w:r>
      <w:r>
        <w:rPr>
          <w:bCs/>
          <w:sz w:val="24"/>
          <w:highlight w:val="none"/>
        </w:rPr>
      </w:r>
      <w:r>
        <w:rPr>
          <w:highlight w:val="none"/>
        </w:rPr>
      </w:r>
    </w:p>
    <w:p>
      <w:pPr>
        <w:pStyle w:val="955"/>
        <w:spacing w:line="360" w:lineRule="auto"/>
        <w:rPr>
          <w:highlight w:val="none"/>
        </w:rPr>
      </w:pPr>
      <w:r>
        <w:rPr>
          <w:highlight w:val="none"/>
        </w:rPr>
      </w:r>
      <w:r>
        <w:rPr>
          <w:highlight w:val="none"/>
        </w:rPr>
      </w:r>
    </w:p>
    <w:p>
      <w:pPr>
        <w:pStyle w:val="955"/>
        <w:spacing w:line="360" w:lineRule="auto"/>
        <w:rPr>
          <w:rFonts w:eastAsia="黑体"/>
          <w:sz w:val="24"/>
          <w:highlight w:val="none"/>
        </w:rPr>
        <w:outlineLvl w:val="1"/>
      </w:pPr>
      <w:r>
        <w:rPr>
          <w:rFonts w:eastAsia="黑体"/>
          <w:sz w:val="24"/>
          <w:highlight w:val="none"/>
        </w:rPr>
        <w:t xml:space="preserve">（</w:t>
      </w:r>
      <w:r>
        <w:rPr>
          <w:rFonts w:hint="eastAsia" w:eastAsia="黑体"/>
          <w:sz w:val="24"/>
          <w:highlight w:val="none"/>
        </w:rPr>
        <w:t xml:space="preserve">三</w:t>
      </w:r>
      <w:r>
        <w:rPr>
          <w:rFonts w:eastAsia="黑体"/>
          <w:sz w:val="24"/>
          <w:highlight w:val="none"/>
        </w:rPr>
        <w:t xml:space="preserve">）</w:t>
      </w:r>
      <w:r>
        <w:rPr>
          <w:rFonts w:hint="eastAsia" w:eastAsia="黑体"/>
          <w:sz w:val="24"/>
          <w:highlight w:val="none"/>
        </w:rPr>
        <w:t xml:space="preserve">空压机及气路改造</w:t>
      </w:r>
      <w:r>
        <w:rPr>
          <w:rFonts w:eastAsia="黑体"/>
          <w:sz w:val="24"/>
          <w:highlight w:val="none"/>
        </w:rPr>
      </w:r>
      <w:r>
        <w:rPr>
          <w:highlight w:val="none"/>
        </w:rPr>
      </w:r>
    </w:p>
    <w:p>
      <w:pPr>
        <w:pStyle w:val="955"/>
        <w:spacing w:line="360" w:lineRule="auto"/>
        <w:rPr>
          <w:sz w:val="24"/>
          <w:highlight w:val="none"/>
        </w:rPr>
        <w:outlineLvl w:val="1"/>
      </w:pPr>
      <w:r>
        <w:rPr>
          <w:b/>
          <w:sz w:val="24"/>
          <w:highlight w:val="none"/>
        </w:rPr>
        <w:t xml:space="preserve">1、总体要求：</w:t>
      </w:r>
      <w:r>
        <w:rPr>
          <w:sz w:val="24"/>
          <w:highlight w:val="none"/>
        </w:rPr>
        <w:t xml:space="preserve">用于</w:t>
      </w:r>
      <w:r>
        <w:rPr>
          <w:rFonts w:hint="eastAsia"/>
          <w:sz w:val="24"/>
          <w:highlight w:val="none"/>
        </w:rPr>
        <w:t xml:space="preserve">集中空气气源及气路改造，通过管道改造为实验室提供纯净、稳定的供气。</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2、配置要求</w:t>
      </w:r>
      <w:r>
        <w:rPr>
          <w:rFonts w:hint="eastAsia"/>
          <w:b/>
          <w:sz w:val="24"/>
          <w:highlight w:val="none"/>
        </w:rPr>
        <w:t xml:space="preserve">（包含但不限于）</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 无油旋涡空压机1台及配套；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2. </w:t>
      </w:r>
      <w:r>
        <w:rPr>
          <w:sz w:val="24"/>
          <w:highlight w:val="none"/>
        </w:rPr>
        <w:t xml:space="preserve">冷干机1台</w:t>
      </w:r>
      <w:r>
        <w:rPr>
          <w:rFonts w:hint="eastAsia"/>
          <w:sz w:val="24"/>
          <w:highlight w:val="none"/>
        </w:rPr>
        <w:t xml:space="preserve">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3. 包含实验室集中供气系统气路改造的不锈钢气路、压力表、球阀、支架、卡套、螺栓、软管、三通、接头、堵头等材料和辅材，用气点不少于2个，气路不少于80米；</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4. 质保期不低于1年，质保期后提供不少于1年免费维修服务。</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3、技术要求：</w:t>
      </w:r>
      <w:r>
        <w:rPr>
          <w:b/>
          <w:sz w:val="24"/>
          <w:highlight w:val="none"/>
        </w:rPr>
      </w:r>
      <w:r>
        <w:rPr>
          <w:highlight w:val="none"/>
        </w:rPr>
      </w:r>
    </w:p>
    <w:p>
      <w:pPr>
        <w:pStyle w:val="955"/>
        <w:spacing w:line="360" w:lineRule="auto"/>
        <w:rPr>
          <w:sz w:val="24"/>
          <w:highlight w:val="none"/>
        </w:rPr>
      </w:pPr>
      <w:r>
        <w:rPr>
          <w:rFonts w:hint="eastAsia"/>
          <w:sz w:val="24"/>
          <w:highlight w:val="none"/>
        </w:rPr>
        <w:t xml:space="preserve">1. 采用无油涡旋空气压缩机，减少了空间且易于维护，主机尺寸≤</w:t>
      </w:r>
      <w:r>
        <w:rPr>
          <w:sz w:val="24"/>
          <w:highlight w:val="none"/>
        </w:rPr>
        <w:t xml:space="preserve">1000×500×800 mm</w:t>
      </w:r>
      <w:r>
        <w:rPr>
          <w:rFonts w:hint="eastAsia"/>
          <w:sz w:val="24"/>
          <w:highlight w:val="none"/>
        </w:rPr>
        <w:t xml:space="preserve">。</w:t>
      </w:r>
      <w:r>
        <w:rPr>
          <w:sz w:val="24"/>
          <w:highlight w:val="none"/>
        </w:rPr>
      </w:r>
      <w:r>
        <w:rPr>
          <w:highlight w:val="none"/>
        </w:rPr>
      </w:r>
    </w:p>
    <w:p>
      <w:pPr>
        <w:pStyle w:val="955"/>
        <w:spacing w:line="360" w:lineRule="auto"/>
        <w:rPr>
          <w:sz w:val="24"/>
          <w:highlight w:val="none"/>
        </w:rPr>
      </w:pPr>
      <w:r>
        <w:rPr>
          <w:rFonts w:hint="eastAsia"/>
          <w:sz w:val="24"/>
          <w:highlight w:val="none"/>
        </w:rPr>
        <w:t xml:space="preserve">2. 提供100%洁净无油的压缩空气，工作压力≥</w:t>
      </w:r>
      <w:r>
        <w:rPr>
          <w:sz w:val="24"/>
          <w:highlight w:val="none"/>
        </w:rPr>
        <w:t xml:space="preserve">0.85</w:t>
      </w:r>
      <w:r>
        <w:rPr>
          <w:rFonts w:hint="eastAsia"/>
          <w:sz w:val="24"/>
          <w:highlight w:val="none"/>
        </w:rPr>
        <w:t xml:space="preserve"> </w:t>
      </w:r>
      <w:r>
        <w:rPr>
          <w:sz w:val="24"/>
          <w:highlight w:val="none"/>
        </w:rPr>
        <w:t xml:space="preserve">Mpa</w:t>
      </w:r>
      <w:r>
        <w:rPr>
          <w:rFonts w:hint="eastAsia"/>
          <w:sz w:val="24"/>
          <w:highlight w:val="none"/>
        </w:rPr>
        <w:t xml:space="preserve">，排气量≥0.17 m</w:t>
      </w:r>
      <w:r>
        <w:rPr>
          <w:rFonts w:hint="eastAsia"/>
          <w:sz w:val="24"/>
          <w:highlight w:val="none"/>
          <w:vertAlign w:val="superscript"/>
        </w:rPr>
        <w:t xml:space="preserve">3</w:t>
      </w:r>
      <w:r>
        <w:rPr>
          <w:rFonts w:hint="eastAsia"/>
          <w:sz w:val="24"/>
          <w:highlight w:val="none"/>
        </w:rPr>
        <w:t xml:space="preserve">/min。</w:t>
      </w:r>
      <w:r>
        <w:rPr>
          <w:sz w:val="24"/>
          <w:highlight w:val="none"/>
        </w:rPr>
      </w:r>
      <w:r>
        <w:rPr>
          <w:highlight w:val="none"/>
        </w:rPr>
      </w:r>
    </w:p>
    <w:p>
      <w:pPr>
        <w:pStyle w:val="955"/>
        <w:spacing w:line="360" w:lineRule="auto"/>
        <w:rPr>
          <w:sz w:val="24"/>
          <w:highlight w:val="none"/>
        </w:rPr>
      </w:pPr>
      <w:r>
        <w:rPr>
          <w:rFonts w:hint="eastAsia"/>
          <w:sz w:val="24"/>
          <w:highlight w:val="none"/>
        </w:rPr>
        <w:t xml:space="preserve">3. 配置高效电机，确保充足的排气量并符合较低运转周期的应用，电极功率≤1.5 KW，工作噪声＜55</w:t>
      </w:r>
      <w:r>
        <w:rPr>
          <w:sz w:val="24"/>
          <w:highlight w:val="none"/>
        </w:rPr>
        <w:t xml:space="preserve"> dB</w:t>
      </w:r>
      <w:r>
        <w:rPr>
          <w:rFonts w:hint="eastAsia"/>
          <w:sz w:val="24"/>
          <w:highlight w:val="none"/>
        </w:rPr>
        <w:t xml:space="preserve">。</w:t>
      </w:r>
      <w:r>
        <w:rPr>
          <w:sz w:val="24"/>
          <w:highlight w:val="none"/>
        </w:rPr>
      </w:r>
      <w:r>
        <w:rPr>
          <w:highlight w:val="none"/>
        </w:rPr>
      </w:r>
    </w:p>
    <w:p>
      <w:pPr>
        <w:pStyle w:val="955"/>
        <w:spacing w:line="360" w:lineRule="auto"/>
        <w:rPr>
          <w:sz w:val="24"/>
          <w:highlight w:val="none"/>
        </w:rPr>
      </w:pPr>
      <w:r>
        <w:rPr>
          <w:rFonts w:hint="eastAsia"/>
          <w:sz w:val="24"/>
          <w:highlight w:val="none"/>
        </w:rPr>
        <w:t xml:space="preserve">4. 空气进气过滤器，可过滤尘埃和颗粒物≤ 1um。</w:t>
      </w:r>
      <w:r>
        <w:rPr>
          <w:sz w:val="24"/>
          <w:highlight w:val="none"/>
        </w:rPr>
      </w:r>
      <w:r>
        <w:rPr>
          <w:highlight w:val="none"/>
        </w:rPr>
      </w:r>
    </w:p>
    <w:p>
      <w:pPr>
        <w:pStyle w:val="955"/>
        <w:spacing w:line="360" w:lineRule="auto"/>
        <w:rPr>
          <w:sz w:val="24"/>
          <w:highlight w:val="none"/>
        </w:rPr>
      </w:pPr>
      <w:r>
        <w:rPr>
          <w:rFonts w:hint="eastAsia"/>
          <w:sz w:val="24"/>
          <w:highlight w:val="none"/>
        </w:rPr>
        <w:t xml:space="preserve">5. 冷干机处理量≥0.36 m</w:t>
      </w:r>
      <w:r>
        <w:rPr>
          <w:rFonts w:hint="eastAsia"/>
          <w:sz w:val="24"/>
          <w:highlight w:val="none"/>
          <w:vertAlign w:val="superscript"/>
        </w:rPr>
        <w:t xml:space="preserve">3</w:t>
      </w:r>
      <w:r>
        <w:rPr>
          <w:rFonts w:hint="eastAsia"/>
          <w:sz w:val="24"/>
          <w:highlight w:val="none"/>
        </w:rPr>
        <w:t xml:space="preserve">/min，压力露点≤7 </w:t>
      </w:r>
      <w:r>
        <w:rPr>
          <w:sz w:val="24"/>
          <w:highlight w:val="none"/>
        </w:rPr>
        <w:t xml:space="preserve">℃</w:t>
      </w:r>
      <w:r>
        <w:rPr>
          <w:rFonts w:hint="eastAsia"/>
          <w:sz w:val="24"/>
          <w:highlight w:val="none"/>
        </w:rPr>
        <w:t xml:space="preserve">。</w:t>
      </w:r>
      <w:r>
        <w:rPr>
          <w:sz w:val="24"/>
          <w:highlight w:val="none"/>
        </w:rPr>
      </w:r>
      <w:r>
        <w:rPr>
          <w:highlight w:val="none"/>
        </w:rPr>
      </w:r>
    </w:p>
    <w:p>
      <w:pPr>
        <w:pStyle w:val="955"/>
        <w:spacing w:line="360" w:lineRule="auto"/>
        <w:rPr>
          <w:sz w:val="24"/>
          <w:highlight w:val="none"/>
        </w:rPr>
      </w:pPr>
      <w:r>
        <w:rPr>
          <w:rFonts w:hint="eastAsia"/>
          <w:sz w:val="24"/>
          <w:highlight w:val="none"/>
        </w:rPr>
        <w:t xml:space="preserve">6. </w:t>
      </w:r>
      <w:r>
        <w:rPr>
          <w:sz w:val="24"/>
          <w:highlight w:val="none"/>
        </w:rPr>
        <w:t xml:space="preserve">具有自我诊断、电源错相保护、电源缺相保护、故障自动报警等功能并且故障信息同步显示</w:t>
      </w:r>
      <w:r>
        <w:rPr>
          <w:rFonts w:hint="eastAsia"/>
          <w:sz w:val="24"/>
          <w:highlight w:val="none"/>
        </w:rPr>
        <w:t xml:space="preserve">功能。</w:t>
      </w:r>
      <w:r>
        <w:rPr>
          <w:sz w:val="24"/>
          <w:highlight w:val="none"/>
        </w:rPr>
      </w:r>
      <w:r>
        <w:rPr>
          <w:highlight w:val="none"/>
        </w:rPr>
      </w:r>
    </w:p>
    <w:p>
      <w:pPr>
        <w:pStyle w:val="955"/>
        <w:spacing w:line="360" w:lineRule="auto"/>
        <w:rPr>
          <w:sz w:val="24"/>
          <w:highlight w:val="none"/>
        </w:rPr>
      </w:pPr>
      <w:r>
        <w:rPr>
          <w:rFonts w:hint="eastAsia"/>
          <w:sz w:val="24"/>
          <w:highlight w:val="none"/>
        </w:rPr>
        <w:t xml:space="preserve">7. 空压机及气路应适配</w:t>
      </w:r>
      <w:r>
        <w:rPr>
          <w:sz w:val="24"/>
          <w:highlight w:val="none"/>
        </w:rPr>
        <w:t xml:space="preserve">原有Atlas Copco</w:t>
      </w:r>
      <w:r>
        <w:rPr>
          <w:rFonts w:hint="eastAsia"/>
          <w:sz w:val="24"/>
          <w:highlight w:val="none"/>
        </w:rPr>
        <w:t xml:space="preserve">储气罐</w:t>
      </w:r>
      <w:r>
        <w:rPr>
          <w:sz w:val="24"/>
          <w:highlight w:val="none"/>
        </w:rPr>
        <w:t xml:space="preserve">及</w:t>
      </w:r>
      <w:r>
        <w:rPr>
          <w:rFonts w:hint="eastAsia"/>
          <w:sz w:val="24"/>
          <w:highlight w:val="none"/>
        </w:rPr>
        <w:t xml:space="preserve">气路</w:t>
      </w:r>
      <w:r>
        <w:rPr>
          <w:sz w:val="24"/>
          <w:highlight w:val="none"/>
        </w:rPr>
        <w:t xml:space="preserve">管路</w:t>
      </w:r>
      <w:r>
        <w:rPr>
          <w:rFonts w:hint="eastAsia"/>
          <w:sz w:val="24"/>
          <w:highlight w:val="none"/>
        </w:rPr>
        <w:t xml:space="preserve">。</w:t>
      </w:r>
      <w:r>
        <w:rPr>
          <w:sz w:val="24"/>
          <w:highlight w:val="none"/>
        </w:rPr>
      </w:r>
      <w:r>
        <w:rPr>
          <w:highlight w:val="none"/>
        </w:rPr>
      </w:r>
    </w:p>
    <w:p>
      <w:pPr>
        <w:pStyle w:val="955"/>
        <w:spacing w:line="360" w:lineRule="auto"/>
        <w:rPr>
          <w:sz w:val="24"/>
          <w:highlight w:val="none"/>
        </w:rPr>
      </w:pPr>
      <w:r>
        <w:rPr>
          <w:rFonts w:hint="eastAsia"/>
          <w:sz w:val="24"/>
          <w:highlight w:val="none"/>
        </w:rPr>
        <w:t xml:space="preserve">8. 采用组合式二级减压阀，由一个二级减压阀和一个关断阀组合在不锈钢底板或功能柱上，采用不锈钢</w:t>
      </w:r>
      <w:r>
        <w:rPr>
          <w:sz w:val="24"/>
          <w:highlight w:val="none"/>
        </w:rPr>
        <w:t xml:space="preserve">316L</w:t>
      </w:r>
      <w:r>
        <w:rPr>
          <w:rFonts w:hint="eastAsia"/>
          <w:sz w:val="24"/>
          <w:highlight w:val="none"/>
        </w:rPr>
        <w:t xml:space="preserve">材质，配备压力表，进口压力及出口最大压力均应满足仪器要求，耐压≥</w:t>
      </w:r>
      <w:r>
        <w:rPr>
          <w:sz w:val="24"/>
          <w:highlight w:val="none"/>
        </w:rPr>
        <w:t xml:space="preserve">1000</w:t>
      </w:r>
      <w:r>
        <w:rPr>
          <w:rFonts w:hint="eastAsia"/>
          <w:sz w:val="24"/>
          <w:highlight w:val="none"/>
        </w:rPr>
        <w:t xml:space="preserve"> </w:t>
      </w:r>
      <w:r>
        <w:rPr>
          <w:sz w:val="24"/>
          <w:highlight w:val="none"/>
        </w:rPr>
        <w:t xml:space="preserve">psi</w:t>
      </w:r>
      <w:r>
        <w:rPr>
          <w:rFonts w:hint="eastAsia"/>
          <w:sz w:val="24"/>
          <w:highlight w:val="none"/>
        </w:rPr>
        <w:t xml:space="preserve">。</w:t>
      </w:r>
      <w:r>
        <w:rPr>
          <w:sz w:val="24"/>
          <w:highlight w:val="none"/>
        </w:rPr>
      </w:r>
      <w:r>
        <w:rPr>
          <w:highlight w:val="none"/>
        </w:rPr>
      </w:r>
    </w:p>
    <w:p>
      <w:pPr>
        <w:pStyle w:val="955"/>
        <w:spacing w:line="360" w:lineRule="auto"/>
        <w:rPr>
          <w:sz w:val="24"/>
          <w:highlight w:val="none"/>
        </w:rPr>
      </w:pPr>
      <w:r>
        <w:rPr>
          <w:rFonts w:hint="eastAsia"/>
          <w:sz w:val="24"/>
          <w:highlight w:val="none"/>
        </w:rPr>
        <w:t xml:space="preserve">9. 管路和连接件材质采用不锈钢</w:t>
      </w:r>
      <w:r>
        <w:rPr>
          <w:sz w:val="24"/>
          <w:highlight w:val="none"/>
        </w:rPr>
        <w:t xml:space="preserve">316L</w:t>
      </w:r>
      <w:r>
        <w:rPr>
          <w:rFonts w:hint="eastAsia"/>
          <w:sz w:val="24"/>
          <w:highlight w:val="none"/>
        </w:rPr>
        <w:t xml:space="preserve">材质无缝钢管，光亮退火</w:t>
      </w:r>
      <w:r>
        <w:rPr>
          <w:sz w:val="24"/>
          <w:highlight w:val="none"/>
        </w:rPr>
        <w:t xml:space="preserve">BA</w:t>
      </w:r>
      <w:r>
        <w:rPr>
          <w:rFonts w:hint="eastAsia"/>
          <w:sz w:val="24"/>
          <w:highlight w:val="none"/>
        </w:rPr>
        <w:t xml:space="preserve">级处理，</w:t>
      </w:r>
      <w:r>
        <w:rPr>
          <w:sz w:val="24"/>
          <w:highlight w:val="none"/>
        </w:rPr>
        <w:t xml:space="preserve">1/4”</w:t>
      </w:r>
      <w:r>
        <w:rPr>
          <w:rFonts w:hint="eastAsia"/>
          <w:sz w:val="24"/>
          <w:highlight w:val="none"/>
        </w:rPr>
        <w:t xml:space="preserve">及</w:t>
      </w:r>
      <w:r>
        <w:rPr>
          <w:sz w:val="24"/>
          <w:highlight w:val="none"/>
        </w:rPr>
        <w:t xml:space="preserve">3/8”</w:t>
      </w:r>
      <w:r>
        <w:rPr>
          <w:rFonts w:hint="eastAsia"/>
          <w:sz w:val="24"/>
          <w:highlight w:val="none"/>
        </w:rPr>
        <w:t xml:space="preserve">管壁厚≥</w:t>
      </w:r>
      <w:r>
        <w:rPr>
          <w:sz w:val="24"/>
          <w:highlight w:val="none"/>
        </w:rPr>
        <w:t xml:space="preserve">0.89</w:t>
      </w:r>
      <w:r>
        <w:rPr>
          <w:rFonts w:hint="eastAsia"/>
          <w:sz w:val="24"/>
          <w:highlight w:val="none"/>
        </w:rPr>
        <w:t xml:space="preserve"> </w:t>
      </w:r>
      <w:r>
        <w:rPr>
          <w:sz w:val="24"/>
          <w:highlight w:val="none"/>
        </w:rPr>
        <w:t xml:space="preserve">mm</w:t>
      </w:r>
      <w:r>
        <w:rPr>
          <w:rFonts w:hint="eastAsia"/>
          <w:sz w:val="24"/>
          <w:highlight w:val="none"/>
        </w:rPr>
        <w:t xml:space="preserve">，</w:t>
      </w:r>
      <w:r>
        <w:rPr>
          <w:sz w:val="24"/>
          <w:highlight w:val="none"/>
        </w:rPr>
        <w:t xml:space="preserve">1/2”</w:t>
      </w:r>
      <w:r>
        <w:rPr>
          <w:rFonts w:hint="eastAsia"/>
          <w:sz w:val="24"/>
          <w:highlight w:val="none"/>
        </w:rPr>
        <w:t xml:space="preserve">管壁厚≥</w:t>
      </w:r>
      <w:r>
        <w:rPr>
          <w:sz w:val="24"/>
          <w:highlight w:val="none"/>
        </w:rPr>
        <w:t xml:space="preserve">1.</w:t>
      </w:r>
      <w:r>
        <w:rPr>
          <w:rFonts w:hint="eastAsia"/>
          <w:sz w:val="24"/>
          <w:highlight w:val="none"/>
        </w:rPr>
        <w:t xml:space="preserve">25 </w:t>
      </w:r>
      <w:r>
        <w:rPr>
          <w:sz w:val="24"/>
          <w:highlight w:val="none"/>
        </w:rPr>
        <w:t xml:space="preserve">mm</w:t>
      </w:r>
      <w:r>
        <w:rPr>
          <w:rFonts w:hint="eastAsia"/>
          <w:sz w:val="24"/>
          <w:highlight w:val="none"/>
        </w:rPr>
        <w:t xml:space="preserve">，使用点管路管径不得低于</w:t>
      </w:r>
      <w:r>
        <w:rPr>
          <w:sz w:val="24"/>
          <w:highlight w:val="none"/>
        </w:rPr>
        <w:t xml:space="preserve">1/4”</w:t>
      </w:r>
      <w:r>
        <w:rPr>
          <w:rFonts w:hint="eastAsia"/>
          <w:sz w:val="24"/>
          <w:highlight w:val="none"/>
        </w:rPr>
        <w:t xml:space="preserve">，主管路管径不得低于使用点管路，内表面光洁度≥</w:t>
      </w:r>
      <w:r>
        <w:rPr>
          <w:sz w:val="24"/>
          <w:highlight w:val="none"/>
        </w:rPr>
        <w:t xml:space="preserve">25</w:t>
      </w:r>
      <w:r>
        <w:rPr>
          <w:rFonts w:hint="eastAsia"/>
          <w:sz w:val="24"/>
          <w:highlight w:val="none"/>
        </w:rPr>
        <w:t xml:space="preserve"> </w:t>
      </w:r>
      <w:r>
        <w:rPr>
          <w:sz w:val="24"/>
          <w:highlight w:val="none"/>
        </w:rPr>
        <w:t xml:space="preserve">Ra</w:t>
      </w:r>
      <w:r>
        <w:rPr>
          <w:rFonts w:hint="eastAsia"/>
          <w:sz w:val="24"/>
          <w:highlight w:val="none"/>
        </w:rPr>
        <w:t xml:space="preserve">，并经除水除油脂处理。</w:t>
      </w:r>
      <w:r>
        <w:rPr>
          <w:sz w:val="24"/>
          <w:highlight w:val="none"/>
        </w:rPr>
      </w:r>
      <w:r>
        <w:rPr>
          <w:highlight w:val="none"/>
        </w:rPr>
      </w:r>
    </w:p>
    <w:p>
      <w:pPr>
        <w:pStyle w:val="955"/>
        <w:spacing w:line="360" w:lineRule="auto"/>
        <w:rPr>
          <w:sz w:val="24"/>
          <w:highlight w:val="none"/>
        </w:rPr>
      </w:pPr>
      <w:r>
        <w:rPr>
          <w:rFonts w:hint="eastAsia"/>
          <w:sz w:val="24"/>
          <w:highlight w:val="none"/>
        </w:rPr>
        <w:t xml:space="preserve">10. 采用无缝焊接连接，管路与减压器、阀门通过卡套连接，弯管处采用专用不锈钢弯管器，大于</w:t>
      </w:r>
      <w:r>
        <w:rPr>
          <w:sz w:val="24"/>
          <w:highlight w:val="none"/>
        </w:rPr>
        <w:t xml:space="preserve">1/2”</w:t>
      </w:r>
      <w:r>
        <w:rPr>
          <w:rFonts w:hint="eastAsia"/>
          <w:sz w:val="24"/>
          <w:highlight w:val="none"/>
        </w:rPr>
        <w:t xml:space="preserve">的管路必须使用成品弯头。</w:t>
      </w:r>
      <w:r>
        <w:rPr>
          <w:sz w:val="24"/>
          <w:highlight w:val="none"/>
        </w:rPr>
      </w:r>
      <w:r>
        <w:rPr>
          <w:highlight w:val="none"/>
        </w:rPr>
      </w:r>
    </w:p>
    <w:p>
      <w:pPr>
        <w:pStyle w:val="955"/>
        <w:spacing w:line="360" w:lineRule="auto"/>
        <w:rPr>
          <w:b/>
          <w:sz w:val="24"/>
          <w:highlight w:val="none"/>
        </w:rPr>
      </w:pPr>
      <w:r>
        <w:rPr>
          <w:rFonts w:hint="eastAsia"/>
          <w:sz w:val="24"/>
          <w:highlight w:val="none"/>
        </w:rPr>
        <w:t xml:space="preserve">▲11. 须充分考虑实验室用气量的不确定性，应保障在小用气量时，无水返流造成机头腐蚀的情况。</w:t>
      </w:r>
      <w:r>
        <w:rPr>
          <w:rFonts w:hint="eastAsia"/>
          <w:b/>
          <w:sz w:val="24"/>
          <w:highlight w:val="none"/>
        </w:rPr>
        <w:t xml:space="preserve">（</w:t>
      </w:r>
      <w:r>
        <w:rPr>
          <w:b/>
          <w:sz w:val="24"/>
          <w:highlight w:val="none"/>
        </w:rPr>
        <w:t xml:space="preserve">提供技术</w:t>
      </w:r>
      <w:r>
        <w:rPr>
          <w:rFonts w:hint="eastAsia"/>
          <w:b/>
          <w:sz w:val="24"/>
          <w:highlight w:val="none"/>
        </w:rPr>
        <w:t xml:space="preserve">说明</w:t>
      </w:r>
      <w:r>
        <w:rPr>
          <w:b/>
          <w:sz w:val="24"/>
          <w:highlight w:val="none"/>
        </w:rPr>
        <w:t xml:space="preserve">文件）</w:t>
      </w:r>
      <w:r>
        <w:rPr>
          <w:b/>
          <w:sz w:val="24"/>
          <w:highlight w:val="none"/>
        </w:rPr>
      </w:r>
      <w:r>
        <w:rPr>
          <w:highlight w:val="none"/>
        </w:rPr>
      </w:r>
    </w:p>
    <w:p>
      <w:pPr>
        <w:pStyle w:val="955"/>
        <w:spacing w:line="360" w:lineRule="auto"/>
        <w:rPr>
          <w:b/>
          <w:sz w:val="24"/>
          <w:highlight w:val="none"/>
        </w:rPr>
      </w:pPr>
      <w:r>
        <w:rPr>
          <w:rFonts w:hint="eastAsia"/>
          <w:sz w:val="24"/>
          <w:highlight w:val="none"/>
        </w:rPr>
        <w:t xml:space="preserve">▲12. 须充分考虑实验室不间断供气要求，应保证在不断气情况下完成施工。</w:t>
      </w:r>
      <w:r>
        <w:rPr>
          <w:rFonts w:hint="eastAsia"/>
          <w:b/>
          <w:sz w:val="24"/>
          <w:highlight w:val="none"/>
        </w:rPr>
        <w:t xml:space="preserve">（</w:t>
      </w:r>
      <w:r>
        <w:rPr>
          <w:b/>
          <w:sz w:val="24"/>
          <w:highlight w:val="none"/>
        </w:rPr>
        <w:t xml:space="preserve">提供</w:t>
      </w:r>
      <w:r>
        <w:rPr>
          <w:rFonts w:hint="eastAsia"/>
          <w:b/>
          <w:sz w:val="24"/>
          <w:highlight w:val="none"/>
        </w:rPr>
        <w:t xml:space="preserve">施工方案</w:t>
      </w:r>
      <w:r>
        <w:rPr>
          <w:b/>
          <w:sz w:val="24"/>
          <w:highlight w:val="none"/>
        </w:rPr>
        <w:t xml:space="preserve">）</w:t>
      </w:r>
      <w:r>
        <w:rPr>
          <w:b/>
          <w:sz w:val="24"/>
          <w:highlight w:val="none"/>
        </w:rPr>
      </w:r>
      <w:r>
        <w:rPr>
          <w:highlight w:val="none"/>
        </w:rPr>
      </w:r>
    </w:p>
    <w:p>
      <w:pPr>
        <w:pStyle w:val="955"/>
        <w:spacing w:line="360" w:lineRule="auto"/>
        <w:rPr>
          <w:sz w:val="24"/>
          <w:highlight w:val="none"/>
        </w:rPr>
      </w:pPr>
      <w:r>
        <w:rPr>
          <w:sz w:val="24"/>
          <w:highlight w:val="none"/>
        </w:rPr>
      </w:r>
      <w:r>
        <w:rPr>
          <w:highlight w:val="none"/>
        </w:rPr>
      </w:r>
    </w:p>
    <w:p>
      <w:pPr>
        <w:pStyle w:val="955"/>
        <w:spacing w:line="360" w:lineRule="auto"/>
        <w:rPr>
          <w:rFonts w:eastAsia="黑体"/>
          <w:sz w:val="24"/>
          <w:highlight w:val="none"/>
        </w:rPr>
        <w:outlineLvl w:val="1"/>
      </w:pPr>
      <w:r>
        <w:rPr>
          <w:rFonts w:eastAsia="黑体"/>
          <w:sz w:val="24"/>
          <w:highlight w:val="none"/>
        </w:rPr>
        <w:t xml:space="preserve">（</w:t>
      </w:r>
      <w:r>
        <w:rPr>
          <w:rFonts w:hint="eastAsia" w:eastAsia="黑体"/>
          <w:sz w:val="24"/>
          <w:highlight w:val="none"/>
        </w:rPr>
        <w:t xml:space="preserve">四</w:t>
      </w:r>
      <w:r>
        <w:rPr>
          <w:rFonts w:eastAsia="黑体"/>
          <w:sz w:val="24"/>
          <w:highlight w:val="none"/>
        </w:rPr>
        <w:t xml:space="preserve">）</w:t>
      </w:r>
      <w:r>
        <w:rPr>
          <w:rFonts w:hint="eastAsia" w:eastAsia="黑体"/>
          <w:sz w:val="24"/>
          <w:highlight w:val="none"/>
        </w:rPr>
        <w:t xml:space="preserve">石墨消解器</w:t>
      </w:r>
      <w:r>
        <w:rPr>
          <w:rFonts w:eastAsia="黑体"/>
          <w:sz w:val="24"/>
          <w:highlight w:val="none"/>
        </w:rPr>
      </w:r>
      <w:r>
        <w:rPr>
          <w:highlight w:val="none"/>
        </w:rPr>
      </w:r>
    </w:p>
    <w:p>
      <w:pPr>
        <w:pStyle w:val="955"/>
        <w:spacing w:line="360" w:lineRule="auto"/>
        <w:rPr>
          <w:sz w:val="24"/>
          <w:highlight w:val="none"/>
        </w:rPr>
        <w:outlineLvl w:val="1"/>
      </w:pPr>
      <w:r>
        <w:rPr>
          <w:b/>
          <w:sz w:val="24"/>
          <w:highlight w:val="none"/>
        </w:rPr>
        <w:t xml:space="preserve">1、总体要求：</w:t>
      </w:r>
      <w:r>
        <w:rPr>
          <w:sz w:val="24"/>
          <w:highlight w:val="none"/>
        </w:rPr>
        <w:t xml:space="preserve">用于</w:t>
      </w:r>
      <w:r>
        <w:rPr>
          <w:rFonts w:hint="eastAsia"/>
          <w:sz w:val="24"/>
          <w:highlight w:val="none"/>
        </w:rPr>
        <w:t xml:space="preserve">水和废水、土壤和沉积物以及空气和废气中金属元素样品的前处理。</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2、配置要求</w:t>
      </w:r>
      <w:r>
        <w:rPr>
          <w:rFonts w:hint="eastAsia"/>
          <w:b/>
          <w:sz w:val="24"/>
          <w:highlight w:val="none"/>
        </w:rPr>
        <w:t xml:space="preserve">（包含但不限于）</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 石墨消解器1台及配套；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2. 配套消解罐支架1套；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3. 质保期不低于1年，质保期后提供不少于1年免费维修服务。</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3、技术要求：</w:t>
      </w:r>
      <w:r>
        <w:rPr>
          <w:b/>
          <w:sz w:val="24"/>
          <w:highlight w:val="none"/>
        </w:rPr>
      </w:r>
      <w:r>
        <w:rPr>
          <w:highlight w:val="none"/>
        </w:rPr>
      </w:r>
    </w:p>
    <w:p>
      <w:pPr>
        <w:pStyle w:val="955"/>
        <w:spacing w:line="360" w:lineRule="auto"/>
        <w:rPr>
          <w:sz w:val="24"/>
          <w:highlight w:val="none"/>
        </w:rPr>
      </w:pPr>
      <w:r>
        <w:rPr>
          <w:sz w:val="24"/>
          <w:highlight w:val="none"/>
        </w:rPr>
        <w:t xml:space="preserve">1. </w:t>
      </w:r>
      <w:r>
        <w:rPr>
          <w:rFonts w:hint="eastAsia"/>
          <w:sz w:val="24"/>
          <w:highlight w:val="none"/>
        </w:rPr>
        <w:t xml:space="preserve">一体式主机，无外接电缆线路，整体环绕加热，温度连续可调。</w:t>
      </w:r>
      <w:r>
        <w:rPr>
          <w:sz w:val="24"/>
          <w:highlight w:val="none"/>
        </w:rPr>
      </w:r>
      <w:r>
        <w:rPr>
          <w:highlight w:val="none"/>
        </w:rPr>
      </w:r>
    </w:p>
    <w:p>
      <w:pPr>
        <w:pStyle w:val="955"/>
        <w:spacing w:line="360" w:lineRule="auto"/>
        <w:rPr>
          <w:sz w:val="24"/>
          <w:highlight w:val="none"/>
        </w:rPr>
      </w:pPr>
      <w:r>
        <w:rPr>
          <w:rFonts w:hint="eastAsia"/>
          <w:sz w:val="24"/>
          <w:highlight w:val="none"/>
        </w:rPr>
        <w:t xml:space="preserve">2. </w:t>
      </w:r>
      <w:r>
        <w:rPr>
          <w:sz w:val="24"/>
          <w:highlight w:val="none"/>
        </w:rPr>
        <w:t xml:space="preserve">控温范围</w:t>
      </w:r>
      <w:r>
        <w:rPr>
          <w:rFonts w:hint="eastAsia"/>
          <w:sz w:val="24"/>
          <w:highlight w:val="none"/>
        </w:rPr>
        <w:t xml:space="preserve">≥</w:t>
      </w:r>
      <w:r>
        <w:rPr>
          <w:sz w:val="24"/>
          <w:highlight w:val="none"/>
        </w:rPr>
        <w:t xml:space="preserve">室温～450 ℃，控温精度</w:t>
      </w:r>
      <w:r>
        <w:rPr>
          <w:rFonts w:hint="eastAsia"/>
          <w:sz w:val="24"/>
          <w:highlight w:val="none"/>
        </w:rPr>
        <w:t xml:space="preserve">≤</w:t>
      </w:r>
      <w:r>
        <w:rPr>
          <w:sz w:val="24"/>
          <w:highlight w:val="none"/>
        </w:rPr>
        <w:t xml:space="preserve">±0.1</w:t>
      </w:r>
      <w:r>
        <w:rPr>
          <w:rFonts w:hint="eastAsia"/>
          <w:sz w:val="24"/>
          <w:highlight w:val="none"/>
        </w:rPr>
        <w:t xml:space="preserve"> </w:t>
      </w:r>
      <w:r>
        <w:rPr>
          <w:sz w:val="24"/>
          <w:highlight w:val="none"/>
        </w:rPr>
        <w:t xml:space="preserve">℃，显示精度</w:t>
      </w:r>
      <w:r>
        <w:rPr>
          <w:rFonts w:hint="eastAsia"/>
          <w:sz w:val="24"/>
          <w:highlight w:val="none"/>
        </w:rPr>
        <w:t xml:space="preserve">≤</w:t>
      </w:r>
      <w:r>
        <w:rPr>
          <w:sz w:val="24"/>
          <w:highlight w:val="none"/>
        </w:rPr>
        <w:t xml:space="preserve">±0.1</w:t>
      </w:r>
      <w:r>
        <w:rPr>
          <w:rFonts w:hint="eastAsia"/>
          <w:sz w:val="24"/>
          <w:highlight w:val="none"/>
        </w:rPr>
        <w:t xml:space="preserve"> </w:t>
      </w:r>
      <w:r>
        <w:rPr>
          <w:sz w:val="24"/>
          <w:highlight w:val="none"/>
        </w:rPr>
        <w:t xml:space="preserve">℃</w:t>
      </w:r>
      <w:r>
        <w:rPr>
          <w:rFonts w:hint="eastAsia"/>
          <w:sz w:val="24"/>
          <w:highlight w:val="none"/>
        </w:rPr>
        <w:t xml:space="preserve">，</w:t>
      </w:r>
      <w:r>
        <w:rPr>
          <w:sz w:val="24"/>
          <w:highlight w:val="none"/>
        </w:rPr>
        <w:t xml:space="preserve">孔间温差</w:t>
      </w:r>
      <w:r>
        <w:rPr>
          <w:rFonts w:hint="eastAsia"/>
          <w:sz w:val="24"/>
          <w:highlight w:val="none"/>
        </w:rPr>
        <w:t xml:space="preserve">≤</w:t>
      </w:r>
      <w:r>
        <w:rPr>
          <w:sz w:val="24"/>
          <w:highlight w:val="none"/>
        </w:rPr>
        <w:t xml:space="preserve">±1</w:t>
      </w:r>
      <w:r>
        <w:rPr>
          <w:rFonts w:hint="eastAsia"/>
          <w:sz w:val="24"/>
          <w:highlight w:val="none"/>
        </w:rPr>
        <w:t xml:space="preserve"> </w:t>
      </w:r>
      <w:r>
        <w:rPr>
          <w:sz w:val="24"/>
          <w:highlight w:val="none"/>
        </w:rPr>
        <w:t xml:space="preserve">℃@100℃</w:t>
      </w:r>
      <w:r>
        <w:rPr>
          <w:rFonts w:hint="eastAsia"/>
          <w:sz w:val="24"/>
          <w:highlight w:val="none"/>
        </w:rPr>
        <w:t xml:space="preserve">。</w:t>
      </w:r>
      <w:r>
        <w:rPr>
          <w:sz w:val="24"/>
          <w:highlight w:val="none"/>
        </w:rPr>
      </w:r>
      <w:r>
        <w:rPr>
          <w:highlight w:val="none"/>
        </w:rPr>
      </w:r>
    </w:p>
    <w:p>
      <w:pPr>
        <w:pStyle w:val="955"/>
        <w:spacing w:line="360" w:lineRule="auto"/>
        <w:rPr>
          <w:sz w:val="24"/>
          <w:highlight w:val="none"/>
        </w:rPr>
      </w:pPr>
      <w:r>
        <w:rPr>
          <w:sz w:val="24"/>
          <w:highlight w:val="none"/>
        </w:rPr>
        <w:t xml:space="preserve">3. 采用高纯石墨作为加热材料，耐酸碱腐蚀，耐高温不变形；表面采用耐高温耐酸碱腐蚀的</w:t>
      </w:r>
      <w:r>
        <w:rPr>
          <w:rFonts w:hint="eastAsia"/>
          <w:sz w:val="24"/>
          <w:highlight w:val="none"/>
        </w:rPr>
        <w:t xml:space="preserve">特氟龙</w:t>
      </w:r>
      <w:r>
        <w:rPr>
          <w:sz w:val="24"/>
          <w:highlight w:val="none"/>
        </w:rPr>
        <w:t xml:space="preserve">材质及涂层耐450</w:t>
      </w:r>
      <w:r>
        <w:rPr>
          <w:rFonts w:hint="eastAsia"/>
          <w:sz w:val="24"/>
          <w:highlight w:val="none"/>
        </w:rPr>
        <w:t xml:space="preserve"> </w:t>
      </w:r>
      <w:r>
        <w:rPr>
          <w:sz w:val="24"/>
          <w:highlight w:val="none"/>
        </w:rPr>
        <w:t xml:space="preserve">℃高温不软化。</w:t>
      </w:r>
      <w:r>
        <w:rPr>
          <w:sz w:val="24"/>
          <w:highlight w:val="none"/>
        </w:rPr>
      </w:r>
      <w:r>
        <w:rPr>
          <w:highlight w:val="none"/>
        </w:rPr>
      </w:r>
    </w:p>
    <w:p>
      <w:pPr>
        <w:pStyle w:val="955"/>
        <w:rPr>
          <w:sz w:val="24"/>
          <w:highlight w:val="none"/>
        </w:rPr>
      </w:pPr>
      <w:r>
        <w:rPr>
          <w:rFonts w:hint="eastAsia"/>
          <w:sz w:val="24"/>
          <w:highlight w:val="none"/>
        </w:rPr>
        <w:t xml:space="preserve">4. 石墨孔径30mm，深度≥65mm，空位≥40位。</w:t>
      </w:r>
      <w:r>
        <w:rPr>
          <w:sz w:val="24"/>
          <w:highlight w:val="none"/>
        </w:rPr>
      </w:r>
      <w:r>
        <w:rPr>
          <w:highlight w:val="none"/>
        </w:rPr>
      </w:r>
    </w:p>
    <w:p>
      <w:pPr>
        <w:pStyle w:val="955"/>
        <w:spacing w:line="360" w:lineRule="auto"/>
        <w:rPr>
          <w:sz w:val="24"/>
          <w:highlight w:val="none"/>
        </w:rPr>
      </w:pPr>
      <w:r>
        <w:rPr>
          <w:rFonts w:hint="eastAsia"/>
          <w:sz w:val="24"/>
          <w:highlight w:val="none"/>
        </w:rPr>
        <w:t xml:space="preserve">5. 采用空气隔热层与纤维隔热层双层隔热，并配有风道隔热。</w:t>
      </w:r>
      <w:r>
        <w:rPr>
          <w:sz w:val="24"/>
          <w:highlight w:val="none"/>
        </w:rPr>
      </w:r>
      <w:r>
        <w:rPr>
          <w:highlight w:val="none"/>
        </w:rPr>
      </w:r>
    </w:p>
    <w:p>
      <w:pPr>
        <w:pStyle w:val="955"/>
        <w:spacing w:line="360" w:lineRule="auto"/>
        <w:rPr>
          <w:sz w:val="24"/>
          <w:highlight w:val="none"/>
        </w:rPr>
      </w:pPr>
      <w:r>
        <w:rPr>
          <w:rFonts w:hint="eastAsia"/>
          <w:sz w:val="24"/>
          <w:highlight w:val="none"/>
        </w:rPr>
        <w:t xml:space="preserve">6. 具有指定温度后开始计时、程序升温功能，具有加热异常、过热报警装置，超温自动报警功能。</w:t>
      </w:r>
      <w:r>
        <w:rPr>
          <w:sz w:val="24"/>
          <w:highlight w:val="none"/>
        </w:rPr>
      </w:r>
      <w:r>
        <w:rPr>
          <w:highlight w:val="none"/>
        </w:rPr>
      </w:r>
    </w:p>
    <w:p>
      <w:pPr>
        <w:pStyle w:val="955"/>
        <w:spacing w:line="360" w:lineRule="auto"/>
        <w:rPr>
          <w:sz w:val="24"/>
          <w:highlight w:val="none"/>
        </w:rPr>
      </w:pPr>
      <w:r>
        <w:rPr>
          <w:sz w:val="24"/>
          <w:highlight w:val="none"/>
        </w:rPr>
      </w:r>
      <w:r>
        <w:rPr>
          <w:highlight w:val="none"/>
        </w:rPr>
      </w:r>
    </w:p>
    <w:p>
      <w:pPr>
        <w:pStyle w:val="955"/>
        <w:spacing w:line="360" w:lineRule="auto"/>
        <w:rPr>
          <w:rFonts w:eastAsia="黑体"/>
          <w:sz w:val="24"/>
          <w:highlight w:val="none"/>
        </w:rPr>
        <w:outlineLvl w:val="1"/>
      </w:pPr>
      <w:r>
        <w:rPr>
          <w:rFonts w:eastAsia="黑体"/>
          <w:sz w:val="24"/>
          <w:highlight w:val="none"/>
        </w:rPr>
        <w:t xml:space="preserve">（</w:t>
      </w:r>
      <w:r>
        <w:rPr>
          <w:rFonts w:hint="eastAsia" w:eastAsia="黑体"/>
          <w:sz w:val="24"/>
          <w:highlight w:val="none"/>
        </w:rPr>
        <w:t xml:space="preserve">五</w:t>
      </w:r>
      <w:r>
        <w:rPr>
          <w:rFonts w:eastAsia="黑体"/>
          <w:sz w:val="24"/>
          <w:highlight w:val="none"/>
        </w:rPr>
        <w:t xml:space="preserve">）</w:t>
      </w:r>
      <w:r>
        <w:rPr>
          <w:rFonts w:hint="eastAsia" w:eastAsia="黑体"/>
          <w:sz w:val="24"/>
          <w:highlight w:val="none"/>
        </w:rPr>
        <w:t xml:space="preserve">配气仪</w:t>
      </w:r>
      <w:r>
        <w:rPr>
          <w:rFonts w:eastAsia="黑体"/>
          <w:sz w:val="24"/>
          <w:highlight w:val="none"/>
        </w:rPr>
      </w:r>
      <w:r>
        <w:rPr>
          <w:highlight w:val="none"/>
        </w:rPr>
      </w:r>
    </w:p>
    <w:p>
      <w:pPr>
        <w:pStyle w:val="955"/>
        <w:spacing w:line="360" w:lineRule="auto"/>
        <w:rPr>
          <w:sz w:val="24"/>
          <w:highlight w:val="none"/>
        </w:rPr>
        <w:outlineLvl w:val="1"/>
      </w:pPr>
      <w:r>
        <w:rPr>
          <w:b/>
          <w:sz w:val="24"/>
          <w:highlight w:val="none"/>
        </w:rPr>
        <w:t xml:space="preserve">1、总体要求：</w:t>
      </w:r>
      <w:r>
        <w:rPr>
          <w:sz w:val="24"/>
          <w:highlight w:val="none"/>
        </w:rPr>
        <w:t xml:space="preserve">用于</w:t>
      </w:r>
      <w:r>
        <w:rPr>
          <w:rFonts w:hint="eastAsia"/>
          <w:sz w:val="24"/>
          <w:highlight w:val="none"/>
        </w:rPr>
        <w:t xml:space="preserve">现场烟气监测过程中氮气、二氧化硫、一氧化碳等标准气体各种浓度梯度的动态配置。</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2、配置要求</w:t>
      </w:r>
      <w:r>
        <w:rPr>
          <w:rFonts w:hint="eastAsia"/>
          <w:b/>
          <w:sz w:val="24"/>
          <w:highlight w:val="none"/>
        </w:rPr>
        <w:t xml:space="preserve">（包含但不限于）</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 配气仪1台及配套；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2. 带两级压力调节器的泄压阀2套；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3. 质保期不低于1年，质保期后提供不少于1年免费维修服务。</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3、技术要求：</w:t>
      </w:r>
      <w:r>
        <w:rPr>
          <w:b/>
          <w:sz w:val="24"/>
          <w:highlight w:val="none"/>
        </w:rPr>
      </w:r>
      <w:r>
        <w:rPr>
          <w:highlight w:val="none"/>
        </w:rPr>
      </w:r>
    </w:p>
    <w:p>
      <w:pPr>
        <w:pStyle w:val="955"/>
        <w:spacing w:line="360" w:lineRule="auto"/>
        <w:rPr>
          <w:sz w:val="24"/>
          <w:highlight w:val="none"/>
        </w:rPr>
      </w:pPr>
      <w:r>
        <w:rPr>
          <w:sz w:val="24"/>
          <w:highlight w:val="none"/>
        </w:rPr>
        <w:t xml:space="preserve">1.</w:t>
      </w:r>
      <w:r>
        <w:rPr>
          <w:rFonts w:hint="eastAsia"/>
          <w:sz w:val="24"/>
          <w:highlight w:val="none"/>
        </w:rPr>
        <w:t xml:space="preserve"> 系统稳定，安全性高，负载能力强，具有过载保护功能，最大耐压压力≥3 MPa，系统漏气损失≤0.35 %；压力＞60 psi时自动排气，保证用气安全。</w:t>
      </w:r>
      <w:r>
        <w:rPr>
          <w:sz w:val="24"/>
          <w:highlight w:val="none"/>
        </w:rPr>
      </w:r>
      <w:r>
        <w:rPr>
          <w:highlight w:val="none"/>
        </w:rPr>
      </w:r>
    </w:p>
    <w:p>
      <w:pPr>
        <w:pStyle w:val="955"/>
        <w:spacing w:line="360" w:lineRule="auto"/>
        <w:rPr>
          <w:sz w:val="24"/>
          <w:highlight w:val="none"/>
        </w:rPr>
      </w:pPr>
      <w:r>
        <w:rPr>
          <w:rFonts w:hint="eastAsia"/>
          <w:sz w:val="24"/>
          <w:highlight w:val="none"/>
        </w:rPr>
        <w:t xml:space="preserve">2. 采用高精度质量流量控制器，精确控制气体流量，准确度≤±0.35 %FS或±1 %，重复性≤±0.2 %FS。</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▲3. 动态稀释配气系统具比例稀释，支持多种类型气体，配气通道≥3路，稀释倍数≤1:150，混合标气气体误差≤±5 %，平衡时间≤7 s。</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pPr>
      <w:r>
        <w:rPr>
          <w:rFonts w:hint="eastAsia"/>
          <w:sz w:val="24"/>
          <w:highlight w:val="none"/>
        </w:rPr>
        <w:t xml:space="preserve">4. 气体流路采用经硅烷化惰性处理的FEP气路，气体连接方式采用经硅烷化惰性处理的316L卡套。</w:t>
      </w:r>
      <w:r>
        <w:rPr>
          <w:sz w:val="24"/>
          <w:highlight w:val="none"/>
        </w:rPr>
      </w:r>
      <w:r>
        <w:rPr>
          <w:highlight w:val="none"/>
        </w:rPr>
      </w:r>
    </w:p>
    <w:p>
      <w:pPr>
        <w:pStyle w:val="955"/>
        <w:spacing w:line="360" w:lineRule="auto"/>
        <w:rPr>
          <w:sz w:val="24"/>
          <w:highlight w:val="none"/>
        </w:rPr>
      </w:pPr>
      <w:r>
        <w:rPr>
          <w:rFonts w:hint="eastAsia"/>
          <w:sz w:val="24"/>
          <w:highlight w:val="none"/>
        </w:rPr>
        <w:t xml:space="preserve">5. 混气装置支持不同气体快速均匀混合，混气罐带自动恒温功能，保证高沸点物质稀释回收率。</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▲6. 动态稀释配气系统具有智能校准、核查功能，内置烟气传感器7点标定，CO/SO</w:t>
      </w:r>
      <w:r>
        <w:rPr>
          <w:rFonts w:hint="eastAsia"/>
          <w:sz w:val="24"/>
          <w:highlight w:val="none"/>
          <w:vertAlign w:val="subscript"/>
        </w:rPr>
        <w:t xml:space="preserve">2</w:t>
      </w:r>
      <w:r>
        <w:rPr>
          <w:rFonts w:hint="eastAsia"/>
          <w:sz w:val="24"/>
          <w:highlight w:val="none"/>
        </w:rPr>
        <w:t xml:space="preserve">干扰矩阵，非甲烷总烃、硫化氢、三甲胺、氯乙烯等标准方法配气梯度。</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pPr>
      <w:r>
        <w:rPr>
          <w:rFonts w:hint="eastAsia"/>
          <w:sz w:val="24"/>
          <w:highlight w:val="none"/>
        </w:rPr>
        <w:t xml:space="preserve">7. 采用OLED或LED显示屏，支持中文操作界面。</w:t>
      </w:r>
      <w:r>
        <w:rPr>
          <w:sz w:val="24"/>
          <w:highlight w:val="none"/>
        </w:rPr>
      </w:r>
      <w:r>
        <w:rPr>
          <w:highlight w:val="none"/>
        </w:rPr>
      </w:r>
    </w:p>
    <w:p>
      <w:pPr>
        <w:pStyle w:val="955"/>
        <w:spacing w:line="360" w:lineRule="auto"/>
        <w:rPr>
          <w:sz w:val="24"/>
          <w:highlight w:val="none"/>
        </w:rPr>
      </w:pPr>
      <w:r>
        <w:rPr>
          <w:sz w:val="24"/>
          <w:highlight w:val="none"/>
        </w:rPr>
      </w:r>
      <w:r>
        <w:rPr>
          <w:highlight w:val="none"/>
        </w:rPr>
      </w:r>
    </w:p>
    <w:p>
      <w:pPr>
        <w:pStyle w:val="955"/>
        <w:spacing w:line="360" w:lineRule="auto"/>
        <w:rPr>
          <w:rFonts w:eastAsia="黑体"/>
          <w:sz w:val="24"/>
          <w:highlight w:val="none"/>
        </w:rPr>
        <w:outlineLvl w:val="1"/>
      </w:pPr>
      <w:r>
        <w:rPr>
          <w:rFonts w:eastAsia="黑体"/>
          <w:sz w:val="24"/>
          <w:highlight w:val="none"/>
        </w:rPr>
        <w:t xml:space="preserve">（</w:t>
      </w:r>
      <w:r>
        <w:rPr>
          <w:rFonts w:hint="eastAsia" w:eastAsia="黑体"/>
          <w:sz w:val="24"/>
          <w:highlight w:val="none"/>
        </w:rPr>
        <w:t xml:space="preserve">六</w:t>
      </w:r>
      <w:r>
        <w:rPr>
          <w:rFonts w:eastAsia="黑体"/>
          <w:sz w:val="24"/>
          <w:highlight w:val="none"/>
        </w:rPr>
        <w:t xml:space="preserve">）</w:t>
      </w:r>
      <w:r>
        <w:rPr>
          <w:rFonts w:hint="eastAsia" w:eastAsia="黑体"/>
          <w:sz w:val="24"/>
          <w:highlight w:val="none"/>
        </w:rPr>
        <w:t xml:space="preserve">氢气发生器</w:t>
      </w:r>
      <w:r>
        <w:rPr>
          <w:rFonts w:eastAsia="黑体"/>
          <w:sz w:val="24"/>
          <w:highlight w:val="none"/>
        </w:rPr>
      </w:r>
      <w:r>
        <w:rPr>
          <w:highlight w:val="none"/>
        </w:rPr>
      </w:r>
    </w:p>
    <w:p>
      <w:pPr>
        <w:pStyle w:val="955"/>
        <w:spacing w:line="360" w:lineRule="auto"/>
        <w:rPr>
          <w:sz w:val="24"/>
          <w:highlight w:val="none"/>
        </w:rPr>
        <w:outlineLvl w:val="1"/>
      </w:pPr>
      <w:r>
        <w:rPr>
          <w:b/>
          <w:sz w:val="24"/>
          <w:highlight w:val="none"/>
        </w:rPr>
        <w:t xml:space="preserve">1、总体要求：</w:t>
      </w:r>
      <w:r>
        <w:rPr>
          <w:rFonts w:hint="eastAsia"/>
          <w:sz w:val="24"/>
          <w:highlight w:val="none"/>
        </w:rPr>
        <w:t xml:space="preserve">用于现场便携式非甲烷总烃测定仪的氢气源供应。</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2、配置要求</w:t>
      </w:r>
      <w:r>
        <w:rPr>
          <w:rFonts w:hint="eastAsia"/>
          <w:b/>
          <w:sz w:val="24"/>
          <w:highlight w:val="none"/>
        </w:rPr>
        <w:t xml:space="preserve">（包含但不限于）</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 氢气发生器1台及配套；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2. 储氢合金2套及组件；</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3. 质保期不低于1年，质保期后提供不少于1年免费维修服务。</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3、技术要求：</w:t>
      </w:r>
      <w:r>
        <w:rPr>
          <w:b/>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w:t>
      </w:r>
      <w:r>
        <w:rPr>
          <w:sz w:val="24"/>
          <w:highlight w:val="none"/>
        </w:rPr>
        <w:t xml:space="preserve">1.</w:t>
      </w:r>
      <w:r>
        <w:rPr>
          <w:rFonts w:hint="eastAsia"/>
          <w:sz w:val="24"/>
          <w:highlight w:val="none"/>
        </w:rPr>
        <w:t xml:space="preserve"> 氢气发生器适合现场野外使用，整机重量≤2 kg。</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pPr>
      <w:r>
        <w:rPr>
          <w:rFonts w:hint="eastAsia"/>
          <w:sz w:val="24"/>
          <w:highlight w:val="none"/>
        </w:rPr>
        <w:t xml:space="preserve">2. 采用水电解制氢，使用去离子水或蒸馏水，输出压力≥2.5 Mpa，氢气纯度≥99.99%。</w:t>
      </w:r>
      <w:r>
        <w:rPr>
          <w:sz w:val="24"/>
          <w:highlight w:val="none"/>
        </w:rPr>
      </w:r>
      <w:r>
        <w:rPr>
          <w:highlight w:val="none"/>
        </w:rPr>
      </w:r>
    </w:p>
    <w:p>
      <w:pPr>
        <w:pStyle w:val="955"/>
        <w:spacing w:line="360" w:lineRule="auto"/>
        <w:rPr>
          <w:sz w:val="24"/>
          <w:highlight w:val="none"/>
        </w:rPr>
      </w:pPr>
      <w:r>
        <w:rPr>
          <w:rFonts w:hint="eastAsia"/>
          <w:sz w:val="24"/>
          <w:highlight w:val="none"/>
        </w:rPr>
        <w:t xml:space="preserve">3. 储氢合金应与氢气发生器联动使用，无需通过管路连接，拧上储氢合金后氢气发生器可自动打开电子阀门，拧松储氢合金后氢气发生器应可自动停止产氢。</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▲4. 储氢合金适配EXPEC 3200便携式非甲烷总烃测定仪，无需通过部件改造或外接管路连接。</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▲5. 储氢合金重量≤100 g，储气容量≥10 L，使用时长≥6小时（常温）。</w:t>
      </w:r>
      <w:r>
        <w:rPr>
          <w:rFonts w:hint="eastAsia"/>
          <w:b/>
          <w:sz w:val="24"/>
          <w:highlight w:val="none"/>
        </w:rPr>
        <w:t xml:space="preserve">（</w:t>
      </w:r>
      <w:r>
        <w:rPr>
          <w:b/>
          <w:sz w:val="24"/>
          <w:highlight w:val="none"/>
        </w:rPr>
        <w:t xml:space="preserve">提供实物照片和技术证明文件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pPr>
      <w:r>
        <w:rPr>
          <w:rFonts w:hint="eastAsia"/>
          <w:sz w:val="24"/>
          <w:highlight w:val="none"/>
        </w:rPr>
        <w:t xml:space="preserve">6. 储氢合金应无危险性识别和空运货物条件限制。</w:t>
      </w:r>
      <w:r>
        <w:rPr>
          <w:sz w:val="24"/>
          <w:highlight w:val="none"/>
        </w:rPr>
      </w:r>
      <w:r>
        <w:rPr>
          <w:highlight w:val="none"/>
        </w:rPr>
      </w:r>
    </w:p>
    <w:p>
      <w:pPr>
        <w:pStyle w:val="955"/>
        <w:spacing w:line="360" w:lineRule="auto"/>
        <w:rPr>
          <w:sz w:val="24"/>
          <w:highlight w:val="none"/>
        </w:rPr>
      </w:pPr>
      <w:r>
        <w:rPr>
          <w:sz w:val="24"/>
          <w:highlight w:val="none"/>
        </w:rPr>
      </w:r>
      <w:r>
        <w:rPr>
          <w:highlight w:val="none"/>
        </w:rPr>
      </w:r>
    </w:p>
    <w:p>
      <w:pPr>
        <w:pStyle w:val="955"/>
        <w:spacing w:line="360" w:lineRule="auto"/>
        <w:rPr>
          <w:rFonts w:eastAsia="黑体"/>
          <w:sz w:val="24"/>
          <w:highlight w:val="none"/>
        </w:rPr>
        <w:outlineLvl w:val="1"/>
      </w:pPr>
      <w:r>
        <w:rPr>
          <w:rFonts w:eastAsia="黑体"/>
          <w:sz w:val="24"/>
          <w:highlight w:val="none"/>
        </w:rPr>
        <w:t xml:space="preserve">（</w:t>
      </w:r>
      <w:r>
        <w:rPr>
          <w:rFonts w:hint="eastAsia" w:eastAsia="黑体"/>
          <w:sz w:val="24"/>
          <w:highlight w:val="none"/>
        </w:rPr>
        <w:t xml:space="preserve">七</w:t>
      </w:r>
      <w:r>
        <w:rPr>
          <w:rFonts w:eastAsia="黑体"/>
          <w:sz w:val="24"/>
          <w:highlight w:val="none"/>
        </w:rPr>
        <w:t xml:space="preserve">）</w:t>
      </w:r>
      <w:r>
        <w:rPr>
          <w:rFonts w:hint="eastAsia" w:eastAsia="黑体"/>
          <w:sz w:val="24"/>
          <w:highlight w:val="none"/>
        </w:rPr>
        <w:t xml:space="preserve">便携式气象五参数</w:t>
      </w:r>
      <w:r>
        <w:rPr>
          <w:rFonts w:eastAsia="黑体"/>
          <w:sz w:val="24"/>
          <w:highlight w:val="none"/>
        </w:rPr>
      </w:r>
      <w:r>
        <w:rPr>
          <w:highlight w:val="none"/>
        </w:rPr>
      </w:r>
    </w:p>
    <w:p>
      <w:pPr>
        <w:pStyle w:val="955"/>
        <w:spacing w:line="360" w:lineRule="auto"/>
        <w:rPr>
          <w:sz w:val="24"/>
          <w:highlight w:val="none"/>
        </w:rPr>
        <w:outlineLvl w:val="1"/>
      </w:pPr>
      <w:r>
        <w:rPr>
          <w:b/>
          <w:sz w:val="24"/>
          <w:highlight w:val="none"/>
        </w:rPr>
        <w:t xml:space="preserve">1、总体要求：</w:t>
      </w:r>
      <w:r>
        <w:rPr>
          <w:rFonts w:hint="eastAsia"/>
          <w:sz w:val="24"/>
          <w:highlight w:val="none"/>
        </w:rPr>
        <w:t xml:space="preserve">用于现场监测时，温度、湿度、气压、风速、风向等气象参数的测量。</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2、配置要求</w:t>
      </w:r>
      <w:r>
        <w:rPr>
          <w:rFonts w:hint="eastAsia"/>
          <w:b/>
          <w:sz w:val="24"/>
          <w:highlight w:val="none"/>
        </w:rPr>
        <w:t xml:space="preserve">（包含但不限于）</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 便携式气象五参数仪1台及配套；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2. 质保期不低于1年，质保期后提供不少于1年免费维修服务。</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3、技术要求：</w:t>
      </w:r>
      <w:r>
        <w:rPr>
          <w:b/>
          <w:sz w:val="24"/>
          <w:highlight w:val="none"/>
        </w:rPr>
      </w:r>
      <w:r>
        <w:rPr>
          <w:highlight w:val="none"/>
        </w:rPr>
      </w:r>
    </w:p>
    <w:p>
      <w:pPr>
        <w:pStyle w:val="955"/>
        <w:spacing w:line="360" w:lineRule="auto"/>
        <w:rPr>
          <w:sz w:val="24"/>
          <w:highlight w:val="none"/>
        </w:rPr>
      </w:pPr>
      <w:r>
        <w:rPr>
          <w:sz w:val="24"/>
          <w:highlight w:val="none"/>
        </w:rPr>
        <w:t xml:space="preserve">1. 采用手持式操作，锂电池供电，适合现场野外使用，主机尺寸</w:t>
      </w:r>
      <w:r>
        <w:rPr>
          <w:rFonts w:hint="eastAsia"/>
          <w:sz w:val="24"/>
          <w:highlight w:val="none"/>
        </w:rPr>
        <w:t xml:space="preserve">≤</w:t>
      </w:r>
      <w:r>
        <w:rPr>
          <w:sz w:val="24"/>
          <w:highlight w:val="none"/>
        </w:rPr>
        <w:t xml:space="preserve">100</w:t>
      </w:r>
      <w:r>
        <w:rPr>
          <w:rFonts w:hint="eastAsia"/>
          <w:sz w:val="24"/>
          <w:highlight w:val="none"/>
        </w:rPr>
        <w:t xml:space="preserve"> </w:t>
      </w:r>
      <w:r>
        <w:rPr>
          <w:sz w:val="24"/>
          <w:highlight w:val="none"/>
        </w:rPr>
        <w:t xml:space="preserve">mm×30</w:t>
      </w:r>
      <w:r>
        <w:rPr>
          <w:rFonts w:hint="eastAsia"/>
          <w:sz w:val="24"/>
          <w:highlight w:val="none"/>
        </w:rPr>
        <w:t xml:space="preserve"> </w:t>
      </w:r>
      <w:r>
        <w:rPr>
          <w:sz w:val="24"/>
          <w:highlight w:val="none"/>
        </w:rPr>
        <w:t xml:space="preserve">mm×400</w:t>
      </w:r>
      <w:r>
        <w:rPr>
          <w:rFonts w:hint="eastAsia"/>
          <w:sz w:val="24"/>
          <w:highlight w:val="none"/>
        </w:rPr>
        <w:t xml:space="preserve"> </w:t>
      </w:r>
      <w:r>
        <w:rPr>
          <w:sz w:val="24"/>
          <w:highlight w:val="none"/>
        </w:rPr>
        <w:t xml:space="preserve">mm，仪器重量</w:t>
      </w:r>
      <w:r>
        <w:rPr>
          <w:rFonts w:hint="eastAsia"/>
          <w:sz w:val="24"/>
          <w:highlight w:val="none"/>
        </w:rPr>
        <w:t xml:space="preserve">≤600 </w:t>
      </w:r>
      <w:r>
        <w:rPr>
          <w:sz w:val="24"/>
          <w:highlight w:val="none"/>
        </w:rPr>
        <w:t xml:space="preserve">g。</w:t>
      </w:r>
      <w:r>
        <w:rPr>
          <w:sz w:val="24"/>
          <w:highlight w:val="none"/>
        </w:rPr>
      </w:r>
      <w:r>
        <w:rPr>
          <w:highlight w:val="none"/>
        </w:rPr>
      </w:r>
    </w:p>
    <w:p>
      <w:pPr>
        <w:pStyle w:val="955"/>
        <w:spacing w:line="360" w:lineRule="auto"/>
        <w:rPr>
          <w:sz w:val="24"/>
          <w:highlight w:val="none"/>
        </w:rPr>
      </w:pPr>
      <w:r>
        <w:rPr>
          <w:sz w:val="24"/>
          <w:highlight w:val="none"/>
        </w:rPr>
        <w:t xml:space="preserve">2. 风速指标采用三杯法测定，铝合金材料，测量范围</w:t>
      </w:r>
      <w:r>
        <w:rPr>
          <w:rFonts w:hint="eastAsia"/>
          <w:sz w:val="24"/>
          <w:highlight w:val="none"/>
        </w:rPr>
        <w:t xml:space="preserve">≥</w:t>
      </w:r>
      <w:r>
        <w:rPr>
          <w:sz w:val="24"/>
          <w:highlight w:val="none"/>
        </w:rPr>
        <w:t xml:space="preserve">0～45 m/s、起动风速</w:t>
      </w:r>
      <w:r>
        <w:rPr>
          <w:rFonts w:hint="eastAsia"/>
          <w:sz w:val="24"/>
          <w:highlight w:val="none"/>
        </w:rPr>
        <w:t xml:space="preserve">≤</w:t>
      </w:r>
      <w:r>
        <w:rPr>
          <w:sz w:val="24"/>
          <w:highlight w:val="none"/>
        </w:rPr>
        <w:t xml:space="preserve">0.8 m/s，测量精度</w:t>
      </w:r>
      <w:r>
        <w:rPr>
          <w:rFonts w:hint="eastAsia"/>
          <w:sz w:val="24"/>
          <w:highlight w:val="none"/>
        </w:rPr>
        <w:t xml:space="preserve">≤</w:t>
      </w:r>
      <w:r>
        <w:rPr>
          <w:sz w:val="24"/>
          <w:highlight w:val="none"/>
        </w:rPr>
        <w:t xml:space="preserve">±3</w:t>
      </w:r>
      <w:r>
        <w:rPr>
          <w:rFonts w:hint="eastAsia"/>
          <w:sz w:val="24"/>
          <w:highlight w:val="none"/>
        </w:rPr>
        <w:t xml:space="preserve"> </w:t>
      </w:r>
      <w:r>
        <w:rPr>
          <w:sz w:val="24"/>
          <w:highlight w:val="none"/>
        </w:rPr>
        <w:t xml:space="preserve">%（0.1 m/s）。</w:t>
      </w:r>
      <w:r>
        <w:rPr>
          <w:sz w:val="24"/>
          <w:highlight w:val="none"/>
        </w:rPr>
      </w:r>
      <w:r>
        <w:rPr>
          <w:highlight w:val="none"/>
        </w:rPr>
      </w:r>
    </w:p>
    <w:p>
      <w:pPr>
        <w:pStyle w:val="955"/>
        <w:spacing w:line="360" w:lineRule="auto"/>
        <w:rPr>
          <w:sz w:val="24"/>
          <w:highlight w:val="none"/>
        </w:rPr>
      </w:pPr>
      <w:r>
        <w:rPr>
          <w:sz w:val="24"/>
          <w:highlight w:val="none"/>
        </w:rPr>
        <w:t xml:space="preserve">3. 风向指标磁罗盘标示，自动定北，16个方位，测量范围</w:t>
      </w:r>
      <w:r>
        <w:rPr>
          <w:rFonts w:hint="eastAsia"/>
          <w:sz w:val="24"/>
          <w:highlight w:val="none"/>
        </w:rPr>
        <w:t xml:space="preserve">≥</w:t>
      </w:r>
      <w:r>
        <w:rPr>
          <w:sz w:val="24"/>
          <w:highlight w:val="none"/>
        </w:rPr>
        <w:t xml:space="preserve">0～360</w:t>
      </w:r>
      <w:r>
        <w:rPr>
          <w:rFonts w:hint="eastAsia"/>
          <w:sz w:val="24"/>
          <w:highlight w:val="none"/>
        </w:rPr>
        <w:t xml:space="preserve"> </w:t>
      </w:r>
      <w:r>
        <w:rPr>
          <w:sz w:val="24"/>
          <w:highlight w:val="none"/>
        </w:rPr>
        <w:t xml:space="preserve">°测量精度</w:t>
      </w:r>
      <w:r>
        <w:rPr>
          <w:rFonts w:hint="eastAsia"/>
          <w:sz w:val="24"/>
          <w:highlight w:val="none"/>
        </w:rPr>
        <w:t xml:space="preserve">≤</w:t>
      </w:r>
      <w:r>
        <w:rPr>
          <w:sz w:val="24"/>
          <w:highlight w:val="none"/>
        </w:rPr>
        <w:t xml:space="preserve">±3°</w:t>
      </w:r>
      <w:r>
        <w:rPr>
          <w:sz w:val="24"/>
          <w:highlight w:val="none"/>
        </w:rPr>
      </w:r>
      <w:r>
        <w:rPr>
          <w:highlight w:val="none"/>
        </w:rPr>
      </w:r>
    </w:p>
    <w:p>
      <w:pPr>
        <w:pStyle w:val="955"/>
        <w:spacing w:line="360" w:lineRule="auto"/>
        <w:rPr>
          <w:sz w:val="24"/>
          <w:highlight w:val="none"/>
        </w:rPr>
      </w:pPr>
      <w:r>
        <w:rPr>
          <w:sz w:val="24"/>
          <w:highlight w:val="none"/>
        </w:rPr>
        <w:t xml:space="preserve">4. 环境温度测量范围</w:t>
      </w:r>
      <w:r>
        <w:rPr>
          <w:rFonts w:hint="eastAsia"/>
          <w:sz w:val="24"/>
          <w:highlight w:val="none"/>
        </w:rPr>
        <w:t xml:space="preserve">≥</w:t>
      </w:r>
      <w:r>
        <w:rPr>
          <w:sz w:val="24"/>
          <w:highlight w:val="none"/>
        </w:rPr>
        <w:t xml:space="preserve">-20～60</w:t>
      </w:r>
      <w:r>
        <w:rPr>
          <w:rFonts w:hint="eastAsia"/>
          <w:sz w:val="24"/>
          <w:highlight w:val="none"/>
        </w:rPr>
        <w:t xml:space="preserve"> </w:t>
      </w:r>
      <w:r>
        <w:rPr>
          <w:sz w:val="24"/>
          <w:highlight w:val="none"/>
        </w:rPr>
        <w:t xml:space="preserve">℃，测量精度</w:t>
      </w:r>
      <w:r>
        <w:rPr>
          <w:rFonts w:hint="eastAsia"/>
          <w:sz w:val="24"/>
          <w:highlight w:val="none"/>
        </w:rPr>
        <w:t xml:space="preserve">≤</w:t>
      </w:r>
      <w:r>
        <w:rPr>
          <w:sz w:val="24"/>
          <w:highlight w:val="none"/>
        </w:rPr>
        <w:t xml:space="preserve">±1</w:t>
      </w:r>
      <w:r>
        <w:rPr>
          <w:rFonts w:hint="eastAsia"/>
          <w:sz w:val="24"/>
          <w:highlight w:val="none"/>
        </w:rPr>
        <w:t xml:space="preserve"> </w:t>
      </w:r>
      <w:r>
        <w:rPr>
          <w:sz w:val="24"/>
          <w:highlight w:val="none"/>
        </w:rPr>
        <w:t xml:space="preserve">℃。</w:t>
      </w:r>
      <w:r>
        <w:rPr>
          <w:sz w:val="24"/>
          <w:highlight w:val="none"/>
        </w:rPr>
      </w:r>
      <w:r>
        <w:rPr>
          <w:highlight w:val="none"/>
        </w:rPr>
      </w:r>
    </w:p>
    <w:p>
      <w:pPr>
        <w:pStyle w:val="955"/>
        <w:spacing w:line="360" w:lineRule="auto"/>
        <w:rPr>
          <w:sz w:val="24"/>
          <w:highlight w:val="none"/>
        </w:rPr>
      </w:pPr>
      <w:r>
        <w:rPr>
          <w:sz w:val="24"/>
          <w:highlight w:val="none"/>
        </w:rPr>
        <w:t xml:space="preserve">5. 环境湿度测量范围</w:t>
      </w:r>
      <w:r>
        <w:rPr>
          <w:rFonts w:hint="eastAsia"/>
          <w:sz w:val="24"/>
          <w:highlight w:val="none"/>
        </w:rPr>
        <w:t xml:space="preserve">≥</w:t>
      </w:r>
      <w:r>
        <w:rPr>
          <w:sz w:val="24"/>
          <w:highlight w:val="none"/>
        </w:rPr>
        <w:t xml:space="preserve">10～100</w:t>
      </w:r>
      <w:r>
        <w:rPr>
          <w:rFonts w:hint="eastAsia"/>
          <w:sz w:val="24"/>
          <w:highlight w:val="none"/>
        </w:rPr>
        <w:t xml:space="preserve"> </w:t>
      </w:r>
      <w:r>
        <w:rPr>
          <w:sz w:val="24"/>
          <w:highlight w:val="none"/>
        </w:rPr>
        <w:t xml:space="preserve">%，</w:t>
      </w:r>
      <w:r>
        <w:rPr>
          <w:rFonts w:hint="eastAsia"/>
          <w:sz w:val="24"/>
          <w:highlight w:val="none"/>
        </w:rPr>
        <w:t xml:space="preserve">测量</w:t>
      </w:r>
      <w:r>
        <w:rPr>
          <w:sz w:val="24"/>
          <w:highlight w:val="none"/>
        </w:rPr>
        <w:t xml:space="preserve">精度</w:t>
      </w:r>
      <w:r>
        <w:rPr>
          <w:rFonts w:hint="eastAsia"/>
          <w:sz w:val="24"/>
          <w:highlight w:val="none"/>
        </w:rPr>
        <w:t xml:space="preserve">≤</w:t>
      </w:r>
      <w:r>
        <w:rPr>
          <w:sz w:val="24"/>
          <w:highlight w:val="none"/>
        </w:rPr>
        <w:t xml:space="preserve">±5.0 RH%</w:t>
      </w:r>
      <w:r>
        <w:rPr>
          <w:rFonts w:hint="eastAsia"/>
          <w:sz w:val="24"/>
          <w:highlight w:val="none"/>
        </w:rPr>
        <w:t xml:space="preserve">。</w:t>
      </w:r>
      <w:r>
        <w:rPr>
          <w:sz w:val="24"/>
          <w:highlight w:val="none"/>
        </w:rPr>
      </w:r>
      <w:r>
        <w:rPr>
          <w:highlight w:val="none"/>
        </w:rPr>
      </w:r>
    </w:p>
    <w:p>
      <w:pPr>
        <w:pStyle w:val="955"/>
        <w:jc w:val="left"/>
        <w:spacing w:line="360" w:lineRule="auto"/>
        <w:rPr>
          <w:sz w:val="24"/>
          <w:highlight w:val="none"/>
        </w:rPr>
      </w:pPr>
      <w:r>
        <w:rPr>
          <w:rFonts w:hint="eastAsia"/>
          <w:sz w:val="24"/>
          <w:highlight w:val="none"/>
        </w:rPr>
        <w:t xml:space="preserve">6 大气压强测量范围≥600～1100 hPa，测定精度≤±1.0 hPa。</w:t>
      </w:r>
      <w:r>
        <w:rPr>
          <w:sz w:val="24"/>
          <w:highlight w:val="none"/>
        </w:rPr>
      </w:r>
      <w:r>
        <w:rPr>
          <w:highlight w:val="none"/>
        </w:rPr>
      </w:r>
    </w:p>
    <w:p>
      <w:pPr>
        <w:pStyle w:val="955"/>
        <w:jc w:val="left"/>
        <w:spacing w:line="360" w:lineRule="auto"/>
        <w:rPr>
          <w:sz w:val="24"/>
          <w:highlight w:val="none"/>
        </w:rPr>
      </w:pPr>
      <w:r>
        <w:rPr>
          <w:rFonts w:hint="eastAsia"/>
          <w:sz w:val="24"/>
          <w:highlight w:val="none"/>
        </w:rPr>
        <w:t xml:space="preserve">7. 具有定位功能，可显示经纬度、海拔高度。</w:t>
      </w:r>
      <w:r>
        <w:rPr>
          <w:sz w:val="24"/>
          <w:highlight w:val="none"/>
        </w:rPr>
      </w:r>
      <w:r>
        <w:rPr>
          <w:highlight w:val="none"/>
        </w:rPr>
      </w:r>
    </w:p>
    <w:p>
      <w:pPr>
        <w:pStyle w:val="955"/>
        <w:jc w:val="left"/>
        <w:spacing w:line="360" w:lineRule="auto"/>
        <w:rPr>
          <w:sz w:val="24"/>
          <w:highlight w:val="none"/>
        </w:rPr>
      </w:pPr>
      <w:r>
        <w:rPr>
          <w:sz w:val="24"/>
          <w:highlight w:val="none"/>
        </w:rPr>
      </w:r>
      <w:r>
        <w:rPr>
          <w:highlight w:val="none"/>
        </w:rPr>
      </w:r>
    </w:p>
    <w:p>
      <w:pPr>
        <w:pStyle w:val="955"/>
        <w:spacing w:line="360" w:lineRule="auto"/>
        <w:rPr>
          <w:rFonts w:eastAsia="黑体"/>
          <w:sz w:val="24"/>
          <w:highlight w:val="none"/>
        </w:rPr>
        <w:outlineLvl w:val="1"/>
      </w:pPr>
      <w:r>
        <w:rPr>
          <w:rFonts w:eastAsia="黑体"/>
          <w:sz w:val="24"/>
          <w:highlight w:val="none"/>
        </w:rPr>
        <w:t xml:space="preserve">（</w:t>
      </w:r>
      <w:r>
        <w:rPr>
          <w:rFonts w:hint="eastAsia" w:eastAsia="黑体"/>
          <w:sz w:val="24"/>
          <w:highlight w:val="none"/>
        </w:rPr>
        <w:t xml:space="preserve">八</w:t>
      </w:r>
      <w:r>
        <w:rPr>
          <w:rFonts w:eastAsia="黑体"/>
          <w:sz w:val="24"/>
          <w:highlight w:val="none"/>
        </w:rPr>
        <w:t xml:space="preserve">）</w:t>
      </w:r>
      <w:r>
        <w:rPr>
          <w:rFonts w:hint="eastAsia" w:eastAsia="黑体"/>
          <w:sz w:val="24"/>
          <w:highlight w:val="none"/>
        </w:rPr>
        <w:t xml:space="preserve">海洋水质参数分析仪</w:t>
      </w:r>
      <w:r>
        <w:rPr>
          <w:rFonts w:eastAsia="黑体"/>
          <w:sz w:val="24"/>
          <w:highlight w:val="none"/>
        </w:rPr>
      </w:r>
      <w:r>
        <w:rPr>
          <w:highlight w:val="none"/>
        </w:rPr>
      </w:r>
    </w:p>
    <w:p>
      <w:pPr>
        <w:pStyle w:val="955"/>
        <w:spacing w:line="360" w:lineRule="auto"/>
        <w:rPr>
          <w:sz w:val="24"/>
          <w:highlight w:val="none"/>
        </w:rPr>
        <w:outlineLvl w:val="1"/>
      </w:pPr>
      <w:r>
        <w:rPr>
          <w:b/>
          <w:sz w:val="24"/>
          <w:highlight w:val="none"/>
        </w:rPr>
        <w:t xml:space="preserve">1、总体要求：</w:t>
      </w:r>
      <w:r>
        <w:rPr>
          <w:rFonts w:hint="eastAsia"/>
          <w:sz w:val="24"/>
          <w:highlight w:val="none"/>
        </w:rPr>
        <w:t xml:space="preserve">用于海水中温度、pH、溶解氧、电导率、浊度、深度、叶绿素a、蓝绿藻的测定。</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2、配置要求</w:t>
      </w:r>
      <w:r>
        <w:rPr>
          <w:rFonts w:hint="eastAsia"/>
          <w:b/>
          <w:sz w:val="24"/>
          <w:highlight w:val="none"/>
        </w:rPr>
        <w:t xml:space="preserve">（包含但不限于）</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 便携式海洋多参数分析仪主机1台及配套；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2. 手持器1套，叶绿素a、蓝绿藻、pH值、ORP、温度、溶解氧、电导率、深度、浊度传感器探头各1套，10m长电缆1套；校准用标准溶液1套。</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3. 质保期不低于1年，质保期后提供不少于1年免费维修服务。</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3、技术要求：</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 温度测定采用热敏电阻法，测量范围≥-5</w:t>
      </w:r>
      <w:r>
        <w:rPr>
          <w:sz w:val="24"/>
          <w:highlight w:val="none"/>
        </w:rPr>
        <w:t xml:space="preserve">～</w:t>
      </w:r>
      <w:r>
        <w:rPr>
          <w:rFonts w:hint="eastAsia"/>
          <w:sz w:val="24"/>
          <w:highlight w:val="none"/>
        </w:rPr>
        <w:t xml:space="preserve">50 </w:t>
      </w:r>
      <w:r>
        <w:rPr>
          <w:sz w:val="24"/>
          <w:highlight w:val="none"/>
        </w:rPr>
        <w:t xml:space="preserve">℃</w:t>
      </w:r>
      <w:r>
        <w:rPr>
          <w:rFonts w:hint="eastAsia"/>
          <w:sz w:val="24"/>
          <w:highlight w:val="none"/>
        </w:rPr>
        <w:t xml:space="preserve">，测量精度≤±0.10 </w:t>
      </w:r>
      <w:r>
        <w:rPr>
          <w:sz w:val="24"/>
          <w:highlight w:val="none"/>
        </w:rPr>
        <w:t xml:space="preserve">℃</w:t>
      </w:r>
      <w:r>
        <w:rPr>
          <w:rFonts w:hint="eastAsia"/>
          <w:sz w:val="24"/>
          <w:highlight w:val="none"/>
        </w:rPr>
        <w:t xml:space="preserve">。</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2. 电导率测定采用石墨电极法，具有自动换算盐度功能，测量范围≥0</w:t>
      </w:r>
      <w:r>
        <w:rPr>
          <w:sz w:val="24"/>
          <w:highlight w:val="none"/>
        </w:rPr>
        <w:t xml:space="preserve">～</w:t>
      </w:r>
      <w:r>
        <w:rPr>
          <w:rFonts w:hint="eastAsia"/>
          <w:sz w:val="24"/>
          <w:highlight w:val="none"/>
        </w:rPr>
        <w:t xml:space="preserve">100 mS/cm，测量精度≤±0.5 %。</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3. 溶解氧测定采用荧光淬灭法，测量范围≥0</w:t>
      </w:r>
      <w:r>
        <w:rPr>
          <w:sz w:val="24"/>
          <w:highlight w:val="none"/>
        </w:rPr>
        <w:t xml:space="preserve">～</w:t>
      </w:r>
      <w:r>
        <w:rPr>
          <w:rFonts w:hint="eastAsia"/>
          <w:sz w:val="24"/>
          <w:highlight w:val="none"/>
        </w:rPr>
        <w:t xml:space="preserve">60mg/L，测量精度≤±0.1 mg/L（8 mg/L以内）、±0.2 mg/L（8</w:t>
      </w:r>
      <w:r>
        <w:rPr>
          <w:sz w:val="24"/>
          <w:highlight w:val="none"/>
        </w:rPr>
        <w:t xml:space="preserve">～</w:t>
      </w:r>
      <w:r>
        <w:rPr>
          <w:rFonts w:hint="eastAsia"/>
          <w:sz w:val="24"/>
          <w:highlight w:val="none"/>
        </w:rPr>
        <w:t xml:space="preserve">20 mg/L）、±10%（大于20 mg/L）。</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4. pH值测定采用玻璃电极法，测量范围≥0</w:t>
      </w:r>
      <w:r>
        <w:rPr>
          <w:sz w:val="24"/>
          <w:highlight w:val="none"/>
        </w:rPr>
        <w:t xml:space="preserve">～</w:t>
      </w:r>
      <w:r>
        <w:rPr>
          <w:rFonts w:hint="eastAsia"/>
          <w:sz w:val="24"/>
          <w:highlight w:val="none"/>
        </w:rPr>
        <w:t xml:space="preserve">14，测量精度≤±0.2。</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5. 浊度测定采用光学法，具有自清洗功能，测量范围≥0</w:t>
      </w:r>
      <w:r>
        <w:rPr>
          <w:sz w:val="24"/>
          <w:highlight w:val="none"/>
        </w:rPr>
        <w:t xml:space="preserve">～</w:t>
      </w:r>
      <w:r>
        <w:rPr>
          <w:rFonts w:hint="eastAsia"/>
          <w:sz w:val="24"/>
          <w:highlight w:val="none"/>
        </w:rPr>
        <w:t xml:space="preserve">3000 NTU，测量精度≤±1%（100NTU以内）、±3%（100</w:t>
      </w:r>
      <w:r>
        <w:rPr>
          <w:sz w:val="24"/>
          <w:highlight w:val="none"/>
        </w:rPr>
        <w:t xml:space="preserve">～</w:t>
      </w:r>
      <w:r>
        <w:rPr>
          <w:rFonts w:hint="eastAsia"/>
          <w:sz w:val="24"/>
          <w:highlight w:val="none"/>
        </w:rPr>
        <w:t xml:space="preserve">400NTU）、±5%（400</w:t>
      </w:r>
      <w:r>
        <w:rPr>
          <w:sz w:val="24"/>
          <w:highlight w:val="none"/>
        </w:rPr>
        <w:t xml:space="preserve">～</w:t>
      </w:r>
      <w:r>
        <w:rPr>
          <w:rFonts w:hint="eastAsia"/>
          <w:sz w:val="24"/>
          <w:highlight w:val="none"/>
        </w:rPr>
        <w:t xml:space="preserve">3000NTU）。</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6. OPR的测定采用铂电极法，测量范围≥-999</w:t>
      </w:r>
      <w:r>
        <w:rPr>
          <w:sz w:val="24"/>
          <w:highlight w:val="none"/>
        </w:rPr>
        <w:t xml:space="preserve">～</w:t>
      </w:r>
      <w:r>
        <w:rPr>
          <w:rFonts w:hint="eastAsia"/>
          <w:sz w:val="24"/>
          <w:highlight w:val="none"/>
        </w:rPr>
        <w:t xml:space="preserve">999 mV，测量精度≤±20 mV。</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7. 叶绿素a的测定采用荧光法，测量范围≥0</w:t>
      </w:r>
      <w:r>
        <w:rPr>
          <w:sz w:val="24"/>
          <w:highlight w:val="none"/>
        </w:rPr>
        <w:t xml:space="preserve">～</w:t>
      </w:r>
      <w:r>
        <w:rPr>
          <w:rFonts w:hint="eastAsia"/>
          <w:sz w:val="24"/>
          <w:highlight w:val="none"/>
        </w:rPr>
        <w:t xml:space="preserve">500 ug/L，测量线性≥0.998。</w:t>
      </w:r>
      <w:r>
        <w:rPr>
          <w:sz w:val="24"/>
          <w:highlight w:val="none"/>
        </w:rPr>
      </w:r>
      <w:r>
        <w:rPr>
          <w:highlight w:val="none"/>
        </w:rPr>
      </w:r>
    </w:p>
    <w:p>
      <w:pPr>
        <w:pStyle w:val="955"/>
        <w:spacing w:line="360" w:lineRule="auto"/>
        <w:rPr>
          <w:b/>
          <w:sz w:val="24"/>
          <w:highlight w:val="none"/>
        </w:rPr>
        <w:outlineLvl w:val="1"/>
      </w:pPr>
      <w:r>
        <w:rPr>
          <w:rFonts w:hint="eastAsia"/>
          <w:sz w:val="24"/>
          <w:highlight w:val="none"/>
        </w:rPr>
        <w:t xml:space="preserve">▲8. 蓝绿藻的测定采用荧光法，测量范围≥0</w:t>
      </w:r>
      <w:r>
        <w:rPr>
          <w:sz w:val="24"/>
          <w:highlight w:val="none"/>
        </w:rPr>
        <w:t xml:space="preserve">～</w:t>
      </w:r>
      <w:r>
        <w:rPr>
          <w:rFonts w:hint="eastAsia"/>
          <w:sz w:val="24"/>
          <w:highlight w:val="none"/>
        </w:rPr>
        <w:t xml:space="preserve">750</w:t>
      </w:r>
      <w:r>
        <w:rPr>
          <w:rFonts w:hint="eastAsia" w:ascii="宋体" w:hAnsi="宋体"/>
          <w:highlight w:val="none"/>
        </w:rPr>
        <w:t xml:space="preserve"> </w:t>
      </w:r>
      <w:r>
        <w:rPr>
          <w:rFonts w:hint="eastAsia"/>
          <w:sz w:val="24"/>
          <w:highlight w:val="none"/>
        </w:rPr>
        <w:t xml:space="preserve">ppb藻红蛋白，测量线性≥0.999。</w:t>
      </w:r>
      <w:r>
        <w:rPr>
          <w:rFonts w:hint="eastAsia"/>
          <w:b/>
          <w:sz w:val="24"/>
          <w:highlight w:val="none"/>
        </w:rPr>
        <w:t xml:space="preserve">（</w:t>
      </w:r>
      <w:r>
        <w:rPr>
          <w:b/>
          <w:sz w:val="24"/>
          <w:highlight w:val="none"/>
        </w:rPr>
        <w:t xml:space="preserve">技术证明文件</w:t>
      </w:r>
      <w:r>
        <w:rPr>
          <w:rFonts w:hint="eastAsia"/>
          <w:b/>
          <w:sz w:val="24"/>
          <w:highlight w:val="none"/>
        </w:rPr>
        <w:t xml:space="preserve">，需加盖制造商公章</w:t>
      </w:r>
      <w:r>
        <w:rPr>
          <w:b/>
          <w:sz w:val="24"/>
          <w:highlight w:val="none"/>
        </w:rPr>
        <w:t xml:space="preserve">）</w:t>
      </w:r>
      <w:r>
        <w:rPr>
          <w:b/>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9. 深度的测定采用压敏电极法，测量范围≥0</w:t>
      </w:r>
      <w:r>
        <w:rPr>
          <w:sz w:val="24"/>
          <w:highlight w:val="none"/>
        </w:rPr>
        <w:t xml:space="preserve">～</w:t>
      </w:r>
      <w:r>
        <w:rPr>
          <w:rFonts w:hint="eastAsia"/>
          <w:sz w:val="24"/>
          <w:highlight w:val="none"/>
        </w:rPr>
        <w:t xml:space="preserve">200米，测量精度≤0.1米。</w:t>
      </w:r>
      <w:r>
        <w:rPr>
          <w:sz w:val="24"/>
          <w:highlight w:val="none"/>
        </w:rPr>
      </w:r>
      <w:r>
        <w:rPr>
          <w:highlight w:val="none"/>
        </w:rPr>
      </w:r>
    </w:p>
    <w:p>
      <w:pPr>
        <w:pStyle w:val="955"/>
        <w:spacing w:line="360" w:lineRule="auto"/>
        <w:rPr>
          <w:sz w:val="24"/>
          <w:highlight w:val="none"/>
        </w:rPr>
        <w:outlineLvl w:val="1"/>
      </w:pPr>
      <w:r>
        <w:rPr>
          <w:rFonts w:hint="eastAsia"/>
          <w:sz w:val="24"/>
          <w:highlight w:val="none"/>
        </w:rPr>
        <w:t xml:space="preserve">10. 采用专门针对海水原位监测的设计，具备</w:t>
      </w:r>
      <w:r>
        <w:rPr>
          <w:rFonts w:hint="eastAsia" w:hAnsi="宋体"/>
          <w:sz w:val="24"/>
          <w:highlight w:val="none"/>
        </w:rPr>
        <w:t xml:space="preserve">不少于5个传感器端口，防水级别≥IP67，采集频率≤2 s。</w:t>
      </w:r>
      <w:r>
        <w:rPr>
          <w:sz w:val="24"/>
          <w:highlight w:val="none"/>
        </w:rPr>
      </w:r>
      <w:r>
        <w:rPr>
          <w:highlight w:val="none"/>
        </w:rPr>
      </w:r>
    </w:p>
    <w:p>
      <w:pPr>
        <w:pStyle w:val="955"/>
        <w:spacing w:line="360" w:lineRule="auto"/>
        <w:rPr>
          <w:sz w:val="24"/>
          <w:highlight w:val="none"/>
        </w:rPr>
        <w:outlineLvl w:val="1"/>
      </w:pPr>
      <w:r>
        <w:rPr>
          <w:sz w:val="24"/>
          <w:highlight w:val="none"/>
        </w:rPr>
      </w:r>
      <w:r>
        <w:rPr>
          <w:highlight w:val="none"/>
        </w:rPr>
      </w:r>
    </w:p>
    <w:p>
      <w:pPr>
        <w:pStyle w:val="955"/>
        <w:spacing w:line="360" w:lineRule="auto"/>
        <w:rPr>
          <w:rFonts w:eastAsia="黑体"/>
          <w:sz w:val="24"/>
          <w:highlight w:val="none"/>
        </w:rPr>
        <w:outlineLvl w:val="1"/>
      </w:pPr>
      <w:r>
        <w:rPr>
          <w:rFonts w:eastAsia="黑体"/>
          <w:sz w:val="24"/>
          <w:highlight w:val="none"/>
        </w:rPr>
        <w:t xml:space="preserve">（</w:t>
      </w:r>
      <w:r>
        <w:rPr>
          <w:rFonts w:hint="eastAsia" w:eastAsia="黑体"/>
          <w:sz w:val="24"/>
          <w:highlight w:val="none"/>
        </w:rPr>
        <w:t xml:space="preserve">九</w:t>
      </w:r>
      <w:r>
        <w:rPr>
          <w:rFonts w:eastAsia="黑体"/>
          <w:sz w:val="24"/>
          <w:highlight w:val="none"/>
        </w:rPr>
        <w:t xml:space="preserve">）</w:t>
      </w:r>
      <w:r>
        <w:rPr>
          <w:rFonts w:hint="eastAsia" w:eastAsia="黑体"/>
          <w:sz w:val="24"/>
          <w:highlight w:val="none"/>
        </w:rPr>
        <w:t xml:space="preserve">甲醛气体测试仪</w:t>
      </w:r>
      <w:r>
        <w:rPr>
          <w:rFonts w:eastAsia="黑体"/>
          <w:sz w:val="24"/>
          <w:highlight w:val="none"/>
        </w:rPr>
      </w:r>
      <w:r>
        <w:rPr>
          <w:highlight w:val="none"/>
        </w:rPr>
      </w:r>
    </w:p>
    <w:p>
      <w:pPr>
        <w:pStyle w:val="955"/>
        <w:spacing w:line="360" w:lineRule="auto"/>
        <w:rPr>
          <w:sz w:val="24"/>
          <w:highlight w:val="none"/>
        </w:rPr>
        <w:outlineLvl w:val="1"/>
      </w:pPr>
      <w:r>
        <w:rPr>
          <w:b/>
          <w:sz w:val="24"/>
          <w:highlight w:val="none"/>
        </w:rPr>
        <w:t xml:space="preserve">1、总体要求：</w:t>
      </w:r>
      <w:r>
        <w:rPr>
          <w:rFonts w:hint="eastAsia"/>
          <w:sz w:val="24"/>
          <w:highlight w:val="none"/>
        </w:rPr>
        <w:t xml:space="preserve">用于突发环境事件应急监测甲醛气体检测以及环境空气甲醛气体监测。</w:t>
      </w:r>
      <w:r>
        <w:rPr>
          <w:sz w:val="24"/>
          <w:highlight w:val="none"/>
        </w:rPr>
      </w:r>
      <w:r>
        <w:rPr>
          <w:highlight w:val="none"/>
        </w:rPr>
      </w:r>
    </w:p>
    <w:p>
      <w:pPr>
        <w:pStyle w:val="955"/>
        <w:spacing w:line="360" w:lineRule="auto"/>
        <w:rPr>
          <w:b/>
          <w:sz w:val="24"/>
          <w:highlight w:val="none"/>
        </w:rPr>
        <w:outlineLvl w:val="1"/>
      </w:pPr>
      <w:r>
        <w:rPr>
          <w:b/>
          <w:sz w:val="24"/>
          <w:highlight w:val="none"/>
        </w:rPr>
        <w:t xml:space="preserve">2、配置要求：</w:t>
      </w:r>
      <w:r>
        <w:rPr>
          <w:b/>
          <w:sz w:val="24"/>
          <w:highlight w:val="none"/>
        </w:rPr>
      </w:r>
      <w:r>
        <w:rPr>
          <w:highlight w:val="none"/>
        </w:rPr>
      </w:r>
    </w:p>
    <w:p>
      <w:pPr>
        <w:pStyle w:val="955"/>
        <w:spacing w:line="360" w:lineRule="auto"/>
        <w:rPr>
          <w:sz w:val="24"/>
          <w:highlight w:val="none"/>
        </w:rPr>
      </w:pPr>
      <w:r>
        <w:rPr>
          <w:rFonts w:hint="eastAsia"/>
          <w:sz w:val="24"/>
          <w:highlight w:val="none"/>
        </w:rPr>
        <w:t xml:space="preserve">1. 便携式甲醛气体测试仪1台及配套；</w:t>
      </w:r>
      <w:r>
        <w:rPr>
          <w:sz w:val="24"/>
          <w:highlight w:val="none"/>
        </w:rPr>
      </w:r>
      <w:r>
        <w:rPr>
          <w:highlight w:val="none"/>
        </w:rPr>
      </w:r>
    </w:p>
    <w:p>
      <w:pPr>
        <w:pStyle w:val="955"/>
        <w:rPr>
          <w:sz w:val="24"/>
          <w:highlight w:val="none"/>
        </w:rPr>
      </w:pPr>
      <w:r>
        <w:rPr>
          <w:rFonts w:hint="eastAsia"/>
          <w:sz w:val="24"/>
          <w:highlight w:val="none"/>
        </w:rPr>
        <w:t xml:space="preserve">2. 甲醛校验管1支，酚过滤管10支；</w:t>
      </w:r>
      <w:r>
        <w:rPr>
          <w:sz w:val="24"/>
          <w:highlight w:val="none"/>
        </w:rPr>
      </w:r>
      <w:r>
        <w:rPr>
          <w:highlight w:val="none"/>
        </w:rPr>
      </w:r>
    </w:p>
    <w:p>
      <w:pPr>
        <w:pStyle w:val="955"/>
        <w:rPr>
          <w:rFonts w:hint="eastAsia"/>
          <w:highlight w:val="none"/>
        </w:rPr>
      </w:pPr>
      <w:r>
        <w:rPr>
          <w:rFonts w:hint="eastAsia"/>
          <w:sz w:val="24"/>
          <w:highlight w:val="none"/>
        </w:rPr>
        <w:t xml:space="preserve">3. 质保期不低于1年，质保期后提供不少于1年免费维修服务。</w:t>
      </w:r>
      <w:r>
        <w:rPr>
          <w:rFonts w:hint="eastAsia"/>
          <w:highlight w:val="none"/>
        </w:rPr>
      </w:r>
      <w:r>
        <w:rPr>
          <w:highlight w:val="none"/>
        </w:rPr>
      </w:r>
    </w:p>
    <w:p>
      <w:pPr>
        <w:pStyle w:val="955"/>
        <w:spacing w:line="360" w:lineRule="auto"/>
        <w:rPr>
          <w:b/>
          <w:sz w:val="24"/>
          <w:highlight w:val="none"/>
        </w:rPr>
        <w:outlineLvl w:val="1"/>
      </w:pPr>
      <w:r>
        <w:rPr>
          <w:b/>
          <w:sz w:val="24"/>
          <w:highlight w:val="none"/>
        </w:rPr>
        <w:t xml:space="preserve">3、技术要求：</w:t>
      </w:r>
      <w:r>
        <w:rPr>
          <w:b/>
          <w:sz w:val="24"/>
          <w:highlight w:val="none"/>
        </w:rPr>
      </w:r>
      <w:r>
        <w:rPr>
          <w:highlight w:val="none"/>
        </w:rPr>
      </w:r>
    </w:p>
    <w:p>
      <w:pPr>
        <w:pStyle w:val="955"/>
        <w:spacing w:line="360" w:lineRule="auto"/>
        <w:rPr>
          <w:sz w:val="24"/>
          <w:highlight w:val="none"/>
        </w:rPr>
      </w:pPr>
      <w:r>
        <w:rPr>
          <w:sz w:val="24"/>
          <w:highlight w:val="none"/>
        </w:rPr>
        <w:t xml:space="preserve">1. 采用手持式操作，</w:t>
      </w:r>
      <w:r>
        <w:rPr>
          <w:rFonts w:hint="eastAsia"/>
          <w:sz w:val="24"/>
          <w:highlight w:val="none"/>
        </w:rPr>
        <w:t xml:space="preserve">LED显示，直流电池供</w:t>
      </w:r>
      <w:r>
        <w:rPr>
          <w:sz w:val="24"/>
          <w:highlight w:val="none"/>
        </w:rPr>
        <w:t xml:space="preserve">供电，适合现场使用，主机尺寸</w:t>
      </w:r>
      <w:r>
        <w:rPr>
          <w:rFonts w:hint="eastAsia"/>
          <w:sz w:val="24"/>
          <w:highlight w:val="none"/>
        </w:rPr>
        <w:t xml:space="preserve">≤</w:t>
      </w:r>
      <w:r>
        <w:rPr>
          <w:sz w:val="24"/>
          <w:highlight w:val="none"/>
        </w:rPr>
        <w:t xml:space="preserve">1</w:t>
      </w:r>
      <w:r>
        <w:rPr>
          <w:rFonts w:hint="eastAsia"/>
          <w:sz w:val="24"/>
          <w:highlight w:val="none"/>
        </w:rPr>
        <w:t xml:space="preserve">50 </w:t>
      </w:r>
      <w:r>
        <w:rPr>
          <w:sz w:val="24"/>
          <w:highlight w:val="none"/>
        </w:rPr>
        <w:t xml:space="preserve">mm×</w:t>
      </w:r>
      <w:r>
        <w:rPr>
          <w:rFonts w:hint="eastAsia"/>
          <w:sz w:val="24"/>
          <w:highlight w:val="none"/>
        </w:rPr>
        <w:t xml:space="preserve">40 </w:t>
      </w:r>
      <w:r>
        <w:rPr>
          <w:sz w:val="24"/>
          <w:highlight w:val="none"/>
        </w:rPr>
        <w:t xml:space="preserve">mm×</w:t>
      </w:r>
      <w:r>
        <w:rPr>
          <w:rFonts w:hint="eastAsia"/>
          <w:sz w:val="24"/>
          <w:highlight w:val="none"/>
        </w:rPr>
        <w:t xml:space="preserve">1</w:t>
      </w:r>
      <w:r>
        <w:rPr>
          <w:sz w:val="24"/>
          <w:highlight w:val="none"/>
        </w:rPr>
        <w:t xml:space="preserve">00</w:t>
      </w:r>
      <w:r>
        <w:rPr>
          <w:rFonts w:hint="eastAsia"/>
          <w:sz w:val="24"/>
          <w:highlight w:val="none"/>
        </w:rPr>
        <w:t xml:space="preserve"> </w:t>
      </w:r>
      <w:r>
        <w:rPr>
          <w:sz w:val="24"/>
          <w:highlight w:val="none"/>
        </w:rPr>
        <w:t xml:space="preserve">mm，仪器重量</w:t>
      </w:r>
      <w:r>
        <w:rPr>
          <w:rFonts w:hint="eastAsia"/>
          <w:sz w:val="24"/>
          <w:highlight w:val="none"/>
        </w:rPr>
        <w:t xml:space="preserve">≤300 </w:t>
      </w:r>
      <w:r>
        <w:rPr>
          <w:sz w:val="24"/>
          <w:highlight w:val="none"/>
        </w:rPr>
        <w:t xml:space="preserve">g。</w:t>
      </w:r>
      <w:r>
        <w:rPr>
          <w:sz w:val="24"/>
          <w:highlight w:val="none"/>
        </w:rPr>
      </w:r>
      <w:r>
        <w:rPr>
          <w:highlight w:val="none"/>
        </w:rPr>
      </w:r>
    </w:p>
    <w:p>
      <w:pPr>
        <w:pStyle w:val="955"/>
        <w:spacing w:line="360" w:lineRule="auto"/>
        <w:rPr>
          <w:sz w:val="24"/>
          <w:highlight w:val="none"/>
        </w:rPr>
      </w:pPr>
      <w:r>
        <w:rPr>
          <w:rFonts w:hint="eastAsia"/>
          <w:sz w:val="24"/>
          <w:highlight w:val="none"/>
        </w:rPr>
        <w:t xml:space="preserve">2. 采用电化学传感器法，泵吸式采样，具有湿度实时补偿功能，实时测量和显示功能，支持ppm和mg/m</w:t>
      </w:r>
      <w:r>
        <w:rPr>
          <w:rFonts w:hint="eastAsia"/>
          <w:sz w:val="24"/>
          <w:highlight w:val="none"/>
          <w:vertAlign w:val="superscript"/>
        </w:rPr>
        <w:t xml:space="preserve">3</w:t>
      </w:r>
      <w:r>
        <w:rPr>
          <w:rFonts w:hint="eastAsia"/>
          <w:sz w:val="24"/>
          <w:highlight w:val="none"/>
        </w:rPr>
        <w:t xml:space="preserve">双单位显示。</w:t>
      </w:r>
      <w:r>
        <w:rPr>
          <w:sz w:val="24"/>
          <w:highlight w:val="none"/>
        </w:rPr>
      </w:r>
      <w:r>
        <w:rPr>
          <w:highlight w:val="none"/>
        </w:rPr>
      </w:r>
    </w:p>
    <w:p>
      <w:pPr>
        <w:pStyle w:val="955"/>
        <w:spacing w:line="360" w:lineRule="auto"/>
        <w:rPr>
          <w:rFonts w:hint="eastAsia" w:ascii="宋体" w:hAnsi="宋体" w:cs="宋体"/>
          <w:b/>
          <w:sz w:val="24"/>
          <w:szCs w:val="24"/>
          <w:highlight w:val="none"/>
        </w:rPr>
      </w:pPr>
      <w:r>
        <w:rPr>
          <w:rFonts w:hint="eastAsia"/>
          <w:sz w:val="24"/>
          <w:highlight w:val="none"/>
        </w:rPr>
        <w:t xml:space="preserve">3. 测量范围≥0</w:t>
      </w:r>
      <w:r>
        <w:rPr>
          <w:sz w:val="24"/>
          <w:highlight w:val="none"/>
        </w:rPr>
        <w:t xml:space="preserve">～</w:t>
      </w:r>
      <w:r>
        <w:rPr>
          <w:rFonts w:hint="eastAsia"/>
          <w:sz w:val="24"/>
          <w:highlight w:val="none"/>
        </w:rPr>
        <w:t xml:space="preserve">24.56mg/L，分辨率≤0.001 mg/L，测量重复性≤±0.5 ％FS，线性误差≤±1.0 %，响应时间≤60 s。</w:t>
      </w:r>
      <w:r>
        <w:rPr>
          <w:rFonts w:hint="eastAsia" w:ascii="宋体" w:hAnsi="宋体" w:cs="宋体"/>
          <w:b/>
          <w:sz w:val="24"/>
          <w:szCs w:val="24"/>
          <w:highlight w:val="none"/>
        </w:rPr>
      </w:r>
      <w:r>
        <w:rPr>
          <w:highlight w:val="none"/>
        </w:rPr>
      </w:r>
    </w:p>
    <w:p>
      <w:pPr>
        <w:pStyle w:val="955"/>
        <w:spacing w:line="4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四、商务要求</w:t>
      </w:r>
      <w:r>
        <w:rPr>
          <w:rFonts w:hint="eastAsia" w:ascii="宋体" w:hAnsi="宋体" w:cs="宋体"/>
          <w:b/>
          <w:color w:val="000000"/>
          <w:sz w:val="24"/>
          <w:szCs w:val="24"/>
          <w:highlight w:val="none"/>
        </w:rPr>
      </w:r>
      <w:r>
        <w:rPr>
          <w:highlight w:val="none"/>
        </w:rPr>
      </w:r>
    </w:p>
    <w:p>
      <w:pPr>
        <w:pStyle w:val="955"/>
        <w:contextualSpacing/>
        <w:ind w:firstLine="482"/>
        <w:spacing w:line="360" w:lineRule="auto"/>
        <w:rPr>
          <w:rFonts w:cs="宋体"/>
          <w:bCs/>
          <w:sz w:val="24"/>
          <w:szCs w:val="24"/>
          <w:highlight w:val="none"/>
        </w:rPr>
      </w:pPr>
      <w:r>
        <w:rPr>
          <w:rFonts w:hint="eastAsia" w:cs="宋体"/>
          <w:b/>
          <w:bCs/>
          <w:sz w:val="24"/>
          <w:szCs w:val="24"/>
          <w:highlight w:val="none"/>
        </w:rPr>
        <w:t xml:space="preserve">1.项目履约期限</w:t>
      </w:r>
      <w:r>
        <w:rPr>
          <w:rFonts w:hint="eastAsia" w:cs="宋体"/>
          <w:bCs/>
          <w:sz w:val="24"/>
          <w:szCs w:val="24"/>
          <w:highlight w:val="none"/>
        </w:rPr>
        <w:t xml:space="preserve">：</w:t>
      </w:r>
      <w:r>
        <w:rPr>
          <w:rFonts w:hint="eastAsia" w:cs="宋体"/>
          <w:bCs/>
          <w:sz w:val="24"/>
          <w:szCs w:val="24"/>
          <w:highlight w:val="none"/>
        </w:rPr>
        <w:t xml:space="preserve">供货时间详见项目清单表。</w:t>
      </w:r>
      <w:r>
        <w:rPr>
          <w:rFonts w:cs="宋体"/>
          <w:bCs/>
          <w:sz w:val="24"/>
          <w:szCs w:val="24"/>
          <w:highlight w:val="none"/>
        </w:rPr>
      </w:r>
      <w:r>
        <w:rPr>
          <w:highlight w:val="none"/>
        </w:rPr>
      </w:r>
    </w:p>
    <w:p>
      <w:pPr>
        <w:pStyle w:val="955"/>
        <w:ind w:firstLine="482"/>
        <w:spacing w:line="360" w:lineRule="auto"/>
        <w:rPr>
          <w:rFonts w:cs="宋体"/>
          <w:b/>
          <w:bCs/>
          <w:sz w:val="24"/>
          <w:szCs w:val="24"/>
          <w:highlight w:val="none"/>
        </w:rPr>
      </w:pPr>
      <w:r>
        <w:rPr>
          <w:rFonts w:hint="eastAsia" w:cs="宋体"/>
          <w:b/>
          <w:bCs/>
          <w:sz w:val="24"/>
          <w:szCs w:val="24"/>
          <w:highlight w:val="none"/>
        </w:rPr>
        <w:t xml:space="preserve">2.产品设备交付</w:t>
      </w:r>
      <w:r>
        <w:rPr>
          <w:rFonts w:cs="宋体"/>
          <w:b/>
          <w:bCs/>
          <w:sz w:val="24"/>
          <w:szCs w:val="24"/>
          <w:highlight w:val="none"/>
        </w:rPr>
      </w:r>
      <w:r>
        <w:rPr>
          <w:highlight w:val="none"/>
        </w:rPr>
      </w:r>
    </w:p>
    <w:p>
      <w:pPr>
        <w:pStyle w:val="955"/>
        <w:contextualSpacing/>
        <w:ind w:firstLine="480"/>
        <w:spacing w:line="360" w:lineRule="auto"/>
        <w:rPr>
          <w:rFonts w:cs="宋体"/>
          <w:bCs/>
          <w:sz w:val="24"/>
          <w:szCs w:val="24"/>
          <w:highlight w:val="none"/>
        </w:rPr>
      </w:pPr>
      <w:r>
        <w:rPr>
          <w:rFonts w:hint="eastAsia" w:cs="宋体"/>
          <w:bCs/>
          <w:sz w:val="24"/>
          <w:szCs w:val="24"/>
          <w:highlight w:val="none"/>
        </w:rPr>
        <w:t xml:space="preserve">（1）交货地点：</w:t>
      </w:r>
      <w:r>
        <w:rPr>
          <w:rFonts w:hint="eastAsia" w:cs="宋体"/>
          <w:b/>
          <w:bCs/>
          <w:sz w:val="24"/>
          <w:szCs w:val="24"/>
          <w:highlight w:val="none"/>
          <w:u w:val="single"/>
        </w:rPr>
        <w:t xml:space="preserve">采购人指定地点</w:t>
      </w:r>
      <w:r>
        <w:rPr>
          <w:rFonts w:hint="eastAsia" w:cs="宋体"/>
          <w:bCs/>
          <w:sz w:val="24"/>
          <w:szCs w:val="24"/>
          <w:highlight w:val="none"/>
        </w:rPr>
        <w:t xml:space="preserve">，并负责安装、调试。</w:t>
      </w:r>
      <w:r>
        <w:rPr>
          <w:rFonts w:cs="宋体"/>
          <w:bCs/>
          <w:sz w:val="24"/>
          <w:szCs w:val="24"/>
          <w:highlight w:val="none"/>
        </w:rPr>
      </w:r>
      <w:r>
        <w:rPr>
          <w:highlight w:val="none"/>
        </w:rPr>
      </w:r>
    </w:p>
    <w:p>
      <w:pPr>
        <w:pStyle w:val="955"/>
        <w:contextualSpacing/>
        <w:ind w:firstLine="480"/>
        <w:spacing w:line="360" w:lineRule="auto"/>
        <w:rPr>
          <w:rFonts w:cs="宋体"/>
          <w:bCs/>
          <w:sz w:val="24"/>
          <w:szCs w:val="24"/>
          <w:highlight w:val="none"/>
        </w:rPr>
      </w:pPr>
      <w:r>
        <w:rPr>
          <w:rFonts w:hint="eastAsia" w:cs="宋体"/>
          <w:bCs/>
          <w:sz w:val="24"/>
          <w:szCs w:val="24"/>
          <w:highlight w:val="none"/>
        </w:rPr>
        <w:t xml:space="preserve">（2）货物装卸、运输涉及到的保险，其费用包含在合同总价中。</w:t>
      </w:r>
      <w:r>
        <w:rPr>
          <w:rFonts w:cs="宋体"/>
          <w:bCs/>
          <w:sz w:val="24"/>
          <w:szCs w:val="24"/>
          <w:highlight w:val="none"/>
        </w:rPr>
      </w:r>
      <w:r>
        <w:rPr>
          <w:highlight w:val="none"/>
        </w:rPr>
      </w:r>
    </w:p>
    <w:p>
      <w:pPr>
        <w:pStyle w:val="955"/>
        <w:contextualSpacing/>
        <w:ind w:firstLine="480"/>
        <w:spacing w:line="360" w:lineRule="auto"/>
        <w:rPr>
          <w:rFonts w:cs="宋体"/>
          <w:bCs/>
          <w:sz w:val="24"/>
          <w:szCs w:val="24"/>
          <w:highlight w:val="none"/>
        </w:rPr>
      </w:pPr>
      <w:r>
        <w:rPr>
          <w:rFonts w:hint="eastAsia" w:cs="宋体"/>
          <w:bCs/>
          <w:sz w:val="24"/>
          <w:szCs w:val="24"/>
          <w:highlight w:val="none"/>
        </w:rPr>
        <w:t xml:space="preserve">（3）合同项目涉及到的需求产品交货时，外包装应完整无破损。</w:t>
      </w:r>
      <w:r>
        <w:rPr>
          <w:rFonts w:cs="宋体"/>
          <w:bCs/>
          <w:sz w:val="24"/>
          <w:szCs w:val="24"/>
          <w:highlight w:val="none"/>
        </w:rPr>
      </w:r>
      <w:r>
        <w:rPr>
          <w:highlight w:val="none"/>
        </w:rPr>
      </w:r>
    </w:p>
    <w:p>
      <w:pPr>
        <w:pStyle w:val="955"/>
        <w:ind w:firstLine="480"/>
        <w:spacing w:line="360" w:lineRule="auto"/>
        <w:rPr>
          <w:rFonts w:cs="宋体"/>
          <w:b/>
          <w:sz w:val="24"/>
          <w:szCs w:val="24"/>
          <w:highlight w:val="none"/>
        </w:rPr>
      </w:pPr>
      <w:r>
        <w:rPr>
          <w:highlight w:val="none"/>
        </w:rPr>
      </w:r>
      <w:bookmarkStart w:id="201" w:name="_Hlk74904365"/>
      <w:r>
        <w:rPr>
          <w:rFonts w:hint="eastAsia" w:cs="宋体"/>
          <w:b/>
          <w:bCs/>
          <w:sz w:val="24"/>
          <w:szCs w:val="24"/>
          <w:highlight w:val="none"/>
        </w:rPr>
        <w:t xml:space="preserve">3.</w:t>
      </w:r>
      <w:r>
        <w:rPr>
          <w:rFonts w:hint="eastAsia" w:cs="宋体"/>
          <w:b/>
          <w:sz w:val="24"/>
          <w:szCs w:val="24"/>
          <w:highlight w:val="none"/>
        </w:rPr>
        <w:t xml:space="preserve">验收</w:t>
      </w:r>
      <w:r>
        <w:rPr>
          <w:rFonts w:cs="宋体"/>
          <w:b/>
          <w:sz w:val="24"/>
          <w:szCs w:val="24"/>
          <w:highlight w:val="none"/>
        </w:rPr>
      </w:r>
      <w:r>
        <w:rPr>
          <w:highlight w:val="none"/>
        </w:rPr>
      </w:r>
    </w:p>
    <w:p>
      <w:pPr>
        <w:pStyle w:val="955"/>
        <w:ind w:firstLine="540"/>
        <w:spacing w:line="400" w:lineRule="exact"/>
        <w:rPr>
          <w:rFonts w:ascii="宋体" w:hAnsi="宋体" w:cs="宋体"/>
          <w:sz w:val="24"/>
          <w:szCs w:val="24"/>
          <w:highlight w:val="none"/>
        </w:rPr>
      </w:pPr>
      <w:r>
        <w:rPr>
          <w:rFonts w:hint="eastAsia" w:ascii="宋体" w:hAnsi="宋体" w:cs="宋体"/>
          <w:sz w:val="24"/>
          <w:szCs w:val="24"/>
          <w:highlight w:val="none"/>
        </w:rPr>
        <w:t xml:space="preserve">（1）货物到达安装现场后，中标人和采购人(或委托监理方)共同打开包装验收货物数量，中标人应提供详细装箱单据。如果货物质量或技术规格与合同不符，或货物有明显损坏，采购人有权提出索赔。只有经安装调试并且技术性能达到本招标文件所述技术要求后且产品能够正常运行使用，采购人才能接受全部货物。</w:t>
      </w:r>
      <w:r>
        <w:rPr>
          <w:rFonts w:ascii="宋体" w:hAnsi="宋体" w:cs="宋体"/>
          <w:sz w:val="24"/>
          <w:szCs w:val="24"/>
          <w:highlight w:val="none"/>
        </w:rPr>
      </w:r>
      <w:r>
        <w:rPr>
          <w:highlight w:val="none"/>
        </w:rPr>
      </w:r>
    </w:p>
    <w:p>
      <w:pPr>
        <w:pStyle w:val="955"/>
        <w:ind w:firstLine="540"/>
        <w:spacing w:line="400" w:lineRule="exact"/>
        <w:rPr>
          <w:rFonts w:ascii="宋体" w:hAnsi="宋体" w:cs="宋体"/>
          <w:sz w:val="24"/>
          <w:szCs w:val="24"/>
          <w:highlight w:val="none"/>
        </w:rPr>
      </w:pPr>
      <w:r>
        <w:rPr>
          <w:rFonts w:hint="eastAsia" w:ascii="宋体" w:hAnsi="宋体" w:cs="宋体"/>
          <w:sz w:val="24"/>
          <w:szCs w:val="24"/>
          <w:highlight w:val="none"/>
        </w:rPr>
        <w:t xml:space="preserve">（2）所有货物安装、调试、联网、试运行期满后，考察设备情况，进行相关指标的测试，由中标人提供验收报告，经采购人确认后，组织整体验收，相关费用由中标人承担。</w:t>
      </w:r>
      <w:r>
        <w:rPr>
          <w:rFonts w:ascii="宋体" w:hAnsi="宋体" w:cs="宋体"/>
          <w:sz w:val="24"/>
          <w:szCs w:val="24"/>
          <w:highlight w:val="none"/>
        </w:rPr>
      </w:r>
      <w:r>
        <w:rPr>
          <w:highlight w:val="none"/>
        </w:rPr>
      </w:r>
    </w:p>
    <w:p>
      <w:pPr>
        <w:pStyle w:val="955"/>
        <w:ind w:firstLine="540"/>
        <w:spacing w:line="400" w:lineRule="exact"/>
        <w:rPr>
          <w:rFonts w:ascii="宋体" w:hAnsi="宋体" w:cs="宋体"/>
          <w:sz w:val="24"/>
          <w:szCs w:val="24"/>
          <w:highlight w:val="none"/>
        </w:rPr>
      </w:pPr>
      <w:r>
        <w:rPr>
          <w:rFonts w:hint="eastAsia" w:ascii="宋体" w:hAnsi="宋体" w:cs="宋体"/>
          <w:sz w:val="24"/>
          <w:szCs w:val="24"/>
          <w:highlight w:val="none"/>
        </w:rPr>
        <w:t xml:space="preserve">（3）仪器设备不满足招标文件要求的，采购人拥有权解除合同并追究中标人法律责任。</w:t>
      </w:r>
      <w:r>
        <w:rPr>
          <w:rFonts w:ascii="宋体" w:hAnsi="宋体" w:cs="宋体"/>
          <w:sz w:val="24"/>
          <w:szCs w:val="24"/>
          <w:highlight w:val="none"/>
        </w:rPr>
      </w:r>
      <w:r>
        <w:rPr>
          <w:highlight w:val="none"/>
        </w:rPr>
      </w:r>
    </w:p>
    <w:p>
      <w:pPr>
        <w:pStyle w:val="955"/>
        <w:ind w:firstLine="482"/>
        <w:spacing w:line="360" w:lineRule="auto"/>
        <w:rPr>
          <w:rFonts w:hint="eastAsia" w:cs="宋体"/>
          <w:b/>
          <w:sz w:val="24"/>
          <w:szCs w:val="24"/>
          <w:highlight w:val="none"/>
        </w:rPr>
        <w:outlineLvl w:val="1"/>
      </w:pPr>
      <w:r>
        <w:rPr>
          <w:rFonts w:hint="eastAsia" w:cs="宋体"/>
          <w:b/>
          <w:sz w:val="24"/>
          <w:szCs w:val="24"/>
          <w:highlight w:val="none"/>
        </w:rPr>
        <w:t xml:space="preserve">4、</w:t>
      </w:r>
      <w:r>
        <w:rPr>
          <w:rFonts w:hint="eastAsia" w:cs="宋体"/>
          <w:b/>
          <w:bCs/>
          <w:sz w:val="24"/>
          <w:szCs w:val="24"/>
          <w:highlight w:val="none"/>
        </w:rPr>
        <w:t xml:space="preserve">质保期</w:t>
      </w:r>
      <w:r>
        <w:rPr>
          <w:rFonts w:hint="eastAsia" w:cs="宋体"/>
          <w:b/>
          <w:sz w:val="24"/>
          <w:szCs w:val="24"/>
          <w:highlight w:val="none"/>
        </w:rPr>
      </w:r>
      <w:r>
        <w:rPr>
          <w:highlight w:val="none"/>
        </w:rPr>
      </w:r>
    </w:p>
    <w:p>
      <w:pPr>
        <w:pStyle w:val="955"/>
        <w:contextualSpacing/>
        <w:ind w:firstLine="480"/>
        <w:spacing w:line="360" w:lineRule="auto"/>
        <w:rPr>
          <w:rFonts w:cs="宋体"/>
          <w:bCs/>
          <w:sz w:val="24"/>
          <w:szCs w:val="24"/>
          <w:highlight w:val="none"/>
        </w:rPr>
      </w:pPr>
      <w:r>
        <w:rPr>
          <w:rFonts w:hint="eastAsia" w:cs="宋体"/>
          <w:b/>
          <w:bCs/>
          <w:sz w:val="24"/>
          <w:szCs w:val="24"/>
          <w:highlight w:val="none"/>
        </w:rPr>
        <w:t xml:space="preserve">（1）质保期限：</w:t>
      </w:r>
      <w:r>
        <w:rPr>
          <w:rFonts w:hint="eastAsia" w:cs="宋体"/>
          <w:bCs/>
          <w:sz w:val="24"/>
          <w:szCs w:val="24"/>
          <w:highlight w:val="none"/>
        </w:rPr>
        <w:t xml:space="preserve">自项目验收合格日起计一年。</w:t>
      </w:r>
      <w:r>
        <w:rPr>
          <w:rFonts w:cs="宋体"/>
          <w:bCs/>
          <w:sz w:val="24"/>
          <w:szCs w:val="24"/>
          <w:highlight w:val="none"/>
        </w:rPr>
      </w:r>
      <w:r>
        <w:rPr>
          <w:highlight w:val="none"/>
        </w:rPr>
      </w:r>
    </w:p>
    <w:p>
      <w:pPr>
        <w:pStyle w:val="955"/>
        <w:ind w:firstLine="480"/>
        <w:spacing w:line="360" w:lineRule="auto"/>
        <w:rPr>
          <w:rFonts w:cs="宋体"/>
          <w:sz w:val="24"/>
          <w:szCs w:val="24"/>
          <w:highlight w:val="none"/>
        </w:rPr>
      </w:pPr>
      <w:r>
        <w:rPr>
          <w:rFonts w:hint="eastAsia" w:cs="宋体"/>
          <w:b/>
          <w:bCs/>
          <w:sz w:val="24"/>
          <w:szCs w:val="24"/>
          <w:highlight w:val="none"/>
        </w:rPr>
        <w:t xml:space="preserve">（2）</w:t>
      </w:r>
      <w:r>
        <w:rPr>
          <w:rFonts w:hint="eastAsia" w:cs="宋体"/>
          <w:sz w:val="24"/>
          <w:szCs w:val="24"/>
          <w:highlight w:val="none"/>
        </w:rPr>
        <w:t xml:space="preserve">质保期验收合格之日起开始计算，质保期内免费提供项目整体的维护和产品设备的维修，包括非人为因素发生的产品设备修理、更换的费用。</w:t>
      </w:r>
      <w:r>
        <w:rPr>
          <w:rFonts w:cs="宋体"/>
          <w:sz w:val="24"/>
          <w:szCs w:val="24"/>
          <w:highlight w:val="none"/>
        </w:rPr>
      </w:r>
      <w:r>
        <w:rPr>
          <w:highlight w:val="none"/>
        </w:rPr>
      </w:r>
    </w:p>
    <w:p>
      <w:pPr>
        <w:pStyle w:val="955"/>
        <w:ind w:firstLine="482"/>
        <w:spacing w:line="360" w:lineRule="auto"/>
        <w:rPr>
          <w:rFonts w:cs="宋体"/>
          <w:b/>
          <w:bCs/>
          <w:sz w:val="24"/>
          <w:szCs w:val="24"/>
          <w:highlight w:val="none"/>
        </w:rPr>
        <w:outlineLvl w:val="1"/>
      </w:pPr>
      <w:r>
        <w:rPr>
          <w:rFonts w:hint="eastAsia" w:cs="宋体"/>
          <w:b/>
          <w:sz w:val="24"/>
          <w:szCs w:val="24"/>
          <w:highlight w:val="none"/>
        </w:rPr>
        <w:t xml:space="preserve">5.</w:t>
      </w:r>
      <w:r>
        <w:rPr>
          <w:rFonts w:hint="eastAsia" w:cs="宋体"/>
          <w:b/>
          <w:bCs/>
          <w:sz w:val="24"/>
          <w:szCs w:val="24"/>
          <w:highlight w:val="none"/>
        </w:rPr>
        <w:t xml:space="preserve">付款方式</w:t>
      </w:r>
      <w:r>
        <w:rPr>
          <w:rFonts w:cs="宋体"/>
          <w:b/>
          <w:bCs/>
          <w:sz w:val="24"/>
          <w:szCs w:val="24"/>
          <w:highlight w:val="none"/>
        </w:rPr>
      </w:r>
      <w:r>
        <w:rPr>
          <w:highlight w:val="none"/>
        </w:rPr>
      </w:r>
    </w:p>
    <w:p>
      <w:pPr>
        <w:pStyle w:val="955"/>
        <w:ind w:firstLine="482"/>
        <w:spacing w:line="360" w:lineRule="auto"/>
        <w:rPr>
          <w:rFonts w:cs="宋体"/>
          <w:b/>
          <w:bCs/>
          <w:sz w:val="24"/>
          <w:szCs w:val="24"/>
          <w:highlight w:val="none"/>
        </w:rPr>
      </w:pPr>
      <w:r>
        <w:rPr>
          <w:highlight w:val="none"/>
        </w:rPr>
      </w:r>
      <w:bookmarkStart w:id="202" w:name="_Hlk74927746"/>
      <w:r>
        <w:rPr>
          <w:rFonts w:hint="eastAsia" w:cs="宋体"/>
          <w:b/>
          <w:bCs/>
          <w:sz w:val="24"/>
          <w:szCs w:val="24"/>
          <w:highlight w:val="none"/>
        </w:rPr>
        <w:t xml:space="preserve">注：付款方式不接受负偏离及任何意图改变付款方式的意图表达，否则作无效标处理。</w:t>
      </w:r>
      <w:r>
        <w:rPr>
          <w:rFonts w:cs="宋体"/>
          <w:b/>
          <w:bCs/>
          <w:sz w:val="24"/>
          <w:szCs w:val="24"/>
          <w:highlight w:val="none"/>
        </w:rPr>
      </w:r>
      <w:r>
        <w:rPr>
          <w:highlight w:val="none"/>
        </w:rPr>
      </w:r>
    </w:p>
    <w:p>
      <w:pPr>
        <w:pStyle w:val="967"/>
        <w:ind w:firstLine="480"/>
        <w:rPr>
          <w:rFonts w:ascii="Times New Roman" w:hAnsi="Times New Roman" w:cs="宋体"/>
          <w:highlight w:val="none"/>
        </w:rPr>
      </w:pPr>
      <w:r>
        <w:rPr>
          <w:highlight w:val="none"/>
        </w:rPr>
      </w:r>
      <w:bookmarkEnd w:id="202"/>
      <w:r>
        <w:rPr>
          <w:rFonts w:hint="eastAsia" w:ascii="Times New Roman" w:hAnsi="Times New Roman" w:cs="宋体"/>
          <w:highlight w:val="none"/>
        </w:rPr>
        <w:t xml:space="preserve">（1）合同签订后两周内，中标人向采购人提供发票后，采购人一次性支付合同额的50%作为项目首付款；</w:t>
      </w:r>
      <w:r>
        <w:rPr>
          <w:rFonts w:ascii="Times New Roman" w:hAnsi="Times New Roman" w:cs="宋体"/>
          <w:highlight w:val="none"/>
        </w:rPr>
      </w:r>
      <w:r>
        <w:rPr>
          <w:highlight w:val="none"/>
        </w:rPr>
      </w:r>
    </w:p>
    <w:p>
      <w:pPr>
        <w:pStyle w:val="967"/>
        <w:ind w:firstLine="480"/>
        <w:rPr>
          <w:rFonts w:hint="eastAsia" w:ascii="Times New Roman" w:hAnsi="Times New Roman" w:cs="宋体"/>
          <w:highlight w:val="none"/>
        </w:rPr>
      </w:pPr>
      <w:r>
        <w:rPr>
          <w:rFonts w:hint="eastAsia" w:ascii="Times New Roman" w:hAnsi="Times New Roman" w:cs="宋体"/>
          <w:highlight w:val="none"/>
        </w:rPr>
        <w:t xml:space="preserve">（2）除</w:t>
      </w:r>
      <w:r>
        <w:rPr>
          <w:rFonts w:ascii="Times New Roman" w:hAnsi="Times New Roman" w:cs="宋体"/>
          <w:highlight w:val="none"/>
        </w:rPr>
        <w:t xml:space="preserve">X射线荧光光谱仪（及其附属设备）</w:t>
      </w:r>
      <w:r>
        <w:rPr>
          <w:rFonts w:hint="eastAsia" w:ascii="Times New Roman" w:hAnsi="Times New Roman" w:cs="宋体"/>
          <w:highlight w:val="none"/>
        </w:rPr>
        <w:t xml:space="preserve">外，其他设备完成安装调试并通过验收，采购人向中标人支付至合同额的80%；</w:t>
      </w:r>
      <w:r>
        <w:rPr>
          <w:rFonts w:hint="eastAsia" w:ascii="Times New Roman" w:hAnsi="Times New Roman" w:cs="宋体"/>
          <w:highlight w:val="none"/>
        </w:rPr>
      </w:r>
      <w:r>
        <w:rPr>
          <w:highlight w:val="none"/>
        </w:rPr>
      </w:r>
    </w:p>
    <w:p>
      <w:pPr>
        <w:pStyle w:val="955"/>
        <w:ind w:firstLine="480"/>
        <w:rPr>
          <w:rFonts w:hint="eastAsia" w:cs="宋体"/>
          <w:sz w:val="24"/>
          <w:szCs w:val="24"/>
          <w:highlight w:val="none"/>
        </w:rPr>
      </w:pPr>
      <w:r>
        <w:rPr>
          <w:rFonts w:hint="eastAsia" w:cs="宋体"/>
          <w:sz w:val="24"/>
          <w:szCs w:val="24"/>
          <w:highlight w:val="none"/>
        </w:rPr>
        <w:t xml:space="preserve">（3）完成项目整体验收后，中标人以保函形式向采购人提供项目</w:t>
      </w:r>
      <w:r>
        <w:rPr>
          <w:rFonts w:cs="宋体"/>
          <w:sz w:val="24"/>
          <w:szCs w:val="24"/>
          <w:highlight w:val="none"/>
        </w:rPr>
        <w:t xml:space="preserve">10%</w:t>
      </w:r>
      <w:r>
        <w:rPr>
          <w:rFonts w:hint="eastAsia" w:cs="宋体"/>
          <w:sz w:val="24"/>
          <w:szCs w:val="24"/>
          <w:highlight w:val="none"/>
        </w:rPr>
        <w:t xml:space="preserve">的质保金后，采购人付至合同价的1</w:t>
      </w:r>
      <w:r>
        <w:rPr>
          <w:rFonts w:cs="宋体"/>
          <w:sz w:val="24"/>
          <w:szCs w:val="24"/>
          <w:highlight w:val="none"/>
        </w:rPr>
        <w:t xml:space="preserve">00%</w:t>
      </w:r>
      <w:r>
        <w:rPr>
          <w:rFonts w:hint="eastAsia" w:cs="宋体"/>
          <w:sz w:val="24"/>
          <w:szCs w:val="24"/>
          <w:highlight w:val="none"/>
        </w:rPr>
        <w:t xml:space="preserve">。保函待质保到期且无质量等问题的，无息退还。</w:t>
      </w:r>
      <w:r>
        <w:rPr>
          <w:rFonts w:hint="eastAsia" w:cs="宋体"/>
          <w:sz w:val="24"/>
          <w:szCs w:val="24"/>
          <w:highlight w:val="none"/>
        </w:rPr>
      </w:r>
      <w:r>
        <w:rPr>
          <w:highlight w:val="none"/>
        </w:rPr>
      </w:r>
    </w:p>
    <w:p>
      <w:pPr>
        <w:pStyle w:val="955"/>
        <w:ind w:firstLine="482"/>
        <w:spacing w:line="360" w:lineRule="auto"/>
        <w:rPr>
          <w:rFonts w:cs="宋体"/>
          <w:sz w:val="24"/>
          <w:szCs w:val="24"/>
          <w:highlight w:val="none"/>
        </w:rPr>
      </w:pPr>
      <w:r>
        <w:rPr>
          <w:rFonts w:hint="eastAsia" w:cs="宋体"/>
          <w:b/>
          <w:sz w:val="24"/>
          <w:szCs w:val="24"/>
          <w:highlight w:val="none"/>
        </w:rPr>
        <w:t xml:space="preserve">6.售后服务要求</w:t>
      </w:r>
      <w:bookmarkEnd w:id="201"/>
      <w:r>
        <w:rPr>
          <w:rFonts w:cs="宋体"/>
          <w:sz w:val="24"/>
          <w:szCs w:val="24"/>
          <w:highlight w:val="none"/>
        </w:rPr>
      </w:r>
      <w:r>
        <w:rPr>
          <w:highlight w:val="none"/>
        </w:rPr>
      </w:r>
    </w:p>
    <w:p>
      <w:pPr>
        <w:pStyle w:val="955"/>
        <w:ind w:firstLine="482"/>
        <w:spacing w:line="360" w:lineRule="auto"/>
        <w:rPr>
          <w:rFonts w:cs="宋体"/>
          <w:b/>
          <w:bCs/>
          <w:sz w:val="24"/>
          <w:szCs w:val="24"/>
          <w:highlight w:val="none"/>
        </w:rPr>
        <w:outlineLvl w:val="1"/>
      </w:pPr>
      <w:r>
        <w:rPr>
          <w:rFonts w:hint="eastAsia" w:cs="宋体"/>
          <w:b/>
          <w:bCs/>
          <w:sz w:val="24"/>
          <w:szCs w:val="24"/>
          <w:highlight w:val="none"/>
        </w:rPr>
        <w:t xml:space="preserve">注：投标供应商应就本项目提供详细的售后服务方案。</w:t>
      </w:r>
      <w:r>
        <w:rPr>
          <w:rFonts w:cs="宋体"/>
          <w:b/>
          <w:bCs/>
          <w:sz w:val="24"/>
          <w:szCs w:val="24"/>
          <w:highlight w:val="none"/>
        </w:rPr>
      </w:r>
      <w:r>
        <w:rPr>
          <w:highlight w:val="none"/>
        </w:rPr>
      </w:r>
    </w:p>
    <w:p>
      <w:pPr>
        <w:pStyle w:val="955"/>
        <w:ind w:firstLine="480"/>
        <w:spacing w:line="360" w:lineRule="auto"/>
        <w:rPr>
          <w:rFonts w:cs="宋体"/>
          <w:bCs/>
          <w:sz w:val="24"/>
          <w:szCs w:val="24"/>
          <w:highlight w:val="none"/>
        </w:rPr>
        <w:outlineLvl w:val="1"/>
      </w:pPr>
      <w:r>
        <w:rPr>
          <w:rFonts w:hint="eastAsia" w:cs="宋体"/>
          <w:bCs/>
          <w:sz w:val="24"/>
          <w:szCs w:val="24"/>
          <w:highlight w:val="none"/>
        </w:rPr>
        <w:t xml:space="preserve">6.1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的人员进行相应的技术培训，培训地点主要在货物安装现场或由采购人安排。</w:t>
      </w:r>
      <w:r>
        <w:rPr>
          <w:rFonts w:cs="宋体"/>
          <w:bCs/>
          <w:sz w:val="24"/>
          <w:szCs w:val="24"/>
          <w:highlight w:val="none"/>
        </w:rPr>
      </w:r>
      <w:r>
        <w:rPr>
          <w:highlight w:val="none"/>
        </w:rPr>
      </w:r>
    </w:p>
    <w:p>
      <w:pPr>
        <w:pStyle w:val="955"/>
        <w:ind w:firstLine="480"/>
        <w:spacing w:line="360" w:lineRule="auto"/>
        <w:rPr>
          <w:rFonts w:cs="宋体"/>
          <w:bCs/>
          <w:sz w:val="24"/>
          <w:szCs w:val="24"/>
          <w:highlight w:val="none"/>
        </w:rPr>
        <w:outlineLvl w:val="1"/>
      </w:pPr>
      <w:r>
        <w:rPr>
          <w:rFonts w:hint="eastAsia" w:cs="宋体"/>
          <w:bCs/>
          <w:sz w:val="24"/>
          <w:szCs w:val="24"/>
          <w:highlight w:val="none"/>
        </w:rPr>
        <w:t xml:space="preserve">6.2保修期内，中标人负责对其提供的货物整机进行维修和维护，不再收取任何费用，但不可抗力（如火灾等）造成的故障除外。</w:t>
      </w:r>
      <w:r>
        <w:rPr>
          <w:rFonts w:cs="宋体"/>
          <w:bCs/>
          <w:sz w:val="24"/>
          <w:szCs w:val="24"/>
          <w:highlight w:val="none"/>
        </w:rPr>
      </w:r>
      <w:r>
        <w:rPr>
          <w:highlight w:val="none"/>
        </w:rPr>
      </w:r>
    </w:p>
    <w:p>
      <w:pPr>
        <w:pStyle w:val="955"/>
        <w:ind w:firstLine="480"/>
        <w:spacing w:line="360" w:lineRule="auto"/>
        <w:rPr>
          <w:rFonts w:cs="宋体"/>
          <w:bCs/>
          <w:sz w:val="24"/>
          <w:szCs w:val="24"/>
          <w:highlight w:val="none"/>
        </w:rPr>
        <w:outlineLvl w:val="1"/>
      </w:pPr>
      <w:r>
        <w:rPr>
          <w:rFonts w:hint="eastAsia" w:cs="宋体"/>
          <w:bCs/>
          <w:sz w:val="24"/>
          <w:szCs w:val="24"/>
          <w:highlight w:val="none"/>
        </w:rPr>
        <w:t xml:space="preserve">6.3若货物故障在检修24工作小时后仍无法排除，中标人应免费提供不低于故障货物规格型号档次的备用货物供采购人使用，直至故障货物修复，如因此给采购人造成损失，中标人应负责赔偿。</w:t>
      </w:r>
      <w:r>
        <w:rPr>
          <w:rFonts w:cs="宋体"/>
          <w:bCs/>
          <w:sz w:val="24"/>
          <w:szCs w:val="24"/>
          <w:highlight w:val="none"/>
        </w:rPr>
      </w:r>
      <w:r>
        <w:rPr>
          <w:highlight w:val="none"/>
        </w:rPr>
      </w:r>
    </w:p>
    <w:p>
      <w:pPr>
        <w:pStyle w:val="955"/>
        <w:ind w:firstLine="480"/>
        <w:spacing w:line="360" w:lineRule="auto"/>
        <w:rPr>
          <w:rFonts w:cs="宋体"/>
          <w:bCs/>
          <w:sz w:val="24"/>
          <w:szCs w:val="24"/>
          <w:highlight w:val="none"/>
        </w:rPr>
        <w:outlineLvl w:val="1"/>
      </w:pPr>
      <w:r>
        <w:rPr>
          <w:rFonts w:hint="eastAsia" w:cs="宋体"/>
          <w:bCs/>
          <w:sz w:val="24"/>
          <w:szCs w:val="24"/>
          <w:highlight w:val="none"/>
        </w:rPr>
        <w:t xml:space="preserve">如中标人在接到采购人提出的技术服务要求或维修通知后 4 小时内没有响应、拒绝或 24 小时没有派员到达现场提供技术服务、修理或退换货物，采购人有权委托第三人对合同货物进行维修或提供技术服务，由此产生的一切费用由中标人承担。</w:t>
      </w:r>
      <w:r>
        <w:rPr>
          <w:rFonts w:cs="宋体"/>
          <w:bCs/>
          <w:sz w:val="24"/>
          <w:szCs w:val="24"/>
          <w:highlight w:val="none"/>
        </w:rPr>
      </w:r>
      <w:r>
        <w:rPr>
          <w:highlight w:val="none"/>
        </w:rPr>
      </w:r>
    </w:p>
    <w:p>
      <w:pPr>
        <w:pStyle w:val="955"/>
        <w:ind w:firstLine="480"/>
        <w:spacing w:line="360" w:lineRule="auto"/>
        <w:rPr>
          <w:rFonts w:cs="宋体"/>
          <w:bCs/>
          <w:sz w:val="24"/>
          <w:szCs w:val="24"/>
          <w:highlight w:val="none"/>
        </w:rPr>
        <w:outlineLvl w:val="1"/>
      </w:pPr>
      <w:r>
        <w:rPr>
          <w:rFonts w:hint="eastAsia" w:cs="宋体"/>
          <w:bCs/>
          <w:sz w:val="24"/>
          <w:szCs w:val="24"/>
          <w:highlight w:val="none"/>
        </w:rPr>
        <w:t xml:space="preserve">如因中标人提供的货物硬件或软件有缺陷，或中标人提供的技术资料有错误，或中标人在现场的技术人员指导有错误而使合同货物不能达到合同规定的指标和技术性能，中标人应负责修理或更换有缺陷和损坏的货物硬件或软件，使合同货物运行指标和技术性能达到合同规定，由此引起的全部费用由中标人承担。</w:t>
      </w:r>
      <w:r>
        <w:rPr>
          <w:rFonts w:cs="宋体"/>
          <w:bCs/>
          <w:sz w:val="24"/>
          <w:szCs w:val="24"/>
          <w:highlight w:val="none"/>
        </w:rPr>
      </w:r>
      <w:r>
        <w:rPr>
          <w:highlight w:val="none"/>
        </w:rPr>
      </w:r>
    </w:p>
    <w:p>
      <w:pPr>
        <w:pStyle w:val="955"/>
        <w:ind w:firstLine="480"/>
        <w:spacing w:line="360" w:lineRule="auto"/>
        <w:rPr>
          <w:rFonts w:cs="宋体"/>
          <w:bCs/>
          <w:sz w:val="24"/>
          <w:szCs w:val="24"/>
          <w:highlight w:val="none"/>
        </w:rPr>
        <w:outlineLvl w:val="1"/>
      </w:pPr>
      <w:r>
        <w:rPr>
          <w:rFonts w:hint="eastAsia" w:cs="宋体"/>
          <w:bCs/>
          <w:sz w:val="24"/>
          <w:szCs w:val="24"/>
          <w:highlight w:val="none"/>
        </w:rPr>
        <w:t xml:space="preserve">在合同货物保修期内，如果由于中标人更换、修理和续补货物，而造成本合同货物不得不停止运行，货物保修期应依照停止运行的实际时间加以延长，如因此给采购人造成损失，中标人应负责赔偿。</w:t>
      </w:r>
      <w:r>
        <w:rPr>
          <w:rFonts w:cs="宋体"/>
          <w:bCs/>
          <w:sz w:val="24"/>
          <w:szCs w:val="24"/>
          <w:highlight w:val="none"/>
        </w:rPr>
      </w:r>
      <w:r>
        <w:rPr>
          <w:highlight w:val="none"/>
        </w:rPr>
      </w:r>
    </w:p>
    <w:p>
      <w:pPr>
        <w:pStyle w:val="955"/>
        <w:ind w:firstLine="480"/>
        <w:spacing w:line="360" w:lineRule="auto"/>
        <w:rPr>
          <w:rFonts w:cs="宋体"/>
          <w:bCs/>
          <w:sz w:val="24"/>
          <w:szCs w:val="24"/>
          <w:highlight w:val="none"/>
        </w:rPr>
        <w:outlineLvl w:val="1"/>
      </w:pPr>
      <w:r>
        <w:rPr>
          <w:rFonts w:hint="eastAsia" w:cs="宋体"/>
          <w:bCs/>
          <w:sz w:val="24"/>
          <w:szCs w:val="24"/>
          <w:highlight w:val="none"/>
        </w:rPr>
        <w:t xml:space="preserve">6.4所有货物保修服务方式均为中标人上门保修，即由中标人派员到货物使用现场维修，由此产生的一切费用均由中标人承担。如中标人在接到采购人通知后不到场，则采购人有权聘请其他技术人员到场进行技术支持，相关费用由中标人承担，采购人有权在尾款中直接扣除相关费用。</w:t>
      </w:r>
      <w:r>
        <w:rPr>
          <w:rFonts w:cs="宋体"/>
          <w:bCs/>
          <w:sz w:val="24"/>
          <w:szCs w:val="24"/>
          <w:highlight w:val="none"/>
        </w:rPr>
      </w:r>
      <w:r>
        <w:rPr>
          <w:highlight w:val="none"/>
        </w:rPr>
      </w:r>
    </w:p>
    <w:p>
      <w:pPr>
        <w:pStyle w:val="955"/>
        <w:ind w:firstLine="480"/>
        <w:spacing w:line="360" w:lineRule="auto"/>
        <w:rPr>
          <w:rFonts w:hint="eastAsia" w:cs="宋体"/>
          <w:bCs/>
          <w:sz w:val="24"/>
          <w:szCs w:val="24"/>
          <w:highlight w:val="none"/>
        </w:rPr>
        <w:outlineLvl w:val="1"/>
      </w:pPr>
      <w:r>
        <w:rPr>
          <w:rFonts w:hint="eastAsia" w:cs="宋体"/>
          <w:bCs/>
          <w:sz w:val="24"/>
          <w:szCs w:val="24"/>
          <w:highlight w:val="none"/>
        </w:rPr>
        <w:t xml:space="preserve">6.5合同货物保修期届满后，中标人保证继续为采购人提供货物的维修服务，采购人应按卖方提供的优惠价格向中标人支付相关费用，中标人保证在合同货物使用期内以不高于本合同货物和相关配件的价格向采购人提供备品备件。</w:t>
      </w:r>
      <w:r>
        <w:rPr>
          <w:rFonts w:hint="eastAsia" w:cs="宋体"/>
          <w:bCs/>
          <w:sz w:val="24"/>
          <w:szCs w:val="24"/>
          <w:highlight w:val="none"/>
        </w:rPr>
      </w:r>
      <w:r>
        <w:rPr>
          <w:highlight w:val="none"/>
        </w:rPr>
      </w:r>
    </w:p>
    <w:p>
      <w:pPr>
        <w:pStyle w:val="955"/>
        <w:ind w:firstLine="482"/>
        <w:jc w:val="left"/>
        <w:widowControl/>
        <w:rPr>
          <w:rFonts w:cs="宋体"/>
          <w:b/>
          <w:bCs/>
          <w:sz w:val="24"/>
          <w:szCs w:val="24"/>
          <w:highlight w:val="none"/>
        </w:rPr>
      </w:pPr>
      <w:r>
        <w:rPr>
          <w:rFonts w:cs="宋体"/>
          <w:b/>
          <w:bCs/>
          <w:sz w:val="24"/>
          <w:szCs w:val="24"/>
          <w:highlight w:val="none"/>
        </w:rPr>
      </w:r>
      <w:r>
        <w:rPr>
          <w:highlight w:val="none"/>
        </w:rPr>
      </w:r>
    </w:p>
    <w:p>
      <w:pPr>
        <w:pStyle w:val="1022"/>
        <w:ind w:firstLine="0"/>
        <w:jc w:val="left"/>
        <w:rPr>
          <w:rFonts w:hint="eastAsia"/>
          <w:highlight w:val="none"/>
        </w:rPr>
      </w:pPr>
      <w:r>
        <w:rPr>
          <w:rFonts w:hint="eastAsia"/>
          <w:highlight w:val="none"/>
        </w:rPr>
      </w:r>
      <w:r>
        <w:rPr>
          <w:highlight w:val="none"/>
        </w:rPr>
      </w:r>
    </w:p>
    <w:p>
      <w:pPr>
        <w:pStyle w:val="1022"/>
        <w:ind w:firstLine="0"/>
        <w:jc w:val="left"/>
        <w:rPr>
          <w:rFonts w:hint="eastAsia"/>
          <w:highlight w:val="none"/>
        </w:rPr>
      </w:pPr>
      <w:r>
        <w:rPr>
          <w:rFonts w:hint="eastAsia"/>
          <w:highlight w:val="none"/>
        </w:rPr>
      </w:r>
      <w:r>
        <w:rPr>
          <w:highlight w:val="none"/>
        </w:rPr>
      </w:r>
    </w:p>
    <w:p>
      <w:pPr>
        <w:pStyle w:val="1022"/>
        <w:ind w:firstLine="0"/>
        <w:jc w:val="left"/>
        <w:rPr>
          <w:rFonts w:hint="eastAsia"/>
          <w:highlight w:val="none"/>
        </w:rPr>
      </w:pPr>
      <w:r>
        <w:rPr>
          <w:rFonts w:hint="eastAsia"/>
          <w:highlight w:val="none"/>
        </w:rPr>
      </w:r>
      <w:r>
        <w:rPr>
          <w:highlight w:val="none"/>
        </w:rPr>
      </w:r>
    </w:p>
    <w:p>
      <w:pPr>
        <w:pStyle w:val="956"/>
        <w:keepNext w:val="0"/>
        <w:pageBreakBefore/>
        <w:rPr>
          <w:rFonts w:hint="eastAsia" w:ascii="黑体" w:eastAsia="黑体"/>
          <w:bCs/>
          <w:sz w:val="44"/>
          <w:highlight w:val="none"/>
        </w:rPr>
      </w:pPr>
      <w:r>
        <w:rPr>
          <w:rFonts w:hint="eastAsia" w:ascii="黑体" w:eastAsia="黑体"/>
          <w:bCs/>
          <w:sz w:val="44"/>
          <w:highlight w:val="none"/>
        </w:rPr>
        <w:t xml:space="preserve">第</w:t>
      </w:r>
      <w:r>
        <w:rPr>
          <w:rFonts w:hint="eastAsia" w:ascii="黑体" w:eastAsia="黑体"/>
          <w:bCs/>
          <w:sz w:val="44"/>
          <w:highlight w:val="none"/>
          <w:lang w:val="en-US" w:eastAsia="zh-CN"/>
        </w:rPr>
        <w:t xml:space="preserve">四</w:t>
      </w:r>
      <w:r>
        <w:rPr>
          <w:rFonts w:hint="eastAsia" w:ascii="黑体" w:eastAsia="黑体"/>
          <w:bCs/>
          <w:sz w:val="44"/>
          <w:highlight w:val="none"/>
        </w:rPr>
        <w:t xml:space="preserve">章  </w:t>
      </w:r>
      <w:r>
        <w:rPr>
          <w:rFonts w:hint="eastAsia" w:ascii="黑体" w:eastAsia="黑体"/>
          <w:b/>
          <w:bCs/>
          <w:sz w:val="44"/>
          <w:highlight w:val="none"/>
        </w:rPr>
        <w:t xml:space="preserve">评标方法与评标标准</w:t>
      </w:r>
      <w:r>
        <w:rPr>
          <w:rFonts w:hint="eastAsia" w:ascii="黑体" w:eastAsia="黑体"/>
          <w:bCs/>
          <w:sz w:val="44"/>
          <w:highlight w:val="none"/>
        </w:rPr>
      </w:r>
      <w:r>
        <w:rPr>
          <w:highlight w:val="none"/>
        </w:rPr>
      </w:r>
    </w:p>
    <w:p>
      <w:pPr>
        <w:pStyle w:val="955"/>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一、招标人委托招标代理机构组织招标</w:t>
      </w:r>
      <w:r>
        <w:rPr>
          <w:rFonts w:ascii="宋体" w:hAnsi="宋体" w:cs="宋体"/>
          <w:b/>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成立评标委员会小组，评标委员会由招标人代表和评审专家组成，成员人数应当为5人以上单数，其中评审专家不得少于成员总数的三分之二。</w:t>
      </w:r>
      <w:r>
        <w:rPr>
          <w:rFonts w:ascii="宋体" w:hAnsi="宋体" w:cs="宋体"/>
          <w:sz w:val="24"/>
          <w:szCs w:val="24"/>
          <w:highlight w:val="none"/>
        </w:rPr>
      </w:r>
      <w:r>
        <w:rPr>
          <w:highlight w:val="none"/>
        </w:rPr>
      </w:r>
    </w:p>
    <w:p>
      <w:pPr>
        <w:pStyle w:val="955"/>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二、开标</w:t>
      </w:r>
      <w:r>
        <w:rPr>
          <w:rFonts w:ascii="宋体" w:hAnsi="宋体" w:cs="宋体"/>
          <w:b/>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不见面远程开标模式：开标当天各投标人在各自地点通过苏采云系统及时登录不见面开标大厅，参加投标活动。</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2、招标代理机构主持开标并记录，及时处理投标人代表提出的询问或者回避申请。</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3、投标人不足3家的不得开标。</w:t>
      </w:r>
      <w:r>
        <w:rPr>
          <w:rFonts w:ascii="宋体" w:hAnsi="宋体" w:cs="宋体"/>
          <w:sz w:val="24"/>
          <w:szCs w:val="24"/>
          <w:highlight w:val="none"/>
        </w:rPr>
      </w:r>
      <w:r>
        <w:rPr>
          <w:highlight w:val="none"/>
        </w:rPr>
      </w:r>
    </w:p>
    <w:p>
      <w:pPr>
        <w:pStyle w:val="955"/>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三、资格审查</w:t>
      </w:r>
      <w:r>
        <w:rPr>
          <w:rFonts w:ascii="宋体" w:hAnsi="宋体" w:cs="宋体"/>
          <w:b/>
          <w:sz w:val="24"/>
          <w:szCs w:val="24"/>
          <w:highlight w:val="none"/>
        </w:rPr>
      </w:r>
      <w:r>
        <w:rPr>
          <w:highlight w:val="none"/>
        </w:rPr>
      </w:r>
    </w:p>
    <w:p>
      <w:pPr>
        <w:pStyle w:val="955"/>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1、开标后，招标人及其委托的采购代理机构依据相关法律政策的规定，根据招标文件载明的资格审查要求，对投标人的资格进行审查。</w:t>
      </w:r>
      <w:r>
        <w:rPr>
          <w:rFonts w:hint="eastAsia" w:ascii="宋体" w:hAnsi="宋体" w:cs="宋体"/>
          <w:sz w:val="24"/>
          <w:szCs w:val="24"/>
          <w:highlight w:val="none"/>
        </w:rPr>
      </w:r>
      <w:r>
        <w:rPr>
          <w:highlight w:val="none"/>
        </w:rPr>
      </w:r>
    </w:p>
    <w:p>
      <w:pPr>
        <w:pStyle w:val="955"/>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2、资格审查及</w:t>
      </w:r>
      <w:r>
        <w:rPr>
          <w:rFonts w:hint="eastAsia" w:ascii="宋体" w:hAnsi="宋体" w:cs="宋体"/>
          <w:color w:val="ff0000"/>
          <w:sz w:val="24"/>
          <w:szCs w:val="24"/>
          <w:highlight w:val="none"/>
        </w:rPr>
        <w:t xml:space="preserve">符合性审查</w:t>
      </w:r>
      <w:r>
        <w:rPr>
          <w:rFonts w:hint="eastAsia" w:ascii="宋体" w:hAnsi="宋体" w:cs="宋体"/>
          <w:sz w:val="24"/>
          <w:szCs w:val="24"/>
          <w:highlight w:val="none"/>
        </w:rPr>
        <w:t xml:space="preserve">合格的投标人进入评标。</w:t>
      </w:r>
      <w:r>
        <w:rPr>
          <w:rFonts w:hint="eastAsia" w:ascii="宋体" w:hAnsi="宋体" w:cs="宋体"/>
          <w:sz w:val="24"/>
          <w:szCs w:val="24"/>
          <w:highlight w:val="none"/>
        </w:rPr>
      </w:r>
      <w:r>
        <w:rPr>
          <w:highlight w:val="none"/>
        </w:rPr>
      </w:r>
    </w:p>
    <w:p>
      <w:pPr>
        <w:pStyle w:val="955"/>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3、合格投标人不足3家的，不得评标。</w:t>
      </w:r>
      <w:r>
        <w:rPr>
          <w:rFonts w:hint="eastAsia" w:ascii="宋体" w:hAnsi="宋体" w:cs="宋体"/>
          <w:sz w:val="24"/>
          <w:szCs w:val="24"/>
          <w:highlight w:val="none"/>
        </w:rPr>
      </w:r>
      <w:r>
        <w:rPr>
          <w:highlight w:val="none"/>
        </w:rPr>
      </w:r>
    </w:p>
    <w:p>
      <w:pPr>
        <w:pStyle w:val="955"/>
        <w:contextualSpacing/>
        <w:ind w:firstLine="480"/>
        <w:spacing w:line="480" w:lineRule="exact"/>
        <w:rPr>
          <w:rFonts w:ascii="宋体" w:hAnsi="宋体" w:cs="宋体"/>
          <w:b/>
          <w:sz w:val="24"/>
          <w:szCs w:val="24"/>
          <w:highlight w:val="none"/>
        </w:rPr>
        <w:outlineLvl w:val="1"/>
      </w:pPr>
      <w:r>
        <w:rPr>
          <w:rFonts w:hint="eastAsia" w:ascii="宋体" w:hAnsi="宋体" w:cs="宋体"/>
          <w:b/>
          <w:sz w:val="24"/>
          <w:szCs w:val="24"/>
          <w:highlight w:val="none"/>
        </w:rPr>
        <w:t xml:space="preserve">四、评标</w:t>
      </w:r>
      <w:r>
        <w:rPr>
          <w:rFonts w:ascii="宋体" w:hAnsi="宋体" w:cs="宋体"/>
          <w:b/>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1、评标时间</w:t>
      </w:r>
      <w:r>
        <w:rPr>
          <w:rFonts w:hint="eastAsia" w:ascii="宋体" w:hAnsi="宋体" w:cs="宋体"/>
          <w:b/>
          <w:sz w:val="24"/>
          <w:szCs w:val="24"/>
          <w:highlight w:val="none"/>
        </w:rPr>
        <w:t xml:space="preserve">：资格审查、符合性审查结束以后。</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2、招标代理机构负责组织评标工作，并履行下列职责：</w:t>
      </w:r>
      <w:r>
        <w:rPr>
          <w:rFonts w:ascii="宋体" w:hAnsi="宋体" w:cs="宋体"/>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（1）核对评审专家身份和招标人代表授权函，对评审专家在招标采购活动中的职责履行情况予以记录，并及时将有关违法违规行为向相关部门报告。</w:t>
      </w:r>
      <w:r>
        <w:rPr>
          <w:rFonts w:ascii="宋体" w:hAnsi="宋体" w:cs="宋体"/>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（2）宣布评标纪律。</w:t>
      </w:r>
      <w:r>
        <w:rPr>
          <w:rFonts w:ascii="宋体" w:hAnsi="宋体" w:cs="宋体"/>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（3）公布投标人名单，告知评审专家应当回避的情形。</w:t>
      </w:r>
      <w:r>
        <w:rPr>
          <w:rFonts w:ascii="宋体" w:hAnsi="宋体" w:cs="宋体"/>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（4）组织评标委员会推选评标组长，招标人代表不得担任组长。</w:t>
      </w:r>
      <w:r>
        <w:rPr>
          <w:rFonts w:ascii="宋体" w:hAnsi="宋体" w:cs="宋体"/>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ascii="宋体" w:hAnsi="宋体" w:cs="宋体"/>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（6）根据评标委员会的要求介绍采购相关政策法规、招标文件。</w:t>
      </w:r>
      <w:r>
        <w:rPr>
          <w:rFonts w:ascii="宋体" w:hAnsi="宋体" w:cs="宋体"/>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（8）核对评标结果，有下列规定情形的，要求评标委员会复核或者书面说明理由，评标委员会拒绝的，则予以书面记录并向本级相关部门报告：</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① 分值汇总计算错误的；</w:t>
      </w:r>
      <w:r>
        <w:rPr>
          <w:rFonts w:ascii="宋体" w:hAnsi="宋体" w:cs="宋体"/>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② 分项评分超出评分标准范围的；</w:t>
      </w:r>
      <w:r>
        <w:rPr>
          <w:rFonts w:ascii="宋体" w:hAnsi="宋体" w:cs="宋体"/>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③ 评标委员会成员对客观评审因素评分不一致的；</w:t>
      </w:r>
      <w:r>
        <w:rPr>
          <w:rFonts w:ascii="宋体" w:hAnsi="宋体" w:cs="宋体"/>
          <w:sz w:val="24"/>
          <w:szCs w:val="24"/>
          <w:highlight w:val="none"/>
        </w:rPr>
      </w:r>
      <w:r>
        <w:rPr>
          <w:highlight w:val="none"/>
        </w:rPr>
      </w:r>
    </w:p>
    <w:p>
      <w:pPr>
        <w:pStyle w:val="955"/>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④ 经评标委员会认定评分畸高、畸低的。</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（9）评审工作完成后，按照规定向评审专家支付劳务报酬和异地评审差旅费，不得向评审专家以外的其他人员支付评审劳务报酬；</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（10）处理与评标有关的其他事项。</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3、评标委员会负责具体评标事务：</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4、评标委员会成员独立履行以下职责与义务：</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（1）遵纪守法，客观、公正、廉洁地履行职责；</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（2）审查合格投标人的投标文件是否实质性响应招标文件要求，并做出评价；</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（3）按照招标文件规定的评标办法和评标标准进行评标，对评审意见承担个人责任；</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（4）可以要求投标人对投标文件有关事项做出解释或澄清；</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（5）对评标过程和结果，以及投标人的商业秘密保密；</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（6）配合相关部门的投诉处理工作；</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（7）配合招标人或招标代理机构答复投标人提出的质疑。</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ascii="宋体" w:hAnsi="宋体" w:cs="宋体"/>
          <w:sz w:val="24"/>
          <w:szCs w:val="24"/>
          <w:highlight w:val="none"/>
        </w:rPr>
      </w:r>
      <w:r>
        <w:rPr>
          <w:highlight w:val="none"/>
        </w:rPr>
      </w:r>
    </w:p>
    <w:p>
      <w:pPr>
        <w:pStyle w:val="955"/>
        <w:ind w:firstLine="482"/>
        <w:spacing w:line="480" w:lineRule="exact"/>
        <w:rPr>
          <w:rFonts w:ascii="宋体" w:hAnsi="宋体" w:cs="宋体"/>
          <w:b/>
          <w:sz w:val="24"/>
          <w:szCs w:val="24"/>
          <w:highlight w:val="none"/>
        </w:rPr>
      </w:pPr>
      <w:r>
        <w:rPr>
          <w:rFonts w:hint="eastAsia" w:ascii="宋体" w:hAnsi="宋体" w:cs="宋体"/>
          <w:sz w:val="24"/>
          <w:szCs w:val="24"/>
          <w:highlight w:val="none"/>
        </w:rPr>
        <w:t xml:space="preserve">7、评审期间，合格投标人的投标文件仍有可能被评标委员会根据规定判为无效投标。</w:t>
      </w:r>
      <w:r>
        <w:rPr>
          <w:rFonts w:ascii="宋体" w:hAnsi="宋体" w:cs="宋体"/>
          <w:b/>
          <w:sz w:val="24"/>
          <w:szCs w:val="24"/>
          <w:highlight w:val="none"/>
        </w:rPr>
      </w:r>
      <w:r>
        <w:rPr>
          <w:highlight w:val="none"/>
        </w:rPr>
      </w:r>
    </w:p>
    <w:p>
      <w:pPr>
        <w:pStyle w:val="955"/>
        <w:ind w:firstLine="482"/>
        <w:spacing w:line="480" w:lineRule="exact"/>
        <w:rPr>
          <w:rFonts w:ascii="宋体" w:hAnsi="宋体" w:cs="宋体"/>
          <w:b/>
          <w:sz w:val="24"/>
          <w:szCs w:val="24"/>
          <w:highlight w:val="none"/>
        </w:rPr>
      </w:pPr>
      <w:r>
        <w:rPr>
          <w:rFonts w:hint="eastAsia" w:ascii="宋体" w:hAnsi="宋体" w:cs="宋体"/>
          <w:sz w:val="24"/>
          <w:szCs w:val="24"/>
          <w:highlight w:val="none"/>
        </w:rPr>
        <w:t xml:space="preserve">8、在投标文件的评审、澄清、评价和比较以及授予合同的过程中，投标人对招标人和评标委员会成员有施加影响的任何行为，都将取消其可能的中标资格。</w:t>
      </w:r>
      <w:r>
        <w:rPr>
          <w:rFonts w:ascii="宋体" w:hAnsi="宋体" w:cs="宋体"/>
          <w:b/>
          <w:sz w:val="24"/>
          <w:szCs w:val="24"/>
          <w:highlight w:val="none"/>
        </w:rPr>
      </w:r>
      <w:r>
        <w:rPr>
          <w:highlight w:val="none"/>
        </w:rPr>
      </w:r>
    </w:p>
    <w:p>
      <w:pPr>
        <w:pStyle w:val="955"/>
        <w:ind w:firstLine="480"/>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五、评审原则</w:t>
      </w:r>
      <w:r>
        <w:rPr>
          <w:rFonts w:ascii="宋体" w:hAnsi="宋体" w:cs="宋体"/>
          <w:b/>
          <w:bCs/>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1、本项目采用</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综合评分法</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，即指投标文件满足本项目招标文件全部实质性要求，且按照评审因素的量化指标，经评审后得分最高的投标人推荐为中标人的评标方法。</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4、对投标文件的评审判定，只依据投标文件内容本身，不依靠开标后任何外来证明文件。</w:t>
      </w:r>
      <w:r>
        <w:rPr>
          <w:rFonts w:ascii="宋体" w:hAnsi="宋体" w:cs="宋体"/>
          <w:sz w:val="24"/>
          <w:szCs w:val="24"/>
          <w:highlight w:val="none"/>
        </w:rPr>
      </w:r>
      <w:r>
        <w:rPr>
          <w:highlight w:val="none"/>
        </w:rPr>
      </w:r>
    </w:p>
    <w:p>
      <w:pPr>
        <w:pStyle w:val="955"/>
        <w:ind w:firstLine="480"/>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六、评审方法</w:t>
      </w:r>
      <w:r>
        <w:rPr>
          <w:rFonts w:ascii="宋体" w:hAnsi="宋体" w:cs="宋体"/>
          <w:b/>
          <w:bCs/>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1、评标程序：</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资格符合性评审——商务技术标评审——价格标评审——确定中标候选人。</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本次资格审查采用资格后审，各投标人资格审查通过后方能进入商务技术标的开标。先开商务技术标，商务技术标打分结束后再开价格标。</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2、评标委员会将仅对按本招标文件载明的方法与规定，为实质上响应招标文件要求的投标文件评审并进行评价和比较。</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3、本次项目的商务技术标和价格标评审总分值为100分。两部分评审因素比重如下：</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商务技术标分值占总分值的比重为</w:t>
      </w:r>
      <w:r>
        <w:rPr>
          <w:rFonts w:hint="eastAsia" w:ascii="宋体" w:hAnsi="宋体" w:cs="宋体"/>
          <w:b/>
          <w:sz w:val="24"/>
          <w:szCs w:val="24"/>
          <w:highlight w:val="none"/>
          <w:u w:val="single"/>
        </w:rPr>
        <w:t xml:space="preserve">70%</w:t>
      </w:r>
      <w:r>
        <w:rPr>
          <w:rFonts w:hint="eastAsia" w:ascii="宋体" w:hAnsi="宋体" w:cs="宋体"/>
          <w:b/>
          <w:sz w:val="24"/>
          <w:szCs w:val="24"/>
          <w:highlight w:val="none"/>
        </w:rPr>
        <w:t xml:space="preserve">（权重）</w:t>
      </w:r>
      <w:r>
        <w:rPr>
          <w:rFonts w:hint="eastAsia" w:ascii="宋体" w:hAnsi="宋体" w:cs="宋体"/>
          <w:sz w:val="24"/>
          <w:szCs w:val="24"/>
          <w:highlight w:val="none"/>
        </w:rPr>
        <w:t xml:space="preserve">（计算结果均四舍五入保留两位小数）；</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价格标分值占总分值的比重为</w:t>
      </w:r>
      <w:r>
        <w:rPr>
          <w:rFonts w:hint="eastAsia" w:ascii="宋体" w:hAnsi="宋体" w:cs="宋体"/>
          <w:b/>
          <w:sz w:val="24"/>
          <w:szCs w:val="24"/>
          <w:highlight w:val="none"/>
          <w:u w:val="single"/>
        </w:rPr>
        <w:t xml:space="preserve">30%</w:t>
      </w:r>
      <w:r>
        <w:rPr>
          <w:rFonts w:hint="eastAsia" w:ascii="宋体" w:hAnsi="宋体" w:cs="宋体"/>
          <w:b/>
          <w:sz w:val="24"/>
          <w:szCs w:val="24"/>
          <w:highlight w:val="none"/>
        </w:rPr>
        <w:t xml:space="preserve">（权重）</w:t>
      </w:r>
      <w:r>
        <w:rPr>
          <w:rFonts w:hint="eastAsia" w:ascii="宋体" w:hAnsi="宋体" w:cs="宋体"/>
          <w:sz w:val="24"/>
          <w:szCs w:val="24"/>
          <w:highlight w:val="none"/>
        </w:rPr>
        <w:t xml:space="preserve">（计算结果均四舍五入保留两位小数）； </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4、评标委员会严格按照招标文件的要求、条件、评分标准，对投标人所提供服务的先进性、可靠性、售后服务承诺、质量保证承诺等实质性响应内容进行比较。</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6、商务技术分按评委的算术平均值计算（计算结果均四舍五入保留两位小数）。</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7、开启投标人的价格报价标，现场唱标后由投标人代表在苏采云系统确认。</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8、投标人的价格标评审得分直接计算取得，并与其商务技术标得分相加为该投标人的综合得分（计算结果均四舍五入保留两位小数）。</w:t>
      </w:r>
      <w:r>
        <w:rPr>
          <w:rFonts w:ascii="宋体" w:hAnsi="宋体" w:cs="宋体"/>
          <w:sz w:val="24"/>
          <w:szCs w:val="24"/>
          <w:highlight w:val="none"/>
        </w:rPr>
      </w:r>
      <w:r>
        <w:rPr>
          <w:highlight w:val="none"/>
        </w:rPr>
      </w:r>
    </w:p>
    <w:p>
      <w:pPr>
        <w:pStyle w:val="955"/>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9、评标结果按评审后得分由高到低顺序排列。评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sz w:val="24"/>
          <w:szCs w:val="24"/>
          <w:highlight w:val="none"/>
        </w:rPr>
      </w:r>
      <w:r>
        <w:rPr>
          <w:highlight w:val="none"/>
        </w:rPr>
      </w:r>
    </w:p>
    <w:p>
      <w:pPr>
        <w:pStyle w:val="955"/>
        <w:ind w:firstLine="480"/>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七、关于投标价格评审</w:t>
      </w:r>
      <w:r>
        <w:rPr>
          <w:rFonts w:ascii="宋体" w:hAnsi="宋体" w:cs="宋体"/>
          <w:b/>
          <w:bCs/>
          <w:sz w:val="24"/>
          <w:szCs w:val="24"/>
          <w:highlight w:val="none"/>
        </w:rPr>
      </w:r>
      <w:r>
        <w:rPr>
          <w:highlight w:val="none"/>
        </w:rPr>
      </w:r>
    </w:p>
    <w:p>
      <w:pPr>
        <w:pStyle w:val="955"/>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1、针对投标价格实质响应的评审</w:t>
      </w:r>
      <w:r>
        <w:rPr>
          <w:rFonts w:ascii="宋体" w:hAnsi="宋体" w:cs="宋体"/>
          <w:b/>
          <w:sz w:val="24"/>
          <w:szCs w:val="24"/>
          <w:highlight w:val="none"/>
        </w:rPr>
      </w:r>
      <w:r>
        <w:rPr>
          <w:highlight w:val="none"/>
        </w:rPr>
      </w:r>
    </w:p>
    <w:p>
      <w:pPr>
        <w:pStyle w:val="955"/>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rPr>
          <w:rFonts w:ascii="宋体" w:hAnsi="宋体" w:cs="宋体"/>
          <w:sz w:val="24"/>
          <w:szCs w:val="24"/>
          <w:highlight w:val="none"/>
        </w:rPr>
      </w:r>
      <w:r>
        <w:rPr>
          <w:highlight w:val="none"/>
        </w:rPr>
      </w:r>
    </w:p>
    <w:p>
      <w:pPr>
        <w:pStyle w:val="955"/>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2、针对投标价格合理性的评审</w:t>
      </w:r>
      <w:r>
        <w:rPr>
          <w:rFonts w:ascii="宋体" w:hAnsi="宋体" w:cs="宋体"/>
          <w:b/>
          <w:sz w:val="24"/>
          <w:szCs w:val="24"/>
          <w:highlight w:val="none"/>
        </w:rPr>
      </w:r>
      <w:r>
        <w:rPr>
          <w:highlight w:val="none"/>
        </w:rPr>
      </w:r>
    </w:p>
    <w:p>
      <w:pPr>
        <w:pStyle w:val="955"/>
        <w:ind w:firstLine="480"/>
        <w:spacing w:line="480" w:lineRule="exact"/>
        <w:rPr>
          <w:rFonts w:ascii="宋体" w:hAnsi="宋体" w:cs="宋体"/>
          <w:sz w:val="24"/>
          <w:szCs w:val="24"/>
          <w:highlight w:val="none"/>
        </w:rPr>
      </w:pPr>
      <w:r>
        <w:rPr>
          <w:rFonts w:hint="eastAsia" w:ascii="宋体" w:hAnsi="宋体" w:cs="宋体"/>
          <w:b/>
          <w:bCs/>
          <w:sz w:val="24"/>
          <w:szCs w:val="24"/>
          <w:highlight w:val="none"/>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rPr>
          <w:rFonts w:ascii="宋体" w:hAnsi="宋体" w:cs="宋体"/>
          <w:sz w:val="24"/>
          <w:szCs w:val="24"/>
          <w:highlight w:val="none"/>
        </w:rPr>
      </w:r>
      <w:r>
        <w:rPr>
          <w:highlight w:val="none"/>
        </w:rPr>
      </w:r>
    </w:p>
    <w:p>
      <w:pPr>
        <w:pStyle w:val="955"/>
        <w:ind w:firstLine="482"/>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八、评审评分项</w:t>
      </w:r>
      <w:r>
        <w:rPr>
          <w:rFonts w:ascii="宋体" w:hAnsi="宋体" w:cs="宋体"/>
          <w:b/>
          <w:bCs/>
          <w:sz w:val="24"/>
          <w:szCs w:val="24"/>
          <w:highlight w:val="none"/>
        </w:rPr>
      </w:r>
      <w:r>
        <w:rPr>
          <w:highlight w:val="none"/>
        </w:rPr>
      </w:r>
    </w:p>
    <w:p>
      <w:pPr>
        <w:pStyle w:val="955"/>
        <w:ind w:firstLine="482"/>
        <w:spacing w:line="480" w:lineRule="exact"/>
        <w:rPr>
          <w:rFonts w:hint="eastAsia" w:ascii="宋体" w:hAnsi="宋体" w:cs="宋体"/>
          <w:b/>
          <w:sz w:val="24"/>
          <w:szCs w:val="24"/>
          <w:highlight w:val="none"/>
        </w:rPr>
      </w:pPr>
      <w:r>
        <w:rPr>
          <w:highlight w:val="none"/>
        </w:rPr>
      </w:r>
      <w:bookmarkStart w:id="203" w:name="OLE_LINK61"/>
      <w:r>
        <w:rPr>
          <w:highlight w:val="none"/>
        </w:rPr>
      </w:r>
      <w:bookmarkStart w:id="204" w:name="OLE_LINK65"/>
      <w:r>
        <w:rPr>
          <w:rFonts w:hint="eastAsia" w:ascii="宋体" w:hAnsi="宋体" w:cs="宋体"/>
          <w:b/>
          <w:sz w:val="24"/>
          <w:szCs w:val="24"/>
          <w:highlight w:val="none"/>
        </w:rPr>
        <w:t xml:space="preserve">1</w:t>
      </w:r>
      <w:bookmarkEnd w:id="203"/>
      <w:r>
        <w:rPr>
          <w:highlight w:val="none"/>
        </w:rPr>
      </w:r>
      <w:bookmarkEnd w:id="204"/>
      <w:r>
        <w:rPr>
          <w:rFonts w:hint="eastAsia" w:ascii="宋体" w:hAnsi="宋体" w:cs="宋体"/>
          <w:b/>
          <w:sz w:val="24"/>
          <w:szCs w:val="24"/>
          <w:highlight w:val="none"/>
        </w:rPr>
        <w:t xml:space="preserve">、商务技术分（70分） </w:t>
      </w:r>
      <w:r>
        <w:rPr>
          <w:rFonts w:hint="eastAsia" w:ascii="宋体" w:hAnsi="宋体" w:cs="宋体"/>
          <w:b/>
          <w:sz w:val="24"/>
          <w:szCs w:val="24"/>
          <w:highlight w:val="none"/>
        </w:rPr>
      </w:r>
      <w:r>
        <w:rPr>
          <w:highlight w:val="none"/>
        </w:rPr>
      </w:r>
    </w:p>
    <w:p>
      <w:pPr>
        <w:pStyle w:val="955"/>
        <w:ind w:firstLine="480"/>
        <w:spacing w:line="480" w:lineRule="exact"/>
        <w:rPr>
          <w:rFonts w:ascii="宋体" w:hAnsi="宋体" w:cs="宋体"/>
          <w:sz w:val="24"/>
          <w:szCs w:val="24"/>
          <w:highlight w:val="none"/>
        </w:rPr>
      </w:pPr>
      <w:r>
        <w:rPr>
          <w:rFonts w:ascii="宋体" w:hAnsi="宋体" w:cs="宋体"/>
          <w:sz w:val="24"/>
          <w:szCs w:val="24"/>
          <w:highlight w:val="none"/>
        </w:rPr>
        <w:t xml:space="preserve">各投标人得分为评委会成员评分的算术平均分，分值保留小数点后两位。</w:t>
      </w:r>
      <w:r>
        <w:rPr>
          <w:rFonts w:ascii="宋体" w:hAnsi="宋体" w:cs="宋体"/>
          <w:sz w:val="24"/>
          <w:szCs w:val="24"/>
          <w:highlight w:val="none"/>
        </w:rPr>
      </w:r>
      <w:r>
        <w:rPr>
          <w:highlight w:val="none"/>
        </w:rPr>
      </w:r>
    </w:p>
    <w:tbl>
      <w:tblPr>
        <w:tblW w:w="9654" w:type="dxa"/>
        <w:tblInd w:w="-15" w:type="dxa"/>
        <w:tblLayout w:type="autofit"/>
        <w:tblCellMar>
          <w:left w:w="15" w:type="dxa"/>
          <w:top w:w="15" w:type="dxa"/>
          <w:right w:w="15" w:type="dxa"/>
          <w:bottom w:w="0" w:type="dxa"/>
        </w:tblCellMar>
        <w:tblLook w:val="04A0" w:firstRow="1" w:lastRow="0" w:firstColumn="1" w:lastColumn="0" w:noHBand="0" w:noVBand="1"/>
      </w:tblPr>
      <w:tblGrid>
        <w:gridCol w:w="441"/>
        <w:gridCol w:w="850"/>
        <w:gridCol w:w="709"/>
        <w:gridCol w:w="7654"/>
      </w:tblGrid>
      <w:tr>
        <w:trPr>
          <w:trHeight w:val="6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1" w:type="dxa"/>
            <w:vAlign w:val="center"/>
            <w:textDirection w:val="lrTb"/>
            <w:noWrap w:val="false"/>
          </w:tcPr>
          <w:p>
            <w:pPr>
              <w:pStyle w:val="955"/>
              <w:jc w:val="center"/>
              <w:widowControl/>
              <w:rPr>
                <w:rFonts w:eastAsia="黑体"/>
                <w:highlight w:val="none"/>
              </w:rPr>
            </w:pPr>
            <w:r>
              <w:rPr>
                <w:rFonts w:eastAsia="黑体"/>
                <w:highlight w:val="none"/>
              </w:rPr>
              <w:t xml:space="preserve">序号 </w:t>
            </w:r>
            <w:r>
              <w:rPr>
                <w:rFonts w:eastAsia="黑体"/>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val="false"/>
          </w:tcPr>
          <w:p>
            <w:pPr>
              <w:pStyle w:val="955"/>
              <w:jc w:val="center"/>
              <w:widowControl/>
              <w:rPr>
                <w:rFonts w:eastAsia="黑体"/>
                <w:highlight w:val="none"/>
              </w:rPr>
            </w:pPr>
            <w:r>
              <w:rPr>
                <w:rFonts w:eastAsia="黑体"/>
                <w:highlight w:val="none"/>
              </w:rPr>
              <w:t xml:space="preserve">评分点</w:t>
            </w:r>
            <w:r>
              <w:rPr>
                <w:rFonts w:eastAsia="黑体"/>
                <w:highlight w:val="none"/>
              </w:rPr>
            </w:r>
            <w:r>
              <w:rPr>
                <w:highlight w:val="none"/>
              </w:rPr>
            </w:r>
          </w:p>
          <w:p>
            <w:pPr>
              <w:pStyle w:val="955"/>
              <w:jc w:val="center"/>
              <w:widowControl/>
              <w:rPr>
                <w:rFonts w:eastAsia="黑体"/>
                <w:highlight w:val="none"/>
              </w:rPr>
            </w:pPr>
            <w:r>
              <w:rPr>
                <w:rFonts w:eastAsia="黑体"/>
                <w:highlight w:val="none"/>
              </w:rPr>
              <w:t xml:space="preserve">名称 </w:t>
            </w:r>
            <w:r>
              <w:rPr>
                <w:rFonts w:eastAsia="黑体"/>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55"/>
              <w:jc w:val="center"/>
              <w:widowControl/>
              <w:rPr>
                <w:rFonts w:eastAsia="黑体"/>
                <w:highlight w:val="none"/>
              </w:rPr>
            </w:pPr>
            <w:r>
              <w:rPr>
                <w:rFonts w:eastAsia="黑体"/>
                <w:highlight w:val="none"/>
              </w:rPr>
              <w:t xml:space="preserve">分值</w:t>
            </w:r>
            <w:r>
              <w:rPr>
                <w:rFonts w:eastAsia="黑体"/>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54" w:type="dxa"/>
            <w:vAlign w:val="center"/>
            <w:textDirection w:val="lrTb"/>
            <w:noWrap w:val="false"/>
          </w:tcPr>
          <w:p>
            <w:pPr>
              <w:pStyle w:val="955"/>
              <w:jc w:val="center"/>
              <w:widowControl/>
              <w:rPr>
                <w:rFonts w:eastAsia="黑体"/>
                <w:highlight w:val="none"/>
              </w:rPr>
            </w:pPr>
            <w:r>
              <w:rPr>
                <w:rFonts w:eastAsia="黑体"/>
                <w:highlight w:val="none"/>
              </w:rPr>
              <w:t xml:space="preserve">评审标准</w:t>
            </w:r>
            <w:r>
              <w:rPr>
                <w:rFonts w:eastAsia="黑体"/>
                <w:highlight w:val="none"/>
              </w:rPr>
            </w:r>
            <w:r>
              <w:rPr>
                <w:highlight w:val="none"/>
              </w:rPr>
            </w:r>
          </w:p>
        </w:tc>
      </w:tr>
      <w:tr>
        <w:trPr>
          <w:trHeight w:val="30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1" w:type="dxa"/>
            <w:vAlign w:val="center"/>
            <w:textDirection w:val="lrTb"/>
            <w:noWrap w:val="false"/>
          </w:tcPr>
          <w:p>
            <w:pPr>
              <w:pStyle w:val="955"/>
              <w:jc w:val="center"/>
              <w:widowControl/>
              <w:rPr>
                <w:rFonts w:eastAsia="等线"/>
                <w:highlight w:val="none"/>
              </w:rPr>
            </w:pPr>
            <w:r>
              <w:rPr>
                <w:rFonts w:eastAsia="等线"/>
                <w:highlight w:val="none"/>
                <w:lang w:bidi="ar"/>
              </w:rPr>
              <w:t xml:space="preserve">1</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val="false"/>
          </w:tcPr>
          <w:p>
            <w:pPr>
              <w:pStyle w:val="955"/>
              <w:jc w:val="center"/>
              <w:widowControl/>
              <w:rPr>
                <w:rFonts w:eastAsia="等线"/>
                <w:highlight w:val="none"/>
              </w:rPr>
            </w:pPr>
            <w:r>
              <w:rPr>
                <w:rFonts w:eastAsia="等线"/>
                <w:highlight w:val="none"/>
                <w:lang w:bidi="ar"/>
              </w:rPr>
              <w:t xml:space="preserve">技术功能及要求</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55"/>
              <w:jc w:val="center"/>
              <w:widowControl/>
              <w:rPr>
                <w:rFonts w:eastAsia="等线"/>
                <w:highlight w:val="none"/>
              </w:rPr>
            </w:pPr>
            <w:r>
              <w:rPr>
                <w:rFonts w:eastAsia="等线"/>
                <w:highlight w:val="none"/>
                <w:lang w:bidi="ar"/>
              </w:rPr>
              <w:t xml:space="preserve">42</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54" w:type="dxa"/>
            <w:vAlign w:val="center"/>
            <w:textDirection w:val="lrTb"/>
            <w:noWrap w:val="false"/>
          </w:tcPr>
          <w:p>
            <w:pPr>
              <w:pStyle w:val="955"/>
              <w:spacing w:line="276" w:lineRule="auto"/>
              <w:rPr>
                <w:highlight w:val="none"/>
              </w:rPr>
            </w:pPr>
            <w:r>
              <w:rPr>
                <w:highlight w:val="none"/>
              </w:rPr>
              <w:t xml:space="preserve">所投产品参数、功能及要求的完全响应的得4</w:t>
            </w:r>
            <w:r>
              <w:rPr>
                <w:rFonts w:hint="eastAsia"/>
                <w:highlight w:val="none"/>
                <w:lang w:val="en-US" w:eastAsia="zh-CN"/>
              </w:rPr>
              <w:t xml:space="preserve">2</w:t>
            </w:r>
            <w:r>
              <w:rPr>
                <w:highlight w:val="none"/>
              </w:rPr>
              <w:t xml:space="preserve">分；</w:t>
            </w:r>
            <w:r>
              <w:rPr>
                <w:highlight w:val="none"/>
              </w:rPr>
              <w:br w:type="textWrapping" w:clear="all"/>
            </w:r>
            <w:r>
              <w:rPr>
                <w:highlight w:val="none"/>
              </w:rPr>
              <w:t xml:space="preserve">普通参数、功能及要求负偏离或不符合，每项扣2分；扣完为止；</w:t>
            </w:r>
            <w:r>
              <w:rPr>
                <w:highlight w:val="none"/>
              </w:rPr>
              <w:br w:type="textWrapping" w:clear="all"/>
            </w:r>
            <w:r>
              <w:rPr>
                <w:sz w:val="24"/>
                <w:highlight w:val="none"/>
              </w:rPr>
              <w:t xml:space="preserve">▲</w:t>
            </w:r>
            <w:r>
              <w:rPr>
                <w:highlight w:val="none"/>
              </w:rPr>
              <w:t xml:space="preserve">号参数、功能及要求负偏离或不符合，每项扣6分；扣完为止；</w:t>
            </w:r>
            <w:r>
              <w:rPr>
                <w:highlight w:val="none"/>
              </w:rPr>
              <w:br w:type="textWrapping" w:clear="all"/>
            </w:r>
            <w:r>
              <w:rPr>
                <w:highlight w:val="none"/>
              </w:rPr>
              <w:t xml:space="preserve">*招标文件中参数、功能及要求注明需要提供其他证明材料的，需提供对应材料；未注明其他证明材料的需提供官网截图或彩页样本（对应内容划线标识），并在偏离表中标注对应页码。</w:t>
            </w:r>
            <w:r>
              <w:rPr>
                <w:highlight w:val="none"/>
              </w:rPr>
              <w:br w:type="textWrapping" w:clear="all"/>
            </w:r>
            <w:r>
              <w:rPr>
                <w:highlight w:val="none"/>
              </w:rPr>
              <w:t xml:space="preserve">*相关材料投标人未提供、提供错误或未正确标识的，视同负偏离。</w:t>
            </w:r>
            <w:r>
              <w:rPr>
                <w:highlight w:val="none"/>
              </w:rPr>
              <w:br w:type="textWrapping" w:clear="all"/>
            </w:r>
            <w:r>
              <w:rPr>
                <w:highlight w:val="none"/>
              </w:rPr>
              <w:t xml:space="preserve">*投标人应对产品参数、功能及要求正确表述，不得将实质不符表述为正偏离或符合，专家以实际偏离情况打分。</w:t>
            </w:r>
            <w:r>
              <w:rPr>
                <w:highlight w:val="none"/>
              </w:rPr>
            </w:r>
          </w:p>
          <w:p>
            <w:pPr>
              <w:pStyle w:val="955"/>
              <w:spacing w:line="276" w:lineRule="auto"/>
              <w:rPr>
                <w:rFonts w:eastAsia="等线"/>
                <w:highlight w:val="none"/>
              </w:rPr>
            </w:pPr>
            <w:r>
              <w:rPr>
                <w:highlight w:val="none"/>
              </w:rPr>
              <w:t xml:space="preserve">本项总分扣完为止。</w:t>
            </w:r>
            <w:r>
              <w:rPr>
                <w:rFonts w:eastAsia="等线"/>
                <w:highlight w:val="none"/>
              </w:rPr>
            </w:r>
            <w:r>
              <w:rPr>
                <w:highlight w:val="none"/>
              </w:rPr>
            </w:r>
          </w:p>
        </w:tc>
      </w:tr>
      <w:tr>
        <w:trPr>
          <w:trHeight w:val="18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1" w:type="dxa"/>
            <w:vAlign w:val="center"/>
            <w:textDirection w:val="lrTb"/>
            <w:noWrap w:val="false"/>
          </w:tcPr>
          <w:p>
            <w:pPr>
              <w:pStyle w:val="955"/>
              <w:jc w:val="center"/>
              <w:widowControl/>
              <w:rPr>
                <w:rFonts w:eastAsia="等线"/>
                <w:highlight w:val="none"/>
              </w:rPr>
            </w:pPr>
            <w:r>
              <w:rPr>
                <w:rFonts w:eastAsia="等线"/>
                <w:highlight w:val="none"/>
                <w:lang w:bidi="ar"/>
              </w:rPr>
              <w:t xml:space="preserve">2</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val="false"/>
          </w:tcPr>
          <w:p>
            <w:pPr>
              <w:pStyle w:val="955"/>
              <w:jc w:val="center"/>
              <w:widowControl/>
              <w:rPr>
                <w:rFonts w:eastAsia="等线"/>
                <w:highlight w:val="none"/>
              </w:rPr>
            </w:pPr>
            <w:r>
              <w:rPr>
                <w:rFonts w:eastAsia="等线"/>
                <w:highlight w:val="none"/>
                <w:lang w:bidi="ar"/>
              </w:rPr>
              <w:t xml:space="preserve">核心</w:t>
            </w:r>
            <w:r>
              <w:rPr>
                <w:rFonts w:eastAsia="等线"/>
                <w:highlight w:val="none"/>
                <w:lang w:bidi="ar"/>
              </w:rPr>
            </w:r>
            <w:r>
              <w:rPr>
                <w:highlight w:val="none"/>
              </w:rPr>
            </w:r>
          </w:p>
          <w:p>
            <w:pPr>
              <w:pStyle w:val="955"/>
              <w:jc w:val="center"/>
              <w:widowControl/>
              <w:rPr>
                <w:rFonts w:eastAsia="等线"/>
                <w:highlight w:val="none"/>
              </w:rPr>
            </w:pPr>
            <w:r>
              <w:rPr>
                <w:rFonts w:eastAsia="等线"/>
                <w:highlight w:val="none"/>
                <w:lang w:bidi="ar"/>
              </w:rPr>
              <w:t xml:space="preserve">产品</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55"/>
              <w:jc w:val="center"/>
              <w:widowControl/>
              <w:rPr>
                <w:rFonts w:eastAsia="等线"/>
                <w:highlight w:val="none"/>
              </w:rPr>
            </w:pPr>
            <w:r>
              <w:rPr>
                <w:rFonts w:eastAsia="等线"/>
                <w:highlight w:val="none"/>
                <w:lang w:bidi="ar"/>
              </w:rPr>
              <w:t xml:space="preserve">8</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54" w:type="dxa"/>
            <w:vAlign w:val="center"/>
            <w:textDirection w:val="lrTb"/>
            <w:noWrap w:val="false"/>
          </w:tcPr>
          <w:p>
            <w:pPr>
              <w:pStyle w:val="955"/>
              <w:spacing w:line="276" w:lineRule="auto"/>
              <w:rPr>
                <w:highlight w:val="none"/>
              </w:rPr>
            </w:pPr>
            <w:r>
              <w:rPr>
                <w:highlight w:val="none"/>
              </w:rPr>
              <w:t xml:space="preserve">根据投标人提供的核心产品的性能、质量和操控性</w:t>
            </w:r>
            <w:r>
              <w:rPr>
                <w:rFonts w:hint="eastAsia"/>
                <w:highlight w:val="none"/>
              </w:rPr>
              <w:t xml:space="preserve">、适用性</w:t>
            </w:r>
            <w:r>
              <w:rPr>
                <w:highlight w:val="none"/>
              </w:rPr>
              <w:t xml:space="preserve">等情况进行综合评定：</w:t>
            </w:r>
            <w:r>
              <w:rPr>
                <w:highlight w:val="none"/>
              </w:rPr>
            </w:r>
          </w:p>
          <w:p>
            <w:pPr>
              <w:pStyle w:val="955"/>
              <w:spacing w:line="276" w:lineRule="auto"/>
              <w:rPr>
                <w:rFonts w:hint="eastAsia"/>
                <w:highlight w:val="none"/>
              </w:rPr>
            </w:pPr>
            <w:r>
              <w:rPr>
                <w:highlight w:val="none"/>
              </w:rPr>
              <w:t xml:space="preserve">1.所投产品的先进性、通用性、操控性、可扩展性等方面内容</w:t>
            </w:r>
            <w:r>
              <w:rPr>
                <w:rFonts w:hint="eastAsia"/>
                <w:highlight w:val="none"/>
              </w:rPr>
              <w:t xml:space="preserve">综合横向</w:t>
            </w:r>
            <w:r>
              <w:rPr>
                <w:highlight w:val="none"/>
              </w:rPr>
              <w:t xml:space="preserve">比较，</w:t>
            </w:r>
            <w:r>
              <w:rPr>
                <w:rFonts w:hint="eastAsia"/>
                <w:highlight w:val="none"/>
              </w:rPr>
              <w:t xml:space="preserve">综合评定为优秀的</w:t>
            </w:r>
            <w:r>
              <w:rPr>
                <w:highlight w:val="none"/>
              </w:rPr>
              <w:t xml:space="preserve">4</w:t>
            </w:r>
            <w:r>
              <w:rPr>
                <w:rFonts w:hint="eastAsia"/>
                <w:highlight w:val="none"/>
              </w:rPr>
              <w:t xml:space="preserve">分，良好的得2分，一般的得</w:t>
            </w:r>
            <w:r>
              <w:rPr>
                <w:highlight w:val="none"/>
              </w:rPr>
              <w:t xml:space="preserve">0.5</w:t>
            </w:r>
            <w:r>
              <w:rPr>
                <w:rFonts w:hint="eastAsia"/>
                <w:highlight w:val="none"/>
              </w:rPr>
              <w:t xml:space="preserve">分。</w:t>
            </w:r>
            <w:r>
              <w:rPr>
                <w:rFonts w:hint="eastAsia"/>
                <w:highlight w:val="none"/>
              </w:rPr>
            </w:r>
            <w:r>
              <w:rPr>
                <w:highlight w:val="none"/>
              </w:rPr>
            </w:r>
          </w:p>
          <w:p>
            <w:pPr>
              <w:pStyle w:val="955"/>
              <w:spacing w:line="276" w:lineRule="auto"/>
              <w:rPr>
                <w:rFonts w:hint="eastAsia"/>
                <w:highlight w:val="none"/>
              </w:rPr>
            </w:pPr>
            <w:r>
              <w:rPr>
                <w:highlight w:val="none"/>
              </w:rPr>
              <w:t xml:space="preserve">2.所投产品</w:t>
            </w:r>
            <w:r>
              <w:rPr>
                <w:rFonts w:hint="eastAsia"/>
                <w:highlight w:val="none"/>
              </w:rPr>
              <w:t xml:space="preserve">与本项目的</w:t>
            </w:r>
            <w:r>
              <w:rPr>
                <w:highlight w:val="none"/>
              </w:rPr>
              <w:t xml:space="preserve">适用</w:t>
            </w:r>
            <w:r>
              <w:rPr>
                <w:rFonts w:hint="eastAsia"/>
                <w:highlight w:val="none"/>
              </w:rPr>
              <w:t xml:space="preserve">度</w:t>
            </w:r>
            <w:r>
              <w:rPr>
                <w:highlight w:val="none"/>
              </w:rPr>
              <w:t xml:space="preserve">、维护成本</w:t>
            </w:r>
            <w:r>
              <w:rPr>
                <w:rFonts w:hint="eastAsia"/>
                <w:highlight w:val="none"/>
              </w:rPr>
              <w:t xml:space="preserve">、增值服务</w:t>
            </w:r>
            <w:r>
              <w:rPr>
                <w:highlight w:val="none"/>
              </w:rPr>
              <w:t xml:space="preserve">等方面内容</w:t>
            </w:r>
            <w:r>
              <w:rPr>
                <w:rFonts w:hint="eastAsia"/>
                <w:highlight w:val="none"/>
              </w:rPr>
              <w:t xml:space="preserve">综合横向</w:t>
            </w:r>
            <w:r>
              <w:rPr>
                <w:highlight w:val="none"/>
              </w:rPr>
              <w:t xml:space="preserve">比较，</w:t>
            </w:r>
            <w:r>
              <w:rPr>
                <w:rFonts w:hint="eastAsia"/>
                <w:highlight w:val="none"/>
              </w:rPr>
              <w:t xml:space="preserve">综合评定为优秀的</w:t>
            </w:r>
            <w:r>
              <w:rPr>
                <w:highlight w:val="none"/>
              </w:rPr>
              <w:t xml:space="preserve">4</w:t>
            </w:r>
            <w:r>
              <w:rPr>
                <w:rFonts w:hint="eastAsia"/>
                <w:highlight w:val="none"/>
              </w:rPr>
              <w:t xml:space="preserve">分，良好的得2分，一般的得</w:t>
            </w:r>
            <w:r>
              <w:rPr>
                <w:highlight w:val="none"/>
              </w:rPr>
              <w:t xml:space="preserve">0.5</w:t>
            </w:r>
            <w:r>
              <w:rPr>
                <w:rFonts w:hint="eastAsia"/>
                <w:highlight w:val="none"/>
              </w:rPr>
              <w:t xml:space="preserve">分。</w:t>
            </w:r>
            <w:r>
              <w:rPr>
                <w:rFonts w:hint="eastAsia"/>
                <w:highlight w:val="none"/>
              </w:rPr>
            </w:r>
            <w:r>
              <w:rPr>
                <w:highlight w:val="none"/>
              </w:rPr>
            </w:r>
          </w:p>
        </w:tc>
      </w:tr>
      <w:tr>
        <w:trPr>
          <w:trHeight w:val="18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1" w:type="dxa"/>
            <w:vAlign w:val="center"/>
            <w:textDirection w:val="lrTb"/>
            <w:noWrap w:val="false"/>
          </w:tcPr>
          <w:p>
            <w:pPr>
              <w:pStyle w:val="955"/>
              <w:jc w:val="center"/>
              <w:widowControl/>
              <w:rPr>
                <w:rFonts w:eastAsia="等线"/>
                <w:highlight w:val="none"/>
              </w:rPr>
            </w:pPr>
            <w:r>
              <w:rPr>
                <w:rFonts w:eastAsia="等线"/>
                <w:highlight w:val="none"/>
                <w:lang w:bidi="ar"/>
              </w:rPr>
              <w:t xml:space="preserve">3</w:t>
            </w:r>
            <w:r>
              <w:rPr>
                <w:rFonts w:eastAsia="等线"/>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val="false"/>
          </w:tcPr>
          <w:p>
            <w:pPr>
              <w:pStyle w:val="955"/>
              <w:jc w:val="center"/>
              <w:widowControl/>
              <w:rPr>
                <w:rFonts w:eastAsia="等线"/>
                <w:highlight w:val="none"/>
              </w:rPr>
            </w:pPr>
            <w:r>
              <w:rPr>
                <w:rFonts w:eastAsia="等线"/>
                <w:highlight w:val="none"/>
                <w:lang w:bidi="ar"/>
              </w:rPr>
              <w:t xml:space="preserve">安装验收方案</w:t>
            </w:r>
            <w:r>
              <w:rPr>
                <w:rFonts w:eastAsia="等线"/>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55"/>
              <w:jc w:val="center"/>
              <w:widowControl/>
              <w:rPr>
                <w:rFonts w:eastAsia="等线"/>
                <w:highlight w:val="none"/>
              </w:rPr>
            </w:pPr>
            <w:r>
              <w:rPr>
                <w:rFonts w:eastAsia="等线"/>
                <w:highlight w:val="none"/>
                <w:lang w:bidi="ar"/>
              </w:rPr>
              <w:t xml:space="preserve">6</w:t>
            </w:r>
            <w:r>
              <w:rPr>
                <w:rFonts w:eastAsia="等线"/>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54" w:type="dxa"/>
            <w:vAlign w:val="center"/>
            <w:textDirection w:val="lrTb"/>
            <w:noWrap w:val="false"/>
          </w:tcPr>
          <w:p>
            <w:pPr>
              <w:pStyle w:val="955"/>
              <w:spacing w:line="276" w:lineRule="auto"/>
              <w:rPr>
                <w:highlight w:val="none"/>
              </w:rPr>
            </w:pPr>
            <w:r>
              <w:rPr>
                <w:highlight w:val="none"/>
              </w:rPr>
              <w:t xml:space="preserve">根据各投标人对投标产品的供货安装、调试及验收方案进行综合评审：</w:t>
            </w:r>
            <w:r>
              <w:rPr>
                <w:highlight w:val="none"/>
              </w:rPr>
            </w:r>
          </w:p>
          <w:p>
            <w:pPr>
              <w:pStyle w:val="955"/>
              <w:spacing w:line="276" w:lineRule="auto"/>
              <w:rPr>
                <w:highlight w:val="none"/>
              </w:rPr>
            </w:pPr>
            <w:r>
              <w:rPr>
                <w:highlight w:val="none"/>
              </w:rPr>
              <w:t xml:space="preserve">配套供货方案供货内容齐全、安装调试及验收安排有序详细可实施为优秀，得6分；配套供货方案供货内容基本齐全、安装调试及验收基本符合需求为良好，得3分；配套供货方案供货内容有遗漏、安装调试及验收不够条理的为一般，得1分；</w:t>
            </w:r>
            <w:r>
              <w:rPr>
                <w:highlight w:val="none"/>
              </w:rPr>
            </w:r>
          </w:p>
          <w:p>
            <w:pPr>
              <w:pStyle w:val="955"/>
              <w:spacing w:line="276" w:lineRule="auto"/>
              <w:rPr>
                <w:highlight w:val="none"/>
              </w:rPr>
            </w:pPr>
            <w:r>
              <w:rPr>
                <w:highlight w:val="none"/>
              </w:rPr>
              <w:t xml:space="preserve">未提供相应内容的得0分</w:t>
            </w:r>
            <w:r>
              <w:rPr>
                <w:highlight w:val="none"/>
              </w:rPr>
              <w:t xml:space="preserve">。</w:t>
            </w:r>
            <w:r>
              <w:rPr>
                <w:highlight w:val="none"/>
              </w:rPr>
            </w:r>
          </w:p>
        </w:tc>
      </w:tr>
      <w:tr>
        <w:trPr>
          <w:trHeight w:val="5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1" w:type="dxa"/>
            <w:vAlign w:val="center"/>
            <w:textDirection w:val="lrTb"/>
            <w:noWrap w:val="false"/>
          </w:tcPr>
          <w:p>
            <w:pPr>
              <w:pStyle w:val="955"/>
              <w:jc w:val="center"/>
              <w:widowControl/>
              <w:rPr>
                <w:rFonts w:eastAsia="等线"/>
                <w:highlight w:val="none"/>
              </w:rPr>
            </w:pPr>
            <w:r>
              <w:rPr>
                <w:rFonts w:hint="eastAsia" w:eastAsia="等线"/>
                <w:highlight w:val="none"/>
                <w:lang w:bidi="ar"/>
              </w:rPr>
              <w:t xml:space="preserve">4</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val="false"/>
          </w:tcPr>
          <w:p>
            <w:pPr>
              <w:pStyle w:val="955"/>
              <w:jc w:val="center"/>
              <w:widowControl/>
              <w:rPr>
                <w:highlight w:val="none"/>
              </w:rPr>
            </w:pPr>
            <w:r>
              <w:rPr>
                <w:rFonts w:eastAsia="等线"/>
                <w:highlight w:val="none"/>
                <w:lang w:bidi="ar"/>
              </w:rPr>
              <w:t xml:space="preserve">售后服务方案</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55"/>
              <w:jc w:val="center"/>
              <w:widowControl/>
              <w:rPr>
                <w:rFonts w:eastAsia="等线"/>
                <w:highlight w:val="none"/>
              </w:rPr>
            </w:pPr>
            <w:r>
              <w:rPr>
                <w:rFonts w:eastAsia="等线"/>
                <w:highlight w:val="none"/>
                <w:lang w:bidi="ar"/>
              </w:rPr>
              <w:t xml:space="preserve">5</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54" w:type="dxa"/>
            <w:vAlign w:val="center"/>
            <w:textDirection w:val="lrTb"/>
            <w:noWrap w:val="false"/>
          </w:tcPr>
          <w:p>
            <w:pPr>
              <w:pStyle w:val="955"/>
              <w:spacing w:line="276" w:lineRule="auto"/>
              <w:rPr>
                <w:highlight w:val="none"/>
              </w:rPr>
            </w:pPr>
            <w:r>
              <w:rPr>
                <w:highlight w:val="none"/>
              </w:rPr>
              <w:t xml:space="preserve">根据投标人提供的售后服务方案进行综合评定：投标人须编制详细的售后服务方案，包括但不限于免费保修期、保修内容（包括费用）、应急维修时间安排、免费保修期及质保期满后的承诺、培训计划及人员安排等内容。</w:t>
            </w:r>
            <w:r>
              <w:rPr>
                <w:highlight w:val="none"/>
              </w:rPr>
            </w:r>
          </w:p>
          <w:p>
            <w:pPr>
              <w:pStyle w:val="955"/>
              <w:spacing w:line="276" w:lineRule="auto"/>
              <w:rPr>
                <w:highlight w:val="none"/>
              </w:rPr>
            </w:pPr>
            <w:r>
              <w:rPr>
                <w:highlight w:val="none"/>
              </w:rPr>
              <w:t xml:space="preserve">方案详细具体、具有针对性、可操作性强为优秀，得5分；</w:t>
            </w:r>
            <w:r>
              <w:rPr>
                <w:highlight w:val="none"/>
              </w:rPr>
            </w:r>
          </w:p>
          <w:p>
            <w:pPr>
              <w:pStyle w:val="955"/>
              <w:spacing w:line="276" w:lineRule="auto"/>
              <w:rPr>
                <w:highlight w:val="none"/>
              </w:rPr>
            </w:pPr>
            <w:r>
              <w:rPr>
                <w:highlight w:val="none"/>
              </w:rPr>
              <w:t xml:space="preserve">方案相对具体、针对性一般、可操作性较强为良好得3分；</w:t>
            </w:r>
            <w:r>
              <w:rPr>
                <w:highlight w:val="none"/>
              </w:rPr>
            </w:r>
          </w:p>
          <w:p>
            <w:pPr>
              <w:pStyle w:val="955"/>
              <w:spacing w:line="276" w:lineRule="auto"/>
              <w:rPr>
                <w:highlight w:val="none"/>
              </w:rPr>
            </w:pPr>
            <w:r>
              <w:rPr>
                <w:highlight w:val="none"/>
              </w:rPr>
              <w:t xml:space="preserve">方案相对简单、有一定可操作性为一般，得2分；</w:t>
            </w:r>
            <w:r>
              <w:rPr>
                <w:highlight w:val="none"/>
              </w:rPr>
            </w:r>
          </w:p>
          <w:p>
            <w:pPr>
              <w:pStyle w:val="955"/>
              <w:spacing w:line="276" w:lineRule="auto"/>
              <w:rPr>
                <w:highlight w:val="none"/>
              </w:rPr>
            </w:pPr>
            <w:r>
              <w:rPr>
                <w:highlight w:val="none"/>
              </w:rPr>
              <w:t xml:space="preserve">方案不具有针对性、不具可操作性为较差，得1分；</w:t>
            </w:r>
            <w:r>
              <w:rPr>
                <w:highlight w:val="none"/>
              </w:rPr>
            </w:r>
          </w:p>
          <w:p>
            <w:pPr>
              <w:pStyle w:val="955"/>
              <w:spacing w:line="276" w:lineRule="auto"/>
              <w:rPr>
                <w:highlight w:val="none"/>
              </w:rPr>
            </w:pPr>
            <w:r>
              <w:rPr>
                <w:highlight w:val="none"/>
              </w:rPr>
              <w:t xml:space="preserve">未提供相应内容得0分。</w:t>
            </w:r>
            <w:r>
              <w:rPr>
                <w:highlight w:val="none"/>
              </w:rPr>
            </w:r>
          </w:p>
        </w:tc>
      </w:tr>
      <w:tr>
        <w:trPr>
          <w:trHeight w:val="14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1" w:type="dxa"/>
            <w:vAlign w:val="center"/>
            <w:textDirection w:val="lrTb"/>
            <w:noWrap w:val="false"/>
          </w:tcPr>
          <w:p>
            <w:pPr>
              <w:pStyle w:val="955"/>
              <w:jc w:val="center"/>
              <w:widowControl/>
              <w:rPr>
                <w:rFonts w:eastAsia="等线"/>
                <w:highlight w:val="none"/>
              </w:rPr>
            </w:pPr>
            <w:r>
              <w:rPr>
                <w:rFonts w:hint="eastAsia" w:eastAsia="等线"/>
                <w:highlight w:val="none"/>
                <w:lang w:bidi="ar"/>
              </w:rPr>
              <w:t xml:space="preserve">5</w:t>
            </w:r>
            <w:r>
              <w:rPr>
                <w:rFonts w:eastAsia="等线"/>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val="false"/>
          </w:tcPr>
          <w:p>
            <w:pPr>
              <w:pStyle w:val="955"/>
              <w:jc w:val="center"/>
              <w:widowControl/>
              <w:rPr>
                <w:rFonts w:eastAsia="等线"/>
                <w:highlight w:val="none"/>
              </w:rPr>
            </w:pPr>
            <w:r>
              <w:rPr>
                <w:rFonts w:eastAsia="等线"/>
                <w:highlight w:val="none"/>
                <w:lang w:bidi="ar"/>
              </w:rPr>
              <w:t xml:space="preserve">投标人资质</w:t>
            </w:r>
            <w:r>
              <w:rPr>
                <w:rFonts w:eastAsia="等线"/>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55"/>
              <w:jc w:val="center"/>
              <w:widowControl/>
              <w:rPr>
                <w:rFonts w:eastAsia="等线"/>
                <w:highlight w:val="none"/>
              </w:rPr>
            </w:pPr>
            <w:r>
              <w:rPr>
                <w:rFonts w:hint="eastAsia" w:eastAsia="等线"/>
                <w:highlight w:val="none"/>
                <w:lang w:bidi="ar"/>
              </w:rPr>
              <w:t xml:space="preserve">6</w:t>
            </w:r>
            <w:r>
              <w:rPr>
                <w:rFonts w:eastAsia="等线"/>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54" w:type="dxa"/>
            <w:vAlign w:val="center"/>
            <w:textDirection w:val="lrTb"/>
            <w:noWrap w:val="false"/>
          </w:tcPr>
          <w:p>
            <w:pPr>
              <w:pStyle w:val="955"/>
              <w:jc w:val="left"/>
              <w:rPr>
                <w:highlight w:val="none"/>
              </w:rPr>
            </w:pPr>
            <w:r>
              <w:rPr>
                <w:highlight w:val="none"/>
              </w:rPr>
              <w:t xml:space="preserve">投标人具有的相关认证认可资质的证书</w:t>
            </w:r>
            <w:r>
              <w:rPr>
                <w:rFonts w:hint="eastAsia"/>
                <w:highlight w:val="none"/>
              </w:rPr>
              <w:t xml:space="preserve">：</w:t>
            </w:r>
            <w:r>
              <w:rPr>
                <w:highlight w:val="none"/>
              </w:rPr>
            </w:r>
          </w:p>
          <w:p>
            <w:pPr>
              <w:pStyle w:val="955"/>
              <w:spacing w:line="273" w:lineRule="auto"/>
              <w:rPr>
                <w:highlight w:val="none"/>
              </w:rPr>
            </w:pPr>
            <w:r>
              <w:rPr>
                <w:rFonts w:hint="eastAsia"/>
                <w:highlight w:val="none"/>
              </w:rPr>
              <w:t xml:space="preserve">1. 同时具有ISO 9001质量管理体系认证证书、ISO 14001环境管理体系认证证书、ISO 45001职业健康安全管理体系认证证书，得</w:t>
            </w:r>
            <w:r>
              <w:rPr>
                <w:highlight w:val="none"/>
              </w:rPr>
              <w:t xml:space="preserve">1</w:t>
            </w:r>
            <w:r>
              <w:rPr>
                <w:rFonts w:hint="eastAsia"/>
                <w:highlight w:val="none"/>
              </w:rPr>
              <w:t xml:space="preserve">分，缺一项不得分；</w:t>
            </w:r>
            <w:r>
              <w:rPr>
                <w:highlight w:val="none"/>
              </w:rPr>
            </w:r>
          </w:p>
          <w:p>
            <w:pPr>
              <w:pStyle w:val="955"/>
              <w:rPr>
                <w:highlight w:val="none"/>
              </w:rPr>
            </w:pPr>
            <w:r>
              <w:rPr>
                <w:rFonts w:hint="eastAsia"/>
                <w:highlight w:val="none"/>
              </w:rPr>
              <w:t xml:space="preserve">2. 具有GB/T 27922-2011商品售后服务评价四星级以上认证证书，得1分；</w:t>
            </w:r>
            <w:r>
              <w:rPr>
                <w:highlight w:val="none"/>
              </w:rPr>
            </w:r>
          </w:p>
          <w:p>
            <w:pPr>
              <w:pStyle w:val="955"/>
              <w:spacing w:line="276" w:lineRule="auto"/>
              <w:rPr>
                <w:highlight w:val="none"/>
              </w:rPr>
            </w:pPr>
            <w:r>
              <w:rPr>
                <w:rFonts w:hint="eastAsia"/>
                <w:highlight w:val="none"/>
              </w:rPr>
              <w:t xml:space="preserve">3. 具有辐射安全许可证书，得</w:t>
            </w:r>
            <w:r>
              <w:rPr>
                <w:highlight w:val="none"/>
              </w:rPr>
              <w:t xml:space="preserve">4</w:t>
            </w:r>
            <w:r>
              <w:rPr>
                <w:rFonts w:hint="eastAsia"/>
                <w:highlight w:val="none"/>
              </w:rPr>
              <w:t xml:space="preserve">分。</w:t>
            </w:r>
            <w:r>
              <w:rPr>
                <w:highlight w:val="none"/>
              </w:rPr>
            </w:r>
          </w:p>
        </w:tc>
      </w:tr>
      <w:tr>
        <w:trPr>
          <w:trHeight w:val="17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41" w:type="dxa"/>
            <w:vAlign w:val="center"/>
            <w:textDirection w:val="lrTb"/>
            <w:noWrap w:val="false"/>
          </w:tcPr>
          <w:p>
            <w:pPr>
              <w:pStyle w:val="955"/>
              <w:jc w:val="center"/>
              <w:widowControl/>
              <w:rPr>
                <w:rFonts w:eastAsia="等线"/>
                <w:highlight w:val="none"/>
              </w:rPr>
            </w:pPr>
            <w:r>
              <w:rPr>
                <w:rFonts w:hint="eastAsia" w:eastAsia="等线"/>
                <w:highlight w:val="none"/>
                <w:lang w:bidi="ar"/>
              </w:rPr>
              <w:t xml:space="preserve">6</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0" w:type="dxa"/>
            <w:vAlign w:val="center"/>
            <w:textDirection w:val="lrTb"/>
            <w:noWrap w:val="false"/>
          </w:tcPr>
          <w:p>
            <w:pPr>
              <w:pStyle w:val="955"/>
              <w:jc w:val="center"/>
              <w:widowControl/>
              <w:rPr>
                <w:rFonts w:eastAsia="等线"/>
                <w:highlight w:val="none"/>
              </w:rPr>
            </w:pPr>
            <w:r>
              <w:rPr>
                <w:rFonts w:eastAsia="等线"/>
                <w:highlight w:val="none"/>
                <w:lang w:bidi="ar"/>
              </w:rPr>
              <w:t xml:space="preserve">投标人</w:t>
            </w:r>
            <w:r>
              <w:rPr>
                <w:rFonts w:eastAsia="等线"/>
                <w:highlight w:val="none"/>
                <w:lang w:bidi="ar"/>
              </w:rPr>
              <w:br w:type="textWrapping" w:clear="all"/>
            </w:r>
            <w:r>
              <w:rPr>
                <w:rFonts w:eastAsia="等线"/>
                <w:highlight w:val="none"/>
                <w:lang w:bidi="ar"/>
              </w:rPr>
              <w:t xml:space="preserve">承诺</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55"/>
              <w:jc w:val="center"/>
              <w:widowControl/>
              <w:rPr>
                <w:rFonts w:eastAsia="等线"/>
                <w:highlight w:val="none"/>
              </w:rPr>
            </w:pPr>
            <w:r>
              <w:rPr>
                <w:rFonts w:hint="eastAsia" w:eastAsia="等线"/>
                <w:highlight w:val="none"/>
                <w:lang w:bidi="ar"/>
              </w:rPr>
              <w:t xml:space="preserve">3</w:t>
            </w:r>
            <w:r>
              <w:rPr>
                <w:rFonts w:eastAsia="等线"/>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54" w:type="dxa"/>
            <w:vAlign w:val="center"/>
            <w:textDirection w:val="lrTb"/>
            <w:noWrap w:val="false"/>
          </w:tcPr>
          <w:p>
            <w:pPr>
              <w:pStyle w:val="955"/>
              <w:spacing w:line="276" w:lineRule="auto"/>
              <w:rPr>
                <w:highlight w:val="none"/>
              </w:rPr>
            </w:pPr>
            <w:r>
              <w:rPr>
                <w:highlight w:val="none"/>
              </w:rPr>
              <w:t xml:space="preserve">投标人及</w:t>
            </w:r>
            <w:r>
              <w:rPr>
                <w:rFonts w:hint="eastAsia"/>
                <w:highlight w:val="none"/>
              </w:rPr>
              <w:t xml:space="preserve">制造商</w:t>
            </w:r>
            <w:r>
              <w:rPr>
                <w:highlight w:val="none"/>
              </w:rPr>
              <w:t xml:space="preserve">出具并盖章的承诺函（承诺函格式自拟）：</w:t>
            </w:r>
            <w:r>
              <w:rPr>
                <w:highlight w:val="none"/>
              </w:rPr>
            </w:r>
          </w:p>
          <w:p>
            <w:pPr>
              <w:pStyle w:val="955"/>
              <w:spacing w:line="276" w:lineRule="auto"/>
              <w:rPr>
                <w:highlight w:val="none"/>
              </w:rPr>
            </w:pPr>
            <w:r>
              <w:rPr>
                <w:highlight w:val="none"/>
              </w:rPr>
              <w:t xml:space="preserve">1.承诺投标型号为生产厂家的最新型号；</w:t>
            </w:r>
            <w:r>
              <w:rPr>
                <w:highlight w:val="none"/>
              </w:rPr>
            </w:r>
          </w:p>
          <w:p>
            <w:pPr>
              <w:pStyle w:val="955"/>
              <w:spacing w:line="276" w:lineRule="auto"/>
              <w:rPr>
                <w:highlight w:val="none"/>
              </w:rPr>
            </w:pPr>
            <w:r>
              <w:rPr>
                <w:highlight w:val="none"/>
              </w:rPr>
              <w:t xml:space="preserve">2.承诺其提交的相关材料真实有效，如有不实，愿承担承担虚假应标的相关责任； </w:t>
            </w:r>
            <w:r>
              <w:rPr>
                <w:highlight w:val="none"/>
              </w:rPr>
            </w:r>
          </w:p>
          <w:p>
            <w:pPr>
              <w:pStyle w:val="955"/>
              <w:spacing w:line="276" w:lineRule="auto"/>
              <w:rPr>
                <w:highlight w:val="none"/>
              </w:rPr>
            </w:pPr>
            <w:r>
              <w:rPr>
                <w:highlight w:val="none"/>
              </w:rPr>
              <w:t xml:space="preserve">3.承诺每项参数都可作为验收的依据，参数验收时如果不能符合标书要求，投标人按投标价的30%作为对业主的赔偿，仪器退回，合同作废。</w:t>
            </w:r>
            <w:r>
              <w:rPr>
                <w:highlight w:val="none"/>
              </w:rPr>
            </w:r>
          </w:p>
          <w:p>
            <w:pPr>
              <w:pStyle w:val="955"/>
              <w:spacing w:line="276" w:lineRule="auto"/>
              <w:rPr>
                <w:highlight w:val="none"/>
              </w:rPr>
            </w:pPr>
            <w:r>
              <w:rPr>
                <w:highlight w:val="none"/>
              </w:rPr>
              <w:t xml:space="preserve">无公章、不完整或有歧义的视同未提交，未提交不得分。</w:t>
            </w:r>
            <w:r>
              <w:rPr>
                <w:highlight w:val="none"/>
              </w:rPr>
            </w:r>
          </w:p>
        </w:tc>
      </w:tr>
      <w:tr>
        <w:trPr>
          <w:trHeight w:val="968"/>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54" w:type="dxa"/>
            <w:vAlign w:val="center"/>
            <w:textDirection w:val="lrTb"/>
            <w:noWrap w:val="false"/>
          </w:tcPr>
          <w:p>
            <w:pPr>
              <w:pStyle w:val="955"/>
              <w:ind w:firstLine="420"/>
              <w:spacing w:line="360" w:lineRule="auto"/>
              <w:rPr>
                <w:highlight w:val="none"/>
              </w:rPr>
            </w:pPr>
            <w:r>
              <w:rPr>
                <w:highlight w:val="none"/>
              </w:rPr>
              <w:t xml:space="preserve">注:请投标人根据评分标准制作评分索引并放在评审内容的前面，评分索引中应标明每个评分点的页码范围，如投标文件内容顺序混乱，导致评委无法查看，后果自负。</w:t>
            </w:r>
            <w:r>
              <w:rPr>
                <w:highlight w:val="none"/>
              </w:rPr>
            </w:r>
          </w:p>
        </w:tc>
      </w:tr>
    </w:tbl>
    <w:p>
      <w:pPr>
        <w:pStyle w:val="955"/>
        <w:ind w:firstLine="480"/>
        <w:spacing w:line="480" w:lineRule="exact"/>
        <w:rPr>
          <w:rFonts w:ascii="宋体" w:hAnsi="宋体"/>
          <w:b/>
          <w:bCs/>
          <w:sz w:val="24"/>
          <w:szCs w:val="22"/>
          <w:highlight w:val="none"/>
        </w:rPr>
      </w:pPr>
      <w:r>
        <w:rPr>
          <w:rFonts w:hint="eastAsia" w:ascii="宋体" w:hAnsi="宋体" w:cs="宋体"/>
          <w:b/>
          <w:bCs/>
          <w:sz w:val="24"/>
          <w:szCs w:val="24"/>
          <w:highlight w:val="none"/>
        </w:rPr>
        <w:t xml:space="preserve">2</w:t>
      </w:r>
      <w:r>
        <w:rPr>
          <w:rFonts w:hint="eastAsia" w:ascii="宋体" w:hAnsi="宋体"/>
          <w:b/>
          <w:bCs/>
          <w:sz w:val="24"/>
          <w:szCs w:val="22"/>
          <w:highlight w:val="none"/>
        </w:rPr>
        <w:t xml:space="preserve">、</w:t>
      </w:r>
      <w:r>
        <w:rPr>
          <w:rFonts w:ascii="宋体" w:hAnsi="宋体"/>
          <w:b/>
          <w:bCs/>
          <w:sz w:val="24"/>
          <w:szCs w:val="22"/>
          <w:highlight w:val="none"/>
        </w:rPr>
        <w:t xml:space="preserve">价格分：</w:t>
      </w:r>
      <w:r>
        <w:rPr>
          <w:rFonts w:hint="eastAsia" w:ascii="宋体" w:hAnsi="宋体"/>
          <w:b/>
          <w:bCs/>
          <w:sz w:val="24"/>
          <w:szCs w:val="22"/>
          <w:highlight w:val="none"/>
        </w:rPr>
        <w:t xml:space="preserve">3</w:t>
      </w:r>
      <w:r>
        <w:rPr>
          <w:rFonts w:ascii="宋体" w:hAnsi="宋体"/>
          <w:b/>
          <w:bCs/>
          <w:sz w:val="24"/>
          <w:szCs w:val="22"/>
          <w:highlight w:val="none"/>
        </w:rPr>
        <w:t xml:space="preserve">0分</w:t>
      </w:r>
      <w:r>
        <w:rPr>
          <w:rFonts w:ascii="宋体" w:hAnsi="宋体"/>
          <w:b/>
          <w:bCs/>
          <w:sz w:val="24"/>
          <w:szCs w:val="22"/>
          <w:highlight w:val="none"/>
        </w:rPr>
      </w:r>
      <w:r>
        <w:rPr>
          <w:highlight w:val="none"/>
        </w:rPr>
      </w:r>
    </w:p>
    <w:p>
      <w:pPr>
        <w:pStyle w:val="955"/>
        <w:ind w:firstLine="480"/>
        <w:spacing w:line="480" w:lineRule="exact"/>
        <w:rPr>
          <w:rFonts w:ascii="宋体" w:hAnsi="宋体" w:cs="宋体"/>
          <w:sz w:val="24"/>
          <w:szCs w:val="24"/>
          <w:highlight w:val="none"/>
        </w:rPr>
      </w:pPr>
      <w:r>
        <w:rPr>
          <w:highlight w:val="none"/>
        </w:rPr>
      </w:r>
      <w:bookmarkStart w:id="205" w:name="_Hlk166352061"/>
      <w:r>
        <w:rPr>
          <w:rFonts w:hint="eastAsia" w:ascii="宋体" w:hAnsi="宋体" w:cs="宋体"/>
          <w:sz w:val="24"/>
          <w:szCs w:val="24"/>
          <w:highlight w:val="none"/>
        </w:rPr>
        <w:t xml:space="preserve">满足招标文件要求且投标报价（评标价）最低的报价为评标基准价，其价格标得分为满分；其他供应商的价格分按下列公式计算：</w:t>
      </w:r>
      <w:r>
        <w:rPr>
          <w:rFonts w:ascii="宋体" w:hAnsi="宋体" w:cs="宋体"/>
          <w:sz w:val="24"/>
          <w:szCs w:val="24"/>
          <w:highlight w:val="none"/>
        </w:rPr>
      </w:r>
      <w:r>
        <w:rPr>
          <w:highlight w:val="none"/>
        </w:rPr>
      </w:r>
    </w:p>
    <w:p>
      <w:pPr>
        <w:pStyle w:val="955"/>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价格标得分=（评标基准价/投标报价）×30%×100。</w:t>
      </w:r>
      <w:r>
        <w:rPr>
          <w:rFonts w:ascii="宋体" w:hAnsi="宋体" w:cs="宋体"/>
          <w:sz w:val="24"/>
          <w:szCs w:val="24"/>
          <w:highlight w:val="none"/>
        </w:rPr>
      </w:r>
      <w:r>
        <w:rPr>
          <w:highlight w:val="none"/>
        </w:rPr>
      </w:r>
    </w:p>
    <w:p>
      <w:pPr>
        <w:pStyle w:val="955"/>
        <w:ind w:firstLine="480"/>
        <w:spacing w:line="480" w:lineRule="exact"/>
        <w:rPr>
          <w:rFonts w:ascii="Calibri" w:hAnsi="Calibri"/>
          <w:b/>
          <w:bCs/>
          <w:sz w:val="24"/>
          <w:szCs w:val="22"/>
          <w:highlight w:val="none"/>
        </w:rPr>
      </w:pPr>
      <w:r>
        <w:rPr>
          <w:highlight w:val="none"/>
        </w:rPr>
      </w:r>
      <w:bookmarkEnd w:id="205"/>
      <w:r>
        <w:rPr>
          <w:rFonts w:hint="eastAsia" w:ascii="Calibri" w:hAnsi="Calibri"/>
          <w:b/>
          <w:bCs/>
          <w:sz w:val="24"/>
          <w:szCs w:val="22"/>
          <w:highlight w:val="none"/>
        </w:rPr>
        <w:t xml:space="preserve">评标小组认为供应商的报价明显低于其他通过符合性审查供应商的报价，有可能影响产品质量或者不能诚信履约的，应当要求其在30分钟内提供书面说明，必要时提交相关证明材料；供应商不能证明其报价合理性的，评标小组应当将其作为无效响应处理。</w:t>
      </w:r>
      <w:r>
        <w:rPr>
          <w:rFonts w:ascii="Calibri" w:hAnsi="Calibri"/>
          <w:b/>
          <w:bCs/>
          <w:sz w:val="24"/>
          <w:szCs w:val="22"/>
          <w:highlight w:val="none"/>
        </w:rPr>
      </w:r>
      <w:r>
        <w:rPr>
          <w:highlight w:val="none"/>
        </w:rPr>
      </w:r>
    </w:p>
    <w:p>
      <w:pPr>
        <w:pStyle w:val="955"/>
        <w:ind w:firstLine="480"/>
        <w:spacing w:line="480" w:lineRule="exact"/>
        <w:rPr>
          <w:rFonts w:hint="eastAsia" w:ascii="宋体" w:hAnsi="宋体"/>
          <w:b/>
          <w:bCs/>
          <w:sz w:val="24"/>
          <w:szCs w:val="22"/>
          <w:highlight w:val="none"/>
        </w:rPr>
      </w:pPr>
      <w:r>
        <w:rPr>
          <w:rFonts w:hint="eastAsia" w:ascii="宋体" w:hAnsi="宋体"/>
          <w:b/>
          <w:bCs/>
          <w:sz w:val="24"/>
          <w:szCs w:val="22"/>
          <w:highlight w:val="none"/>
        </w:rPr>
        <w:t xml:space="preserve">3、</w:t>
      </w:r>
      <w:r>
        <w:rPr>
          <w:rFonts w:ascii="宋体" w:hAnsi="宋体"/>
          <w:b/>
          <w:bCs/>
          <w:sz w:val="24"/>
          <w:szCs w:val="22"/>
          <w:highlight w:val="none"/>
        </w:rPr>
        <w:t xml:space="preserve">政府采购政策功能落实</w:t>
      </w:r>
      <w:r>
        <w:rPr>
          <w:rFonts w:hint="eastAsia" w:ascii="宋体" w:hAnsi="宋体"/>
          <w:b/>
          <w:bCs/>
          <w:sz w:val="24"/>
          <w:szCs w:val="22"/>
          <w:highlight w:val="none"/>
        </w:rPr>
      </w:r>
      <w:r>
        <w:rPr>
          <w:highlight w:val="none"/>
        </w:rPr>
      </w:r>
    </w:p>
    <w:p>
      <w:pPr>
        <w:pStyle w:val="955"/>
        <w:ind w:firstLine="48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1、小微型企业价格扣除</w:t>
      </w:r>
      <w:r>
        <w:rPr>
          <w:rFonts w:ascii="宋体" w:hAnsi="宋体" w:cs="宋体"/>
          <w:sz w:val="24"/>
          <w:szCs w:val="22"/>
          <w:highlight w:val="none"/>
        </w:rPr>
      </w:r>
      <w:r>
        <w:rPr>
          <w:highlight w:val="none"/>
        </w:rPr>
      </w:r>
    </w:p>
    <w:p>
      <w:pPr>
        <w:pStyle w:val="955"/>
        <w:ind w:firstLine="48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（1）本项目对小型和微型企业产品给予</w:t>
      </w:r>
      <w:r>
        <w:rPr>
          <w:rFonts w:hint="eastAsia" w:ascii="宋体" w:hAnsi="宋体" w:cs="宋体"/>
          <w:sz w:val="24"/>
          <w:szCs w:val="22"/>
          <w:highlight w:val="none"/>
          <w:lang w:val="en-US" w:eastAsia="zh-CN" w:bidi="ar"/>
        </w:rPr>
        <w:t xml:space="preserve">1</w:t>
      </w:r>
      <w:r>
        <w:rPr>
          <w:rFonts w:hint="eastAsia" w:ascii="宋体" w:hAnsi="宋体" w:cs="宋体"/>
          <w:sz w:val="24"/>
          <w:szCs w:val="22"/>
          <w:highlight w:val="none"/>
          <w:lang w:bidi="ar"/>
        </w:rPr>
        <w:t xml:space="preserve">0%的扣除价格，用扣除后的价格参与评审。</w:t>
      </w:r>
      <w:r>
        <w:rPr>
          <w:rFonts w:ascii="宋体" w:hAnsi="宋体" w:cs="宋体"/>
          <w:sz w:val="24"/>
          <w:szCs w:val="22"/>
          <w:highlight w:val="none"/>
        </w:rPr>
      </w:r>
      <w:r>
        <w:rPr>
          <w:highlight w:val="none"/>
        </w:rPr>
      </w:r>
    </w:p>
    <w:p>
      <w:pPr>
        <w:pStyle w:val="955"/>
        <w:ind w:firstLine="48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（2）供应商需按照《政府采购促进中小企业发展管理办法》（财库﹝2020﹞46 号）的规定提供相应的《中小企业声明函》。</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（3）企业标准请参照《关于印发中小企业划型标准规定的通知》（工信部联企业[2011]300号）文件规定自行填写。</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2、残疾人福利单位价格扣除</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（1）本项目对残疾人福利性单位，给予</w:t>
      </w:r>
      <w:r>
        <w:rPr>
          <w:rFonts w:hint="eastAsia" w:ascii="宋体" w:hAnsi="宋体" w:cs="宋体"/>
          <w:sz w:val="24"/>
          <w:szCs w:val="22"/>
          <w:highlight w:val="none"/>
          <w:lang w:val="en-US" w:eastAsia="zh-CN" w:bidi="ar"/>
        </w:rPr>
        <w:t xml:space="preserve">1</w:t>
      </w:r>
      <w:r>
        <w:rPr>
          <w:rFonts w:hint="eastAsia" w:ascii="宋体" w:hAnsi="宋体" w:cs="宋体"/>
          <w:sz w:val="24"/>
          <w:szCs w:val="22"/>
          <w:highlight w:val="none"/>
          <w:lang w:bidi="ar"/>
        </w:rPr>
        <w:t xml:space="preserve">0%的价格扣除，用扣除后的价格参与评审。</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（2）残疾人福利单位需按照采购文件的要求提供《残疾人福利性单位声明函》。</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（3）残疾人福利单位标准请参照《关于促进残疾人就业政府采购政策的通知》（财库〔2017〕141号）。</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4、监狱和戒毒企业价格扣除</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（1）本项目对监狱和戒毒企业（简称监狱企业）给予10%的价格扣除，用扣除后的价格参与评审。</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（3）监狱企业标准请参照《关于政府采购支持监狱企业发展有关问题的通知》（财库[2014]68号）。</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5、残疾人福利单位、监狱企业属于小型、微型企业的，不重复享受政策。</w:t>
      </w:r>
      <w:r>
        <w:rPr>
          <w:rFonts w:ascii="宋体" w:hAnsi="宋体" w:cs="宋体"/>
          <w:sz w:val="24"/>
          <w:szCs w:val="22"/>
          <w:highlight w:val="none"/>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6、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ascii="宋体" w:hAnsi="宋体" w:cs="宋体"/>
          <w:sz w:val="24"/>
          <w:szCs w:val="22"/>
          <w:highlight w:val="none"/>
          <w:lang w:bidi="ar"/>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7、联合体各方均为小型、微型企业（残疾人福利单位、监狱企业）的，联合体享受上述同类价格扣除，用扣除后的价格参与评审。</w:t>
      </w:r>
      <w:r>
        <w:rPr>
          <w:rFonts w:ascii="宋体" w:hAnsi="宋体" w:cs="宋体"/>
          <w:sz w:val="24"/>
          <w:szCs w:val="22"/>
          <w:highlight w:val="none"/>
          <w:lang w:bidi="ar"/>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8、专门面向中小企业采购的项目或者采购包，不再执行价格评审优惠的扶持政策。</w:t>
      </w:r>
      <w:r>
        <w:rPr>
          <w:rFonts w:ascii="宋体" w:hAnsi="宋体" w:cs="宋体"/>
          <w:sz w:val="24"/>
          <w:szCs w:val="22"/>
          <w:highlight w:val="none"/>
          <w:lang w:bidi="ar"/>
        </w:rPr>
      </w:r>
      <w:r>
        <w:rPr>
          <w:highlight w:val="none"/>
        </w:rPr>
      </w:r>
    </w:p>
    <w:p>
      <w:pPr>
        <w:pStyle w:val="955"/>
        <w:ind w:firstLine="570"/>
        <w:spacing w:line="480" w:lineRule="exact"/>
        <w:rPr>
          <w:rFonts w:ascii="宋体" w:hAnsi="宋体" w:cs="宋体"/>
          <w:b/>
          <w:bCs/>
          <w:sz w:val="24"/>
          <w:szCs w:val="22"/>
          <w:highlight w:val="none"/>
        </w:rPr>
      </w:pPr>
      <w:r>
        <w:rPr>
          <w:rFonts w:hint="eastAsia" w:ascii="宋体" w:hAnsi="宋体" w:cs="宋体"/>
          <w:b/>
          <w:bCs/>
          <w:sz w:val="24"/>
          <w:szCs w:val="22"/>
          <w:highlight w:val="none"/>
          <w:lang w:bidi="ar"/>
        </w:rPr>
        <w:t xml:space="preserve">九、中标</w:t>
      </w:r>
      <w:r>
        <w:rPr>
          <w:rFonts w:ascii="宋体" w:hAnsi="宋体" w:cs="宋体"/>
          <w:b/>
          <w:bCs/>
          <w:sz w:val="24"/>
          <w:szCs w:val="22"/>
          <w:highlight w:val="none"/>
          <w:lang w:bidi="ar"/>
        </w:rPr>
        <w:t xml:space="preserve">供应商的确定</w:t>
      </w:r>
      <w:r>
        <w:rPr>
          <w:rFonts w:ascii="宋体" w:hAnsi="宋体" w:cs="宋体"/>
          <w:b/>
          <w:bCs/>
          <w:sz w:val="24"/>
          <w:szCs w:val="22"/>
          <w:highlight w:val="none"/>
          <w:lang w:bidi="ar"/>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评标</w:t>
      </w:r>
      <w:r>
        <w:rPr>
          <w:rFonts w:ascii="宋体" w:hAnsi="宋体" w:cs="宋体"/>
          <w:sz w:val="24"/>
          <w:szCs w:val="22"/>
          <w:highlight w:val="none"/>
          <w:lang w:bidi="ar"/>
        </w:rPr>
        <w:t xml:space="preserve">小组汇总各评委评分后，按照得分从高到低的顺序推荐三名</w:t>
      </w:r>
      <w:r>
        <w:rPr>
          <w:rFonts w:hint="eastAsia" w:ascii="宋体" w:hAnsi="宋体" w:cs="宋体"/>
          <w:sz w:val="24"/>
          <w:szCs w:val="22"/>
          <w:highlight w:val="none"/>
          <w:lang w:bidi="ar"/>
        </w:rPr>
        <w:t xml:space="preserve">中标</w:t>
      </w:r>
      <w:r>
        <w:rPr>
          <w:rFonts w:ascii="宋体" w:hAnsi="宋体" w:cs="宋体"/>
          <w:sz w:val="24"/>
          <w:szCs w:val="22"/>
          <w:highlight w:val="none"/>
          <w:lang w:bidi="ar"/>
        </w:rPr>
        <w:t xml:space="preserve">候选人，并编写评审报告。</w:t>
      </w:r>
      <w:r>
        <w:rPr>
          <w:rFonts w:ascii="宋体" w:hAnsi="宋体" w:cs="宋体"/>
          <w:sz w:val="24"/>
          <w:szCs w:val="22"/>
          <w:highlight w:val="none"/>
          <w:lang w:bidi="ar"/>
        </w:rPr>
      </w:r>
      <w:r>
        <w:rPr>
          <w:highlight w:val="none"/>
        </w:rPr>
      </w:r>
    </w:p>
    <w:p>
      <w:pPr>
        <w:pStyle w:val="955"/>
        <w:ind w:firstLine="570"/>
        <w:spacing w:line="480" w:lineRule="exact"/>
        <w:rPr>
          <w:rFonts w:ascii="宋体" w:hAnsi="宋体" w:cs="宋体"/>
          <w:sz w:val="24"/>
          <w:szCs w:val="22"/>
          <w:highlight w:val="none"/>
        </w:rPr>
      </w:pPr>
      <w:r>
        <w:rPr>
          <w:rFonts w:ascii="宋体" w:hAnsi="宋体" w:cs="宋体"/>
          <w:sz w:val="24"/>
          <w:szCs w:val="22"/>
          <w:highlight w:val="none"/>
          <w:lang w:bidi="ar"/>
        </w:rPr>
        <w:t xml:space="preserve">采购人委托</w:t>
      </w:r>
      <w:r>
        <w:rPr>
          <w:rFonts w:hint="eastAsia" w:ascii="宋体" w:hAnsi="宋体" w:cs="宋体"/>
          <w:sz w:val="24"/>
          <w:szCs w:val="22"/>
          <w:highlight w:val="none"/>
          <w:lang w:bidi="ar"/>
        </w:rPr>
        <w:t xml:space="preserve">评标</w:t>
      </w:r>
      <w:r>
        <w:rPr>
          <w:rFonts w:ascii="宋体" w:hAnsi="宋体" w:cs="宋体"/>
          <w:sz w:val="24"/>
          <w:szCs w:val="22"/>
          <w:highlight w:val="none"/>
          <w:lang w:bidi="ar"/>
        </w:rPr>
        <w:t xml:space="preserve">小组直接确定排名第一的</w:t>
      </w:r>
      <w:r>
        <w:rPr>
          <w:rFonts w:hint="eastAsia" w:ascii="宋体" w:hAnsi="宋体" w:cs="宋体"/>
          <w:sz w:val="24"/>
          <w:szCs w:val="22"/>
          <w:highlight w:val="none"/>
          <w:lang w:bidi="ar"/>
        </w:rPr>
        <w:t xml:space="preserve">中标</w:t>
      </w:r>
      <w:r>
        <w:rPr>
          <w:rFonts w:ascii="宋体" w:hAnsi="宋体" w:cs="宋体"/>
          <w:sz w:val="24"/>
          <w:szCs w:val="22"/>
          <w:highlight w:val="none"/>
          <w:lang w:bidi="ar"/>
        </w:rPr>
        <w:t xml:space="preserve">候选人为</w:t>
      </w:r>
      <w:r>
        <w:rPr>
          <w:rFonts w:hint="eastAsia" w:ascii="宋体" w:hAnsi="宋体" w:cs="宋体"/>
          <w:sz w:val="24"/>
          <w:szCs w:val="22"/>
          <w:highlight w:val="none"/>
          <w:lang w:bidi="ar"/>
        </w:rPr>
        <w:t xml:space="preserve">中标</w:t>
      </w:r>
      <w:r>
        <w:rPr>
          <w:rFonts w:ascii="宋体" w:hAnsi="宋体" w:cs="宋体"/>
          <w:sz w:val="24"/>
          <w:szCs w:val="22"/>
          <w:highlight w:val="none"/>
          <w:lang w:bidi="ar"/>
        </w:rPr>
        <w:t xml:space="preserve">供应商。</w:t>
      </w:r>
      <w:r>
        <w:rPr>
          <w:rFonts w:ascii="宋体" w:hAnsi="宋体" w:cs="宋体"/>
          <w:sz w:val="24"/>
          <w:szCs w:val="22"/>
          <w:highlight w:val="none"/>
          <w:lang w:bidi="ar"/>
        </w:rPr>
      </w:r>
      <w:r>
        <w:rPr>
          <w:highlight w:val="none"/>
        </w:rPr>
      </w:r>
    </w:p>
    <w:p>
      <w:pPr>
        <w:pStyle w:val="955"/>
        <w:ind w:firstLine="570"/>
        <w:spacing w:line="480" w:lineRule="exact"/>
        <w:rPr>
          <w:rFonts w:ascii="宋体" w:hAnsi="宋体" w:cs="宋体"/>
          <w:sz w:val="24"/>
          <w:szCs w:val="22"/>
          <w:highlight w:val="none"/>
        </w:rPr>
      </w:pPr>
      <w:r>
        <w:rPr>
          <w:rFonts w:hint="eastAsia" w:ascii="宋体" w:hAnsi="宋体" w:cs="宋体"/>
          <w:sz w:val="24"/>
          <w:szCs w:val="22"/>
          <w:highlight w:val="none"/>
          <w:lang w:bidi="ar"/>
        </w:rPr>
        <w:t xml:space="preserve">本项目第一中标候选人原则上为中标人。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       </w:t>
      </w:r>
      <w:r>
        <w:rPr>
          <w:rFonts w:ascii="宋体" w:hAnsi="宋体" w:cs="宋体"/>
          <w:sz w:val="24"/>
          <w:szCs w:val="22"/>
          <w:highlight w:val="none"/>
          <w:lang w:bidi="ar"/>
        </w:rPr>
      </w:r>
      <w:r>
        <w:rPr>
          <w:highlight w:val="none"/>
        </w:rPr>
      </w:r>
    </w:p>
    <w:p>
      <w:pPr>
        <w:pStyle w:val="1042"/>
        <w:ind w:firstLine="439"/>
        <w:spacing w:line="440" w:lineRule="exact"/>
        <w:rPr>
          <w:rFonts w:ascii="宋体" w:hAnsi="宋体" w:cs="宋体"/>
          <w:szCs w:val="22"/>
          <w:highlight w:val="none"/>
        </w:rPr>
      </w:pPr>
      <w:r>
        <w:rPr>
          <w:rFonts w:hint="eastAsia" w:cs="Arial"/>
          <w:highlight w:val="none"/>
        </w:rPr>
        <w:t xml:space="preserve">中标人出现本招标文件第二章 第六条 27.4所述情况的，取消中标资格，采购人重新招标；其他投标人出现政府采购法律法规明令禁止违规行违法行为的，中标候选人不予调整。</w:t>
      </w:r>
      <w:r>
        <w:rPr>
          <w:rFonts w:ascii="宋体" w:hAnsi="宋体" w:cs="宋体"/>
          <w:szCs w:val="22"/>
          <w:highlight w:val="none"/>
          <w:lang w:bidi="ar"/>
        </w:rPr>
      </w:r>
      <w:r>
        <w:rPr>
          <w:highlight w:val="none"/>
        </w:rPr>
      </w:r>
    </w:p>
    <w:p>
      <w:pPr>
        <w:pStyle w:val="1042"/>
        <w:ind w:firstLine="439"/>
        <w:spacing w:line="440" w:lineRule="exact"/>
        <w:rPr>
          <w:rFonts w:hint="eastAsia" w:ascii="宋体" w:hAnsi="宋体" w:cs="宋体"/>
          <w:szCs w:val="22"/>
          <w:highlight w:val="none"/>
        </w:rPr>
      </w:pPr>
      <w:r>
        <w:rPr>
          <w:rFonts w:hint="eastAsia" w:ascii="宋体" w:hAnsi="宋体" w:cs="宋体"/>
          <w:szCs w:val="22"/>
          <w:highlight w:val="none"/>
          <w:lang w:bidi="ar"/>
        </w:rPr>
        <w:t xml:space="preserve">评标过程中出现本评标办法未尽事宜，由评标委员会根据有关法律、法规讨论决定。</w:t>
      </w:r>
      <w:r>
        <w:rPr>
          <w:rFonts w:hint="eastAsia" w:ascii="宋体" w:hAnsi="宋体" w:cs="宋体"/>
          <w:szCs w:val="22"/>
          <w:highlight w:val="none"/>
          <w:lang w:bidi="ar"/>
        </w:rPr>
      </w:r>
      <w:r>
        <w:rPr>
          <w:highlight w:val="none"/>
        </w:rPr>
      </w:r>
    </w:p>
    <w:p>
      <w:pPr>
        <w:pStyle w:val="955"/>
        <w:ind w:firstLine="480"/>
        <w:spacing w:line="480" w:lineRule="exact"/>
        <w:rPr>
          <w:rFonts w:ascii="宋体" w:hAnsi="宋体"/>
          <w:b/>
          <w:sz w:val="24"/>
          <w:szCs w:val="22"/>
          <w:highlight w:val="none"/>
        </w:rPr>
      </w:pPr>
      <w:r>
        <w:rPr>
          <w:rFonts w:hint="eastAsia" w:ascii="宋体" w:hAnsi="宋体"/>
          <w:b/>
          <w:sz w:val="24"/>
          <w:szCs w:val="22"/>
          <w:highlight w:val="none"/>
        </w:rPr>
        <w:t xml:space="preserve">十、</w:t>
      </w:r>
      <w:r>
        <w:rPr>
          <w:rFonts w:ascii="宋体" w:hAnsi="宋体"/>
          <w:b/>
          <w:sz w:val="24"/>
          <w:szCs w:val="22"/>
          <w:highlight w:val="none"/>
        </w:rPr>
        <w:t xml:space="preserve">公告</w:t>
      </w:r>
      <w:r>
        <w:rPr>
          <w:rFonts w:hint="eastAsia" w:ascii="宋体" w:hAnsi="宋体"/>
          <w:b/>
          <w:sz w:val="24"/>
          <w:szCs w:val="22"/>
          <w:highlight w:val="none"/>
        </w:rPr>
        <w:t xml:space="preserve">中标</w:t>
      </w:r>
      <w:r>
        <w:rPr>
          <w:rFonts w:ascii="宋体" w:hAnsi="宋体"/>
          <w:b/>
          <w:sz w:val="24"/>
          <w:szCs w:val="22"/>
          <w:highlight w:val="none"/>
        </w:rPr>
        <w:t xml:space="preserve">结果</w:t>
      </w:r>
      <w:r>
        <w:rPr>
          <w:rFonts w:ascii="宋体" w:hAnsi="宋体"/>
          <w:b/>
          <w:sz w:val="24"/>
          <w:szCs w:val="22"/>
          <w:highlight w:val="none"/>
        </w:rPr>
      </w:r>
      <w:r>
        <w:rPr>
          <w:highlight w:val="none"/>
        </w:rPr>
      </w:r>
    </w:p>
    <w:p>
      <w:pPr>
        <w:pStyle w:val="955"/>
        <w:ind w:firstLine="570"/>
        <w:spacing w:line="480" w:lineRule="exact"/>
        <w:rPr>
          <w:rFonts w:hint="eastAsia"/>
          <w:highlight w:val="none"/>
        </w:rPr>
      </w:pPr>
      <w:r>
        <w:rPr>
          <w:rFonts w:ascii="宋体" w:hAnsi="宋体"/>
          <w:sz w:val="24"/>
          <w:szCs w:val="22"/>
          <w:highlight w:val="none"/>
        </w:rPr>
        <w:t xml:space="preserve">自确定</w:t>
      </w:r>
      <w:r>
        <w:rPr>
          <w:rFonts w:hint="eastAsia" w:ascii="宋体" w:hAnsi="宋体"/>
          <w:sz w:val="24"/>
          <w:szCs w:val="22"/>
          <w:highlight w:val="none"/>
        </w:rPr>
        <w:t xml:space="preserve">中标</w:t>
      </w:r>
      <w:r>
        <w:rPr>
          <w:rFonts w:ascii="宋体" w:hAnsi="宋体"/>
          <w:sz w:val="24"/>
          <w:szCs w:val="22"/>
          <w:highlight w:val="none"/>
        </w:rPr>
        <w:t xml:space="preserve">供应商之日起2个工作日内，在</w:t>
      </w:r>
      <w:r>
        <w:rPr>
          <w:rFonts w:hint="eastAsia" w:ascii="宋体" w:hAnsi="宋体"/>
          <w:sz w:val="24"/>
          <w:szCs w:val="22"/>
          <w:highlight w:val="none"/>
        </w:rPr>
        <w:t xml:space="preserve">江苏省</w:t>
      </w:r>
      <w:r>
        <w:rPr>
          <w:rFonts w:ascii="宋体" w:hAnsi="宋体"/>
          <w:sz w:val="24"/>
          <w:szCs w:val="22"/>
          <w:highlight w:val="none"/>
        </w:rPr>
        <w:t xml:space="preserve">政府采购网公告</w:t>
      </w:r>
      <w:r>
        <w:rPr>
          <w:rFonts w:hint="eastAsia" w:ascii="宋体" w:hAnsi="宋体"/>
          <w:sz w:val="24"/>
          <w:szCs w:val="22"/>
          <w:highlight w:val="none"/>
        </w:rPr>
        <w:t xml:space="preserve">中标</w:t>
      </w:r>
      <w:r>
        <w:rPr>
          <w:rFonts w:ascii="宋体" w:hAnsi="宋体"/>
          <w:sz w:val="24"/>
          <w:szCs w:val="22"/>
          <w:highlight w:val="none"/>
        </w:rPr>
        <w:t xml:space="preserve">结果，公告期限为1个工作日。</w:t>
      </w:r>
      <w:r>
        <w:rPr>
          <w:rFonts w:hint="eastAsia"/>
          <w:highlight w:val="none"/>
        </w:rPr>
      </w:r>
      <w:r>
        <w:rPr>
          <w:highlight w:val="none"/>
        </w:rPr>
      </w:r>
    </w:p>
    <w:p>
      <w:pPr>
        <w:pStyle w:val="956"/>
        <w:pageBreakBefore/>
        <w:rPr>
          <w:rFonts w:hint="eastAsia" w:ascii="黑体" w:eastAsia="黑体"/>
          <w:bCs/>
          <w:sz w:val="44"/>
          <w:highlight w:val="none"/>
        </w:rPr>
      </w:pPr>
      <w:r>
        <w:rPr>
          <w:rFonts w:hint="eastAsia" w:ascii="黑体" w:eastAsia="黑体"/>
          <w:bCs/>
          <w:sz w:val="44"/>
          <w:highlight w:val="none"/>
        </w:rPr>
        <w:t xml:space="preserve">第</w:t>
      </w:r>
      <w:r>
        <w:rPr>
          <w:rFonts w:hint="eastAsia" w:ascii="黑体" w:eastAsia="黑体"/>
          <w:bCs/>
          <w:sz w:val="44"/>
          <w:highlight w:val="none"/>
          <w:lang w:val="en-US" w:eastAsia="zh-CN"/>
        </w:rPr>
        <w:t xml:space="preserve">五</w:t>
      </w:r>
      <w:r>
        <w:rPr>
          <w:rFonts w:hint="eastAsia" w:ascii="黑体" w:eastAsia="黑体"/>
          <w:bCs/>
          <w:sz w:val="44"/>
          <w:highlight w:val="none"/>
        </w:rPr>
        <w:t xml:space="preserve">章  投标</w:t>
      </w:r>
      <w:bookmarkEnd w:id="189"/>
      <w:r>
        <w:rPr>
          <w:highlight w:val="none"/>
        </w:rPr>
      </w:r>
      <w:bookmarkEnd w:id="190"/>
      <w:r>
        <w:rPr>
          <w:highlight w:val="none"/>
        </w:rPr>
      </w:r>
      <w:bookmarkEnd w:id="191"/>
      <w:r>
        <w:rPr>
          <w:rFonts w:hint="eastAsia" w:ascii="黑体" w:eastAsia="黑体"/>
          <w:bCs/>
          <w:sz w:val="44"/>
          <w:highlight w:val="none"/>
        </w:rPr>
        <w:t xml:space="preserve">文件格式 </w:t>
      </w:r>
      <w:r>
        <w:rPr>
          <w:rFonts w:hint="eastAsia" w:ascii="黑体" w:eastAsia="黑体"/>
          <w:bCs/>
          <w:sz w:val="44"/>
          <w:highlight w:val="none"/>
        </w:rPr>
      </w:r>
      <w:r>
        <w:rPr>
          <w:highlight w:val="none"/>
        </w:rPr>
      </w:r>
    </w:p>
    <w:p>
      <w:pPr>
        <w:pStyle w:val="955"/>
        <w:jc w:val="center"/>
        <w:rPr>
          <w:rFonts w:hint="eastAsia" w:ascii="宋体" w:hAnsi="宋体"/>
          <w:b/>
          <w:sz w:val="72"/>
          <w:highlight w:val="none"/>
        </w:rPr>
      </w:pPr>
      <w:r>
        <w:rPr>
          <w:highlight w:val="none"/>
        </w:rPr>
      </w:r>
      <w:bookmarkStart w:id="206" w:name="_Hlt26955039"/>
      <w:r>
        <w:rPr>
          <w:highlight w:val="none"/>
        </w:rPr>
      </w:r>
      <w:bookmarkEnd w:id="206"/>
      <w:r>
        <w:rPr>
          <w:highlight w:val="none"/>
        </w:rPr>
      </w:r>
      <w:bookmarkStart w:id="207" w:name="_Hlt26671244"/>
      <w:r>
        <w:rPr>
          <w:highlight w:val="none"/>
        </w:rPr>
      </w:r>
      <w:bookmarkEnd w:id="207"/>
      <w:r>
        <w:rPr>
          <w:highlight w:val="none"/>
        </w:rPr>
      </w:r>
      <w:bookmarkStart w:id="208" w:name="_Toc26554094"/>
      <w:r>
        <w:rPr>
          <w:highlight w:val="none"/>
        </w:rPr>
      </w:r>
      <w:bookmarkStart w:id="209" w:name="_Toc49090576"/>
      <w:r>
        <w:rPr>
          <w:highlight w:val="none"/>
        </w:rPr>
      </w:r>
      <w:bookmarkStart w:id="210" w:name="_Toc120614282"/>
      <w:r>
        <w:rPr>
          <w:rFonts w:hint="eastAsia" w:ascii="宋体" w:hAnsi="宋体"/>
          <w:b/>
          <w:sz w:val="72"/>
          <w:highlight w:val="none"/>
        </w:rPr>
      </w:r>
      <w:r>
        <w:rPr>
          <w:highlight w:val="none"/>
        </w:rPr>
      </w:r>
    </w:p>
    <w:p>
      <w:pPr>
        <w:pStyle w:val="955"/>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rPr>
          <w:highlight w:val="none"/>
        </w:rPr>
      </w:r>
    </w:p>
    <w:p>
      <w:pPr>
        <w:pStyle w:val="955"/>
        <w:jc w:val="center"/>
        <w:rPr>
          <w:rFonts w:hint="eastAsia" w:ascii="宋体" w:hAnsi="宋体"/>
          <w:b/>
          <w:sz w:val="72"/>
          <w:highlight w:val="none"/>
        </w:rPr>
      </w:pPr>
      <w:r>
        <w:rPr>
          <w:rFonts w:hint="eastAsia" w:ascii="宋体" w:hAnsi="宋体"/>
          <w:b/>
          <w:sz w:val="72"/>
          <w:highlight w:val="none"/>
        </w:rPr>
      </w:r>
      <w:r>
        <w:rPr>
          <w:highlight w:val="none"/>
        </w:rPr>
      </w:r>
    </w:p>
    <w:p>
      <w:pPr>
        <w:pStyle w:val="955"/>
        <w:jc w:val="center"/>
        <w:rPr>
          <w:rFonts w:hint="eastAsia" w:ascii="宋体" w:hAnsi="宋体"/>
          <w:b/>
          <w:sz w:val="72"/>
          <w:highlight w:val="none"/>
        </w:rPr>
      </w:pPr>
      <w:r>
        <w:rPr>
          <w:rFonts w:hint="eastAsia" w:ascii="宋体" w:hAnsi="宋体"/>
          <w:b/>
          <w:sz w:val="72"/>
          <w:highlight w:val="none"/>
        </w:rPr>
      </w:r>
      <w:r>
        <w:rPr>
          <w:highlight w:val="none"/>
        </w:rPr>
      </w:r>
    </w:p>
    <w:p>
      <w:pPr>
        <w:pStyle w:val="955"/>
        <w:jc w:val="center"/>
        <w:rPr>
          <w:rFonts w:hint="eastAsia" w:ascii="宋体" w:hAnsi="宋体"/>
          <w:b/>
          <w:sz w:val="36"/>
          <w:highlight w:val="none"/>
        </w:rPr>
      </w:pPr>
      <w:r>
        <w:rPr>
          <w:rFonts w:hint="eastAsia" w:ascii="宋体" w:hAnsi="宋体"/>
          <w:b/>
          <w:sz w:val="36"/>
          <w:highlight w:val="none"/>
        </w:rPr>
      </w:r>
      <w:r>
        <w:rPr>
          <w:highlight w:val="none"/>
        </w:rPr>
      </w:r>
    </w:p>
    <w:p>
      <w:pPr>
        <w:pStyle w:val="955"/>
        <w:jc w:val="center"/>
        <w:rPr>
          <w:rFonts w:hint="eastAsia" w:ascii="宋体" w:hAnsi="宋体"/>
          <w:b/>
          <w:sz w:val="36"/>
          <w:highlight w:val="none"/>
        </w:rPr>
      </w:pPr>
      <w:r>
        <w:rPr>
          <w:rFonts w:hint="eastAsia" w:ascii="宋体" w:hAnsi="宋体"/>
          <w:b/>
          <w:sz w:val="36"/>
          <w:highlight w:val="none"/>
        </w:rPr>
      </w:r>
      <w:r>
        <w:rPr>
          <w:highlight w:val="none"/>
        </w:rPr>
      </w:r>
    </w:p>
    <w:p>
      <w:pPr>
        <w:pStyle w:val="955"/>
        <w:jc w:val="center"/>
        <w:rPr>
          <w:rFonts w:hint="eastAsia" w:ascii="宋体" w:hAnsi="宋体"/>
          <w:b/>
          <w:sz w:val="36"/>
          <w:highlight w:val="none"/>
        </w:rPr>
      </w:pPr>
      <w:r>
        <w:rPr>
          <w:rFonts w:hint="eastAsia" w:ascii="宋体" w:hAnsi="宋体"/>
          <w:b/>
          <w:sz w:val="36"/>
          <w:highlight w:val="none"/>
        </w:rPr>
      </w:r>
      <w:r>
        <w:rPr>
          <w:highlight w:val="none"/>
        </w:rPr>
      </w:r>
    </w:p>
    <w:p>
      <w:pPr>
        <w:pStyle w:val="955"/>
        <w:ind w:firstLine="1080"/>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xxxx（包x）   </w:t>
      </w:r>
      <w:r>
        <w:rPr>
          <w:rFonts w:hint="eastAsia" w:ascii="宋体" w:hAnsi="宋体"/>
          <w:b/>
          <w:sz w:val="36"/>
          <w:highlight w:val="none"/>
        </w:rPr>
      </w:r>
      <w:r>
        <w:rPr>
          <w:highlight w:val="none"/>
        </w:rPr>
      </w:r>
    </w:p>
    <w:p>
      <w:pPr>
        <w:pStyle w:val="955"/>
        <w:ind w:firstLine="1080"/>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rPr>
      </w:r>
      <w:r>
        <w:rPr>
          <w:highlight w:val="none"/>
        </w:rPr>
      </w:r>
    </w:p>
    <w:p>
      <w:pPr>
        <w:pStyle w:val="955"/>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rPr>
          <w:highlight w:val="none"/>
        </w:rPr>
      </w:r>
    </w:p>
    <w:p>
      <w:pPr>
        <w:pStyle w:val="955"/>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rPr>
          <w:highlight w:val="none"/>
        </w:rPr>
      </w:r>
    </w:p>
    <w:p>
      <w:pPr>
        <w:pStyle w:val="955"/>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p>
    <w:p>
      <w:pPr>
        <w:pStyle w:val="955"/>
        <w:spacing w:line="440" w:lineRule="exact"/>
        <w:rPr>
          <w:rFonts w:ascii="宋体" w:hAnsi="宋体"/>
          <w:highlight w:val="none"/>
        </w:rPr>
      </w:pPr>
      <w:r>
        <w:rPr>
          <w:rFonts w:ascii="宋体" w:hAnsi="宋体"/>
          <w:highlight w:val="none"/>
        </w:rPr>
      </w:r>
      <w:r>
        <w:rPr>
          <w:highlight w:val="none"/>
        </w:rPr>
      </w:r>
    </w:p>
    <w:p>
      <w:pPr>
        <w:pStyle w:val="955"/>
        <w:rPr>
          <w:rFonts w:ascii="宋体" w:hAnsi="宋体"/>
          <w:b/>
          <w:bCs/>
          <w:sz w:val="32"/>
          <w:szCs w:val="32"/>
          <w:highlight w:val="none"/>
        </w:rPr>
      </w:pPr>
      <w:r>
        <w:rPr>
          <w:rFonts w:ascii="宋体" w:hAnsi="宋体"/>
          <w:b/>
          <w:bCs/>
          <w:sz w:val="32"/>
          <w:szCs w:val="32"/>
          <w:highlight w:val="none"/>
        </w:rPr>
      </w:r>
      <w:r>
        <w:rPr>
          <w:highlight w:val="none"/>
        </w:rPr>
      </w:r>
    </w:p>
    <w:p>
      <w:pPr>
        <w:pStyle w:val="1022"/>
        <w:ind w:firstLine="0"/>
        <w:rPr>
          <w:rFonts w:hint="eastAsia" w:ascii="宋体" w:hAnsi="宋体"/>
          <w:b/>
          <w:bCs/>
          <w:sz w:val="32"/>
          <w:szCs w:val="32"/>
          <w:highlight w:val="none"/>
        </w:rPr>
      </w:pPr>
      <w:r>
        <w:rPr>
          <w:rFonts w:hint="eastAsia" w:ascii="宋体" w:hAnsi="宋体"/>
          <w:b/>
          <w:bCs/>
          <w:sz w:val="32"/>
          <w:szCs w:val="32"/>
          <w:highlight w:val="none"/>
        </w:rPr>
      </w:r>
      <w:r>
        <w:rPr>
          <w:highlight w:val="none"/>
        </w:rPr>
      </w:r>
    </w:p>
    <w:p>
      <w:pPr>
        <w:pStyle w:val="1022"/>
        <w:ind w:firstLine="0"/>
        <w:rPr>
          <w:rFonts w:hint="eastAsia" w:ascii="宋体" w:hAnsi="宋体"/>
          <w:b/>
          <w:bCs/>
          <w:sz w:val="32"/>
          <w:szCs w:val="32"/>
          <w:highlight w:val="none"/>
        </w:rPr>
      </w:pPr>
      <w:r>
        <w:rPr>
          <w:rFonts w:hint="eastAsia" w:ascii="宋体" w:hAnsi="宋体"/>
          <w:b/>
          <w:bCs/>
          <w:sz w:val="32"/>
          <w:szCs w:val="32"/>
          <w:highlight w:val="none"/>
        </w:rPr>
      </w:r>
      <w:r>
        <w:rPr>
          <w:highlight w:val="none"/>
        </w:rPr>
      </w:r>
    </w:p>
    <w:p>
      <w:pPr>
        <w:pStyle w:val="1022"/>
        <w:ind w:firstLine="0"/>
        <w:rPr>
          <w:rFonts w:hint="eastAsia" w:ascii="宋体" w:hAnsi="宋体"/>
          <w:b/>
          <w:bCs/>
          <w:sz w:val="32"/>
          <w:szCs w:val="32"/>
          <w:highlight w:val="none"/>
        </w:rPr>
      </w:pPr>
      <w:r>
        <w:rPr>
          <w:rFonts w:hint="eastAsia" w:ascii="宋体" w:hAnsi="宋体"/>
          <w:b/>
          <w:bCs/>
          <w:sz w:val="32"/>
          <w:szCs w:val="32"/>
          <w:highlight w:val="none"/>
        </w:rPr>
      </w:r>
      <w:r>
        <w:rPr>
          <w:highlight w:val="none"/>
        </w:rPr>
      </w:r>
    </w:p>
    <w:p>
      <w:pPr>
        <w:pStyle w:val="1022"/>
        <w:ind w:firstLine="0"/>
        <w:rPr>
          <w:rFonts w:hint="eastAsia" w:ascii="宋体" w:hAnsi="宋体"/>
          <w:b/>
          <w:bCs/>
          <w:sz w:val="32"/>
          <w:szCs w:val="32"/>
          <w:highlight w:val="none"/>
        </w:rPr>
      </w:pPr>
      <w:r>
        <w:rPr>
          <w:rFonts w:hint="eastAsia" w:ascii="宋体" w:hAnsi="宋体"/>
          <w:b/>
          <w:bCs/>
          <w:sz w:val="32"/>
          <w:szCs w:val="32"/>
          <w:highlight w:val="none"/>
        </w:rPr>
      </w:r>
      <w:r>
        <w:rPr>
          <w:highlight w:val="none"/>
        </w:rPr>
      </w:r>
    </w:p>
    <w:p>
      <w:pPr>
        <w:pStyle w:val="1022"/>
        <w:ind w:firstLine="0"/>
        <w:rPr>
          <w:rFonts w:hint="eastAsia" w:ascii="宋体" w:hAnsi="宋体"/>
          <w:b/>
          <w:bCs/>
          <w:sz w:val="32"/>
          <w:szCs w:val="32"/>
          <w:highlight w:val="none"/>
        </w:rPr>
      </w:pPr>
      <w:r>
        <w:rPr>
          <w:rFonts w:hint="eastAsia" w:ascii="宋体" w:hAnsi="宋体"/>
          <w:b/>
          <w:bCs/>
          <w:sz w:val="32"/>
          <w:szCs w:val="32"/>
          <w:highlight w:val="none"/>
        </w:rPr>
      </w:r>
      <w:r>
        <w:rPr>
          <w:highlight w:val="none"/>
        </w:rPr>
      </w:r>
    </w:p>
    <w:p>
      <w:pPr>
        <w:pStyle w:val="1078"/>
        <w:contextualSpacing/>
        <w:ind w:firstLine="480"/>
        <w:spacing w:line="360" w:lineRule="auto"/>
        <w:rPr>
          <w:rFonts w:ascii="Times New Roman" w:hAnsi="Times New Roman" w:cs="Times New Roman"/>
          <w:b/>
          <w:bCs/>
          <w:highlight w:val="none"/>
        </w:rPr>
      </w:pPr>
      <w:r>
        <w:rPr>
          <w:rFonts w:hint="eastAsia" w:ascii="Times New Roman" w:hAnsi="Times New Roman" w:cs="Times New Roman"/>
          <w:b/>
          <w:bCs/>
          <w:highlight w:val="none"/>
        </w:rPr>
        <w:t xml:space="preserve">投标</w:t>
      </w:r>
      <w:r>
        <w:rPr>
          <w:rFonts w:ascii="Times New Roman" w:hAnsi="Times New Roman" w:cs="Times New Roman"/>
          <w:b/>
          <w:bCs/>
          <w:highlight w:val="none"/>
        </w:rPr>
        <w:t xml:space="preserve">文件由资格审查证明材料、</w:t>
      </w:r>
      <w:r>
        <w:rPr>
          <w:rFonts w:hint="eastAsia" w:ascii="Times New Roman" w:hAnsi="Times New Roman" w:cs="Times New Roman"/>
          <w:b/>
          <w:bCs/>
          <w:highlight w:val="none"/>
        </w:rPr>
        <w:t xml:space="preserve">符合性审查文件、</w:t>
      </w:r>
      <w:r>
        <w:rPr>
          <w:rFonts w:ascii="Times New Roman" w:hAnsi="Times New Roman" w:cs="Times New Roman"/>
          <w:b/>
          <w:bCs/>
          <w:highlight w:val="none"/>
        </w:rPr>
        <w:t xml:space="preserve">商务技术文件、价格文件</w:t>
      </w:r>
      <w:r>
        <w:rPr>
          <w:rFonts w:hint="eastAsia" w:ascii="Times New Roman" w:hAnsi="Times New Roman" w:cs="Times New Roman"/>
          <w:b/>
          <w:bCs/>
          <w:highlight w:val="none"/>
        </w:rPr>
        <w:t xml:space="preserve">四</w:t>
      </w:r>
      <w:r>
        <w:rPr>
          <w:rFonts w:ascii="Times New Roman" w:hAnsi="Times New Roman" w:cs="Times New Roman"/>
          <w:b/>
          <w:bCs/>
          <w:highlight w:val="none"/>
        </w:rPr>
        <w:t xml:space="preserve">部分组成</w:t>
      </w:r>
      <w:r>
        <w:rPr>
          <w:rFonts w:ascii="Times New Roman" w:hAnsi="Times New Roman" w:cs="Times New Roman"/>
          <w:highlight w:val="none"/>
        </w:rPr>
        <w:t xml:space="preserve">。供应商提供的</w:t>
      </w:r>
      <w:r>
        <w:rPr>
          <w:rFonts w:hint="eastAsia" w:ascii="Times New Roman" w:hAnsi="Times New Roman" w:cs="Times New Roman"/>
          <w:highlight w:val="none"/>
        </w:rPr>
        <w:t xml:space="preserve">投标</w:t>
      </w:r>
      <w:r>
        <w:rPr>
          <w:rFonts w:ascii="Times New Roman" w:hAnsi="Times New Roman" w:cs="Times New Roman"/>
          <w:highlight w:val="none"/>
        </w:rPr>
        <w:t xml:space="preserve">文件材料须字迹清晰。</w:t>
      </w:r>
      <w:r>
        <w:rPr>
          <w:rFonts w:ascii="Times New Roman" w:hAnsi="Times New Roman" w:cs="Times New Roman"/>
          <w:b/>
          <w:bCs/>
          <w:highlight w:val="none"/>
        </w:rPr>
        <w:t xml:space="preserve">如</w:t>
      </w:r>
      <w:r>
        <w:rPr>
          <w:rFonts w:hint="eastAsia" w:ascii="Times New Roman" w:hAnsi="Times New Roman" w:cs="Times New Roman"/>
          <w:b/>
          <w:bCs/>
          <w:highlight w:val="none"/>
        </w:rPr>
        <w:t xml:space="preserve">投标</w:t>
      </w:r>
      <w:r>
        <w:rPr>
          <w:rFonts w:ascii="Times New Roman" w:hAnsi="Times New Roman" w:cs="Times New Roman"/>
          <w:b/>
          <w:bCs/>
          <w:highlight w:val="none"/>
        </w:rPr>
        <w:t xml:space="preserve">文件字迹模糊</w:t>
      </w:r>
      <w:r>
        <w:rPr>
          <w:rFonts w:hint="eastAsia" w:ascii="Times New Roman" w:hAnsi="Times New Roman" w:cs="Times New Roman"/>
          <w:b/>
          <w:bCs/>
          <w:highlight w:val="none"/>
        </w:rPr>
        <w:t xml:space="preserve">，</w:t>
      </w:r>
      <w:r>
        <w:rPr>
          <w:rFonts w:ascii="Times New Roman" w:hAnsi="Times New Roman" w:cs="Times New Roman"/>
          <w:b/>
          <w:bCs/>
          <w:highlight w:val="none"/>
        </w:rPr>
        <w:t xml:space="preserve">造成的废标或不得分等后果由供应商自行承担。</w:t>
      </w:r>
      <w:r>
        <w:rPr>
          <w:rFonts w:ascii="Times New Roman" w:hAnsi="Times New Roman" w:cs="Times New Roman"/>
          <w:b/>
          <w:bCs/>
          <w:highlight w:val="none"/>
        </w:rPr>
      </w:r>
      <w:r>
        <w:rPr>
          <w:highlight w:val="none"/>
        </w:rPr>
      </w:r>
    </w:p>
    <w:p>
      <w:pPr>
        <w:pStyle w:val="955"/>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一</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资格审查证明材料（不能出现商务技术文件、价格文件）</w:t>
      </w:r>
      <w:r>
        <w:rPr>
          <w:rFonts w:hint="eastAsia" w:ascii="仿宋" w:hAnsi="仿宋" w:eastAsia="仿宋"/>
          <w:b/>
          <w:sz w:val="28"/>
          <w:szCs w:val="28"/>
          <w:highlight w:val="none"/>
        </w:rPr>
      </w:r>
      <w:r>
        <w:rPr>
          <w:highlight w:val="none"/>
        </w:rPr>
      </w:r>
    </w:p>
    <w:p>
      <w:pPr>
        <w:pStyle w:val="955"/>
        <w:ind w:firstLine="480"/>
        <w:rPr>
          <w:rFonts w:ascii="宋体" w:hAnsi="宋体" w:eastAsia="仿宋"/>
          <w:b/>
          <w:sz w:val="24"/>
          <w:szCs w:val="24"/>
          <w:highlight w:val="none"/>
        </w:rPr>
      </w:pPr>
      <w:r>
        <w:rPr>
          <w:rFonts w:hint="eastAsia" w:ascii="仿宋" w:hAnsi="仿宋" w:eastAsia="仿宋"/>
          <w:sz w:val="24"/>
          <w:szCs w:val="24"/>
          <w:highlight w:val="none"/>
        </w:rPr>
        <w:t xml:space="preserve">1、投标人符合《政府采购法》第二十二条规定条件的声明函（格式见附件1）</w:t>
      </w:r>
      <w:r>
        <w:rPr>
          <w:rFonts w:ascii="宋体" w:hAnsi="宋体" w:eastAsia="仿宋"/>
          <w:b/>
          <w:sz w:val="24"/>
          <w:szCs w:val="24"/>
          <w:highlight w:val="none"/>
        </w:rPr>
      </w:r>
      <w:r>
        <w:rPr>
          <w:highlight w:val="none"/>
        </w:rPr>
      </w:r>
    </w:p>
    <w:p>
      <w:pPr>
        <w:pStyle w:val="955"/>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2、法定代表人身份证明书、法定代表人身份证扫描件（格式见附件2）；</w:t>
      </w:r>
      <w:r>
        <w:rPr>
          <w:rFonts w:hint="eastAsia" w:ascii="仿宋" w:hAnsi="仿宋" w:eastAsia="仿宋"/>
          <w:sz w:val="24"/>
          <w:szCs w:val="24"/>
          <w:highlight w:val="none"/>
        </w:rPr>
      </w:r>
      <w:r>
        <w:rPr>
          <w:highlight w:val="none"/>
        </w:rPr>
      </w:r>
    </w:p>
    <w:p>
      <w:pPr>
        <w:pStyle w:val="955"/>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3、法定代表人授权委托书，被授权人身份证扫描件，（格式见附件3）；（若有授权则须提供）；</w:t>
      </w:r>
      <w:r>
        <w:rPr>
          <w:rFonts w:hint="eastAsia" w:ascii="仿宋" w:hAnsi="仿宋" w:eastAsia="仿宋"/>
          <w:sz w:val="24"/>
          <w:szCs w:val="24"/>
          <w:highlight w:val="none"/>
        </w:rPr>
      </w:r>
      <w:r>
        <w:rPr>
          <w:highlight w:val="none"/>
        </w:rPr>
      </w:r>
    </w:p>
    <w:p>
      <w:pPr>
        <w:pStyle w:val="955"/>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、供应商营业执照副本复印件加盖公章；</w:t>
      </w:r>
      <w:r>
        <w:rPr>
          <w:rFonts w:hint="eastAsia" w:ascii="仿宋" w:hAnsi="仿宋" w:eastAsia="仿宋"/>
          <w:sz w:val="24"/>
          <w:szCs w:val="24"/>
          <w:highlight w:val="none"/>
        </w:rPr>
      </w:r>
      <w:r>
        <w:rPr>
          <w:highlight w:val="none"/>
        </w:rPr>
      </w:r>
    </w:p>
    <w:p>
      <w:pPr>
        <w:pStyle w:val="955"/>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、参加采购活动前无失信记录的书面声明（格式详见附件4）；</w:t>
      </w:r>
      <w:r>
        <w:rPr>
          <w:rFonts w:hint="eastAsia" w:ascii="仿宋" w:hAnsi="仿宋" w:eastAsia="仿宋"/>
          <w:sz w:val="24"/>
          <w:szCs w:val="24"/>
          <w:highlight w:val="none"/>
        </w:rPr>
      </w:r>
      <w:r>
        <w:rPr>
          <w:highlight w:val="none"/>
        </w:rPr>
      </w:r>
    </w:p>
    <w:p>
      <w:pPr>
        <w:pStyle w:val="955"/>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、投标及履约承诺书（格式见附件</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w:t>
      </w:r>
      <w:r>
        <w:rPr>
          <w:rFonts w:hint="eastAsia" w:ascii="仿宋" w:hAnsi="仿宋" w:eastAsia="仿宋"/>
          <w:sz w:val="24"/>
          <w:szCs w:val="24"/>
          <w:highlight w:val="none"/>
        </w:rPr>
      </w:r>
      <w:r>
        <w:rPr>
          <w:highlight w:val="none"/>
        </w:rPr>
      </w:r>
    </w:p>
    <w:p>
      <w:pPr>
        <w:pStyle w:val="955"/>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二</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符合性</w:t>
      </w:r>
      <w:r>
        <w:rPr>
          <w:rFonts w:ascii="仿宋" w:hAnsi="仿宋" w:eastAsia="仿宋"/>
          <w:b/>
          <w:sz w:val="28"/>
          <w:szCs w:val="28"/>
          <w:highlight w:val="none"/>
        </w:rPr>
        <w:t xml:space="preserve">审查</w:t>
      </w:r>
      <w:r>
        <w:rPr>
          <w:rFonts w:hint="eastAsia" w:ascii="仿宋" w:hAnsi="仿宋" w:eastAsia="仿宋"/>
          <w:b/>
          <w:sz w:val="28"/>
          <w:szCs w:val="28"/>
          <w:highlight w:val="none"/>
        </w:rPr>
        <w:t xml:space="preserve">文件</w:t>
      </w:r>
      <w:r>
        <w:rPr>
          <w:rFonts w:hint="eastAsia" w:ascii="仿宋" w:hAnsi="仿宋" w:eastAsia="仿宋"/>
          <w:b/>
          <w:sz w:val="28"/>
          <w:szCs w:val="28"/>
          <w:highlight w:val="none"/>
        </w:rPr>
      </w:r>
      <w:r>
        <w:rPr>
          <w:highlight w:val="none"/>
        </w:rPr>
      </w:r>
    </w:p>
    <w:p>
      <w:pPr>
        <w:pStyle w:val="955"/>
        <w:contextualSpacing/>
        <w:ind w:firstLine="480"/>
        <w:spacing w:line="360" w:lineRule="auto"/>
        <w:rPr>
          <w:rFonts w:eastAsia="宋体" w:cs="宋体"/>
          <w:bCs/>
          <w:sz w:val="24"/>
          <w:szCs w:val="24"/>
          <w:highlight w:val="none"/>
        </w:rPr>
      </w:pPr>
      <w:r>
        <w:rPr>
          <w:rFonts w:hint="eastAsia" w:eastAsia="宋体" w:cs="宋体"/>
          <w:bCs/>
          <w:sz w:val="24"/>
          <w:szCs w:val="24"/>
          <w:highlight w:val="none"/>
        </w:rPr>
        <w:t xml:space="preserve">1、投标响应函（</w:t>
      </w:r>
      <w:r>
        <w:rPr>
          <w:rFonts w:hint="eastAsia" w:ascii="仿宋" w:hAnsi="仿宋" w:eastAsia="仿宋"/>
          <w:sz w:val="24"/>
          <w:szCs w:val="24"/>
          <w:highlight w:val="none"/>
        </w:rPr>
        <w:t xml:space="preserve">格式详见附件</w:t>
      </w:r>
      <w:r>
        <w:rPr>
          <w:rFonts w:hint="eastAsia" w:ascii="仿宋" w:hAnsi="仿宋" w:eastAsia="仿宋"/>
          <w:sz w:val="24"/>
          <w:szCs w:val="24"/>
          <w:highlight w:val="none"/>
          <w:lang w:val="en-US" w:eastAsia="zh-CN"/>
        </w:rPr>
        <w:t xml:space="preserve">6</w:t>
      </w:r>
      <w:r>
        <w:rPr>
          <w:rFonts w:hint="eastAsia" w:eastAsia="宋体" w:cs="宋体"/>
          <w:bCs/>
          <w:sz w:val="24"/>
          <w:szCs w:val="24"/>
          <w:highlight w:val="none"/>
        </w:rPr>
        <w:t xml:space="preserve">）；</w:t>
      </w:r>
      <w:r>
        <w:rPr>
          <w:rFonts w:eastAsia="宋体" w:cs="宋体"/>
          <w:bCs/>
          <w:sz w:val="24"/>
          <w:szCs w:val="24"/>
          <w:highlight w:val="none"/>
        </w:rPr>
      </w:r>
      <w:r>
        <w:rPr>
          <w:highlight w:val="none"/>
        </w:rPr>
      </w:r>
    </w:p>
    <w:p>
      <w:pPr>
        <w:pStyle w:val="955"/>
        <w:contextualSpacing/>
        <w:ind w:firstLine="480"/>
        <w:spacing w:line="360" w:lineRule="auto"/>
        <w:rPr>
          <w:rFonts w:eastAsia="宋体" w:cs="宋体"/>
          <w:bCs/>
          <w:sz w:val="24"/>
          <w:szCs w:val="24"/>
          <w:highlight w:val="none"/>
        </w:rPr>
      </w:pPr>
      <w:r>
        <w:rPr>
          <w:rFonts w:hint="eastAsia" w:eastAsia="宋体" w:cs="宋体"/>
          <w:bCs/>
          <w:sz w:val="24"/>
          <w:szCs w:val="24"/>
          <w:highlight w:val="none"/>
        </w:rPr>
        <w:t xml:space="preserve">3、商务条款正负偏离表（</w:t>
      </w:r>
      <w:r>
        <w:rPr>
          <w:rFonts w:hint="eastAsia" w:ascii="仿宋" w:hAnsi="仿宋" w:eastAsia="仿宋"/>
          <w:sz w:val="24"/>
          <w:szCs w:val="24"/>
          <w:highlight w:val="none"/>
        </w:rPr>
        <w:t xml:space="preserve">格式详见附件</w:t>
      </w:r>
      <w:r>
        <w:rPr>
          <w:rFonts w:hint="eastAsia" w:ascii="仿宋" w:hAnsi="仿宋" w:eastAsia="仿宋"/>
          <w:sz w:val="24"/>
          <w:szCs w:val="24"/>
          <w:highlight w:val="none"/>
          <w:lang w:val="en-US" w:eastAsia="zh-CN"/>
        </w:rPr>
        <w:t xml:space="preserve">7</w:t>
      </w:r>
      <w:r>
        <w:rPr>
          <w:rFonts w:hint="eastAsia" w:eastAsia="宋体" w:cs="宋体"/>
          <w:bCs/>
          <w:sz w:val="24"/>
          <w:szCs w:val="24"/>
          <w:highlight w:val="none"/>
        </w:rPr>
        <w:t xml:space="preserve">）；</w:t>
      </w:r>
      <w:r>
        <w:rPr>
          <w:rFonts w:eastAsia="宋体" w:cs="宋体"/>
          <w:bCs/>
          <w:sz w:val="24"/>
          <w:szCs w:val="24"/>
          <w:highlight w:val="none"/>
        </w:rPr>
      </w:r>
      <w:r>
        <w:rPr>
          <w:highlight w:val="none"/>
        </w:rPr>
      </w:r>
    </w:p>
    <w:p>
      <w:pPr>
        <w:pStyle w:val="955"/>
        <w:contextualSpacing/>
        <w:ind w:firstLine="480"/>
        <w:spacing w:line="360" w:lineRule="auto"/>
        <w:rPr>
          <w:rFonts w:eastAsia="宋体" w:cs="宋体"/>
          <w:bCs/>
          <w:sz w:val="24"/>
          <w:szCs w:val="24"/>
          <w:highlight w:val="none"/>
        </w:rPr>
      </w:pPr>
      <w:r>
        <w:rPr>
          <w:rFonts w:hint="eastAsia" w:eastAsia="宋体" w:cs="宋体"/>
          <w:bCs/>
          <w:sz w:val="24"/>
          <w:szCs w:val="24"/>
          <w:highlight w:val="none"/>
        </w:rPr>
        <w:t xml:space="preserve">4、技术条款正负偏离表（</w:t>
      </w:r>
      <w:r>
        <w:rPr>
          <w:rFonts w:hint="eastAsia" w:ascii="仿宋" w:hAnsi="仿宋" w:eastAsia="仿宋"/>
          <w:sz w:val="24"/>
          <w:szCs w:val="24"/>
          <w:highlight w:val="none"/>
        </w:rPr>
        <w:t xml:space="preserve">格式详见附件</w:t>
      </w:r>
      <w:r>
        <w:rPr>
          <w:rFonts w:hint="eastAsia" w:ascii="仿宋" w:hAnsi="仿宋" w:eastAsia="仿宋"/>
          <w:sz w:val="24"/>
          <w:szCs w:val="24"/>
          <w:highlight w:val="none"/>
          <w:lang w:val="en-US" w:eastAsia="zh-CN"/>
        </w:rPr>
        <w:t xml:space="preserve">8</w:t>
      </w:r>
      <w:r>
        <w:rPr>
          <w:rFonts w:hint="eastAsia" w:eastAsia="宋体" w:cs="宋体"/>
          <w:bCs/>
          <w:sz w:val="24"/>
          <w:szCs w:val="24"/>
          <w:highlight w:val="none"/>
        </w:rPr>
        <w:t xml:space="preserve">）；</w:t>
      </w:r>
      <w:r>
        <w:rPr>
          <w:rFonts w:eastAsia="宋体" w:cs="宋体"/>
          <w:bCs/>
          <w:sz w:val="24"/>
          <w:szCs w:val="24"/>
          <w:highlight w:val="none"/>
        </w:rPr>
      </w:r>
      <w:r>
        <w:rPr>
          <w:highlight w:val="none"/>
        </w:rPr>
      </w:r>
    </w:p>
    <w:p>
      <w:pPr>
        <w:pStyle w:val="955"/>
        <w:contextualSpacing/>
        <w:ind w:firstLine="480"/>
        <w:spacing w:line="360" w:lineRule="auto"/>
        <w:rPr>
          <w:rFonts w:eastAsia="宋体" w:cs="宋体"/>
          <w:bCs/>
          <w:sz w:val="24"/>
          <w:szCs w:val="24"/>
          <w:highlight w:val="none"/>
        </w:rPr>
      </w:pPr>
      <w:r>
        <w:rPr>
          <w:rFonts w:hint="eastAsia" w:eastAsia="宋体" w:cs="宋体"/>
          <w:bCs/>
          <w:sz w:val="24"/>
          <w:szCs w:val="24"/>
          <w:highlight w:val="none"/>
        </w:rPr>
        <w:t xml:space="preserve">5、投标人认为需要提交的其他资料。</w:t>
      </w:r>
      <w:r>
        <w:rPr>
          <w:rFonts w:eastAsia="宋体" w:cs="宋体"/>
          <w:bCs/>
          <w:sz w:val="24"/>
          <w:szCs w:val="24"/>
          <w:highlight w:val="none"/>
        </w:rPr>
      </w:r>
      <w:r>
        <w:rPr>
          <w:highlight w:val="none"/>
        </w:rPr>
      </w:r>
    </w:p>
    <w:p>
      <w:pPr>
        <w:pStyle w:val="955"/>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三、商务技术文件（不能出现价格文件）</w:t>
      </w:r>
      <w:r>
        <w:rPr>
          <w:rFonts w:hint="eastAsia" w:ascii="仿宋" w:hAnsi="仿宋" w:eastAsia="仿宋"/>
          <w:b/>
          <w:sz w:val="28"/>
          <w:szCs w:val="28"/>
          <w:highlight w:val="none"/>
        </w:rPr>
      </w:r>
      <w:r>
        <w:rPr>
          <w:highlight w:val="none"/>
        </w:rPr>
      </w:r>
    </w:p>
    <w:p>
      <w:pPr>
        <w:pStyle w:val="955"/>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1、商务技术评分标准中须提供的相关得分佐证材料；为方便评委评审，请供应商按评审办法中所涉及的事项顺序进行编制，可以补充相关材料；</w:t>
      </w:r>
      <w:r>
        <w:rPr>
          <w:rFonts w:hint="eastAsia" w:ascii="仿宋" w:hAnsi="仿宋" w:eastAsia="仿宋"/>
          <w:sz w:val="24"/>
          <w:szCs w:val="24"/>
          <w:highlight w:val="none"/>
        </w:rPr>
      </w:r>
      <w:r>
        <w:rPr>
          <w:highlight w:val="none"/>
        </w:rPr>
      </w:r>
    </w:p>
    <w:p>
      <w:pPr>
        <w:pStyle w:val="955"/>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2、供应商认为需要提交的其他商务技术材料。</w:t>
      </w:r>
      <w:r>
        <w:rPr>
          <w:rFonts w:hint="eastAsia" w:ascii="仿宋" w:hAnsi="仿宋" w:eastAsia="仿宋"/>
          <w:sz w:val="24"/>
          <w:szCs w:val="24"/>
          <w:highlight w:val="none"/>
        </w:rPr>
      </w:r>
      <w:r>
        <w:rPr>
          <w:highlight w:val="none"/>
        </w:rPr>
      </w:r>
    </w:p>
    <w:p>
      <w:pPr>
        <w:pStyle w:val="955"/>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四</w:t>
      </w:r>
      <w:r>
        <w:rPr>
          <w:rFonts w:hint="eastAsia" w:ascii="仿宋" w:hAnsi="仿宋" w:eastAsia="仿宋"/>
          <w:b/>
          <w:sz w:val="28"/>
          <w:szCs w:val="28"/>
          <w:highlight w:val="none"/>
        </w:rPr>
        <w:t xml:space="preserve">、价格文件</w:t>
      </w:r>
      <w:r>
        <w:rPr>
          <w:rFonts w:hint="eastAsia" w:ascii="仿宋" w:hAnsi="仿宋" w:eastAsia="仿宋"/>
          <w:b/>
          <w:sz w:val="28"/>
          <w:szCs w:val="28"/>
          <w:highlight w:val="none"/>
        </w:rPr>
      </w:r>
      <w:r>
        <w:rPr>
          <w:highlight w:val="none"/>
        </w:rPr>
      </w:r>
    </w:p>
    <w:p>
      <w:pPr>
        <w:pStyle w:val="955"/>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1、投标报价表（格式见附件</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、1</w:t>
      </w:r>
      <w:r>
        <w:rPr>
          <w:rFonts w:hint="eastAsia" w:ascii="仿宋" w:hAnsi="仿宋" w:eastAsia="仿宋"/>
          <w:sz w:val="24"/>
          <w:szCs w:val="24"/>
          <w:highlight w:val="none"/>
          <w:lang w:val="en-US" w:eastAsia="zh-CN"/>
        </w:rPr>
        <w:t xml:space="preserve">0</w:t>
      </w:r>
      <w:r>
        <w:rPr>
          <w:rFonts w:hint="eastAsia" w:ascii="仿宋" w:hAnsi="仿宋" w:eastAsia="仿宋"/>
          <w:sz w:val="24"/>
          <w:szCs w:val="24"/>
          <w:highlight w:val="none"/>
        </w:rPr>
        <w:t xml:space="preserve">）；</w:t>
      </w:r>
      <w:r>
        <w:rPr>
          <w:rFonts w:hint="eastAsia" w:ascii="仿宋" w:hAnsi="仿宋" w:eastAsia="仿宋"/>
          <w:sz w:val="24"/>
          <w:szCs w:val="24"/>
          <w:highlight w:val="none"/>
        </w:rPr>
      </w:r>
      <w:r>
        <w:rPr>
          <w:highlight w:val="none"/>
        </w:rPr>
      </w:r>
    </w:p>
    <w:p>
      <w:pPr>
        <w:pStyle w:val="967"/>
        <w:ind w:firstLine="480"/>
        <w:rPr>
          <w:rFonts w:hint="eastAsia"/>
          <w:highlight w:val="none"/>
        </w:rPr>
      </w:pP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中小企业声明函、残疾人福利性单位声明函或监狱和戒毒企业证明材料（</w:t>
      </w:r>
      <w:r>
        <w:rPr>
          <w:rFonts w:hint="eastAsia" w:ascii="仿宋" w:hAnsi="仿宋" w:eastAsia="仿宋"/>
          <w:sz w:val="24"/>
          <w:szCs w:val="24"/>
          <w:highlight w:val="none"/>
          <w:lang w:val="en-US" w:eastAsia="zh-CN"/>
        </w:rPr>
        <w:t xml:space="preserve">如有</w:t>
      </w:r>
      <w:r>
        <w:rPr>
          <w:rFonts w:hint="eastAsia" w:ascii="仿宋" w:hAnsi="仿宋" w:eastAsia="仿宋"/>
          <w:sz w:val="24"/>
          <w:szCs w:val="24"/>
          <w:highlight w:val="none"/>
        </w:rPr>
        <w:t xml:space="preserve">格式见附件</w:t>
      </w:r>
      <w:r>
        <w:rPr>
          <w:rFonts w:hint="eastAsia" w:ascii="仿宋" w:hAnsi="仿宋" w:eastAsia="仿宋"/>
          <w:sz w:val="24"/>
          <w:szCs w:val="24"/>
          <w:highlight w:val="none"/>
          <w:lang w:val="en-US" w:eastAsia="zh-CN"/>
        </w:rPr>
        <w:t xml:space="preserve">11</w:t>
      </w:r>
      <w:r>
        <w:rPr>
          <w:rFonts w:hint="eastAsia" w:ascii="仿宋" w:hAnsi="仿宋" w:eastAsia="仿宋"/>
          <w:sz w:val="24"/>
          <w:szCs w:val="24"/>
          <w:highlight w:val="none"/>
        </w:rPr>
        <w:t xml:space="preserve">）；</w:t>
      </w:r>
      <w:r>
        <w:rPr>
          <w:rFonts w:hint="eastAsia"/>
          <w:highlight w:val="none"/>
        </w:rPr>
      </w:r>
      <w:r>
        <w:rPr>
          <w:highlight w:val="none"/>
        </w:rPr>
      </w:r>
    </w:p>
    <w:p>
      <w:pPr>
        <w:pStyle w:val="1022"/>
        <w:ind w:firstLine="0"/>
        <w:rPr>
          <w:rFonts w:hint="eastAsia" w:ascii="仿宋" w:hAnsi="仿宋" w:eastAsia="仿宋"/>
          <w:sz w:val="24"/>
          <w:szCs w:val="24"/>
          <w:highlight w:val="none"/>
        </w:rPr>
      </w:pPr>
      <w:r>
        <w:rPr>
          <w:rFonts w:hint="eastAsia" w:ascii="仿宋" w:hAnsi="仿宋" w:eastAsia="仿宋"/>
          <w:sz w:val="24"/>
          <w:szCs w:val="24"/>
          <w:highlight w:val="none"/>
        </w:rPr>
      </w:r>
      <w:r>
        <w:rPr>
          <w:highlight w:val="none"/>
        </w:rPr>
      </w:r>
    </w:p>
    <w:p>
      <w:pPr>
        <w:pStyle w:val="1078"/>
        <w:contextualSpacing/>
        <w:ind w:firstLine="480"/>
        <w:spacing w:line="360" w:lineRule="auto"/>
        <w:rPr>
          <w:highlight w:val="none"/>
        </w:rPr>
      </w:pPr>
      <w:r>
        <w:rPr>
          <w:rFonts w:hint="eastAsia" w:ascii="Times New Roman" w:hAnsi="Times New Roman" w:cs="Times New Roman"/>
          <w:b/>
          <w:bCs/>
          <w:highlight w:val="none"/>
        </w:rPr>
        <w:br w:type="page" w:clear="all"/>
      </w:r>
      <w:r>
        <w:rPr>
          <w:rFonts w:hint="eastAsia" w:ascii="Times New Roman" w:hAnsi="Times New Roman" w:cs="Times New Roman"/>
          <w:b/>
          <w:bCs/>
          <w:highlight w:val="none"/>
        </w:rPr>
        <w:t xml:space="preserve">（一）资格审查证明材料</w:t>
      </w:r>
      <w:r>
        <w:rPr>
          <w:highlight w:val="none"/>
        </w:rPr>
      </w:r>
    </w:p>
    <w:p>
      <w:pPr>
        <w:pStyle w:val="955"/>
        <w:spacing w:line="360" w:lineRule="auto"/>
        <w:rPr>
          <w:rFonts w:ascii="宋体" w:hAnsi="宋体" w:cs="宋体"/>
          <w:b/>
          <w:sz w:val="30"/>
          <w:szCs w:val="30"/>
          <w:highlight w:val="none"/>
        </w:rPr>
      </w:pPr>
      <w:r>
        <w:rPr>
          <w:rFonts w:ascii="宋体" w:hAnsi="宋体" w:cs="宋体"/>
          <w:b/>
          <w:sz w:val="30"/>
          <w:szCs w:val="30"/>
          <w:highlight w:val="none"/>
        </w:rPr>
        <w:t xml:space="preserve">附件1</w:t>
      </w:r>
      <w:r>
        <w:rPr>
          <w:rFonts w:ascii="宋体" w:hAnsi="宋体" w:cs="宋体"/>
          <w:b/>
          <w:sz w:val="30"/>
          <w:szCs w:val="30"/>
          <w:highlight w:val="none"/>
        </w:rPr>
      </w:r>
      <w:r>
        <w:rPr>
          <w:highlight w:val="none"/>
        </w:rPr>
      </w:r>
    </w:p>
    <w:p>
      <w:pPr>
        <w:pStyle w:val="955"/>
        <w:jc w:val="center"/>
        <w:spacing w:line="360" w:lineRule="auto"/>
        <w:rPr>
          <w:rFonts w:ascii="宋体" w:hAnsi="宋体" w:cs="宋体"/>
          <w:b/>
          <w:sz w:val="30"/>
          <w:szCs w:val="30"/>
          <w:highlight w:val="none"/>
        </w:rPr>
      </w:pPr>
      <w:r>
        <w:rPr>
          <w:rFonts w:hint="eastAsia" w:ascii="宋体" w:hAnsi="宋体" w:cs="宋体"/>
          <w:b/>
          <w:sz w:val="30"/>
          <w:szCs w:val="30"/>
          <w:highlight w:val="none"/>
        </w:rPr>
        <w:t xml:space="preserve">供应商符合《政府采购法》第二十二条规定条件的声明函</w:t>
      </w:r>
      <w:r>
        <w:rPr>
          <w:rFonts w:ascii="宋体" w:hAnsi="宋体" w:cs="宋体"/>
          <w:b/>
          <w:sz w:val="30"/>
          <w:szCs w:val="30"/>
          <w:highlight w:val="none"/>
        </w:rPr>
      </w:r>
      <w:r>
        <w:rPr>
          <w:highlight w:val="none"/>
        </w:rPr>
      </w:r>
    </w:p>
    <w:p>
      <w:pPr>
        <w:pStyle w:val="955"/>
        <w:spacing w:line="360" w:lineRule="auto"/>
        <w:rPr>
          <w:rFonts w:ascii="宋体" w:hAnsi="宋体"/>
          <w:b/>
          <w:bCs/>
          <w:sz w:val="44"/>
          <w:szCs w:val="44"/>
          <w:highlight w:val="none"/>
        </w:rPr>
      </w:pPr>
      <w:r>
        <w:rPr>
          <w:rFonts w:ascii="宋体" w:hAnsi="宋体"/>
          <w:b/>
          <w:bCs/>
          <w:sz w:val="44"/>
          <w:szCs w:val="44"/>
          <w:highlight w:val="none"/>
        </w:rPr>
      </w:r>
      <w:r>
        <w:rPr>
          <w:highlight w:val="none"/>
        </w:rPr>
      </w:r>
    </w:p>
    <w:p>
      <w:pPr>
        <w:pStyle w:val="955"/>
        <w:ind w:firstLine="480"/>
        <w:spacing w:line="360" w:lineRule="auto"/>
        <w:rPr>
          <w:rFonts w:ascii="宋体" w:hAnsi="宋体" w:cs="仿宋_GB2312"/>
          <w:b/>
          <w:bCs/>
          <w:sz w:val="24"/>
          <w:szCs w:val="22"/>
          <w:highlight w:val="none"/>
        </w:rPr>
      </w:pPr>
      <w:r>
        <w:rPr>
          <w:rFonts w:hint="eastAsia" w:ascii="宋体" w:hAnsi="宋体" w:cs="仿宋_GB2312"/>
          <w:bCs/>
          <w:sz w:val="24"/>
          <w:szCs w:val="22"/>
          <w:highlight w:val="none"/>
        </w:rPr>
        <w:t xml:space="preserve">我单位参加</w:t>
      </w:r>
      <w:r>
        <w:rPr>
          <w:rFonts w:hint="eastAsia" w:ascii="宋体" w:hAnsi="宋体" w:cs="仿宋_GB2312"/>
          <w:bCs/>
          <w:sz w:val="24"/>
          <w:highlight w:val="none"/>
          <w:u w:val="single"/>
        </w:rPr>
        <w:t xml:space="preserve">_________________</w:t>
      </w:r>
      <w:r>
        <w:rPr>
          <w:rFonts w:hint="eastAsia" w:ascii="宋体" w:hAnsi="宋体" w:cs="仿宋_GB2312"/>
          <w:bCs/>
          <w:sz w:val="24"/>
          <w:highlight w:val="none"/>
        </w:rPr>
        <w:t xml:space="preserve">（项目名称），</w:t>
      </w:r>
      <w:r>
        <w:rPr>
          <w:rFonts w:hint="eastAsia" w:ascii="宋体" w:hAnsi="宋体" w:cs="仿宋_GB2312"/>
          <w:bCs/>
          <w:sz w:val="24"/>
          <w:highlight w:val="none"/>
          <w:u w:val="single"/>
        </w:rPr>
        <w:t xml:space="preserve">_________________</w:t>
      </w:r>
      <w:r>
        <w:rPr>
          <w:rFonts w:hint="eastAsia" w:ascii="宋体" w:hAnsi="宋体" w:cs="仿宋_GB2312"/>
          <w:bCs/>
          <w:sz w:val="24"/>
          <w:highlight w:val="none"/>
        </w:rPr>
        <w:t xml:space="preserve">（项目编号）竞争性磋商活动。针对《中华人民共和国政府采购法》第二十二条规定做出如下声明：</w:t>
      </w:r>
      <w:r>
        <w:rPr>
          <w:rFonts w:ascii="宋体" w:hAnsi="宋体" w:cs="仿宋_GB2312"/>
          <w:b/>
          <w:bCs/>
          <w:sz w:val="24"/>
          <w:szCs w:val="22"/>
          <w:highlight w:val="none"/>
        </w:rPr>
      </w:r>
      <w:r>
        <w:rPr>
          <w:highlight w:val="none"/>
        </w:rPr>
      </w:r>
    </w:p>
    <w:p>
      <w:pPr>
        <w:pStyle w:val="955"/>
        <w:ind w:firstLine="480"/>
        <w:spacing w:line="360" w:lineRule="auto"/>
        <w:rPr>
          <w:rFonts w:ascii="宋体" w:hAnsi="宋体" w:cs="仿宋_GB2312"/>
          <w:sz w:val="24"/>
          <w:szCs w:val="22"/>
          <w:highlight w:val="none"/>
        </w:rPr>
      </w:pPr>
      <w:r>
        <w:rPr>
          <w:rFonts w:hint="eastAsia" w:ascii="宋体" w:hAnsi="宋体" w:cs="仿宋_GB2312"/>
          <w:bCs/>
          <w:sz w:val="24"/>
          <w:highlight w:val="none"/>
        </w:rPr>
        <w:t xml:space="preserve">1、我单位具有独立承担民事责任的能力；</w:t>
      </w:r>
      <w:r>
        <w:rPr>
          <w:rFonts w:ascii="宋体" w:hAnsi="宋体" w:cs="仿宋_GB2312"/>
          <w:sz w:val="24"/>
          <w:szCs w:val="22"/>
          <w:highlight w:val="none"/>
        </w:rPr>
      </w:r>
      <w:r>
        <w:rPr>
          <w:highlight w:val="none"/>
        </w:rPr>
      </w:r>
    </w:p>
    <w:p>
      <w:pPr>
        <w:pStyle w:val="955"/>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2、我单位具有良好的商业信誉和健全的财务会计制度；</w:t>
      </w:r>
      <w:r>
        <w:rPr>
          <w:rFonts w:ascii="宋体" w:hAnsi="宋体" w:cs="仿宋_GB2312"/>
          <w:sz w:val="24"/>
          <w:szCs w:val="22"/>
          <w:highlight w:val="none"/>
        </w:rPr>
      </w:r>
      <w:r>
        <w:rPr>
          <w:highlight w:val="none"/>
        </w:rPr>
      </w:r>
    </w:p>
    <w:p>
      <w:pPr>
        <w:pStyle w:val="955"/>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3、我单位具有履行合同所必需的设备和专业技术能力；</w:t>
      </w:r>
      <w:r>
        <w:rPr>
          <w:rFonts w:ascii="宋体" w:hAnsi="宋体" w:cs="仿宋_GB2312"/>
          <w:sz w:val="24"/>
          <w:szCs w:val="22"/>
          <w:highlight w:val="none"/>
        </w:rPr>
      </w:r>
      <w:r>
        <w:rPr>
          <w:highlight w:val="none"/>
        </w:rPr>
      </w:r>
    </w:p>
    <w:p>
      <w:pPr>
        <w:pStyle w:val="955"/>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4、我单位有依法缴纳税收和社会保障资金的良好记录；</w:t>
      </w:r>
      <w:r>
        <w:rPr>
          <w:rFonts w:ascii="宋体" w:hAnsi="宋体" w:cs="仿宋_GB2312"/>
          <w:sz w:val="24"/>
          <w:szCs w:val="22"/>
          <w:highlight w:val="none"/>
        </w:rPr>
      </w:r>
      <w:r>
        <w:rPr>
          <w:highlight w:val="none"/>
        </w:rPr>
      </w:r>
    </w:p>
    <w:p>
      <w:pPr>
        <w:pStyle w:val="955"/>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5、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仿宋_GB2312"/>
          <w:sz w:val="24"/>
          <w:szCs w:val="22"/>
          <w:highlight w:val="none"/>
        </w:rPr>
      </w:r>
      <w:r>
        <w:rPr>
          <w:highlight w:val="none"/>
        </w:rPr>
      </w:r>
    </w:p>
    <w:p>
      <w:pPr>
        <w:pStyle w:val="955"/>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6、我单位满足法律、行政法规规定的其他条件。</w:t>
      </w:r>
      <w:r>
        <w:rPr>
          <w:rFonts w:ascii="宋体" w:hAnsi="宋体" w:cs="仿宋_GB2312"/>
          <w:sz w:val="24"/>
          <w:szCs w:val="22"/>
          <w:highlight w:val="none"/>
        </w:rPr>
      </w:r>
      <w:r>
        <w:rPr>
          <w:highlight w:val="none"/>
        </w:rPr>
      </w:r>
    </w:p>
    <w:p>
      <w:pPr>
        <w:pStyle w:val="955"/>
        <w:ind w:firstLine="480"/>
        <w:spacing w:line="360" w:lineRule="auto"/>
        <w:rPr>
          <w:rFonts w:ascii="宋体" w:hAnsi="宋体" w:cs="仿宋_GB2312"/>
          <w:sz w:val="24"/>
          <w:szCs w:val="22"/>
          <w:highlight w:val="none"/>
        </w:rPr>
      </w:pPr>
      <w:r>
        <w:rPr>
          <w:rFonts w:ascii="宋体" w:hAnsi="宋体" w:cs="仿宋_GB2312"/>
          <w:sz w:val="24"/>
          <w:szCs w:val="22"/>
          <w:highlight w:val="none"/>
        </w:rPr>
      </w:r>
      <w:r>
        <w:rPr>
          <w:highlight w:val="none"/>
        </w:rPr>
      </w:r>
    </w:p>
    <w:p>
      <w:pPr>
        <w:pStyle w:val="955"/>
        <w:ind w:firstLine="480"/>
        <w:spacing w:line="360" w:lineRule="auto"/>
        <w:rPr>
          <w:rFonts w:ascii="宋体" w:hAnsi="宋体" w:cs="仿宋_GB2312"/>
          <w:sz w:val="24"/>
          <w:szCs w:val="22"/>
          <w:highlight w:val="none"/>
        </w:rPr>
      </w:pPr>
      <w:r>
        <w:rPr>
          <w:rFonts w:ascii="宋体" w:hAnsi="宋体" w:cs="仿宋_GB2312"/>
          <w:sz w:val="24"/>
          <w:szCs w:val="22"/>
          <w:highlight w:val="none"/>
        </w:rPr>
      </w:r>
      <w:r>
        <w:rPr>
          <w:highlight w:val="none"/>
        </w:rPr>
      </w:r>
    </w:p>
    <w:p>
      <w:pPr>
        <w:pStyle w:val="955"/>
        <w:ind w:firstLine="480"/>
        <w:spacing w:line="360" w:lineRule="auto"/>
        <w:rPr>
          <w:rFonts w:ascii="宋体" w:hAnsi="宋体" w:cs="仿宋_GB2312"/>
          <w:bCs/>
          <w:sz w:val="24"/>
          <w:highlight w:val="none"/>
        </w:rPr>
      </w:pPr>
      <w:r>
        <w:rPr>
          <w:rFonts w:ascii="宋体" w:hAnsi="宋体" w:cs="仿宋_GB2312"/>
          <w:bCs/>
          <w:sz w:val="24"/>
          <w:highlight w:val="none"/>
        </w:rPr>
      </w:r>
      <w:r>
        <w:rPr>
          <w:highlight w:val="none"/>
        </w:rPr>
      </w:r>
    </w:p>
    <w:p>
      <w:pPr>
        <w:pStyle w:val="955"/>
        <w:ind w:firstLine="480"/>
        <w:jc w:val="center"/>
        <w:spacing w:line="360" w:lineRule="auto"/>
        <w:rPr>
          <w:rFonts w:ascii="宋体" w:hAnsi="宋体" w:cs="仿宋_GB2312"/>
          <w:bCs/>
          <w:sz w:val="24"/>
          <w:highlight w:val="none"/>
        </w:rPr>
      </w:pPr>
      <w:r>
        <w:rPr>
          <w:rFonts w:hint="eastAsia" w:ascii="宋体" w:hAnsi="宋体" w:cs="仿宋_GB2312"/>
          <w:bCs/>
          <w:sz w:val="24"/>
          <w:highlight w:val="none"/>
        </w:rPr>
        <w:t xml:space="preserve">                                承诺人名称（公章）：</w:t>
      </w:r>
      <w:r>
        <w:rPr>
          <w:rFonts w:ascii="宋体" w:hAnsi="宋体" w:cs="仿宋_GB2312"/>
          <w:bCs/>
          <w:sz w:val="24"/>
          <w:highlight w:val="none"/>
        </w:rPr>
      </w:r>
      <w:r>
        <w:rPr>
          <w:highlight w:val="none"/>
        </w:rPr>
      </w:r>
    </w:p>
    <w:p>
      <w:pPr>
        <w:pStyle w:val="955"/>
        <w:ind w:firstLine="480"/>
        <w:jc w:val="right"/>
        <w:spacing w:line="360" w:lineRule="auto"/>
        <w:rPr>
          <w:rFonts w:ascii="宋体" w:hAnsi="宋体" w:cs="仿宋_GB2312"/>
          <w:bCs/>
          <w:sz w:val="24"/>
          <w:highlight w:val="none"/>
        </w:rPr>
      </w:pPr>
      <w:r>
        <w:rPr>
          <w:rFonts w:ascii="宋体" w:hAnsi="宋体" w:cs="仿宋_GB2312"/>
          <w:bCs/>
          <w:sz w:val="24"/>
          <w:highlight w:val="none"/>
        </w:rPr>
      </w:r>
      <w:r>
        <w:rPr>
          <w:highlight w:val="none"/>
        </w:rPr>
      </w:r>
    </w:p>
    <w:p>
      <w:pPr>
        <w:pStyle w:val="955"/>
        <w:ind w:firstLine="480"/>
        <w:jc w:val="right"/>
        <w:spacing w:line="360" w:lineRule="auto"/>
        <w:rPr>
          <w:rFonts w:ascii="宋体" w:hAnsi="宋体" w:cs="仿宋_GB2312"/>
          <w:bCs/>
          <w:sz w:val="24"/>
          <w:highlight w:val="none"/>
        </w:rPr>
      </w:pPr>
      <w:r>
        <w:rPr>
          <w:rFonts w:hint="eastAsia" w:ascii="宋体" w:hAnsi="宋体" w:cs="仿宋_GB2312"/>
          <w:bCs/>
          <w:sz w:val="24"/>
          <w:highlight w:val="none"/>
        </w:rPr>
        <w:t xml:space="preserve">日期：年 月 日</w:t>
      </w:r>
      <w:r>
        <w:rPr>
          <w:rFonts w:ascii="宋体" w:hAnsi="宋体" w:cs="仿宋_GB2312"/>
          <w:bCs/>
          <w:sz w:val="24"/>
          <w:highlight w:val="none"/>
        </w:rPr>
      </w:r>
      <w:r>
        <w:rPr>
          <w:highlight w:val="none"/>
        </w:rPr>
      </w:r>
    </w:p>
    <w:p>
      <w:pPr>
        <w:pStyle w:val="955"/>
        <w:spacing w:line="360" w:lineRule="auto"/>
        <w:rPr>
          <w:rFonts w:ascii="宋体" w:hAnsi="宋体"/>
          <w:sz w:val="32"/>
          <w:szCs w:val="32"/>
          <w:highlight w:val="none"/>
        </w:rPr>
      </w:pPr>
      <w:r>
        <w:rPr>
          <w:rFonts w:hint="eastAsia" w:ascii="宋体" w:hAnsi="宋体" w:cs="宋体"/>
          <w:b/>
          <w:sz w:val="30"/>
          <w:szCs w:val="30"/>
          <w:highlight w:val="none"/>
        </w:rPr>
        <w:br w:type="page" w:clear="all"/>
      </w:r>
      <w:r>
        <w:rPr>
          <w:rFonts w:hint="eastAsia" w:ascii="宋体" w:hAnsi="宋体" w:cs="宋体"/>
          <w:b/>
          <w:sz w:val="30"/>
          <w:szCs w:val="30"/>
          <w:highlight w:val="none"/>
        </w:rPr>
        <w:t xml:space="preserve">附件2</w:t>
      </w:r>
      <w:r>
        <w:rPr>
          <w:rFonts w:ascii="宋体" w:hAnsi="宋体"/>
          <w:sz w:val="32"/>
          <w:szCs w:val="32"/>
          <w:highlight w:val="none"/>
          <w:lang w:val="zh-CN"/>
        </w:rPr>
      </w:r>
      <w:r>
        <w:rPr>
          <w:highlight w:val="none"/>
        </w:rPr>
      </w:r>
    </w:p>
    <w:p>
      <w:pPr>
        <w:pStyle w:val="955"/>
        <w:jc w:val="center"/>
        <w:spacing w:line="360" w:lineRule="auto"/>
        <w:rPr>
          <w:rFonts w:ascii="宋体" w:hAnsi="宋体"/>
          <w:b/>
          <w:bCs/>
          <w:sz w:val="32"/>
          <w:szCs w:val="32"/>
          <w:highlight w:val="none"/>
        </w:rPr>
      </w:pPr>
      <w:r>
        <w:rPr>
          <w:rFonts w:ascii="宋体" w:hAnsi="宋体"/>
          <w:b/>
          <w:bCs/>
          <w:sz w:val="32"/>
          <w:szCs w:val="32"/>
          <w:highlight w:val="none"/>
        </w:rPr>
      </w:r>
      <w:r>
        <w:rPr>
          <w:highlight w:val="none"/>
        </w:rPr>
      </w:r>
    </w:p>
    <w:p>
      <w:pPr>
        <w:pStyle w:val="955"/>
        <w:jc w:val="center"/>
        <w:spacing w:line="360" w:lineRule="auto"/>
        <w:rPr>
          <w:rFonts w:ascii="宋体" w:hAnsi="宋体" w:cs="仿宋_GB2312"/>
          <w:b/>
          <w:bCs/>
          <w:sz w:val="32"/>
          <w:szCs w:val="32"/>
          <w:highlight w:val="none"/>
        </w:rPr>
      </w:pPr>
      <w:r>
        <w:rPr>
          <w:rFonts w:hint="eastAsia" w:ascii="宋体" w:hAnsi="宋体" w:cs="仿宋_GB2312"/>
          <w:b/>
          <w:bCs/>
          <w:sz w:val="32"/>
          <w:szCs w:val="32"/>
          <w:highlight w:val="none"/>
        </w:rPr>
        <w:t xml:space="preserve">法定代表人身份证明</w:t>
      </w:r>
      <w:r>
        <w:rPr>
          <w:rFonts w:ascii="宋体" w:hAnsi="宋体" w:cs="仿宋_GB2312"/>
          <w:b/>
          <w:bCs/>
          <w:sz w:val="32"/>
          <w:szCs w:val="32"/>
          <w:highlight w:val="none"/>
        </w:rPr>
      </w:r>
      <w:r>
        <w:rPr>
          <w:highlight w:val="none"/>
        </w:rPr>
      </w:r>
    </w:p>
    <w:p>
      <w:pPr>
        <w:pStyle w:val="955"/>
        <w:spacing w:line="360" w:lineRule="auto"/>
        <w:rPr>
          <w:rFonts w:ascii="宋体" w:hAnsi="宋体" w:cs="仿宋_GB2312"/>
          <w:sz w:val="24"/>
          <w:szCs w:val="22"/>
          <w:highlight w:val="none"/>
        </w:rPr>
      </w:pPr>
      <w:r>
        <w:rPr>
          <w:rFonts w:ascii="宋体" w:hAnsi="宋体" w:cs="仿宋_GB2312"/>
          <w:sz w:val="24"/>
          <w:szCs w:val="22"/>
          <w:highlight w:val="none"/>
        </w:rPr>
      </w:r>
      <w:r>
        <w:rPr>
          <w:highlight w:val="none"/>
        </w:rPr>
      </w:r>
    </w:p>
    <w:p>
      <w:pPr>
        <w:pStyle w:val="955"/>
        <w:spacing w:before="380" w:after="380" w:line="360" w:lineRule="auto"/>
        <w:widowControl/>
        <w:rPr>
          <w:rFonts w:ascii="Calibri" w:hAnsi="Calibri"/>
          <w:sz w:val="24"/>
          <w:szCs w:val="22"/>
          <w:highlight w:val="none"/>
        </w:rPr>
      </w:pPr>
      <w:r>
        <w:rPr>
          <w:highlight w:val="none"/>
        </w:rPr>
      </w:r>
      <w:bookmarkStart w:id="211" w:name="_Hlk49178957"/>
      <w:r>
        <w:rPr>
          <w:rFonts w:hint="eastAsia" w:ascii="Calibri" w:hAnsi="Calibri" w:cs="宋体"/>
          <w:sz w:val="24"/>
          <w:szCs w:val="22"/>
          <w:highlight w:val="none"/>
        </w:rPr>
        <w:t xml:space="preserve">南通市生态环境监测站：</w:t>
      </w:r>
      <w:bookmarkEnd w:id="211"/>
      <w:r>
        <w:rPr>
          <w:rFonts w:ascii="Calibri" w:hAnsi="Calibri"/>
          <w:sz w:val="24"/>
          <w:szCs w:val="22"/>
          <w:highlight w:val="none"/>
        </w:rPr>
      </w:r>
      <w:r>
        <w:rPr>
          <w:highlight w:val="none"/>
        </w:rPr>
      </w:r>
    </w:p>
    <w:p>
      <w:pPr>
        <w:pStyle w:val="955"/>
        <w:ind w:firstLine="480"/>
        <w:spacing w:line="360" w:lineRule="auto"/>
        <w:widowControl/>
        <w:rPr>
          <w:rFonts w:ascii="Calibri" w:hAnsi="Calibri"/>
          <w:sz w:val="24"/>
          <w:szCs w:val="22"/>
          <w:highlight w:val="none"/>
        </w:rPr>
      </w:pPr>
      <w:r>
        <w:rPr>
          <w:rFonts w:hint="eastAsia" w:ascii="Calibri" w:hAnsi="Calibri" w:cs="宋体"/>
          <w:sz w:val="24"/>
          <w:szCs w:val="22"/>
          <w:highlight w:val="none"/>
        </w:rPr>
        <w:t xml:space="preserve">（先生／女士）现任我单位</w:t>
      </w:r>
      <w:r>
        <w:rPr>
          <w:rFonts w:hint="eastAsia" w:ascii="Calibri" w:hAnsi="Calibri" w:cs="宋体"/>
          <w:sz w:val="24"/>
          <w:szCs w:val="22"/>
          <w:highlight w:val="none"/>
          <w:u w:val="single"/>
        </w:rPr>
        <w:t xml:space="preserve">　　　　　　　</w:t>
      </w:r>
      <w:r>
        <w:rPr>
          <w:rFonts w:hint="eastAsia" w:ascii="Calibri" w:hAnsi="Calibri" w:cs="宋体"/>
          <w:sz w:val="24"/>
          <w:szCs w:val="22"/>
          <w:highlight w:val="none"/>
        </w:rPr>
        <w:t xml:space="preserve">职务，为法定代表人，特此证明。</w:t>
      </w:r>
      <w:r>
        <w:rPr>
          <w:rFonts w:ascii="Calibri" w:hAnsi="Calibri"/>
          <w:sz w:val="24"/>
          <w:szCs w:val="22"/>
          <w:highlight w:val="none"/>
        </w:rPr>
      </w:r>
      <w:r>
        <w:rPr>
          <w:highlight w:val="none"/>
        </w:rPr>
      </w:r>
    </w:p>
    <w:p>
      <w:pPr>
        <w:pStyle w:val="955"/>
        <w:ind w:firstLine="480"/>
        <w:spacing w:line="360" w:lineRule="auto"/>
        <w:widowControl/>
        <w:rPr>
          <w:rFonts w:ascii="Calibri" w:hAnsi="Calibri"/>
          <w:sz w:val="24"/>
          <w:szCs w:val="22"/>
          <w:highlight w:val="none"/>
          <w:u w:val="single"/>
        </w:rPr>
      </w:pPr>
      <w:r>
        <w:rPr>
          <w:rFonts w:hint="eastAsia" w:ascii="Calibri" w:hAnsi="Calibri" w:cs="宋体"/>
          <w:sz w:val="24"/>
          <w:szCs w:val="22"/>
          <w:highlight w:val="none"/>
        </w:rPr>
        <w:t xml:space="preserve">身份证号码：</w:t>
      </w:r>
      <w:r>
        <w:rPr>
          <w:rFonts w:ascii="Calibri" w:hAnsi="Calibri"/>
          <w:sz w:val="24"/>
          <w:szCs w:val="22"/>
          <w:highlight w:val="none"/>
          <w:u w:val="single"/>
        </w:rPr>
      </w:r>
      <w:r>
        <w:rPr>
          <w:highlight w:val="none"/>
        </w:rPr>
      </w:r>
    </w:p>
    <w:p>
      <w:pPr>
        <w:pStyle w:val="955"/>
        <w:ind w:firstLine="485"/>
        <w:jc w:val="right"/>
        <w:spacing w:line="360" w:lineRule="auto"/>
        <w:widowControl/>
        <w:rPr>
          <w:rFonts w:ascii="Calibri" w:hAnsi="Calibri"/>
          <w:sz w:val="24"/>
          <w:szCs w:val="22"/>
          <w:highlight w:val="none"/>
        </w:rPr>
      </w:pPr>
      <w:r>
        <w:rPr>
          <w:rFonts w:hint="eastAsia" w:ascii="Calibri" w:hAnsi="Calibri" w:cs="宋体"/>
          <w:sz w:val="24"/>
          <w:szCs w:val="22"/>
          <w:highlight w:val="none"/>
        </w:rPr>
        <w:t xml:space="preserve">供应商（盖章）</w:t>
      </w:r>
      <w:r>
        <w:rPr>
          <w:rFonts w:ascii="Calibri" w:hAnsi="Calibri"/>
          <w:sz w:val="24"/>
          <w:szCs w:val="22"/>
          <w:highlight w:val="none"/>
        </w:rPr>
      </w:r>
      <w:r>
        <w:rPr>
          <w:highlight w:val="none"/>
        </w:rPr>
      </w:r>
    </w:p>
    <w:p>
      <w:pPr>
        <w:pStyle w:val="955"/>
        <w:ind w:firstLine="485"/>
        <w:jc w:val="right"/>
        <w:spacing w:line="360" w:lineRule="auto"/>
        <w:widowControl/>
        <w:rPr>
          <w:rFonts w:ascii="Calibri" w:hAnsi="Calibri"/>
          <w:sz w:val="24"/>
          <w:szCs w:val="22"/>
          <w:highlight w:val="none"/>
        </w:rPr>
      </w:pPr>
      <w:r>
        <w:rPr>
          <w:rFonts w:hint="eastAsia" w:ascii="Calibri" w:hAnsi="Calibri" w:cs="宋体"/>
          <w:sz w:val="24"/>
          <w:szCs w:val="22"/>
          <w:highlight w:val="none"/>
        </w:rPr>
        <w:t xml:space="preserve">年 月 日</w:t>
      </w:r>
      <w:r>
        <w:rPr>
          <w:rFonts w:ascii="Calibri" w:hAnsi="Calibri"/>
          <w:sz w:val="24"/>
          <w:szCs w:val="22"/>
          <w:highlight w:val="none"/>
        </w:rPr>
      </w:r>
      <w:r>
        <w:rPr>
          <w:highlight w:val="none"/>
        </w:rPr>
      </w:r>
    </w:p>
    <w:p>
      <w:pPr>
        <w:pStyle w:val="955"/>
        <w:ind w:firstLine="485"/>
        <w:jc w:val="left"/>
        <w:spacing w:line="360" w:lineRule="auto"/>
        <w:widowControl/>
        <w:rPr>
          <w:rFonts w:ascii="Calibri" w:hAnsi="Calibri"/>
          <w:sz w:val="24"/>
          <w:szCs w:val="22"/>
          <w:highlight w:val="none"/>
        </w:rPr>
      </w:pPr>
      <w:r>
        <w:rPr>
          <w:rFonts w:ascii="Calibri" w:hAnsi="Calibri"/>
          <w:sz w:val="24"/>
          <w:szCs w:val="22"/>
          <w:highlight w:val="none"/>
        </w:rPr>
      </w:r>
      <w:r>
        <w:rPr>
          <w:highlight w:val="none"/>
        </w:rPr>
      </w:r>
    </w:p>
    <w:p>
      <w:pPr>
        <w:pStyle w:val="955"/>
        <w:ind w:firstLine="485"/>
        <w:jc w:val="left"/>
        <w:spacing w:line="360" w:lineRule="auto"/>
        <w:widowControl/>
        <w:rPr>
          <w:rFonts w:ascii="Calibri" w:hAnsi="Calibri"/>
          <w:sz w:val="24"/>
          <w:szCs w:val="22"/>
          <w:highlight w:val="none"/>
        </w:rPr>
      </w:pPr>
      <w:r>
        <w:rPr>
          <w:rFonts w:ascii="Calibri" w:hAnsi="Calibri"/>
          <w:sz w:val="24"/>
          <w:szCs w:val="22"/>
          <w:highlight w:val="none"/>
        </w:rPr>
      </w:r>
      <w:r>
        <w:rPr>
          <w:highlight w:val="none"/>
        </w:rPr>
      </w:r>
    </w:p>
    <w:p>
      <w:pPr>
        <w:pStyle w:val="955"/>
        <w:ind w:firstLine="482"/>
        <w:jc w:val="center"/>
        <w:spacing w:line="360" w:lineRule="auto"/>
        <w:widowControl/>
        <w:rPr>
          <w:rFonts w:ascii="Calibri" w:hAnsi="Calibri"/>
          <w:b/>
          <w:bCs/>
          <w:sz w:val="24"/>
          <w:szCs w:val="22"/>
          <w:highlight w:val="none"/>
        </w:rPr>
      </w:pPr>
      <w:r>
        <w:rPr>
          <w:rFonts w:hint="eastAsia" w:ascii="宋体" w:hAnsi="宋体" w:cs="仿宋_GB2312"/>
          <w:b/>
          <w:sz w:val="24"/>
          <w:szCs w:val="22"/>
          <w:highlight w:val="none"/>
        </w:rPr>
        <w:t xml:space="preserve">注：提供</w:t>
      </w:r>
      <w:r>
        <w:rPr>
          <w:rFonts w:hint="eastAsia" w:ascii="Calibri" w:hAnsi="Calibri" w:cs="宋体"/>
          <w:b/>
          <w:bCs/>
          <w:sz w:val="24"/>
          <w:szCs w:val="22"/>
          <w:highlight w:val="none"/>
        </w:rPr>
        <w:t xml:space="preserve">法定代表人的身份证扫描件（正、反面）</w:t>
      </w:r>
      <w:r>
        <w:rPr>
          <w:rFonts w:ascii="Calibri" w:hAnsi="Calibri"/>
          <w:b/>
          <w:bCs/>
          <w:sz w:val="24"/>
          <w:szCs w:val="22"/>
          <w:highlight w:val="none"/>
        </w:rPr>
      </w:r>
      <w:r>
        <w:rPr>
          <w:highlight w:val="none"/>
        </w:rPr>
      </w:r>
    </w:p>
    <w:p>
      <w:pPr>
        <w:pStyle w:val="955"/>
        <w:ind w:firstLine="482"/>
        <w:jc w:val="center"/>
        <w:spacing w:line="360" w:lineRule="auto"/>
        <w:widowControl/>
        <w:rPr>
          <w:rFonts w:ascii="Calibri" w:hAnsi="Calibri"/>
          <w:b/>
          <w:bCs/>
          <w:sz w:val="24"/>
          <w:szCs w:val="22"/>
          <w:highlight w:val="none"/>
        </w:rPr>
      </w:pPr>
      <w:r>
        <w:rPr>
          <w:rFonts w:ascii="Calibri" w:hAnsi="Calibri"/>
          <w:b/>
          <w:bCs/>
          <w:sz w:val="24"/>
          <w:szCs w:val="22"/>
          <w:highlight w:val="none"/>
        </w:rPr>
      </w:r>
      <w:r>
        <w:rPr>
          <w:highlight w:val="none"/>
        </w:rPr>
      </w:r>
    </w:p>
    <w:p>
      <w:pPr>
        <w:pStyle w:val="955"/>
        <w:spacing w:line="360" w:lineRule="auto"/>
        <w:rPr>
          <w:rFonts w:ascii="宋体" w:hAnsi="宋体" w:cs="仿宋_GB2312"/>
          <w:szCs w:val="22"/>
          <w:highlight w:val="none"/>
        </w:rPr>
      </w:pPr>
      <w:r>
        <w:rPr>
          <w:rFonts w:ascii="宋体" w:hAnsi="宋体" w:cs="仿宋_GB2312"/>
          <w:szCs w:val="22"/>
          <w:highlight w:val="none"/>
        </w:rPr>
      </w:r>
      <w:r>
        <w:rPr>
          <w:highlight w:val="none"/>
        </w:rPr>
      </w:r>
    </w:p>
    <w:p>
      <w:pPr>
        <w:pStyle w:val="955"/>
        <w:contextualSpacing/>
        <w:ind w:firstLine="540"/>
        <w:spacing w:line="360" w:lineRule="auto"/>
        <w:rPr>
          <w:rFonts w:ascii="宋体" w:hAnsi="宋体" w:cs="仿宋_GB2312"/>
          <w:b/>
          <w:sz w:val="28"/>
          <w:szCs w:val="28"/>
          <w:highlight w:val="none"/>
        </w:rPr>
      </w:pPr>
      <w:r>
        <w:rPr>
          <w:rFonts w:ascii="宋体" w:hAnsi="宋体" w:cs="仿宋_GB2312"/>
          <w:b/>
          <w:sz w:val="28"/>
          <w:szCs w:val="28"/>
          <w:highlight w:val="none"/>
        </w:rPr>
      </w:r>
      <w:r>
        <w:rPr>
          <w:highlight w:val="none"/>
        </w:rPr>
      </w:r>
    </w:p>
    <w:p>
      <w:pPr>
        <w:pStyle w:val="955"/>
        <w:contextualSpacing/>
        <w:ind w:firstLine="540"/>
        <w:spacing w:line="360" w:lineRule="auto"/>
        <w:rPr>
          <w:rFonts w:ascii="宋体" w:hAnsi="宋体" w:cs="仿宋_GB2312"/>
          <w:b/>
          <w:sz w:val="28"/>
          <w:szCs w:val="28"/>
          <w:highlight w:val="none"/>
        </w:rPr>
      </w:pPr>
      <w:r>
        <w:rPr>
          <w:rFonts w:ascii="宋体" w:hAnsi="宋体" w:cs="仿宋_GB2312"/>
          <w:b/>
          <w:sz w:val="28"/>
          <w:szCs w:val="28"/>
          <w:highlight w:val="none"/>
          <w:lang w:val="zh-CN"/>
        </w:rPr>
      </w:r>
      <w:r>
        <w:rPr>
          <w:highlight w:val="none"/>
        </w:rPr>
      </w:r>
    </w:p>
    <w:p>
      <w:pPr>
        <w:pStyle w:val="955"/>
        <w:contextualSpacing/>
        <w:ind w:firstLine="540"/>
        <w:spacing w:line="360" w:lineRule="auto"/>
        <w:rPr>
          <w:rFonts w:ascii="宋体" w:hAnsi="宋体" w:cs="仿宋_GB2312"/>
          <w:b/>
          <w:sz w:val="28"/>
          <w:szCs w:val="28"/>
          <w:highlight w:val="none"/>
        </w:rPr>
      </w:pPr>
      <w:r>
        <w:rPr>
          <w:rFonts w:ascii="宋体" w:hAnsi="宋体" w:cs="仿宋_GB2312"/>
          <w:b/>
          <w:sz w:val="28"/>
          <w:szCs w:val="28"/>
          <w:highlight w:val="none"/>
          <w:lang w:val="zh-CN"/>
        </w:rPr>
      </w:r>
      <w:r>
        <w:rPr>
          <w:highlight w:val="none"/>
        </w:rPr>
      </w:r>
    </w:p>
    <w:p>
      <w:pPr>
        <w:pStyle w:val="955"/>
        <w:contextualSpacing/>
        <w:ind w:firstLine="540"/>
        <w:spacing w:line="360" w:lineRule="auto"/>
        <w:rPr>
          <w:rFonts w:ascii="宋体" w:hAnsi="宋体" w:cs="仿宋_GB2312"/>
          <w:b/>
          <w:sz w:val="28"/>
          <w:szCs w:val="28"/>
          <w:highlight w:val="none"/>
        </w:rPr>
      </w:pPr>
      <w:r>
        <w:rPr>
          <w:rFonts w:ascii="宋体" w:hAnsi="宋体" w:cs="仿宋_GB2312"/>
          <w:b/>
          <w:sz w:val="28"/>
          <w:szCs w:val="28"/>
          <w:highlight w:val="none"/>
          <w:lang w:val="zh-CN"/>
        </w:rPr>
      </w:r>
      <w:r>
        <w:rPr>
          <w:highlight w:val="none"/>
        </w:rPr>
      </w:r>
    </w:p>
    <w:p>
      <w:pPr>
        <w:pStyle w:val="955"/>
        <w:contextualSpacing/>
        <w:ind w:firstLine="540"/>
        <w:spacing w:line="360" w:lineRule="auto"/>
        <w:rPr>
          <w:rFonts w:ascii="宋体" w:hAnsi="宋体" w:cs="仿宋_GB2312"/>
          <w:b/>
          <w:sz w:val="28"/>
          <w:szCs w:val="28"/>
          <w:highlight w:val="none"/>
        </w:rPr>
      </w:pPr>
      <w:r>
        <w:rPr>
          <w:rFonts w:ascii="宋体" w:hAnsi="宋体" w:cs="仿宋_GB2312"/>
          <w:b/>
          <w:sz w:val="28"/>
          <w:szCs w:val="28"/>
          <w:highlight w:val="none"/>
          <w:lang w:val="zh-CN"/>
        </w:rPr>
      </w:r>
      <w:r>
        <w:rPr>
          <w:highlight w:val="none"/>
        </w:rPr>
      </w:r>
    </w:p>
    <w:p>
      <w:pPr>
        <w:pStyle w:val="955"/>
        <w:contextualSpacing/>
        <w:ind w:firstLine="540"/>
        <w:spacing w:line="360" w:lineRule="auto"/>
        <w:rPr>
          <w:rFonts w:ascii="宋体" w:hAnsi="宋体" w:cs="仿宋_GB2312"/>
          <w:b/>
          <w:sz w:val="28"/>
          <w:szCs w:val="28"/>
          <w:highlight w:val="none"/>
        </w:rPr>
      </w:pPr>
      <w:r>
        <w:rPr>
          <w:rFonts w:ascii="宋体" w:hAnsi="宋体" w:cs="仿宋_GB2312"/>
          <w:b/>
          <w:sz w:val="28"/>
          <w:szCs w:val="28"/>
          <w:highlight w:val="none"/>
          <w:lang w:val="zh-CN"/>
        </w:rPr>
      </w:r>
      <w:r>
        <w:rPr>
          <w:highlight w:val="none"/>
        </w:rPr>
      </w:r>
    </w:p>
    <w:p>
      <w:pPr>
        <w:pStyle w:val="955"/>
        <w:contextualSpacing/>
        <w:ind w:firstLine="540"/>
        <w:spacing w:line="360" w:lineRule="auto"/>
        <w:rPr>
          <w:rFonts w:ascii="宋体" w:hAnsi="宋体" w:cs="仿宋_GB2312"/>
          <w:b/>
          <w:sz w:val="28"/>
          <w:szCs w:val="28"/>
          <w:highlight w:val="none"/>
        </w:rPr>
      </w:pPr>
      <w:r>
        <w:rPr>
          <w:rFonts w:ascii="宋体" w:hAnsi="宋体" w:cs="仿宋_GB2312"/>
          <w:b/>
          <w:sz w:val="28"/>
          <w:szCs w:val="28"/>
          <w:highlight w:val="none"/>
          <w:lang w:val="zh-CN"/>
        </w:rPr>
      </w:r>
      <w:r>
        <w:rPr>
          <w:highlight w:val="none"/>
        </w:rPr>
      </w:r>
    </w:p>
    <w:p>
      <w:pPr>
        <w:pStyle w:val="955"/>
        <w:spacing w:line="360" w:lineRule="auto"/>
        <w:rPr>
          <w:rFonts w:ascii="宋体" w:hAnsi="宋体" w:cs="宋体"/>
          <w:b/>
          <w:sz w:val="30"/>
          <w:szCs w:val="30"/>
          <w:highlight w:val="none"/>
        </w:rPr>
      </w:pPr>
      <w:r>
        <w:rPr>
          <w:rFonts w:ascii="宋体" w:hAnsi="宋体" w:cs="宋体"/>
          <w:b/>
          <w:sz w:val="30"/>
          <w:szCs w:val="30"/>
          <w:highlight w:val="none"/>
        </w:rPr>
        <w:br w:type="page" w:clear="all"/>
      </w:r>
      <w:r>
        <w:rPr>
          <w:rFonts w:hint="eastAsia" w:ascii="宋体" w:hAnsi="宋体" w:cs="宋体"/>
          <w:b/>
          <w:sz w:val="30"/>
          <w:szCs w:val="30"/>
          <w:highlight w:val="none"/>
        </w:rPr>
        <w:t xml:space="preserve">附件3</w:t>
      </w:r>
      <w:r>
        <w:rPr>
          <w:rFonts w:ascii="宋体" w:hAnsi="宋体" w:cs="宋体"/>
          <w:b/>
          <w:sz w:val="30"/>
          <w:szCs w:val="30"/>
          <w:highlight w:val="none"/>
        </w:rPr>
      </w:r>
      <w:r>
        <w:rPr>
          <w:highlight w:val="none"/>
        </w:rPr>
      </w:r>
    </w:p>
    <w:p>
      <w:pPr>
        <w:pStyle w:val="955"/>
        <w:jc w:val="center"/>
        <w:spacing w:line="360" w:lineRule="auto"/>
        <w:rPr>
          <w:rFonts w:ascii="宋体" w:hAnsi="宋体" w:cs="仿宋_GB2312"/>
          <w:sz w:val="32"/>
          <w:szCs w:val="32"/>
          <w:highlight w:val="none"/>
        </w:rPr>
      </w:pPr>
      <w:r>
        <w:rPr>
          <w:rFonts w:ascii="宋体" w:hAnsi="宋体" w:cs="仿宋_GB2312"/>
          <w:sz w:val="32"/>
          <w:szCs w:val="32"/>
          <w:highlight w:val="none"/>
        </w:rPr>
      </w:r>
      <w:r>
        <w:rPr>
          <w:highlight w:val="none"/>
        </w:rPr>
      </w:r>
    </w:p>
    <w:p>
      <w:pPr>
        <w:pStyle w:val="955"/>
        <w:jc w:val="center"/>
        <w:spacing w:line="360" w:lineRule="auto"/>
        <w:rPr>
          <w:rFonts w:ascii="宋体" w:hAnsi="宋体" w:cs="仿宋_GB2312"/>
          <w:b/>
          <w:bCs/>
          <w:sz w:val="24"/>
          <w:szCs w:val="22"/>
          <w:highlight w:val="none"/>
        </w:rPr>
      </w:pPr>
      <w:r>
        <w:rPr>
          <w:rFonts w:hint="eastAsia" w:ascii="宋体" w:hAnsi="宋体" w:cs="仿宋_GB2312"/>
          <w:b/>
          <w:bCs/>
          <w:sz w:val="24"/>
          <w:szCs w:val="22"/>
          <w:highlight w:val="none"/>
        </w:rPr>
        <w:t xml:space="preserve">法定代表人授权委托书</w:t>
      </w:r>
      <w:r>
        <w:rPr>
          <w:rFonts w:ascii="宋体" w:hAnsi="宋体" w:cs="仿宋_GB2312"/>
          <w:b/>
          <w:bCs/>
          <w:sz w:val="24"/>
          <w:szCs w:val="22"/>
          <w:highlight w:val="none"/>
        </w:rPr>
      </w:r>
      <w:r>
        <w:rPr>
          <w:highlight w:val="none"/>
        </w:rPr>
      </w:r>
    </w:p>
    <w:p>
      <w:pPr>
        <w:pStyle w:val="955"/>
        <w:ind w:firstLine="480"/>
        <w:spacing w:line="360" w:lineRule="auto"/>
        <w:rPr>
          <w:rFonts w:ascii="宋体" w:hAnsi="宋体" w:cs="宋体"/>
          <w:sz w:val="24"/>
          <w:szCs w:val="22"/>
          <w:highlight w:val="none"/>
        </w:rPr>
      </w:pPr>
      <w:r>
        <w:rPr>
          <w:rFonts w:ascii="宋体" w:hAnsi="宋体" w:cs="宋体"/>
          <w:sz w:val="24"/>
          <w:szCs w:val="22"/>
          <w:highlight w:val="none"/>
        </w:rPr>
      </w:r>
      <w:r>
        <w:rPr>
          <w:highlight w:val="none"/>
        </w:rPr>
      </w:r>
    </w:p>
    <w:p>
      <w:pPr>
        <w:pStyle w:val="955"/>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本人------（姓名）系————（授权单位名称）的法定代表人，现委托-------（姓名）（身份证号——————）为我方代理人，以我方名义全权处理与本次采购项目（编号：----------）有关的一切事务，其法律后果由我方承担。</w:t>
      </w:r>
      <w:r>
        <w:rPr>
          <w:rFonts w:ascii="宋体" w:hAnsi="宋体" w:cs="宋体"/>
          <w:sz w:val="24"/>
          <w:szCs w:val="22"/>
          <w:highlight w:val="none"/>
        </w:rPr>
      </w:r>
      <w:r>
        <w:rPr>
          <w:highlight w:val="none"/>
        </w:rPr>
      </w:r>
    </w:p>
    <w:p>
      <w:pPr>
        <w:pStyle w:val="955"/>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本授权书于---年---月---日起生效。代理人无转委托权。</w:t>
      </w:r>
      <w:r>
        <w:rPr>
          <w:rFonts w:ascii="宋体" w:hAnsi="宋体" w:cs="宋体"/>
          <w:sz w:val="24"/>
          <w:szCs w:val="22"/>
          <w:highlight w:val="none"/>
        </w:rPr>
      </w:r>
      <w:r>
        <w:rPr>
          <w:highlight w:val="none"/>
        </w:rPr>
      </w:r>
    </w:p>
    <w:p>
      <w:pPr>
        <w:pStyle w:val="955"/>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代理人(被授权人):------</w:t>
      </w:r>
      <w:r>
        <w:rPr>
          <w:rFonts w:ascii="宋体" w:hAnsi="宋体" w:cs="宋体"/>
          <w:sz w:val="24"/>
          <w:szCs w:val="22"/>
          <w:highlight w:val="none"/>
        </w:rPr>
      </w:r>
      <w:r>
        <w:rPr>
          <w:highlight w:val="none"/>
        </w:rPr>
      </w:r>
    </w:p>
    <w:p>
      <w:pPr>
        <w:pStyle w:val="955"/>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授权单位名称（盖章）：-----</w:t>
      </w:r>
      <w:r>
        <w:rPr>
          <w:rFonts w:ascii="宋体" w:hAnsi="宋体" w:cs="宋体"/>
          <w:sz w:val="24"/>
          <w:szCs w:val="22"/>
          <w:highlight w:val="none"/>
        </w:rPr>
      </w:r>
      <w:r>
        <w:rPr>
          <w:highlight w:val="none"/>
        </w:rPr>
      </w:r>
    </w:p>
    <w:p>
      <w:pPr>
        <w:pStyle w:val="955"/>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授权单位法定代表人（签字或盖章）：-----</w:t>
      </w:r>
      <w:r>
        <w:rPr>
          <w:rFonts w:ascii="宋体" w:hAnsi="宋体" w:cs="宋体"/>
          <w:sz w:val="24"/>
          <w:szCs w:val="22"/>
          <w:highlight w:val="none"/>
        </w:rPr>
      </w:r>
      <w:r>
        <w:rPr>
          <w:highlight w:val="none"/>
        </w:rPr>
      </w:r>
    </w:p>
    <w:p>
      <w:pPr>
        <w:pStyle w:val="955"/>
        <w:ind w:firstLine="480"/>
        <w:jc w:val="right"/>
        <w:spacing w:line="360" w:lineRule="auto"/>
        <w:rPr>
          <w:rFonts w:ascii="宋体" w:hAnsi="宋体" w:cs="宋体"/>
          <w:sz w:val="24"/>
          <w:szCs w:val="22"/>
          <w:highlight w:val="none"/>
        </w:rPr>
      </w:pPr>
      <w:r>
        <w:rPr>
          <w:rFonts w:ascii="宋体" w:hAnsi="宋体" w:cs="宋体"/>
          <w:sz w:val="24"/>
          <w:szCs w:val="22"/>
          <w:highlight w:val="none"/>
        </w:rPr>
      </w:r>
      <w:r>
        <w:rPr>
          <w:highlight w:val="none"/>
        </w:rPr>
      </w:r>
    </w:p>
    <w:p>
      <w:pPr>
        <w:pStyle w:val="955"/>
        <w:ind w:firstLine="480"/>
        <w:jc w:val="right"/>
        <w:spacing w:line="360" w:lineRule="auto"/>
        <w:rPr>
          <w:rFonts w:ascii="宋体" w:hAnsi="宋体" w:cs="宋体"/>
          <w:sz w:val="24"/>
          <w:szCs w:val="22"/>
          <w:highlight w:val="none"/>
        </w:rPr>
      </w:pPr>
      <w:r>
        <w:rPr>
          <w:rFonts w:hint="eastAsia" w:ascii="宋体" w:hAnsi="宋体" w:cs="宋体"/>
          <w:sz w:val="24"/>
          <w:szCs w:val="22"/>
          <w:highlight w:val="none"/>
        </w:rPr>
        <w:t xml:space="preserve">XXXX年XX月XX日</w:t>
      </w:r>
      <w:r>
        <w:rPr>
          <w:rFonts w:ascii="宋体" w:hAnsi="宋体" w:cs="宋体"/>
          <w:sz w:val="24"/>
          <w:szCs w:val="22"/>
          <w:highlight w:val="none"/>
        </w:rPr>
      </w:r>
      <w:r>
        <w:rPr>
          <w:highlight w:val="none"/>
        </w:rPr>
      </w:r>
    </w:p>
    <w:p>
      <w:pPr>
        <w:pStyle w:val="955"/>
        <w:contextualSpacing/>
        <w:ind w:firstLine="482"/>
        <w:spacing w:line="360" w:lineRule="auto"/>
        <w:rPr>
          <w:rFonts w:ascii="宋体" w:hAnsi="宋体" w:cs="宋体"/>
          <w:b/>
          <w:sz w:val="24"/>
          <w:szCs w:val="22"/>
          <w:highlight w:val="none"/>
        </w:rPr>
      </w:pPr>
      <w:r>
        <w:rPr>
          <w:rFonts w:ascii="宋体" w:hAnsi="宋体" w:cs="宋体"/>
          <w:b/>
          <w:sz w:val="24"/>
          <w:szCs w:val="22"/>
          <w:highlight w:val="none"/>
        </w:rPr>
      </w:r>
      <w:r>
        <w:rPr>
          <w:highlight w:val="none"/>
        </w:rPr>
      </w:r>
    </w:p>
    <w:p>
      <w:pPr>
        <w:pStyle w:val="955"/>
        <w:ind w:firstLine="487"/>
        <w:jc w:val="center"/>
        <w:spacing w:after="200" w:line="360" w:lineRule="auto"/>
        <w:widowControl/>
        <w:rPr>
          <w:rFonts w:ascii="宋体" w:hAnsi="宋体" w:cs="宋体"/>
          <w:b/>
          <w:sz w:val="24"/>
          <w:szCs w:val="22"/>
          <w:highlight w:val="none"/>
        </w:rPr>
      </w:pPr>
      <w:r>
        <w:rPr>
          <w:rFonts w:ascii="宋体" w:hAnsi="宋体" w:cs="宋体"/>
          <w:b/>
          <w:sz w:val="24"/>
          <w:szCs w:val="22"/>
          <w:highlight w:val="none"/>
        </w:rPr>
      </w:r>
      <w:r>
        <w:rPr>
          <w:highlight w:val="none"/>
        </w:rPr>
      </w:r>
    </w:p>
    <w:p>
      <w:pPr>
        <w:pStyle w:val="955"/>
        <w:ind w:firstLine="487"/>
        <w:jc w:val="center"/>
        <w:spacing w:after="200" w:line="360" w:lineRule="auto"/>
        <w:widowControl/>
        <w:rPr>
          <w:rFonts w:ascii="宋体" w:hAnsi="宋体" w:cs="宋体"/>
          <w:b/>
          <w:bCs/>
          <w:sz w:val="24"/>
          <w:szCs w:val="22"/>
          <w:highlight w:val="none"/>
        </w:rPr>
      </w:pPr>
      <w:r>
        <w:rPr>
          <w:rFonts w:hint="eastAsia" w:ascii="宋体" w:hAnsi="宋体" w:cs="宋体"/>
          <w:b/>
          <w:sz w:val="24"/>
          <w:szCs w:val="22"/>
          <w:highlight w:val="none"/>
        </w:rPr>
        <w:t xml:space="preserve">注：提供</w:t>
      </w:r>
      <w:r>
        <w:rPr>
          <w:rFonts w:hint="eastAsia" w:ascii="宋体" w:hAnsi="宋体" w:cs="宋体"/>
          <w:b/>
          <w:bCs/>
          <w:sz w:val="24"/>
          <w:szCs w:val="22"/>
          <w:highlight w:val="none"/>
        </w:rPr>
        <w:t xml:space="preserve">被委托授权人的身份证扫描件（正、反面）</w:t>
      </w:r>
      <w:r>
        <w:rPr>
          <w:rFonts w:ascii="宋体" w:hAnsi="宋体" w:cs="宋体"/>
          <w:b/>
          <w:bCs/>
          <w:sz w:val="24"/>
          <w:szCs w:val="22"/>
          <w:highlight w:val="none"/>
        </w:rPr>
      </w:r>
      <w:r>
        <w:rPr>
          <w:highlight w:val="none"/>
        </w:rPr>
      </w:r>
    </w:p>
    <w:p>
      <w:pPr>
        <w:pStyle w:val="955"/>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rPr>
          <w:highlight w:val="none"/>
        </w:rPr>
      </w:r>
    </w:p>
    <w:p>
      <w:pPr>
        <w:pStyle w:val="955"/>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rPr>
          <w:highlight w:val="none"/>
        </w:rPr>
      </w:r>
    </w:p>
    <w:p>
      <w:pPr>
        <w:pStyle w:val="955"/>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rPr>
          <w:highlight w:val="none"/>
        </w:rPr>
      </w:r>
    </w:p>
    <w:p>
      <w:pPr>
        <w:pStyle w:val="955"/>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rPr>
          <w:highlight w:val="none"/>
        </w:rPr>
      </w:r>
    </w:p>
    <w:p>
      <w:pPr>
        <w:pStyle w:val="955"/>
        <w:spacing w:line="360" w:lineRule="auto"/>
        <w:rPr>
          <w:rFonts w:ascii="宋体" w:hAnsi="宋体" w:cs="仿宋_GB2312"/>
          <w:sz w:val="32"/>
          <w:szCs w:val="32"/>
          <w:highlight w:val="none"/>
        </w:rPr>
      </w:pPr>
      <w:r>
        <w:rPr>
          <w:rFonts w:ascii="宋体" w:hAnsi="宋体" w:cs="仿宋_GB2312"/>
          <w:sz w:val="32"/>
          <w:szCs w:val="32"/>
          <w:highlight w:val="none"/>
          <w:lang w:val="zh-CN"/>
        </w:rPr>
        <w:br w:type="page" w:clear="all"/>
      </w:r>
      <w:r>
        <w:rPr>
          <w:rFonts w:hint="eastAsia" w:ascii="宋体" w:hAnsi="宋体" w:cs="宋体"/>
          <w:b/>
          <w:sz w:val="30"/>
          <w:szCs w:val="30"/>
          <w:highlight w:val="none"/>
        </w:rPr>
        <w:t xml:space="preserve">附件4 </w:t>
      </w:r>
      <w:r>
        <w:rPr>
          <w:rFonts w:hint="eastAsia" w:ascii="宋体" w:hAnsi="宋体" w:cs="仿宋_GB2312"/>
          <w:sz w:val="32"/>
          <w:szCs w:val="32"/>
          <w:highlight w:val="none"/>
        </w:rPr>
        <w:t xml:space="preserve">         </w:t>
      </w:r>
      <w:r>
        <w:rPr>
          <w:rFonts w:ascii="宋体" w:hAnsi="宋体" w:cs="仿宋_GB2312"/>
          <w:sz w:val="32"/>
          <w:szCs w:val="32"/>
          <w:highlight w:val="none"/>
        </w:rPr>
      </w:r>
      <w:r>
        <w:rPr>
          <w:highlight w:val="none"/>
        </w:rPr>
      </w:r>
    </w:p>
    <w:p>
      <w:pPr>
        <w:pStyle w:val="955"/>
        <w:jc w:val="center"/>
        <w:spacing w:line="360" w:lineRule="auto"/>
        <w:rPr>
          <w:rFonts w:ascii="Calibri" w:hAnsi="Calibri"/>
          <w:b/>
          <w:bCs/>
          <w:color w:val="000000"/>
          <w:sz w:val="28"/>
          <w:szCs w:val="28"/>
          <w:highlight w:val="none"/>
        </w:rPr>
      </w:pPr>
      <w:r>
        <w:rPr>
          <w:rFonts w:hint="eastAsia" w:ascii="Calibri" w:hAnsi="Calibri" w:cs="宋体"/>
          <w:b/>
          <w:bCs/>
          <w:color w:val="000000"/>
          <w:sz w:val="28"/>
          <w:szCs w:val="28"/>
          <w:highlight w:val="none"/>
          <w:lang w:bidi="ar"/>
        </w:rPr>
        <w:t xml:space="preserve">无重大违法记录声明</w:t>
      </w:r>
      <w:r>
        <w:rPr>
          <w:rFonts w:ascii="Calibri" w:hAnsi="Calibri"/>
          <w:b/>
          <w:bCs/>
          <w:color w:val="000000"/>
          <w:sz w:val="28"/>
          <w:szCs w:val="28"/>
          <w:highlight w:val="none"/>
        </w:rPr>
      </w:r>
      <w:r>
        <w:rPr>
          <w:highlight w:val="none"/>
        </w:rPr>
      </w:r>
    </w:p>
    <w:p>
      <w:pPr>
        <w:pStyle w:val="955"/>
        <w:jc w:val="left"/>
        <w:spacing w:line="360" w:lineRule="auto"/>
        <w:rPr>
          <w:rFonts w:ascii="Calibri" w:hAnsi="Calibri"/>
          <w:color w:val="000000"/>
          <w:sz w:val="24"/>
          <w:szCs w:val="22"/>
          <w:highlight w:val="none"/>
          <w:u w:val="single"/>
        </w:rPr>
      </w:pPr>
      <w:r>
        <w:rPr>
          <w:rFonts w:ascii="Calibri" w:hAnsi="Calibri"/>
          <w:color w:val="000000"/>
          <w:sz w:val="24"/>
          <w:szCs w:val="22"/>
          <w:highlight w:val="none"/>
          <w:u w:val="single"/>
        </w:rPr>
      </w:r>
      <w:r>
        <w:rPr>
          <w:highlight w:val="none"/>
        </w:rPr>
      </w:r>
    </w:p>
    <w:p>
      <w:pPr>
        <w:pStyle w:val="955"/>
        <w:jc w:val="left"/>
        <w:spacing w:line="360" w:lineRule="auto"/>
        <w:rPr>
          <w:rFonts w:ascii="Calibri" w:hAnsi="Calibri"/>
          <w:b/>
          <w:bCs/>
          <w:color w:val="000000"/>
          <w:sz w:val="24"/>
          <w:szCs w:val="22"/>
          <w:highlight w:val="none"/>
        </w:rPr>
      </w:pPr>
      <w:r>
        <w:rPr>
          <w:rFonts w:hint="eastAsia" w:ascii="Calibri" w:hAnsi="Calibri" w:cs="宋体"/>
          <w:color w:val="000000"/>
          <w:sz w:val="24"/>
          <w:szCs w:val="22"/>
          <w:highlight w:val="none"/>
          <w:u w:val="single"/>
          <w:lang w:bidi="ar"/>
        </w:rPr>
        <w:t xml:space="preserve">南通市生态环境监测站</w:t>
      </w:r>
      <w:r>
        <w:rPr>
          <w:rFonts w:hint="eastAsia" w:ascii="Calibri" w:hAnsi="Calibri" w:cs="宋体"/>
          <w:color w:val="000000"/>
          <w:sz w:val="24"/>
          <w:szCs w:val="22"/>
          <w:highlight w:val="none"/>
          <w:lang w:bidi="ar"/>
        </w:rPr>
        <w:t xml:space="preserve">：</w:t>
      </w:r>
      <w:r>
        <w:rPr>
          <w:rFonts w:ascii="Calibri" w:hAnsi="Calibri"/>
          <w:b/>
          <w:bCs/>
          <w:color w:val="000000"/>
          <w:sz w:val="24"/>
          <w:szCs w:val="22"/>
          <w:highlight w:val="none"/>
        </w:rPr>
      </w:r>
      <w:r>
        <w:rPr>
          <w:highlight w:val="none"/>
        </w:rPr>
      </w:r>
    </w:p>
    <w:p>
      <w:pPr>
        <w:pStyle w:val="955"/>
        <w:ind w:firstLine="480"/>
        <w:jc w:val="left"/>
        <w:spacing w:line="360" w:lineRule="auto"/>
        <w:rPr>
          <w:rFonts w:ascii="Calibri" w:hAnsi="Calibri"/>
          <w:color w:val="000000"/>
          <w:sz w:val="24"/>
          <w:szCs w:val="22"/>
          <w:highlight w:val="none"/>
        </w:rPr>
      </w:pPr>
      <w:r>
        <w:rPr>
          <w:rFonts w:hint="eastAsia" w:ascii="Calibri" w:hAnsi="Calibri" w:cs="宋体"/>
          <w:color w:val="000000"/>
          <w:sz w:val="24"/>
          <w:szCs w:val="22"/>
          <w:highlight w:val="none"/>
          <w:lang w:bidi="ar"/>
        </w:rPr>
        <w:t xml:space="preserve">我单位（供应商名称）郑重声明：</w:t>
      </w:r>
      <w:r>
        <w:rPr>
          <w:rFonts w:ascii="Calibri" w:hAnsi="Calibri"/>
          <w:color w:val="000000"/>
          <w:sz w:val="24"/>
          <w:szCs w:val="22"/>
          <w:highlight w:val="none"/>
        </w:rPr>
      </w:r>
      <w:r>
        <w:rPr>
          <w:highlight w:val="none"/>
        </w:rPr>
      </w:r>
    </w:p>
    <w:p>
      <w:pPr>
        <w:pStyle w:val="955"/>
        <w:ind w:firstLine="480"/>
        <w:jc w:val="left"/>
        <w:spacing w:line="360" w:lineRule="auto"/>
        <w:rPr>
          <w:rFonts w:ascii="Calibri" w:hAnsi="Calibri"/>
          <w:color w:val="000000"/>
          <w:sz w:val="24"/>
          <w:szCs w:val="22"/>
          <w:highlight w:val="none"/>
        </w:rPr>
      </w:pPr>
      <w:r>
        <w:rPr>
          <w:rFonts w:ascii="Calibri" w:hAnsi="Calibri"/>
          <w:color w:val="000000"/>
          <w:sz w:val="24"/>
          <w:szCs w:val="22"/>
          <w:highlight w:val="none"/>
          <w:lang w:bidi="ar"/>
        </w:rPr>
        <w:t xml:space="preserve">1</w:t>
      </w:r>
      <w:r>
        <w:rPr>
          <w:rFonts w:hint="eastAsia" w:ascii="Calibri" w:hAnsi="Calibri" w:cs="宋体"/>
          <w:color w:val="000000"/>
          <w:sz w:val="24"/>
          <w:szCs w:val="22"/>
          <w:highlight w:val="none"/>
          <w:lang w:bidi="ar"/>
        </w:rPr>
        <w:t xml:space="preserve">、参加政府采购活动前</w:t>
      </w:r>
      <w:r>
        <w:rPr>
          <w:rFonts w:ascii="Calibri" w:hAnsi="Calibri"/>
          <w:color w:val="000000"/>
          <w:sz w:val="24"/>
          <w:szCs w:val="22"/>
          <w:highlight w:val="none"/>
          <w:lang w:bidi="ar"/>
        </w:rPr>
        <w:t xml:space="preserve">3</w:t>
      </w:r>
      <w:r>
        <w:rPr>
          <w:rFonts w:hint="eastAsia" w:ascii="Calibri" w:hAnsi="Calibri" w:cs="宋体"/>
          <w:color w:val="000000"/>
          <w:sz w:val="24"/>
          <w:szCs w:val="22"/>
          <w:highlight w:val="none"/>
          <w:lang w:bidi="ar"/>
        </w:rPr>
        <w:t xml:space="preserve">年内在经营活动中</w:t>
      </w:r>
      <w:r>
        <w:rPr>
          <w:rFonts w:ascii="Calibri" w:hAnsi="Calibri"/>
          <w:color w:val="000000"/>
          <w:sz w:val="24"/>
          <w:szCs w:val="22"/>
          <w:highlight w:val="none"/>
          <w:u w:val="single"/>
          <w:lang w:bidi="ar"/>
        </w:rPr>
        <w:t xml:space="preserve">    </w:t>
      </w:r>
      <w:r>
        <w:rPr>
          <w:rFonts w:hint="eastAsia" w:ascii="Calibri" w:hAnsi="Calibri" w:cs="宋体"/>
          <w:color w:val="000000"/>
          <w:sz w:val="24"/>
          <w:szCs w:val="22"/>
          <w:highlight w:val="none"/>
          <w:u w:val="single"/>
          <w:lang w:bidi="ar"/>
        </w:rPr>
        <w:t xml:space="preserve">（在下划线上如实填写：有或没有）</w:t>
      </w:r>
      <w:r>
        <w:rPr>
          <w:rFonts w:ascii="Calibri" w:hAnsi="Calibri"/>
          <w:color w:val="000000"/>
          <w:sz w:val="24"/>
          <w:szCs w:val="22"/>
          <w:highlight w:val="none"/>
          <w:u w:val="single"/>
          <w:lang w:bidi="ar"/>
        </w:rPr>
        <w:t xml:space="preserve">   </w:t>
      </w:r>
      <w:r>
        <w:rPr>
          <w:rFonts w:hint="eastAsia" w:ascii="Calibri" w:hAnsi="Calibri" w:cs="宋体"/>
          <w:color w:val="000000"/>
          <w:sz w:val="24"/>
          <w:szCs w:val="22"/>
          <w:highlight w:val="none"/>
          <w:lang w:bidi="ar"/>
        </w:rPr>
        <w:t xml:space="preserve">重大违法记录。</w:t>
      </w:r>
      <w:r>
        <w:rPr>
          <w:rFonts w:ascii="Calibri" w:hAnsi="Calibri"/>
          <w:color w:val="000000"/>
          <w:sz w:val="24"/>
          <w:szCs w:val="22"/>
          <w:highlight w:val="none"/>
        </w:rPr>
      </w:r>
      <w:r>
        <w:rPr>
          <w:highlight w:val="none"/>
        </w:rPr>
      </w:r>
    </w:p>
    <w:p>
      <w:pPr>
        <w:pStyle w:val="955"/>
        <w:ind w:firstLine="480"/>
        <w:jc w:val="left"/>
        <w:spacing w:line="360" w:lineRule="auto"/>
        <w:rPr>
          <w:rFonts w:ascii="Calibri" w:hAnsi="Calibri"/>
          <w:color w:val="000000"/>
          <w:sz w:val="24"/>
          <w:szCs w:val="22"/>
          <w:highlight w:val="none"/>
        </w:rPr>
      </w:pPr>
      <w:r>
        <w:rPr>
          <w:rFonts w:hint="eastAsia" w:ascii="Calibri" w:hAnsi="Calibri" w:cs="宋体"/>
          <w:color w:val="000000"/>
          <w:sz w:val="24"/>
          <w:szCs w:val="22"/>
          <w:highlight w:val="none"/>
          <w:lang w:bidi="ar"/>
        </w:rPr>
        <w:t xml:space="preserve">（说明：政府采购法第二十二条第一款第五项所称重大违法记录，是指供应商因违法经营受到刑事处罚或者责令停产停业、吊销许可证或者执照、较大数额罚款等行政处罚。）</w:t>
      </w:r>
      <w:r>
        <w:rPr>
          <w:rFonts w:ascii="Calibri" w:hAnsi="Calibri"/>
          <w:color w:val="000000"/>
          <w:sz w:val="24"/>
          <w:szCs w:val="22"/>
          <w:highlight w:val="none"/>
        </w:rPr>
      </w:r>
      <w:r>
        <w:rPr>
          <w:highlight w:val="none"/>
        </w:rPr>
      </w:r>
    </w:p>
    <w:p>
      <w:pPr>
        <w:pStyle w:val="955"/>
        <w:ind w:firstLine="480"/>
        <w:jc w:val="left"/>
        <w:spacing w:line="360" w:lineRule="auto"/>
        <w:rPr>
          <w:rFonts w:ascii="Calibri" w:hAnsi="Calibri"/>
          <w:color w:val="000000"/>
          <w:sz w:val="24"/>
          <w:szCs w:val="22"/>
          <w:highlight w:val="none"/>
        </w:rPr>
      </w:pPr>
      <w:r>
        <w:rPr>
          <w:rFonts w:ascii="Calibri" w:hAnsi="Calibri"/>
          <w:color w:val="000000"/>
          <w:sz w:val="24"/>
          <w:szCs w:val="22"/>
          <w:highlight w:val="none"/>
          <w:lang w:bidi="ar"/>
        </w:rPr>
        <w:t xml:space="preserve">2</w:t>
      </w:r>
      <w:r>
        <w:rPr>
          <w:rFonts w:hint="eastAsia" w:ascii="Calibri" w:hAnsi="Calibri" w:cs="宋体"/>
          <w:color w:val="000000"/>
          <w:sz w:val="24"/>
          <w:szCs w:val="22"/>
          <w:highlight w:val="none"/>
          <w:lang w:bidi="ar"/>
        </w:rPr>
        <w:t xml:space="preserve">、截至磋商截止时间前，我公司未被</w:t>
      </w:r>
      <w:r>
        <w:rPr>
          <w:rFonts w:ascii="Calibri" w:hAnsi="Calibri"/>
          <w:color w:val="000000"/>
          <w:sz w:val="24"/>
          <w:szCs w:val="22"/>
          <w:highlight w:val="none"/>
          <w:lang w:bidi="ar"/>
        </w:rPr>
        <w:t xml:space="preserve">“</w:t>
      </w:r>
      <w:r>
        <w:rPr>
          <w:rFonts w:hint="eastAsia" w:ascii="Calibri" w:hAnsi="Calibri" w:cs="宋体"/>
          <w:color w:val="000000"/>
          <w:sz w:val="24"/>
          <w:szCs w:val="22"/>
          <w:highlight w:val="none"/>
          <w:lang w:bidi="ar"/>
        </w:rPr>
        <w:t xml:space="preserve">信用中国</w:t>
      </w:r>
      <w:r>
        <w:rPr>
          <w:rFonts w:ascii="Calibri" w:hAnsi="Calibri"/>
          <w:color w:val="000000"/>
          <w:sz w:val="24"/>
          <w:szCs w:val="22"/>
          <w:highlight w:val="none"/>
          <w:lang w:bidi="ar"/>
        </w:rPr>
        <w:t xml:space="preserve">”</w:t>
      </w:r>
      <w:r>
        <w:rPr>
          <w:rFonts w:hint="eastAsia" w:ascii="Calibri" w:hAnsi="Calibri" w:cs="宋体"/>
          <w:color w:val="000000"/>
          <w:sz w:val="24"/>
          <w:szCs w:val="22"/>
          <w:highlight w:val="none"/>
          <w:lang w:bidi="ar"/>
        </w:rPr>
        <w:t xml:space="preserve">列入失信被执行人、重大税收违法案件当事人名单、政府采购严重违法失信行为记录名单。</w:t>
      </w:r>
      <w:r>
        <w:rPr>
          <w:rFonts w:ascii="Calibri" w:hAnsi="Calibri"/>
          <w:color w:val="000000"/>
          <w:sz w:val="24"/>
          <w:szCs w:val="22"/>
          <w:highlight w:val="none"/>
        </w:rPr>
      </w:r>
      <w:r>
        <w:rPr>
          <w:highlight w:val="none"/>
        </w:rPr>
      </w:r>
    </w:p>
    <w:p>
      <w:pPr>
        <w:pStyle w:val="955"/>
        <w:ind w:firstLine="280"/>
        <w:spacing w:line="500" w:lineRule="exact"/>
        <w:tabs>
          <w:tab w:val="left" w:pos="2020" w:leader="none"/>
          <w:tab w:val="center" w:pos="4535" w:leader="none"/>
        </w:tabs>
        <w:rPr>
          <w:rFonts w:ascii="Calibri" w:hAnsi="Calibri" w:eastAsia="华文彩云"/>
          <w:bCs/>
          <w:color w:val="000000"/>
          <w:sz w:val="28"/>
          <w:szCs w:val="22"/>
          <w:highlight w:val="none"/>
        </w:rPr>
      </w:pPr>
      <w:r>
        <w:rPr>
          <w:rFonts w:ascii="Calibri" w:hAnsi="Calibri" w:eastAsia="华文彩云"/>
          <w:bCs/>
          <w:color w:val="000000"/>
          <w:sz w:val="28"/>
          <w:szCs w:val="22"/>
          <w:highlight w:val="none"/>
        </w:rPr>
      </w:r>
      <w:r>
        <w:rPr>
          <w:highlight w:val="none"/>
        </w:rPr>
      </w:r>
    </w:p>
    <w:p>
      <w:pPr>
        <w:pStyle w:val="955"/>
        <w:ind w:firstLine="280"/>
        <w:spacing w:line="500" w:lineRule="exact"/>
        <w:tabs>
          <w:tab w:val="left" w:pos="2020" w:leader="none"/>
          <w:tab w:val="center" w:pos="4535" w:leader="none"/>
        </w:tabs>
        <w:rPr>
          <w:rFonts w:ascii="Calibri" w:hAnsi="Calibri" w:eastAsia="华文彩云"/>
          <w:bCs/>
          <w:color w:val="000000"/>
          <w:sz w:val="28"/>
          <w:szCs w:val="22"/>
          <w:highlight w:val="none"/>
        </w:rPr>
      </w:pPr>
      <w:r>
        <w:rPr>
          <w:rFonts w:ascii="Calibri" w:hAnsi="Calibri" w:eastAsia="华文彩云"/>
          <w:bCs/>
          <w:color w:val="000000"/>
          <w:sz w:val="28"/>
          <w:szCs w:val="22"/>
          <w:highlight w:val="none"/>
        </w:rPr>
      </w:r>
      <w:r>
        <w:rPr>
          <w:highlight w:val="none"/>
        </w:rPr>
      </w:r>
    </w:p>
    <w:p>
      <w:pPr>
        <w:pStyle w:val="955"/>
        <w:ind w:firstLine="2280"/>
        <w:jc w:val="right"/>
        <w:spacing w:line="360" w:lineRule="auto"/>
        <w:rPr>
          <w:rFonts w:ascii="Calibri" w:hAnsi="Calibri"/>
          <w:color w:val="000000"/>
          <w:sz w:val="24"/>
          <w:szCs w:val="22"/>
          <w:highlight w:val="none"/>
        </w:rPr>
      </w:pPr>
      <w:r>
        <w:rPr>
          <w:rFonts w:hint="eastAsia" w:ascii="Calibri" w:hAnsi="Calibri" w:cs="宋体"/>
          <w:color w:val="000000"/>
          <w:sz w:val="24"/>
          <w:szCs w:val="22"/>
          <w:highlight w:val="none"/>
          <w:lang w:bidi="ar"/>
        </w:rPr>
        <w:t xml:space="preserve">声明人：（公章）</w:t>
      </w:r>
      <w:r>
        <w:rPr>
          <w:rFonts w:ascii="Calibri" w:hAnsi="Calibri"/>
          <w:color w:val="000000"/>
          <w:sz w:val="24"/>
          <w:szCs w:val="22"/>
          <w:highlight w:val="none"/>
        </w:rPr>
      </w:r>
      <w:r>
        <w:rPr>
          <w:highlight w:val="none"/>
        </w:rPr>
      </w:r>
    </w:p>
    <w:p>
      <w:pPr>
        <w:pStyle w:val="955"/>
        <w:ind w:firstLine="2280"/>
        <w:jc w:val="right"/>
        <w:spacing w:line="360" w:lineRule="auto"/>
        <w:rPr>
          <w:rFonts w:ascii="Calibri" w:hAnsi="Calibri" w:cs="宋体"/>
          <w:color w:val="000000"/>
          <w:sz w:val="24"/>
          <w:szCs w:val="22"/>
          <w:highlight w:val="none"/>
        </w:rPr>
      </w:pPr>
      <w:r>
        <w:rPr>
          <w:rFonts w:hint="eastAsia" w:ascii="Calibri" w:hAnsi="Calibri" w:cs="宋体"/>
          <w:color w:val="000000"/>
          <w:sz w:val="24"/>
          <w:szCs w:val="22"/>
          <w:highlight w:val="none"/>
          <w:lang w:bidi="ar"/>
        </w:rPr>
        <w:t xml:space="preserve">年月日</w:t>
      </w:r>
      <w:r>
        <w:rPr>
          <w:rFonts w:ascii="Calibri" w:hAnsi="Calibri" w:cs="宋体"/>
          <w:color w:val="000000"/>
          <w:sz w:val="24"/>
          <w:szCs w:val="22"/>
          <w:highlight w:val="none"/>
          <w:lang w:bidi="ar"/>
        </w:rPr>
      </w:r>
      <w:r>
        <w:rPr>
          <w:highlight w:val="none"/>
        </w:rPr>
      </w:r>
    </w:p>
    <w:p>
      <w:pPr>
        <w:pStyle w:val="955"/>
        <w:ind w:firstLine="420"/>
        <w:widowControl/>
        <w:rPr>
          <w:rFonts w:ascii="宋体"/>
          <w:szCs w:val="20"/>
          <w:highlight w:val="none"/>
        </w:rPr>
      </w:pPr>
      <w:r>
        <w:rPr>
          <w:rFonts w:ascii="宋体"/>
          <w:szCs w:val="20"/>
          <w:highlight w:val="none"/>
          <w:lang w:bidi="ar"/>
        </w:rPr>
      </w:r>
      <w:r>
        <w:rPr>
          <w:highlight w:val="none"/>
        </w:rPr>
      </w:r>
    </w:p>
    <w:p>
      <w:pPr>
        <w:pStyle w:val="955"/>
        <w:rPr>
          <w:rFonts w:ascii="Arial Unicode MS" w:hAnsi="Arial Unicode MS" w:cs="Arial Unicode MS"/>
          <w:color w:val="000000"/>
          <w:highlight w:val="none"/>
        </w:rPr>
      </w:pPr>
      <w:r>
        <w:rPr>
          <w:rFonts w:ascii="Arial Unicode MS" w:hAnsi="Arial Unicode MS" w:cs="Arial Unicode MS"/>
          <w:color w:val="000000"/>
          <w:highlight w:val="none"/>
          <w:lang w:bidi="ar"/>
        </w:rPr>
      </w:r>
      <w:r>
        <w:rPr>
          <w:highlight w:val="none"/>
        </w:rPr>
      </w:r>
    </w:p>
    <w:p>
      <w:pPr>
        <w:pStyle w:val="955"/>
        <w:spacing w:line="360" w:lineRule="auto"/>
        <w:rPr>
          <w:rFonts w:hint="eastAsia" w:ascii="宋体" w:hAnsi="宋体" w:eastAsia="宋体" w:cs="宋体"/>
          <w:b/>
          <w:sz w:val="30"/>
          <w:szCs w:val="30"/>
          <w:highlight w:val="none"/>
        </w:rPr>
      </w:pPr>
      <w:r>
        <w:rPr>
          <w:rFonts w:ascii="Calibri" w:hAnsi="Calibri"/>
          <w:sz w:val="24"/>
          <w:szCs w:val="22"/>
          <w:highlight w:val="none"/>
        </w:rPr>
        <w:br w:type="page" w:clear="all"/>
      </w:r>
      <w:r>
        <w:rPr>
          <w:rFonts w:hint="eastAsia" w:ascii="宋体" w:hAnsi="宋体" w:cs="宋体"/>
          <w:b/>
          <w:sz w:val="30"/>
          <w:szCs w:val="30"/>
          <w:highlight w:val="none"/>
        </w:rPr>
        <w:t xml:space="preserve">附件</w:t>
      </w:r>
      <w:r>
        <w:rPr>
          <w:rFonts w:hint="eastAsia" w:ascii="宋体" w:hAnsi="宋体" w:cs="宋体"/>
          <w:b/>
          <w:sz w:val="30"/>
          <w:szCs w:val="30"/>
          <w:highlight w:val="none"/>
          <w:lang w:val="en-US" w:eastAsia="zh-CN"/>
        </w:rPr>
        <w:t xml:space="preserve">5</w:t>
      </w:r>
      <w:r>
        <w:rPr>
          <w:rFonts w:hint="eastAsia" w:ascii="宋体" w:hAnsi="宋体" w:eastAsia="宋体" w:cs="宋体"/>
          <w:b/>
          <w:sz w:val="30"/>
          <w:szCs w:val="30"/>
          <w:highlight w:val="none"/>
          <w:lang w:eastAsia="zh-CN"/>
        </w:rPr>
      </w:r>
      <w:r>
        <w:rPr>
          <w:highlight w:val="none"/>
        </w:rPr>
      </w:r>
    </w:p>
    <w:p>
      <w:pPr>
        <w:pStyle w:val="955"/>
        <w:ind w:left="843" w:hanging="843"/>
        <w:jc w:val="center"/>
        <w:spacing w:line="360" w:lineRule="auto"/>
        <w:rPr>
          <w:rFonts w:ascii="Calibri" w:hAnsi="Calibri"/>
          <w:b/>
          <w:sz w:val="24"/>
          <w:szCs w:val="22"/>
          <w:highlight w:val="none"/>
        </w:rPr>
      </w:pPr>
      <w:r>
        <w:rPr>
          <w:rFonts w:hint="eastAsia" w:ascii="Calibri" w:hAnsi="Calibri"/>
          <w:b/>
          <w:sz w:val="24"/>
          <w:szCs w:val="22"/>
          <w:highlight w:val="none"/>
        </w:rPr>
        <w:t xml:space="preserve">投标及履约承诺书</w:t>
      </w:r>
      <w:r>
        <w:rPr>
          <w:rFonts w:ascii="Calibri" w:hAnsi="Calibri"/>
          <w:b/>
          <w:sz w:val="24"/>
          <w:szCs w:val="22"/>
          <w:highlight w:val="none"/>
        </w:rPr>
      </w:r>
      <w:r>
        <w:rPr>
          <w:highlight w:val="none"/>
        </w:rPr>
      </w:r>
    </w:p>
    <w:p>
      <w:pPr>
        <w:pStyle w:val="955"/>
        <w:jc w:val="left"/>
        <w:spacing w:line="360" w:lineRule="auto"/>
        <w:rPr>
          <w:rFonts w:ascii="Calibri" w:hAnsi="Calibri"/>
          <w:sz w:val="24"/>
          <w:szCs w:val="22"/>
          <w:highlight w:val="none"/>
          <w:u w:val="single"/>
        </w:rPr>
      </w:pPr>
      <w:r>
        <w:rPr>
          <w:rFonts w:ascii="Calibri" w:hAnsi="Calibri"/>
          <w:sz w:val="24"/>
          <w:szCs w:val="22"/>
          <w:highlight w:val="none"/>
          <w:u w:val="single"/>
        </w:rPr>
      </w:r>
      <w:r>
        <w:rPr>
          <w:highlight w:val="none"/>
        </w:rPr>
      </w:r>
    </w:p>
    <w:p>
      <w:pPr>
        <w:pStyle w:val="955"/>
        <w:jc w:val="left"/>
        <w:spacing w:line="360" w:lineRule="auto"/>
        <w:rPr>
          <w:rFonts w:ascii="Calibri" w:hAnsi="Calibri"/>
          <w:b/>
          <w:bCs/>
          <w:sz w:val="24"/>
          <w:szCs w:val="22"/>
          <w:highlight w:val="none"/>
        </w:rPr>
      </w:pPr>
      <w:r>
        <w:rPr>
          <w:rFonts w:hint="eastAsia" w:ascii="Calibri" w:hAnsi="Calibri"/>
          <w:sz w:val="24"/>
          <w:szCs w:val="22"/>
          <w:highlight w:val="none"/>
          <w:u w:val="single"/>
        </w:rPr>
        <w:t xml:space="preserve">南通市生态环境监测站</w:t>
      </w:r>
      <w:r>
        <w:rPr>
          <w:rFonts w:ascii="Calibri" w:hAnsi="Calibri"/>
          <w:sz w:val="24"/>
          <w:szCs w:val="22"/>
          <w:highlight w:val="none"/>
        </w:rPr>
        <w:t xml:space="preserve">：</w:t>
      </w:r>
      <w:r>
        <w:rPr>
          <w:rFonts w:ascii="Calibri" w:hAnsi="Calibri"/>
          <w:b/>
          <w:bCs/>
          <w:sz w:val="24"/>
          <w:szCs w:val="22"/>
          <w:highlight w:val="none"/>
        </w:rPr>
      </w:r>
      <w:r>
        <w:rPr>
          <w:highlight w:val="none"/>
        </w:rPr>
      </w:r>
    </w:p>
    <w:p>
      <w:pPr>
        <w:pStyle w:val="955"/>
        <w:ind w:firstLine="480"/>
        <w:jc w:val="left"/>
        <w:spacing w:line="360" w:lineRule="auto"/>
        <w:rPr>
          <w:rFonts w:ascii="Calibri" w:hAnsi="Calibri"/>
          <w:sz w:val="24"/>
          <w:szCs w:val="22"/>
          <w:highlight w:val="none"/>
        </w:rPr>
      </w:pPr>
      <w:r>
        <w:rPr>
          <w:rFonts w:ascii="Calibri" w:hAnsi="Calibri"/>
          <w:sz w:val="24"/>
          <w:szCs w:val="22"/>
          <w:highlight w:val="none"/>
        </w:rPr>
        <w:t xml:space="preserve">我单位（供应商名称）郑重</w:t>
      </w:r>
      <w:r>
        <w:rPr>
          <w:rFonts w:hint="eastAsia" w:ascii="Calibri" w:hAnsi="Calibri"/>
          <w:sz w:val="24"/>
          <w:szCs w:val="22"/>
          <w:highlight w:val="none"/>
        </w:rPr>
        <w:t xml:space="preserve">承诺</w:t>
      </w:r>
      <w:r>
        <w:rPr>
          <w:rFonts w:ascii="Calibri" w:hAnsi="Calibri"/>
          <w:sz w:val="24"/>
          <w:szCs w:val="22"/>
          <w:highlight w:val="none"/>
        </w:rPr>
        <w:t xml:space="preserve">：</w:t>
      </w:r>
      <w:r>
        <w:rPr>
          <w:rFonts w:ascii="Calibri" w:hAnsi="Calibri"/>
          <w:sz w:val="24"/>
          <w:szCs w:val="22"/>
          <w:highlight w:val="none"/>
        </w:rPr>
      </w:r>
      <w:r>
        <w:rPr>
          <w:highlight w:val="none"/>
        </w:rPr>
      </w:r>
    </w:p>
    <w:p>
      <w:pPr>
        <w:pStyle w:val="955"/>
        <w:ind w:firstLine="480"/>
        <w:jc w:val="left"/>
        <w:spacing w:line="360" w:lineRule="auto"/>
        <w:rPr>
          <w:rFonts w:ascii="宋体" w:hAnsi="宋体"/>
          <w:sz w:val="24"/>
          <w:szCs w:val="22"/>
          <w:highlight w:val="none"/>
        </w:rPr>
      </w:pPr>
      <w:r>
        <w:rPr>
          <w:rFonts w:hint="eastAsia" w:ascii="宋体" w:hAnsi="宋体"/>
          <w:sz w:val="24"/>
          <w:szCs w:val="22"/>
          <w:highlight w:val="none"/>
        </w:rPr>
        <w:t xml:space="preserve">1、在本次招投标活动中，不存在《中华人民共和国政府采购法实施条例》 第七十二条、第七十四条 阐述的相关情形。</w:t>
      </w:r>
      <w:r>
        <w:rPr>
          <w:rFonts w:ascii="Calibri" w:hAnsi="Calibri"/>
          <w:sz w:val="24"/>
          <w:szCs w:val="22"/>
          <w:highlight w:val="none"/>
        </w:rPr>
        <w:t xml:space="preserve">若与</w:t>
      </w:r>
      <w:r>
        <w:rPr>
          <w:rFonts w:hint="eastAsia" w:ascii="Calibri" w:hAnsi="Calibri"/>
          <w:sz w:val="24"/>
          <w:szCs w:val="22"/>
          <w:highlight w:val="none"/>
        </w:rPr>
        <w:t xml:space="preserve">实际</w:t>
      </w:r>
      <w:r>
        <w:rPr>
          <w:rFonts w:ascii="Calibri" w:hAnsi="Calibri"/>
          <w:sz w:val="24"/>
          <w:szCs w:val="22"/>
          <w:highlight w:val="none"/>
        </w:rPr>
        <w:t xml:space="preserve">情况不符，</w:t>
      </w:r>
      <w:r>
        <w:rPr>
          <w:rFonts w:hint="eastAsia" w:ascii="Calibri" w:hAnsi="Calibri"/>
          <w:sz w:val="24"/>
          <w:szCs w:val="22"/>
          <w:highlight w:val="none"/>
        </w:rPr>
        <w:t xml:space="preserve">我单位</w:t>
      </w:r>
      <w:r>
        <w:rPr>
          <w:rFonts w:ascii="Calibri" w:hAnsi="Calibri"/>
          <w:sz w:val="24"/>
          <w:szCs w:val="22"/>
          <w:highlight w:val="none"/>
        </w:rPr>
        <w:t xml:space="preserve">愿意承担由此而产生的一切后果</w:t>
      </w:r>
      <w:r>
        <w:rPr>
          <w:rFonts w:hint="eastAsia" w:ascii="Calibri" w:hAnsi="Calibri"/>
          <w:sz w:val="24"/>
          <w:szCs w:val="22"/>
          <w:highlight w:val="none"/>
        </w:rPr>
        <w:t xml:space="preserve">；</w:t>
      </w:r>
      <w:r>
        <w:rPr>
          <w:rFonts w:ascii="宋体" w:hAnsi="宋体"/>
          <w:sz w:val="24"/>
          <w:szCs w:val="22"/>
          <w:highlight w:val="none"/>
        </w:rPr>
      </w:r>
      <w:r>
        <w:rPr>
          <w:highlight w:val="none"/>
        </w:rPr>
      </w:r>
    </w:p>
    <w:p>
      <w:pPr>
        <w:pStyle w:val="955"/>
        <w:ind w:firstLine="480"/>
        <w:jc w:val="left"/>
        <w:spacing w:line="360" w:lineRule="auto"/>
        <w:rPr>
          <w:rFonts w:ascii="Calibri" w:hAnsi="Calibri"/>
          <w:sz w:val="24"/>
          <w:szCs w:val="22"/>
          <w:highlight w:val="none"/>
        </w:rPr>
      </w:pPr>
      <w:r>
        <w:rPr>
          <w:rFonts w:hint="eastAsia" w:ascii="宋体" w:hAnsi="宋体"/>
          <w:sz w:val="24"/>
          <w:szCs w:val="22"/>
          <w:highlight w:val="none"/>
        </w:rPr>
        <w:t xml:space="preserve">2、我单位在中标后充分响应磋商文件“项目需求”中各项要求，保质、保量、按时向采购人提供优质服务；</w:t>
      </w:r>
      <w:r>
        <w:rPr>
          <w:rFonts w:ascii="Calibri" w:hAnsi="Calibri"/>
          <w:sz w:val="24"/>
          <w:szCs w:val="22"/>
          <w:highlight w:val="none"/>
        </w:rPr>
      </w:r>
      <w:r>
        <w:rPr>
          <w:highlight w:val="none"/>
        </w:rPr>
      </w:r>
    </w:p>
    <w:p>
      <w:pPr>
        <w:pStyle w:val="955"/>
        <w:ind w:firstLine="480"/>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3、在合同期内如因自身原因不能履行投标承诺，采购人为保证工作进度可立即通知第三方供应。如因不可抗拒力导致无法履约的，我单位将以书面形式向采购人作出说明，否则作违约处理；</w:t>
      </w:r>
      <w:r>
        <w:rPr>
          <w:rFonts w:ascii="宋体" w:hAnsi="宋体" w:cs="宋体"/>
          <w:sz w:val="24"/>
          <w:szCs w:val="22"/>
          <w:highlight w:val="none"/>
        </w:rPr>
      </w:r>
      <w:r>
        <w:rPr>
          <w:highlight w:val="none"/>
        </w:rPr>
      </w:r>
    </w:p>
    <w:p>
      <w:pPr>
        <w:pStyle w:val="955"/>
        <w:ind w:firstLine="480"/>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r>
        <w:rPr>
          <w:rFonts w:ascii="宋体" w:hAnsi="宋体" w:cs="宋体"/>
          <w:sz w:val="24"/>
          <w:szCs w:val="22"/>
          <w:highlight w:val="none"/>
        </w:rPr>
      </w:r>
      <w:r>
        <w:rPr>
          <w:highlight w:val="none"/>
        </w:rPr>
      </w:r>
    </w:p>
    <w:p>
      <w:pPr>
        <w:pStyle w:val="955"/>
        <w:spacing w:line="360" w:lineRule="auto"/>
        <w:tabs>
          <w:tab w:val="left" w:pos="2020" w:leader="none"/>
          <w:tab w:val="center" w:pos="4535" w:leader="none"/>
        </w:tabs>
        <w:rPr>
          <w:rFonts w:ascii="宋体" w:hAnsi="宋体" w:cs="宋体"/>
          <w:sz w:val="24"/>
          <w:szCs w:val="22"/>
          <w:highlight w:val="none"/>
        </w:rPr>
      </w:pPr>
      <w:r>
        <w:rPr>
          <w:rFonts w:ascii="宋体" w:hAnsi="宋体" w:cs="宋体"/>
          <w:sz w:val="24"/>
          <w:szCs w:val="22"/>
          <w:highlight w:val="none"/>
        </w:rPr>
      </w:r>
      <w:r>
        <w:rPr>
          <w:highlight w:val="none"/>
        </w:rPr>
      </w:r>
    </w:p>
    <w:p>
      <w:pPr>
        <w:pStyle w:val="955"/>
        <w:ind w:firstLine="240"/>
        <w:spacing w:line="360" w:lineRule="auto"/>
        <w:tabs>
          <w:tab w:val="left" w:pos="2020" w:leader="none"/>
          <w:tab w:val="center" w:pos="4535" w:leader="none"/>
        </w:tabs>
        <w:rPr>
          <w:rFonts w:ascii="Calibri" w:hAnsi="Calibri"/>
          <w:sz w:val="24"/>
          <w:szCs w:val="22"/>
          <w:highlight w:val="none"/>
        </w:rPr>
      </w:pPr>
      <w:r>
        <w:rPr>
          <w:rFonts w:ascii="Calibri" w:hAnsi="Calibri"/>
          <w:sz w:val="24"/>
          <w:szCs w:val="22"/>
          <w:highlight w:val="none"/>
        </w:rPr>
      </w:r>
      <w:r>
        <w:rPr>
          <w:highlight w:val="none"/>
        </w:rPr>
      </w:r>
    </w:p>
    <w:p>
      <w:pPr>
        <w:pStyle w:val="955"/>
        <w:ind w:firstLine="2289"/>
        <w:jc w:val="right"/>
        <w:spacing w:line="360" w:lineRule="auto"/>
        <w:rPr>
          <w:rFonts w:ascii="Calibri" w:hAnsi="Calibri"/>
          <w:b/>
          <w:sz w:val="24"/>
          <w:szCs w:val="22"/>
          <w:highlight w:val="none"/>
        </w:rPr>
      </w:pPr>
      <w:r>
        <w:rPr>
          <w:rFonts w:ascii="Calibri" w:hAnsi="Calibri"/>
          <w:b/>
          <w:sz w:val="24"/>
          <w:szCs w:val="22"/>
          <w:highlight w:val="none"/>
        </w:rPr>
      </w:r>
      <w:r>
        <w:rPr>
          <w:highlight w:val="none"/>
        </w:rPr>
      </w:r>
    </w:p>
    <w:p>
      <w:pPr>
        <w:pStyle w:val="955"/>
        <w:ind w:firstLine="3480"/>
        <w:jc w:val="right"/>
        <w:spacing w:line="360" w:lineRule="auto"/>
        <w:rPr>
          <w:rFonts w:ascii="Calibri" w:hAnsi="Calibri"/>
          <w:sz w:val="24"/>
          <w:szCs w:val="22"/>
          <w:highlight w:val="none"/>
        </w:rPr>
      </w:pPr>
      <w:r>
        <w:rPr>
          <w:rFonts w:hint="eastAsia" w:ascii="Calibri" w:hAnsi="Calibri"/>
          <w:sz w:val="24"/>
          <w:szCs w:val="22"/>
          <w:highlight w:val="none"/>
        </w:rPr>
        <w:t xml:space="preserve">承诺人</w:t>
      </w:r>
      <w:r>
        <w:rPr>
          <w:rFonts w:ascii="Calibri" w:hAnsi="Calibri"/>
          <w:sz w:val="24"/>
          <w:szCs w:val="22"/>
          <w:highlight w:val="none"/>
        </w:rPr>
        <w:t xml:space="preserve">：（公章）</w:t>
      </w:r>
      <w:r>
        <w:rPr>
          <w:rFonts w:ascii="Calibri" w:hAnsi="Calibri"/>
          <w:sz w:val="24"/>
          <w:szCs w:val="22"/>
          <w:highlight w:val="none"/>
        </w:rPr>
      </w:r>
      <w:r>
        <w:rPr>
          <w:highlight w:val="none"/>
        </w:rPr>
      </w:r>
    </w:p>
    <w:p>
      <w:pPr>
        <w:pStyle w:val="955"/>
        <w:ind w:firstLine="240"/>
        <w:jc w:val="right"/>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法定代表人：（签字或盖章）</w:t>
      </w:r>
      <w:r>
        <w:rPr>
          <w:rFonts w:ascii="宋体" w:hAnsi="宋体" w:cs="宋体"/>
          <w:sz w:val="24"/>
          <w:szCs w:val="22"/>
          <w:highlight w:val="none"/>
        </w:rPr>
      </w:r>
      <w:r>
        <w:rPr>
          <w:highlight w:val="none"/>
        </w:rPr>
      </w:r>
    </w:p>
    <w:p>
      <w:pPr>
        <w:pStyle w:val="955"/>
        <w:ind w:firstLine="240"/>
        <w:jc w:val="right"/>
        <w:spacing w:line="360" w:lineRule="auto"/>
        <w:tabs>
          <w:tab w:val="left" w:pos="2020" w:leader="none"/>
          <w:tab w:val="center" w:pos="4535" w:leader="none"/>
        </w:tabs>
        <w:rPr>
          <w:rFonts w:ascii="宋体" w:hAnsi="宋体" w:cs="宋体"/>
          <w:sz w:val="24"/>
          <w:szCs w:val="22"/>
          <w:highlight w:val="none"/>
        </w:rPr>
      </w:pPr>
      <w:r>
        <w:rPr>
          <w:rFonts w:ascii="宋体" w:hAnsi="宋体" w:cs="宋体"/>
          <w:sz w:val="24"/>
          <w:szCs w:val="22"/>
          <w:highlight w:val="none"/>
        </w:rPr>
      </w:r>
      <w:r>
        <w:rPr>
          <w:highlight w:val="none"/>
        </w:rPr>
      </w:r>
    </w:p>
    <w:p>
      <w:pPr>
        <w:pStyle w:val="955"/>
        <w:spacing w:line="360" w:lineRule="auto"/>
        <w:rPr>
          <w:rFonts w:ascii="宋体" w:hAnsi="宋体" w:cs="仿宋_GB2312"/>
          <w:b/>
          <w:sz w:val="28"/>
          <w:szCs w:val="28"/>
          <w:highlight w:val="none"/>
        </w:rPr>
      </w:pPr>
      <w:r>
        <w:rPr>
          <w:rFonts w:ascii="宋体" w:hAnsi="宋体" w:cs="仿宋_GB2312"/>
          <w:b/>
          <w:sz w:val="28"/>
          <w:szCs w:val="28"/>
          <w:highlight w:val="none"/>
        </w:rPr>
        <w:br w:type="page" w:clear="all"/>
      </w:r>
      <w:r>
        <w:rPr>
          <w:rFonts w:hint="eastAsia" w:ascii="宋体" w:hAnsi="宋体" w:cs="仿宋_GB2312"/>
          <w:b/>
          <w:sz w:val="28"/>
          <w:szCs w:val="28"/>
          <w:highlight w:val="none"/>
          <w:lang w:bidi="ar"/>
        </w:rPr>
        <w:t xml:space="preserve">（二）符合性审查文件</w:t>
      </w:r>
      <w:r>
        <w:rPr>
          <w:rFonts w:ascii="宋体" w:hAnsi="宋体" w:cs="仿宋_GB2312"/>
          <w:b/>
          <w:sz w:val="28"/>
          <w:szCs w:val="28"/>
          <w:highlight w:val="none"/>
        </w:rPr>
      </w:r>
      <w:r>
        <w:rPr>
          <w:highlight w:val="none"/>
        </w:rPr>
      </w:r>
    </w:p>
    <w:p>
      <w:pPr>
        <w:pStyle w:val="955"/>
        <w:ind w:firstLine="482"/>
        <w:jc w:val="center"/>
        <w:spacing w:line="360" w:lineRule="auto"/>
        <w:rPr>
          <w:rFonts w:eastAsia="宋体" w:cs="宋体"/>
          <w:b/>
          <w:bCs/>
          <w:sz w:val="28"/>
          <w:szCs w:val="28"/>
          <w:highlight w:val="none"/>
        </w:rPr>
        <w:outlineLvl w:val="3"/>
      </w:pPr>
      <w:r>
        <w:rPr>
          <w:rFonts w:hint="eastAsia" w:eastAsia="宋体" w:cs="宋体"/>
          <w:b/>
          <w:bCs/>
          <w:sz w:val="28"/>
          <w:szCs w:val="28"/>
          <w:highlight w:val="none"/>
          <w:lang w:val="en-US" w:eastAsia="zh-CN"/>
        </w:rPr>
        <w:t xml:space="preserve">附件6</w:t>
      </w:r>
      <w:r>
        <w:rPr>
          <w:rFonts w:hint="eastAsia" w:eastAsia="宋体" w:cs="宋体"/>
          <w:b/>
          <w:bCs/>
          <w:sz w:val="28"/>
          <w:szCs w:val="28"/>
          <w:highlight w:val="none"/>
        </w:rPr>
        <w:t xml:space="preserve">、投标响应函（格式不得变动）</w:t>
      </w:r>
      <w:r>
        <w:rPr>
          <w:rFonts w:eastAsia="宋体" w:cs="宋体"/>
          <w:b/>
          <w:bCs/>
          <w:sz w:val="28"/>
          <w:szCs w:val="28"/>
          <w:highlight w:val="none"/>
        </w:rPr>
      </w:r>
      <w:r>
        <w:rPr>
          <w:highlight w:val="none"/>
        </w:rPr>
      </w:r>
    </w:p>
    <w:p>
      <w:pPr>
        <w:pStyle w:val="955"/>
        <w:jc w:val="left"/>
        <w:spacing w:line="360" w:lineRule="auto"/>
        <w:rPr>
          <w:rFonts w:eastAsia="宋体" w:cs="宋体"/>
          <w:sz w:val="24"/>
          <w:szCs w:val="21"/>
          <w:highlight w:val="none"/>
        </w:rPr>
      </w:pPr>
      <w:r>
        <w:rPr>
          <w:rFonts w:hint="eastAsia" w:eastAsia="宋体" w:cs="宋体"/>
          <w:sz w:val="24"/>
          <w:szCs w:val="21"/>
          <w:highlight w:val="none"/>
          <w:u w:val="single"/>
          <w:lang w:eastAsia="zh-CN"/>
        </w:rPr>
        <w:t xml:space="preserve">南通市生态环境监测站</w:t>
      </w:r>
      <w:r>
        <w:rPr>
          <w:rFonts w:hint="eastAsia" w:eastAsia="宋体" w:cs="宋体"/>
          <w:sz w:val="24"/>
          <w:szCs w:val="21"/>
          <w:highlight w:val="none"/>
        </w:rPr>
        <w:t xml:space="preserve">：</w:t>
      </w:r>
      <w:r>
        <w:rPr>
          <w:rFonts w:eastAsia="宋体" w:cs="宋体"/>
          <w:sz w:val="24"/>
          <w:szCs w:val="21"/>
          <w:highlight w:val="none"/>
        </w:rPr>
      </w:r>
      <w:r>
        <w:rPr>
          <w:highlight w:val="none"/>
        </w:rPr>
      </w:r>
    </w:p>
    <w:p>
      <w:pPr>
        <w:pStyle w:val="955"/>
        <w:ind w:firstLine="480"/>
        <w:spacing w:line="360" w:lineRule="auto"/>
        <w:rPr>
          <w:rFonts w:eastAsia="宋体" w:cs="宋体"/>
          <w:sz w:val="24"/>
          <w:szCs w:val="21"/>
          <w:highlight w:val="none"/>
        </w:rPr>
      </w:pPr>
      <w:r>
        <w:rPr>
          <w:rFonts w:hint="eastAsia" w:eastAsia="宋体" w:cs="宋体"/>
          <w:sz w:val="24"/>
          <w:szCs w:val="21"/>
          <w:highlight w:val="none"/>
        </w:rPr>
        <w:t xml:space="preserve">依据贵单位（招标项目名称）项目公开招标采购的邀请，我方授权（姓名）（职务）为全权代表参加该项目的投标工作，全权处理本次投标的有关事宜。同时，我公司声明如下：</w:t>
      </w:r>
      <w:r>
        <w:rPr>
          <w:rFonts w:eastAsia="宋体" w:cs="宋体"/>
          <w:sz w:val="24"/>
          <w:szCs w:val="21"/>
          <w:highlight w:val="none"/>
        </w:rPr>
      </w:r>
      <w:r>
        <w:rPr>
          <w:highlight w:val="none"/>
        </w:rPr>
      </w:r>
    </w:p>
    <w:p>
      <w:pPr>
        <w:pStyle w:val="955"/>
        <w:ind w:firstLine="480"/>
        <w:spacing w:line="360" w:lineRule="auto"/>
        <w:rPr>
          <w:rFonts w:eastAsia="宋体" w:cs="宋体"/>
          <w:sz w:val="24"/>
          <w:szCs w:val="21"/>
          <w:highlight w:val="none"/>
        </w:rPr>
      </w:pPr>
      <w:r>
        <w:rPr>
          <w:rFonts w:hint="eastAsia" w:eastAsia="宋体" w:cs="宋体"/>
          <w:sz w:val="24"/>
          <w:szCs w:val="21"/>
          <w:highlight w:val="none"/>
        </w:rPr>
        <w:t xml:space="preserve">1、我方同意并接受本项目招标文件的各项要求，遵守招标文件中的各项规定，按招标文件的要求提供报价。</w:t>
      </w:r>
      <w:r>
        <w:rPr>
          <w:rFonts w:eastAsia="宋体" w:cs="宋体"/>
          <w:sz w:val="24"/>
          <w:szCs w:val="21"/>
          <w:highlight w:val="none"/>
        </w:rPr>
      </w:r>
      <w:r>
        <w:rPr>
          <w:highlight w:val="none"/>
        </w:rPr>
      </w:r>
    </w:p>
    <w:p>
      <w:pPr>
        <w:pStyle w:val="955"/>
        <w:ind w:firstLine="480"/>
        <w:spacing w:line="360" w:lineRule="auto"/>
        <w:rPr>
          <w:rFonts w:eastAsia="宋体" w:cs="宋体"/>
          <w:sz w:val="24"/>
          <w:szCs w:val="21"/>
          <w:highlight w:val="none"/>
        </w:rPr>
      </w:pPr>
      <w:r>
        <w:rPr>
          <w:rFonts w:hint="eastAsia" w:eastAsia="宋体" w:cs="宋体"/>
          <w:sz w:val="24"/>
          <w:szCs w:val="21"/>
          <w:highlight w:val="none"/>
        </w:rPr>
        <w:t xml:space="preserve">2、我方已经详细审查了全部招标文件，我方已完全清晰理解招标文件的要求，不存在任何含糊不清和误解之处，同意放弃对这些文件所提出的异议和质疑的权利。</w:t>
      </w:r>
      <w:r>
        <w:rPr>
          <w:rFonts w:eastAsia="宋体" w:cs="宋体"/>
          <w:sz w:val="24"/>
          <w:szCs w:val="21"/>
          <w:highlight w:val="none"/>
        </w:rPr>
      </w:r>
      <w:r>
        <w:rPr>
          <w:highlight w:val="none"/>
        </w:rPr>
      </w:r>
    </w:p>
    <w:p>
      <w:pPr>
        <w:pStyle w:val="955"/>
        <w:ind w:firstLine="480"/>
        <w:spacing w:line="360" w:lineRule="auto"/>
        <w:rPr>
          <w:rFonts w:eastAsia="宋体" w:cs="宋体"/>
          <w:sz w:val="24"/>
          <w:szCs w:val="21"/>
          <w:highlight w:val="none"/>
        </w:rPr>
      </w:pPr>
      <w:r>
        <w:rPr>
          <w:rFonts w:hint="eastAsia" w:eastAsia="宋体" w:cs="宋体"/>
          <w:sz w:val="24"/>
          <w:szCs w:val="21"/>
          <w:highlight w:val="none"/>
        </w:rPr>
        <w:t xml:space="preserve">3、我方愿意提供</w:t>
      </w:r>
      <w:r>
        <w:rPr>
          <w:rFonts w:hint="eastAsia" w:eastAsia="宋体" w:cs="宋体"/>
          <w:sz w:val="24"/>
          <w:szCs w:val="21"/>
          <w:highlight w:val="none"/>
          <w:lang w:eastAsia="zh-CN"/>
        </w:rPr>
        <w:t xml:space="preserve">采购人</w:t>
      </w:r>
      <w:r>
        <w:rPr>
          <w:rFonts w:hint="eastAsia" w:eastAsia="宋体" w:cs="宋体"/>
          <w:sz w:val="24"/>
          <w:szCs w:val="21"/>
          <w:highlight w:val="none"/>
        </w:rPr>
        <w:t xml:space="preserve">在招标文件中要求的所有资料。</w:t>
      </w:r>
      <w:r>
        <w:rPr>
          <w:rFonts w:eastAsia="宋体" w:cs="宋体"/>
          <w:sz w:val="24"/>
          <w:szCs w:val="21"/>
          <w:highlight w:val="none"/>
        </w:rPr>
      </w:r>
      <w:r>
        <w:rPr>
          <w:highlight w:val="none"/>
        </w:rPr>
      </w:r>
    </w:p>
    <w:p>
      <w:pPr>
        <w:pStyle w:val="955"/>
        <w:ind w:firstLine="480"/>
        <w:spacing w:line="360" w:lineRule="auto"/>
        <w:rPr>
          <w:rFonts w:eastAsia="宋体" w:cs="宋体"/>
          <w:sz w:val="24"/>
          <w:szCs w:val="21"/>
          <w:highlight w:val="none"/>
        </w:rPr>
      </w:pPr>
      <w:r>
        <w:rPr>
          <w:rFonts w:hint="eastAsia" w:eastAsia="宋体" w:cs="宋体"/>
          <w:sz w:val="24"/>
          <w:szCs w:val="21"/>
          <w:highlight w:val="none"/>
        </w:rPr>
        <w:t xml:space="preserve">4、我方承诺在本次招标响应中提供的一切文件，无论是原件还是复印件均真实有效，绝无任何虚假、伪造和夸大的成份。否则，愿承担相应的后果和法律责任。</w:t>
      </w:r>
      <w:r>
        <w:rPr>
          <w:rFonts w:eastAsia="宋体" w:cs="宋体"/>
          <w:sz w:val="24"/>
          <w:szCs w:val="21"/>
          <w:highlight w:val="none"/>
        </w:rPr>
      </w:r>
      <w:r>
        <w:rPr>
          <w:highlight w:val="none"/>
        </w:rPr>
      </w:r>
    </w:p>
    <w:p>
      <w:pPr>
        <w:pStyle w:val="955"/>
        <w:ind w:firstLine="480"/>
        <w:spacing w:line="360" w:lineRule="auto"/>
        <w:rPr>
          <w:rFonts w:eastAsia="宋体" w:cs="宋体"/>
          <w:sz w:val="24"/>
          <w:szCs w:val="21"/>
          <w:highlight w:val="none"/>
        </w:rPr>
      </w:pPr>
      <w:r>
        <w:rPr>
          <w:rFonts w:hint="eastAsia" w:eastAsia="宋体" w:cs="宋体"/>
          <w:sz w:val="24"/>
          <w:szCs w:val="21"/>
          <w:highlight w:val="none"/>
        </w:rPr>
        <w:t xml:space="preserve">5、我方尊重评标小组所作的评定结果，同时也清楚理解到投标报价最低并非意味着必定获得中标资格。</w:t>
      </w:r>
      <w:r>
        <w:rPr>
          <w:rFonts w:eastAsia="宋体" w:cs="宋体"/>
          <w:sz w:val="24"/>
          <w:szCs w:val="21"/>
          <w:highlight w:val="none"/>
        </w:rPr>
      </w:r>
      <w:r>
        <w:rPr>
          <w:highlight w:val="none"/>
        </w:rPr>
      </w:r>
    </w:p>
    <w:p>
      <w:pPr>
        <w:pStyle w:val="955"/>
        <w:ind w:firstLine="480"/>
        <w:spacing w:line="360" w:lineRule="auto"/>
        <w:rPr>
          <w:rFonts w:eastAsia="宋体" w:cs="宋体"/>
          <w:sz w:val="24"/>
          <w:szCs w:val="21"/>
          <w:highlight w:val="none"/>
        </w:rPr>
      </w:pPr>
      <w:r>
        <w:rPr>
          <w:rFonts w:hint="eastAsia" w:eastAsia="宋体" w:cs="宋体"/>
          <w:sz w:val="24"/>
          <w:szCs w:val="21"/>
          <w:highlight w:val="none"/>
        </w:rPr>
        <w:t xml:space="preserve">6、一旦我方中标，我方将根据招标文件的规定，严格履行招标文件中规定的每一项要求，按期、按质、按量履行合同的义务。 </w:t>
      </w:r>
      <w:r>
        <w:rPr>
          <w:rFonts w:eastAsia="宋体" w:cs="宋体"/>
          <w:sz w:val="24"/>
          <w:szCs w:val="21"/>
          <w:highlight w:val="none"/>
        </w:rPr>
      </w:r>
      <w:r>
        <w:rPr>
          <w:highlight w:val="none"/>
        </w:rPr>
      </w:r>
    </w:p>
    <w:p>
      <w:pPr>
        <w:pStyle w:val="955"/>
        <w:ind w:firstLine="480"/>
        <w:jc w:val="right"/>
        <w:spacing w:line="360" w:lineRule="auto"/>
        <w:rPr>
          <w:rFonts w:eastAsia="宋体" w:cs="宋体"/>
          <w:sz w:val="24"/>
          <w:szCs w:val="21"/>
          <w:highlight w:val="none"/>
        </w:rPr>
      </w:pPr>
      <w:r>
        <w:rPr>
          <w:rFonts w:eastAsia="宋体" w:cs="宋体"/>
          <w:sz w:val="24"/>
          <w:szCs w:val="21"/>
          <w:highlight w:val="none"/>
        </w:rPr>
      </w:r>
      <w:r>
        <w:rPr>
          <w:highlight w:val="none"/>
        </w:rPr>
      </w:r>
    </w:p>
    <w:p>
      <w:pPr>
        <w:pStyle w:val="955"/>
        <w:ind w:firstLine="480"/>
        <w:jc w:val="right"/>
        <w:spacing w:line="360" w:lineRule="auto"/>
        <w:rPr>
          <w:rFonts w:eastAsia="宋体" w:cs="宋体"/>
          <w:sz w:val="24"/>
          <w:szCs w:val="21"/>
          <w:highlight w:val="none"/>
        </w:rPr>
      </w:pPr>
      <w:r>
        <w:rPr>
          <w:rFonts w:hint="eastAsia" w:eastAsia="宋体" w:cs="宋体"/>
          <w:sz w:val="24"/>
          <w:szCs w:val="21"/>
          <w:highlight w:val="none"/>
        </w:rPr>
        <w:t xml:space="preserve">投标人：（加盖公章）</w:t>
      </w:r>
      <w:r>
        <w:rPr>
          <w:rFonts w:eastAsia="宋体" w:cs="宋体"/>
          <w:sz w:val="24"/>
          <w:szCs w:val="21"/>
          <w:highlight w:val="none"/>
        </w:rPr>
      </w:r>
      <w:r>
        <w:rPr>
          <w:highlight w:val="none"/>
        </w:rPr>
      </w:r>
    </w:p>
    <w:p>
      <w:pPr>
        <w:pStyle w:val="955"/>
        <w:ind w:firstLine="480"/>
        <w:jc w:val="right"/>
        <w:spacing w:line="360" w:lineRule="auto"/>
        <w:rPr>
          <w:rFonts w:eastAsia="宋体" w:cs="宋体"/>
          <w:sz w:val="24"/>
          <w:szCs w:val="21"/>
          <w:highlight w:val="none"/>
        </w:rPr>
      </w:pPr>
      <w:r>
        <w:rPr>
          <w:rFonts w:hint="eastAsia" w:eastAsia="宋体" w:cs="宋体"/>
          <w:sz w:val="24"/>
          <w:szCs w:val="21"/>
          <w:highlight w:val="none"/>
        </w:rPr>
        <w:t xml:space="preserve">法定代表人或被授权人：（签字或盖章）</w:t>
      </w:r>
      <w:r>
        <w:rPr>
          <w:rFonts w:eastAsia="宋体" w:cs="宋体"/>
          <w:sz w:val="24"/>
          <w:szCs w:val="21"/>
          <w:highlight w:val="none"/>
        </w:rPr>
      </w:r>
      <w:r>
        <w:rPr>
          <w:highlight w:val="none"/>
        </w:rPr>
      </w:r>
    </w:p>
    <w:p>
      <w:pPr>
        <w:pStyle w:val="955"/>
        <w:jc w:val="right"/>
        <w:spacing w:line="360" w:lineRule="auto"/>
        <w:rPr>
          <w:rFonts w:eastAsia="宋体" w:cs="宋体"/>
          <w:sz w:val="24"/>
          <w:szCs w:val="21"/>
          <w:highlight w:val="none"/>
        </w:rPr>
      </w:pPr>
      <w:r>
        <w:rPr>
          <w:rFonts w:hint="eastAsia" w:eastAsia="宋体" w:cs="宋体"/>
          <w:sz w:val="24"/>
          <w:szCs w:val="21"/>
          <w:highlight w:val="none"/>
        </w:rPr>
        <w:t xml:space="preserve">年      月     日</w:t>
      </w:r>
      <w:r>
        <w:rPr>
          <w:rFonts w:eastAsia="宋体" w:cs="宋体"/>
          <w:sz w:val="24"/>
          <w:szCs w:val="21"/>
          <w:highlight w:val="none"/>
        </w:rPr>
      </w:r>
      <w:r>
        <w:rPr>
          <w:highlight w:val="none"/>
        </w:rPr>
      </w:r>
    </w:p>
    <w:p>
      <w:pPr>
        <w:pStyle w:val="955"/>
        <w:ind w:firstLine="482"/>
        <w:jc w:val="center"/>
        <w:spacing w:line="360" w:lineRule="auto"/>
        <w:rPr>
          <w:rFonts w:eastAsia="宋体" w:cs="宋体"/>
          <w:b/>
          <w:bCs/>
          <w:sz w:val="28"/>
          <w:szCs w:val="28"/>
          <w:highlight w:val="none"/>
        </w:rPr>
        <w:outlineLvl w:val="3"/>
      </w:pPr>
      <w:r>
        <w:rPr>
          <w:rFonts w:hint="eastAsia" w:ascii="宋体" w:hAnsi="宋体" w:cs="宋体"/>
          <w:b/>
          <w:sz w:val="30"/>
          <w:szCs w:val="30"/>
          <w:highlight w:val="none"/>
        </w:rPr>
        <w:br w:type="page" w:clear="all"/>
      </w:r>
      <w:r>
        <w:rPr>
          <w:rFonts w:hint="eastAsia" w:ascii="宋体" w:hAnsi="宋体" w:cs="宋体"/>
          <w:b/>
          <w:sz w:val="30"/>
          <w:szCs w:val="30"/>
          <w:highlight w:val="none"/>
        </w:rPr>
        <w:t xml:space="preserve">附件7</w:t>
      </w:r>
      <w:r>
        <w:rPr>
          <w:rFonts w:hint="eastAsia" w:ascii="宋体" w:hAnsi="宋体" w:cs="宋体"/>
          <w:b/>
          <w:sz w:val="30"/>
          <w:szCs w:val="30"/>
          <w:highlight w:val="none"/>
          <w:lang w:val="en-US" w:eastAsia="zh-CN"/>
        </w:rPr>
        <w:t xml:space="preserve">     </w:t>
      </w:r>
      <w:r>
        <w:rPr>
          <w:rFonts w:hint="eastAsia" w:eastAsia="宋体" w:cs="宋体"/>
          <w:b/>
          <w:bCs/>
          <w:sz w:val="28"/>
          <w:szCs w:val="28"/>
          <w:highlight w:val="none"/>
        </w:rPr>
        <w:t xml:space="preserve">商务条款正负偏离表</w:t>
      </w:r>
      <w:r>
        <w:rPr>
          <w:rFonts w:eastAsia="宋体" w:cs="宋体"/>
          <w:b/>
          <w:bCs/>
          <w:sz w:val="28"/>
          <w:szCs w:val="28"/>
          <w:highlight w:val="none"/>
        </w:rPr>
      </w:r>
      <w:r>
        <w:rPr>
          <w:highlight w:val="none"/>
        </w:rPr>
      </w:r>
    </w:p>
    <w:p>
      <w:pPr>
        <w:pStyle w:val="1085"/>
        <w:spacing w:line="360" w:lineRule="auto"/>
        <w:rPr>
          <w:rFonts w:eastAsia="宋体" w:cs="宋体"/>
          <w:szCs w:val="24"/>
          <w:highlight w:val="none"/>
        </w:rPr>
      </w:pPr>
      <w:r>
        <w:rPr>
          <w:rFonts w:hint="eastAsia" w:eastAsia="宋体" w:cs="宋体"/>
          <w:szCs w:val="24"/>
          <w:highlight w:val="none"/>
        </w:rPr>
        <w:t xml:space="preserve">项目名称：</w:t>
      </w:r>
      <w:r>
        <w:rPr>
          <w:rFonts w:eastAsia="宋体" w:cs="宋体"/>
          <w:szCs w:val="24"/>
          <w:highlight w:val="none"/>
        </w:rPr>
      </w:r>
      <w:r>
        <w:rPr>
          <w:highlight w:val="none"/>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361"/>
        <w:gridCol w:w="2326"/>
        <w:gridCol w:w="2392"/>
        <w:gridCol w:w="1464"/>
      </w:tblGrid>
      <w:tr>
        <w:trPr>
          <w:trHeight w:val="994"/>
        </w:trPr>
        <w:tc>
          <w:tcPr>
            <w:tcW w:w="851" w:type="dxa"/>
            <w:vAlign w:val="center"/>
            <w:textDirection w:val="lrTb"/>
            <w:noWrap/>
          </w:tcPr>
          <w:p>
            <w:pPr>
              <w:pStyle w:val="955"/>
              <w:jc w:val="center"/>
              <w:spacing w:line="360" w:lineRule="auto"/>
              <w:rPr>
                <w:rFonts w:eastAsia="宋体" w:cs="宋体"/>
                <w:sz w:val="24"/>
                <w:szCs w:val="24"/>
                <w:highlight w:val="none"/>
              </w:rPr>
            </w:pPr>
            <w:r>
              <w:rPr>
                <w:rFonts w:hint="eastAsia" w:eastAsia="宋体" w:cs="宋体"/>
                <w:sz w:val="24"/>
                <w:szCs w:val="24"/>
                <w:highlight w:val="none"/>
              </w:rPr>
              <w:t xml:space="preserve">序号</w:t>
            </w:r>
            <w:r>
              <w:rPr>
                <w:rFonts w:eastAsia="宋体" w:cs="宋体"/>
                <w:sz w:val="24"/>
                <w:szCs w:val="24"/>
                <w:highlight w:val="none"/>
              </w:rPr>
            </w:r>
            <w:r>
              <w:rPr>
                <w:highlight w:val="none"/>
              </w:rPr>
            </w:r>
          </w:p>
        </w:tc>
        <w:tc>
          <w:tcPr>
            <w:tcW w:w="2331" w:type="dxa"/>
            <w:vAlign w:val="center"/>
            <w:textDirection w:val="lrTb"/>
            <w:noWrap/>
          </w:tcPr>
          <w:p>
            <w:pPr>
              <w:pStyle w:val="955"/>
              <w:jc w:val="center"/>
              <w:spacing w:line="360" w:lineRule="auto"/>
              <w:rPr>
                <w:rFonts w:eastAsia="宋体" w:cs="宋体"/>
                <w:sz w:val="24"/>
                <w:szCs w:val="24"/>
                <w:highlight w:val="none"/>
              </w:rPr>
            </w:pPr>
            <w:r>
              <w:rPr>
                <w:rFonts w:hint="eastAsia" w:eastAsia="宋体" w:cs="宋体"/>
                <w:sz w:val="24"/>
                <w:szCs w:val="24"/>
                <w:highlight w:val="none"/>
              </w:rPr>
              <w:t xml:space="preserve">招标文件要求的商务条款</w:t>
            </w:r>
            <w:r>
              <w:rPr>
                <w:rFonts w:eastAsia="宋体" w:cs="宋体"/>
                <w:sz w:val="24"/>
                <w:szCs w:val="24"/>
                <w:highlight w:val="none"/>
              </w:rPr>
            </w:r>
            <w:r>
              <w:rPr>
                <w:highlight w:val="none"/>
              </w:rPr>
            </w:r>
          </w:p>
        </w:tc>
        <w:tc>
          <w:tcPr>
            <w:tcW w:w="2297" w:type="dxa"/>
            <w:vAlign w:val="center"/>
            <w:textDirection w:val="lrTb"/>
            <w:noWrap/>
          </w:tcPr>
          <w:p>
            <w:pPr>
              <w:pStyle w:val="955"/>
              <w:jc w:val="center"/>
              <w:spacing w:line="360" w:lineRule="auto"/>
              <w:rPr>
                <w:rFonts w:eastAsia="宋体" w:cs="宋体"/>
                <w:sz w:val="24"/>
                <w:szCs w:val="24"/>
                <w:highlight w:val="none"/>
              </w:rPr>
            </w:pPr>
            <w:r>
              <w:rPr>
                <w:rFonts w:hint="eastAsia" w:eastAsia="宋体" w:cs="宋体"/>
                <w:sz w:val="24"/>
                <w:szCs w:val="24"/>
                <w:highlight w:val="none"/>
              </w:rPr>
              <w:t xml:space="preserve">投标文件响应情况</w:t>
            </w:r>
            <w:r>
              <w:rPr>
                <w:rFonts w:eastAsia="宋体" w:cs="宋体"/>
                <w:sz w:val="24"/>
                <w:szCs w:val="24"/>
                <w:highlight w:val="none"/>
              </w:rPr>
            </w:r>
            <w:r>
              <w:rPr>
                <w:highlight w:val="none"/>
              </w:rPr>
            </w:r>
          </w:p>
        </w:tc>
        <w:tc>
          <w:tcPr>
            <w:tcW w:w="2362" w:type="dxa"/>
            <w:vAlign w:val="center"/>
            <w:textDirection w:val="lrTb"/>
            <w:noWrap/>
          </w:tcPr>
          <w:p>
            <w:pPr>
              <w:pStyle w:val="955"/>
              <w:jc w:val="center"/>
              <w:spacing w:line="360" w:lineRule="auto"/>
              <w:rPr>
                <w:rFonts w:eastAsia="宋体" w:cs="宋体"/>
                <w:sz w:val="24"/>
                <w:szCs w:val="24"/>
                <w:highlight w:val="none"/>
              </w:rPr>
            </w:pPr>
            <w:r>
              <w:rPr>
                <w:rFonts w:hint="eastAsia" w:eastAsia="宋体" w:cs="宋体"/>
                <w:sz w:val="24"/>
                <w:szCs w:val="24"/>
                <w:highlight w:val="none"/>
              </w:rPr>
              <w:t xml:space="preserve">偏离说明</w:t>
            </w:r>
            <w:r>
              <w:rPr>
                <w:rFonts w:eastAsia="宋体" w:cs="宋体"/>
                <w:sz w:val="24"/>
                <w:szCs w:val="24"/>
                <w:highlight w:val="none"/>
              </w:rPr>
            </w:r>
            <w:r>
              <w:rPr>
                <w:highlight w:val="none"/>
              </w:rPr>
            </w:r>
          </w:p>
        </w:tc>
        <w:tc>
          <w:tcPr>
            <w:tcW w:w="1445" w:type="dxa"/>
            <w:vAlign w:val="center"/>
            <w:textDirection w:val="lrTb"/>
            <w:noWrap/>
          </w:tcPr>
          <w:p>
            <w:pPr>
              <w:pStyle w:val="955"/>
              <w:jc w:val="center"/>
              <w:spacing w:line="360" w:lineRule="auto"/>
              <w:rPr>
                <w:rFonts w:eastAsia="宋体" w:cs="宋体"/>
                <w:sz w:val="24"/>
                <w:szCs w:val="24"/>
                <w:highlight w:val="none"/>
              </w:rPr>
            </w:pPr>
            <w:r>
              <w:rPr>
                <w:rFonts w:hint="eastAsia" w:eastAsia="宋体" w:cs="宋体"/>
                <w:sz w:val="24"/>
                <w:szCs w:val="24"/>
                <w:highlight w:val="none"/>
              </w:rPr>
              <w:t xml:space="preserve">备注</w:t>
            </w:r>
            <w:r>
              <w:rPr>
                <w:rFonts w:eastAsia="宋体" w:cs="宋体"/>
                <w:sz w:val="24"/>
                <w:szCs w:val="24"/>
                <w:highlight w:val="none"/>
              </w:rPr>
            </w:r>
            <w:r>
              <w:rPr>
                <w:highlight w:val="none"/>
              </w:rPr>
            </w:r>
          </w:p>
        </w:tc>
      </w:tr>
      <w:tr>
        <w:trPr>
          <w:trHeight w:val="414"/>
        </w:trPr>
        <w:tc>
          <w:tcPr>
            <w:tcW w:w="851" w:type="dxa"/>
            <w:vAlign w:val="top"/>
            <w:textDirection w:val="lrTb"/>
            <w:noWrap/>
          </w:tcPr>
          <w:p>
            <w:pPr>
              <w:pStyle w:val="955"/>
              <w:jc w:val="center"/>
              <w:spacing w:line="360" w:lineRule="auto"/>
              <w:rPr>
                <w:rFonts w:eastAsia="宋体" w:cs="宋体"/>
                <w:sz w:val="24"/>
                <w:szCs w:val="24"/>
                <w:highlight w:val="none"/>
              </w:rPr>
            </w:pPr>
            <w:r>
              <w:rPr>
                <w:rFonts w:hint="eastAsia" w:eastAsia="宋体" w:cs="宋体"/>
                <w:sz w:val="24"/>
                <w:szCs w:val="24"/>
                <w:highlight w:val="none"/>
              </w:rPr>
              <w:t xml:space="preserve">1</w:t>
            </w:r>
            <w:r>
              <w:rPr>
                <w:rFonts w:eastAsia="宋体" w:cs="宋体"/>
                <w:sz w:val="24"/>
                <w:szCs w:val="24"/>
                <w:highlight w:val="none"/>
              </w:rPr>
            </w:r>
            <w:r>
              <w:rPr>
                <w:highlight w:val="none"/>
              </w:rPr>
            </w:r>
          </w:p>
        </w:tc>
        <w:tc>
          <w:tcPr>
            <w:tcW w:w="2331"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2297"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2362"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1445" w:type="dxa"/>
            <w:vAlign w:val="top"/>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r>
      <w:tr>
        <w:trPr>
          <w:trHeight w:val="548"/>
        </w:trPr>
        <w:tc>
          <w:tcPr>
            <w:tcW w:w="851" w:type="dxa"/>
            <w:vAlign w:val="top"/>
            <w:textDirection w:val="lrTb"/>
            <w:noWrap/>
          </w:tcPr>
          <w:p>
            <w:pPr>
              <w:pStyle w:val="955"/>
              <w:jc w:val="center"/>
              <w:spacing w:line="360" w:lineRule="auto"/>
              <w:rPr>
                <w:rFonts w:eastAsia="宋体" w:cs="宋体"/>
                <w:sz w:val="24"/>
                <w:szCs w:val="24"/>
                <w:highlight w:val="none"/>
              </w:rPr>
            </w:pPr>
            <w:r>
              <w:rPr>
                <w:rFonts w:hint="eastAsia" w:eastAsia="宋体" w:cs="宋体"/>
                <w:sz w:val="24"/>
                <w:szCs w:val="24"/>
                <w:highlight w:val="none"/>
              </w:rPr>
              <w:t xml:space="preserve">2</w:t>
            </w:r>
            <w:r>
              <w:rPr>
                <w:rFonts w:eastAsia="宋体" w:cs="宋体"/>
                <w:sz w:val="24"/>
                <w:szCs w:val="24"/>
                <w:highlight w:val="none"/>
              </w:rPr>
            </w:r>
            <w:r>
              <w:rPr>
                <w:highlight w:val="none"/>
              </w:rPr>
            </w:r>
          </w:p>
        </w:tc>
        <w:tc>
          <w:tcPr>
            <w:tcW w:w="2331"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2297"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2362"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1445" w:type="dxa"/>
            <w:vAlign w:val="top"/>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r>
      <w:tr>
        <w:trPr>
          <w:trHeight w:val="400"/>
        </w:trPr>
        <w:tc>
          <w:tcPr>
            <w:tcW w:w="851" w:type="dxa"/>
            <w:vAlign w:val="top"/>
            <w:textDirection w:val="lrTb"/>
            <w:noWrap/>
          </w:tcPr>
          <w:p>
            <w:pPr>
              <w:pStyle w:val="955"/>
              <w:jc w:val="center"/>
              <w:spacing w:line="360" w:lineRule="auto"/>
              <w:rPr>
                <w:rFonts w:eastAsia="宋体" w:cs="宋体"/>
                <w:sz w:val="24"/>
                <w:szCs w:val="24"/>
                <w:highlight w:val="none"/>
              </w:rPr>
            </w:pPr>
            <w:r>
              <w:rPr>
                <w:rFonts w:hint="eastAsia" w:eastAsia="宋体" w:cs="宋体"/>
                <w:sz w:val="24"/>
                <w:szCs w:val="24"/>
                <w:highlight w:val="none"/>
              </w:rPr>
              <w:t xml:space="preserve">3</w:t>
            </w:r>
            <w:r>
              <w:rPr>
                <w:rFonts w:eastAsia="宋体" w:cs="宋体"/>
                <w:sz w:val="24"/>
                <w:szCs w:val="24"/>
                <w:highlight w:val="none"/>
              </w:rPr>
            </w:r>
            <w:r>
              <w:rPr>
                <w:highlight w:val="none"/>
              </w:rPr>
            </w:r>
          </w:p>
        </w:tc>
        <w:tc>
          <w:tcPr>
            <w:tcW w:w="2331"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2297"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2362"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1445" w:type="dxa"/>
            <w:vAlign w:val="top"/>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r>
      <w:tr>
        <w:trPr>
          <w:trHeight w:val="419"/>
        </w:trPr>
        <w:tc>
          <w:tcPr>
            <w:tcW w:w="851" w:type="dxa"/>
            <w:vAlign w:val="top"/>
            <w:textDirection w:val="lrTb"/>
            <w:noWrap/>
          </w:tcPr>
          <w:p>
            <w:pPr>
              <w:pStyle w:val="955"/>
              <w:jc w:val="center"/>
              <w:spacing w:line="360" w:lineRule="auto"/>
              <w:rPr>
                <w:rFonts w:eastAsia="宋体" w:cs="宋体"/>
                <w:sz w:val="24"/>
                <w:szCs w:val="24"/>
                <w:highlight w:val="none"/>
              </w:rPr>
            </w:pPr>
            <w:r>
              <w:rPr>
                <w:rFonts w:hint="eastAsia" w:eastAsia="宋体" w:cs="宋体"/>
                <w:sz w:val="24"/>
                <w:szCs w:val="24"/>
                <w:highlight w:val="none"/>
              </w:rPr>
              <w:t xml:space="preserve">4</w:t>
            </w:r>
            <w:r>
              <w:rPr>
                <w:rFonts w:eastAsia="宋体" w:cs="宋体"/>
                <w:sz w:val="24"/>
                <w:szCs w:val="24"/>
                <w:highlight w:val="none"/>
              </w:rPr>
            </w:r>
            <w:r>
              <w:rPr>
                <w:highlight w:val="none"/>
              </w:rPr>
            </w:r>
          </w:p>
        </w:tc>
        <w:tc>
          <w:tcPr>
            <w:tcW w:w="2331"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2297"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2362" w:type="dxa"/>
            <w:vAlign w:val="center"/>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c>
          <w:tcPr>
            <w:tcW w:w="1445" w:type="dxa"/>
            <w:vAlign w:val="top"/>
            <w:textDirection w:val="lrTb"/>
            <w:noWrap/>
          </w:tcPr>
          <w:p>
            <w:pPr>
              <w:pStyle w:val="955"/>
              <w:jc w:val="left"/>
              <w:spacing w:line="360" w:lineRule="auto"/>
              <w:rPr>
                <w:rFonts w:eastAsia="宋体" w:cs="宋体"/>
                <w:sz w:val="24"/>
                <w:szCs w:val="24"/>
                <w:highlight w:val="none"/>
              </w:rPr>
            </w:pPr>
            <w:r>
              <w:rPr>
                <w:rFonts w:eastAsia="宋体" w:cs="宋体"/>
                <w:sz w:val="24"/>
                <w:szCs w:val="24"/>
                <w:highlight w:val="none"/>
              </w:rPr>
            </w:r>
            <w:r>
              <w:rPr>
                <w:highlight w:val="none"/>
              </w:rPr>
            </w:r>
          </w:p>
        </w:tc>
      </w:tr>
    </w:tbl>
    <w:p>
      <w:pPr>
        <w:pStyle w:val="955"/>
        <w:spacing w:line="360" w:lineRule="auto"/>
        <w:rPr>
          <w:rFonts w:eastAsia="宋体" w:cs="宋体"/>
          <w:sz w:val="24"/>
          <w:szCs w:val="24"/>
          <w:highlight w:val="none"/>
        </w:rPr>
      </w:pPr>
      <w:r>
        <w:rPr>
          <w:rFonts w:eastAsia="宋体" w:cs="宋体"/>
          <w:sz w:val="24"/>
          <w:szCs w:val="24"/>
          <w:highlight w:val="none"/>
        </w:rPr>
      </w:r>
      <w:r>
        <w:rPr>
          <w:highlight w:val="none"/>
        </w:rPr>
      </w:r>
    </w:p>
    <w:p>
      <w:pPr>
        <w:pStyle w:val="955"/>
        <w:ind w:firstLine="480"/>
        <w:spacing w:line="360" w:lineRule="auto"/>
        <w:rPr>
          <w:rFonts w:eastAsia="宋体" w:cs="宋体"/>
          <w:sz w:val="24"/>
          <w:szCs w:val="24"/>
          <w:highlight w:val="none"/>
        </w:rPr>
      </w:pPr>
      <w:r>
        <w:rPr>
          <w:rFonts w:hint="eastAsia" w:eastAsia="宋体" w:cs="宋体"/>
          <w:sz w:val="24"/>
          <w:szCs w:val="24"/>
          <w:highlight w:val="none"/>
        </w:rPr>
        <w:t xml:space="preserve">响应供应商：（盖章）             </w:t>
      </w:r>
      <w:r>
        <w:rPr>
          <w:rFonts w:eastAsia="宋体" w:cs="宋体"/>
          <w:sz w:val="24"/>
          <w:szCs w:val="24"/>
          <w:highlight w:val="none"/>
        </w:rPr>
      </w:r>
      <w:r>
        <w:rPr>
          <w:highlight w:val="none"/>
        </w:rPr>
      </w:r>
    </w:p>
    <w:p>
      <w:pPr>
        <w:pStyle w:val="955"/>
        <w:ind w:firstLine="480"/>
        <w:spacing w:line="360" w:lineRule="auto"/>
        <w:rPr>
          <w:rFonts w:eastAsia="宋体" w:cs="宋体"/>
          <w:sz w:val="24"/>
          <w:szCs w:val="24"/>
          <w:highlight w:val="none"/>
        </w:rPr>
      </w:pPr>
      <w:r>
        <w:rPr>
          <w:rFonts w:hint="eastAsia" w:eastAsia="宋体" w:cs="宋体"/>
          <w:sz w:val="24"/>
          <w:szCs w:val="24"/>
          <w:highlight w:val="none"/>
        </w:rPr>
        <w:t xml:space="preserve">法定代表人或被授权人（签字或盖章）：</w:t>
      </w:r>
      <w:r>
        <w:rPr>
          <w:rFonts w:eastAsia="宋体" w:cs="宋体"/>
          <w:sz w:val="24"/>
          <w:szCs w:val="24"/>
          <w:highlight w:val="none"/>
        </w:rPr>
      </w:r>
      <w:r>
        <w:rPr>
          <w:highlight w:val="none"/>
        </w:rPr>
      </w:r>
    </w:p>
    <w:p>
      <w:pPr>
        <w:pStyle w:val="955"/>
        <w:ind w:firstLine="480"/>
        <w:spacing w:line="360" w:lineRule="auto"/>
        <w:rPr>
          <w:rFonts w:eastAsia="宋体" w:cs="宋体"/>
          <w:sz w:val="24"/>
          <w:szCs w:val="24"/>
          <w:highlight w:val="none"/>
        </w:rPr>
      </w:pPr>
      <w:r>
        <w:rPr>
          <w:rFonts w:hint="eastAsia" w:eastAsia="宋体" w:cs="宋体"/>
          <w:sz w:val="24"/>
          <w:szCs w:val="24"/>
          <w:highlight w:val="none"/>
        </w:rPr>
        <w:t xml:space="preserve">日期：</w:t>
      </w:r>
      <w:r>
        <w:rPr>
          <w:rFonts w:eastAsia="宋体" w:cs="宋体"/>
          <w:sz w:val="24"/>
          <w:szCs w:val="24"/>
          <w:highlight w:val="none"/>
        </w:rPr>
      </w:r>
      <w:r>
        <w:rPr>
          <w:highlight w:val="none"/>
        </w:rPr>
      </w:r>
    </w:p>
    <w:p>
      <w:pPr>
        <w:pStyle w:val="1085"/>
        <w:spacing w:line="360" w:lineRule="auto"/>
        <w:rPr>
          <w:rFonts w:eastAsia="宋体" w:cs="宋体"/>
          <w:szCs w:val="24"/>
          <w:highlight w:val="none"/>
        </w:rPr>
      </w:pPr>
      <w:r>
        <w:rPr>
          <w:rFonts w:eastAsia="宋体" w:cs="宋体"/>
          <w:szCs w:val="24"/>
          <w:highlight w:val="none"/>
        </w:rPr>
      </w:r>
      <w:r>
        <w:rPr>
          <w:highlight w:val="none"/>
        </w:rPr>
      </w:r>
    </w:p>
    <w:p>
      <w:pPr>
        <w:pStyle w:val="1085"/>
        <w:spacing w:line="360" w:lineRule="auto"/>
        <w:rPr>
          <w:rFonts w:eastAsia="宋体" w:cs="宋体"/>
          <w:szCs w:val="24"/>
          <w:highlight w:val="none"/>
        </w:rPr>
      </w:pPr>
      <w:r>
        <w:rPr>
          <w:rFonts w:eastAsia="宋体" w:cs="宋体"/>
          <w:szCs w:val="24"/>
          <w:highlight w:val="none"/>
        </w:rPr>
      </w:r>
      <w:r>
        <w:rPr>
          <w:highlight w:val="none"/>
        </w:rPr>
      </w:r>
    </w:p>
    <w:p>
      <w:pPr>
        <w:pStyle w:val="955"/>
        <w:ind w:firstLine="480"/>
        <w:spacing w:line="360" w:lineRule="auto"/>
        <w:rPr>
          <w:rFonts w:eastAsia="宋体" w:cs="宋体"/>
          <w:sz w:val="24"/>
          <w:szCs w:val="24"/>
          <w:highlight w:val="none"/>
        </w:rPr>
      </w:pPr>
      <w:r>
        <w:rPr>
          <w:rFonts w:hint="eastAsia" w:eastAsia="宋体" w:cs="宋体"/>
          <w:sz w:val="24"/>
          <w:szCs w:val="24"/>
          <w:highlight w:val="none"/>
          <w:lang w:val="zh-CN"/>
        </w:rPr>
        <w:t xml:space="preserve">注：1、供应商提交的响应文件中与比选文件第三部分“项目需求”中的</w:t>
      </w:r>
      <w:r>
        <w:rPr>
          <w:rFonts w:hint="eastAsia" w:eastAsia="宋体" w:cs="宋体"/>
          <w:b/>
          <w:bCs/>
          <w:sz w:val="24"/>
          <w:szCs w:val="24"/>
          <w:highlight w:val="none"/>
          <w:lang w:val="zh-CN"/>
        </w:rPr>
        <w:t xml:space="preserve">商务</w:t>
      </w:r>
      <w:r>
        <w:rPr>
          <w:rFonts w:hint="eastAsia" w:eastAsia="宋体" w:cs="宋体"/>
          <w:sz w:val="24"/>
          <w:szCs w:val="24"/>
          <w:highlight w:val="none"/>
          <w:lang w:val="zh-CN"/>
        </w:rPr>
        <w:t xml:space="preserve">要求，应逐条填列在偏离表中。也可以提供经签署、盖章的空白表格，采购人将视为供应商完全接受第三部分“项目需求”中的商务部分的条款内容。</w:t>
      </w:r>
      <w:r>
        <w:rPr>
          <w:rFonts w:eastAsia="宋体" w:cs="宋体"/>
          <w:sz w:val="24"/>
          <w:szCs w:val="24"/>
          <w:highlight w:val="none"/>
        </w:rPr>
      </w:r>
      <w:r>
        <w:rPr>
          <w:highlight w:val="none"/>
        </w:rPr>
      </w:r>
    </w:p>
    <w:p>
      <w:pPr>
        <w:pStyle w:val="955"/>
        <w:ind w:firstLine="480"/>
        <w:spacing w:line="360" w:lineRule="auto"/>
        <w:rPr>
          <w:rFonts w:eastAsia="宋体" w:cs="宋体"/>
          <w:sz w:val="24"/>
          <w:szCs w:val="24"/>
          <w:highlight w:val="none"/>
        </w:rPr>
      </w:pPr>
      <w:r>
        <w:rPr>
          <w:rFonts w:hint="eastAsia" w:eastAsia="宋体" w:cs="宋体"/>
          <w:sz w:val="24"/>
          <w:szCs w:val="24"/>
          <w:highlight w:val="none"/>
          <w:lang w:val="zh-CN"/>
        </w:rPr>
        <w:t xml:space="preserve">2、“偏离说明”一栏选择“正偏离”、“负偏离”进行填写。正偏离的确认和负偏离的是否响应采购文件，经三分之二评委认定。</w:t>
      </w:r>
      <w:r>
        <w:rPr>
          <w:rFonts w:eastAsia="宋体" w:cs="宋体"/>
          <w:sz w:val="24"/>
          <w:szCs w:val="24"/>
          <w:highlight w:val="none"/>
        </w:rPr>
      </w:r>
      <w:r>
        <w:rPr>
          <w:highlight w:val="none"/>
        </w:rPr>
      </w:r>
    </w:p>
    <w:p>
      <w:pPr>
        <w:pStyle w:val="955"/>
        <w:ind w:firstLine="480"/>
        <w:spacing w:line="360" w:lineRule="auto"/>
        <w:rPr>
          <w:rFonts w:eastAsia="宋体" w:cs="宋体"/>
          <w:sz w:val="24"/>
          <w:szCs w:val="24"/>
          <w:highlight w:val="none"/>
        </w:rPr>
      </w:pPr>
      <w:r>
        <w:rPr>
          <w:rFonts w:hint="eastAsia" w:eastAsia="宋体" w:cs="宋体"/>
          <w:sz w:val="24"/>
          <w:szCs w:val="24"/>
          <w:highlight w:val="none"/>
          <w:lang w:val="zh-CN"/>
        </w:rPr>
        <w:t xml:space="preserve">3、供应商如果虚假响应，将承担被暂停参加采购人招标活动的风险。</w:t>
      </w:r>
      <w:r>
        <w:rPr>
          <w:rFonts w:eastAsia="宋体" w:cs="宋体"/>
          <w:sz w:val="24"/>
          <w:szCs w:val="24"/>
          <w:highlight w:val="none"/>
        </w:rPr>
      </w:r>
      <w:r>
        <w:rPr>
          <w:highlight w:val="none"/>
        </w:rPr>
      </w:r>
    </w:p>
    <w:p>
      <w:pPr>
        <w:pStyle w:val="955"/>
        <w:ind w:firstLine="480"/>
        <w:spacing w:line="360" w:lineRule="auto"/>
        <w:rPr>
          <w:rFonts w:eastAsia="宋体" w:cs="宋体"/>
          <w:sz w:val="24"/>
          <w:szCs w:val="24"/>
          <w:highlight w:val="none"/>
        </w:rPr>
      </w:pPr>
      <w:r>
        <w:rPr>
          <w:rFonts w:hint="eastAsia" w:eastAsia="宋体" w:cs="宋体"/>
          <w:sz w:val="24"/>
          <w:szCs w:val="24"/>
          <w:highlight w:val="none"/>
          <w:lang w:val="zh-CN"/>
        </w:rPr>
        <w:t xml:space="preserve">4、供应商若提供其他增值服务，可以在表中自行据实填写。</w:t>
      </w:r>
      <w:r>
        <w:rPr>
          <w:rFonts w:eastAsia="宋体" w:cs="宋体"/>
          <w:sz w:val="24"/>
          <w:szCs w:val="24"/>
          <w:highlight w:val="none"/>
        </w:rPr>
      </w:r>
      <w:r>
        <w:rPr>
          <w:highlight w:val="none"/>
        </w:rPr>
      </w:r>
    </w:p>
    <w:p>
      <w:pPr>
        <w:pStyle w:val="955"/>
        <w:spacing w:line="360" w:lineRule="auto"/>
        <w:rPr>
          <w:rFonts w:eastAsia="宋体" w:cs="宋体"/>
          <w:sz w:val="24"/>
          <w:szCs w:val="24"/>
          <w:highlight w:val="none"/>
        </w:rPr>
      </w:pPr>
      <w:r>
        <w:rPr>
          <w:rFonts w:eastAsia="宋体" w:cs="宋体"/>
          <w:sz w:val="24"/>
          <w:szCs w:val="24"/>
          <w:highlight w:val="none"/>
        </w:rPr>
      </w:r>
      <w:r>
        <w:rPr>
          <w:highlight w:val="none"/>
        </w:rPr>
      </w:r>
    </w:p>
    <w:p>
      <w:pPr>
        <w:pStyle w:val="987"/>
        <w:spacing w:before="65" w:line="221"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r>
      <w:r>
        <w:rPr>
          <w:highlight w:val="none"/>
        </w:rPr>
      </w:r>
    </w:p>
    <w:p>
      <w:pPr>
        <w:pStyle w:val="987"/>
        <w:ind w:left="105"/>
        <w:spacing w:before="42" w:line="221" w:lineRule="auto"/>
        <w:rPr>
          <w:rFonts w:hint="eastAsia" w:ascii="宋体" w:hAnsi="宋体" w:eastAsia="宋体" w:cs="宋体"/>
          <w:spacing w:val="14"/>
          <w:highlight w:val="none"/>
        </w:rPr>
      </w:pPr>
      <w:r>
        <w:rPr>
          <w:rFonts w:hint="eastAsia" w:ascii="宋体" w:hAnsi="宋体" w:eastAsia="宋体" w:cs="宋体"/>
          <w:spacing w:val="14"/>
          <w:highlight w:val="none"/>
        </w:rPr>
      </w:r>
      <w:r>
        <w:rPr>
          <w:highlight w:val="none"/>
        </w:rPr>
      </w:r>
    </w:p>
    <w:p>
      <w:pPr>
        <w:pStyle w:val="987"/>
        <w:ind w:left="105"/>
        <w:spacing w:before="42" w:line="221" w:lineRule="auto"/>
        <w:rPr>
          <w:rFonts w:hint="eastAsia" w:ascii="宋体" w:hAnsi="宋体" w:eastAsia="宋体" w:cs="宋体"/>
          <w:spacing w:val="14"/>
          <w:highlight w:val="none"/>
        </w:rPr>
      </w:pPr>
      <w:r>
        <w:rPr>
          <w:rFonts w:hint="eastAsia" w:ascii="宋体" w:hAnsi="宋体" w:eastAsia="宋体" w:cs="宋体"/>
          <w:spacing w:val="14"/>
          <w:highlight w:val="none"/>
        </w:rPr>
      </w:r>
      <w:r>
        <w:rPr>
          <w:highlight w:val="none"/>
        </w:rPr>
      </w:r>
    </w:p>
    <w:p>
      <w:pPr>
        <w:pStyle w:val="1078"/>
        <w:numPr>
          <w:ilvl w:val="0"/>
          <w:numId w:val="5"/>
        </w:numPr>
        <w:contextualSpacing/>
        <w:spacing w:line="300" w:lineRule="exact"/>
        <w:rPr>
          <w:rFonts w:hint="eastAsia" w:ascii="Times New Roman" w:hAnsi="Times New Roman" w:cs="Times New Roman"/>
          <w:b/>
          <w:bCs/>
          <w:highlight w:val="none"/>
        </w:rPr>
      </w:pPr>
      <w:r>
        <w:rPr>
          <w:rFonts w:cs="仿宋_GB2312"/>
          <w:sz w:val="32"/>
          <w:szCs w:val="32"/>
          <w:highlight w:val="none"/>
        </w:rPr>
        <w:br w:type="page" w:clear="all"/>
      </w:r>
      <w:r>
        <w:rPr>
          <w:rFonts w:hint="eastAsia" w:ascii="Times New Roman" w:hAnsi="Times New Roman" w:cs="Times New Roman"/>
          <w:b/>
          <w:bCs/>
          <w:highlight w:val="none"/>
        </w:rPr>
        <w:t xml:space="preserve">商务技术文件</w:t>
      </w:r>
      <w:r>
        <w:rPr>
          <w:rFonts w:hint="eastAsia" w:ascii="Times New Roman" w:hAnsi="Times New Roman" w:cs="Times New Roman"/>
          <w:b/>
          <w:bCs/>
          <w:highlight w:val="none"/>
        </w:rPr>
      </w:r>
      <w:r>
        <w:rPr>
          <w:highlight w:val="none"/>
        </w:rPr>
      </w:r>
    </w:p>
    <w:p>
      <w:pPr>
        <w:pStyle w:val="955"/>
        <w:spacing w:line="300" w:lineRule="exact"/>
        <w:rPr>
          <w:b/>
          <w:bCs/>
          <w:sz w:val="28"/>
          <w:szCs w:val="28"/>
          <w:highlight w:val="none"/>
        </w:rPr>
      </w:pPr>
      <w:r>
        <w:rPr>
          <w:rFonts w:hint="eastAsia" w:hAnsi="宋体"/>
          <w:b/>
          <w:bCs/>
          <w:sz w:val="28"/>
          <w:szCs w:val="28"/>
          <w:highlight w:val="none"/>
        </w:rPr>
        <w:t xml:space="preserve">附件</w:t>
      </w:r>
      <w:r>
        <w:rPr>
          <w:rFonts w:hint="eastAsia" w:hAnsi="宋体"/>
          <w:b/>
          <w:bCs/>
          <w:sz w:val="28"/>
          <w:szCs w:val="28"/>
          <w:highlight w:val="none"/>
          <w:lang w:val="en-US" w:eastAsia="zh-CN"/>
        </w:rPr>
        <w:t xml:space="preserve">8</w:t>
      </w:r>
      <w:r>
        <w:rPr>
          <w:rFonts w:hint="eastAsia" w:hAnsi="宋体"/>
          <w:b/>
          <w:bCs/>
          <w:sz w:val="28"/>
          <w:szCs w:val="28"/>
          <w:highlight w:val="none"/>
        </w:rPr>
        <w:t xml:space="preserve">            </w:t>
      </w:r>
      <w:r>
        <w:rPr>
          <w:rFonts w:hAnsi="宋体"/>
          <w:b/>
          <w:bCs/>
          <w:sz w:val="28"/>
          <w:szCs w:val="28"/>
          <w:highlight w:val="none"/>
        </w:rPr>
        <w:t xml:space="preserve">产品性能、技术指标的说明与描述</w:t>
      </w:r>
      <w:r>
        <w:rPr>
          <w:b/>
          <w:bCs/>
          <w:sz w:val="28"/>
          <w:szCs w:val="28"/>
          <w:highlight w:val="none"/>
        </w:rPr>
      </w:r>
      <w:r>
        <w:rPr>
          <w:highlight w:val="none"/>
        </w:rPr>
      </w:r>
    </w:p>
    <w:p>
      <w:pPr>
        <w:pStyle w:val="955"/>
        <w:ind w:firstLine="484"/>
        <w:spacing w:line="420" w:lineRule="exact"/>
        <w:rPr>
          <w:sz w:val="24"/>
          <w:highlight w:val="none"/>
        </w:rPr>
      </w:pPr>
      <w:r>
        <w:rPr>
          <w:rFonts w:hAnsi="宋体"/>
          <w:sz w:val="24"/>
          <w:highlight w:val="none"/>
        </w:rPr>
        <w:t xml:space="preserve">根据本招标文件第</w:t>
      </w:r>
      <w:r>
        <w:rPr>
          <w:rFonts w:hint="eastAsia" w:hAnsi="宋体"/>
          <w:sz w:val="24"/>
          <w:highlight w:val="none"/>
          <w:lang w:val="en-US" w:eastAsia="zh-CN"/>
        </w:rPr>
        <w:t xml:space="preserve">三</w:t>
      </w:r>
      <w:r>
        <w:rPr>
          <w:rFonts w:hAnsi="宋体"/>
          <w:sz w:val="24"/>
          <w:highlight w:val="none"/>
        </w:rPr>
        <w:t xml:space="preserve">章项目需求提供的产品主要技术规范，配置要求和竞标产品设备标准，供应商结合第</w:t>
      </w:r>
      <w:r>
        <w:rPr>
          <w:rFonts w:hint="eastAsia" w:hAnsi="宋体"/>
          <w:sz w:val="24"/>
          <w:highlight w:val="none"/>
        </w:rPr>
        <w:t xml:space="preserve">五</w:t>
      </w:r>
      <w:r>
        <w:rPr>
          <w:rFonts w:hAnsi="宋体"/>
          <w:sz w:val="24"/>
          <w:highlight w:val="none"/>
        </w:rPr>
        <w:t xml:space="preserve">章评审方法内的评审细则编写所提供产品的品牌、产地、型号、详细技术参数、功能配置，应提供的图纸及资料明细、样品图片、质量承诺、使用寿命承诺等。包含但不限于如下内容：</w:t>
      </w:r>
      <w:r>
        <w:rPr>
          <w:sz w:val="24"/>
          <w:highlight w:val="none"/>
        </w:rPr>
      </w:r>
      <w:r>
        <w:rPr>
          <w:highlight w:val="none"/>
        </w:rPr>
      </w:r>
    </w:p>
    <w:p>
      <w:pPr>
        <w:pStyle w:val="955"/>
        <w:ind w:firstLine="480"/>
        <w:jc w:val="left"/>
        <w:spacing w:line="420" w:lineRule="exact"/>
        <w:rPr>
          <w:sz w:val="24"/>
          <w:highlight w:val="none"/>
        </w:rPr>
      </w:pPr>
      <w:r>
        <w:rPr>
          <w:rFonts w:hAnsi="宋体"/>
          <w:sz w:val="24"/>
          <w:highlight w:val="none"/>
        </w:rPr>
        <w:t xml:space="preserve">（</w:t>
      </w:r>
      <w:r>
        <w:rPr>
          <w:sz w:val="24"/>
          <w:highlight w:val="none"/>
        </w:rPr>
        <w:t xml:space="preserve">1</w:t>
      </w:r>
      <w:r>
        <w:rPr>
          <w:rFonts w:hAnsi="宋体"/>
          <w:sz w:val="24"/>
          <w:highlight w:val="none"/>
        </w:rPr>
        <w:t xml:space="preserve">）与项目需求清单一致，清单中须注明项目内每种设备、数量、品牌及技术参数，但</w:t>
      </w:r>
      <w:r>
        <w:rPr>
          <w:rFonts w:hAnsi="宋体"/>
          <w:b/>
          <w:sz w:val="24"/>
          <w:highlight w:val="none"/>
        </w:rPr>
        <w:t xml:space="preserve">不得出现报价</w:t>
      </w:r>
      <w:r>
        <w:rPr>
          <w:rFonts w:hAnsi="宋体"/>
          <w:sz w:val="24"/>
          <w:highlight w:val="none"/>
        </w:rPr>
        <w:t xml:space="preserve">；</w:t>
      </w:r>
      <w:r>
        <w:rPr>
          <w:sz w:val="24"/>
          <w:highlight w:val="none"/>
        </w:rPr>
      </w:r>
      <w:r>
        <w:rPr>
          <w:highlight w:val="none"/>
        </w:rPr>
      </w:r>
    </w:p>
    <w:p>
      <w:pPr>
        <w:pStyle w:val="955"/>
        <w:ind w:firstLine="480"/>
        <w:jc w:val="left"/>
        <w:spacing w:line="420" w:lineRule="exact"/>
        <w:rPr>
          <w:sz w:val="24"/>
          <w:highlight w:val="none"/>
        </w:rPr>
      </w:pPr>
      <w:r>
        <w:rPr>
          <w:rFonts w:hAnsi="宋体"/>
          <w:sz w:val="24"/>
          <w:highlight w:val="none"/>
        </w:rPr>
        <w:t xml:space="preserve">（</w:t>
      </w:r>
      <w:r>
        <w:rPr>
          <w:sz w:val="24"/>
          <w:highlight w:val="none"/>
        </w:rPr>
        <w:t xml:space="preserve">2</w:t>
      </w:r>
      <w:r>
        <w:rPr>
          <w:rFonts w:hAnsi="宋体"/>
          <w:sz w:val="24"/>
          <w:highlight w:val="none"/>
        </w:rPr>
        <w:t xml:space="preserve">）产品技术条款响应正负偏离表：</w:t>
      </w:r>
      <w:r>
        <w:rPr>
          <w:sz w:val="24"/>
          <w:highlight w:val="none"/>
        </w:rPr>
      </w:r>
      <w:r>
        <w:rPr>
          <w:highlight w:val="none"/>
        </w:rPr>
      </w:r>
    </w:p>
    <w:p>
      <w:pPr>
        <w:pStyle w:val="955"/>
        <w:ind w:firstLine="480"/>
        <w:jc w:val="left"/>
        <w:spacing w:line="420" w:lineRule="exact"/>
        <w:rPr>
          <w:sz w:val="24"/>
          <w:highlight w:val="none"/>
        </w:rPr>
      </w:pPr>
      <w:r>
        <w:rPr>
          <w:rFonts w:hAnsi="宋体"/>
          <w:sz w:val="24"/>
          <w:highlight w:val="none"/>
        </w:rPr>
        <w:t xml:space="preserve">①</w:t>
      </w:r>
      <w:r>
        <w:rPr>
          <w:sz w:val="24"/>
          <w:highlight w:val="none"/>
        </w:rPr>
        <w:t xml:space="preserve"> </w:t>
      </w:r>
      <w:r>
        <w:rPr>
          <w:rFonts w:hAnsi="宋体"/>
          <w:sz w:val="24"/>
          <w:highlight w:val="none"/>
        </w:rPr>
        <w:t xml:space="preserve">供应商必须满足响应文件中针对产品设备提出的全部技术规格与要求，逐一逐条响应填写《技术条款响应正负偏离表》；</w:t>
      </w:r>
      <w:r>
        <w:rPr>
          <w:sz w:val="24"/>
          <w:highlight w:val="none"/>
        </w:rPr>
      </w:r>
      <w:r>
        <w:rPr>
          <w:highlight w:val="none"/>
        </w:rPr>
      </w:r>
    </w:p>
    <w:p>
      <w:pPr>
        <w:pStyle w:val="955"/>
        <w:ind w:firstLine="480"/>
        <w:jc w:val="left"/>
        <w:spacing w:line="420" w:lineRule="exact"/>
        <w:rPr>
          <w:sz w:val="24"/>
          <w:highlight w:val="none"/>
        </w:rPr>
      </w:pPr>
      <w:r>
        <w:rPr>
          <w:rFonts w:hAnsi="宋体"/>
          <w:sz w:val="24"/>
          <w:highlight w:val="none"/>
        </w:rPr>
        <w:t xml:space="preserve">②</w:t>
      </w:r>
      <w:r>
        <w:rPr>
          <w:sz w:val="24"/>
          <w:highlight w:val="none"/>
        </w:rPr>
        <w:t xml:space="preserve"> </w:t>
      </w:r>
      <w:r>
        <w:rPr>
          <w:rFonts w:hAnsi="宋体"/>
          <w:sz w:val="24"/>
          <w:highlight w:val="none"/>
        </w:rPr>
        <w:t xml:space="preserve">供应商提供的货物和服务与采购人提出的项目需求说明中的技术要求不同，必须在逐一逐条填写响应的《技术条款响应正负偏离表》上明示偏离的部分。</w:t>
      </w:r>
      <w:r>
        <w:rPr>
          <w:sz w:val="24"/>
          <w:highlight w:val="none"/>
        </w:rPr>
      </w:r>
      <w:r>
        <w:rPr>
          <w:highlight w:val="none"/>
        </w:rPr>
      </w:r>
    </w:p>
    <w:p>
      <w:pPr>
        <w:pStyle w:val="955"/>
        <w:ind w:firstLine="484"/>
        <w:jc w:val="center"/>
        <w:spacing w:before="145" w:after="145" w:line="420" w:lineRule="exact"/>
        <w:tabs>
          <w:tab w:val="left" w:pos="720" w:leader="none"/>
        </w:tabs>
        <w:rPr>
          <w:sz w:val="24"/>
          <w:highlight w:val="none"/>
        </w:rPr>
      </w:pPr>
      <w:r>
        <w:rPr>
          <w:rFonts w:hAnsi="宋体"/>
          <w:sz w:val="24"/>
          <w:highlight w:val="none"/>
        </w:rPr>
        <w:t xml:space="preserve">《技术条款响应正负偏离表》</w:t>
      </w:r>
      <w:r>
        <w:rPr>
          <w:sz w:val="24"/>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trHeight w:val="446"/>
        </w:trPr>
        <w:tc>
          <w:tcPr>
            <w:tcW w:w="743" w:type="dxa"/>
            <w:vAlign w:val="center"/>
            <w:textDirection w:val="lrTb"/>
            <w:noWrap w:val="false"/>
          </w:tcPr>
          <w:p>
            <w:pPr>
              <w:pStyle w:val="955"/>
              <w:jc w:val="center"/>
              <w:spacing w:line="420" w:lineRule="exact"/>
              <w:rPr>
                <w:sz w:val="24"/>
                <w:highlight w:val="none"/>
              </w:rPr>
            </w:pPr>
            <w:r>
              <w:rPr>
                <w:rFonts w:hAnsi="宋体"/>
                <w:sz w:val="24"/>
                <w:highlight w:val="none"/>
              </w:rPr>
              <w:t xml:space="preserve">序号</w:t>
            </w:r>
            <w:r>
              <w:rPr>
                <w:sz w:val="24"/>
                <w:highlight w:val="none"/>
              </w:rPr>
            </w:r>
            <w:r>
              <w:rPr>
                <w:highlight w:val="none"/>
              </w:rPr>
            </w:r>
          </w:p>
        </w:tc>
        <w:tc>
          <w:tcPr>
            <w:tcW w:w="1243" w:type="dxa"/>
            <w:vAlign w:val="center"/>
            <w:textDirection w:val="lrTb"/>
            <w:noWrap w:val="false"/>
          </w:tcPr>
          <w:p>
            <w:pPr>
              <w:pStyle w:val="955"/>
              <w:jc w:val="center"/>
              <w:spacing w:line="420" w:lineRule="exact"/>
              <w:rPr>
                <w:sz w:val="24"/>
                <w:highlight w:val="none"/>
              </w:rPr>
            </w:pPr>
            <w:r>
              <w:rPr>
                <w:rFonts w:hAnsi="宋体"/>
                <w:sz w:val="24"/>
                <w:highlight w:val="none"/>
              </w:rPr>
              <w:t xml:space="preserve">项目名称</w:t>
            </w:r>
            <w:r>
              <w:rPr>
                <w:sz w:val="24"/>
                <w:highlight w:val="none"/>
              </w:rPr>
            </w:r>
            <w:r>
              <w:rPr>
                <w:highlight w:val="none"/>
              </w:rPr>
            </w:r>
          </w:p>
        </w:tc>
        <w:tc>
          <w:tcPr>
            <w:tcW w:w="1599" w:type="dxa"/>
            <w:vAlign w:val="center"/>
            <w:textDirection w:val="lrTb"/>
            <w:noWrap w:val="false"/>
          </w:tcPr>
          <w:p>
            <w:pPr>
              <w:pStyle w:val="955"/>
              <w:jc w:val="center"/>
              <w:spacing w:line="420" w:lineRule="exact"/>
              <w:rPr>
                <w:sz w:val="24"/>
                <w:highlight w:val="none"/>
              </w:rPr>
            </w:pPr>
            <w:r>
              <w:rPr>
                <w:rFonts w:hAnsi="宋体"/>
                <w:sz w:val="24"/>
                <w:highlight w:val="none"/>
              </w:rPr>
              <w:t xml:space="preserve">品牌型号</w:t>
            </w:r>
            <w:r>
              <w:rPr>
                <w:sz w:val="24"/>
                <w:highlight w:val="none"/>
              </w:rPr>
            </w:r>
            <w:r>
              <w:rPr>
                <w:highlight w:val="none"/>
              </w:rPr>
            </w:r>
          </w:p>
        </w:tc>
        <w:tc>
          <w:tcPr>
            <w:tcW w:w="1767" w:type="dxa"/>
            <w:vAlign w:val="center"/>
            <w:textDirection w:val="lrTb"/>
            <w:noWrap w:val="false"/>
          </w:tcPr>
          <w:p>
            <w:pPr>
              <w:pStyle w:val="955"/>
              <w:jc w:val="center"/>
              <w:spacing w:line="420" w:lineRule="exact"/>
              <w:rPr>
                <w:sz w:val="24"/>
                <w:highlight w:val="none"/>
              </w:rPr>
            </w:pPr>
            <w:r>
              <w:rPr>
                <w:rFonts w:hAnsi="宋体"/>
                <w:sz w:val="24"/>
                <w:highlight w:val="none"/>
              </w:rPr>
              <w:t xml:space="preserve">公开招标文件设备参数要求</w:t>
            </w:r>
            <w:r>
              <w:rPr>
                <w:sz w:val="24"/>
                <w:highlight w:val="none"/>
              </w:rPr>
            </w:r>
            <w:r>
              <w:rPr>
                <w:highlight w:val="none"/>
              </w:rPr>
            </w:r>
          </w:p>
        </w:tc>
        <w:tc>
          <w:tcPr>
            <w:tcW w:w="2019" w:type="dxa"/>
            <w:vAlign w:val="center"/>
            <w:textDirection w:val="lrTb"/>
            <w:noWrap w:val="false"/>
          </w:tcPr>
          <w:p>
            <w:pPr>
              <w:pStyle w:val="955"/>
              <w:jc w:val="center"/>
              <w:spacing w:line="420" w:lineRule="exact"/>
              <w:rPr>
                <w:sz w:val="24"/>
                <w:highlight w:val="none"/>
              </w:rPr>
            </w:pPr>
            <w:r>
              <w:rPr>
                <w:rFonts w:hAnsi="宋体"/>
                <w:sz w:val="24"/>
                <w:highlight w:val="none"/>
              </w:rPr>
              <w:t xml:space="preserve">所投设备</w:t>
            </w:r>
            <w:r>
              <w:rPr>
                <w:sz w:val="24"/>
                <w:highlight w:val="none"/>
              </w:rPr>
            </w:r>
            <w:r>
              <w:rPr>
                <w:highlight w:val="none"/>
              </w:rPr>
            </w:r>
          </w:p>
          <w:p>
            <w:pPr>
              <w:pStyle w:val="955"/>
              <w:jc w:val="center"/>
              <w:spacing w:line="420" w:lineRule="exact"/>
              <w:rPr>
                <w:sz w:val="24"/>
                <w:highlight w:val="none"/>
              </w:rPr>
            </w:pPr>
            <w:r>
              <w:rPr>
                <w:rFonts w:hAnsi="宋体"/>
                <w:sz w:val="24"/>
                <w:highlight w:val="none"/>
              </w:rPr>
              <w:t xml:space="preserve">技术响应参数</w:t>
            </w:r>
            <w:r>
              <w:rPr>
                <w:sz w:val="24"/>
                <w:highlight w:val="none"/>
              </w:rPr>
            </w:r>
            <w:r>
              <w:rPr>
                <w:highlight w:val="none"/>
              </w:rPr>
            </w:r>
          </w:p>
        </w:tc>
        <w:tc>
          <w:tcPr>
            <w:tcW w:w="1363" w:type="dxa"/>
            <w:vAlign w:val="center"/>
            <w:textDirection w:val="lrTb"/>
            <w:noWrap w:val="false"/>
          </w:tcPr>
          <w:p>
            <w:pPr>
              <w:pStyle w:val="955"/>
              <w:jc w:val="center"/>
              <w:spacing w:line="420" w:lineRule="exact"/>
              <w:rPr>
                <w:sz w:val="24"/>
                <w:highlight w:val="none"/>
              </w:rPr>
            </w:pPr>
            <w:r>
              <w:rPr>
                <w:rFonts w:hAnsi="宋体"/>
                <w:sz w:val="24"/>
                <w:highlight w:val="none"/>
              </w:rPr>
              <w:t xml:space="preserve">偏离</w:t>
            </w:r>
            <w:r>
              <w:rPr>
                <w:sz w:val="24"/>
                <w:highlight w:val="none"/>
              </w:rPr>
              <w:t xml:space="preserve">/</w:t>
            </w:r>
            <w:r>
              <w:rPr>
                <w:rFonts w:hAnsi="宋体"/>
                <w:sz w:val="24"/>
                <w:highlight w:val="none"/>
              </w:rPr>
              <w:t xml:space="preserve">响应</w:t>
            </w:r>
            <w:r>
              <w:rPr>
                <w:sz w:val="24"/>
                <w:highlight w:val="none"/>
              </w:rPr>
            </w:r>
            <w:r>
              <w:rPr>
                <w:highlight w:val="none"/>
              </w:rPr>
            </w:r>
          </w:p>
        </w:tc>
        <w:tc>
          <w:tcPr>
            <w:tcW w:w="809" w:type="dxa"/>
            <w:vAlign w:val="center"/>
            <w:textDirection w:val="lrTb"/>
            <w:noWrap w:val="false"/>
          </w:tcPr>
          <w:p>
            <w:pPr>
              <w:pStyle w:val="955"/>
              <w:jc w:val="center"/>
              <w:spacing w:line="420" w:lineRule="exact"/>
              <w:rPr>
                <w:sz w:val="24"/>
                <w:highlight w:val="none"/>
              </w:rPr>
            </w:pPr>
            <w:r>
              <w:rPr>
                <w:rFonts w:hAnsi="宋体"/>
                <w:sz w:val="24"/>
                <w:highlight w:val="none"/>
              </w:rPr>
              <w:t xml:space="preserve">说明</w:t>
            </w:r>
            <w:r>
              <w:rPr>
                <w:sz w:val="24"/>
                <w:highlight w:val="none"/>
              </w:rPr>
            </w:r>
            <w:r>
              <w:rPr>
                <w:highlight w:val="none"/>
              </w:rPr>
            </w:r>
          </w:p>
        </w:tc>
      </w:tr>
      <w:tr>
        <w:trPr>
          <w:trHeight w:val="416"/>
        </w:trPr>
        <w:tc>
          <w:tcPr>
            <w:tcW w:w="743" w:type="dxa"/>
            <w:vAlign w:val="center"/>
            <w:textDirection w:val="lrTb"/>
            <w:noWrap w:val="false"/>
          </w:tcPr>
          <w:p>
            <w:pPr>
              <w:pStyle w:val="955"/>
              <w:jc w:val="center"/>
              <w:spacing w:line="420" w:lineRule="exact"/>
              <w:rPr>
                <w:sz w:val="24"/>
                <w:highlight w:val="none"/>
              </w:rPr>
            </w:pPr>
            <w:r>
              <w:rPr>
                <w:sz w:val="24"/>
                <w:highlight w:val="none"/>
              </w:rPr>
              <w:t xml:space="preserve">1</w:t>
            </w:r>
            <w:r>
              <w:rPr>
                <w:sz w:val="24"/>
                <w:highlight w:val="none"/>
              </w:rPr>
            </w:r>
            <w:r>
              <w:rPr>
                <w:highlight w:val="none"/>
              </w:rPr>
            </w:r>
          </w:p>
        </w:tc>
        <w:tc>
          <w:tcPr>
            <w:tcW w:w="1243"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c>
          <w:tcPr>
            <w:tcW w:w="1599"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c>
          <w:tcPr>
            <w:tcW w:w="1767"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c>
          <w:tcPr>
            <w:tcW w:w="2019"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c>
          <w:tcPr>
            <w:tcW w:w="1363"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c>
          <w:tcPr>
            <w:tcW w:w="809"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r>
      <w:tr>
        <w:trPr>
          <w:trHeight w:val="416"/>
        </w:trPr>
        <w:tc>
          <w:tcPr>
            <w:tcW w:w="743" w:type="dxa"/>
            <w:vAlign w:val="center"/>
            <w:textDirection w:val="lrTb"/>
            <w:noWrap w:val="false"/>
          </w:tcPr>
          <w:p>
            <w:pPr>
              <w:pStyle w:val="955"/>
              <w:jc w:val="center"/>
              <w:spacing w:line="420" w:lineRule="exact"/>
              <w:rPr>
                <w:sz w:val="24"/>
                <w:highlight w:val="none"/>
              </w:rPr>
            </w:pPr>
            <w:r>
              <w:rPr>
                <w:sz w:val="24"/>
                <w:highlight w:val="none"/>
              </w:rPr>
              <w:t xml:space="preserve">……</w:t>
            </w:r>
            <w:r>
              <w:rPr>
                <w:sz w:val="24"/>
                <w:highlight w:val="none"/>
              </w:rPr>
            </w:r>
            <w:r>
              <w:rPr>
                <w:highlight w:val="none"/>
              </w:rPr>
            </w:r>
          </w:p>
        </w:tc>
        <w:tc>
          <w:tcPr>
            <w:tcW w:w="1243"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c>
          <w:tcPr>
            <w:tcW w:w="1599"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c>
          <w:tcPr>
            <w:tcW w:w="1767"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c>
          <w:tcPr>
            <w:tcW w:w="2019"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c>
          <w:tcPr>
            <w:tcW w:w="1363"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c>
          <w:tcPr>
            <w:tcW w:w="809" w:type="dxa"/>
            <w:vAlign w:val="center"/>
            <w:textDirection w:val="lrTb"/>
            <w:noWrap w:val="false"/>
          </w:tcPr>
          <w:p>
            <w:pPr>
              <w:pStyle w:val="955"/>
              <w:jc w:val="center"/>
              <w:spacing w:line="420" w:lineRule="exact"/>
              <w:rPr>
                <w:sz w:val="24"/>
                <w:highlight w:val="none"/>
              </w:rPr>
            </w:pPr>
            <w:r>
              <w:rPr>
                <w:sz w:val="24"/>
                <w:highlight w:val="none"/>
              </w:rPr>
            </w:r>
            <w:r>
              <w:rPr>
                <w:highlight w:val="none"/>
              </w:rPr>
            </w:r>
          </w:p>
        </w:tc>
      </w:tr>
    </w:tbl>
    <w:p>
      <w:pPr>
        <w:pStyle w:val="955"/>
        <w:ind w:firstLine="484"/>
        <w:spacing w:line="420" w:lineRule="exact"/>
        <w:rPr>
          <w:sz w:val="24"/>
          <w:highlight w:val="none"/>
        </w:rPr>
      </w:pPr>
      <w:r>
        <w:rPr>
          <w:rFonts w:hAnsi="宋体"/>
          <w:sz w:val="24"/>
          <w:highlight w:val="none"/>
        </w:rPr>
        <w:t xml:space="preserve">注：①公开招标响应供应商应对照公开招标文件第</w:t>
      </w:r>
      <w:r>
        <w:rPr>
          <w:rFonts w:hint="eastAsia" w:hAnsi="宋体"/>
          <w:sz w:val="24"/>
          <w:highlight w:val="none"/>
          <w:lang w:val="en-US" w:eastAsia="zh-CN"/>
        </w:rPr>
        <w:t xml:space="preserve">三</w:t>
      </w:r>
      <w:r>
        <w:rPr>
          <w:rFonts w:hAnsi="宋体"/>
          <w:sz w:val="24"/>
          <w:highlight w:val="none"/>
        </w:rPr>
        <w:t xml:space="preserve">章项目需求内的要求，逐一填写。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w:t>
      </w:r>
      <w:r>
        <w:rPr>
          <w:rFonts w:hAnsi="宋体"/>
          <w:sz w:val="24"/>
          <w:highlight w:val="none"/>
        </w:rPr>
        <w:t xml:space="preserve">货物和服务同采购单位提出的项目需求说明中的技术要求不同的，必须在《技术条款响应正负偏离表》上明示。③本项目需求产品所有技术规格参数要求，须实质性条款不接受负偏离。④该表不作为公开招标响应供应商对项目需求产品技术要求等的详细描述和说明的替代。⑤公开招标响应供应商如果虚假响应，将承担一切可能的风险。⑥所投品牌型号，必须确定、唯一。</w:t>
      </w:r>
      <w:r>
        <w:rPr>
          <w:sz w:val="24"/>
          <w:highlight w:val="none"/>
        </w:rPr>
      </w:r>
      <w:r>
        <w:rPr>
          <w:highlight w:val="none"/>
        </w:rPr>
      </w:r>
    </w:p>
    <w:p>
      <w:pPr>
        <w:pStyle w:val="955"/>
        <w:ind w:right="720" w:firstLine="1840"/>
        <w:jc w:val="right"/>
        <w:spacing w:line="420" w:lineRule="exact"/>
        <w:rPr>
          <w:color w:val="000000"/>
          <w:sz w:val="24"/>
          <w:highlight w:val="none"/>
        </w:rPr>
      </w:pPr>
      <w:r>
        <w:rPr>
          <w:color w:val="000000"/>
          <w:sz w:val="24"/>
          <w:highlight w:val="none"/>
        </w:rPr>
        <w:t xml:space="preserve">投标人全称（加盖公章）</w:t>
      </w:r>
      <w:r>
        <w:rPr>
          <w:color w:val="000000"/>
          <w:sz w:val="24"/>
          <w:highlight w:val="none"/>
        </w:rPr>
      </w:r>
      <w:r>
        <w:rPr>
          <w:highlight w:val="none"/>
        </w:rPr>
      </w:r>
    </w:p>
    <w:p>
      <w:pPr>
        <w:pStyle w:val="955"/>
        <w:ind w:right="720" w:firstLine="1840"/>
        <w:jc w:val="right"/>
        <w:spacing w:line="420" w:lineRule="exact"/>
        <w:rPr>
          <w:sz w:val="24"/>
          <w:highlight w:val="none"/>
        </w:rPr>
      </w:pPr>
      <w:r>
        <w:rPr>
          <w:rFonts w:hAnsi="宋体"/>
          <w:sz w:val="24"/>
          <w:highlight w:val="none"/>
        </w:rPr>
        <w:t xml:space="preserve">法定代表人或被委托受权人（签字或盖章）：</w:t>
      </w:r>
      <w:r>
        <w:rPr>
          <w:sz w:val="24"/>
          <w:highlight w:val="none"/>
        </w:rPr>
      </w:r>
      <w:r>
        <w:rPr>
          <w:highlight w:val="none"/>
        </w:rPr>
      </w:r>
    </w:p>
    <w:p>
      <w:pPr>
        <w:pStyle w:val="955"/>
        <w:ind w:right="480" w:firstLine="1680"/>
        <w:spacing w:line="420" w:lineRule="exact"/>
        <w:rPr>
          <w:sz w:val="24"/>
          <w:highlight w:val="none"/>
        </w:rPr>
      </w:pPr>
      <w:r>
        <w:rPr>
          <w:sz w:val="24"/>
          <w:highlight w:val="none"/>
        </w:rPr>
      </w:r>
      <w:r>
        <w:rPr>
          <w:highlight w:val="none"/>
        </w:rPr>
      </w:r>
    </w:p>
    <w:p>
      <w:pPr>
        <w:pStyle w:val="955"/>
        <w:jc w:val="right"/>
        <w:spacing w:line="420" w:lineRule="exact"/>
        <w:rPr>
          <w:b/>
          <w:bCs/>
          <w:highlight w:val="none"/>
        </w:rPr>
      </w:pPr>
      <w:r>
        <w:rPr>
          <w:rFonts w:hAnsi="宋体"/>
          <w:sz w:val="24"/>
          <w:highlight w:val="none"/>
        </w:rPr>
        <w:t xml:space="preserve">年</w:t>
      </w:r>
      <w:r>
        <w:rPr>
          <w:sz w:val="24"/>
          <w:highlight w:val="none"/>
        </w:rPr>
        <w:t xml:space="preserve">  </w:t>
      </w:r>
      <w:r>
        <w:rPr>
          <w:rFonts w:hAnsi="宋体"/>
          <w:sz w:val="24"/>
          <w:highlight w:val="none"/>
        </w:rPr>
        <w:t xml:space="preserve">月</w:t>
      </w:r>
      <w:r>
        <w:rPr>
          <w:sz w:val="24"/>
          <w:highlight w:val="none"/>
        </w:rPr>
        <w:t xml:space="preserve">  </w:t>
      </w:r>
      <w:r>
        <w:rPr>
          <w:rFonts w:hAnsi="宋体"/>
          <w:sz w:val="24"/>
          <w:highlight w:val="none"/>
        </w:rPr>
        <w:t xml:space="preserve">日</w:t>
      </w:r>
      <w:r>
        <w:rPr>
          <w:b/>
          <w:bCs/>
          <w:highlight w:val="none"/>
        </w:rPr>
      </w:r>
      <w:r>
        <w:rPr>
          <w:highlight w:val="none"/>
        </w:rPr>
      </w:r>
    </w:p>
    <w:p>
      <w:pPr>
        <w:pStyle w:val="955"/>
        <w:jc w:val="left"/>
        <w:spacing w:line="360" w:lineRule="auto"/>
        <w:widowControl/>
        <w:rPr>
          <w:rFonts w:ascii="宋体" w:hAnsi="宋体" w:cs="仿宋_GB2312"/>
          <w:b/>
          <w:sz w:val="28"/>
          <w:szCs w:val="28"/>
          <w:highlight w:val="none"/>
        </w:rPr>
      </w:pPr>
      <w:r>
        <w:rPr>
          <w:rFonts w:hint="eastAsia" w:ascii="宋体" w:hAnsi="宋体" w:cs="仿宋_GB2312"/>
          <w:b/>
          <w:sz w:val="28"/>
          <w:szCs w:val="28"/>
          <w:highlight w:val="none"/>
          <w:lang w:bidi="ar"/>
        </w:rPr>
        <w:t xml:space="preserve">（四）价格文件</w:t>
      </w:r>
      <w:r>
        <w:rPr>
          <w:rFonts w:ascii="宋体" w:hAnsi="宋体" w:cs="仿宋_GB2312"/>
          <w:b/>
          <w:sz w:val="28"/>
          <w:szCs w:val="28"/>
          <w:highlight w:val="none"/>
          <w:lang w:bidi="ar"/>
        </w:rPr>
      </w:r>
      <w:r>
        <w:rPr>
          <w:highlight w:val="none"/>
        </w:rPr>
      </w:r>
    </w:p>
    <w:p>
      <w:pPr>
        <w:pStyle w:val="987"/>
        <w:ind w:left="107"/>
        <w:spacing w:before="65" w:line="221"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附件</w:t>
      </w:r>
      <w:r>
        <w:rPr>
          <w:rFonts w:hint="eastAsia" w:ascii="宋体" w:hAnsi="宋体" w:eastAsia="宋体" w:cs="宋体"/>
          <w:b/>
          <w:sz w:val="30"/>
          <w:szCs w:val="30"/>
          <w:highlight w:val="none"/>
          <w:lang w:val="en-US" w:eastAsia="zh-CN"/>
        </w:rPr>
        <w:t xml:space="preserve">9</w:t>
      </w:r>
      <w:r>
        <w:rPr>
          <w:rFonts w:hint="eastAsia" w:ascii="宋体" w:hAnsi="宋体" w:eastAsia="宋体" w:cs="宋体"/>
          <w:b/>
          <w:sz w:val="30"/>
          <w:szCs w:val="30"/>
          <w:highlight w:val="none"/>
          <w:lang w:eastAsia="zh-CN"/>
        </w:rPr>
      </w:r>
      <w:r>
        <w:rPr>
          <w:highlight w:val="none"/>
        </w:rPr>
      </w:r>
    </w:p>
    <w:p>
      <w:pPr>
        <w:pStyle w:val="955"/>
        <w:jc w:val="left"/>
        <w:widowControl/>
        <w:rPr>
          <w:rFonts w:ascii="宋体" w:hAnsi="宋体" w:cs="仿宋_GB2312"/>
          <w:sz w:val="24"/>
          <w:szCs w:val="22"/>
          <w:highlight w:val="none"/>
          <w:u w:val="single"/>
        </w:rPr>
      </w:pPr>
      <w:r>
        <w:rPr>
          <w:rFonts w:ascii="宋体" w:hAnsi="宋体" w:cs="仿宋_GB2312"/>
          <w:sz w:val="24"/>
          <w:szCs w:val="22"/>
          <w:highlight w:val="none"/>
          <w:u w:val="single"/>
        </w:rPr>
      </w:r>
      <w:r>
        <w:rPr>
          <w:highlight w:val="none"/>
        </w:rPr>
      </w:r>
    </w:p>
    <w:p>
      <w:pPr>
        <w:pStyle w:val="955"/>
        <w:jc w:val="center"/>
        <w:spacing w:before="100" w:beforeAutospacing="1" w:after="100" w:afterAutospacing="1" w:line="500" w:lineRule="atLeast"/>
        <w:widowControl/>
        <w:rPr>
          <w:rFonts w:hint="eastAsia" w:ascii="宋体" w:hAnsi="宋体" w:cs="宋体"/>
          <w:sz w:val="32"/>
          <w:szCs w:val="32"/>
          <w:highlight w:val="none"/>
        </w:rPr>
      </w:pPr>
      <w:r>
        <w:rPr>
          <w:rFonts w:hint="eastAsia" w:ascii="宋体" w:hAnsi="宋体" w:cs="宋体"/>
          <w:b/>
          <w:bCs/>
          <w:sz w:val="32"/>
          <w:szCs w:val="32"/>
          <w:highlight w:val="none"/>
        </w:rPr>
        <w:t xml:space="preserve">开  标 一 览  表</w:t>
      </w:r>
      <w:r>
        <w:rPr>
          <w:rFonts w:hint="eastAsia" w:ascii="宋体" w:hAnsi="宋体" w:cs="宋体"/>
          <w:sz w:val="32"/>
          <w:szCs w:val="32"/>
          <w:highlight w:val="none"/>
        </w:rPr>
      </w:r>
      <w:r>
        <w:rPr>
          <w:highlight w:val="none"/>
        </w:rPr>
      </w:r>
    </w:p>
    <w:p>
      <w:pPr>
        <w:pStyle w:val="955"/>
        <w:rPr>
          <w:rFonts w:hint="eastAsia" w:ascii="宋体" w:hAnsi="宋体" w:cs="宋体"/>
          <w:sz w:val="28"/>
          <w:szCs w:val="28"/>
          <w:highlight w:val="none"/>
          <w:u w:val="single"/>
        </w:rPr>
      </w:pPr>
      <w:r>
        <w:rPr>
          <w:rFonts w:hint="eastAsia" w:ascii="宋体" w:hAnsi="宋体" w:cs="宋体"/>
          <w:sz w:val="28"/>
          <w:szCs w:val="28"/>
          <w:highlight w:val="none"/>
        </w:rPr>
        <w:t xml:space="preserve">投标人全称（加盖公章）：</w:t>
      </w:r>
      <w:r>
        <w:rPr>
          <w:rFonts w:hint="eastAsia" w:ascii="宋体" w:hAnsi="宋体" w:cs="宋体"/>
          <w:sz w:val="28"/>
          <w:szCs w:val="28"/>
          <w:highlight w:val="none"/>
          <w:u w:val="single"/>
        </w:rPr>
      </w:r>
      <w:r>
        <w:rPr>
          <w:highlight w:val="none"/>
        </w:rPr>
      </w:r>
    </w:p>
    <w:p>
      <w:pPr>
        <w:pStyle w:val="955"/>
        <w:rPr>
          <w:rFonts w:hint="eastAsia" w:ascii="宋体" w:hAnsi="宋体" w:cs="宋体"/>
          <w:sz w:val="28"/>
          <w:szCs w:val="28"/>
          <w:highlight w:val="none"/>
          <w:u w:val="singl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r>
      <w:r>
        <w:rPr>
          <w:highlight w:val="none"/>
        </w:rPr>
      </w:r>
    </w:p>
    <w:p>
      <w:pPr>
        <w:pStyle w:val="955"/>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955"/>
              <w:jc w:val="center"/>
              <w:rPr>
                <w:rFonts w:hint="eastAsia" w:ascii="宋体" w:hAnsi="宋体" w:cs="宋体"/>
                <w:szCs w:val="22"/>
                <w:highlight w:val="none"/>
              </w:rPr>
            </w:pPr>
            <w:r>
              <w:rPr>
                <w:rFonts w:hint="eastAsia" w:ascii="宋体" w:hAnsi="宋体" w:cs="宋体"/>
                <w:sz w:val="28"/>
                <w:szCs w:val="28"/>
                <w:highlight w:val="none"/>
              </w:rPr>
              <w:t xml:space="preserve">投标货物、服务名称</w:t>
            </w:r>
            <w:r>
              <w:rPr>
                <w:rFonts w:hint="eastAsia" w:ascii="宋体" w:hAnsi="宋体" w:cs="宋体"/>
                <w:szCs w:val="22"/>
                <w:highlight w:val="none"/>
              </w:rPr>
            </w:r>
            <w:r>
              <w:rPr>
                <w:highlight w:val="none"/>
              </w:rPr>
            </w:r>
          </w:p>
        </w:tc>
        <w:tc>
          <w:tcPr>
            <w:tcW w:w="4607" w:type="dxa"/>
            <w:vAlign w:val="top"/>
            <w:textDirection w:val="lrTb"/>
            <w:noWrap w:val="false"/>
          </w:tcPr>
          <w:p>
            <w:pPr>
              <w:pStyle w:val="955"/>
              <w:jc w:val="center"/>
              <w:rPr>
                <w:rFonts w:hint="eastAsia" w:ascii="宋体" w:hAnsi="宋体" w:cs="宋体"/>
                <w:szCs w:val="22"/>
                <w:highlight w:val="none"/>
              </w:rPr>
            </w:pPr>
            <w:r>
              <w:rPr>
                <w:rFonts w:hint="eastAsia" w:ascii="宋体" w:hAnsi="宋体" w:cs="宋体"/>
                <w:sz w:val="28"/>
                <w:szCs w:val="28"/>
                <w:highlight w:val="none"/>
              </w:rPr>
              <w:t xml:space="preserve">投标总报价</w:t>
            </w:r>
            <w:r>
              <w:rPr>
                <w:rFonts w:hint="eastAsia" w:ascii="宋体" w:hAnsi="宋体" w:cs="宋体"/>
                <w:szCs w:val="22"/>
                <w:highlight w:val="none"/>
              </w:rPr>
            </w:r>
            <w:r>
              <w:rPr>
                <w:highlight w:val="none"/>
              </w:rPr>
            </w:r>
          </w:p>
        </w:tc>
      </w:tr>
      <w:tr>
        <w:trPr>
          <w:trHeight w:val="1091"/>
        </w:trPr>
        <w:tc>
          <w:tcPr>
            <w:tcW w:w="4148" w:type="dxa"/>
            <w:vAlign w:val="top"/>
            <w:textDirection w:val="lrTb"/>
            <w:noWrap w:val="false"/>
          </w:tcPr>
          <w:p>
            <w:pPr>
              <w:pStyle w:val="955"/>
              <w:rPr>
                <w:rFonts w:hint="eastAsia" w:ascii="宋体" w:hAnsi="宋体" w:cs="宋体"/>
                <w:szCs w:val="22"/>
                <w:highlight w:val="none"/>
              </w:rPr>
            </w:pPr>
            <w:r>
              <w:rPr>
                <w:rFonts w:hint="eastAsia" w:ascii="宋体" w:hAnsi="宋体" w:cs="宋体"/>
                <w:szCs w:val="22"/>
                <w:highlight w:val="none"/>
              </w:rPr>
            </w:r>
            <w:r>
              <w:rPr>
                <w:highlight w:val="none"/>
              </w:rPr>
            </w:r>
          </w:p>
        </w:tc>
        <w:tc>
          <w:tcPr>
            <w:tcW w:w="4607" w:type="dxa"/>
            <w:vAlign w:val="top"/>
            <w:textDirection w:val="lrTb"/>
            <w:noWrap w:val="false"/>
          </w:tcPr>
          <w:p>
            <w:pPr>
              <w:pStyle w:val="955"/>
              <w:rPr>
                <w:rFonts w:hint="eastAsia" w:ascii="宋体" w:hAnsi="宋体" w:cs="宋体"/>
                <w:sz w:val="28"/>
                <w:szCs w:val="28"/>
                <w:highlight w:val="none"/>
              </w:rPr>
            </w:pPr>
            <w:r>
              <w:rPr>
                <w:rFonts w:hint="eastAsia" w:ascii="宋体" w:hAnsi="宋体" w:cs="宋体"/>
                <w:sz w:val="28"/>
                <w:szCs w:val="28"/>
                <w:highlight w:val="none"/>
              </w:rPr>
              <w:t xml:space="preserve">大写：</w:t>
            </w:r>
            <w:r>
              <w:rPr>
                <w:rFonts w:hint="eastAsia" w:ascii="宋体" w:hAnsi="宋体" w:cs="宋体"/>
                <w:sz w:val="28"/>
                <w:szCs w:val="28"/>
                <w:highlight w:val="none"/>
              </w:rPr>
            </w:r>
            <w:r>
              <w:rPr>
                <w:highlight w:val="none"/>
              </w:rPr>
            </w:r>
          </w:p>
          <w:p>
            <w:pPr>
              <w:pStyle w:val="955"/>
              <w:rPr>
                <w:rFonts w:hint="eastAsia" w:ascii="宋体" w:hAnsi="宋体" w:cs="宋体"/>
                <w:szCs w:val="22"/>
                <w:highlight w:val="none"/>
                <w:u w:val="single"/>
              </w:rPr>
            </w:pPr>
            <w:r>
              <w:rPr>
                <w:rFonts w:hint="eastAsia" w:ascii="宋体" w:hAnsi="宋体" w:cs="宋体"/>
                <w:sz w:val="28"/>
                <w:szCs w:val="28"/>
                <w:highlight w:val="none"/>
              </w:rPr>
              <w:t xml:space="preserve">小写：元（人民币）</w:t>
            </w:r>
            <w:r>
              <w:rPr>
                <w:rFonts w:hint="eastAsia" w:ascii="宋体" w:hAnsi="宋体" w:cs="宋体"/>
                <w:szCs w:val="22"/>
                <w:highlight w:val="none"/>
                <w:u w:val="single"/>
              </w:rPr>
            </w:r>
            <w:r>
              <w:rPr>
                <w:highlight w:val="none"/>
              </w:rPr>
            </w:r>
          </w:p>
        </w:tc>
      </w:tr>
      <w:tr>
        <w:trPr/>
        <w:tc>
          <w:tcPr>
            <w:tcW w:w="4148" w:type="dxa"/>
            <w:vAlign w:val="top"/>
            <w:textDirection w:val="lrTb"/>
            <w:noWrap w:val="false"/>
          </w:tcPr>
          <w:p>
            <w:pPr>
              <w:pStyle w:val="955"/>
              <w:rPr>
                <w:rFonts w:hint="eastAsia" w:ascii="宋体" w:hAnsi="宋体" w:cs="宋体"/>
                <w:szCs w:val="22"/>
                <w:highlight w:val="none"/>
              </w:rPr>
            </w:pPr>
            <w:r>
              <w:rPr>
                <w:rFonts w:hint="eastAsia" w:ascii="宋体" w:hAnsi="宋体" w:cs="宋体"/>
                <w:sz w:val="28"/>
                <w:szCs w:val="28"/>
                <w:highlight w:val="none"/>
              </w:rPr>
              <w:t xml:space="preserve">主要货物、服务制造商及产地</w:t>
            </w:r>
            <w:r>
              <w:rPr>
                <w:rFonts w:hint="eastAsia" w:ascii="宋体" w:hAnsi="宋体" w:cs="宋体"/>
                <w:szCs w:val="22"/>
                <w:highlight w:val="none"/>
              </w:rPr>
            </w:r>
            <w:r>
              <w:rPr>
                <w:highlight w:val="none"/>
              </w:rPr>
            </w:r>
          </w:p>
        </w:tc>
        <w:tc>
          <w:tcPr>
            <w:tcW w:w="4607" w:type="dxa"/>
            <w:vAlign w:val="top"/>
            <w:textDirection w:val="lrTb"/>
            <w:noWrap w:val="false"/>
          </w:tcPr>
          <w:p>
            <w:pPr>
              <w:pStyle w:val="955"/>
              <w:rPr>
                <w:rFonts w:hint="eastAsia" w:ascii="宋体" w:hAnsi="宋体" w:cs="宋体"/>
                <w:szCs w:val="22"/>
                <w:highlight w:val="none"/>
              </w:rPr>
            </w:pPr>
            <w:r>
              <w:rPr>
                <w:rFonts w:hint="eastAsia" w:ascii="宋体" w:hAnsi="宋体" w:cs="宋体"/>
                <w:szCs w:val="22"/>
                <w:highlight w:val="none"/>
              </w:rPr>
            </w:r>
            <w:r>
              <w:rPr>
                <w:highlight w:val="none"/>
              </w:rPr>
            </w:r>
          </w:p>
        </w:tc>
      </w:tr>
      <w:tr>
        <w:trPr>
          <w:trHeight w:val="481"/>
        </w:trPr>
        <w:tc>
          <w:tcPr>
            <w:tcW w:w="4148" w:type="dxa"/>
            <w:vAlign w:val="top"/>
            <w:textDirection w:val="lrTb"/>
            <w:noWrap w:val="false"/>
          </w:tcPr>
          <w:p>
            <w:pPr>
              <w:pStyle w:val="955"/>
              <w:rPr>
                <w:rFonts w:hint="eastAsia" w:ascii="宋体" w:hAnsi="宋体" w:cs="宋体"/>
                <w:szCs w:val="22"/>
                <w:highlight w:val="none"/>
              </w:rPr>
            </w:pPr>
            <w:r>
              <w:rPr>
                <w:rFonts w:hint="eastAsia" w:ascii="宋体" w:hAnsi="宋体" w:cs="宋体"/>
                <w:szCs w:val="22"/>
                <w:highlight w:val="none"/>
              </w:rPr>
            </w:r>
            <w:r>
              <w:rPr>
                <w:highlight w:val="none"/>
              </w:rPr>
            </w:r>
          </w:p>
        </w:tc>
        <w:tc>
          <w:tcPr>
            <w:tcW w:w="4607" w:type="dxa"/>
            <w:vAlign w:val="top"/>
            <w:textDirection w:val="lrTb"/>
            <w:noWrap w:val="false"/>
          </w:tcPr>
          <w:p>
            <w:pPr>
              <w:pStyle w:val="955"/>
              <w:rPr>
                <w:rFonts w:hint="eastAsia" w:ascii="宋体" w:hAnsi="宋体" w:cs="宋体"/>
                <w:szCs w:val="22"/>
                <w:highlight w:val="none"/>
              </w:rPr>
            </w:pPr>
            <w:r>
              <w:rPr>
                <w:rFonts w:hint="eastAsia" w:ascii="宋体" w:hAnsi="宋体" w:cs="宋体"/>
                <w:szCs w:val="22"/>
                <w:highlight w:val="none"/>
              </w:rPr>
            </w:r>
            <w:r>
              <w:rPr>
                <w:highlight w:val="none"/>
              </w:rPr>
            </w:r>
          </w:p>
        </w:tc>
      </w:tr>
    </w:tbl>
    <w:p>
      <w:pPr>
        <w:pStyle w:val="955"/>
        <w:rPr>
          <w:rFonts w:hint="eastAsia" w:ascii="宋体" w:hAnsi="宋体" w:cs="宋体"/>
          <w:sz w:val="28"/>
          <w:szCs w:val="28"/>
          <w:highlight w:val="none"/>
        </w:rPr>
      </w:pPr>
      <w:r>
        <w:rPr>
          <w:rFonts w:hint="eastAsia" w:ascii="宋体" w:hAnsi="宋体" w:cs="宋体"/>
          <w:sz w:val="28"/>
          <w:szCs w:val="28"/>
          <w:highlight w:val="none"/>
        </w:rPr>
        <w:t xml:space="preserve">日期：</w:t>
      </w:r>
      <w:r>
        <w:rPr>
          <w:rFonts w:hint="eastAsia" w:ascii="宋体" w:hAnsi="宋体" w:cs="宋体"/>
          <w:sz w:val="28"/>
          <w:szCs w:val="28"/>
          <w:highlight w:val="none"/>
        </w:rPr>
      </w:r>
      <w:r>
        <w:rPr>
          <w:highlight w:val="none"/>
        </w:rPr>
      </w:r>
    </w:p>
    <w:p>
      <w:pPr>
        <w:pStyle w:val="955"/>
        <w:rPr>
          <w:rFonts w:hint="eastAsia" w:ascii="宋体" w:hAnsi="宋体" w:cs="宋体"/>
          <w:sz w:val="28"/>
          <w:szCs w:val="28"/>
          <w:highlight w:val="none"/>
        </w:rPr>
      </w:pPr>
      <w:r>
        <w:rPr>
          <w:rFonts w:hint="eastAsia" w:ascii="宋体" w:hAnsi="宋体" w:cs="宋体"/>
          <w:sz w:val="28"/>
          <w:szCs w:val="28"/>
          <w:highlight w:val="none"/>
        </w:rPr>
        <w:t xml:space="preserve">填写说明：</w:t>
      </w:r>
      <w:r>
        <w:rPr>
          <w:rFonts w:hint="eastAsia" w:ascii="宋体" w:hAnsi="宋体" w:cs="宋体"/>
          <w:sz w:val="28"/>
          <w:szCs w:val="28"/>
          <w:highlight w:val="none"/>
        </w:rPr>
      </w:r>
      <w:r>
        <w:rPr>
          <w:highlight w:val="none"/>
        </w:rPr>
      </w:r>
    </w:p>
    <w:p>
      <w:pPr>
        <w:pStyle w:val="955"/>
        <w:rPr>
          <w:rFonts w:hint="eastAsia" w:ascii="宋体" w:hAnsi="宋体" w:cs="宋体"/>
          <w:sz w:val="28"/>
          <w:szCs w:val="28"/>
          <w:highlight w:val="none"/>
        </w:rPr>
      </w:pPr>
      <w:r>
        <w:rPr>
          <w:rFonts w:hint="eastAsia" w:ascii="宋体" w:hAnsi="宋体" w:cs="宋体"/>
          <w:sz w:val="28"/>
          <w:szCs w:val="28"/>
          <w:highlight w:val="none"/>
        </w:rPr>
        <w:t xml:space="preserve">1、开标一览表必须加盖投标单位公章（复印件无效）。</w:t>
      </w:r>
      <w:r>
        <w:rPr>
          <w:rFonts w:hint="eastAsia" w:ascii="宋体" w:hAnsi="宋体" w:cs="宋体"/>
          <w:sz w:val="28"/>
          <w:szCs w:val="28"/>
          <w:highlight w:val="none"/>
        </w:rPr>
      </w:r>
      <w:r>
        <w:rPr>
          <w:highlight w:val="none"/>
        </w:rPr>
      </w:r>
    </w:p>
    <w:p>
      <w:pPr>
        <w:pStyle w:val="955"/>
        <w:rPr>
          <w:rFonts w:hint="eastAsia" w:ascii="宋体" w:hAnsi="宋体" w:cs="宋体"/>
          <w:sz w:val="28"/>
          <w:szCs w:val="28"/>
          <w:highlight w:val="none"/>
        </w:rPr>
      </w:pPr>
      <w:r>
        <w:rPr>
          <w:rFonts w:hint="eastAsia" w:ascii="宋体" w:hAnsi="宋体" w:cs="宋体"/>
          <w:sz w:val="28"/>
          <w:szCs w:val="28"/>
          <w:highlight w:val="none"/>
        </w:rPr>
        <w:t xml:space="preserve">2、本项目报价包括全部货物、辅助材料、配套设施的包装、运输、仓储、安装、调试、集成、保险、运费、各种税费、劳保、专利技术、检测、验收费用与保修期内备品备件、专用工具、伴随服务、人员培训、一切耗材备件、设备维护服务等一切费用。</w:t>
      </w:r>
      <w:r>
        <w:rPr>
          <w:rFonts w:hint="eastAsia" w:ascii="宋体" w:hAnsi="宋体" w:cs="宋体"/>
          <w:sz w:val="28"/>
          <w:szCs w:val="28"/>
          <w:highlight w:val="none"/>
        </w:rPr>
      </w:r>
      <w:r>
        <w:rPr>
          <w:highlight w:val="none"/>
        </w:rPr>
      </w:r>
    </w:p>
    <w:p>
      <w:pPr>
        <w:pStyle w:val="955"/>
        <w:rPr>
          <w:rFonts w:hint="eastAsia" w:ascii="宋体" w:hAnsi="宋体" w:cs="宋体"/>
          <w:sz w:val="28"/>
          <w:szCs w:val="28"/>
          <w:highlight w:val="none"/>
        </w:rPr>
      </w:pPr>
      <w:r>
        <w:rPr>
          <w:rFonts w:hint="eastAsia" w:ascii="宋体" w:hAnsi="宋体" w:cs="宋体"/>
          <w:sz w:val="28"/>
          <w:szCs w:val="28"/>
          <w:highlight w:val="none"/>
        </w:rPr>
      </w:r>
      <w:r>
        <w:rPr>
          <w:highlight w:val="none"/>
        </w:rPr>
      </w:r>
    </w:p>
    <w:p>
      <w:pPr>
        <w:pStyle w:val="955"/>
        <w:contextualSpacing/>
        <w:ind w:firstLine="537"/>
        <w:spacing w:line="400" w:lineRule="exact"/>
        <w:rPr>
          <w:rFonts w:hint="eastAsia" w:ascii="宋体" w:hAnsi="宋体" w:cs="宋体"/>
          <w:b/>
          <w:sz w:val="28"/>
          <w:szCs w:val="28"/>
          <w:highlight w:val="none"/>
        </w:rPr>
      </w:pPr>
      <w:r>
        <w:rPr>
          <w:rFonts w:hint="eastAsia" w:ascii="宋体" w:hAnsi="宋体" w:cs="宋体"/>
          <w:b/>
          <w:sz w:val="28"/>
          <w:szCs w:val="28"/>
          <w:highlight w:val="none"/>
        </w:rPr>
      </w:r>
      <w:r>
        <w:rPr>
          <w:highlight w:val="none"/>
        </w:rPr>
      </w:r>
    </w:p>
    <w:p>
      <w:pPr>
        <w:pStyle w:val="955"/>
        <w:contextualSpacing/>
        <w:ind w:firstLine="537"/>
        <w:spacing w:line="400" w:lineRule="exact"/>
        <w:rPr>
          <w:rFonts w:hint="eastAsia" w:ascii="宋体" w:hAnsi="宋体" w:cs="宋体"/>
          <w:b/>
          <w:sz w:val="28"/>
          <w:szCs w:val="28"/>
          <w:highlight w:val="none"/>
        </w:rPr>
      </w:pPr>
      <w:r>
        <w:rPr>
          <w:rFonts w:hint="eastAsia" w:ascii="宋体" w:hAnsi="宋体" w:cs="宋体"/>
          <w:b/>
          <w:sz w:val="28"/>
          <w:szCs w:val="28"/>
          <w:highlight w:val="none"/>
        </w:rPr>
      </w:r>
      <w:r>
        <w:rPr>
          <w:highlight w:val="none"/>
        </w:rPr>
      </w:r>
    </w:p>
    <w:p>
      <w:pPr>
        <w:pStyle w:val="955"/>
        <w:contextualSpacing/>
        <w:ind w:firstLine="537"/>
        <w:spacing w:line="400" w:lineRule="exact"/>
        <w:rPr>
          <w:rFonts w:hint="eastAsia" w:ascii="宋体" w:hAnsi="宋体" w:cs="宋体"/>
          <w:b/>
          <w:sz w:val="28"/>
          <w:szCs w:val="28"/>
          <w:highlight w:val="none"/>
        </w:rPr>
      </w:pPr>
      <w:r>
        <w:rPr>
          <w:rFonts w:hint="eastAsia" w:ascii="宋体" w:hAnsi="宋体" w:cs="宋体"/>
          <w:b/>
          <w:sz w:val="28"/>
          <w:szCs w:val="28"/>
          <w:highlight w:val="none"/>
        </w:rPr>
      </w:r>
      <w:r>
        <w:rPr>
          <w:highlight w:val="none"/>
        </w:rPr>
      </w:r>
    </w:p>
    <w:p>
      <w:pPr>
        <w:pStyle w:val="955"/>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rPr>
          <w:highlight w:val="none"/>
        </w:rPr>
      </w:r>
    </w:p>
    <w:p>
      <w:pPr>
        <w:pStyle w:val="987"/>
        <w:ind w:left="107"/>
        <w:spacing w:before="65" w:line="221" w:lineRule="auto"/>
        <w:rPr>
          <w:rFonts w:hint="eastAsia" w:ascii="宋体" w:hAnsi="宋体" w:eastAsia="宋体" w:cs="宋体"/>
          <w:b/>
          <w:sz w:val="30"/>
          <w:szCs w:val="30"/>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sz w:val="30"/>
          <w:szCs w:val="30"/>
          <w:highlight w:val="none"/>
        </w:rPr>
        <w:t xml:space="preserve">附件1</w:t>
      </w:r>
      <w:r>
        <w:rPr>
          <w:rFonts w:hint="eastAsia" w:ascii="宋体" w:hAnsi="宋体" w:eastAsia="宋体" w:cs="宋体"/>
          <w:b/>
          <w:sz w:val="30"/>
          <w:szCs w:val="30"/>
          <w:highlight w:val="none"/>
          <w:lang w:val="en-US" w:eastAsia="zh-CN"/>
        </w:rPr>
        <w:t xml:space="preserve">0</w:t>
      </w:r>
      <w:r>
        <w:rPr>
          <w:rFonts w:hint="eastAsia" w:ascii="宋体" w:hAnsi="宋体" w:eastAsia="宋体" w:cs="宋体"/>
          <w:b/>
          <w:sz w:val="30"/>
          <w:szCs w:val="30"/>
          <w:highlight w:val="none"/>
          <w:lang w:eastAsia="zh-CN"/>
        </w:rPr>
      </w:r>
      <w:r>
        <w:rPr>
          <w:highlight w:val="none"/>
        </w:rPr>
      </w:r>
    </w:p>
    <w:p>
      <w:pPr>
        <w:pStyle w:val="955"/>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pStyle w:val="955"/>
        <w:jc w:val="center"/>
        <w:spacing w:line="40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分项报价明细表（货物类）</w:t>
      </w:r>
      <w:r>
        <w:rPr>
          <w:rFonts w:hint="eastAsia" w:ascii="宋体" w:hAnsi="宋体" w:cs="宋体"/>
          <w:b/>
          <w:bCs/>
          <w:sz w:val="32"/>
          <w:szCs w:val="32"/>
          <w:highlight w:val="none"/>
        </w:rPr>
      </w:r>
      <w:r>
        <w:rPr>
          <w:highlight w:val="none"/>
        </w:rPr>
      </w:r>
    </w:p>
    <w:p>
      <w:pPr>
        <w:pStyle w:val="955"/>
        <w:rPr>
          <w:rFonts w:hint="eastAsia" w:ascii="宋体" w:hAnsi="宋体" w:cs="宋体"/>
          <w:sz w:val="28"/>
          <w:szCs w:val="28"/>
          <w:highlight w:val="none"/>
          <w:u w:val="single"/>
        </w:rPr>
      </w:pPr>
      <w:r>
        <w:rPr>
          <w:rFonts w:hint="eastAsia" w:ascii="宋体" w:hAnsi="宋体" w:cs="宋体"/>
          <w:sz w:val="28"/>
          <w:szCs w:val="28"/>
          <w:highlight w:val="none"/>
        </w:rPr>
        <w:t xml:space="preserve">投标人全称（加盖公章）：</w:t>
      </w:r>
      <w:r>
        <w:rPr>
          <w:rFonts w:hint="eastAsia" w:ascii="宋体" w:hAnsi="宋体" w:cs="宋体"/>
          <w:sz w:val="28"/>
          <w:szCs w:val="28"/>
          <w:highlight w:val="none"/>
          <w:u w:val="single"/>
        </w:rPr>
      </w:r>
      <w:r>
        <w:rPr>
          <w:highlight w:val="none"/>
        </w:rPr>
      </w:r>
    </w:p>
    <w:p>
      <w:pPr>
        <w:pStyle w:val="955"/>
        <w:rPr>
          <w:rFonts w:hint="eastAsia" w:ascii="宋体" w:hAnsi="宋体" w:cs="宋体"/>
          <w:sz w:val="28"/>
          <w:szCs w:val="28"/>
          <w:highlight w:val="none"/>
          <w:u w:val="singl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r>
      <w:r>
        <w:rPr>
          <w:highlight w:val="none"/>
        </w:rPr>
      </w:r>
    </w:p>
    <w:p>
      <w:pPr>
        <w:pStyle w:val="955"/>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rPr>
      </w:r>
      <w:r>
        <w:rPr>
          <w:highlight w:val="none"/>
        </w:rPr>
      </w:r>
    </w:p>
    <w:tbl>
      <w:tblPr>
        <w:tblW w:w="9249"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2"/>
        <w:gridCol w:w="1774"/>
        <w:gridCol w:w="1210"/>
        <w:gridCol w:w="1275"/>
        <w:gridCol w:w="561"/>
        <w:gridCol w:w="850"/>
        <w:gridCol w:w="851"/>
        <w:gridCol w:w="1275"/>
        <w:gridCol w:w="851"/>
      </w:tblGrid>
      <w:tr>
        <w:trPr>
          <w:trHeight w:val="613"/>
        </w:trPr>
        <w:tc>
          <w:tcPr>
            <w:tcW w:w="602" w:type="dxa"/>
            <w:vAlign w:val="center"/>
            <w:textDirection w:val="lrTb"/>
            <w:noWrap w:val="false"/>
          </w:tcPr>
          <w:p>
            <w:pPr>
              <w:pStyle w:val="955"/>
              <w:jc w:val="center"/>
              <w:rPr>
                <w:b/>
                <w:szCs w:val="22"/>
                <w:highlight w:val="none"/>
              </w:rPr>
            </w:pPr>
            <w:r>
              <w:rPr>
                <w:b/>
                <w:szCs w:val="22"/>
                <w:highlight w:val="none"/>
                <w:lang w:val="zh-CN" w:bidi="zh-CN"/>
              </w:rPr>
              <w:t xml:space="preserve">序号</w:t>
            </w:r>
            <w:r>
              <w:rPr>
                <w:b/>
                <w:szCs w:val="22"/>
                <w:highlight w:val="none"/>
                <w:lang w:val="zh-CN" w:bidi="zh-CN"/>
              </w:rPr>
            </w:r>
            <w:r>
              <w:rPr>
                <w:highlight w:val="none"/>
              </w:rPr>
            </w:r>
          </w:p>
        </w:tc>
        <w:tc>
          <w:tcPr>
            <w:tcW w:w="1774" w:type="dxa"/>
            <w:vAlign w:val="center"/>
            <w:textDirection w:val="lrTb"/>
            <w:noWrap w:val="false"/>
          </w:tcPr>
          <w:p>
            <w:pPr>
              <w:pStyle w:val="955"/>
              <w:jc w:val="center"/>
              <w:rPr>
                <w:b/>
                <w:szCs w:val="22"/>
                <w:highlight w:val="none"/>
              </w:rPr>
            </w:pPr>
            <w:r>
              <w:rPr>
                <w:b/>
                <w:szCs w:val="22"/>
                <w:highlight w:val="none"/>
                <w:lang w:val="zh-CN" w:bidi="zh-CN"/>
              </w:rPr>
              <w:t xml:space="preserve">名称</w:t>
            </w:r>
            <w:r>
              <w:rPr>
                <w:b/>
                <w:szCs w:val="22"/>
                <w:highlight w:val="none"/>
                <w:lang w:val="zh-CN" w:bidi="zh-CN"/>
              </w:rPr>
            </w:r>
            <w:r>
              <w:rPr>
                <w:highlight w:val="none"/>
              </w:rPr>
            </w:r>
          </w:p>
        </w:tc>
        <w:tc>
          <w:tcPr>
            <w:tcW w:w="1210" w:type="dxa"/>
            <w:vAlign w:val="center"/>
            <w:textDirection w:val="lrTb"/>
            <w:noWrap w:val="false"/>
          </w:tcPr>
          <w:p>
            <w:pPr>
              <w:pStyle w:val="955"/>
              <w:jc w:val="center"/>
              <w:rPr>
                <w:b/>
                <w:szCs w:val="22"/>
                <w:highlight w:val="none"/>
              </w:rPr>
            </w:pPr>
            <w:r>
              <w:rPr>
                <w:b/>
                <w:szCs w:val="22"/>
                <w:highlight w:val="none"/>
                <w:lang w:val="zh-CN" w:bidi="zh-CN"/>
              </w:rPr>
              <w:t xml:space="preserve">规格型号</w:t>
            </w:r>
            <w:r>
              <w:rPr>
                <w:b/>
                <w:szCs w:val="22"/>
                <w:highlight w:val="none"/>
                <w:lang w:val="zh-CN" w:bidi="zh-CN"/>
              </w:rPr>
            </w:r>
            <w:r>
              <w:rPr>
                <w:highlight w:val="none"/>
              </w:rPr>
            </w:r>
          </w:p>
        </w:tc>
        <w:tc>
          <w:tcPr>
            <w:tcW w:w="1275" w:type="dxa"/>
            <w:vAlign w:val="center"/>
            <w:textDirection w:val="lrTb"/>
            <w:noWrap w:val="false"/>
          </w:tcPr>
          <w:p>
            <w:pPr>
              <w:pStyle w:val="955"/>
              <w:jc w:val="center"/>
              <w:rPr>
                <w:b/>
                <w:szCs w:val="22"/>
                <w:highlight w:val="none"/>
              </w:rPr>
            </w:pPr>
            <w:r>
              <w:rPr>
                <w:b/>
                <w:szCs w:val="22"/>
                <w:highlight w:val="none"/>
                <w:lang w:val="zh-CN" w:bidi="zh-CN"/>
              </w:rPr>
              <w:t xml:space="preserve">品牌</w:t>
            </w:r>
            <w:r>
              <w:rPr>
                <w:b/>
                <w:szCs w:val="22"/>
                <w:highlight w:val="none"/>
                <w:lang w:val="zh-CN" w:bidi="zh-CN"/>
              </w:rPr>
            </w:r>
            <w:r>
              <w:rPr>
                <w:highlight w:val="none"/>
              </w:rPr>
            </w:r>
          </w:p>
        </w:tc>
        <w:tc>
          <w:tcPr>
            <w:tcW w:w="561" w:type="dxa"/>
            <w:vAlign w:val="center"/>
            <w:textDirection w:val="lrTb"/>
            <w:noWrap w:val="false"/>
          </w:tcPr>
          <w:p>
            <w:pPr>
              <w:pStyle w:val="955"/>
              <w:jc w:val="center"/>
              <w:rPr>
                <w:b/>
                <w:szCs w:val="22"/>
                <w:highlight w:val="none"/>
              </w:rPr>
            </w:pPr>
            <w:r>
              <w:rPr>
                <w:b/>
                <w:szCs w:val="22"/>
                <w:highlight w:val="none"/>
                <w:lang w:val="zh-CN" w:bidi="zh-CN"/>
              </w:rPr>
              <w:t xml:space="preserve">单位</w:t>
            </w:r>
            <w:r>
              <w:rPr>
                <w:b/>
                <w:szCs w:val="22"/>
                <w:highlight w:val="none"/>
                <w:lang w:val="zh-CN" w:bidi="zh-CN"/>
              </w:rPr>
            </w:r>
            <w:r>
              <w:rPr>
                <w:highlight w:val="none"/>
              </w:rPr>
            </w:r>
          </w:p>
        </w:tc>
        <w:tc>
          <w:tcPr>
            <w:tcW w:w="850" w:type="dxa"/>
            <w:vAlign w:val="center"/>
            <w:textDirection w:val="lrTb"/>
            <w:noWrap w:val="false"/>
          </w:tcPr>
          <w:p>
            <w:pPr>
              <w:pStyle w:val="955"/>
              <w:jc w:val="center"/>
              <w:rPr>
                <w:b/>
                <w:szCs w:val="22"/>
                <w:highlight w:val="none"/>
              </w:rPr>
            </w:pPr>
            <w:r>
              <w:rPr>
                <w:b/>
                <w:szCs w:val="22"/>
                <w:highlight w:val="none"/>
                <w:lang w:val="zh-CN" w:bidi="zh-CN"/>
              </w:rPr>
              <w:t xml:space="preserve">数量</w:t>
            </w:r>
            <w:r>
              <w:rPr>
                <w:b/>
                <w:szCs w:val="22"/>
                <w:highlight w:val="none"/>
                <w:lang w:val="zh-CN" w:bidi="zh-CN"/>
              </w:rPr>
            </w:r>
            <w:r>
              <w:rPr>
                <w:highlight w:val="none"/>
              </w:rPr>
            </w:r>
          </w:p>
        </w:tc>
        <w:tc>
          <w:tcPr>
            <w:tcW w:w="851" w:type="dxa"/>
            <w:vAlign w:val="center"/>
            <w:textDirection w:val="lrTb"/>
            <w:noWrap w:val="false"/>
          </w:tcPr>
          <w:p>
            <w:pPr>
              <w:pStyle w:val="955"/>
              <w:jc w:val="center"/>
              <w:rPr>
                <w:b/>
                <w:szCs w:val="22"/>
                <w:highlight w:val="none"/>
              </w:rPr>
            </w:pPr>
            <w:r>
              <w:rPr>
                <w:b/>
                <w:szCs w:val="22"/>
                <w:highlight w:val="none"/>
                <w:lang w:val="zh-CN" w:bidi="zh-CN"/>
              </w:rPr>
              <w:t xml:space="preserve">单价</w:t>
            </w:r>
            <w:r>
              <w:rPr>
                <w:b/>
                <w:szCs w:val="22"/>
                <w:highlight w:val="none"/>
                <w:lang w:val="zh-CN" w:bidi="zh-CN"/>
              </w:rPr>
            </w:r>
            <w:r>
              <w:rPr>
                <w:highlight w:val="none"/>
              </w:rPr>
            </w:r>
          </w:p>
        </w:tc>
        <w:tc>
          <w:tcPr>
            <w:tcW w:w="1275" w:type="dxa"/>
            <w:vAlign w:val="center"/>
            <w:textDirection w:val="lrTb"/>
            <w:noWrap w:val="false"/>
          </w:tcPr>
          <w:p>
            <w:pPr>
              <w:pStyle w:val="955"/>
              <w:jc w:val="center"/>
              <w:rPr>
                <w:b/>
                <w:szCs w:val="22"/>
                <w:highlight w:val="none"/>
              </w:rPr>
            </w:pPr>
            <w:r>
              <w:rPr>
                <w:b/>
                <w:szCs w:val="22"/>
                <w:highlight w:val="none"/>
                <w:lang w:val="zh-CN" w:bidi="zh-CN"/>
              </w:rPr>
              <w:t xml:space="preserve">金额</w:t>
            </w:r>
            <w:r>
              <w:rPr>
                <w:b/>
                <w:szCs w:val="22"/>
                <w:highlight w:val="none"/>
                <w:lang w:val="zh-CN" w:bidi="zh-CN"/>
              </w:rPr>
            </w:r>
            <w:r>
              <w:rPr>
                <w:highlight w:val="none"/>
              </w:rPr>
            </w:r>
          </w:p>
        </w:tc>
        <w:tc>
          <w:tcPr>
            <w:tcW w:w="851" w:type="dxa"/>
            <w:vAlign w:val="center"/>
            <w:textDirection w:val="lrTb"/>
            <w:noWrap w:val="false"/>
          </w:tcPr>
          <w:p>
            <w:pPr>
              <w:pStyle w:val="955"/>
              <w:jc w:val="center"/>
              <w:rPr>
                <w:b/>
                <w:szCs w:val="22"/>
                <w:highlight w:val="none"/>
              </w:rPr>
            </w:pPr>
            <w:r>
              <w:rPr>
                <w:b/>
                <w:szCs w:val="22"/>
                <w:highlight w:val="none"/>
                <w:lang w:val="zh-CN" w:bidi="zh-CN"/>
              </w:rPr>
              <w:t xml:space="preserve">备注</w:t>
            </w:r>
            <w:r>
              <w:rPr>
                <w:b/>
                <w:szCs w:val="22"/>
                <w:highlight w:val="none"/>
                <w:lang w:val="zh-CN" w:bidi="zh-CN"/>
              </w:rPr>
            </w:r>
            <w:r>
              <w:rPr>
                <w:highlight w:val="none"/>
              </w:rPr>
            </w:r>
          </w:p>
        </w:tc>
      </w:tr>
      <w:tr>
        <w:trPr>
          <w:trHeight w:val="478"/>
        </w:trPr>
        <w:tc>
          <w:tcPr>
            <w:tcW w:w="602" w:type="dxa"/>
            <w:vAlign w:val="center"/>
            <w:textDirection w:val="lrTb"/>
            <w:noWrap w:val="false"/>
          </w:tcPr>
          <w:p>
            <w:pPr>
              <w:pStyle w:val="955"/>
              <w:ind w:left="8"/>
              <w:jc w:val="center"/>
              <w:rPr>
                <w:sz w:val="24"/>
                <w:szCs w:val="22"/>
                <w:highlight w:val="none"/>
              </w:rPr>
            </w:pPr>
            <w:r>
              <w:rPr>
                <w:sz w:val="24"/>
                <w:szCs w:val="22"/>
                <w:highlight w:val="none"/>
                <w:lang w:val="zh-CN" w:bidi="zh-CN"/>
              </w:rPr>
              <w:t xml:space="preserve">1</w:t>
            </w:r>
            <w:r>
              <w:rPr>
                <w:sz w:val="24"/>
                <w:szCs w:val="22"/>
                <w:highlight w:val="none"/>
                <w:lang w:val="zh-CN" w:bidi="zh-CN"/>
              </w:rPr>
            </w:r>
            <w:r>
              <w:rPr>
                <w:highlight w:val="none"/>
              </w:rPr>
            </w:r>
          </w:p>
        </w:tc>
        <w:tc>
          <w:tcPr>
            <w:tcW w:w="1774"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10"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56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0"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r>
      <w:tr>
        <w:trPr>
          <w:trHeight w:val="502"/>
        </w:trPr>
        <w:tc>
          <w:tcPr>
            <w:tcW w:w="602" w:type="dxa"/>
            <w:vAlign w:val="center"/>
            <w:textDirection w:val="lrTb"/>
            <w:noWrap w:val="false"/>
          </w:tcPr>
          <w:p>
            <w:pPr>
              <w:pStyle w:val="955"/>
              <w:ind w:left="8"/>
              <w:jc w:val="center"/>
              <w:rPr>
                <w:sz w:val="24"/>
                <w:szCs w:val="22"/>
                <w:highlight w:val="none"/>
              </w:rPr>
            </w:pPr>
            <w:r>
              <w:rPr>
                <w:sz w:val="24"/>
                <w:szCs w:val="22"/>
                <w:highlight w:val="none"/>
                <w:lang w:val="zh-CN" w:bidi="zh-CN"/>
              </w:rPr>
              <w:t xml:space="preserve">2</w:t>
            </w:r>
            <w:r>
              <w:rPr>
                <w:sz w:val="24"/>
                <w:szCs w:val="22"/>
                <w:highlight w:val="none"/>
                <w:lang w:val="zh-CN" w:bidi="zh-CN"/>
              </w:rPr>
            </w:r>
            <w:r>
              <w:rPr>
                <w:highlight w:val="none"/>
              </w:rPr>
            </w:r>
          </w:p>
        </w:tc>
        <w:tc>
          <w:tcPr>
            <w:tcW w:w="1774"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10"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56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0"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r>
      <w:tr>
        <w:trPr>
          <w:trHeight w:val="512"/>
        </w:trPr>
        <w:tc>
          <w:tcPr>
            <w:tcW w:w="602" w:type="dxa"/>
            <w:vAlign w:val="center"/>
            <w:textDirection w:val="lrTb"/>
            <w:noWrap w:val="false"/>
          </w:tcPr>
          <w:p>
            <w:pPr>
              <w:pStyle w:val="955"/>
              <w:ind w:left="8"/>
              <w:jc w:val="center"/>
              <w:rPr>
                <w:sz w:val="24"/>
                <w:szCs w:val="22"/>
                <w:highlight w:val="none"/>
              </w:rPr>
            </w:pPr>
            <w:r>
              <w:rPr>
                <w:sz w:val="24"/>
                <w:szCs w:val="22"/>
                <w:highlight w:val="none"/>
                <w:lang w:val="zh-CN" w:bidi="zh-CN"/>
              </w:rPr>
              <w:t xml:space="preserve">3</w:t>
            </w:r>
            <w:r>
              <w:rPr>
                <w:sz w:val="24"/>
                <w:szCs w:val="22"/>
                <w:highlight w:val="none"/>
                <w:lang w:val="zh-CN" w:bidi="zh-CN"/>
              </w:rPr>
            </w:r>
            <w:r>
              <w:rPr>
                <w:highlight w:val="none"/>
              </w:rPr>
            </w:r>
          </w:p>
        </w:tc>
        <w:tc>
          <w:tcPr>
            <w:tcW w:w="1774"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10"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56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0"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r>
      <w:tr>
        <w:trPr>
          <w:trHeight w:val="513"/>
        </w:trPr>
        <w:tc>
          <w:tcPr>
            <w:tcW w:w="602" w:type="dxa"/>
            <w:vAlign w:val="center"/>
            <w:textDirection w:val="lrTb"/>
            <w:noWrap w:val="false"/>
          </w:tcPr>
          <w:p>
            <w:pPr>
              <w:pStyle w:val="955"/>
              <w:ind w:left="8"/>
              <w:jc w:val="center"/>
              <w:rPr>
                <w:sz w:val="24"/>
                <w:szCs w:val="22"/>
                <w:highlight w:val="none"/>
              </w:rPr>
            </w:pPr>
            <w:r>
              <w:rPr>
                <w:sz w:val="24"/>
                <w:szCs w:val="22"/>
                <w:highlight w:val="none"/>
                <w:lang w:val="zh-CN" w:bidi="zh-CN"/>
              </w:rPr>
              <w:t xml:space="preserve">4</w:t>
            </w:r>
            <w:r>
              <w:rPr>
                <w:sz w:val="24"/>
                <w:szCs w:val="22"/>
                <w:highlight w:val="none"/>
                <w:lang w:val="zh-CN" w:bidi="zh-CN"/>
              </w:rPr>
            </w:r>
            <w:r>
              <w:rPr>
                <w:highlight w:val="none"/>
              </w:rPr>
            </w:r>
          </w:p>
        </w:tc>
        <w:tc>
          <w:tcPr>
            <w:tcW w:w="1774"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10"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56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0"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r>
      <w:tr>
        <w:trPr>
          <w:trHeight w:val="512"/>
        </w:trPr>
        <w:tc>
          <w:tcPr>
            <w:tcW w:w="602"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774"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10"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56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0"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r>
      <w:tr>
        <w:trPr>
          <w:trHeight w:val="591"/>
        </w:trPr>
        <w:tc>
          <w:tcPr>
            <w:gridSpan w:val="7"/>
            <w:tcW w:w="7123" w:type="dxa"/>
            <w:vAlign w:val="center"/>
            <w:textDirection w:val="lrTb"/>
            <w:noWrap w:val="false"/>
          </w:tcPr>
          <w:p>
            <w:pPr>
              <w:pStyle w:val="955"/>
              <w:jc w:val="center"/>
              <w:rPr>
                <w:sz w:val="26"/>
                <w:szCs w:val="22"/>
                <w:highlight w:val="none"/>
              </w:rPr>
            </w:pPr>
            <w:r>
              <w:rPr>
                <w:b/>
                <w:szCs w:val="22"/>
                <w:highlight w:val="none"/>
                <w:lang w:val="zh-CN" w:bidi="zh-CN"/>
              </w:rPr>
              <w:t xml:space="preserve">合计</w:t>
            </w:r>
            <w:r>
              <w:rPr>
                <w:sz w:val="26"/>
                <w:szCs w:val="22"/>
                <w:highlight w:val="none"/>
                <w:lang w:val="zh-CN" w:bidi="zh-CN"/>
              </w:rPr>
            </w:r>
            <w:r>
              <w:rPr>
                <w:highlight w:val="none"/>
              </w:rPr>
            </w:r>
          </w:p>
        </w:tc>
        <w:tc>
          <w:tcPr>
            <w:tcW w:w="1275"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c>
          <w:tcPr>
            <w:tcW w:w="851" w:type="dxa"/>
            <w:vAlign w:val="center"/>
            <w:textDirection w:val="lrTb"/>
            <w:noWrap w:val="false"/>
          </w:tcPr>
          <w:p>
            <w:pPr>
              <w:pStyle w:val="955"/>
              <w:jc w:val="center"/>
              <w:rPr>
                <w:sz w:val="26"/>
                <w:szCs w:val="22"/>
                <w:highlight w:val="none"/>
              </w:rPr>
            </w:pPr>
            <w:r>
              <w:rPr>
                <w:sz w:val="26"/>
                <w:szCs w:val="22"/>
                <w:highlight w:val="none"/>
                <w:lang w:val="zh-CN" w:bidi="zh-CN"/>
              </w:rPr>
            </w:r>
            <w:r>
              <w:rPr>
                <w:highlight w:val="none"/>
              </w:rPr>
            </w:r>
          </w:p>
        </w:tc>
      </w:tr>
    </w:tbl>
    <w:p>
      <w:pPr>
        <w:pStyle w:val="955"/>
        <w:spacing w:line="360" w:lineRule="auto"/>
        <w:rPr>
          <w:rFonts w:ascii="Calibri" w:hAnsi="Calibri"/>
          <w:b/>
          <w:sz w:val="24"/>
          <w:szCs w:val="22"/>
          <w:highlight w:val="none"/>
        </w:rPr>
      </w:pPr>
      <w:r>
        <w:rPr>
          <w:sz w:val="26"/>
          <w:szCs w:val="22"/>
          <w:highlight w:val="none"/>
          <w:lang w:val="zh-CN" w:bidi="zh-CN"/>
        </w:rPr>
        <w:br w:type="page" w:clear="all"/>
      </w:r>
      <w:r>
        <w:rPr>
          <w:rFonts w:hint="eastAsia" w:ascii="宋体" w:hAnsi="宋体" w:cs="宋体"/>
          <w:b/>
          <w:sz w:val="30"/>
          <w:szCs w:val="30"/>
          <w:highlight w:val="none"/>
        </w:rPr>
        <w:t xml:space="preserve">附件</w:t>
      </w:r>
      <w:r>
        <w:rPr>
          <w:rFonts w:hint="eastAsia" w:ascii="宋体" w:hAnsi="宋体" w:cs="宋体"/>
          <w:b/>
          <w:sz w:val="30"/>
          <w:szCs w:val="30"/>
          <w:highlight w:val="none"/>
          <w:lang w:val="en-US" w:eastAsia="zh-CN"/>
        </w:rPr>
        <w:t xml:space="preserve">11</w:t>
      </w:r>
      <w:r>
        <w:rPr>
          <w:rFonts w:hint="eastAsia" w:ascii="宋体" w:hAnsi="宋体" w:cs="宋体"/>
          <w:b/>
          <w:sz w:val="30"/>
          <w:szCs w:val="30"/>
          <w:highlight w:val="none"/>
        </w:rPr>
        <w:t xml:space="preserve"> </w:t>
      </w:r>
      <w:r>
        <w:rPr>
          <w:rFonts w:hint="eastAsia" w:ascii="宋体" w:hAnsi="宋体" w:cs="仿宋_GB2312"/>
          <w:sz w:val="32"/>
          <w:szCs w:val="32"/>
          <w:highlight w:val="none"/>
        </w:rPr>
        <w:t xml:space="preserve"> </w:t>
      </w:r>
      <w:r>
        <w:rPr>
          <w:rFonts w:hint="eastAsia" w:ascii="Calibri" w:hAnsi="Calibri"/>
          <w:b/>
          <w:sz w:val="24"/>
          <w:szCs w:val="22"/>
          <w:highlight w:val="none"/>
        </w:rPr>
        <w:t xml:space="preserve"> </w:t>
      </w:r>
      <w:r>
        <w:rPr>
          <w:rFonts w:ascii="Calibri" w:hAnsi="Calibri"/>
          <w:b/>
          <w:sz w:val="24"/>
          <w:szCs w:val="22"/>
          <w:highlight w:val="none"/>
        </w:rPr>
      </w:r>
      <w:r>
        <w:rPr>
          <w:highlight w:val="none"/>
        </w:rPr>
      </w:r>
    </w:p>
    <w:p>
      <w:pPr>
        <w:pStyle w:val="955"/>
        <w:jc w:val="center"/>
        <w:spacing w:line="360" w:lineRule="auto"/>
        <w:rPr>
          <w:rFonts w:ascii="宋体" w:hAnsi="宋体" w:cs="仿宋_GB2312"/>
          <w:b/>
          <w:bCs/>
          <w:sz w:val="24"/>
          <w:szCs w:val="22"/>
          <w:highlight w:val="none"/>
        </w:rPr>
      </w:pPr>
      <w:r>
        <w:rPr>
          <w:rFonts w:hint="eastAsia" w:ascii="宋体" w:hAnsi="宋体" w:cs="仿宋_GB2312"/>
          <w:b/>
          <w:bCs/>
          <w:sz w:val="24"/>
          <w:szCs w:val="22"/>
          <w:highlight w:val="none"/>
        </w:rPr>
        <w:t xml:space="preserve">中小企业声明函、残疾人福利性单位声明函或监狱和戒毒企业证明材料。</w:t>
      </w:r>
      <w:r>
        <w:rPr>
          <w:rFonts w:ascii="宋体" w:hAnsi="宋体" w:cs="仿宋_GB2312"/>
          <w:b/>
          <w:bCs/>
          <w:sz w:val="24"/>
          <w:szCs w:val="22"/>
          <w:highlight w:val="none"/>
        </w:rPr>
      </w:r>
      <w:r>
        <w:rPr>
          <w:highlight w:val="none"/>
        </w:rPr>
      </w:r>
    </w:p>
    <w:p>
      <w:pPr>
        <w:pStyle w:val="955"/>
        <w:ind w:firstLine="280"/>
        <w:jc w:val="center"/>
        <w:spacing w:after="120"/>
        <w:rPr>
          <w:rFonts w:ascii="宋体" w:hAnsi="宋体" w:cs="宋体"/>
          <w:b/>
          <w:sz w:val="28"/>
          <w:szCs w:val="28"/>
          <w:highlight w:val="none"/>
        </w:rPr>
      </w:pPr>
      <w:r>
        <w:rPr>
          <w:rFonts w:hint="eastAsia" w:ascii="宋体" w:hAnsi="宋体" w:cs="宋体"/>
          <w:b/>
          <w:sz w:val="28"/>
          <w:szCs w:val="28"/>
          <w:highlight w:val="none"/>
          <w:lang w:bidi="ar"/>
        </w:rPr>
        <w:t xml:space="preserve">（一）中小企业声明函</w:t>
      </w:r>
      <w:r>
        <w:rPr>
          <w:rFonts w:ascii="宋体" w:hAnsi="宋体" w:cs="宋体"/>
          <w:b/>
          <w:sz w:val="28"/>
          <w:szCs w:val="28"/>
          <w:highlight w:val="none"/>
          <w:lang w:bidi="ar"/>
        </w:rPr>
      </w:r>
      <w:r>
        <w:rPr>
          <w:highlight w:val="none"/>
        </w:rPr>
      </w:r>
    </w:p>
    <w:p>
      <w:pPr>
        <w:pStyle w:val="955"/>
        <w:ind w:firstLine="480"/>
        <w:spacing w:line="440" w:lineRule="exact"/>
        <w:rPr>
          <w:rFonts w:ascii="宋体" w:hAnsi="宋体" w:cs="宋体"/>
          <w:sz w:val="24"/>
          <w:szCs w:val="22"/>
          <w:highlight w:val="none"/>
        </w:rPr>
      </w:pPr>
      <w:r>
        <w:rPr>
          <w:rFonts w:hint="eastAsia" w:ascii="宋体" w:hAnsi="宋体" w:cs="宋体"/>
          <w:sz w:val="24"/>
          <w:szCs w:val="22"/>
          <w:highlight w:val="none"/>
        </w:rPr>
        <w:t xml:space="preserve">本公司（ 联合体 ）郑重声明，根据《政府采购促进中小企业发展管理办法》（财库﹝2020﹞46 号）的规定，本公司（ 联合体 ）参加 </w:t>
      </w:r>
      <w:r>
        <w:rPr>
          <w:rFonts w:hint="eastAsia" w:ascii="宋体" w:hAnsi="宋体" w:cs="宋体"/>
          <w:i/>
          <w:iCs/>
          <w:sz w:val="24"/>
          <w:szCs w:val="22"/>
          <w:highlight w:val="none"/>
          <w:u w:val="single"/>
        </w:rPr>
        <w:t xml:space="preserve"> （ 采购单位名称 ） </w:t>
      </w:r>
      <w:r>
        <w:rPr>
          <w:rFonts w:hint="eastAsia" w:ascii="宋体" w:hAnsi="宋体" w:cs="宋体"/>
          <w:sz w:val="24"/>
          <w:szCs w:val="22"/>
          <w:highlight w:val="none"/>
        </w:rPr>
        <w:t xml:space="preserve">的</w:t>
      </w:r>
      <w:r>
        <w:rPr>
          <w:rFonts w:hint="eastAsia" w:ascii="宋体" w:hAnsi="宋体" w:cs="宋体"/>
          <w:sz w:val="24"/>
          <w:szCs w:val="22"/>
          <w:highlight w:val="none"/>
          <w:u w:val="single"/>
        </w:rPr>
        <w:t xml:space="preserve"> </w:t>
      </w:r>
      <w:r>
        <w:rPr>
          <w:rFonts w:hint="eastAsia" w:ascii="宋体" w:hAnsi="宋体" w:cs="宋体"/>
          <w:i/>
          <w:iCs/>
          <w:sz w:val="24"/>
          <w:szCs w:val="22"/>
          <w:highlight w:val="none"/>
          <w:u w:val="single"/>
        </w:rPr>
        <w:t xml:space="preserve">（ 项目名称 ）</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采购活动，工程的施工单位全部为符合政策要求的中小企业（或者：服务全部由符合政策要求的中小企业承接）。相关企业 （含联合体中的中小企业、签订分包意向协议的中小企业 ）的具体情况如下：</w:t>
      </w:r>
      <w:r>
        <w:rPr>
          <w:rFonts w:ascii="宋体" w:hAnsi="宋体" w:cs="宋体"/>
          <w:sz w:val="24"/>
          <w:szCs w:val="22"/>
          <w:highlight w:val="none"/>
        </w:rPr>
      </w:r>
      <w:r>
        <w:rPr>
          <w:highlight w:val="none"/>
        </w:rPr>
      </w:r>
    </w:p>
    <w:p>
      <w:pPr>
        <w:pStyle w:val="955"/>
        <w:ind w:firstLine="480"/>
        <w:spacing w:line="440" w:lineRule="exact"/>
        <w:rPr>
          <w:rFonts w:ascii="宋体" w:hAnsi="宋体" w:cs="宋体"/>
          <w:sz w:val="24"/>
          <w:szCs w:val="22"/>
          <w:highlight w:val="none"/>
        </w:rPr>
      </w:pPr>
      <w:r>
        <w:rPr>
          <w:rFonts w:hint="eastAsia" w:ascii="宋体" w:hAnsi="宋体" w:cs="宋体"/>
          <w:sz w:val="24"/>
          <w:szCs w:val="22"/>
          <w:highlight w:val="none"/>
        </w:rPr>
        <w:t xml:space="preserve">1.</w:t>
      </w:r>
      <w:r>
        <w:rPr>
          <w:rFonts w:hint="eastAsia" w:ascii="宋体" w:hAnsi="宋体" w:cs="宋体"/>
          <w:sz w:val="24"/>
          <w:szCs w:val="22"/>
          <w:highlight w:val="none"/>
          <w:u w:val="single"/>
        </w:rPr>
        <w:t xml:space="preserve"> </w:t>
      </w:r>
      <w:r>
        <w:rPr>
          <w:rFonts w:hint="eastAsia" w:ascii="宋体" w:hAnsi="宋体" w:cs="宋体"/>
          <w:i/>
          <w:iCs/>
          <w:sz w:val="24"/>
          <w:szCs w:val="22"/>
          <w:highlight w:val="none"/>
          <w:u w:val="single"/>
        </w:rPr>
        <w:t xml:space="preserve">（ 标的名称 ）</w:t>
      </w:r>
      <w:r>
        <w:rPr>
          <w:rFonts w:hint="eastAsia" w:ascii="宋体" w:hAnsi="宋体" w:cs="宋体"/>
          <w:sz w:val="24"/>
          <w:szCs w:val="22"/>
          <w:highlight w:val="none"/>
        </w:rPr>
        <w:t xml:space="preserve"> ，属于</w:t>
      </w:r>
      <w:r>
        <w:rPr>
          <w:rFonts w:hint="eastAsia" w:ascii="宋体" w:hAnsi="宋体" w:cs="宋体"/>
          <w:sz w:val="24"/>
          <w:szCs w:val="22"/>
          <w:highlight w:val="none"/>
          <w:u w:val="single"/>
        </w:rPr>
        <w:t xml:space="preserve"> 工业 </w:t>
      </w:r>
      <w:r>
        <w:rPr>
          <w:rFonts w:hint="eastAsia" w:ascii="宋体" w:hAnsi="宋体" w:cs="宋体"/>
          <w:sz w:val="24"/>
          <w:szCs w:val="22"/>
          <w:highlight w:val="none"/>
        </w:rPr>
        <w:t xml:space="preserve">；承建（承接）企业为</w:t>
      </w:r>
      <w:r>
        <w:rPr>
          <w:rFonts w:hint="eastAsia" w:ascii="宋体" w:hAnsi="宋体" w:cs="宋体"/>
          <w:sz w:val="24"/>
          <w:szCs w:val="22"/>
          <w:highlight w:val="none"/>
          <w:u w:val="single"/>
        </w:rPr>
        <w:t xml:space="preserve">  </w:t>
      </w:r>
      <w:r>
        <w:rPr>
          <w:rFonts w:hint="eastAsia" w:ascii="宋体" w:hAnsi="宋体" w:cs="宋体"/>
          <w:i/>
          <w:iCs/>
          <w:sz w:val="24"/>
          <w:szCs w:val="22"/>
          <w:highlight w:val="none"/>
          <w:u w:val="single"/>
        </w:rPr>
        <w:t xml:space="preserve">（ 企业名称 ）</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，从业人员</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人，营业收入为</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万元，资产总额为</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万元¹，属于</w:t>
      </w:r>
      <w:r>
        <w:rPr>
          <w:rFonts w:hint="eastAsia" w:ascii="宋体" w:hAnsi="宋体" w:cs="宋体"/>
          <w:sz w:val="24"/>
          <w:szCs w:val="22"/>
          <w:highlight w:val="none"/>
          <w:u w:val="single"/>
        </w:rPr>
        <w:t xml:space="preserve"> </w:t>
      </w:r>
      <w:r>
        <w:rPr>
          <w:rFonts w:hint="eastAsia" w:ascii="宋体" w:hAnsi="宋体" w:cs="宋体"/>
          <w:i/>
          <w:iCs/>
          <w:sz w:val="24"/>
          <w:szCs w:val="22"/>
          <w:highlight w:val="none"/>
          <w:u w:val="single"/>
        </w:rPr>
        <w:t xml:space="preserve">（ 中型企业/小型企业/微型企业 ）            </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w:t>
      </w:r>
      <w:r>
        <w:rPr>
          <w:rFonts w:ascii="宋体" w:hAnsi="宋体" w:cs="宋体"/>
          <w:sz w:val="24"/>
          <w:szCs w:val="22"/>
          <w:highlight w:val="none"/>
        </w:rPr>
      </w:r>
      <w:r>
        <w:rPr>
          <w:highlight w:val="none"/>
        </w:rPr>
      </w:r>
    </w:p>
    <w:p>
      <w:pPr>
        <w:pStyle w:val="955"/>
        <w:ind w:firstLine="480"/>
        <w:spacing w:line="440" w:lineRule="exact"/>
        <w:rPr>
          <w:rFonts w:ascii="宋体" w:hAnsi="宋体" w:cs="宋体"/>
          <w:sz w:val="24"/>
          <w:szCs w:val="22"/>
          <w:highlight w:val="none"/>
        </w:rPr>
      </w:pPr>
      <w:r>
        <w:rPr>
          <w:rFonts w:hint="eastAsia" w:ascii="宋体" w:hAnsi="宋体" w:cs="宋体"/>
          <w:sz w:val="24"/>
          <w:szCs w:val="22"/>
          <w:highlight w:val="none"/>
        </w:rPr>
        <w:t xml:space="preserve">2.</w:t>
      </w:r>
      <w:r>
        <w:rPr>
          <w:rFonts w:hint="eastAsia" w:ascii="宋体" w:hAnsi="宋体" w:cs="宋体"/>
          <w:sz w:val="24"/>
          <w:szCs w:val="22"/>
          <w:highlight w:val="none"/>
          <w:u w:val="single"/>
        </w:rPr>
        <w:t xml:space="preserve"> </w:t>
      </w:r>
      <w:r>
        <w:rPr>
          <w:rFonts w:hint="eastAsia" w:ascii="宋体" w:hAnsi="宋体" w:cs="宋体"/>
          <w:i/>
          <w:iCs/>
          <w:sz w:val="24"/>
          <w:szCs w:val="22"/>
          <w:highlight w:val="none"/>
          <w:u w:val="single"/>
        </w:rPr>
        <w:t xml:space="preserve">（ 标的名称 ）</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，属于</w:t>
      </w:r>
      <w:r>
        <w:rPr>
          <w:rFonts w:hint="eastAsia" w:ascii="宋体" w:hAnsi="宋体" w:cs="宋体"/>
          <w:sz w:val="24"/>
          <w:szCs w:val="22"/>
          <w:highlight w:val="none"/>
          <w:u w:val="single"/>
        </w:rPr>
        <w:t xml:space="preserve">   工业  </w:t>
      </w:r>
      <w:r>
        <w:rPr>
          <w:rFonts w:hint="eastAsia" w:ascii="宋体" w:hAnsi="宋体" w:cs="宋体"/>
          <w:sz w:val="24"/>
          <w:szCs w:val="22"/>
          <w:highlight w:val="none"/>
        </w:rPr>
        <w:t xml:space="preserve">；承建（承接）企业为</w:t>
      </w:r>
      <w:r>
        <w:rPr>
          <w:rFonts w:hint="eastAsia" w:ascii="宋体" w:hAnsi="宋体" w:cs="宋体"/>
          <w:sz w:val="24"/>
          <w:szCs w:val="22"/>
          <w:highlight w:val="none"/>
          <w:u w:val="single"/>
        </w:rPr>
        <w:t xml:space="preserve"> </w:t>
      </w:r>
      <w:r>
        <w:rPr>
          <w:rFonts w:hint="eastAsia" w:ascii="宋体" w:hAnsi="宋体" w:cs="宋体"/>
          <w:i/>
          <w:iCs/>
          <w:sz w:val="24"/>
          <w:szCs w:val="22"/>
          <w:highlight w:val="none"/>
          <w:u w:val="single"/>
        </w:rPr>
        <w:t xml:space="preserve">（ 企业名称 ）</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，从业人员</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人，营业收入为</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万元，资产总额为</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万元，属于</w:t>
      </w:r>
      <w:r>
        <w:rPr>
          <w:rFonts w:hint="eastAsia" w:ascii="宋体" w:hAnsi="宋体" w:cs="宋体"/>
          <w:sz w:val="24"/>
          <w:szCs w:val="22"/>
          <w:highlight w:val="none"/>
          <w:u w:val="single"/>
        </w:rPr>
        <w:t xml:space="preserve"> </w:t>
      </w:r>
      <w:r>
        <w:rPr>
          <w:rFonts w:hint="eastAsia" w:ascii="宋体" w:hAnsi="宋体" w:cs="宋体"/>
          <w:i/>
          <w:iCs/>
          <w:sz w:val="24"/>
          <w:szCs w:val="22"/>
          <w:highlight w:val="none"/>
          <w:u w:val="single"/>
        </w:rPr>
        <w:t xml:space="preserve">（ 中型企业/小型企业/微型企业 ）   </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w:t>
      </w:r>
      <w:r>
        <w:rPr>
          <w:rFonts w:ascii="宋体" w:hAnsi="宋体" w:cs="宋体"/>
          <w:sz w:val="24"/>
          <w:szCs w:val="22"/>
          <w:highlight w:val="none"/>
        </w:rPr>
      </w:r>
      <w:r>
        <w:rPr>
          <w:highlight w:val="none"/>
        </w:rPr>
      </w:r>
    </w:p>
    <w:p>
      <w:pPr>
        <w:pStyle w:val="955"/>
        <w:ind w:firstLine="480"/>
        <w:spacing w:line="440" w:lineRule="exact"/>
        <w:rPr>
          <w:rFonts w:ascii="宋体" w:hAnsi="宋体" w:cs="宋体"/>
          <w:sz w:val="24"/>
          <w:szCs w:val="22"/>
          <w:highlight w:val="none"/>
        </w:rPr>
      </w:pPr>
      <w:r>
        <w:rPr>
          <w:rFonts w:hint="eastAsia" w:ascii="宋体" w:hAnsi="宋体" w:cs="宋体"/>
          <w:sz w:val="24"/>
          <w:szCs w:val="22"/>
          <w:highlight w:val="none"/>
        </w:rPr>
        <w:t xml:space="preserve">……</w:t>
      </w:r>
      <w:r>
        <w:rPr>
          <w:rFonts w:ascii="宋体" w:hAnsi="宋体" w:cs="宋体"/>
          <w:sz w:val="24"/>
          <w:szCs w:val="22"/>
          <w:highlight w:val="none"/>
        </w:rPr>
      </w:r>
      <w:r>
        <w:rPr>
          <w:highlight w:val="none"/>
        </w:rPr>
      </w:r>
    </w:p>
    <w:p>
      <w:pPr>
        <w:pStyle w:val="955"/>
        <w:ind w:firstLine="480"/>
        <w:spacing w:line="440" w:lineRule="exact"/>
        <w:rPr>
          <w:rFonts w:ascii="宋体" w:hAnsi="宋体" w:cs="宋体"/>
          <w:sz w:val="24"/>
          <w:szCs w:val="22"/>
          <w:highlight w:val="none"/>
        </w:rPr>
      </w:pPr>
      <w:r>
        <w:rPr>
          <w:rFonts w:hint="eastAsia" w:ascii="宋体" w:hAnsi="宋体" w:cs="宋体"/>
          <w:sz w:val="24"/>
          <w:szCs w:val="22"/>
          <w:highlight w:val="none"/>
        </w:rPr>
        <w:t xml:space="preserve">以上企业，不属于大企业的分支机构，不存在控股股东为大企业的情形，也不存在与大企业的负责人为同一人的情形。</w:t>
      </w:r>
      <w:r>
        <w:rPr>
          <w:rFonts w:ascii="宋体" w:hAnsi="宋体" w:cs="宋体"/>
          <w:sz w:val="24"/>
          <w:szCs w:val="22"/>
          <w:highlight w:val="none"/>
        </w:rPr>
      </w:r>
      <w:r>
        <w:rPr>
          <w:highlight w:val="none"/>
        </w:rPr>
      </w:r>
    </w:p>
    <w:p>
      <w:pPr>
        <w:pStyle w:val="955"/>
        <w:ind w:firstLine="480"/>
        <w:spacing w:line="440" w:lineRule="exact"/>
        <w:rPr>
          <w:rFonts w:ascii="宋体" w:hAnsi="宋体" w:cs="宋体"/>
          <w:sz w:val="24"/>
          <w:szCs w:val="22"/>
          <w:highlight w:val="none"/>
        </w:rPr>
      </w:pPr>
      <w:r>
        <w:rPr>
          <w:rFonts w:hint="eastAsia" w:ascii="宋体" w:hAnsi="宋体" w:cs="宋体"/>
          <w:sz w:val="24"/>
          <w:szCs w:val="22"/>
          <w:highlight w:val="none"/>
        </w:rPr>
        <w:t xml:space="preserve">本企业对上述声明内容的真实性负责。如有虚假，将依法承担相应责任。</w:t>
      </w:r>
      <w:r>
        <w:rPr>
          <w:rFonts w:ascii="宋体" w:hAnsi="宋体" w:cs="宋体"/>
          <w:sz w:val="24"/>
          <w:szCs w:val="22"/>
          <w:highlight w:val="none"/>
        </w:rPr>
      </w:r>
      <w:r>
        <w:rPr>
          <w:highlight w:val="none"/>
        </w:rPr>
      </w:r>
    </w:p>
    <w:p>
      <w:pPr>
        <w:pStyle w:val="955"/>
        <w:ind w:firstLine="480"/>
        <w:spacing w:line="440" w:lineRule="exact"/>
        <w:rPr>
          <w:rFonts w:ascii="宋体" w:hAnsi="宋体" w:cs="宋体"/>
          <w:sz w:val="24"/>
          <w:szCs w:val="22"/>
          <w:highlight w:val="none"/>
        </w:rPr>
      </w:pPr>
      <w:r>
        <w:rPr>
          <w:rFonts w:ascii="宋体" w:hAnsi="宋体" w:cs="宋体"/>
          <w:sz w:val="24"/>
          <w:szCs w:val="22"/>
          <w:highlight w:val="none"/>
        </w:rPr>
      </w:r>
      <w:r>
        <w:rPr>
          <w:highlight w:val="none"/>
        </w:rPr>
      </w:r>
    </w:p>
    <w:p>
      <w:pPr>
        <w:pStyle w:val="955"/>
        <w:ind w:firstLine="4320"/>
        <w:spacing w:line="440" w:lineRule="exact"/>
        <w:rPr>
          <w:rFonts w:ascii="宋体" w:hAnsi="宋体" w:cs="宋体"/>
          <w:sz w:val="24"/>
          <w:szCs w:val="22"/>
          <w:highlight w:val="none"/>
        </w:rPr>
      </w:pPr>
      <w:r>
        <w:rPr>
          <w:rFonts w:hint="eastAsia" w:ascii="宋体" w:hAnsi="宋体" w:cs="宋体"/>
          <w:sz w:val="24"/>
          <w:szCs w:val="22"/>
          <w:highlight w:val="none"/>
        </w:rPr>
        <w:t xml:space="preserve">企业名称（盖章）：</w:t>
      </w:r>
      <w:r>
        <w:rPr>
          <w:rFonts w:ascii="宋体" w:hAnsi="宋体" w:cs="宋体"/>
          <w:sz w:val="24"/>
          <w:szCs w:val="22"/>
          <w:highlight w:val="none"/>
        </w:rPr>
      </w:r>
      <w:r>
        <w:rPr>
          <w:highlight w:val="none"/>
        </w:rPr>
      </w:r>
    </w:p>
    <w:p>
      <w:pPr>
        <w:pStyle w:val="955"/>
        <w:ind w:firstLine="4320"/>
        <w:spacing w:line="440" w:lineRule="exact"/>
        <w:rPr>
          <w:rFonts w:ascii="宋体" w:hAnsi="宋体" w:cs="宋体"/>
          <w:sz w:val="24"/>
          <w:szCs w:val="22"/>
          <w:highlight w:val="none"/>
        </w:rPr>
      </w:pPr>
      <w:r>
        <w:rPr>
          <w:rFonts w:hint="eastAsia" w:ascii="宋体" w:hAnsi="宋体" w:cs="宋体"/>
          <w:sz w:val="24"/>
          <w:szCs w:val="22"/>
          <w:highlight w:val="none"/>
        </w:rPr>
        <w:t xml:space="preserve">日 期：</w:t>
      </w:r>
      <w:r>
        <w:rPr>
          <w:rFonts w:ascii="宋体" w:hAnsi="宋体" w:cs="宋体"/>
          <w:sz w:val="24"/>
          <w:szCs w:val="22"/>
          <w:highlight w:val="none"/>
        </w:rPr>
      </w:r>
      <w:r>
        <w:rPr>
          <w:highlight w:val="none"/>
        </w:rPr>
      </w:r>
    </w:p>
    <w:p>
      <w:pPr>
        <w:pStyle w:val="955"/>
        <w:ind w:firstLine="420"/>
        <w:jc w:val="left"/>
        <w:spacing w:line="440" w:lineRule="exact"/>
        <w:rPr>
          <w:rFonts w:ascii="Calibri" w:hAnsi="Calibri"/>
          <w:sz w:val="24"/>
          <w:szCs w:val="22"/>
          <w:highlight w:val="none"/>
        </w:rPr>
      </w:pPr>
      <w:r>
        <w:rPr>
          <w:rFonts w:hint="eastAsia" w:ascii="Calibri" w:hAnsi="Calibri" w:cs="宋体"/>
          <w:szCs w:val="22"/>
          <w:highlight w:val="none"/>
          <w:lang w:bidi="ar"/>
        </w:rPr>
        <w:t xml:space="preserve">注</w:t>
      </w:r>
      <w:r>
        <w:rPr>
          <w:rFonts w:hint="eastAsia" w:ascii="Calibri" w:hAnsi="Calibri" w:cs="宋体"/>
          <w:sz w:val="24"/>
          <w:szCs w:val="22"/>
          <w:highlight w:val="none"/>
          <w:lang w:bidi="ar"/>
        </w:rPr>
        <w:t xml:space="preserve">：</w:t>
      </w:r>
      <w:r>
        <w:rPr>
          <w:rFonts w:ascii="Calibri" w:hAnsi="Calibri"/>
          <w:sz w:val="24"/>
          <w:szCs w:val="22"/>
          <w:highlight w:val="none"/>
          <w:lang w:bidi="ar"/>
        </w:rPr>
        <w:t xml:space="preserve">1</w:t>
      </w:r>
      <w:r>
        <w:rPr>
          <w:rFonts w:hint="eastAsia" w:ascii="Calibri" w:hAnsi="Calibri" w:cs="宋体"/>
          <w:sz w:val="24"/>
          <w:szCs w:val="22"/>
          <w:highlight w:val="none"/>
          <w:lang w:bidi="ar"/>
        </w:rPr>
        <w:t xml:space="preserve">、企业划分详见《工业和信息化部、国家统计局、国家发展和改革委员会、财政部关于印发中小企业划型标准规定的通知》</w:t>
      </w:r>
      <w:r>
        <w:rPr>
          <w:rFonts w:ascii="Calibri" w:hAnsi="Calibri"/>
          <w:sz w:val="24"/>
          <w:szCs w:val="22"/>
          <w:highlight w:val="none"/>
          <w:lang w:bidi="ar"/>
        </w:rPr>
        <w:t xml:space="preserve">(</w:t>
      </w:r>
      <w:r>
        <w:rPr>
          <w:rFonts w:hint="eastAsia" w:ascii="Calibri" w:hAnsi="Calibri" w:cs="宋体"/>
          <w:sz w:val="24"/>
          <w:szCs w:val="22"/>
          <w:highlight w:val="none"/>
          <w:lang w:bidi="ar"/>
        </w:rPr>
        <w:t xml:space="preserve">工信部联企业</w:t>
      </w:r>
      <w:r>
        <w:rPr>
          <w:rFonts w:ascii="Calibri" w:hAnsi="Calibri"/>
          <w:sz w:val="24"/>
          <w:szCs w:val="22"/>
          <w:highlight w:val="none"/>
          <w:lang w:bidi="ar"/>
        </w:rPr>
        <w:t xml:space="preserve">[2011]300</w:t>
      </w:r>
      <w:r>
        <w:rPr>
          <w:rFonts w:hint="eastAsia" w:ascii="Calibri" w:hAnsi="Calibri" w:cs="宋体"/>
          <w:sz w:val="24"/>
          <w:szCs w:val="22"/>
          <w:highlight w:val="none"/>
          <w:lang w:bidi="ar"/>
        </w:rPr>
        <w:t xml:space="preserve">号</w:t>
      </w:r>
      <w:r>
        <w:rPr>
          <w:rFonts w:ascii="Calibri" w:hAnsi="Calibri"/>
          <w:sz w:val="24"/>
          <w:szCs w:val="22"/>
          <w:highlight w:val="none"/>
          <w:lang w:bidi="ar"/>
        </w:rPr>
        <w:t xml:space="preserve">)</w:t>
      </w:r>
      <w:r>
        <w:rPr>
          <w:rFonts w:hint="eastAsia" w:ascii="Calibri" w:hAnsi="Calibri" w:cs="宋体"/>
          <w:sz w:val="24"/>
          <w:szCs w:val="22"/>
          <w:highlight w:val="none"/>
          <w:lang w:bidi="ar"/>
        </w:rPr>
        <w:t xml:space="preserve">规定的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Calibri" w:hAnsi="Calibri"/>
          <w:sz w:val="24"/>
          <w:szCs w:val="22"/>
          <w:highlight w:val="none"/>
        </w:rPr>
      </w:r>
      <w:r>
        <w:rPr>
          <w:highlight w:val="none"/>
        </w:rPr>
      </w:r>
    </w:p>
    <w:p>
      <w:pPr>
        <w:pStyle w:val="955"/>
        <w:ind w:firstLine="480"/>
        <w:jc w:val="left"/>
        <w:spacing w:line="440" w:lineRule="exact"/>
        <w:rPr>
          <w:rFonts w:ascii="宋体" w:hAnsi="宋体"/>
          <w:sz w:val="24"/>
          <w:szCs w:val="22"/>
          <w:highlight w:val="none"/>
        </w:rPr>
      </w:pPr>
      <w:r>
        <w:rPr>
          <w:rFonts w:ascii="Calibri" w:hAnsi="Calibri"/>
          <w:sz w:val="24"/>
          <w:szCs w:val="22"/>
          <w:highlight w:val="none"/>
          <w:lang w:bidi="ar"/>
        </w:rPr>
        <w:t xml:space="preserve">2</w:t>
      </w:r>
      <w:r>
        <w:rPr>
          <w:rFonts w:hint="eastAsia" w:ascii="Calibri" w:hAnsi="Calibri" w:cs="宋体"/>
          <w:sz w:val="24"/>
          <w:szCs w:val="22"/>
          <w:highlight w:val="none"/>
          <w:lang w:bidi="ar"/>
        </w:rPr>
        <w:t xml:space="preserve">、从业人员、营业收入、资产总额填报上一年度数据，无上一年度数据的新成立企业可不填报。</w:t>
      </w:r>
      <w:r>
        <w:rPr>
          <w:rFonts w:ascii="宋体" w:hAnsi="宋体"/>
          <w:sz w:val="24"/>
          <w:szCs w:val="22"/>
          <w:highlight w:val="none"/>
        </w:rPr>
      </w:r>
      <w:r>
        <w:rPr>
          <w:highlight w:val="none"/>
        </w:rPr>
      </w:r>
    </w:p>
    <w:p>
      <w:pPr>
        <w:pStyle w:val="955"/>
        <w:spacing w:line="300" w:lineRule="auto"/>
        <w:rPr>
          <w:rFonts w:ascii="Calibri" w:hAnsi="Calibri" w:eastAsia="方正黑体_GBK"/>
          <w:sz w:val="32"/>
          <w:szCs w:val="32"/>
          <w:highlight w:val="none"/>
        </w:rPr>
        <w:outlineLvl w:val="0"/>
      </w:pPr>
      <w:r>
        <w:rPr>
          <w:rFonts w:ascii="Calibri" w:hAnsi="Calibri" w:eastAsia="方正黑体_GBK"/>
          <w:sz w:val="32"/>
          <w:szCs w:val="32"/>
          <w:highlight w:val="none"/>
        </w:rPr>
      </w:r>
      <w:r>
        <w:rPr>
          <w:highlight w:val="none"/>
        </w:rPr>
      </w:r>
    </w:p>
    <w:p>
      <w:pPr>
        <w:pStyle w:val="955"/>
        <w:jc w:val="center"/>
        <w:spacing w:line="460" w:lineRule="exact"/>
        <w:rPr>
          <w:rFonts w:ascii="宋体" w:hAnsi="宋体" w:cs="宋体"/>
          <w:b/>
          <w:sz w:val="32"/>
          <w:szCs w:val="32"/>
          <w:highlight w:val="none"/>
        </w:rPr>
      </w:pPr>
      <w:r>
        <w:rPr>
          <w:rFonts w:ascii="宋体" w:hAnsi="宋体" w:cs="宋体"/>
          <w:b/>
          <w:sz w:val="32"/>
          <w:szCs w:val="32"/>
          <w:highlight w:val="none"/>
          <w:lang w:bidi="ar"/>
        </w:rPr>
        <w:br w:type="page" w:clear="all"/>
      </w:r>
      <w:r>
        <w:rPr>
          <w:rFonts w:hint="eastAsia" w:ascii="宋体" w:hAnsi="宋体" w:cs="宋体"/>
          <w:b/>
          <w:sz w:val="32"/>
          <w:szCs w:val="32"/>
          <w:highlight w:val="none"/>
          <w:lang w:bidi="ar"/>
        </w:rPr>
        <w:t xml:space="preserve">（二）残疾人福利性单位声明函</w:t>
      </w:r>
      <w:r>
        <w:rPr>
          <w:rFonts w:ascii="宋体" w:hAnsi="宋体" w:cs="宋体"/>
          <w:b/>
          <w:sz w:val="32"/>
          <w:szCs w:val="32"/>
          <w:highlight w:val="none"/>
        </w:rPr>
      </w:r>
      <w:r>
        <w:rPr>
          <w:highlight w:val="none"/>
        </w:rPr>
      </w:r>
    </w:p>
    <w:p>
      <w:pPr>
        <w:pStyle w:val="955"/>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highlight w:val="none"/>
          <w:u w:val="single"/>
          <w:lang w:bidi="ar"/>
        </w:rPr>
        <w:t xml:space="preserve">       </w:t>
      </w:r>
      <w:r>
        <w:rPr>
          <w:rFonts w:hint="eastAsia" w:ascii="宋体" w:hAnsi="宋体" w:cs="宋体"/>
          <w:sz w:val="28"/>
          <w:szCs w:val="28"/>
          <w:highlight w:val="none"/>
          <w:lang w:bidi="ar"/>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 w:val="28"/>
          <w:szCs w:val="28"/>
          <w:highlight w:val="none"/>
        </w:rPr>
      </w:r>
      <w:r>
        <w:rPr>
          <w:highlight w:val="none"/>
        </w:rPr>
      </w:r>
    </w:p>
    <w:p>
      <w:pPr>
        <w:pStyle w:val="955"/>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本单位对上述声明的真实性负责。如有虚假，将依法承担相应责任。</w:t>
      </w:r>
      <w:r>
        <w:rPr>
          <w:rFonts w:ascii="宋体" w:hAnsi="宋体" w:cs="宋体"/>
          <w:sz w:val="28"/>
          <w:szCs w:val="28"/>
          <w:highlight w:val="none"/>
        </w:rPr>
      </w:r>
      <w:r>
        <w:rPr>
          <w:highlight w:val="none"/>
        </w:rPr>
      </w:r>
    </w:p>
    <w:p>
      <w:pPr>
        <w:pStyle w:val="955"/>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（备注：1、供应商如不提供此声明函，价格将不做相应扣除。2、中标供应商为残疾人福利单位的，此声明函将随中标结果同时公告，接受社会监督）</w:t>
      </w:r>
      <w:r>
        <w:rPr>
          <w:rFonts w:ascii="宋体" w:hAnsi="宋体" w:cs="宋体"/>
          <w:sz w:val="28"/>
          <w:szCs w:val="28"/>
          <w:highlight w:val="none"/>
        </w:rPr>
      </w:r>
      <w:r>
        <w:rPr>
          <w:highlight w:val="none"/>
        </w:rPr>
      </w:r>
    </w:p>
    <w:p>
      <w:pPr>
        <w:pStyle w:val="955"/>
        <w:ind w:firstLine="584"/>
        <w:spacing w:line="588" w:lineRule="exact"/>
        <w:rPr>
          <w:rFonts w:ascii="仿宋_GB2312" w:hAnsi="Calibri" w:eastAsia="仿宋_GB2312" w:cs="仿宋_GB2312"/>
          <w:spacing w:val="6"/>
          <w:sz w:val="28"/>
          <w:szCs w:val="28"/>
          <w:highlight w:val="none"/>
        </w:rPr>
      </w:pPr>
      <w:r>
        <w:rPr>
          <w:rFonts w:ascii="仿宋_GB2312" w:hAnsi="Calibri" w:eastAsia="仿宋_GB2312" w:cs="仿宋_GB2312"/>
          <w:spacing w:val="6"/>
          <w:sz w:val="28"/>
          <w:szCs w:val="28"/>
          <w:highlight w:val="none"/>
        </w:rPr>
      </w:r>
      <w:r>
        <w:rPr>
          <w:highlight w:val="none"/>
        </w:rPr>
      </w:r>
    </w:p>
    <w:p>
      <w:pPr>
        <w:pStyle w:val="955"/>
        <w:ind w:firstLine="584"/>
        <w:spacing w:line="588" w:lineRule="exact"/>
        <w:rPr>
          <w:rFonts w:ascii="仿宋_GB2312" w:hAnsi="Calibri" w:eastAsia="仿宋_GB2312" w:cs="仿宋_GB2312"/>
          <w:spacing w:val="6"/>
          <w:sz w:val="28"/>
          <w:szCs w:val="28"/>
          <w:highlight w:val="none"/>
        </w:rPr>
      </w:pPr>
      <w:r>
        <w:rPr>
          <w:rFonts w:ascii="仿宋_GB2312" w:hAnsi="Calibri" w:eastAsia="仿宋_GB2312" w:cs="仿宋_GB2312"/>
          <w:spacing w:val="6"/>
          <w:sz w:val="28"/>
          <w:szCs w:val="28"/>
          <w:highlight w:val="none"/>
        </w:rPr>
      </w:r>
      <w:r>
        <w:rPr>
          <w:highlight w:val="none"/>
        </w:rPr>
      </w:r>
    </w:p>
    <w:p>
      <w:pPr>
        <w:pStyle w:val="955"/>
        <w:ind w:firstLine="584"/>
        <w:spacing w:line="588" w:lineRule="exact"/>
        <w:rPr>
          <w:rFonts w:ascii="仿宋_GB2312" w:hAnsi="Calibri" w:eastAsia="仿宋_GB2312" w:cs="仿宋_GB2312"/>
          <w:spacing w:val="6"/>
          <w:sz w:val="28"/>
          <w:szCs w:val="28"/>
          <w:highlight w:val="none"/>
        </w:rPr>
      </w:pPr>
      <w:r>
        <w:rPr>
          <w:rFonts w:ascii="仿宋_GB2312" w:hAnsi="Calibri" w:eastAsia="仿宋_GB2312" w:cs="仿宋_GB2312"/>
          <w:spacing w:val="6"/>
          <w:sz w:val="28"/>
          <w:szCs w:val="28"/>
          <w:highlight w:val="none"/>
        </w:rPr>
      </w:r>
      <w:r>
        <w:rPr>
          <w:highlight w:val="none"/>
        </w:rPr>
      </w:r>
    </w:p>
    <w:p>
      <w:pPr>
        <w:pStyle w:val="955"/>
        <w:ind w:firstLine="584"/>
        <w:spacing w:line="588" w:lineRule="exact"/>
        <w:rPr>
          <w:rFonts w:ascii="仿宋_GB2312" w:hAnsi="Calibri" w:eastAsia="仿宋_GB2312" w:cs="仿宋_GB2312"/>
          <w:spacing w:val="6"/>
          <w:sz w:val="28"/>
          <w:szCs w:val="28"/>
          <w:highlight w:val="none"/>
        </w:rPr>
      </w:pPr>
      <w:r>
        <w:rPr>
          <w:rFonts w:ascii="仿宋_GB2312" w:hAnsi="Calibri" w:eastAsia="仿宋_GB2312" w:cs="仿宋_GB2312"/>
          <w:spacing w:val="6"/>
          <w:sz w:val="28"/>
          <w:szCs w:val="28"/>
          <w:highlight w:val="none"/>
        </w:rPr>
      </w:r>
      <w:r>
        <w:rPr>
          <w:highlight w:val="none"/>
        </w:rPr>
      </w:r>
    </w:p>
    <w:p>
      <w:pPr>
        <w:pStyle w:val="955"/>
        <w:ind w:right="1560" w:firstLine="584"/>
        <w:jc w:val="center"/>
        <w:spacing w:line="588" w:lineRule="exact"/>
        <w:tabs>
          <w:tab w:val="left" w:pos="4860" w:leader="none"/>
        </w:tabs>
        <w:rPr>
          <w:rFonts w:ascii="宋体" w:hAnsi="宋体" w:cs="宋体"/>
          <w:sz w:val="28"/>
          <w:szCs w:val="28"/>
          <w:highlight w:val="none"/>
        </w:rPr>
      </w:pPr>
      <w:r>
        <w:rPr>
          <w:rFonts w:hint="eastAsia" w:ascii="仿宋_GB2312" w:hAnsi="Calibri" w:eastAsia="仿宋_GB2312" w:cs="仿宋_GB2312"/>
          <w:spacing w:val="6"/>
          <w:sz w:val="28"/>
          <w:szCs w:val="28"/>
          <w:highlight w:val="none"/>
          <w:lang w:bidi="ar"/>
        </w:rPr>
        <w:t xml:space="preserve">             </w:t>
      </w:r>
      <w:r>
        <w:rPr>
          <w:rFonts w:hint="eastAsia" w:ascii="宋体" w:hAnsi="宋体" w:cs="宋体"/>
          <w:sz w:val="28"/>
          <w:szCs w:val="28"/>
          <w:highlight w:val="none"/>
          <w:lang w:bidi="ar"/>
        </w:rPr>
        <w:t xml:space="preserve">           供应商全称（盖章）：</w:t>
      </w:r>
      <w:r>
        <w:rPr>
          <w:rFonts w:ascii="宋体" w:hAnsi="宋体" w:cs="宋体"/>
          <w:sz w:val="28"/>
          <w:szCs w:val="28"/>
          <w:highlight w:val="none"/>
        </w:rPr>
      </w:r>
      <w:r>
        <w:rPr>
          <w:highlight w:val="none"/>
        </w:rPr>
      </w:r>
    </w:p>
    <w:p>
      <w:pPr>
        <w:pStyle w:val="955"/>
        <w:ind w:right="1560" w:firstLine="560"/>
        <w:jc w:val="center"/>
        <w:spacing w:line="588" w:lineRule="exact"/>
        <w:tabs>
          <w:tab w:val="left" w:pos="4860" w:leader="none"/>
        </w:tabs>
        <w:rPr>
          <w:rFonts w:ascii="宋体" w:hAnsi="宋体" w:cs="宋体"/>
          <w:sz w:val="28"/>
          <w:szCs w:val="28"/>
          <w:highlight w:val="none"/>
        </w:rPr>
      </w:pPr>
      <w:r>
        <w:rPr>
          <w:rFonts w:hint="eastAsia" w:ascii="宋体" w:hAnsi="宋体" w:cs="宋体"/>
          <w:sz w:val="28"/>
          <w:szCs w:val="28"/>
          <w:highlight w:val="none"/>
          <w:lang w:bidi="ar"/>
        </w:rPr>
        <w:t xml:space="preserve">              日  期：</w:t>
      </w:r>
      <w:r>
        <w:rPr>
          <w:rFonts w:ascii="宋体" w:hAnsi="宋体" w:cs="宋体"/>
          <w:sz w:val="28"/>
          <w:szCs w:val="28"/>
          <w:highlight w:val="none"/>
        </w:rPr>
      </w:r>
      <w:r>
        <w:rPr>
          <w:highlight w:val="none"/>
        </w:rPr>
      </w:r>
    </w:p>
    <w:p>
      <w:pPr>
        <w:pStyle w:val="955"/>
        <w:ind w:firstLine="420"/>
        <w:rPr>
          <w:rFonts w:ascii="仿宋_GB2312" w:hAnsi="宋体" w:eastAsia="仿宋_GB2312" w:cs="仿宋_GB2312"/>
          <w:sz w:val="28"/>
          <w:szCs w:val="28"/>
          <w:highlight w:val="none"/>
        </w:rPr>
      </w:pPr>
      <w:r>
        <w:rPr>
          <w:rFonts w:ascii="仿宋_GB2312" w:hAnsi="宋体" w:eastAsia="仿宋_GB2312" w:cs="仿宋_GB2312"/>
          <w:sz w:val="28"/>
          <w:szCs w:val="28"/>
          <w:highlight w:val="none"/>
        </w:rPr>
      </w:r>
      <w:r>
        <w:rPr>
          <w:highlight w:val="none"/>
        </w:rPr>
      </w:r>
    </w:p>
    <w:p>
      <w:pPr>
        <w:pStyle w:val="955"/>
        <w:spacing w:line="300" w:lineRule="auto"/>
        <w:rPr>
          <w:rFonts w:ascii="Calibri" w:hAnsi="Calibri" w:eastAsia="方正黑体_GBK"/>
          <w:sz w:val="32"/>
          <w:szCs w:val="32"/>
          <w:highlight w:val="none"/>
        </w:rPr>
        <w:outlineLvl w:val="0"/>
      </w:pPr>
      <w:r>
        <w:rPr>
          <w:rFonts w:ascii="Calibri" w:hAnsi="Calibri" w:eastAsia="方正黑体_GBK"/>
          <w:sz w:val="32"/>
          <w:szCs w:val="32"/>
          <w:highlight w:val="none"/>
          <w:lang w:bidi="ar"/>
        </w:rPr>
        <w:br w:type="page" w:clear="all"/>
      </w:r>
      <w:r>
        <w:rPr>
          <w:rFonts w:ascii="Calibri" w:hAnsi="Calibri" w:eastAsia="方正黑体_GBK"/>
          <w:sz w:val="32"/>
          <w:szCs w:val="32"/>
          <w:highlight w:val="none"/>
        </w:rPr>
      </w:r>
      <w:r>
        <w:rPr>
          <w:highlight w:val="none"/>
        </w:rPr>
      </w:r>
    </w:p>
    <w:p>
      <w:pPr>
        <w:pStyle w:val="955"/>
        <w:jc w:val="center"/>
        <w:spacing w:line="420" w:lineRule="exact"/>
        <w:rPr>
          <w:rFonts w:ascii="Calibri" w:hAnsi="Calibri" w:cs="Calibri"/>
          <w:b/>
          <w:bCs/>
          <w:sz w:val="32"/>
          <w:szCs w:val="32"/>
          <w:highlight w:val="none"/>
        </w:rPr>
        <w:outlineLvl w:val="3"/>
      </w:pPr>
      <w:r>
        <w:rPr>
          <w:rFonts w:hint="eastAsia" w:ascii="Calibri" w:hAnsi="Calibri" w:cs="宋体"/>
          <w:b/>
          <w:bCs/>
          <w:sz w:val="32"/>
          <w:szCs w:val="32"/>
          <w:highlight w:val="none"/>
          <w:lang w:bidi="ar"/>
        </w:rPr>
        <w:t xml:space="preserve">（三）监狱和戒毒企业证明材料</w:t>
      </w:r>
      <w:r>
        <w:rPr>
          <w:rFonts w:ascii="Calibri" w:hAnsi="Calibri" w:cs="Calibri"/>
          <w:b/>
          <w:bCs/>
          <w:sz w:val="32"/>
          <w:szCs w:val="32"/>
          <w:highlight w:val="none"/>
        </w:rPr>
      </w:r>
      <w:r>
        <w:rPr>
          <w:highlight w:val="none"/>
        </w:rPr>
      </w:r>
    </w:p>
    <w:p>
      <w:pPr>
        <w:pStyle w:val="955"/>
        <w:ind w:firstLine="495"/>
        <w:spacing w:line="420" w:lineRule="exact"/>
        <w:rPr>
          <w:rFonts w:ascii="宋体" w:hAnsi="宋体" w:cs="宋体"/>
          <w:sz w:val="28"/>
          <w:szCs w:val="28"/>
          <w:highlight w:val="none"/>
        </w:rPr>
      </w:pPr>
      <w:r>
        <w:rPr>
          <w:rFonts w:ascii="宋体" w:hAnsi="宋体" w:cs="宋体"/>
          <w:sz w:val="28"/>
          <w:szCs w:val="28"/>
          <w:highlight w:val="none"/>
        </w:rPr>
      </w:r>
      <w:r>
        <w:rPr>
          <w:highlight w:val="none"/>
        </w:rPr>
      </w:r>
    </w:p>
    <w:p>
      <w:pPr>
        <w:pStyle w:val="955"/>
        <w:ind w:firstLine="495"/>
        <w:jc w:val="center"/>
        <w:spacing w:line="420" w:lineRule="exact"/>
        <w:rPr>
          <w:rFonts w:ascii="宋体" w:hAnsi="宋体" w:cs="宋体"/>
          <w:b/>
          <w:sz w:val="28"/>
          <w:szCs w:val="28"/>
          <w:highlight w:val="none"/>
        </w:rPr>
      </w:pPr>
      <w:r>
        <w:rPr>
          <w:rFonts w:hint="eastAsia" w:ascii="宋体" w:hAnsi="宋体" w:cs="宋体"/>
          <w:b/>
          <w:sz w:val="28"/>
          <w:szCs w:val="28"/>
          <w:highlight w:val="none"/>
          <w:lang w:bidi="ar"/>
        </w:rPr>
        <w:t xml:space="preserve">（格式自拟）</w:t>
      </w:r>
      <w:r>
        <w:rPr>
          <w:rFonts w:ascii="宋体" w:hAnsi="宋体" w:cs="宋体"/>
          <w:b/>
          <w:sz w:val="28"/>
          <w:szCs w:val="28"/>
          <w:highlight w:val="none"/>
        </w:rPr>
      </w:r>
      <w:r>
        <w:rPr>
          <w:highlight w:val="none"/>
        </w:rPr>
      </w:r>
    </w:p>
    <w:p>
      <w:pPr>
        <w:pStyle w:val="955"/>
        <w:ind w:firstLine="495"/>
        <w:spacing w:line="420" w:lineRule="exact"/>
        <w:rPr>
          <w:rFonts w:ascii="宋体" w:hAnsi="宋体" w:cs="宋体"/>
          <w:sz w:val="28"/>
          <w:szCs w:val="28"/>
          <w:highlight w:val="none"/>
        </w:rPr>
      </w:pPr>
      <w:r>
        <w:rPr>
          <w:rFonts w:ascii="宋体" w:hAnsi="宋体" w:cs="宋体"/>
          <w:sz w:val="28"/>
          <w:szCs w:val="28"/>
          <w:highlight w:val="none"/>
        </w:rPr>
      </w:r>
      <w:r>
        <w:rPr>
          <w:highlight w:val="none"/>
        </w:rPr>
      </w:r>
    </w:p>
    <w:p>
      <w:pPr>
        <w:pStyle w:val="955"/>
        <w:ind w:firstLine="660"/>
        <w:spacing w:line="420" w:lineRule="exact"/>
        <w:rPr>
          <w:rFonts w:ascii="宋体" w:hAnsi="宋体" w:cs="宋体"/>
          <w:sz w:val="28"/>
          <w:szCs w:val="28"/>
          <w:highlight w:val="none"/>
        </w:rPr>
      </w:pPr>
      <w:r>
        <w:rPr>
          <w:rFonts w:hint="eastAsia" w:ascii="宋体" w:hAnsi="宋体" w:cs="宋体"/>
          <w:sz w:val="28"/>
          <w:szCs w:val="28"/>
          <w:highlight w:val="none"/>
          <w:lang w:bidi="ar"/>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highlight w:val="none"/>
        </w:rPr>
      </w:r>
      <w:r>
        <w:rPr>
          <w:highlight w:val="none"/>
        </w:rPr>
      </w:r>
    </w:p>
    <w:p>
      <w:pPr>
        <w:pStyle w:val="955"/>
        <w:ind w:firstLine="320"/>
        <w:spacing w:after="120"/>
        <w:rPr>
          <w:rFonts w:ascii="宋体" w:hAnsi="宋体" w:cs="仿宋_GB2312"/>
          <w:sz w:val="32"/>
          <w:szCs w:val="32"/>
          <w:highlight w:val="none"/>
        </w:rPr>
      </w:pPr>
      <w:r>
        <w:rPr>
          <w:rFonts w:ascii="宋体" w:hAnsi="宋体" w:cs="仿宋_GB2312"/>
          <w:sz w:val="32"/>
          <w:szCs w:val="32"/>
          <w:highlight w:val="none"/>
        </w:rPr>
      </w:r>
      <w:r>
        <w:rPr>
          <w:highlight w:val="none"/>
        </w:rPr>
      </w:r>
    </w:p>
    <w:p>
      <w:pPr>
        <w:pStyle w:val="955"/>
        <w:jc w:val="left"/>
        <w:spacing w:after="160" w:line="259" w:lineRule="auto"/>
        <w:rPr>
          <w:sz w:val="26"/>
          <w:szCs w:val="22"/>
          <w:highlight w:val="none"/>
        </w:rPr>
        <w:sectPr>
          <w:footnotePr/>
          <w:endnotePr/>
          <w:type w:val="nextPage"/>
          <w:pgSz w:w="11910" w:h="16840" w:orient="portrait"/>
          <w:pgMar w:top="1531" w:right="1247" w:bottom="1247" w:left="1474" w:header="0" w:footer="567" w:gutter="0"/>
          <w:cols w:num="1" w:sep="0" w:space="1701" w:equalWidth="1"/>
          <w:docGrid w:linePitch="360"/>
        </w:sectPr>
      </w:pPr>
      <w:r>
        <w:rPr>
          <w:sz w:val="26"/>
          <w:szCs w:val="22"/>
          <w:highlight w:val="none"/>
          <w:lang w:val="zh-CN" w:bidi="zh-CN"/>
        </w:rPr>
      </w:r>
      <w:r>
        <w:rPr>
          <w:highlight w:val="none"/>
        </w:rPr>
      </w:r>
    </w:p>
    <w:p>
      <w:pPr>
        <w:pStyle w:val="955"/>
        <w:rPr>
          <w:rFonts w:ascii="宋体" w:hAnsi="宋体" w:cs="宋体"/>
          <w:bCs/>
          <w:sz w:val="22"/>
          <w:szCs w:val="22"/>
          <w:highlight w:val="none"/>
        </w:rPr>
      </w:pPr>
      <w:r>
        <w:rPr>
          <w:rFonts w:ascii="宋体" w:hAnsi="宋体" w:cs="宋体"/>
          <w:bCs/>
          <w:sz w:val="22"/>
          <w:szCs w:val="22"/>
          <w:highlight w:val="none"/>
        </w:rPr>
      </w:r>
      <w:r>
        <w:rPr>
          <w:highlight w:val="none"/>
        </w:rPr>
      </w:r>
    </w:p>
    <w:p>
      <w:pPr>
        <w:pStyle w:val="987"/>
        <w:ind w:left="107"/>
        <w:spacing w:before="65" w:line="221"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附件1</w:t>
      </w:r>
      <w:r>
        <w:rPr>
          <w:rFonts w:hint="eastAsia" w:ascii="宋体" w:hAnsi="宋体" w:eastAsia="宋体" w:cs="宋体"/>
          <w:b/>
          <w:sz w:val="30"/>
          <w:szCs w:val="30"/>
          <w:highlight w:val="none"/>
          <w:lang w:val="en-US" w:eastAsia="zh-CN"/>
        </w:rPr>
        <w:t xml:space="preserve">2</w:t>
      </w:r>
      <w:r>
        <w:rPr>
          <w:rFonts w:hint="eastAsia" w:ascii="宋体" w:hAnsi="宋体" w:eastAsia="宋体" w:cs="宋体"/>
          <w:b/>
          <w:sz w:val="30"/>
          <w:szCs w:val="30"/>
          <w:highlight w:val="none"/>
          <w:lang w:eastAsia="zh-CN"/>
        </w:rPr>
      </w:r>
      <w:r>
        <w:rPr>
          <w:highlight w:val="none"/>
        </w:rPr>
      </w:r>
    </w:p>
    <w:p>
      <w:pPr>
        <w:pStyle w:val="955"/>
        <w:jc w:val="center"/>
        <w:rPr>
          <w:rFonts w:ascii="宋体" w:hAnsi="宋体" w:cs="仿宋"/>
          <w:b/>
          <w:bCs/>
          <w:sz w:val="32"/>
          <w:szCs w:val="32"/>
          <w:highlight w:val="none"/>
        </w:rPr>
      </w:pPr>
      <w:r>
        <w:rPr>
          <w:highlight w:val="none"/>
        </w:rPr>
      </w:r>
      <w:bookmarkEnd w:id="208"/>
      <w:r>
        <w:rPr>
          <w:highlight w:val="none"/>
        </w:rPr>
      </w:r>
      <w:bookmarkEnd w:id="209"/>
      <w:r>
        <w:rPr>
          <w:highlight w:val="none"/>
        </w:rPr>
      </w:r>
      <w:bookmarkEnd w:id="210"/>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rPr>
          <w:highlight w:val="none"/>
        </w:rPr>
      </w:r>
    </w:p>
    <w:p>
      <w:pPr>
        <w:pStyle w:val="955"/>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一、质疑投标人基本信息</w:t>
      </w:r>
      <w:r>
        <w:rPr>
          <w:rFonts w:ascii="宋体" w:hAnsi="宋体" w:cs="仿宋"/>
          <w:bCs/>
          <w:sz w:val="24"/>
          <w:szCs w:val="24"/>
          <w:highlight w:val="none"/>
        </w:rPr>
      </w:r>
      <w:r>
        <w:rPr>
          <w:highlight w:val="none"/>
        </w:rPr>
      </w:r>
    </w:p>
    <w:p>
      <w:pPr>
        <w:pStyle w:val="95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质疑投标人：</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55"/>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55"/>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5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55"/>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55"/>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55"/>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rFonts w:ascii="宋体" w:hAnsi="宋体" w:cs="仿宋"/>
          <w:bCs/>
          <w:sz w:val="24"/>
          <w:szCs w:val="24"/>
          <w:highlight w:val="none"/>
        </w:rPr>
      </w:r>
      <w:r>
        <w:rPr>
          <w:highlight w:val="none"/>
        </w:rPr>
      </w:r>
    </w:p>
    <w:p>
      <w:pPr>
        <w:pStyle w:val="955"/>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55"/>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5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55"/>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55"/>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rFonts w:ascii="宋体" w:hAnsi="宋体" w:cs="仿宋"/>
          <w:bCs/>
          <w:sz w:val="24"/>
          <w:szCs w:val="24"/>
          <w:highlight w:val="none"/>
        </w:rPr>
      </w:r>
      <w:r>
        <w:rPr>
          <w:highlight w:val="none"/>
        </w:rPr>
      </w:r>
    </w:p>
    <w:p>
      <w:pPr>
        <w:pStyle w:val="95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5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55"/>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5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55"/>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5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ascii="宋体" w:hAnsi="宋体" w:cs="仿宋"/>
          <w:sz w:val="24"/>
          <w:szCs w:val="24"/>
          <w:highlight w:val="none"/>
          <w:u w:val="single"/>
        </w:rPr>
      </w:r>
      <w:r>
        <w:rPr>
          <w:highlight w:val="none"/>
        </w:rPr>
      </w:r>
    </w:p>
    <w:p>
      <w:pPr>
        <w:pStyle w:val="955"/>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rPr>
          <w:highlight w:val="none"/>
        </w:rPr>
      </w:r>
    </w:p>
    <w:p>
      <w:pPr>
        <w:pStyle w:val="955"/>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rFonts w:ascii="宋体" w:hAnsi="宋体" w:cs="仿宋"/>
          <w:bCs/>
          <w:sz w:val="24"/>
          <w:szCs w:val="24"/>
          <w:highlight w:val="none"/>
        </w:rPr>
      </w:r>
      <w:r>
        <w:rPr>
          <w:highlight w:val="none"/>
        </w:rPr>
      </w:r>
    </w:p>
    <w:p>
      <w:pPr>
        <w:pStyle w:val="95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55"/>
        <w:rPr>
          <w:rFonts w:ascii="宋体" w:hAnsi="宋体"/>
          <w:sz w:val="24"/>
          <w:szCs w:val="24"/>
          <w:highlight w:val="none"/>
        </w:rPr>
      </w:pPr>
      <w:r>
        <w:rPr>
          <w:rFonts w:hint="eastAsia" w:ascii="宋体" w:hAnsi="宋体"/>
          <w:sz w:val="24"/>
          <w:szCs w:val="24"/>
          <w:highlight w:val="none"/>
        </w:rPr>
        <w:t xml:space="preserve">签字(签章)：                   公章：                      </w:t>
      </w:r>
      <w:r>
        <w:rPr>
          <w:rFonts w:ascii="宋体" w:hAnsi="宋体"/>
          <w:sz w:val="24"/>
          <w:szCs w:val="24"/>
          <w:highlight w:val="none"/>
        </w:rPr>
      </w:r>
      <w:r>
        <w:rPr>
          <w:highlight w:val="none"/>
        </w:rPr>
      </w:r>
    </w:p>
    <w:p>
      <w:pPr>
        <w:pStyle w:val="955"/>
        <w:rPr>
          <w:rFonts w:ascii="宋体" w:hAnsi="宋体"/>
          <w:sz w:val="24"/>
          <w:szCs w:val="24"/>
          <w:highlight w:val="none"/>
        </w:rPr>
      </w:pPr>
      <w:r>
        <w:rPr>
          <w:rFonts w:hint="eastAsia" w:ascii="宋体" w:hAnsi="宋体"/>
          <w:sz w:val="24"/>
          <w:szCs w:val="24"/>
          <w:highlight w:val="none"/>
        </w:rPr>
        <w:t xml:space="preserve">日期：    </w:t>
      </w:r>
      <w:r>
        <w:rPr>
          <w:rFonts w:ascii="宋体" w:hAnsi="宋体"/>
          <w:sz w:val="24"/>
          <w:szCs w:val="24"/>
          <w:highlight w:val="none"/>
        </w:rPr>
      </w:r>
      <w:r>
        <w:rPr>
          <w:highlight w:val="none"/>
        </w:rPr>
      </w:r>
    </w:p>
    <w:p>
      <w:pPr>
        <w:pStyle w:val="955"/>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rFonts w:ascii="宋体" w:hAnsi="宋体"/>
          <w:b/>
          <w:sz w:val="24"/>
          <w:szCs w:val="24"/>
          <w:highlight w:val="none"/>
        </w:rPr>
      </w:r>
      <w:r>
        <w:rPr>
          <w:highlight w:val="none"/>
        </w:rPr>
      </w:r>
    </w:p>
    <w:p>
      <w:pPr>
        <w:pStyle w:val="955"/>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1.投标人提出质疑时，应提交质疑函和必要的证明材料。</w:t>
      </w:r>
      <w:r>
        <w:rPr>
          <w:rFonts w:ascii="宋体" w:hAnsi="宋体"/>
          <w:sz w:val="24"/>
          <w:szCs w:val="24"/>
          <w:highlight w:val="none"/>
        </w:rPr>
      </w:r>
      <w:r>
        <w:rPr>
          <w:highlight w:val="none"/>
        </w:rPr>
      </w:r>
    </w:p>
    <w:p>
      <w:pPr>
        <w:pStyle w:val="955"/>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2.质疑投标人若委托代理人进行质疑的，质疑函应按要求列明“授权代表”的有关内容，并在附件中提交由质疑</w:t>
      </w:r>
      <w:r>
        <w:rPr>
          <w:rFonts w:hint="eastAsia" w:ascii="宋体" w:hAnsi="宋体" w:cs="宋体"/>
          <w:sz w:val="24"/>
          <w:szCs w:val="24"/>
          <w:highlight w:val="none"/>
        </w:rPr>
        <w:t xml:space="preserve">投标人签署的授权委托书。授权委托书应载明代理人的姓名或者名称、代理事项、具体权限、期限和相关事项。</w:t>
      </w:r>
      <w:r>
        <w:rPr>
          <w:rFonts w:ascii="宋体" w:hAnsi="宋体"/>
          <w:sz w:val="24"/>
          <w:szCs w:val="24"/>
          <w:highlight w:val="none"/>
        </w:rPr>
      </w:r>
      <w:r>
        <w:rPr>
          <w:highlight w:val="none"/>
        </w:rPr>
      </w:r>
    </w:p>
    <w:p>
      <w:pPr>
        <w:pStyle w:val="955"/>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3.质疑投标人若对项目的某一分包进行质疑，质疑函中应列明具体分包号。</w:t>
      </w:r>
      <w:r>
        <w:rPr>
          <w:rFonts w:ascii="宋体" w:hAnsi="宋体"/>
          <w:sz w:val="24"/>
          <w:szCs w:val="24"/>
          <w:highlight w:val="none"/>
        </w:rPr>
      </w:r>
      <w:r>
        <w:rPr>
          <w:highlight w:val="none"/>
        </w:rPr>
      </w:r>
    </w:p>
    <w:p>
      <w:pPr>
        <w:pStyle w:val="955"/>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rFonts w:ascii="宋体" w:hAnsi="宋体"/>
          <w:sz w:val="24"/>
          <w:szCs w:val="24"/>
          <w:highlight w:val="none"/>
        </w:rPr>
      </w:r>
      <w:r>
        <w:rPr>
          <w:highlight w:val="none"/>
        </w:rPr>
      </w:r>
    </w:p>
    <w:p>
      <w:pPr>
        <w:pStyle w:val="955"/>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rFonts w:ascii="宋体" w:hAnsi="宋体"/>
          <w:sz w:val="24"/>
          <w:szCs w:val="24"/>
          <w:highlight w:val="none"/>
        </w:rPr>
      </w:r>
      <w:r>
        <w:rPr>
          <w:highlight w:val="none"/>
        </w:rPr>
      </w:r>
    </w:p>
    <w:p>
      <w:pPr>
        <w:pStyle w:val="955"/>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rFonts w:ascii="宋体" w:hAnsi="宋体"/>
          <w:sz w:val="24"/>
          <w:szCs w:val="24"/>
          <w:highlight w:val="none"/>
        </w:rPr>
      </w:r>
      <w:r>
        <w:rPr>
          <w:highlight w:val="none"/>
        </w:rPr>
      </w:r>
    </w:p>
    <w:p>
      <w:pPr>
        <w:pStyle w:val="1022"/>
        <w:ind w:firstLine="0"/>
        <w:rPr>
          <w:rFonts w:hint="eastAsia"/>
          <w:highlight w:val="none"/>
        </w:rPr>
      </w:pPr>
      <w:r>
        <w:rPr>
          <w:rFonts w:hint="eastAsia"/>
          <w:highlight w:val="none"/>
        </w:rPr>
      </w:r>
      <w:r>
        <w:rPr>
          <w:highlight w:val="none"/>
        </w:rPr>
      </w:r>
    </w:p>
    <w:p>
      <w:pPr>
        <w:pStyle w:val="970"/>
        <w:ind w:firstLine="0"/>
        <w:rPr>
          <w:rFonts w:hint="eastAsia"/>
          <w:sz w:val="24"/>
          <w:szCs w:val="24"/>
          <w:highlight w:val="none"/>
        </w:rPr>
      </w:pPr>
      <w:r>
        <w:rPr>
          <w:rFonts w:hint="eastAsia"/>
          <w:sz w:val="24"/>
          <w:szCs w:val="24"/>
          <w:highlight w:val="none"/>
        </w:rPr>
      </w:r>
      <w:r>
        <w:rPr>
          <w:highlight w:val="none"/>
        </w:rPr>
      </w:r>
    </w:p>
    <w:p>
      <w:pPr>
        <w:pStyle w:val="970"/>
        <w:ind w:firstLine="0"/>
        <w:rPr>
          <w:rFonts w:hint="eastAsia"/>
          <w:sz w:val="24"/>
          <w:szCs w:val="24"/>
          <w:highlight w:val="none"/>
        </w:rPr>
      </w:pPr>
      <w:r>
        <w:rPr>
          <w:rFonts w:hint="eastAsia"/>
          <w:sz w:val="24"/>
          <w:szCs w:val="24"/>
          <w:highlight w:val="none"/>
        </w:rPr>
      </w:r>
      <w:r>
        <w:rPr>
          <w:highlight w:val="none"/>
        </w:rPr>
      </w:r>
    </w:p>
    <w:p>
      <w:pPr>
        <w:pStyle w:val="1022"/>
        <w:ind w:firstLine="0"/>
        <w:jc w:val="left"/>
        <w:rPr>
          <w:rFonts w:hint="eastAsia"/>
          <w:highlight w:val="none"/>
        </w:rPr>
      </w:pPr>
      <w:r>
        <w:rPr>
          <w:rFonts w:hint="eastAsia"/>
          <w:highlight w:val="none"/>
        </w:rPr>
      </w:r>
      <w:r>
        <w:rPr>
          <w:highlight w:val="none"/>
        </w:rPr>
      </w:r>
    </w:p>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仿宋">
    <w:panose1 w:val="02010609060101010101"/>
  </w:font>
  <w:font w:name="等线">
    <w:panose1 w:val="02010600030101010101"/>
  </w:font>
  <w:font w:name="华文彩云">
    <w:panose1 w:val="02010800040101010101"/>
  </w:font>
  <w:font w:name="Segoe UI">
    <w:panose1 w:val="020B0502040204020203"/>
  </w:font>
  <w:font w:name="Showcard Gothic">
    <w:panose1 w:val="04020904020102020604"/>
  </w:font>
  <w:font w:name="华文新魏">
    <w:panose1 w:val="02010800040101010101"/>
  </w:font>
  <w:font w:name="FangSong">
    <w:panose1 w:val="02010609060101010101"/>
  </w:font>
  <w:font w:name="方正黑体_GBK">
    <w:panose1 w:val="020B0503020202020204"/>
  </w:font>
  <w:font w:name="方正仿宋_GBK">
    <w:panose1 w:val="020B0503020202020204"/>
  </w:font>
  <w:font w:name="Symbol">
    <w:panose1 w:val="05050102010706020507"/>
  </w:font>
  <w:font w:name="Wingdings">
    <w:panose1 w:val="05000000000000000000"/>
  </w:font>
  <w:font w:name="楷体_GB2312">
    <w:panose1 w:val="02010609060101010101"/>
  </w:font>
  <w:font w:name="方正锐正黑_GBK 中">
    <w:panose1 w:val="020B0503020202020204"/>
  </w:font>
  <w:font w:name="Tahoma">
    <w:panose1 w:val="020B0604030504040204"/>
  </w:font>
  <w:font w:name="Calibri">
    <w:panose1 w:val="020F0502020204030204"/>
  </w:font>
  <w:font w:name="Courier New">
    <w:panose1 w:val="020703090202050204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方正仿宋_GB2312">
    <w:panose1 w:val="020B0503020202020204"/>
  </w:font>
  <w:font w:name="Arial">
    <w:panose1 w:val="020B0604020202020204"/>
  </w:font>
  <w:font w:name="SimSun">
    <w:panose1 w:val="02010600030101010101"/>
  </w:font>
  <w:font w:name="Arial Black">
    <w:panose1 w:val="020B0A040201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left="4110"/>
      <w:spacing w:line="173" w:lineRule="auto"/>
      <w:rPr>
        <w:rFonts w:eastAsia="Times New Roman"/>
        <w:sz w:val="18"/>
        <w:szCs w:val="18"/>
      </w:rPr>
    </w:pPr>
    <w:r>
      <w:rPr>
        <w:rFonts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left="4110"/>
      <w:spacing w:line="173" w:lineRule="auto"/>
      <w:rPr>
        <w:rFonts w:eastAsia="Times New Roman"/>
        <w:sz w:val="18"/>
        <w:szCs w:val="18"/>
      </w:rPr>
    </w:pPr>
    <w:r>
      <w:rPr>
        <w:rFonts w:eastAsia="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w:t>
                          </w:r>
                          <w:r/>
                        </w:p>
                        <w:p>
                          <w:pPr>
                            <w:pStyle w:val="9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w:t>
                    </w:r>
                    <w:r/>
                  </w:p>
                  <w:p>
                    <w:pPr>
                      <w:pStyle w:val="955"/>
                    </w:pPr>
                    <w:r/>
                    <w:r/>
                  </w:p>
                </w:txbxContent>
              </v:textbox>
            </v:shape>
          </w:pict>
        </mc:Fallback>
      </mc:AlternateContent>
    </w:r>
    <w:r/>
  </w:p>
  <w:p>
    <w:pPr>
      <w:pStyle w:val="100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Style w:val="1028"/>
      </w:rPr>
      <w:framePr w:wrap="around" w:vAnchor="text" w:hAnchor="margin" w:xAlign="center" w:y="1"/>
    </w:pPr>
    <w:r>
      <w:fldChar w:fldCharType="begin"/>
    </w:r>
    <w:r>
      <w:rPr>
        <w:rStyle w:val="1028"/>
      </w:rPr>
      <w:instrText xml:space="preserve">PAGE  </w:instrText>
    </w:r>
    <w:r>
      <w:fldChar w:fldCharType="separate"/>
    </w:r>
    <w:r>
      <w:rPr>
        <w:rStyle w:val="1028"/>
      </w:rPr>
      <w:t xml:space="preserve">1</w:t>
    </w:r>
    <w:r>
      <w:fldChar w:fldCharType="end"/>
    </w:r>
    <w:r>
      <w:rPr>
        <w:rStyle w:val="1028"/>
      </w:rPr>
    </w:r>
    <w:r/>
  </w:p>
  <w:p>
    <w:pPr>
      <w:pStyle w:val="100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57</w:t>
                          </w:r>
                          <w:r>
                            <w:fldChar w:fldCharType="end"/>
                          </w:r>
                          <w:r>
                            <w:t xml:space="preserve"> 页</w:t>
                          </w:r>
                          <w:r/>
                        </w:p>
                        <w:p>
                          <w:pPr>
                            <w:pStyle w:val="9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57</w:t>
                    </w:r>
                    <w:r>
                      <w:fldChar w:fldCharType="end"/>
                    </w:r>
                    <w:r>
                      <w:t xml:space="preserve"> 页</w:t>
                    </w:r>
                    <w:r/>
                  </w:p>
                  <w:p>
                    <w:pPr>
                      <w:pStyle w:val="95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4"/>
      <w:isLgl w:val="false"/>
      <w:suff w:val="tab"/>
      <w:lvlText w:val="附录%1."/>
      <w:lvlJc w:val="left"/>
      <w:pPr>
        <w:pStyle w:val="9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1"/>
      <w:isLgl w:val="false"/>
      <w:suff w:val="tab"/>
      <w:lvlText w:val="%1."/>
      <w:lvlJc w:val="left"/>
      <w:pPr>
        <w:pStyle w:val="955"/>
        <w:ind w:left="709" w:hanging="709"/>
        <w:tabs>
          <w:tab w:val="num" w:pos="709" w:leader="none"/>
        </w:tabs>
      </w:pPr>
      <w:rPr>
        <w:rFonts w:hint="eastAsia"/>
      </w:rPr>
    </w:lvl>
    <w:lvl w:ilvl="1">
      <w:start w:val="1"/>
      <w:numFmt w:val="decimal"/>
      <w:isLgl w:val="false"/>
      <w:suff w:val="tab"/>
      <w:lvlText w:val="%1.%2"/>
      <w:lvlJc w:val="left"/>
      <w:pPr>
        <w:pStyle w:val="955"/>
        <w:ind w:left="709" w:hanging="709"/>
        <w:tabs>
          <w:tab w:val="num" w:pos="709" w:leader="none"/>
        </w:tabs>
      </w:pPr>
      <w:rPr>
        <w:rFonts w:hint="eastAsia"/>
      </w:rPr>
    </w:lvl>
    <w:lvl w:ilvl="2">
      <w:start w:val="1"/>
      <w:numFmt w:val="decimal"/>
      <w:isLgl w:val="false"/>
      <w:suff w:val="tab"/>
      <w:lvlText w:val="%1.%2.%3."/>
      <w:lvlJc w:val="left"/>
      <w:pPr>
        <w:pStyle w:val="955"/>
        <w:ind w:left="425" w:hanging="425"/>
        <w:tabs>
          <w:tab w:val="num" w:pos="425" w:leader="none"/>
        </w:tabs>
      </w:pPr>
      <w:rPr>
        <w:rFonts w:hint="eastAsia"/>
      </w:rPr>
    </w:lvl>
    <w:lvl w:ilvl="3">
      <w:start w:val="1"/>
      <w:numFmt w:val="decimal"/>
      <w:isLgl w:val="false"/>
      <w:suff w:val="tab"/>
      <w:lvlText w:val="%1.%2.%3.%4."/>
      <w:lvlJc w:val="left"/>
      <w:pPr>
        <w:pStyle w:val="955"/>
        <w:ind w:left="851" w:hanging="851"/>
        <w:tabs>
          <w:tab w:val="num" w:pos="851" w:leader="none"/>
        </w:tabs>
      </w:pPr>
      <w:rPr>
        <w:rFonts w:hint="eastAsia"/>
      </w:rPr>
    </w:lvl>
    <w:lvl w:ilvl="4">
      <w:start w:val="1"/>
      <w:numFmt w:val="decimal"/>
      <w:isLgl w:val="false"/>
      <w:suff w:val="tab"/>
      <w:lvlText w:val="%1.%2.%3.%4.%5."/>
      <w:lvlJc w:val="left"/>
      <w:pPr>
        <w:pStyle w:val="955"/>
        <w:ind w:left="992" w:hanging="992"/>
        <w:tabs>
          <w:tab w:val="num" w:pos="992" w:leader="none"/>
        </w:tabs>
      </w:pPr>
      <w:rPr>
        <w:rFonts w:hint="eastAsia"/>
      </w:rPr>
    </w:lvl>
    <w:lvl w:ilvl="5">
      <w:start w:val="1"/>
      <w:numFmt w:val="decimal"/>
      <w:isLgl w:val="false"/>
      <w:suff w:val="tab"/>
      <w:lvlText w:val="%1.%2.%3.%4.%5.%6."/>
      <w:lvlJc w:val="left"/>
      <w:pPr>
        <w:pStyle w:val="955"/>
        <w:ind w:left="1134" w:hanging="1134"/>
        <w:tabs>
          <w:tab w:val="num" w:pos="1134" w:leader="none"/>
        </w:tabs>
      </w:pPr>
      <w:rPr>
        <w:rFonts w:hint="eastAsia"/>
      </w:rPr>
    </w:lvl>
    <w:lvl w:ilvl="6">
      <w:start w:val="1"/>
      <w:numFmt w:val="decimal"/>
      <w:isLgl w:val="false"/>
      <w:suff w:val="tab"/>
      <w:lvlText w:val="%1.%2.%3.%4.%5.%6.%7."/>
      <w:lvlJc w:val="left"/>
      <w:pPr>
        <w:pStyle w:val="955"/>
        <w:ind w:left="1276" w:hanging="1276"/>
        <w:tabs>
          <w:tab w:val="num" w:pos="1276" w:leader="none"/>
        </w:tabs>
      </w:pPr>
      <w:rPr>
        <w:rFonts w:hint="eastAsia"/>
      </w:rPr>
    </w:lvl>
    <w:lvl w:ilvl="7">
      <w:start w:val="1"/>
      <w:numFmt w:val="decimal"/>
      <w:isLgl w:val="false"/>
      <w:suff w:val="tab"/>
      <w:lvlText w:val="%1.%2.%3.%4.%5.%6.%7.%8."/>
      <w:lvlJc w:val="left"/>
      <w:pPr>
        <w:pStyle w:val="955"/>
        <w:ind w:left="1418" w:hanging="1418"/>
        <w:tabs>
          <w:tab w:val="num" w:pos="1418" w:leader="none"/>
        </w:tabs>
      </w:pPr>
      <w:rPr>
        <w:rFonts w:hint="eastAsia"/>
      </w:rPr>
    </w:lvl>
    <w:lvl w:ilvl="8">
      <w:start w:val="1"/>
      <w:numFmt w:val="decimal"/>
      <w:isLgl w:val="false"/>
      <w:suff w:val="tab"/>
      <w:lvlText w:val="%1.%2.%3.%4.%5.%6.%7.%8.%9."/>
      <w:lvlJc w:val="left"/>
      <w:pPr>
        <w:pStyle w:val="95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5"/>
        <w:ind w:left="0" w:firstLine="0"/>
      </w:pPr>
      <w:rPr>
        <w:rFonts w:hint="eastAsia"/>
      </w:rPr>
    </w:lvl>
    <w:lvl w:ilvl="1">
      <w:start w:val="1"/>
      <w:numFmt w:val="decimal"/>
      <w:isLgl w:val="false"/>
      <w:suff w:val="nothing"/>
      <w:lvlText w:val="%2、"/>
      <w:lvlJc w:val="left"/>
      <w:pPr>
        <w:pStyle w:val="955"/>
        <w:ind w:left="0" w:firstLine="0"/>
      </w:pPr>
      <w:rPr>
        <w:rFonts w:hint="eastAsia"/>
      </w:rPr>
    </w:lvl>
    <w:lvl w:ilvl="2">
      <w:start w:val="1"/>
      <w:numFmt w:val="decimal"/>
      <w:isLgl w:val="false"/>
      <w:suff w:val="nothing"/>
      <w:lvlText w:val="%2.%3 "/>
      <w:lvlJc w:val="left"/>
      <w:pPr>
        <w:pStyle w:val="955"/>
        <w:ind w:left="0" w:firstLine="0"/>
      </w:pPr>
      <w:rPr>
        <w:rFonts w:hint="eastAsia"/>
      </w:rPr>
    </w:lvl>
    <w:lvl w:ilvl="3">
      <w:start w:val="1"/>
      <w:numFmt w:val="decimal"/>
      <w:isLgl w:val="false"/>
      <w:suff w:val="nothing"/>
      <w:lvlText w:val="%2.%3.%4 "/>
      <w:lvlJc w:val="left"/>
      <w:pPr>
        <w:pStyle w:val="955"/>
        <w:ind w:left="0" w:firstLine="0"/>
      </w:pPr>
      <w:rPr>
        <w:rFonts w:hint="eastAsia"/>
      </w:rPr>
    </w:lvl>
    <w:lvl w:ilvl="4">
      <w:start w:val="1"/>
      <w:numFmt w:val="decimal"/>
      <w:isLgl w:val="false"/>
      <w:suff w:val="nothing"/>
      <w:lvlText w:val="%2.%3.%4.%5 "/>
      <w:lvlJc w:val="left"/>
      <w:pPr>
        <w:pStyle w:val="955"/>
        <w:ind w:left="0" w:firstLine="0"/>
      </w:pPr>
      <w:rPr>
        <w:rFonts w:hint="eastAsia"/>
      </w:rPr>
    </w:lvl>
    <w:lvl w:ilvl="5">
      <w:start w:val="1"/>
      <w:numFmt w:val="decimal"/>
      <w:pStyle w:val="961"/>
      <w:isLgl w:val="false"/>
      <w:suff w:val="nothing"/>
      <w:lvlText w:val=""/>
      <w:lvlJc w:val="left"/>
      <w:pPr>
        <w:pStyle w:val="955"/>
        <w:ind w:left="0" w:firstLine="0"/>
      </w:pPr>
      <w:rPr>
        <w:rFonts w:hint="eastAsia"/>
      </w:rPr>
    </w:lvl>
    <w:lvl w:ilvl="6">
      <w:start w:val="1"/>
      <w:numFmt w:val="decimal"/>
      <w:pStyle w:val="962"/>
      <w:isLgl w:val="false"/>
      <w:suff w:val="nothing"/>
      <w:lvlText w:val=""/>
      <w:lvlJc w:val="left"/>
      <w:pPr>
        <w:pStyle w:val="955"/>
        <w:ind w:left="0" w:firstLine="0"/>
      </w:pPr>
      <w:rPr>
        <w:rFonts w:hint="eastAsia"/>
      </w:rPr>
    </w:lvl>
    <w:lvl w:ilvl="7">
      <w:start w:val="1"/>
      <w:numFmt w:val="decimal"/>
      <w:pStyle w:val="963"/>
      <w:isLgl w:val="false"/>
      <w:suff w:val="nothing"/>
      <w:lvlText w:val=""/>
      <w:lvlJc w:val="left"/>
      <w:pPr>
        <w:pStyle w:val="955"/>
        <w:ind w:left="0" w:firstLine="0"/>
      </w:pPr>
      <w:rPr>
        <w:rFonts w:hint="eastAsia"/>
      </w:rPr>
    </w:lvl>
    <w:lvl w:ilvl="8">
      <w:start w:val="1"/>
      <w:numFmt w:val="decimal"/>
      <w:pStyle w:val="964"/>
      <w:isLgl w:val="false"/>
      <w:suff w:val="nothing"/>
      <w:lvlText w:val=""/>
      <w:lvlJc w:val="left"/>
      <w:pPr>
        <w:pStyle w:val="955"/>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5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55"/>
    <w:next w:val="955"/>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55"/>
    <w:next w:val="955"/>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55"/>
    <w:next w:val="955"/>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paragraph" w:styleId="783">
    <w:name w:val="Heading 4"/>
    <w:basedOn w:val="955"/>
    <w:next w:val="955"/>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link w:val="783"/>
    <w:uiPriority w:val="9"/>
    <w:rPr>
      <w:rFonts w:ascii="Arial" w:hAnsi="Arial" w:eastAsia="Arial" w:cs="Arial"/>
      <w:b/>
      <w:bCs/>
      <w:sz w:val="26"/>
      <w:szCs w:val="26"/>
    </w:rPr>
  </w:style>
  <w:style w:type="paragraph" w:styleId="785">
    <w:name w:val="Heading 5"/>
    <w:basedOn w:val="955"/>
    <w:next w:val="955"/>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link w:val="785"/>
    <w:uiPriority w:val="9"/>
    <w:rPr>
      <w:rFonts w:ascii="Arial" w:hAnsi="Arial" w:eastAsia="Arial" w:cs="Arial"/>
      <w:b/>
      <w:bCs/>
      <w:sz w:val="24"/>
      <w:szCs w:val="24"/>
    </w:rPr>
  </w:style>
  <w:style w:type="paragraph" w:styleId="787">
    <w:name w:val="Heading 6"/>
    <w:basedOn w:val="955"/>
    <w:next w:val="955"/>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55"/>
    <w:next w:val="955"/>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55"/>
    <w:next w:val="955"/>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55"/>
    <w:next w:val="955"/>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List Paragraph"/>
    <w:basedOn w:val="955"/>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955"/>
    <w:next w:val="955"/>
    <w:link w:val="798"/>
    <w:uiPriority w:val="10"/>
    <w:qFormat/>
    <w:pPr>
      <w:contextualSpacing/>
      <w:spacing w:before="300" w:after="200"/>
    </w:pPr>
    <w:rPr>
      <w:sz w:val="48"/>
      <w:szCs w:val="48"/>
    </w:rPr>
  </w:style>
  <w:style w:type="character" w:styleId="798">
    <w:name w:val="Title Char"/>
    <w:link w:val="797"/>
    <w:uiPriority w:val="10"/>
    <w:rPr>
      <w:sz w:val="48"/>
      <w:szCs w:val="48"/>
    </w:rPr>
  </w:style>
  <w:style w:type="paragraph" w:styleId="799">
    <w:name w:val="Subtitle"/>
    <w:basedOn w:val="955"/>
    <w:next w:val="955"/>
    <w:link w:val="800"/>
    <w:uiPriority w:val="11"/>
    <w:qFormat/>
    <w:pPr>
      <w:spacing w:before="200" w:after="200"/>
    </w:pPr>
    <w:rPr>
      <w:sz w:val="24"/>
      <w:szCs w:val="24"/>
    </w:rPr>
  </w:style>
  <w:style w:type="character" w:styleId="800">
    <w:name w:val="Subtitle Char"/>
    <w:link w:val="799"/>
    <w:uiPriority w:val="11"/>
    <w:rPr>
      <w:sz w:val="24"/>
      <w:szCs w:val="24"/>
    </w:rPr>
  </w:style>
  <w:style w:type="paragraph" w:styleId="801">
    <w:name w:val="Quote"/>
    <w:basedOn w:val="955"/>
    <w:next w:val="955"/>
    <w:link w:val="802"/>
    <w:uiPriority w:val="29"/>
    <w:qFormat/>
    <w:pPr>
      <w:ind w:left="720" w:right="720"/>
    </w:pPr>
    <w:rPr>
      <w:i/>
    </w:rPr>
  </w:style>
  <w:style w:type="character" w:styleId="802">
    <w:name w:val="Quote Char"/>
    <w:link w:val="801"/>
    <w:uiPriority w:val="29"/>
    <w:rPr>
      <w:i/>
    </w:rPr>
  </w:style>
  <w:style w:type="paragraph" w:styleId="803">
    <w:name w:val="Intense Quote"/>
    <w:basedOn w:val="955"/>
    <w:next w:val="95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paragraph" w:styleId="805">
    <w:name w:val="Header"/>
    <w:basedOn w:val="955"/>
    <w:link w:val="806"/>
    <w:uiPriority w:val="99"/>
    <w:unhideWhenUsed/>
    <w:pPr>
      <w:spacing w:after="0" w:line="240" w:lineRule="auto"/>
      <w:tabs>
        <w:tab w:val="center" w:pos="7143" w:leader="none"/>
        <w:tab w:val="right" w:pos="14287" w:leader="none"/>
      </w:tabs>
    </w:pPr>
  </w:style>
  <w:style w:type="character" w:styleId="806">
    <w:name w:val="Header Char"/>
    <w:link w:val="805"/>
    <w:uiPriority w:val="99"/>
  </w:style>
  <w:style w:type="paragraph" w:styleId="807">
    <w:name w:val="Footer"/>
    <w:basedOn w:val="955"/>
    <w:link w:val="810"/>
    <w:uiPriority w:val="99"/>
    <w:unhideWhenUsed/>
    <w:pPr>
      <w:spacing w:after="0" w:line="240" w:lineRule="auto"/>
      <w:tabs>
        <w:tab w:val="center" w:pos="7143" w:leader="none"/>
        <w:tab w:val="right" w:pos="14287" w:leader="none"/>
      </w:tabs>
    </w:pPr>
  </w:style>
  <w:style w:type="character" w:styleId="808">
    <w:name w:val="Footer Char"/>
    <w:link w:val="807"/>
    <w:uiPriority w:val="99"/>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7"/>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67"/>
    <w:link w:val="955"/>
    <w:qFormat/>
    <w:pPr>
      <w:jc w:val="both"/>
      <w:widowControl w:val="off"/>
    </w:pPr>
    <w:rPr>
      <w:sz w:val="21"/>
      <w:szCs w:val="21"/>
      <w:lang w:val="en-US" w:eastAsia="zh-CN" w:bidi="ar-SA"/>
    </w:rPr>
  </w:style>
  <w:style w:type="paragraph" w:styleId="956">
    <w:name w:val="标题 1"/>
    <w:basedOn w:val="955"/>
    <w:next w:val="955"/>
    <w:link w:val="968"/>
    <w:qFormat/>
    <w:pPr>
      <w:jc w:val="center"/>
      <w:keepNext/>
      <w:outlineLvl w:val="0"/>
    </w:pPr>
    <w:rPr>
      <w:rFonts w:ascii="方正仿宋_GB2312" w:eastAsia="方正仿宋_GB2312"/>
      <w:sz w:val="28"/>
      <w:szCs w:val="28"/>
    </w:rPr>
  </w:style>
  <w:style w:type="paragraph" w:styleId="957">
    <w:name w:val="标题 2"/>
    <w:basedOn w:val="955"/>
    <w:next w:val="970"/>
    <w:link w:val="969"/>
    <w:qFormat/>
    <w:pPr>
      <w:jc w:val="center"/>
      <w:keepLines/>
      <w:keepNext/>
      <w:spacing w:before="260" w:after="260" w:line="416" w:lineRule="auto"/>
      <w:outlineLvl w:val="1"/>
    </w:pPr>
    <w:rPr>
      <w:rFonts w:ascii="Arial" w:hAnsi="Arial" w:eastAsia="幼圆"/>
      <w:b/>
      <w:bCs/>
      <w:sz w:val="44"/>
      <w:szCs w:val="44"/>
    </w:rPr>
  </w:style>
  <w:style w:type="paragraph" w:styleId="958">
    <w:name w:val="标题 3"/>
    <w:basedOn w:val="955"/>
    <w:next w:val="970"/>
    <w:link w:val="972"/>
    <w:qFormat/>
    <w:pPr>
      <w:keepLines/>
      <w:keepNext/>
      <w:spacing w:before="260" w:after="260" w:line="416" w:lineRule="auto"/>
      <w:outlineLvl w:val="2"/>
    </w:pPr>
    <w:rPr>
      <w:b/>
      <w:bCs/>
      <w:sz w:val="32"/>
      <w:szCs w:val="32"/>
    </w:rPr>
  </w:style>
  <w:style w:type="paragraph" w:styleId="959">
    <w:name w:val="标题 4"/>
    <w:basedOn w:val="955"/>
    <w:next w:val="970"/>
    <w:link w:val="973"/>
    <w:qFormat/>
    <w:pPr>
      <w:keepLines/>
      <w:keepNext/>
      <w:spacing w:before="280" w:after="290" w:line="376" w:lineRule="auto"/>
      <w:outlineLvl w:val="3"/>
    </w:pPr>
    <w:rPr>
      <w:rFonts w:ascii="Arial" w:hAnsi="Arial" w:eastAsia="黑体"/>
      <w:b/>
      <w:bCs/>
      <w:sz w:val="28"/>
      <w:szCs w:val="28"/>
    </w:rPr>
  </w:style>
  <w:style w:type="paragraph" w:styleId="960">
    <w:name w:val="标题 5"/>
    <w:basedOn w:val="955"/>
    <w:next w:val="970"/>
    <w:link w:val="974"/>
    <w:qFormat/>
    <w:pPr>
      <w:keepNext/>
      <w:outlineLvl w:val="4"/>
    </w:pPr>
    <w:rPr>
      <w:rFonts w:ascii="宋体"/>
      <w:color w:val="000000"/>
      <w:sz w:val="28"/>
      <w:szCs w:val="28"/>
    </w:rPr>
  </w:style>
  <w:style w:type="paragraph" w:styleId="961">
    <w:name w:val="标题 6"/>
    <w:basedOn w:val="955"/>
    <w:next w:val="955"/>
    <w:link w:val="975"/>
    <w:qFormat/>
    <w:pPr>
      <w:numPr>
        <w:ilvl w:val="5"/>
        <w:numId w:val="1"/>
      </w:numPr>
      <w:keepLines/>
      <w:keepNext/>
      <w:spacing w:before="240" w:after="64" w:line="320" w:lineRule="auto"/>
      <w:outlineLvl w:val="5"/>
    </w:pPr>
    <w:rPr>
      <w:rFonts w:ascii="Arial" w:hAnsi="Arial" w:eastAsia="黑体"/>
      <w:b/>
      <w:bCs/>
      <w:sz w:val="24"/>
      <w:szCs w:val="24"/>
    </w:rPr>
  </w:style>
  <w:style w:type="paragraph" w:styleId="962">
    <w:name w:val="标题 7"/>
    <w:basedOn w:val="955"/>
    <w:next w:val="955"/>
    <w:link w:val="976"/>
    <w:qFormat/>
    <w:pPr>
      <w:numPr>
        <w:ilvl w:val="6"/>
        <w:numId w:val="1"/>
      </w:numPr>
      <w:keepLines/>
      <w:keepNext/>
      <w:spacing w:before="240" w:after="64" w:line="320" w:lineRule="auto"/>
      <w:outlineLvl w:val="6"/>
    </w:pPr>
    <w:rPr>
      <w:b/>
      <w:bCs/>
      <w:sz w:val="24"/>
      <w:szCs w:val="24"/>
    </w:rPr>
  </w:style>
  <w:style w:type="paragraph" w:styleId="963">
    <w:name w:val="标题 8"/>
    <w:basedOn w:val="955"/>
    <w:next w:val="955"/>
    <w:link w:val="977"/>
    <w:qFormat/>
    <w:pPr>
      <w:numPr>
        <w:ilvl w:val="7"/>
        <w:numId w:val="1"/>
      </w:numPr>
      <w:keepLines/>
      <w:keepNext/>
      <w:spacing w:before="240" w:after="64" w:line="320" w:lineRule="auto"/>
      <w:outlineLvl w:val="7"/>
    </w:pPr>
    <w:rPr>
      <w:rFonts w:ascii="Arial" w:hAnsi="Arial" w:eastAsia="黑体"/>
      <w:sz w:val="24"/>
      <w:szCs w:val="24"/>
    </w:rPr>
  </w:style>
  <w:style w:type="paragraph" w:styleId="964">
    <w:name w:val="标题 9"/>
    <w:basedOn w:val="955"/>
    <w:next w:val="955"/>
    <w:link w:val="978"/>
    <w:qFormat/>
    <w:pPr>
      <w:numPr>
        <w:ilvl w:val="8"/>
        <w:numId w:val="1"/>
      </w:numPr>
      <w:keepLines/>
      <w:keepNext/>
      <w:spacing w:before="240" w:after="64" w:line="320" w:lineRule="auto"/>
      <w:outlineLvl w:val="8"/>
    </w:pPr>
    <w:rPr>
      <w:rFonts w:ascii="Arial" w:hAnsi="Arial" w:eastAsia="黑体"/>
      <w:sz w:val="20"/>
    </w:rPr>
  </w:style>
  <w:style w:type="character" w:styleId="965">
    <w:name w:val="默认段落字体"/>
    <w:next w:val="965"/>
    <w:link w:val="955"/>
    <w:uiPriority w:val="1"/>
    <w:unhideWhenUsed/>
  </w:style>
  <w:style w:type="table" w:styleId="966">
    <w:name w:val="普通表格"/>
    <w:next w:val="966"/>
    <w:link w:val="955"/>
    <w:uiPriority w:val="99"/>
    <w:unhideWhenUsed/>
    <w:tblPr/>
  </w:style>
  <w:style w:type="paragraph" w:styleId="967">
    <w:name w:val="引文目录标题"/>
    <w:basedOn w:val="955"/>
    <w:next w:val="955"/>
    <w:link w:val="955"/>
    <w:uiPriority w:val="99"/>
    <w:unhideWhenUsed/>
    <w:qFormat/>
    <w:pPr>
      <w:spacing w:before="120"/>
    </w:pPr>
    <w:rPr>
      <w:rFonts w:ascii="Cambria" w:hAnsi="Cambria"/>
      <w:sz w:val="24"/>
      <w:szCs w:val="24"/>
    </w:rPr>
  </w:style>
  <w:style w:type="character" w:styleId="968">
    <w:name w:val="标题 1 字符"/>
    <w:next w:val="968"/>
    <w:link w:val="956"/>
    <w:rPr>
      <w:rFonts w:ascii="方正仿宋_GB2312" w:hAnsi="Times New Roman" w:eastAsia="方正仿宋_GB2312" w:cs="Times New Roman"/>
      <w:sz w:val="28"/>
      <w:szCs w:val="28"/>
    </w:rPr>
  </w:style>
  <w:style w:type="character" w:styleId="969">
    <w:name w:val="标题 2 字符"/>
    <w:next w:val="969"/>
    <w:link w:val="957"/>
    <w:rPr>
      <w:rFonts w:ascii="Arial" w:hAnsi="Arial" w:eastAsia="幼圆" w:cs="Arial"/>
      <w:b/>
      <w:bCs/>
      <w:sz w:val="44"/>
      <w:szCs w:val="44"/>
    </w:rPr>
  </w:style>
  <w:style w:type="paragraph" w:styleId="970">
    <w:name w:val="正文缩进"/>
    <w:basedOn w:val="955"/>
    <w:next w:val="970"/>
    <w:link w:val="971"/>
    <w:pPr>
      <w:ind w:firstLine="420"/>
    </w:pPr>
    <w:rPr>
      <w:sz w:val="20"/>
    </w:rPr>
  </w:style>
  <w:style w:type="character" w:styleId="971">
    <w:name w:val="正文缩进 字符"/>
    <w:next w:val="971"/>
    <w:link w:val="970"/>
    <w:rPr>
      <w:rFonts w:ascii="Times New Roman" w:hAnsi="Times New Roman" w:eastAsia="宋体" w:cs="Times New Roman"/>
      <w:szCs w:val="21"/>
    </w:rPr>
  </w:style>
  <w:style w:type="character" w:styleId="972">
    <w:name w:val="标题 3 字符"/>
    <w:next w:val="972"/>
    <w:link w:val="958"/>
    <w:rPr>
      <w:rFonts w:ascii="Times New Roman" w:hAnsi="Times New Roman" w:eastAsia="宋体" w:cs="Times New Roman"/>
      <w:b/>
      <w:bCs/>
      <w:sz w:val="32"/>
      <w:szCs w:val="32"/>
    </w:rPr>
  </w:style>
  <w:style w:type="character" w:styleId="973">
    <w:name w:val="标题 4 字符"/>
    <w:next w:val="973"/>
    <w:link w:val="959"/>
    <w:rPr>
      <w:rFonts w:ascii="Arial" w:hAnsi="Arial" w:eastAsia="黑体" w:cs="Arial"/>
      <w:b/>
      <w:bCs/>
      <w:sz w:val="28"/>
      <w:szCs w:val="28"/>
    </w:rPr>
  </w:style>
  <w:style w:type="character" w:styleId="974">
    <w:name w:val="标题 5 字符"/>
    <w:next w:val="974"/>
    <w:link w:val="960"/>
    <w:rPr>
      <w:rFonts w:ascii="宋体" w:hAnsi="Times New Roman" w:eastAsia="宋体" w:cs="Times New Roman"/>
      <w:color w:val="000000"/>
      <w:sz w:val="28"/>
      <w:szCs w:val="28"/>
    </w:rPr>
  </w:style>
  <w:style w:type="character" w:styleId="975">
    <w:name w:val="标题 6 字符"/>
    <w:next w:val="975"/>
    <w:link w:val="961"/>
    <w:rPr>
      <w:rFonts w:ascii="Arial" w:hAnsi="Arial" w:eastAsia="黑体" w:cs="Times New Roman"/>
      <w:b/>
      <w:bCs/>
      <w:sz w:val="24"/>
      <w:szCs w:val="24"/>
    </w:rPr>
  </w:style>
  <w:style w:type="character" w:styleId="976">
    <w:name w:val="标题 7 字符"/>
    <w:next w:val="976"/>
    <w:link w:val="962"/>
    <w:rPr>
      <w:rFonts w:ascii="Times New Roman" w:hAnsi="Times New Roman" w:eastAsia="宋体" w:cs="Times New Roman"/>
      <w:b/>
      <w:bCs/>
      <w:sz w:val="24"/>
      <w:szCs w:val="24"/>
    </w:rPr>
  </w:style>
  <w:style w:type="character" w:styleId="977">
    <w:name w:val="标题 8 字符"/>
    <w:next w:val="977"/>
    <w:link w:val="963"/>
    <w:rPr>
      <w:rFonts w:ascii="Arial" w:hAnsi="Arial" w:eastAsia="黑体" w:cs="Times New Roman"/>
      <w:sz w:val="24"/>
      <w:szCs w:val="24"/>
    </w:rPr>
  </w:style>
  <w:style w:type="character" w:styleId="978">
    <w:name w:val="标题 9 字符"/>
    <w:next w:val="978"/>
    <w:link w:val="964"/>
    <w:rPr>
      <w:rFonts w:ascii="Arial" w:hAnsi="Arial" w:eastAsia="黑体" w:cs="Times New Roman"/>
      <w:szCs w:val="21"/>
    </w:rPr>
  </w:style>
  <w:style w:type="paragraph" w:styleId="979">
    <w:name w:val="列表 3"/>
    <w:basedOn w:val="955"/>
    <w:next w:val="979"/>
    <w:link w:val="955"/>
    <w:pPr>
      <w:ind w:left="100" w:hanging="200"/>
    </w:pPr>
  </w:style>
  <w:style w:type="paragraph" w:styleId="980">
    <w:name w:val="目录 7"/>
    <w:basedOn w:val="955"/>
    <w:next w:val="955"/>
    <w:link w:val="955"/>
    <w:semiHidden/>
    <w:pPr>
      <w:ind w:left="1260"/>
      <w:jc w:val="left"/>
    </w:pPr>
  </w:style>
  <w:style w:type="paragraph" w:styleId="981">
    <w:name w:val="文档结构图"/>
    <w:basedOn w:val="955"/>
    <w:next w:val="981"/>
    <w:link w:val="982"/>
    <w:semiHidden/>
    <w:pPr>
      <w:shd w:val="clear" w:color="auto" w:fill="000080"/>
    </w:pPr>
    <w:rPr>
      <w:sz w:val="20"/>
    </w:rPr>
  </w:style>
  <w:style w:type="character" w:styleId="982">
    <w:name w:val="文档结构图 字符"/>
    <w:next w:val="982"/>
    <w:link w:val="981"/>
    <w:semiHidden/>
    <w:rPr>
      <w:rFonts w:ascii="Times New Roman" w:hAnsi="Times New Roman" w:eastAsia="宋体" w:cs="Times New Roman"/>
      <w:szCs w:val="21"/>
      <w:shd w:val="clear" w:color="auto" w:fill="000080"/>
    </w:rPr>
  </w:style>
  <w:style w:type="paragraph" w:styleId="983">
    <w:name w:val="批注文字"/>
    <w:basedOn w:val="955"/>
    <w:next w:val="983"/>
    <w:link w:val="984"/>
    <w:semiHidden/>
    <w:pPr>
      <w:jc w:val="left"/>
    </w:pPr>
    <w:rPr>
      <w:sz w:val="20"/>
    </w:rPr>
  </w:style>
  <w:style w:type="character" w:styleId="984">
    <w:name w:val="批注文字 字符"/>
    <w:next w:val="984"/>
    <w:link w:val="983"/>
    <w:semiHidden/>
    <w:rPr>
      <w:rFonts w:ascii="Times New Roman" w:hAnsi="Times New Roman" w:eastAsia="宋体" w:cs="Times New Roman"/>
      <w:szCs w:val="21"/>
    </w:rPr>
  </w:style>
  <w:style w:type="paragraph" w:styleId="985">
    <w:name w:val="正文文本 3"/>
    <w:basedOn w:val="955"/>
    <w:next w:val="985"/>
    <w:link w:val="986"/>
    <w:rPr>
      <w:rFonts w:ascii="方正仿宋_GB2312" w:hAnsi="Arial" w:eastAsia="方正仿宋_GB2312"/>
      <w:sz w:val="32"/>
      <w:szCs w:val="32"/>
    </w:rPr>
  </w:style>
  <w:style w:type="character" w:styleId="986">
    <w:name w:val="正文文本 3 字符"/>
    <w:next w:val="986"/>
    <w:link w:val="985"/>
    <w:rPr>
      <w:rFonts w:ascii="方正仿宋_GB2312" w:hAnsi="Arial" w:eastAsia="方正仿宋_GB2312" w:cs="Times New Roman"/>
      <w:sz w:val="32"/>
      <w:szCs w:val="32"/>
    </w:rPr>
  </w:style>
  <w:style w:type="paragraph" w:styleId="987">
    <w:name w:val="正文文本"/>
    <w:basedOn w:val="955"/>
    <w:next w:val="955"/>
    <w:link w:val="988"/>
    <w:rPr>
      <w:rFonts w:ascii="方正仿宋_GB2312" w:hAnsi="Arial" w:eastAsia="方正仿宋_GB2312"/>
      <w:sz w:val="28"/>
      <w:szCs w:val="28"/>
    </w:rPr>
  </w:style>
  <w:style w:type="character" w:styleId="988">
    <w:name w:val="正文文本 字符"/>
    <w:next w:val="988"/>
    <w:link w:val="987"/>
    <w:rPr>
      <w:rFonts w:ascii="方正仿宋_GB2312" w:hAnsi="Arial" w:eastAsia="方正仿宋_GB2312" w:cs="Times New Roman"/>
      <w:sz w:val="28"/>
      <w:szCs w:val="28"/>
    </w:rPr>
  </w:style>
  <w:style w:type="paragraph" w:styleId="989">
    <w:name w:val="正文文本缩进"/>
    <w:basedOn w:val="955"/>
    <w:next w:val="989"/>
    <w:link w:val="990"/>
    <w:pPr>
      <w:ind w:firstLine="645"/>
    </w:pPr>
    <w:rPr>
      <w:rFonts w:ascii="方正仿宋_GB2312" w:eastAsia="方正仿宋_GB2312"/>
      <w:sz w:val="32"/>
      <w:szCs w:val="32"/>
    </w:rPr>
  </w:style>
  <w:style w:type="character" w:styleId="990">
    <w:name w:val="正文文本缩进 字符"/>
    <w:next w:val="990"/>
    <w:link w:val="989"/>
    <w:rPr>
      <w:rFonts w:ascii="方正仿宋_GB2312" w:hAnsi="Times New Roman" w:eastAsia="方正仿宋_GB2312" w:cs="Times New Roman"/>
      <w:sz w:val="32"/>
      <w:szCs w:val="32"/>
    </w:rPr>
  </w:style>
  <w:style w:type="paragraph" w:styleId="991">
    <w:name w:val="列表 2"/>
    <w:basedOn w:val="955"/>
    <w:next w:val="991"/>
    <w:link w:val="955"/>
    <w:pPr>
      <w:ind w:left="100" w:hanging="200"/>
    </w:pPr>
  </w:style>
  <w:style w:type="paragraph" w:styleId="992">
    <w:name w:val="目录 5"/>
    <w:basedOn w:val="955"/>
    <w:next w:val="955"/>
    <w:link w:val="955"/>
    <w:semiHidden/>
    <w:pPr>
      <w:ind w:left="840"/>
      <w:jc w:val="left"/>
    </w:pPr>
  </w:style>
  <w:style w:type="paragraph" w:styleId="993">
    <w:name w:val="目录 3"/>
    <w:basedOn w:val="955"/>
    <w:next w:val="955"/>
    <w:link w:val="955"/>
    <w:semiHidden/>
    <w:pPr>
      <w:ind w:left="420"/>
      <w:jc w:val="left"/>
    </w:pPr>
    <w:rPr>
      <w:i/>
      <w:iCs/>
      <w:szCs w:val="24"/>
    </w:rPr>
  </w:style>
  <w:style w:type="paragraph" w:styleId="994">
    <w:name w:val="纯文本"/>
    <w:basedOn w:val="955"/>
    <w:next w:val="994"/>
    <w:link w:val="995"/>
    <w:rPr>
      <w:rFonts w:ascii="宋体" w:hAnsi="Courier New"/>
      <w:sz w:val="20"/>
    </w:rPr>
  </w:style>
  <w:style w:type="character" w:styleId="995">
    <w:name w:val="纯文本 字符"/>
    <w:next w:val="995"/>
    <w:link w:val="994"/>
    <w:rPr>
      <w:rFonts w:ascii="宋体" w:hAnsi="Courier New" w:eastAsia="宋体" w:cs="Courier New"/>
      <w:szCs w:val="21"/>
    </w:rPr>
  </w:style>
  <w:style w:type="paragraph" w:styleId="996">
    <w:name w:val="目录 8"/>
    <w:basedOn w:val="955"/>
    <w:next w:val="955"/>
    <w:link w:val="955"/>
    <w:semiHidden/>
    <w:pPr>
      <w:ind w:left="1470"/>
      <w:jc w:val="left"/>
    </w:pPr>
  </w:style>
  <w:style w:type="paragraph" w:styleId="997">
    <w:name w:val="日期"/>
    <w:basedOn w:val="955"/>
    <w:next w:val="955"/>
    <w:link w:val="998"/>
    <w:rPr>
      <w:sz w:val="24"/>
      <w:szCs w:val="24"/>
    </w:rPr>
  </w:style>
  <w:style w:type="character" w:styleId="998">
    <w:name w:val="日期 字符"/>
    <w:next w:val="998"/>
    <w:link w:val="997"/>
    <w:rPr>
      <w:rFonts w:ascii="Times New Roman" w:hAnsi="Times New Roman" w:eastAsia="宋体" w:cs="Times New Roman"/>
      <w:sz w:val="24"/>
      <w:szCs w:val="24"/>
    </w:rPr>
  </w:style>
  <w:style w:type="paragraph" w:styleId="999">
    <w:name w:val="正文文本缩进 2"/>
    <w:basedOn w:val="955"/>
    <w:next w:val="999"/>
    <w:link w:val="1000"/>
    <w:pPr>
      <w:ind w:left="630" w:firstLine="645"/>
    </w:pPr>
    <w:rPr>
      <w:rFonts w:ascii="Arial" w:hAnsi="Arial" w:eastAsia="方正仿宋_GB2312"/>
      <w:sz w:val="32"/>
      <w:szCs w:val="32"/>
    </w:rPr>
  </w:style>
  <w:style w:type="character" w:styleId="1000">
    <w:name w:val="正文文本缩进 2 字符"/>
    <w:next w:val="1000"/>
    <w:link w:val="999"/>
    <w:rPr>
      <w:rFonts w:ascii="Arial" w:hAnsi="Arial" w:eastAsia="方正仿宋_GB2312" w:cs="Arial"/>
      <w:sz w:val="32"/>
      <w:szCs w:val="32"/>
    </w:rPr>
  </w:style>
  <w:style w:type="paragraph" w:styleId="1001">
    <w:name w:val="批注框文本"/>
    <w:basedOn w:val="955"/>
    <w:next w:val="1001"/>
    <w:link w:val="1002"/>
    <w:semiHidden/>
    <w:rPr>
      <w:sz w:val="18"/>
      <w:szCs w:val="18"/>
    </w:rPr>
  </w:style>
  <w:style w:type="character" w:styleId="1002">
    <w:name w:val="批注框文本 字符"/>
    <w:next w:val="1002"/>
    <w:link w:val="1001"/>
    <w:semiHidden/>
    <w:rPr>
      <w:rFonts w:ascii="Times New Roman" w:hAnsi="Times New Roman" w:eastAsia="宋体" w:cs="Times New Roman"/>
      <w:sz w:val="18"/>
      <w:szCs w:val="18"/>
    </w:rPr>
  </w:style>
  <w:style w:type="paragraph" w:styleId="1003">
    <w:name w:val="页脚"/>
    <w:basedOn w:val="955"/>
    <w:next w:val="1003"/>
    <w:link w:val="1004"/>
    <w:uiPriority w:val="99"/>
    <w:pPr>
      <w:jc w:val="left"/>
      <w:tabs>
        <w:tab w:val="center" w:pos="4153" w:leader="none"/>
        <w:tab w:val="right" w:pos="8306" w:leader="none"/>
      </w:tabs>
    </w:pPr>
    <w:rPr>
      <w:sz w:val="18"/>
      <w:szCs w:val="18"/>
    </w:rPr>
  </w:style>
  <w:style w:type="character" w:styleId="1004">
    <w:name w:val="页脚 字符"/>
    <w:next w:val="1004"/>
    <w:link w:val="1003"/>
    <w:uiPriority w:val="99"/>
    <w:rPr>
      <w:rFonts w:ascii="Times New Roman" w:hAnsi="Times New Roman" w:eastAsia="宋体" w:cs="Times New Roman"/>
      <w:sz w:val="18"/>
      <w:szCs w:val="18"/>
    </w:rPr>
  </w:style>
  <w:style w:type="paragraph" w:styleId="1005">
    <w:name w:val="页眉"/>
    <w:basedOn w:val="955"/>
    <w:next w:val="1005"/>
    <w:link w:val="1006"/>
    <w:pPr>
      <w:jc w:val="center"/>
      <w:tabs>
        <w:tab w:val="center" w:pos="4153" w:leader="none"/>
        <w:tab w:val="right" w:pos="8306" w:leader="none"/>
      </w:tabs>
      <w:pBdr>
        <w:bottom w:val="single" w:color="000000" w:sz="6" w:space="1"/>
      </w:pBdr>
    </w:pPr>
    <w:rPr>
      <w:sz w:val="18"/>
      <w:szCs w:val="18"/>
    </w:rPr>
  </w:style>
  <w:style w:type="character" w:styleId="1006">
    <w:name w:val="页眉 字符"/>
    <w:next w:val="1006"/>
    <w:link w:val="1005"/>
    <w:rPr>
      <w:rFonts w:ascii="Times New Roman" w:hAnsi="Times New Roman" w:eastAsia="宋体" w:cs="Times New Roman"/>
      <w:sz w:val="18"/>
      <w:szCs w:val="18"/>
    </w:rPr>
  </w:style>
  <w:style w:type="paragraph" w:styleId="1007">
    <w:name w:val="目录 1"/>
    <w:basedOn w:val="955"/>
    <w:next w:val="955"/>
    <w:link w:val="955"/>
    <w:semiHidden/>
    <w:pPr>
      <w:jc w:val="left"/>
      <w:spacing w:before="120" w:after="120" w:line="400" w:lineRule="exact"/>
      <w:tabs>
        <w:tab w:val="right" w:pos="8720" w:leader="dot"/>
      </w:tabs>
    </w:pPr>
    <w:rPr>
      <w:rFonts w:ascii="宋体" w:hAnsi="宋体"/>
      <w:caps/>
      <w:sz w:val="24"/>
      <w:szCs w:val="24"/>
    </w:rPr>
  </w:style>
  <w:style w:type="paragraph" w:styleId="1008">
    <w:name w:val="目录 4"/>
    <w:basedOn w:val="955"/>
    <w:next w:val="955"/>
    <w:link w:val="955"/>
    <w:semiHidden/>
    <w:pPr>
      <w:ind w:left="630"/>
      <w:jc w:val="left"/>
    </w:pPr>
  </w:style>
  <w:style w:type="paragraph" w:styleId="1009">
    <w:name w:val="列表"/>
    <w:basedOn w:val="955"/>
    <w:next w:val="1009"/>
    <w:link w:val="955"/>
    <w:pPr>
      <w:ind w:left="200" w:hanging="200"/>
    </w:pPr>
  </w:style>
  <w:style w:type="paragraph" w:styleId="1010">
    <w:name w:val="目录 6"/>
    <w:basedOn w:val="955"/>
    <w:next w:val="955"/>
    <w:link w:val="955"/>
    <w:semiHidden/>
    <w:pPr>
      <w:ind w:left="1050"/>
      <w:jc w:val="left"/>
    </w:pPr>
  </w:style>
  <w:style w:type="paragraph" w:styleId="1011">
    <w:name w:val="正文文本缩进 3"/>
    <w:basedOn w:val="955"/>
    <w:next w:val="1011"/>
    <w:link w:val="1012"/>
    <w:pPr>
      <w:ind w:left="645" w:firstLine="645"/>
    </w:pPr>
    <w:rPr>
      <w:rFonts w:ascii="Arial" w:hAnsi="Arial" w:eastAsia="方正仿宋_GB2312"/>
      <w:color w:val="ffff00"/>
      <w:sz w:val="32"/>
      <w:szCs w:val="32"/>
    </w:rPr>
  </w:style>
  <w:style w:type="character" w:styleId="1012">
    <w:name w:val="正文文本缩进 3 字符"/>
    <w:next w:val="1012"/>
    <w:link w:val="1011"/>
    <w:rPr>
      <w:rFonts w:ascii="Arial" w:hAnsi="Arial" w:eastAsia="方正仿宋_GB2312" w:cs="Arial"/>
      <w:color w:val="ffff00"/>
      <w:sz w:val="32"/>
      <w:szCs w:val="32"/>
    </w:rPr>
  </w:style>
  <w:style w:type="paragraph" w:styleId="1013">
    <w:name w:val="图表目录"/>
    <w:basedOn w:val="955"/>
    <w:next w:val="955"/>
    <w:link w:val="955"/>
    <w:semiHidden/>
    <w:pPr>
      <w:ind w:left="840" w:hanging="420"/>
    </w:pPr>
  </w:style>
  <w:style w:type="paragraph" w:styleId="1014">
    <w:name w:val="目录 2"/>
    <w:basedOn w:val="955"/>
    <w:next w:val="955"/>
    <w:link w:val="955"/>
    <w:semiHidden/>
    <w:pPr>
      <w:ind w:left="210"/>
      <w:jc w:val="left"/>
    </w:pPr>
    <w:rPr>
      <w:smallCaps/>
      <w:szCs w:val="24"/>
    </w:rPr>
  </w:style>
  <w:style w:type="paragraph" w:styleId="1015">
    <w:name w:val="目录 9"/>
    <w:basedOn w:val="955"/>
    <w:next w:val="955"/>
    <w:link w:val="955"/>
    <w:semiHidden/>
    <w:pPr>
      <w:ind w:left="1680"/>
      <w:jc w:val="left"/>
    </w:pPr>
  </w:style>
  <w:style w:type="paragraph" w:styleId="1016">
    <w:name w:val="正文文本 2"/>
    <w:basedOn w:val="955"/>
    <w:next w:val="1016"/>
    <w:link w:val="1017"/>
    <w:pPr>
      <w:jc w:val="center"/>
      <w:widowControl/>
    </w:pPr>
    <w:rPr>
      <w:rFonts w:ascii="方正仿宋_GB2312" w:eastAsia="方正仿宋_GB2312"/>
      <w:sz w:val="28"/>
      <w:szCs w:val="28"/>
    </w:rPr>
  </w:style>
  <w:style w:type="character" w:styleId="1017">
    <w:name w:val="正文文本 2 字符"/>
    <w:next w:val="1017"/>
    <w:link w:val="1016"/>
    <w:rPr>
      <w:rFonts w:ascii="方正仿宋_GB2312" w:hAnsi="Times New Roman" w:eastAsia="方正仿宋_GB2312" w:cs="Times New Roman"/>
      <w:sz w:val="28"/>
      <w:szCs w:val="28"/>
    </w:rPr>
  </w:style>
  <w:style w:type="paragraph" w:styleId="1018">
    <w:name w:val="普通(网站)"/>
    <w:basedOn w:val="955"/>
    <w:next w:val="1018"/>
    <w:link w:val="955"/>
    <w:uiPriority w:val="99"/>
    <w:pPr>
      <w:jc w:val="left"/>
      <w:spacing w:before="100" w:beforeAutospacing="1" w:after="100" w:afterAutospacing="1"/>
      <w:widowControl/>
    </w:pPr>
    <w:rPr>
      <w:rFonts w:ascii="宋体" w:hAnsi="宋体" w:cs="宋体"/>
      <w:sz w:val="24"/>
      <w:szCs w:val="24"/>
    </w:rPr>
  </w:style>
  <w:style w:type="paragraph" w:styleId="1019">
    <w:name w:val="索引 1"/>
    <w:basedOn w:val="955"/>
    <w:next w:val="955"/>
    <w:link w:val="955"/>
    <w:semiHidden/>
    <w:pPr>
      <w:spacing w:line="240" w:lineRule="atLeast"/>
    </w:pPr>
    <w:rPr>
      <w:b/>
      <w:bCs/>
    </w:rPr>
  </w:style>
  <w:style w:type="paragraph" w:styleId="1020">
    <w:name w:val="批注主题"/>
    <w:basedOn w:val="983"/>
    <w:next w:val="983"/>
    <w:link w:val="1021"/>
    <w:semiHidden/>
    <w:rPr>
      <w:b/>
      <w:bCs/>
    </w:rPr>
  </w:style>
  <w:style w:type="character" w:styleId="1021">
    <w:name w:val="批注主题 字符"/>
    <w:next w:val="1021"/>
    <w:link w:val="1020"/>
    <w:semiHidden/>
    <w:rPr>
      <w:rFonts w:ascii="Times New Roman" w:hAnsi="Times New Roman" w:eastAsia="宋体" w:cs="Times New Roman"/>
      <w:b/>
      <w:bCs/>
      <w:szCs w:val="21"/>
    </w:rPr>
  </w:style>
  <w:style w:type="paragraph" w:styleId="1022">
    <w:name w:val="正文首行缩进"/>
    <w:basedOn w:val="987"/>
    <w:next w:val="1022"/>
    <w:link w:val="1023"/>
    <w:pPr>
      <w:ind w:firstLine="200"/>
      <w:spacing w:line="360" w:lineRule="auto"/>
    </w:pPr>
    <w:rPr>
      <w:rFonts w:ascii="方正仿宋_GB2312" w:hAnsi="Times New Roman" w:eastAsia="方正仿宋_GB2312"/>
      <w:sz w:val="30"/>
      <w:szCs w:val="30"/>
    </w:rPr>
  </w:style>
  <w:style w:type="character" w:styleId="1023">
    <w:name w:val="正文文本首行缩进 字符"/>
    <w:next w:val="1023"/>
    <w:link w:val="1022"/>
    <w:rPr>
      <w:rFonts w:ascii="方正仿宋_GB2312" w:hAnsi="Times New Roman" w:eastAsia="方正仿宋_GB2312" w:cs="Times New Roman"/>
      <w:sz w:val="30"/>
      <w:szCs w:val="30"/>
    </w:rPr>
  </w:style>
  <w:style w:type="paragraph" w:styleId="1024">
    <w:name w:val="正文首行缩进 2"/>
    <w:basedOn w:val="989"/>
    <w:next w:val="1024"/>
    <w:link w:val="1025"/>
    <w:pPr>
      <w:ind w:firstLine="420"/>
      <w:spacing w:line="360" w:lineRule="auto"/>
    </w:pPr>
    <w:rPr>
      <w:rFonts w:ascii="宋体" w:hAnsi="宋体" w:eastAsia="宋体"/>
      <w:szCs w:val="20"/>
    </w:rPr>
  </w:style>
  <w:style w:type="character" w:styleId="1025">
    <w:name w:val="正文文本首行缩进 2 字符"/>
    <w:next w:val="1025"/>
    <w:link w:val="1024"/>
    <w:rPr>
      <w:rFonts w:ascii="宋体" w:hAnsi="宋体" w:eastAsia="宋体" w:cs="Times New Roman"/>
      <w:sz w:val="32"/>
      <w:szCs w:val="20"/>
    </w:rPr>
  </w:style>
  <w:style w:type="table" w:styleId="1026">
    <w:name w:val="网格型"/>
    <w:basedOn w:val="966"/>
    <w:next w:val="1026"/>
    <w:link w:val="955"/>
    <w:uiPriority w:val="59"/>
    <w:pPr>
      <w:jc w:val="both"/>
      <w:widowControl w:val="off"/>
    </w:pPr>
    <w:rPr>
      <w:rFonts w:ascii="Times New Roman" w:hAnsi="Times New Roman" w:eastAsia="宋体" w:cs="Times New Roman"/>
      <w:sz w:val="20"/>
      <w:szCs w:val="20"/>
    </w:rPr>
    <w:tblPr/>
  </w:style>
  <w:style w:type="character" w:styleId="1027">
    <w:name w:val="要点"/>
    <w:next w:val="1027"/>
    <w:link w:val="955"/>
    <w:qFormat/>
    <w:rPr>
      <w:b/>
      <w:bCs/>
    </w:rPr>
  </w:style>
  <w:style w:type="character" w:styleId="1028">
    <w:name w:val="页码"/>
    <w:next w:val="1028"/>
    <w:link w:val="955"/>
  </w:style>
  <w:style w:type="character" w:styleId="1029">
    <w:name w:val="已访问的超链接"/>
    <w:next w:val="1029"/>
    <w:link w:val="955"/>
    <w:rPr>
      <w:color w:val="800080"/>
      <w:u w:val="single"/>
    </w:rPr>
  </w:style>
  <w:style w:type="character" w:styleId="1030">
    <w:name w:val="超链接"/>
    <w:next w:val="1030"/>
    <w:link w:val="955"/>
    <w:rPr>
      <w:color w:val="0000ff"/>
      <w:u w:val="single"/>
    </w:rPr>
  </w:style>
  <w:style w:type="character" w:styleId="1031">
    <w:name w:val="批注引用"/>
    <w:next w:val="1031"/>
    <w:link w:val="955"/>
    <w:semiHidden/>
    <w:rPr>
      <w:sz w:val="21"/>
      <w:szCs w:val="21"/>
    </w:rPr>
  </w:style>
  <w:style w:type="character" w:styleId="1032">
    <w:name w:val="font5 Char"/>
    <w:next w:val="1032"/>
    <w:link w:val="955"/>
    <w:rPr>
      <w:rFonts w:ascii="宋体" w:hAnsi="宋体" w:eastAsia="宋体"/>
      <w:sz w:val="28"/>
      <w:szCs w:val="28"/>
      <w:lang w:val="en-US" w:eastAsia="zh-CN" w:bidi="ar-SA"/>
    </w:rPr>
  </w:style>
  <w:style w:type="character" w:styleId="1033">
    <w:name w:val="二级目录 Char"/>
    <w:next w:val="1033"/>
    <w:link w:val="1034"/>
    <w:rPr>
      <w:b/>
      <w:sz w:val="30"/>
      <w:szCs w:val="28"/>
      <w:lang w:val="en-US" w:eastAsia="zh-CN" w:bidi="ar-SA"/>
    </w:rPr>
  </w:style>
  <w:style w:type="paragraph" w:styleId="1034">
    <w:name w:val="二级目录"/>
    <w:next w:val="955"/>
    <w:link w:val="1033"/>
    <w:pPr>
      <w:numPr>
        <w:ilvl w:val="0"/>
        <w:numId w:val="2"/>
      </w:numPr>
      <w:tabs>
        <w:tab w:val="left" w:pos="907" w:leader="none"/>
        <w:tab w:val="left" w:pos="1145" w:leader="none"/>
      </w:tabs>
      <w:outlineLvl w:val="1"/>
    </w:pPr>
    <w:rPr>
      <w:b/>
      <w:sz w:val="30"/>
      <w:szCs w:val="28"/>
      <w:lang w:val="en-US" w:eastAsia="zh-CN" w:bidi="ar-SA"/>
    </w:rPr>
  </w:style>
  <w:style w:type="character" w:styleId="1035">
    <w:name w:val="列出段落 Char,Bullet List Char,numbered Char,FooterText Char,List Paragraph1 Char,Paragraphe de liste1 Char"/>
    <w:next w:val="1035"/>
    <w:link w:val="1036"/>
    <w:rPr>
      <w:rFonts w:ascii="Calibri" w:hAnsi="Calibri"/>
      <w:sz w:val="24"/>
      <w:szCs w:val="24"/>
      <w:lang w:eastAsia="en-US" w:bidi="en-US"/>
    </w:rPr>
  </w:style>
  <w:style w:type="paragraph" w:styleId="1036">
    <w:name w:val="列出段落1"/>
    <w:basedOn w:val="955"/>
    <w:next w:val="1036"/>
    <w:link w:val="1035"/>
    <w:qFormat/>
    <w:pPr>
      <w:contextualSpacing/>
      <w:ind w:left="720"/>
      <w:jc w:val="left"/>
      <w:widowControl/>
    </w:pPr>
    <w:rPr>
      <w:rFonts w:ascii="Calibri" w:hAnsi="Calibri"/>
      <w:sz w:val="24"/>
      <w:szCs w:val="24"/>
      <w:lang w:eastAsia="en-US" w:bidi="en-US"/>
    </w:rPr>
  </w:style>
  <w:style w:type="paragraph" w:styleId="1037">
    <w:name w:val="Body Text(ch)"/>
    <w:basedOn w:val="955"/>
    <w:next w:val="987"/>
    <w:link w:val="955"/>
    <w:pPr>
      <w:spacing w:after="120"/>
    </w:pPr>
    <w:rPr>
      <w:rFonts w:ascii="宋体" w:hAnsi="Arial"/>
      <w:bCs/>
      <w:iCs/>
      <w:szCs w:val="24"/>
    </w:rPr>
  </w:style>
  <w:style w:type="paragraph" w:styleId="1038">
    <w:name w:val="xl27"/>
    <w:basedOn w:val="955"/>
    <w:next w:val="1038"/>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name w:val="xl26"/>
    <w:basedOn w:val="955"/>
    <w:next w:val="1039"/>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name w:val="Char"/>
    <w:basedOn w:val="955"/>
    <w:next w:val="1040"/>
    <w:link w:val="955"/>
    <w:pPr>
      <w:ind w:firstLine="200"/>
      <w:tabs>
        <w:tab w:val="left" w:pos="360" w:leader="none"/>
      </w:tabs>
    </w:pPr>
    <w:rPr>
      <w:sz w:val="28"/>
      <w:szCs w:val="30"/>
    </w:rPr>
  </w:style>
  <w:style w:type="paragraph" w:styleId="1041">
    <w:name w:val=" Char"/>
    <w:basedOn w:val="981"/>
    <w:next w:val="1041"/>
    <w:link w:val="955"/>
    <w:rPr>
      <w:rFonts w:ascii="Tahoma" w:hAnsi="Tahoma"/>
      <w:sz w:val="24"/>
      <w:szCs w:val="24"/>
    </w:rPr>
  </w:style>
  <w:style w:type="paragraph" w:styleId="1042">
    <w:name w:val="普通正文"/>
    <w:basedOn w:val="955"/>
    <w:next w:val="1042"/>
    <w:link w:val="955"/>
    <w:pPr>
      <w:ind w:firstLine="480"/>
      <w:jc w:val="left"/>
      <w:spacing w:before="120" w:after="120" w:line="360" w:lineRule="auto"/>
    </w:pPr>
    <w:rPr>
      <w:rFonts w:ascii="Arial" w:hAnsi="Arial"/>
      <w:sz w:val="24"/>
      <w:szCs w:val="24"/>
    </w:rPr>
  </w:style>
  <w:style w:type="paragraph" w:styleId="1043">
    <w:name w:val="table_lines"/>
    <w:basedOn w:val="955"/>
    <w:next w:val="1043"/>
    <w:link w:val="955"/>
    <w:pPr>
      <w:jc w:val="left"/>
      <w:widowControl/>
    </w:pPr>
    <w:rPr>
      <w:sz w:val="20"/>
      <w:szCs w:val="20"/>
      <w:lang w:val="de-DE" w:eastAsia="de-DE"/>
    </w:rPr>
  </w:style>
  <w:style w:type="paragraph" w:styleId="1044">
    <w:name w:val="附录1"/>
    <w:next w:val="1044"/>
    <w:link w:val="955"/>
    <w:pPr>
      <w:numPr>
        <w:ilvl w:val="0"/>
        <w:numId w:val="2"/>
      </w:numPr>
      <w:spacing w:before="240" w:line="600" w:lineRule="atLeast"/>
      <w:tabs>
        <w:tab w:val="left" w:pos="907" w:leader="none"/>
      </w:tabs>
    </w:pPr>
    <w:rPr>
      <w:b/>
      <w:i/>
      <w:sz w:val="28"/>
      <w:lang w:val="en-US" w:eastAsia="zh-CN" w:bidi="ar-SA"/>
    </w:rPr>
  </w:style>
  <w:style w:type="paragraph" w:styleId="1045">
    <w:name w:val="font7"/>
    <w:basedOn w:val="955"/>
    <w:next w:val="1045"/>
    <w:link w:val="955"/>
    <w:pPr>
      <w:jc w:val="left"/>
      <w:spacing w:before="100" w:beforeAutospacing="1" w:after="100" w:afterAutospacing="1"/>
      <w:widowControl/>
    </w:pPr>
    <w:rPr>
      <w:rFonts w:hint="eastAsia" w:ascii="宋体" w:hAnsi="宋体"/>
      <w:sz w:val="18"/>
      <w:szCs w:val="18"/>
    </w:rPr>
  </w:style>
  <w:style w:type="paragraph" w:styleId="1046">
    <w:name w:val=" Char Char Char Char"/>
    <w:basedOn w:val="981"/>
    <w:next w:val="1046"/>
    <w:link w:val="955"/>
    <w:pPr>
      <w:spacing w:line="360" w:lineRule="auto"/>
    </w:pPr>
    <w:rPr>
      <w:rFonts w:ascii="Tahoma" w:hAnsi="Tahoma"/>
      <w:sz w:val="24"/>
      <w:szCs w:val="24"/>
    </w:rPr>
  </w:style>
  <w:style w:type="paragraph" w:styleId="1047">
    <w:name w:val="列表段落"/>
    <w:basedOn w:val="955"/>
    <w:next w:val="1047"/>
    <w:link w:val="955"/>
    <w:qFormat/>
    <w:pPr>
      <w:contextualSpacing/>
      <w:ind w:left="720"/>
      <w:jc w:val="left"/>
      <w:widowControl/>
    </w:pPr>
    <w:rPr>
      <w:rFonts w:ascii="Calibri" w:hAnsi="Calibri"/>
      <w:sz w:val="24"/>
      <w:szCs w:val="24"/>
      <w:lang w:eastAsia="en-US" w:bidi="en-US"/>
    </w:rPr>
  </w:style>
  <w:style w:type="paragraph" w:styleId="1048">
    <w:name w:val="4"/>
    <w:basedOn w:val="955"/>
    <w:next w:val="1011"/>
    <w:link w:val="955"/>
    <w:pPr>
      <w:ind w:firstLine="420"/>
      <w:spacing w:line="360" w:lineRule="auto"/>
    </w:pPr>
    <w:rPr>
      <w:color w:val="ff0000"/>
      <w:sz w:val="24"/>
      <w:szCs w:val="24"/>
    </w:rPr>
  </w:style>
  <w:style w:type="paragraph" w:styleId="1049">
    <w:name w:val="普通 (Web)"/>
    <w:basedOn w:val="955"/>
    <w:next w:val="1049"/>
    <w:link w:val="955"/>
    <w:pPr>
      <w:jc w:val="left"/>
      <w:spacing w:before="100" w:beforeAutospacing="1" w:after="100" w:afterAutospacing="1"/>
      <w:widowControl/>
    </w:pPr>
    <w:rPr>
      <w:rFonts w:ascii="宋体" w:hAnsi="宋体"/>
      <w:sz w:val="24"/>
      <w:szCs w:val="24"/>
    </w:rPr>
  </w:style>
  <w:style w:type="paragraph" w:styleId="1050">
    <w:name w:val=" Char Char Char Char Char Char Char Char Char Char"/>
    <w:basedOn w:val="955"/>
    <w:next w:val="1050"/>
    <w:link w:val="955"/>
    <w:pPr>
      <w:spacing w:line="360" w:lineRule="auto"/>
    </w:pPr>
    <w:rPr>
      <w:sz w:val="24"/>
      <w:szCs w:val="20"/>
    </w:rPr>
  </w:style>
  <w:style w:type="paragraph" w:styleId="1051">
    <w:name w:val="样式1"/>
    <w:basedOn w:val="955"/>
    <w:next w:val="1051"/>
    <w:link w:val="955"/>
    <w:pPr>
      <w:numPr>
        <w:ilvl w:val="0"/>
        <w:numId w:val="3"/>
      </w:numPr>
      <w:tabs>
        <w:tab w:val="left" w:pos="709" w:leader="none"/>
      </w:tabs>
    </w:pPr>
    <w:rPr>
      <w:rFonts w:ascii="宋体" w:hAnsi="宋体"/>
    </w:rPr>
  </w:style>
  <w:style w:type="paragraph" w:styleId="1052">
    <w:name w:val="font6"/>
    <w:basedOn w:val="955"/>
    <w:next w:val="1052"/>
    <w:link w:val="955"/>
    <w:pPr>
      <w:jc w:val="left"/>
      <w:spacing w:before="100" w:beforeAutospacing="1" w:after="100" w:afterAutospacing="1"/>
      <w:widowControl/>
    </w:pPr>
    <w:rPr>
      <w:rFonts w:hint="eastAsia" w:ascii="宋体" w:hAnsi="宋体"/>
      <w:sz w:val="28"/>
      <w:szCs w:val="28"/>
      <w:u w:val="single"/>
    </w:rPr>
  </w:style>
  <w:style w:type="paragraph" w:styleId="1053">
    <w:name w:val="xl25"/>
    <w:basedOn w:val="955"/>
    <w:next w:val="1053"/>
    <w:link w:val="955"/>
    <w:pPr>
      <w:jc w:val="center"/>
      <w:spacing w:before="100" w:beforeAutospacing="1" w:after="100" w:afterAutospacing="1"/>
      <w:widowControl/>
    </w:pPr>
    <w:rPr>
      <w:rFonts w:ascii="Arial Black" w:hAnsi="Arial Black" w:eastAsia="Arial Black" w:cs="Arial Black"/>
      <w:sz w:val="24"/>
      <w:szCs w:val="24"/>
    </w:rPr>
  </w:style>
  <w:style w:type="paragraph" w:styleId="1054">
    <w:name w:val="图标"/>
    <w:basedOn w:val="955"/>
    <w:next w:val="955"/>
    <w:link w:val="955"/>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55">
    <w:name w:val="标题3"/>
    <w:basedOn w:val="955"/>
    <w:next w:val="955"/>
    <w:link w:val="955"/>
    <w:pPr>
      <w:ind w:firstLine="624"/>
      <w:spacing w:line="590" w:lineRule="atLeast"/>
    </w:pPr>
    <w:rPr>
      <w:rFonts w:ascii="方正锐正黑_GBK 中" w:eastAsia="方正锐正黑_GBK 中"/>
      <w:sz w:val="32"/>
      <w:szCs w:val="32"/>
    </w:rPr>
  </w:style>
  <w:style w:type="paragraph" w:styleId="1056">
    <w:name w:val="xl24"/>
    <w:basedOn w:val="955"/>
    <w:next w:val="1056"/>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name w:val="xl29"/>
    <w:basedOn w:val="955"/>
    <w:next w:val="1057"/>
    <w:link w:val="9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8">
    <w:name w:val="Char Char Char Char Char Char Char Char"/>
    <w:basedOn w:val="955"/>
    <w:next w:val="1058"/>
    <w:link w:val="955"/>
    <w:pPr>
      <w:jc w:val="left"/>
      <w:spacing w:after="160" w:line="240" w:lineRule="exact"/>
      <w:widowControl/>
    </w:pPr>
    <w:rPr>
      <w:rFonts w:ascii="Verdana" w:hAnsi="Verdana"/>
      <w:sz w:val="20"/>
      <w:szCs w:val="20"/>
      <w:lang w:eastAsia="en-US"/>
    </w:rPr>
  </w:style>
  <w:style w:type="paragraph" w:styleId="1059">
    <w:name w:val="xl28"/>
    <w:basedOn w:val="955"/>
    <w:next w:val="1059"/>
    <w:link w:val="9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0">
    <w:name w:val=" Char Char Char Char Char Char Char Char"/>
    <w:basedOn w:val="955"/>
    <w:next w:val="1060"/>
    <w:link w:val="955"/>
    <w:pPr>
      <w:jc w:val="left"/>
      <w:spacing w:after="160" w:line="240" w:lineRule="exact"/>
      <w:widowControl/>
    </w:pPr>
    <w:rPr>
      <w:rFonts w:ascii="Verdana" w:hAnsi="Verdana"/>
      <w:sz w:val="20"/>
      <w:szCs w:val="20"/>
      <w:lang w:eastAsia="en-US"/>
    </w:rPr>
  </w:style>
  <w:style w:type="paragraph" w:styleId="1061">
    <w:name w:val="xl30"/>
    <w:basedOn w:val="955"/>
    <w:next w:val="1061"/>
    <w:link w:val="955"/>
    <w:pPr>
      <w:jc w:val="center"/>
      <w:spacing w:before="100" w:beforeAutospacing="1" w:after="100" w:afterAutospacing="1"/>
      <w:widowControl/>
    </w:pPr>
    <w:rPr>
      <w:rFonts w:ascii="宋体" w:hAnsi="宋体"/>
      <w:b/>
      <w:bCs/>
      <w:sz w:val="36"/>
      <w:szCs w:val="36"/>
    </w:rPr>
  </w:style>
  <w:style w:type="paragraph" w:styleId="1062">
    <w:name w:val="Char Char Char Char"/>
    <w:basedOn w:val="981"/>
    <w:next w:val="1062"/>
    <w:link w:val="955"/>
    <w:pPr>
      <w:spacing w:line="360" w:lineRule="auto"/>
    </w:pPr>
    <w:rPr>
      <w:rFonts w:ascii="Tahoma" w:hAnsi="Tahoma"/>
      <w:sz w:val="24"/>
      <w:szCs w:val="24"/>
    </w:rPr>
  </w:style>
  <w:style w:type="paragraph" w:styleId="1063">
    <w:name w:val="table_1stline"/>
    <w:basedOn w:val="955"/>
    <w:next w:val="1063"/>
    <w:link w:val="955"/>
    <w:pPr>
      <w:jc w:val="left"/>
      <w:spacing w:before="120"/>
      <w:widowControl/>
    </w:pPr>
    <w:rPr>
      <w:bCs/>
      <w:sz w:val="20"/>
      <w:szCs w:val="20"/>
      <w:lang w:val="de-DE" w:eastAsia="de-DE"/>
    </w:rPr>
  </w:style>
  <w:style w:type="paragraph" w:styleId="1064">
    <w:name w:val="font5"/>
    <w:basedOn w:val="955"/>
    <w:next w:val="1064"/>
    <w:link w:val="955"/>
    <w:pPr>
      <w:jc w:val="left"/>
      <w:spacing w:before="100" w:beforeAutospacing="1" w:after="100" w:afterAutospacing="1"/>
      <w:widowControl/>
    </w:pPr>
    <w:rPr>
      <w:rFonts w:hint="eastAsia" w:ascii="宋体" w:hAnsi="宋体"/>
      <w:sz w:val="28"/>
      <w:szCs w:val="28"/>
    </w:rPr>
  </w:style>
  <w:style w:type="paragraph" w:styleId="1065">
    <w:name w:val="标题1"/>
    <w:basedOn w:val="955"/>
    <w:next w:val="955"/>
    <w:link w:val="95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6">
    <w:name w:val="修订"/>
    <w:next w:val="1066"/>
    <w:link w:val="955"/>
    <w:uiPriority w:val="99"/>
    <w:semiHidden/>
    <w:rPr>
      <w:sz w:val="21"/>
      <w:szCs w:val="21"/>
      <w:lang w:val="en-US" w:eastAsia="zh-CN" w:bidi="ar-SA"/>
    </w:rPr>
  </w:style>
  <w:style w:type="paragraph" w:styleId="1067">
    <w:name w:val="无间隔"/>
    <w:next w:val="1067"/>
    <w:link w:val="955"/>
    <w:uiPriority w:val="99"/>
    <w:qFormat/>
    <w:pPr>
      <w:jc w:val="both"/>
      <w:widowControl w:val="off"/>
    </w:pPr>
    <w:rPr>
      <w:sz w:val="21"/>
      <w:szCs w:val="21"/>
      <w:lang w:val="en-US" w:eastAsia="zh-CN" w:bidi="ar-SA"/>
    </w:rPr>
  </w:style>
  <w:style w:type="table" w:styleId="1068">
    <w:name w:val="网格型1"/>
    <w:basedOn w:val="966"/>
    <w:next w:val="1068"/>
    <w:link w:val="955"/>
    <w:uiPriority w:val="99"/>
    <w:qFormat/>
    <w:rPr>
      <w:rFonts w:ascii="Calibri" w:hAnsi="Calibri" w:eastAsia="宋体" w:cs="Times New Roman"/>
    </w:rPr>
    <w:tblPr/>
  </w:style>
  <w:style w:type="table" w:styleId="1069">
    <w:name w:val="网格型2"/>
    <w:basedOn w:val="966"/>
    <w:next w:val="1069"/>
    <w:link w:val="955"/>
    <w:uiPriority w:val="99"/>
    <w:qFormat/>
    <w:rPr>
      <w:rFonts w:ascii="Calibri" w:hAnsi="Calibri" w:eastAsia="宋体" w:cs="Times New Roman"/>
    </w:rPr>
    <w:tblPr/>
  </w:style>
  <w:style w:type="table" w:styleId="1070">
    <w:name w:val="网格型3"/>
    <w:basedOn w:val="966"/>
    <w:next w:val="1070"/>
    <w:link w:val="955"/>
    <w:rPr>
      <w:rFonts w:ascii="Calibri" w:hAnsi="Calibri" w:eastAsia="宋体" w:cs="Times New Roman"/>
    </w:rPr>
    <w:tblPr/>
  </w:style>
  <w:style w:type="table" w:styleId="1071">
    <w:name w:val="网格型4"/>
    <w:basedOn w:val="966"/>
    <w:next w:val="1071"/>
    <w:link w:val="955"/>
    <w:rPr>
      <w:rFonts w:ascii="Calibri" w:hAnsi="Calibri" w:eastAsia="宋体" w:cs="Times New Roman"/>
    </w:rPr>
    <w:tblPr/>
  </w:style>
  <w:style w:type="character" w:styleId="1072">
    <w:name w:val="正文缩进2格 Char"/>
    <w:next w:val="1072"/>
    <w:link w:val="1073"/>
    <w:rPr>
      <w:rFonts w:ascii="方正仿宋_GB2312" w:hAnsi="宋体" w:eastAsia="方正仿宋_GB2312"/>
      <w:sz w:val="31"/>
      <w:szCs w:val="28"/>
    </w:rPr>
  </w:style>
  <w:style w:type="paragraph" w:styleId="1073">
    <w:name w:val="正文缩进2格"/>
    <w:basedOn w:val="955"/>
    <w:next w:val="1073"/>
    <w:link w:val="1072"/>
    <w:pPr>
      <w:ind w:firstLine="639"/>
      <w:spacing w:line="600" w:lineRule="exact"/>
    </w:pPr>
    <w:rPr>
      <w:rFonts w:ascii="方正仿宋_GB2312" w:hAnsi="宋体" w:eastAsia="方正仿宋_GB2312"/>
      <w:sz w:val="31"/>
      <w:szCs w:val="28"/>
    </w:rPr>
  </w:style>
  <w:style w:type="character" w:styleId="1074">
    <w:name w:val="标题 1 Char Char"/>
    <w:next w:val="1074"/>
    <w:link w:val="955"/>
    <w:qFormat/>
    <w:rPr>
      <w:rFonts w:hint="eastAsia" w:ascii="宋体" w:hAnsi="宋体" w:eastAsia="宋体"/>
      <w:b/>
      <w:spacing w:val="-2"/>
      <w:sz w:val="24"/>
      <w:lang w:val="en-US" w:eastAsia="zh-CN"/>
    </w:rPr>
  </w:style>
  <w:style w:type="character" w:styleId="1075">
    <w:name w:val="font21"/>
    <w:next w:val="1075"/>
    <w:link w:val="955"/>
    <w:rPr>
      <w:rFonts w:ascii="仿宋_GB2312" w:eastAsia="仿宋_GB2312" w:cs="仿宋_GB2312"/>
      <w:i w:val="0"/>
      <w:iCs w:val="0"/>
      <w:color w:val="000000"/>
      <w:sz w:val="24"/>
      <w:szCs w:val="24"/>
      <w:u w:val="none"/>
    </w:rPr>
  </w:style>
  <w:style w:type="paragraph" w:styleId="1076">
    <w:name w:val="Table Text"/>
    <w:basedOn w:val="955"/>
    <w:next w:val="1076"/>
    <w:link w:val="955"/>
    <w:semiHidden/>
    <w:qFormat/>
    <w:rPr>
      <w:rFonts w:ascii="宋体" w:hAnsi="宋体" w:eastAsia="宋体" w:cs="宋体"/>
      <w:sz w:val="20"/>
      <w:szCs w:val="20"/>
      <w:lang w:val="en-US" w:eastAsia="en-US" w:bidi="ar-SA"/>
    </w:rPr>
  </w:style>
  <w:style w:type="table" w:styleId="1077">
    <w:name w:val="Table Normal"/>
    <w:next w:val="1077"/>
    <w:link w:val="955"/>
    <w:unhideWhenUsed/>
    <w:qFormat/>
    <w:rPr>
      <w:lang w:val="en-US" w:eastAsia="zh-CN" w:bidi="ar-SA"/>
    </w:rPr>
    <w:tblPr/>
  </w:style>
  <w:style w:type="paragraph" w:styleId="1078">
    <w:name w:val="msonormalcxspmiddle"/>
    <w:basedOn w:val="955"/>
    <w:next w:val="1078"/>
    <w:link w:val="955"/>
    <w:qFormat/>
    <w:pPr>
      <w:jc w:val="left"/>
      <w:spacing w:before="100" w:beforeAutospacing="1" w:after="100" w:afterAutospacing="1"/>
      <w:widowControl/>
    </w:pPr>
    <w:rPr>
      <w:rFonts w:ascii="宋体" w:hAnsi="宋体" w:eastAsia="宋体" w:cs="宋体"/>
      <w:sz w:val="24"/>
      <w:szCs w:val="22"/>
    </w:rPr>
  </w:style>
  <w:style w:type="paragraph" w:styleId="1079">
    <w:name w:val="正文首行缩进1"/>
    <w:basedOn w:val="1080"/>
    <w:next w:val="1079"/>
    <w:link w:val="955"/>
    <w:qFormat/>
    <w:pPr>
      <w:ind w:firstLine="200"/>
      <w:spacing w:line="360" w:lineRule="auto"/>
    </w:pPr>
    <w:rPr>
      <w:rFonts w:ascii="仿宋_GB2312" w:hAnsi="Times New Roman" w:eastAsia="仿宋_GB2312"/>
      <w:sz w:val="30"/>
      <w:szCs w:val="30"/>
    </w:rPr>
  </w:style>
  <w:style w:type="paragraph" w:styleId="1080">
    <w:name w:val="正文文本1"/>
    <w:basedOn w:val="955"/>
    <w:next w:val="955"/>
    <w:link w:val="955"/>
    <w:qFormat/>
    <w:rPr>
      <w:rFonts w:ascii="楷体_GB2312" w:hAnsi="Arial" w:eastAsia="楷体_GB2312"/>
      <w:sz w:val="28"/>
      <w:szCs w:val="28"/>
    </w:rPr>
  </w:style>
  <w:style w:type="paragraph" w:styleId="1081">
    <w:name w:val="页眉1"/>
    <w:basedOn w:val="955"/>
    <w:next w:val="1081"/>
    <w:link w:val="955"/>
    <w:qFormat/>
    <w:pPr>
      <w:jc w:val="center"/>
      <w:tabs>
        <w:tab w:val="center" w:pos="4153" w:leader="none"/>
        <w:tab w:val="right" w:pos="8306" w:leader="none"/>
      </w:tabs>
      <w:pBdr>
        <w:bottom w:val="single" w:color="000000" w:sz="6" w:space="1"/>
      </w:pBdr>
    </w:pPr>
    <w:rPr>
      <w:sz w:val="18"/>
      <w:szCs w:val="18"/>
    </w:rPr>
  </w:style>
  <w:style w:type="paragraph" w:styleId="1082">
    <w:name w:val="页脚1"/>
    <w:basedOn w:val="955"/>
    <w:next w:val="1082"/>
    <w:link w:val="955"/>
    <w:uiPriority w:val="99"/>
    <w:qFormat/>
    <w:pPr>
      <w:jc w:val="left"/>
      <w:tabs>
        <w:tab w:val="center" w:pos="4153" w:leader="none"/>
        <w:tab w:val="right" w:pos="8306" w:leader="none"/>
      </w:tabs>
    </w:pPr>
    <w:rPr>
      <w:sz w:val="18"/>
      <w:szCs w:val="18"/>
    </w:rPr>
  </w:style>
  <w:style w:type="character" w:styleId="1083">
    <w:name w:val="font131"/>
    <w:next w:val="1083"/>
    <w:link w:val="955"/>
    <w:uiPriority w:val="99"/>
    <w:qFormat/>
    <w:rPr>
      <w:rFonts w:ascii="宋体" w:hAnsi="宋体" w:eastAsia="宋体" w:cs="宋体"/>
      <w:color w:val="000000"/>
      <w:sz w:val="22"/>
      <w:szCs w:val="22"/>
      <w:u w:val="none"/>
    </w:rPr>
  </w:style>
  <w:style w:type="character" w:styleId="1084">
    <w:name w:val="标题 2 Char1"/>
    <w:next w:val="1084"/>
    <w:link w:val="955"/>
    <w:qFormat/>
    <w:rPr>
      <w:rFonts w:ascii="Arial" w:hAnsi="Arial" w:eastAsia="黑体"/>
      <w:b/>
      <w:sz w:val="32"/>
    </w:rPr>
  </w:style>
  <w:style w:type="paragraph" w:styleId="1085">
    <w:name w:val="无间隔1"/>
    <w:next w:val="1085"/>
    <w:link w:val="955"/>
    <w:qFormat/>
    <w:pPr>
      <w:spacing w:line="300" w:lineRule="auto"/>
      <w:widowControl w:val="off"/>
    </w:pPr>
    <w:rPr>
      <w:rFonts w:ascii="Times New Roman" w:hAnsi="Times New Roman" w:eastAsia="华文仿宋" w:cs="Times New Roman"/>
      <w:sz w:val="24"/>
      <w:szCs w:val="21"/>
      <w:lang w:val="en-US" w:eastAsia="zh-CN" w:bidi="ar-SA"/>
    </w:r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斌90</dc:creator>
  <cp:lastModifiedBy>张亚萍</cp:lastModifiedBy>
  <cp:revision>7</cp:revision>
  <dcterms:created xsi:type="dcterms:W3CDTF">2024-09-26T01:51:00Z</dcterms:created>
  <dcterms:modified xsi:type="dcterms:W3CDTF">2024-09-30T08:00:23Z</dcterms:modified>
</cp:coreProperties>
</file>