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3"/>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13"/>
        <w:rPr>
          <w:color w:val="000000"/>
          <w:highlight w:val="none"/>
        </w:rPr>
        <w:outlineLvl w:val="9"/>
      </w:pPr>
      <w:r>
        <w:rPr>
          <w:color w:val="000000"/>
          <w:highlight w:val="none"/>
        </w:rPr>
      </w:r>
      <w:r/>
    </w:p>
    <w:p>
      <w:pPr>
        <w:pStyle w:val="1493"/>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13"/>
        <w:rPr>
          <w:color w:val="000000"/>
          <w:highlight w:val="none"/>
        </w:rPr>
        <w:outlineLvl w:val="9"/>
      </w:pPr>
      <w:r>
        <w:rPr>
          <w:color w:val="000000"/>
          <w:highlight w:val="none"/>
        </w:rPr>
      </w:r>
      <w:r/>
    </w:p>
    <w:p>
      <w:pPr>
        <w:pStyle w:val="1493"/>
        <w:jc w:val="center"/>
        <w:rPr>
          <w:b/>
          <w:color w:val="000000"/>
          <w:sz w:val="96"/>
          <w:szCs w:val="96"/>
          <w:highlight w:val="none"/>
        </w:rPr>
        <w:outlineLvl w:val="9"/>
      </w:pPr>
      <w:r>
        <w:rPr>
          <w:sz w:val="20"/>
          <w:szCs w:val="18"/>
        </w:rPr>
      </w:r>
      <w:bookmarkStart w:id="0" w:name="_Toc24222"/>
      <w:r>
        <w:rPr>
          <w:sz w:val="20"/>
          <w:szCs w:val="18"/>
        </w:rPr>
      </w:r>
      <w:bookmarkStart w:id="1" w:name="_Toc20707"/>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sz w:val="20"/>
          <w:szCs w:val="18"/>
        </w:rPr>
      </w:r>
      <w:r/>
    </w:p>
    <w:p>
      <w:pPr>
        <w:pStyle w:val="1493"/>
        <w:rPr>
          <w:rFonts w:hint="eastAsia"/>
          <w:b/>
          <w:color w:val="000000"/>
          <w:sz w:val="28"/>
          <w:szCs w:val="28"/>
          <w:highlight w:val="none"/>
        </w:rPr>
        <w:outlineLvl w:val="9"/>
      </w:pPr>
      <w:r>
        <w:rPr>
          <w:rFonts w:hint="eastAsia"/>
          <w:b/>
          <w:color w:val="000000"/>
          <w:sz w:val="28"/>
          <w:szCs w:val="28"/>
          <w:highlight w:val="none"/>
        </w:rPr>
      </w:r>
      <w:r/>
    </w:p>
    <w:p>
      <w:pPr>
        <w:pStyle w:val="1527"/>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493"/>
        <w:rPr>
          <w:rFonts w:hint="eastAsia"/>
          <w:b/>
          <w:color w:val="000000"/>
          <w:sz w:val="28"/>
          <w:szCs w:val="28"/>
          <w:highlight w:val="none"/>
        </w:rPr>
        <w:outlineLvl w:val="9"/>
      </w:pPr>
      <w:r>
        <w:rPr>
          <w:rFonts w:hint="eastAsia"/>
          <w:b/>
          <w:color w:val="000000"/>
          <w:sz w:val="28"/>
          <w:szCs w:val="28"/>
          <w:highlight w:val="none"/>
        </w:rPr>
      </w:r>
      <w:r/>
    </w:p>
    <w:p>
      <w:pPr>
        <w:pStyle w:val="152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2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493"/>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493"/>
        <w:rPr>
          <w:b w:val="0"/>
          <w:bCs/>
          <w:color w:val="000000"/>
          <w:sz w:val="28"/>
          <w:szCs w:val="28"/>
          <w:highlight w:val="none"/>
        </w:rPr>
        <w:outlineLvl w:val="9"/>
      </w:pPr>
      <w:r>
        <w:rPr>
          <w:b w:val="0"/>
          <w:bCs/>
          <w:color w:val="000000"/>
          <w:sz w:val="28"/>
          <w:szCs w:val="28"/>
          <w:highlight w:val="none"/>
        </w:rPr>
      </w:r>
      <w:r/>
    </w:p>
    <w:p>
      <w:pPr>
        <w:pStyle w:val="1518"/>
        <w:ind w:left="1260"/>
        <w:rPr>
          <w:b/>
          <w:color w:val="000000"/>
          <w:sz w:val="28"/>
          <w:szCs w:val="28"/>
          <w:highlight w:val="none"/>
        </w:rPr>
        <w:outlineLvl w:val="9"/>
      </w:pPr>
      <w:r>
        <w:rPr>
          <w:b/>
          <w:color w:val="000000"/>
          <w:sz w:val="28"/>
          <w:szCs w:val="28"/>
          <w:highlight w:val="none"/>
        </w:rPr>
      </w:r>
      <w:r/>
    </w:p>
    <w:p>
      <w:pPr>
        <w:pStyle w:val="1493"/>
        <w:rPr>
          <w:b/>
          <w:color w:val="000000"/>
          <w:sz w:val="28"/>
          <w:szCs w:val="28"/>
          <w:highlight w:val="none"/>
        </w:rPr>
        <w:outlineLvl w:val="9"/>
      </w:pPr>
      <w:r>
        <w:rPr>
          <w:b/>
          <w:color w:val="000000"/>
          <w:sz w:val="28"/>
          <w:szCs w:val="28"/>
          <w:highlight w:val="none"/>
        </w:rPr>
      </w:r>
      <w:r/>
    </w:p>
    <w:p>
      <w:pPr>
        <w:pStyle w:val="1493"/>
        <w:jc w:val="center"/>
        <w:rPr>
          <w:b/>
          <w:color w:val="000000"/>
          <w:sz w:val="28"/>
          <w:szCs w:val="28"/>
          <w:highlight w:val="none"/>
        </w:rPr>
        <w:outlineLvl w:val="9"/>
      </w:pPr>
      <w:r>
        <w:rPr>
          <w:b/>
          <w:color w:val="000000"/>
          <w:sz w:val="28"/>
          <w:szCs w:val="28"/>
          <w:highlight w:val="none"/>
        </w:rPr>
      </w:r>
      <w:r/>
    </w:p>
    <w:p>
      <w:pPr>
        <w:pStyle w:val="1493"/>
        <w:jc w:val="center"/>
        <w:rPr>
          <w:rFonts w:hint="eastAsia"/>
          <w:b/>
          <w:color w:val="000000"/>
          <w:sz w:val="28"/>
          <w:szCs w:val="28"/>
          <w:highlight w:val="none"/>
        </w:rPr>
        <w:outlineLvl w:val="9"/>
      </w:pPr>
      <w:r/>
      <w:bookmarkStart w:id="4" w:name="_Toc9350"/>
      <w:r/>
      <w:bookmarkStart w:id="5" w:name="_Toc607"/>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569"/>
        <w:ind w:firstLine="0"/>
        <w:rPr>
          <w:color w:val="000000"/>
          <w:highlight w:val="none"/>
        </w:rPr>
        <w:outlineLvl w:val="9"/>
      </w:pPr>
      <w:r>
        <w:rPr>
          <w:color w:val="000000"/>
          <w:highlight w:val="none"/>
        </w:rPr>
      </w:r>
      <w:r/>
    </w:p>
    <w:p>
      <w:pPr>
        <w:pStyle w:val="1569"/>
        <w:ind w:firstLine="0"/>
        <w:rPr>
          <w:color w:val="000000"/>
          <w:highlight w:val="none"/>
        </w:rPr>
        <w:outlineLvl w:val="9"/>
      </w:pPr>
      <w:r>
        <w:rPr>
          <w:color w:val="000000"/>
          <w:highlight w:val="none"/>
        </w:rPr>
      </w:r>
      <w:r/>
    </w:p>
    <w:p>
      <w:pPr>
        <w:pStyle w:val="1569"/>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493"/>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493"/>
        <w:spacing w:line="360" w:lineRule="auto"/>
        <w:rPr>
          <w:rFonts w:hint="eastAsia" w:ascii="宋体" w:hAnsi="宋体" w:eastAsia="宋体" w:cs="宋体"/>
          <w:color w:val="000000"/>
          <w:sz w:val="30"/>
          <w:szCs w:val="30"/>
          <w:highlight w:val="none"/>
          <w:lang w:eastAsia="zh-CN"/>
        </w:rPr>
        <w:outlineLvl w:val="9"/>
      </w:pPr>
      <w:r/>
      <w:bookmarkStart w:id="6" w:name="_Toc158"/>
      <w:r/>
      <w:bookmarkStart w:id="7" w:name="_Toc30450"/>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JSZC-320205-THGC-G2024-0042</w:t>
      </w:r>
      <w:r>
        <w:rPr>
          <w:rFonts w:hint="eastAsia" w:ascii="宋体" w:hAnsi="宋体" w:eastAsia="宋体" w:cs="宋体"/>
          <w:color w:val="000000"/>
          <w:sz w:val="30"/>
          <w:szCs w:val="30"/>
          <w:highlight w:val="none"/>
          <w:lang w:eastAsia="zh-CN"/>
        </w:rPr>
      </w:r>
      <w:r/>
    </w:p>
    <w:p>
      <w:pPr>
        <w:pStyle w:val="1493"/>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厚桥街道智慧安全建设(一期)项目</w:t>
      </w:r>
      <w:r>
        <w:rPr>
          <w:rFonts w:hint="eastAsia" w:ascii="宋体" w:hAnsi="宋体" w:eastAsia="宋体" w:cs="Times New Roman"/>
          <w:b w:val="0"/>
          <w:bCs/>
          <w:color w:val="000000"/>
          <w:sz w:val="30"/>
          <w:szCs w:val="30"/>
          <w:highlight w:val="none"/>
          <w:lang w:eastAsia="zh-CN"/>
        </w:rPr>
      </w:r>
      <w:r/>
    </w:p>
    <w:p>
      <w:pPr>
        <w:pStyle w:val="1493"/>
        <w:jc w:val="left"/>
        <w:spacing w:line="360" w:lineRule="auto"/>
        <w:rPr>
          <w:rFonts w:hint="eastAsia" w:ascii="宋体" w:hAnsi="宋体" w:eastAsia="宋体" w:cs="宋体"/>
          <w:color w:val="000000"/>
          <w:sz w:val="30"/>
          <w:szCs w:val="30"/>
          <w:highlight w:val="none"/>
          <w:lang w:eastAsia="zh-CN"/>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r>
        <w:rPr>
          <w:rFonts w:hint="eastAsia" w:ascii="宋体" w:hAnsi="宋体" w:cs="宋体"/>
          <w:color w:val="000000"/>
          <w:sz w:val="30"/>
          <w:szCs w:val="30"/>
          <w:highlight w:val="none"/>
          <w:lang w:eastAsia="zh-CN"/>
        </w:rPr>
        <w:t xml:space="preserve">无锡市锡山区人民政府厚桥街道办事处</w:t>
      </w:r>
      <w:r>
        <w:rPr>
          <w:rFonts w:hint="eastAsia" w:ascii="宋体" w:hAnsi="宋体" w:eastAsia="宋体" w:cs="宋体"/>
          <w:color w:val="000000"/>
          <w:sz w:val="30"/>
          <w:szCs w:val="30"/>
          <w:highlight w:val="none"/>
          <w:lang w:eastAsia="zh-CN"/>
        </w:rPr>
      </w:r>
      <w:r/>
    </w:p>
    <w:p>
      <w:pPr>
        <w:pStyle w:val="1493"/>
        <w:spacing w:line="360" w:lineRule="auto"/>
        <w:rPr>
          <w:rFonts w:hint="eastAsia" w:ascii="宋体" w:hAnsi="宋体" w:cs="宋体"/>
          <w:color w:val="000000"/>
          <w:sz w:val="30"/>
          <w:szCs w:val="30"/>
          <w:highlight w:val="none"/>
        </w:rPr>
        <w:outlineLvl w:val="9"/>
      </w:pPr>
      <w:r/>
      <w:bookmarkStart w:id="8" w:name="_Toc12700"/>
      <w:r/>
      <w:bookmarkStart w:id="9" w:name="_Toc22627"/>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493"/>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493"/>
        <w:jc w:val="center"/>
        <w:rPr>
          <w:rStyle w:val="1548"/>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Style w:val="1548"/>
          <w:rFonts w:eastAsia="黑体"/>
          <w:bCs/>
          <w:color w:val="000000"/>
          <w:sz w:val="48"/>
          <w:highlight w:val="none"/>
        </w:rPr>
      </w:r>
      <w:r/>
    </w:p>
    <w:p>
      <w:pPr>
        <w:pStyle w:val="1493"/>
        <w:jc w:val="center"/>
        <w:rPr>
          <w:rStyle w:val="1548"/>
          <w:rFonts w:hint="eastAsia" w:eastAsia="黑体"/>
          <w:bCs/>
          <w:color w:val="000000"/>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548"/>
          <w:rFonts w:hint="eastAsia" w:eastAsia="黑体"/>
          <w:bCs/>
          <w:color w:val="000000"/>
          <w:sz w:val="48"/>
          <w:highlight w:val="none"/>
        </w:rPr>
      </w:r>
      <w:r/>
    </w:p>
    <w:p>
      <w:pPr>
        <w:pStyle w:val="1527"/>
        <w:tabs>
          <w:tab w:val="center" w:pos="4153" w:leader="none"/>
          <w:tab w:val="right" w:pos="8306" w:leader="none"/>
        </w:tabs>
        <w:rPr>
          <w:rFonts w:hint="eastAsia"/>
          <w:color w:val="000000"/>
          <w:highlight w:val="none"/>
        </w:rPr>
      </w:pPr>
      <w:r>
        <w:rPr>
          <w:rFonts w:hint="eastAsia"/>
          <w:color w:val="000000"/>
          <w:highlight w:val="none"/>
        </w:rPr>
      </w:r>
      <w:r/>
    </w:p>
    <w:p>
      <w:pPr>
        <w:pStyle w:val="1529"/>
        <w:rPr>
          <w:rFonts w:hint="eastAsia"/>
          <w:color w:val="000000"/>
          <w:highlight w:val="none"/>
        </w:rPr>
        <w:outlineLvl w:val="9"/>
      </w:pPr>
      <w:r>
        <w:rPr>
          <w:rFonts w:hint="eastAsia"/>
          <w:color w:val="000000"/>
          <w:highlight w:val="none"/>
        </w:rPr>
      </w:r>
      <w:r/>
    </w:p>
    <w:p>
      <w:pPr>
        <w:pStyle w:val="1493"/>
        <w:jc w:val="center"/>
        <w:rPr>
          <w:rStyle w:val="1548"/>
          <w:rFonts w:hint="eastAsia" w:ascii="宋体" w:hAnsi="宋体" w:cs="宋体"/>
          <w:b/>
          <w:color w:val="000000"/>
          <w:sz w:val="44"/>
          <w:szCs w:val="44"/>
          <w:highlight w:val="none"/>
        </w:rPr>
        <w:outlineLvl w:val="9"/>
      </w:pPr>
      <w:r/>
      <w:bookmarkStart w:id="11" w:name="_Toc15618"/>
      <w:r/>
      <w:bookmarkStart w:id="12" w:name="_Toc32576"/>
      <w:r/>
      <w:bookmarkStart w:id="13" w:name="_Toc23032"/>
      <w:r>
        <w:rPr>
          <w:rStyle w:val="1548"/>
          <w:rFonts w:hint="eastAsia" w:ascii="宋体" w:hAnsi="宋体" w:cs="宋体"/>
          <w:b/>
          <w:color w:val="000000"/>
          <w:sz w:val="44"/>
          <w:szCs w:val="44"/>
          <w:highlight w:val="none"/>
        </w:rPr>
        <w:t xml:space="preserve">目     录</w:t>
      </w:r>
      <w:bookmarkEnd w:id="10"/>
      <w:r/>
      <w:bookmarkEnd w:id="11"/>
      <w:r/>
      <w:bookmarkEnd w:id="12"/>
      <w:r/>
      <w:bookmarkEnd w:id="13"/>
      <w:r>
        <w:rPr>
          <w:rStyle w:val="1548"/>
          <w:rFonts w:hint="eastAsia" w:ascii="宋体" w:hAnsi="宋体" w:cs="宋体"/>
          <w:b/>
          <w:color w:val="000000"/>
          <w:sz w:val="44"/>
          <w:szCs w:val="44"/>
          <w:highlight w:val="none"/>
        </w:rPr>
      </w:r>
      <w:r/>
    </w:p>
    <w:p>
      <w:pPr>
        <w:pStyle w:val="1493"/>
        <w:rPr>
          <w:color w:val="000000"/>
          <w:highlight w:val="none"/>
        </w:rPr>
      </w:pPr>
      <w:r>
        <w:rPr>
          <w:color w:val="000000"/>
          <w:highlight w:val="none"/>
        </w:rPr>
      </w:r>
      <w:r/>
    </w:p>
    <w:p>
      <w:pPr>
        <w:pStyle w:val="1532"/>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2"/>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2"/>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19</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2"/>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35</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2"/>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40</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493"/>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493"/>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3"/>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3"/>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3"/>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3"/>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3"/>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3"/>
        <w:spacing w:line="720" w:lineRule="auto"/>
        <w:rPr>
          <w:rFonts w:hint="eastAsia" w:ascii="宋体" w:hAnsi="Times New Roman" w:eastAsia="宋体" w:cs="Times New Roman"/>
          <w:bCs/>
          <w:color w:val="000000"/>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hAnsi="Times New Roman" w:eastAsia="宋体" w:cs="Times New Roman"/>
          <w:bCs/>
          <w:color w:val="000000"/>
          <w:sz w:val="28"/>
          <w:szCs w:val="28"/>
          <w:highlight w:val="none"/>
        </w:rPr>
      </w:r>
      <w:r/>
    </w:p>
    <w:p>
      <w:pPr>
        <w:pStyle w:val="1493"/>
        <w:jc w:val="center"/>
        <w:spacing w:line="360" w:lineRule="auto"/>
        <w:rPr>
          <w:rFonts w:hint="eastAsia" w:ascii="Times New Roman" w:hAnsi="宋体" w:eastAsia="宋体" w:cs="宋体"/>
          <w:b/>
          <w:bCs/>
          <w:sz w:val="32"/>
          <w:szCs w:val="32"/>
          <w:highlight w:val="none"/>
        </w:rPr>
        <w:outlineLvl w:val="0"/>
      </w:pPr>
      <w:r/>
      <w:bookmarkStart w:id="16" w:name="_Toc13603"/>
      <w:r/>
      <w:bookmarkStart w:id="17" w:name="_Toc622"/>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lang w:eastAsia="zh-CN"/>
        </w:rPr>
        <w:t xml:space="preserve">无锡市锡山区人民政府厚桥街道办事处</w:t>
      </w:r>
      <w:r>
        <w:rPr>
          <w:rFonts w:hint="eastAsia" w:ascii="宋体" w:hAnsi="宋体" w:cs="宋体"/>
          <w:color w:val="000000"/>
          <w:sz w:val="24"/>
          <w:szCs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厚桥街道智慧安全建设(一期)项目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厚桥街道智慧安全建设(一期)项目</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采购项目编号：</w:t>
            </w:r>
            <w:r>
              <w:rPr>
                <w:rFonts w:hint="eastAsia" w:ascii="宋体" w:hAnsi="宋体" w:eastAsia="宋体" w:cs="宋体"/>
                <w:color w:val="000000"/>
                <w:sz w:val="24"/>
                <w:szCs w:val="24"/>
                <w:highlight w:val="none"/>
                <w:lang w:eastAsia="zh-CN"/>
              </w:rPr>
              <w:t xml:space="preserve">JSZC-320205-THGC-G2024-0042</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tc>
      </w:tr>
      <w:tr>
        <w:trPr>
          <w:trHeight w:val="512"/>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firstLine="24"/>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无锡市锡山区人民政府厚桥街道办事处</w:t>
            </w:r>
            <w:r>
              <w:rPr>
                <w:rFonts w:hint="eastAsia" w:ascii="宋体" w:hAnsi="宋体" w:eastAsia="宋体" w:cs="宋体"/>
                <w:bCs/>
                <w:color w:val="000000"/>
                <w:sz w:val="24"/>
                <w:szCs w:val="24"/>
                <w:highlight w:val="none"/>
                <w:lang w:eastAsia="zh-CN"/>
              </w:rPr>
            </w:r>
            <w:r/>
          </w:p>
          <w:p>
            <w:pPr>
              <w:pStyle w:val="1493"/>
              <w:ind w:left="0" w:right="0"/>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采购人地址：</w:t>
            </w:r>
            <w:r>
              <w:rPr>
                <w:rFonts w:hint="eastAsia" w:ascii="宋体" w:hAnsi="宋体" w:eastAsia="宋体" w:cs="宋体"/>
                <w:b w:val="0"/>
                <w:bCs/>
                <w:color w:val="000000"/>
                <w:sz w:val="24"/>
                <w:szCs w:val="24"/>
                <w:highlight w:val="none"/>
                <w:lang w:eastAsia="zh-CN"/>
              </w:rPr>
              <w:t xml:space="preserve">江苏省无锡市锡山区厚桥街道厚嵩东路86号</w:t>
            </w:r>
            <w:r>
              <w:rPr>
                <w:rFonts w:hint="eastAsia" w:ascii="宋体" w:hAnsi="宋体" w:eastAsia="宋体" w:cs="宋体"/>
                <w:b w:val="0"/>
                <w:bCs/>
                <w:color w:val="000000"/>
                <w:sz w:val="24"/>
                <w:szCs w:val="24"/>
                <w:highlight w:val="none"/>
                <w:lang w:eastAsia="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采购机构地址：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lang w:val="en-US" w:eastAsia="zh-CN"/>
              </w:rPr>
            </w:r>
            <w:r/>
          </w:p>
        </w:tc>
      </w:tr>
      <w:tr>
        <w:trPr>
          <w:trHeight w:val="2987"/>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采购项目概况、要求：</w:t>
            </w:r>
            <w:r>
              <w:rPr>
                <w:rFonts w:hint="eastAsia"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采购内容：</w:t>
            </w:r>
            <w:r>
              <w:rPr>
                <w:rFonts w:hint="eastAsia" w:eastAsia="宋体" w:cs="宋体"/>
                <w:color w:val="000000"/>
                <w:sz w:val="24"/>
                <w:szCs w:val="24"/>
                <w:highlight w:val="none"/>
                <w:lang w:val="en-US" w:eastAsia="zh-CN"/>
              </w:rPr>
              <w:t xml:space="preserve">对</w:t>
            </w:r>
            <w:r>
              <w:rPr>
                <w:rFonts w:hint="eastAsia" w:eastAsia="宋体" w:cs="宋体"/>
                <w:color w:val="000000"/>
                <w:sz w:val="24"/>
                <w:szCs w:val="24"/>
                <w:highlight w:val="none"/>
                <w:lang w:eastAsia="zh-CN"/>
              </w:rPr>
              <w:t xml:space="preserve">厚桥街道智慧安全建设(一期)</w:t>
            </w:r>
            <w:r>
              <w:rPr>
                <w:rFonts w:hint="eastAsia" w:eastAsia="宋体" w:cs="宋体"/>
                <w:color w:val="000000"/>
                <w:sz w:val="24"/>
                <w:szCs w:val="24"/>
                <w:highlight w:val="none"/>
                <w:lang w:val="en-US" w:eastAsia="zh-CN"/>
              </w:rPr>
              <w:t xml:space="preserve">进行采购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t xml:space="preserve">详见“三</w:t>
            </w:r>
            <w:r>
              <w:rPr>
                <w:rFonts w:hint="eastAsia" w:ascii="宋体" w:hAnsi="宋体" w:eastAsia="宋体" w:cs="宋体"/>
                <w:color w:val="000000"/>
                <w:highlight w:val="none"/>
                <w:lang w:eastAsia="zh-CN"/>
              </w:rPr>
              <w:t xml:space="preserve">、项目技术要求和有关说明</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hint="eastAsia" w:eastAsia="宋体" w:cs="宋体"/>
                <w:color w:val="000000"/>
                <w:sz w:val="24"/>
                <w:szCs w:val="24"/>
                <w:highlight w:val="none"/>
                <w:lang w:val="en-US" w:eastAsia="zh-CN"/>
              </w:rPr>
              <w:t xml:space="preserve">供货期</w:t>
            </w:r>
            <w:r>
              <w:rPr>
                <w:rFonts w:hint="eastAsia" w:ascii="宋体" w:hAnsi="宋体" w:eastAsia="宋体" w:cs="宋体"/>
                <w:color w:val="000000"/>
                <w:sz w:val="24"/>
                <w:szCs w:val="24"/>
                <w:highlight w:val="none"/>
                <w:lang w:val="en-US" w:eastAsia="zh-CN"/>
              </w:rPr>
              <w:t xml:space="preserve">：合同签订生效后120日历天完成全部供货、安装、调试、验收工作。</w:t>
            </w:r>
            <w:r>
              <w:rPr>
                <w:rFonts w:hint="eastAsia"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3、项目整体免费质保期：1年。</w:t>
            </w:r>
            <w:r>
              <w:rPr>
                <w:rFonts w:hint="eastAsia"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、质量要求：合格，达到主管部门的验收要求。</w:t>
            </w:r>
            <w:r>
              <w:rPr>
                <w:rFonts w:hint="eastAsia"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目投标预算价</w:t>
            </w:r>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val="en-US" w:eastAsia="zh-CN"/>
              </w:rPr>
              <w:t xml:space="preserve">197.4124</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val="en-US" w:eastAsia="zh-CN"/>
              </w:rPr>
              <w:t xml:space="preserve">197.4124</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w:t>
            </w:r>
            <w:r>
              <w:rPr>
                <w:rFonts w:hint="eastAsia" w:ascii="宋体" w:hAnsi="宋体" w:eastAsia="宋体" w:cs="宋体"/>
                <w:bCs/>
                <w:color w:val="000000"/>
                <w:sz w:val="24"/>
                <w:szCs w:val="24"/>
                <w:highlight w:val="none"/>
              </w:rPr>
              <w:t xml:space="preserve">标报价不得超过最高限价，否则作无效响应文件处理。</w:t>
            </w:r>
            <w:r>
              <w:rPr>
                <w:rFonts w:hint="eastAsia" w:ascii="宋体" w:hAnsi="宋体" w:eastAsia="宋体" w:cs="宋体"/>
                <w:b/>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t xml:space="preserve">、本项目</w:t>
            </w:r>
            <w:r>
              <w:rPr>
                <w:rFonts w:hint="eastAsia" w:ascii="宋体" w:hAnsi="宋体" w:eastAsia="宋体" w:cs="宋体"/>
                <w:b/>
                <w:bCs w:val="0"/>
                <w:color w:val="000000"/>
                <w:sz w:val="24"/>
                <w:szCs w:val="24"/>
                <w:highlight w:val="none"/>
                <w:u w:val="single"/>
                <w:lang w:val="en-US" w:eastAsia="zh-CN"/>
              </w:rPr>
              <w:t xml:space="preserve">不接受</w:t>
            </w:r>
            <w:r>
              <w:rPr>
                <w:rFonts w:hint="eastAsia" w:ascii="宋体" w:hAnsi="宋体" w:eastAsia="宋体" w:cs="宋体"/>
                <w:b w:val="0"/>
                <w:bCs/>
                <w:color w:val="000000"/>
                <w:sz w:val="24"/>
                <w:szCs w:val="24"/>
                <w:highlight w:val="none"/>
                <w:lang w:val="en-US" w:eastAsia="zh-CN"/>
              </w:rPr>
              <w:t xml:space="preserve">联合体投标。</w:t>
            </w:r>
            <w:r>
              <w:rPr>
                <w:rFonts w:hint="eastAsia" w:ascii="宋体" w:hAnsi="宋体" w:eastAsia="宋体" w:cs="宋体"/>
                <w:b w:val="0"/>
                <w:bCs/>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t xml:space="preserve">、本项目是否专门面向</w:t>
            </w:r>
            <w:r>
              <w:rPr>
                <w:rFonts w:hint="eastAsia" w:eastAsia="宋体" w:cs="宋体"/>
                <w:b w:val="0"/>
                <w:bCs/>
                <w:color w:val="000000"/>
                <w:sz w:val="24"/>
                <w:szCs w:val="24"/>
                <w:highlight w:val="none"/>
                <w:lang w:val="en-US" w:eastAsia="zh-CN"/>
              </w:rPr>
              <w:t xml:space="preserve">中小</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en-US" w:eastAsia="zh-CN"/>
              </w:rPr>
              <w:t xml:space="preserve">、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color w:val="000000"/>
                <w:sz w:val="24"/>
                <w:szCs w:val="24"/>
                <w:highlight w:val="none"/>
                <w:lang w:val="en-US" w:eastAsia="zh-CN"/>
              </w:rPr>
            </w:r>
            <w:r/>
          </w:p>
        </w:tc>
      </w:tr>
      <w:tr>
        <w:trPr>
          <w:trHeight w:val="90"/>
        </w:trPr>
        <w:tc>
          <w:tcPr>
            <w:tcW w:w="759" w:type="dxa"/>
            <w:vAlign w:val="center"/>
            <w:textDirection w:val="lrTb"/>
            <w:noWrap w:val="false"/>
          </w:tcPr>
          <w:p>
            <w:pPr>
              <w:pStyle w:val="1539"/>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010" w:type="dxa"/>
            <w:vAlign w:val="center"/>
            <w:textDirection w:val="lrTb"/>
            <w:noWrap w:val="false"/>
          </w:tcPr>
          <w:p>
            <w:pPr>
              <w:pStyle w:val="1539"/>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供应商资格要求：</w:t>
            </w:r>
            <w:r>
              <w:rPr>
                <w:rFonts w:hint="eastAsia"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0"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w:t>
            </w:r>
            <w:r>
              <w:rPr>
                <w:rFonts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落实政府采购政策需满足的资格要求：供应商为中型企业/小型企业/微型企业（监狱企业/残疾人福利性单位视同小微企业）</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539"/>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、本项目的特定资格要求：</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发售采购文件时间：</w:t>
            </w:r>
            <w:r>
              <w:rPr>
                <w:rFonts w:hint="eastAsia" w:ascii="宋体" w:hAnsi="宋体" w:eastAsia="宋体" w:cs="宋体"/>
                <w:color w:val="000000"/>
                <w:sz w:val="24"/>
                <w:szCs w:val="24"/>
                <w:highlight w:val="none"/>
              </w:rPr>
            </w:r>
            <w:r/>
          </w:p>
          <w:p>
            <w:pPr>
              <w:pStyle w:val="1493"/>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提供采购文件时间：自</w:t>
            </w:r>
            <w:r>
              <w:rPr>
                <w:rFonts w:hint="eastAsia" w:ascii="宋体" w:hAnsi="宋体" w:eastAsia="宋体" w:cs="宋体"/>
                <w:bCs/>
                <w:color w:val="000000"/>
                <w:sz w:val="24"/>
                <w:szCs w:val="24"/>
                <w:highlight w:val="none"/>
                <w:lang w:val="en-US" w:eastAsia="zh-CN"/>
              </w:rPr>
              <w:t xml:space="preserve">发布之日起5个工作日</w:t>
            </w:r>
            <w:r>
              <w:rPr>
                <w:rFonts w:hint="eastAsia" w:ascii="宋体" w:hAnsi="宋体" w:eastAsia="宋体" w:cs="宋体"/>
                <w:bCs/>
                <w:color w:val="000000"/>
                <w:sz w:val="24"/>
                <w:szCs w:val="24"/>
                <w:highlight w:val="none"/>
              </w:rPr>
              <w:t xml:space="preserve">，法定假日不办理。</w:t>
            </w:r>
            <w:r>
              <w:rPr>
                <w:rFonts w:hint="eastAsia" w:ascii="宋体" w:hAnsi="宋体" w:eastAsia="宋体" w:cs="宋体"/>
                <w:bCs/>
                <w:color w:val="000000"/>
                <w:sz w:val="24"/>
                <w:szCs w:val="24"/>
                <w:highlight w:val="none"/>
              </w:rPr>
            </w:r>
            <w:r/>
          </w:p>
          <w:p>
            <w:pPr>
              <w:pStyle w:val="1493"/>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2、获取方式：本项目采用网上注册登记方式，网上注册登记成功后系统内免费下载。</w:t>
            </w:r>
            <w:r>
              <w:rPr>
                <w:rFonts w:hint="eastAsia" w:ascii="宋体" w:hAnsi="宋体" w:eastAsia="宋体" w:cs="宋体"/>
                <w:bCs/>
                <w:color w:val="000000"/>
                <w:sz w:val="24"/>
                <w:szCs w:val="24"/>
                <w:highlight w:val="none"/>
              </w:rPr>
            </w:r>
            <w:r/>
          </w:p>
          <w:p>
            <w:pPr>
              <w:pStyle w:val="1493"/>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3、潜在</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如确定投标，可在“无锡政府采购网--江苏省政府采购（苏采云）平台或“江苏政府采购网--苏采云”（http</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jszfcg.jscz.gov.cn/jszc/login）中免费下载采购文件（具体操作流程详见《“苏采云”系统供应商操作手册》），完成项目采购文件获取，方可按要求制作、上传响应文件，对采购文件各项内容做出实质性响应，否则其响应文件无效。</w:t>
            </w:r>
            <w:r>
              <w:rPr>
                <w:rFonts w:hint="eastAsia" w:ascii="宋体" w:hAnsi="宋体" w:eastAsia="宋体" w:cs="宋体"/>
                <w:bCs/>
                <w:color w:val="000000"/>
                <w:sz w:val="24"/>
                <w:szCs w:val="24"/>
                <w:highlight w:val="none"/>
              </w:rPr>
            </w:r>
            <w:r/>
          </w:p>
          <w:p>
            <w:pPr>
              <w:pStyle w:val="1493"/>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应承担其编制响应文件以及递交响应文件所涉及的一切费用。无论投标结果如何，采购人对上述费用不负任何责任。</w:t>
            </w:r>
            <w:r>
              <w:rPr>
                <w:rFonts w:hint="eastAsia" w:ascii="宋体" w:hAnsi="宋体" w:eastAsia="宋体" w:cs="宋体"/>
                <w:bCs/>
                <w:color w:val="000000"/>
                <w:sz w:val="24"/>
                <w:szCs w:val="24"/>
                <w:highlight w:val="none"/>
              </w:rPr>
            </w:r>
            <w:r/>
          </w:p>
          <w:p>
            <w:pPr>
              <w:pStyle w:val="1493"/>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5、本项目无须缴纳投标保证金。</w:t>
            </w:r>
            <w:r>
              <w:rPr>
                <w:rFonts w:hint="eastAsia" w:ascii="宋体" w:hAnsi="宋体" w:eastAsia="宋体" w:cs="宋体"/>
                <w:bCs/>
                <w:color w:val="000000"/>
                <w:sz w:val="24"/>
                <w:szCs w:val="24"/>
                <w:highlight w:val="none"/>
              </w:rPr>
            </w:r>
            <w:r/>
          </w:p>
        </w:tc>
      </w:tr>
      <w:tr>
        <w:trPr>
          <w:trHeight w:val="90"/>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投标供应商对采购文件提出修改、澄清要求的截止时间：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7</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18</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00时，以书面</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t xml:space="preserve">形式和电子邮件形式发送给采购代理机构。</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采购人对采购文件修改、澄清的截止时间：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7</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18</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00时前，</w:t>
            </w:r>
            <w:r>
              <w:rPr>
                <w:rFonts w:hint="eastAsia" w:hAnsi="宋体" w:cs="宋体"/>
                <w:sz w:val="24"/>
                <w:highlight w:val="none"/>
              </w:rPr>
              <w:t xml:space="preserve">以电子邮件形式告知</w:t>
            </w:r>
            <w:r>
              <w:rPr>
                <w:rFonts w:hint="eastAsia" w:ascii="宋体" w:hAnsi="宋体" w:eastAsia="宋体" w:cs="宋体"/>
                <w:color w:val="000000"/>
                <w:sz w:val="24"/>
                <w:szCs w:val="24"/>
                <w:highlight w:val="none"/>
              </w:rPr>
              <w:t xml:space="preserve">各报名投标供应商。</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sz w:val="24"/>
                <w:szCs w:val="24"/>
                <w:highlight w:val="none"/>
              </w:rPr>
              <w:t xml:space="preserve">无需递交</w:t>
            </w: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投标有效期：投标截止之日起90天</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投标文件开始接收时间：202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投标文件接收截止时间：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截止时间后的投标文件恕不接受。</w:t>
            </w:r>
            <w:r>
              <w:rPr>
                <w:rFonts w:hint="eastAsia" w:ascii="宋体" w:hAnsi="宋体" w:eastAsia="宋体" w:cs="宋体"/>
                <w:color w:val="000000"/>
                <w:sz w:val="24"/>
                <w:szCs w:val="24"/>
                <w:highlight w:val="none"/>
              </w:rPr>
            </w:r>
            <w:r/>
          </w:p>
          <w:p>
            <w:pPr>
              <w:pStyle w:val="1539"/>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投标方式：网上投标截止时间前</w:t>
            </w:r>
            <w:r>
              <w:rPr>
                <w:rFonts w:hint="eastAsia" w:ascii="宋体" w:hAnsi="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投标客户端投标</w:t>
            </w:r>
            <w:r>
              <w:rPr>
                <w:rFonts w:hint="eastAsia" w:ascii="宋体" w:hAnsi="宋体" w:eastAsia="宋体" w:cs="宋体"/>
                <w:color w:val="000000"/>
                <w:sz w:val="24"/>
                <w:szCs w:val="24"/>
                <w:highlight w:val="none"/>
                <w:lang w:val="en-US" w:eastAsia="zh-CN" w:bidi="ar-SA"/>
              </w:rPr>
            </w:r>
            <w:r/>
          </w:p>
          <w:p>
            <w:pPr>
              <w:pStyle w:val="1539"/>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投标地点：江苏省政府采购（苏采云）平台投标，线上不见面开标</w:t>
            </w:r>
            <w:r>
              <w:rPr>
                <w:rFonts w:hint="eastAsia" w:ascii="宋体" w:hAnsi="宋体" w:eastAsia="宋体" w:cs="宋体"/>
                <w:color w:val="000000"/>
                <w:sz w:val="24"/>
                <w:szCs w:val="24"/>
                <w:highlight w:val="none"/>
                <w:lang w:val="en-US" w:eastAsia="zh-CN" w:bidi="ar-SA"/>
              </w:rPr>
            </w:r>
            <w:r/>
          </w:p>
          <w:p>
            <w:pPr>
              <w:pStyle w:val="1493"/>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网上投标解密时间：开启解密后半小时；</w:t>
            </w:r>
            <w:r>
              <w:rPr>
                <w:rFonts w:hint="eastAsia" w:ascii="宋体" w:hAnsi="宋体" w:eastAsia="宋体" w:cs="宋体"/>
                <w:color w:val="000000"/>
                <w:sz w:val="24"/>
                <w:szCs w:val="24"/>
                <w:highlight w:val="none"/>
                <w:lang w:val="en-US" w:eastAsia="zh-CN" w:bidi="ar-SA"/>
              </w:rPr>
            </w:r>
            <w:r/>
          </w:p>
          <w:p>
            <w:pPr>
              <w:pStyle w:val="1513"/>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rPr>
            </w:r>
            <w:r/>
          </w:p>
          <w:p>
            <w:pPr>
              <w:pStyle w:val="1513"/>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eastAsia="宋体" w:cs="宋体"/>
                <w:b/>
                <w:bCs w:val="0"/>
                <w:color w:val="000000"/>
                <w:sz w:val="24"/>
                <w:szCs w:val="24"/>
                <w:highlight w:val="none"/>
              </w:rPr>
            </w:r>
            <w:r/>
          </w:p>
          <w:p>
            <w:pPr>
              <w:pStyle w:val="1513"/>
              <w:ind w:left="0" w:right="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val="0"/>
                <w:color w:val="000000"/>
                <w:sz w:val="24"/>
                <w:szCs w:val="24"/>
                <w:highlight w:val="none"/>
              </w:rPr>
              <w:t xml:space="preserve">2、若资格审查中或评审过程中，采购人/代理机构/评标委员会对响应文件存在疑问，</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被授权代表须在接到在线询标函后15分钟内，在开标界面在线以澄清函回复并签章；若</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被授权代表未在规定时间内按上述要求做出回复，则视为</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默认资审结果或评审结果。</w:t>
            </w:r>
            <w:r>
              <w:rPr>
                <w:rFonts w:hint="eastAsia" w:ascii="宋体" w:hAnsi="宋体" w:eastAsia="宋体" w:cs="宋体"/>
                <w:color w:val="000000"/>
                <w:sz w:val="24"/>
                <w:szCs w:val="24"/>
                <w:highlight w:val="none"/>
              </w:rPr>
            </w:r>
            <w:r/>
          </w:p>
        </w:tc>
      </w:tr>
      <w:tr>
        <w:trPr>
          <w:trHeight w:val="599"/>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8</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8</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30</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开标地点：苏采云系统（网址：http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//jszfcg.jsczt.cn/）“开标大厅”</w:t>
            </w:r>
            <w:r>
              <w:rPr>
                <w:rFonts w:hint="eastAsia" w:ascii="宋体" w:hAnsi="宋体" w:eastAsia="宋体" w:cs="宋体"/>
                <w:color w:val="000000"/>
                <w:sz w:val="24"/>
                <w:szCs w:val="24"/>
                <w:highlight w:val="none"/>
                <w:lang w:val="zh-CN"/>
              </w:rPr>
            </w:r>
            <w:r/>
          </w:p>
        </w:tc>
      </w:tr>
      <w:tr>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8</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8</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确定中标单位地点：苏采云系统（网址：http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//jszfcg.jsczt.cn/）“开标大厅”</w:t>
            </w:r>
            <w:r>
              <w:rPr>
                <w:rFonts w:hint="eastAsia" w:ascii="宋体" w:hAnsi="宋体" w:eastAsia="宋体" w:cs="宋体"/>
                <w:color w:val="000000"/>
                <w:sz w:val="24"/>
                <w:szCs w:val="24"/>
                <w:highlight w:val="none"/>
              </w:rPr>
            </w:r>
            <w:r/>
          </w:p>
        </w:tc>
      </w:tr>
      <w:tr>
        <w:trPr>
          <w:trHeight w:val="713"/>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投标文件制作要求：</w:t>
            </w:r>
            <w:r>
              <w:rPr>
                <w:rFonts w:hint="eastAsia" w:ascii="宋体" w:hAnsi="宋体" w:eastAsia="宋体" w:cs="宋体"/>
                <w:color w:val="000000"/>
                <w:sz w:val="24"/>
                <w:szCs w:val="24"/>
                <w:highlight w:val="none"/>
              </w:rPr>
            </w:r>
            <w:r/>
          </w:p>
          <w:p>
            <w:pPr>
              <w:pStyle w:val="1493"/>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本项目采用线上电子开评标，供应商在开标截止时间前网上上传电子投标文件。</w:t>
            </w:r>
            <w:r>
              <w:rPr>
                <w:rFonts w:hint="eastAsia" w:ascii="宋体" w:hAnsi="宋体" w:eastAsia="宋体" w:cs="宋体"/>
                <w:color w:val="000000"/>
                <w:sz w:val="24"/>
                <w:szCs w:val="24"/>
                <w:highlight w:val="none"/>
              </w:rPr>
            </w:r>
            <w:r/>
          </w:p>
          <w:p>
            <w:pPr>
              <w:pStyle w:val="1493"/>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开标当天请供应商联系人保持通讯畅通。</w:t>
            </w:r>
            <w:r>
              <w:rPr>
                <w:rFonts w:hint="eastAsia" w:ascii="宋体" w:hAnsi="宋体" w:eastAsia="宋体" w:cs="宋体"/>
                <w:color w:val="000000"/>
                <w:sz w:val="24"/>
                <w:szCs w:val="24"/>
                <w:highlight w:val="none"/>
              </w:rPr>
            </w:r>
            <w:r/>
          </w:p>
          <w:p>
            <w:pPr>
              <w:pStyle w:val="1493"/>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供应商请仔细阅读供应商注册流程和采购文件中关于电子开评标等相关事项，如有问题可发送邮件或电话咨询。</w:t>
            </w:r>
            <w:r>
              <w:rPr>
                <w:rFonts w:hint="eastAsia" w:ascii="宋体" w:hAnsi="宋体" w:eastAsia="宋体" w:cs="宋体"/>
                <w:color w:val="000000"/>
                <w:sz w:val="24"/>
                <w:szCs w:val="24"/>
                <w:highlight w:val="none"/>
              </w:rPr>
            </w:r>
            <w:r/>
          </w:p>
          <w:p>
            <w:pPr>
              <w:pStyle w:val="1493"/>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、本次采购采用“苏采云”系统进行采购活动，招标文件发布、报价、评审和中标结果发布全程电子化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93"/>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、中标供应商在收到中标通知书后与采购人签订合同前，必须提供与系统中电子投标文件一致的纸质投标文件一式</w:t>
            </w:r>
            <w:r>
              <w:rPr>
                <w:rFonts w:hint="eastAsia" w:ascii="宋体" w:hAnsi="宋体" w:eastAsia="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lang w:eastAsia="zh-CN"/>
              </w:rPr>
              <w:t xml:space="preserve">份（</w:t>
            </w:r>
            <w:r>
              <w:rPr>
                <w:rFonts w:hint="eastAsia" w:ascii="宋体" w:hAnsi="宋体" w:eastAsia="宋体" w:cs="宋体"/>
                <w:b/>
                <w:color w:val="000000"/>
                <w:sz w:val="24"/>
                <w:szCs w:val="24"/>
                <w:highlight w:val="none"/>
                <w:lang w:val="en-US" w:eastAsia="zh-CN"/>
              </w:rPr>
              <w:t xml:space="preserve">一正一副</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1493"/>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无锡市锡山区人民政府厚桥街道办事处</w:t>
            </w:r>
            <w:r>
              <w:rPr>
                <w:rFonts w:hint="eastAsia" w:ascii="宋体" w:hAnsi="宋体" w:eastAsia="宋体" w:cs="宋体"/>
                <w:color w:val="000000"/>
                <w:sz w:val="24"/>
                <w:szCs w:val="24"/>
                <w:highlight w:val="none"/>
                <w:lang w:eastAsia="zh-CN"/>
              </w:rPr>
            </w:r>
            <w:r/>
          </w:p>
          <w:p>
            <w:pPr>
              <w:pStyle w:val="1493"/>
              <w:ind w:left="0" w:right="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联系地址：</w:t>
            </w:r>
            <w:r>
              <w:rPr>
                <w:rFonts w:hint="eastAsia" w:ascii="宋体" w:hAnsi="宋体" w:eastAsia="宋体" w:cs="宋体"/>
                <w:bCs/>
                <w:color w:val="000000"/>
                <w:sz w:val="24"/>
                <w:szCs w:val="24"/>
                <w:highlight w:val="none"/>
                <w:lang w:eastAsia="zh-CN"/>
              </w:rPr>
              <w:t xml:space="preserve">江苏省无锡市锡山区厚桥街道厚嵩东路86号</w:t>
            </w:r>
            <w:r>
              <w:rPr>
                <w:rFonts w:hint="eastAsia" w:ascii="宋体" w:hAnsi="宋体" w:eastAsia="宋体" w:cs="宋体"/>
                <w:bCs/>
                <w:color w:val="000000"/>
                <w:sz w:val="24"/>
                <w:szCs w:val="24"/>
                <w:highlight w:val="none"/>
                <w:lang w:eastAsia="zh-CN"/>
              </w:rPr>
            </w:r>
            <w:r/>
          </w:p>
          <w:p>
            <w:pPr>
              <w:pStyle w:val="1493"/>
              <w:ind w:left="0" w:right="0"/>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采购单位联系人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钱小海</w:t>
            </w:r>
            <w:r>
              <w:rPr>
                <w:rFonts w:ascii="宋体" w:hAnsi="宋体" w:eastAsia="宋体" w:cs="宋体"/>
                <w:bCs/>
                <w:color w:val="000000"/>
                <w:sz w:val="24"/>
                <w:szCs w:val="24"/>
                <w:highlight w:val="none"/>
                <w:lang w:val="en-US" w:eastAsia="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lang w:val="zh-CN"/>
              </w:rPr>
            </w:r>
            <w:r/>
          </w:p>
          <w:p>
            <w:pPr>
              <w:pStyle w:val="1493"/>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刘燕</w:t>
            </w:r>
            <w:r>
              <w:rPr>
                <w:rFonts w:hint="eastAsia" w:ascii="宋体" w:hAnsi="宋体" w:eastAsia="宋体" w:cs="宋体"/>
                <w:color w:val="000000"/>
                <w:sz w:val="24"/>
                <w:szCs w:val="24"/>
                <w:highlight w:val="none"/>
                <w:lang w:val="en-US" w:eastAsia="zh-CN"/>
              </w:rPr>
            </w:r>
            <w:r/>
          </w:p>
          <w:p>
            <w:pPr>
              <w:pStyle w:val="1493"/>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联系电话、传真：</w:t>
            </w:r>
            <w:r>
              <w:rPr>
                <w:rFonts w:hint="eastAsia" w:ascii="宋体" w:hAnsi="宋体" w:eastAsia="宋体" w:cs="宋体"/>
                <w:bCs/>
                <w:color w:val="000000"/>
                <w:sz w:val="24"/>
                <w:szCs w:val="24"/>
                <w:highlight w:val="none"/>
              </w:rPr>
              <w:t xml:space="preserve">0510-88226300</w:t>
            </w:r>
            <w:r>
              <w:rPr>
                <w:rFonts w:hint="eastAsia" w:ascii="宋体" w:hAnsi="宋体" w:eastAsia="宋体" w:cs="宋体"/>
                <w:color w:val="000000"/>
                <w:sz w:val="24"/>
                <w:szCs w:val="24"/>
                <w:highlight w:val="none"/>
              </w:rPr>
            </w:r>
            <w:r/>
          </w:p>
          <w:p>
            <w:pPr>
              <w:pStyle w:val="1493"/>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rPr>
            </w:r>
            <w:r/>
          </w:p>
          <w:p>
            <w:pPr>
              <w:pStyle w:val="1493"/>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邮政编码：214000</w:t>
            </w:r>
            <w:r>
              <w:rPr>
                <w:rFonts w:hint="eastAsia" w:ascii="宋体" w:hAnsi="宋体" w:eastAsia="宋体" w:cs="宋体"/>
                <w:color w:val="000000"/>
                <w:sz w:val="24"/>
                <w:szCs w:val="24"/>
                <w:highlight w:val="none"/>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电子邮件地址：</w:t>
            </w:r>
            <w:r>
              <w:rPr>
                <w:rFonts w:hint="eastAsia" w:ascii="宋体" w:hAnsi="宋体" w:eastAsia="宋体" w:cs="Times New Roman"/>
                <w:bCs/>
                <w:sz w:val="24"/>
                <w:szCs w:val="24"/>
                <w:highlight w:val="none"/>
                <w:lang w:val="en-US" w:eastAsia="zh-CN"/>
              </w:rPr>
              <w:t xml:space="preserve">1915688621@qq.com</w:t>
            </w:r>
            <w:r>
              <w:rPr>
                <w:rFonts w:hint="eastAsia" w:ascii="宋体" w:hAnsi="宋体" w:eastAsia="宋体" w:cs="宋体"/>
                <w:color w:val="000000"/>
                <w:sz w:val="24"/>
                <w:szCs w:val="24"/>
                <w:highlight w:val="none"/>
              </w:rPr>
            </w:r>
            <w:r/>
          </w:p>
        </w:tc>
      </w:tr>
      <w:tr>
        <w:trPr>
          <w:trHeight w:val="91"/>
        </w:trPr>
        <w:tc>
          <w:tcPr>
            <w:tcW w:w="759" w:type="dxa"/>
            <w:vAlign w:val="center"/>
            <w:textDirection w:val="lrTb"/>
            <w:noWrap w:val="false"/>
          </w:tcPr>
          <w:p>
            <w:pPr>
              <w:pStyle w:val="1493"/>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14</w:t>
            </w:r>
            <w:r>
              <w:rPr>
                <w:rFonts w:hint="eastAsia" w:ascii="宋体" w:hAnsi="宋体" w:eastAsia="宋体" w:cs="宋体"/>
                <w:color w:val="000000"/>
                <w:sz w:val="24"/>
                <w:szCs w:val="24"/>
                <w:highlight w:val="none"/>
                <w:lang w:val="zh-CN"/>
              </w:rPr>
            </w:r>
            <w:r/>
          </w:p>
        </w:tc>
        <w:tc>
          <w:tcPr>
            <w:tcW w:w="8010" w:type="dxa"/>
            <w:vAlign w:val="center"/>
            <w:textDirection w:val="lrTb"/>
            <w:noWrap w:val="false"/>
          </w:tcPr>
          <w:p>
            <w:pPr>
              <w:pStyle w:val="1493"/>
              <w:ind w:left="0" w:right="0"/>
              <w:keepLines w:val="0"/>
              <w:keepNext w:val="0"/>
              <w:pageBreakBefore w:val="0"/>
              <w:spacing w:line="360" w:lineRule="auto"/>
              <w:widowControl/>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潜在投标供应商访问江苏省政府采购（苏采云）平台的网络地址和方法：</w:t>
            </w:r>
            <w:r>
              <w:rPr>
                <w:rFonts w:hint="eastAsia" w:ascii="宋体" w:hAnsi="宋体" w:eastAsia="宋体" w:cs="宋体"/>
                <w:b/>
                <w:bCs/>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1、请有意参加本项目投标的供应商按以下流程进行操作：</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（1）访问“无锡政府采购网”点击“江苏省政府采购（苏采云）平台”——“用户注册”按钮进入注册界面进行账号注册并填写申请信息，也可以直接通过http：//jszfcg.jscz.gov.cn/jszc/register进入注册界面。</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（2）领取CA：</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（3）CA驱动下载：</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（5）采购文件（后缀名为“.kedt”）、“苏采云”系统供应商操作手册及政府采购客户端工具也可通过“苏采云”系统--已参与项目--报名详情页面内相应链接进行下载。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（7）采购代理机构将数据电文形式的采购文件加载至“苏采云”系统，供潜在供应商下载或者查阅。</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（8）苏采云系统应使用谷歌浏览器参与不见面开标。</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3、有关本次招标的事项若存在变动或修改，敬请及时关注“无锡政府采购网”、“江苏政府采购网”发布的信息。</w:t>
            </w:r>
            <w:r>
              <w:rPr>
                <w:rFonts w:hint="eastAsia" w:ascii="宋体" w:hAnsi="宋体" w:eastAsia="宋体" w:cs="宋体"/>
                <w:color w:val="000000"/>
                <w:sz w:val="24"/>
                <w:szCs w:val="24"/>
                <w:highlight w:val="none"/>
                <w:lang w:val="zh-CN"/>
              </w:rPr>
            </w:r>
            <w:r/>
          </w:p>
          <w:p>
            <w:pPr>
              <w:pStyle w:val="1493"/>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4、如投标人未按上述要求操作，由此所产生的损失及风险由投标人自行承担。</w:t>
            </w:r>
            <w:r>
              <w:rPr>
                <w:rFonts w:hint="eastAsia" w:ascii="宋体" w:hAnsi="宋体" w:eastAsia="宋体" w:cs="宋体"/>
                <w:color w:val="000000"/>
                <w:sz w:val="24"/>
                <w:szCs w:val="24"/>
                <w:highlight w:val="none"/>
                <w:lang w:val="zh-CN"/>
              </w:rPr>
            </w:r>
            <w:r/>
          </w:p>
        </w:tc>
      </w:tr>
    </w:tbl>
    <w:p>
      <w:pPr>
        <w:pStyle w:val="1544"/>
        <w:ind w:left="0" w:firstLine="0"/>
        <w:rPr>
          <w:rFonts w:hint="eastAsia"/>
          <w:color w:val="000000"/>
          <w:highlight w:val="none"/>
        </w:rPr>
        <w:outlineLvl w:val="9"/>
      </w:pPr>
      <w:r>
        <w:rPr>
          <w:rFonts w:hint="eastAsia"/>
          <w:color w:val="000000"/>
          <w:highlight w:val="none"/>
        </w:rPr>
      </w:r>
      <w:r/>
    </w:p>
    <w:p>
      <w:pPr>
        <w:pStyle w:val="1493"/>
        <w:jc w:val="center"/>
        <w:spacing w:line="360" w:lineRule="auto"/>
        <w:rPr>
          <w:rStyle w:val="1502"/>
          <w:rFonts w:hint="eastAsia"/>
          <w:color w:val="000000"/>
          <w:highlight w:val="none"/>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8" w:name="_Toc23923"/>
      <w:r>
        <w:rPr>
          <w:rStyle w:val="1502"/>
          <w:rFonts w:hint="eastAsia"/>
          <w:color w:val="000000"/>
          <w:highlight w:val="none"/>
          <w:lang w:val="en-US" w:eastAsia="zh-CN"/>
        </w:rPr>
      </w:r>
      <w:r/>
    </w:p>
    <w:p>
      <w:pPr>
        <w:pStyle w:val="1493"/>
        <w:jc w:val="center"/>
        <w:spacing w:line="360" w:lineRule="auto"/>
        <w:rPr>
          <w:rFonts w:hint="eastAsia" w:ascii="Times New Roman" w:hAnsi="宋体" w:eastAsia="宋体" w:cs="宋体"/>
          <w:b/>
          <w:bCs/>
          <w:sz w:val="32"/>
          <w:szCs w:val="32"/>
          <w:highlight w:val="none"/>
        </w:rPr>
        <w:outlineLvl w:val="0"/>
      </w:pPr>
      <w:r/>
      <w:bookmarkStart w:id="19" w:name="_Toc24863"/>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575"/>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eastAsia="宋体" w:cs="宋体"/>
          <w:bCs/>
          <w:color w:val="000000"/>
          <w:sz w:val="24"/>
          <w:szCs w:val="24"/>
          <w:highlight w:val="none"/>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做出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493"/>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扫描件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正、反面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正、反面</w:t>
      </w:r>
      <w:r>
        <w:rPr>
          <w:rFonts w:hint="eastAsia" w:ascii="宋体" w:hAnsi="宋体" w:eastAsia="宋体" w:cs="宋体"/>
          <w:b/>
          <w:bCs w:val="0"/>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493"/>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见附件</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．投标供应商情况表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493"/>
        <w:ind w:left="0" w:firstLine="482"/>
        <w:keepLines w:val="0"/>
        <w:keepNext w:val="0"/>
        <w:pageBreakBefore w:val="0"/>
        <w:spacing w:line="360" w:lineRule="auto"/>
        <w:widowControl w:val="off"/>
        <w:tabs>
          <w:tab w:val="left" w:pos="1260"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提供第三章项目需求和有关要求需提供的相关证明材料（如有，格式自拟并自行添加）</w:t>
      </w:r>
      <w:r>
        <w:rPr>
          <w:rFonts w:hint="eastAsia" w:ascii="宋体" w:hAnsi="宋体" w:eastAsia="宋体" w:cs="宋体"/>
          <w:b/>
          <w:bCs w:val="0"/>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260"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投</w:t>
      </w:r>
      <w:r>
        <w:rPr>
          <w:rFonts w:hint="eastAsia" w:ascii="宋体" w:hAnsi="宋体" w:eastAsia="宋体" w:cs="宋体"/>
          <w:bCs/>
          <w:color w:val="000000"/>
          <w:sz w:val="24"/>
          <w:szCs w:val="24"/>
          <w:highlight w:val="none"/>
          <w:lang w:val="en-US" w:eastAsia="zh-CN"/>
        </w:rPr>
        <w:t xml:space="preserve">标供应商近年已完成类似业绩一览表</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
          <w:bCs w:val="0"/>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技术方案（详见评分标准）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评分标准中对应的其它所需证明材料</w:t>
      </w:r>
      <w:r>
        <w:rPr>
          <w:rFonts w:hint="eastAsia" w:ascii="宋体" w:hAnsi="宋体" w:eastAsia="宋体" w:cs="宋体"/>
          <w:b/>
          <w:bCs w:val="0"/>
          <w:color w:val="000000"/>
          <w:sz w:val="24"/>
          <w:szCs w:val="24"/>
          <w:highlight w:val="none"/>
        </w:rPr>
        <w:t xml:space="preserve">（如有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格式自拟并自行添加）</w:t>
      </w:r>
      <w:r>
        <w:rPr>
          <w:rFonts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w:t>
      </w:r>
      <w:r>
        <w:rPr>
          <w:rFonts w:hint="eastAsia" w:ascii="宋体" w:hAnsi="宋体" w:eastAsia="宋体" w:cs="宋体"/>
          <w:b/>
          <w:bCs w:val="0"/>
          <w:color w:val="000000"/>
          <w:sz w:val="24"/>
          <w:szCs w:val="24"/>
          <w:highlight w:val="none"/>
        </w:rPr>
        <w:t xml:space="preserve">（如有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格式自拟并自行添加）</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260" w:leader="none"/>
        </w:tabs>
        <w:rPr>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b/>
          <w:bCs w:val="0"/>
          <w:color w:val="000000"/>
          <w:sz w:val="24"/>
          <w:szCs w:val="24"/>
          <w:highlight w:val="none"/>
        </w:rPr>
        <w:t xml:space="preserve">（投标人认为有必要提供的声明和文件，如有格式自拟并自行添加）</w:t>
      </w:r>
      <w:r>
        <w:rPr>
          <w:highlight w:val="none"/>
          <w:lang w:val="en-US" w:eastAsia="zh-CN"/>
        </w:rPr>
      </w:r>
      <w:r/>
    </w:p>
    <w:p>
      <w:pPr>
        <w:pStyle w:val="1493"/>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项投标</w:t>
      </w:r>
      <w:r>
        <w:rPr>
          <w:rFonts w:hint="eastAsia" w:ascii="宋体" w:hAnsi="宋体" w:eastAsia="宋体" w:cs="宋体"/>
          <w:bCs/>
          <w:color w:val="000000"/>
          <w:sz w:val="24"/>
          <w:szCs w:val="24"/>
          <w:highlight w:val="none"/>
        </w:rPr>
        <w:t xml:space="preserve">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5．投标费用自理。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6.投标供应商进行网上报价请参照《政府采购项目电子交易管理操作指南-供应商》（网址：</w:t>
      </w: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HYPERLINK "http://cz.wuxi.gov.cn/ztzl/zfcg/zlxz/scy/index.shtml）。"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http://cz.wuxi.gov.cn/ztzl/zfcg/zlxz/scy/index.shtml）。</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1．投标人有下列情况之一者，投标文件无效：</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2．未按规定在无锡市政府采购供应商主体信息库注册的；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3．电子投标文件未按规定期限投标的；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4．电子投标文件未按招标文件要求签章的；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5．投标人未按招标文件要求解密电子投标文件的；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6．投标人的法定代表人授权代表，无法定代表人授权委托书的；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7．投标人的法定代表人或被授权代表，未准时参加开标会议的；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10．投标文件未按招标文件规定的内容和要求填写的；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11．投标文件书写潦草、字迹模糊不清、无法辨认的；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12．投标文件中有招标文件未允许提供的选择性内容；</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13．不同投标人委托同一单位或者个人办理投标事宜的；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14．不同投标人的单位负责人为同一人或者存在直接控股、管理关系的；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16．不同投标人的委托代理人、项目负责人以及其他相关人员有在同一个单位缴纳社会保险、同一投标文件中单位名称落款与公章不是同一单位的；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17．项目（标段）投标总价超过本项目（标段）预算或最高限价的；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18．提供虚假材料的（包括工商营业执照、财务报表、资格证明文件等）；</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19．投标文件含有采购人不能接受的附加条件的；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22．投标文件中无技术方案或技术方案编制粗糙、缺漏项较多；</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24．投标文件内容不全或不符合招标文件中规定的其它实质性要求的；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25．法律法规和招标文件规定的其它无效情形。</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493"/>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545"/>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722"/>
        <w:gridCol w:w="4911"/>
      </w:tblGrid>
      <w:tr>
        <w:trPr/>
        <w:tc>
          <w:tcPr>
            <w:tcW w:w="846" w:type="dxa"/>
            <w:vAlign w:val="center"/>
            <w:textDirection w:val="lrTb"/>
            <w:noWrap w:val="false"/>
          </w:tcPr>
          <w:p>
            <w:pPr>
              <w:pStyle w:val="1493"/>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633" w:type="dxa"/>
            <w:vAlign w:val="center"/>
            <w:textDirection w:val="lrTb"/>
            <w:noWrap w:val="false"/>
          </w:tcPr>
          <w:p>
            <w:pPr>
              <w:pStyle w:val="1493"/>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632"/>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1126"/>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94"/>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rPr>
            </w:r>
            <w:r/>
          </w:p>
        </w:tc>
      </w:tr>
      <w:tr>
        <w:trPr>
          <w:trHeight w:val="572"/>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884"/>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765"/>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1508"/>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1498"/>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752"/>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9</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2756"/>
        </w:trPr>
        <w:tc>
          <w:tcPr>
            <w:tcW w:w="846" w:type="dxa"/>
            <w:vAlign w:val="center"/>
            <w:textDirection w:val="lrTb"/>
            <w:noWrap w:val="false"/>
          </w:tcPr>
          <w:p>
            <w:pPr>
              <w:pStyle w:val="1493"/>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rPr>
                <w:rFonts w:hint="eastAsia" w:ascii="宋体" w:hAnsi="宋体" w:eastAsia="宋体" w:cs="宋体"/>
                <w:bCs/>
                <w:color w:val="000000"/>
                <w:sz w:val="24"/>
                <w:szCs w:val="24"/>
                <w:highlight w:val="none"/>
                <w:vertAlign w:val="baseline"/>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供应商为</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小微企业/监狱、戒毒企业/残疾人福利企业,小微企业须符合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小微企业划分标准(《工信部联企业[2011]300号》)规定，提供《中小企业声明函》，残疾人福利企业提供《残疾人福利性单位声明函》(格式详见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vertAlign w:val="baseline"/>
              </w:rPr>
            </w:r>
            <w:r/>
          </w:p>
        </w:tc>
      </w:tr>
      <w:tr>
        <w:trPr>
          <w:trHeight w:val="672"/>
        </w:trPr>
        <w:tc>
          <w:tcPr>
            <w:tcW w:w="846" w:type="dxa"/>
            <w:vAlign w:val="center"/>
            <w:textDirection w:val="lrTb"/>
            <w:noWrap w:val="false"/>
          </w:tcPr>
          <w:p>
            <w:pPr>
              <w:pStyle w:val="1493"/>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lang w:val="en-US" w:eastAsia="zh-CN"/>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bCs/>
                <w:color w:val="000000"/>
                <w:sz w:val="24"/>
                <w:szCs w:val="24"/>
                <w:highlight w:val="none"/>
                <w:vertAlign w:val="baseline"/>
              </w:rPr>
            </w:r>
            <w:r/>
          </w:p>
        </w:tc>
      </w:tr>
      <w:tr>
        <w:trPr>
          <w:trHeight w:val="3038"/>
        </w:trPr>
        <w:tc>
          <w:tcPr>
            <w:tcW w:w="846" w:type="dxa"/>
            <w:vAlign w:val="center"/>
            <w:textDirection w:val="lrTb"/>
            <w:noWrap w:val="false"/>
          </w:tcPr>
          <w:p>
            <w:pPr>
              <w:pStyle w:val="1493"/>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rPr>
                <w:rFonts w:ascii="宋体" w:hAnsi="宋体" w:eastAsia="宋体"/>
                <w:sz w:val="24"/>
                <w:szCs w:val="24"/>
                <w:highlight w:val="none"/>
                <w:lang w:val="en-US" w:eastAsia="zh-CN"/>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527"/>
              <w:jc w:val="left"/>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834"/>
        </w:trPr>
        <w:tc>
          <w:tcPr>
            <w:tcW w:w="846" w:type="dxa"/>
            <w:vAlign w:val="center"/>
            <w:textDirection w:val="lrTb"/>
            <w:noWrap w:val="false"/>
          </w:tcPr>
          <w:p>
            <w:pPr>
              <w:pStyle w:val="1493"/>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rPr>
                <w:rFonts w:ascii="宋体" w:hAnsi="宋体" w:eastAsia="宋体"/>
                <w:sz w:val="24"/>
                <w:szCs w:val="24"/>
                <w:highlight w:val="none"/>
                <w:lang w:val="en-US" w:eastAsia="zh-CN"/>
              </w:rPr>
            </w:r>
            <w:r/>
          </w:p>
        </w:tc>
        <w:tc>
          <w:tcPr>
            <w:tcW w:w="3722"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493"/>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本项目不接受联合体投标；不允许分包、转包</w:t>
            </w:r>
            <w:r>
              <w:rPr>
                <w:rFonts w:hint="eastAsia" w:ascii="宋体" w:hAnsi="宋体" w:eastAsia="宋体" w:cs="宋体"/>
                <w:bCs/>
                <w:color w:val="000000"/>
                <w:sz w:val="24"/>
                <w:szCs w:val="24"/>
                <w:highlight w:val="none"/>
                <w:vertAlign w:val="baseline"/>
              </w:rPr>
            </w:r>
            <w:r/>
          </w:p>
        </w:tc>
      </w:tr>
    </w:tbl>
    <w:p>
      <w:pPr>
        <w:pStyle w:val="1501"/>
        <w:rPr>
          <w:rFonts w:hint="eastAsia"/>
          <w:highlight w:val="none"/>
        </w:rPr>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493"/>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844"/>
        <w:gridCol w:w="5285"/>
      </w:tblGrid>
      <w:tr>
        <w:trPr>
          <w:trHeight w:val="456"/>
        </w:trPr>
        <w:tc>
          <w:tcPr>
            <w:tcW w:w="789" w:type="dxa"/>
            <w:vAlign w:val="center"/>
            <w:textDirection w:val="lrTb"/>
            <w:noWrap w:val="false"/>
          </w:tcPr>
          <w:p>
            <w:pPr>
              <w:pStyle w:val="1493"/>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844" w:type="dxa"/>
            <w:vAlign w:val="center"/>
            <w:textDirection w:val="lrTb"/>
            <w:noWrap w:val="false"/>
          </w:tcPr>
          <w:p>
            <w:pPr>
              <w:pStyle w:val="1493"/>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285" w:type="dxa"/>
            <w:vAlign w:val="center"/>
            <w:textDirection w:val="lrTb"/>
            <w:noWrap w:val="false"/>
          </w:tcPr>
          <w:p>
            <w:pPr>
              <w:pStyle w:val="1493"/>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493"/>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844" w:type="dxa"/>
            <w:vAlign w:val="center"/>
            <w:textDirection w:val="lrTb"/>
            <w:noWrap w:val="false"/>
          </w:tcPr>
          <w:p>
            <w:pPr>
              <w:pStyle w:val="1493"/>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285" w:type="dxa"/>
            <w:vAlign w:val="center"/>
            <w:textDirection w:val="lrTb"/>
            <w:noWrap w:val="false"/>
          </w:tcPr>
          <w:p>
            <w:pPr>
              <w:pStyle w:val="1493"/>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493"/>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844" w:type="dxa"/>
            <w:vAlign w:val="center"/>
            <w:textDirection w:val="lrTb"/>
            <w:noWrap w:val="false"/>
          </w:tcPr>
          <w:p>
            <w:pPr>
              <w:pStyle w:val="1493"/>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285" w:type="dxa"/>
            <w:vAlign w:val="center"/>
            <w:textDirection w:val="lrTb"/>
            <w:noWrap w:val="false"/>
          </w:tcPr>
          <w:p>
            <w:pPr>
              <w:pStyle w:val="1493"/>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493"/>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3</w:t>
            </w:r>
            <w:r>
              <w:rPr>
                <w:rFonts w:ascii="宋体" w:hAnsi="宋体" w:eastAsia="宋体"/>
                <w:sz w:val="24"/>
                <w:szCs w:val="24"/>
                <w:highlight w:val="none"/>
                <w:lang w:val="en-US" w:eastAsia="zh-CN" w:bidi="ar-SA"/>
              </w:rPr>
            </w:r>
            <w:r/>
          </w:p>
        </w:tc>
        <w:tc>
          <w:tcPr>
            <w:tcW w:w="2844" w:type="dxa"/>
            <w:vAlign w:val="center"/>
            <w:textDirection w:val="lrTb"/>
            <w:noWrap w:val="false"/>
          </w:tcPr>
          <w:p>
            <w:pPr>
              <w:pStyle w:val="1493"/>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报价明细表</w:t>
            </w:r>
            <w:r>
              <w:rPr>
                <w:rFonts w:hint="eastAsia" w:ascii="宋体" w:hAnsi="宋体" w:eastAsia="宋体"/>
                <w:sz w:val="24"/>
                <w:szCs w:val="24"/>
                <w:highlight w:val="none"/>
                <w:lang w:val="en-US" w:eastAsia="zh-CN" w:bidi="ar-SA"/>
              </w:rPr>
            </w:r>
            <w:r/>
          </w:p>
        </w:tc>
        <w:tc>
          <w:tcPr>
            <w:tcW w:w="5285" w:type="dxa"/>
            <w:vAlign w:val="center"/>
            <w:textDirection w:val="lrTb"/>
            <w:noWrap w:val="false"/>
          </w:tcPr>
          <w:p>
            <w:pPr>
              <w:pStyle w:val="1493"/>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493"/>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844" w:type="dxa"/>
            <w:vAlign w:val="center"/>
            <w:textDirection w:val="lrTb"/>
            <w:noWrap w:val="false"/>
          </w:tcPr>
          <w:p>
            <w:pPr>
              <w:pStyle w:val="1493"/>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285" w:type="dxa"/>
            <w:vAlign w:val="center"/>
            <w:textDirection w:val="lrTb"/>
            <w:noWrap w:val="false"/>
          </w:tcPr>
          <w:p>
            <w:pPr>
              <w:pStyle w:val="1493"/>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493"/>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844" w:type="dxa"/>
            <w:vAlign w:val="center"/>
            <w:textDirection w:val="lrTb"/>
            <w:noWrap w:val="false"/>
          </w:tcPr>
          <w:p>
            <w:pPr>
              <w:pStyle w:val="1493"/>
              <w:jc w:val="center"/>
              <w:rPr>
                <w:rFonts w:ascii="宋体" w:hAnsi="宋体" w:cs="宋体"/>
                <w:bCs/>
                <w:sz w:val="24"/>
                <w:szCs w:val="24"/>
                <w:highlight w:val="none"/>
                <w:lang w:val="en-US" w:eastAsia="zh-CN" w:bidi="ar-SA"/>
              </w:rPr>
            </w:pPr>
            <w:r>
              <w:rPr>
                <w:rFonts w:ascii="宋体" w:hAnsi="宋体" w:cs="宋体"/>
                <w:bCs/>
                <w:sz w:val="24"/>
                <w:szCs w:val="24"/>
                <w:highlight w:val="none"/>
                <w:lang w:val="en-US" w:eastAsia="zh-CN" w:bidi="ar-SA"/>
              </w:rPr>
              <w:t xml:space="preserve">投标供应商情况表</w:t>
            </w:r>
            <w:r>
              <w:rPr>
                <w:rFonts w:ascii="宋体" w:hAnsi="宋体" w:cs="宋体"/>
                <w:bCs/>
                <w:sz w:val="24"/>
                <w:szCs w:val="24"/>
                <w:highlight w:val="none"/>
                <w:lang w:val="en-US" w:eastAsia="zh-CN" w:bidi="ar-SA"/>
              </w:rPr>
            </w:r>
            <w:r/>
          </w:p>
        </w:tc>
        <w:tc>
          <w:tcPr>
            <w:tcW w:w="5285" w:type="dxa"/>
            <w:vAlign w:val="center"/>
            <w:textDirection w:val="lrTb"/>
            <w:noWrap w:val="false"/>
          </w:tcPr>
          <w:p>
            <w:pPr>
              <w:pStyle w:val="1493"/>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493"/>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844" w:type="dxa"/>
            <w:vAlign w:val="center"/>
            <w:textDirection w:val="lrTb"/>
            <w:noWrap w:val="false"/>
          </w:tcPr>
          <w:p>
            <w:pPr>
              <w:pStyle w:val="1493"/>
              <w:jc w:val="center"/>
              <w:rPr>
                <w:rFonts w:hint="eastAsia" w:ascii="宋体" w:hAnsi="宋体" w:eastAsia="宋体"/>
                <w:sz w:val="24"/>
                <w:szCs w:val="24"/>
                <w:highlight w:val="none"/>
                <w:lang w:val="en-US" w:eastAsia="zh-CN" w:bidi="ar-SA"/>
              </w:rPr>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sz w:val="24"/>
                <w:szCs w:val="24"/>
                <w:highlight w:val="none"/>
                <w:lang w:val="en-US" w:eastAsia="zh-CN" w:bidi="ar-SA"/>
              </w:rPr>
            </w:r>
            <w:r/>
          </w:p>
        </w:tc>
        <w:tc>
          <w:tcPr>
            <w:tcW w:w="5285" w:type="dxa"/>
            <w:vAlign w:val="center"/>
            <w:textDirection w:val="lrTb"/>
            <w:noWrap w:val="false"/>
          </w:tcPr>
          <w:p>
            <w:pPr>
              <w:pStyle w:val="1493"/>
              <w:rPr>
                <w:rFonts w:ascii="宋体" w:hAnsi="宋体" w:eastAsia="宋体"/>
                <w:sz w:val="24"/>
                <w:szCs w:val="24"/>
                <w:highlight w:val="none"/>
                <w:lang w:val="en-US" w:eastAsia="zh-CN" w:bidi="ar-SA"/>
              </w:rPr>
            </w:pPr>
            <w:r>
              <w:rPr>
                <w:rFonts w:hint="eastAsia" w:ascii="宋体" w:hAnsi="宋体" w:eastAsia="宋体" w:cs="宋体"/>
                <w:sz w:val="24"/>
                <w:szCs w:val="24"/>
                <w:highlight w:val="none"/>
              </w:rPr>
              <w:t xml:space="preserve">提供相关证明材料</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如有，必须提供</w:t>
            </w:r>
            <w:r>
              <w:rPr>
                <w:rFonts w:hint="eastAsia" w:ascii="宋体" w:hAnsi="宋体" w:cs="宋体"/>
                <w:sz w:val="24"/>
                <w:szCs w:val="24"/>
                <w:highlight w:val="none"/>
                <w:lang w:eastAsia="zh-CN"/>
              </w:rPr>
              <w:t xml:space="preserve">）</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493"/>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hint="eastAsia" w:ascii="宋体" w:hAnsi="宋体" w:eastAsia="宋体"/>
                <w:sz w:val="24"/>
                <w:szCs w:val="24"/>
                <w:highlight w:val="none"/>
                <w:lang w:val="en-US" w:eastAsia="zh-CN" w:bidi="ar-SA"/>
              </w:rPr>
            </w:r>
            <w:r/>
          </w:p>
        </w:tc>
        <w:tc>
          <w:tcPr>
            <w:tcW w:w="2844" w:type="dxa"/>
            <w:vAlign w:val="center"/>
            <w:textDirection w:val="lrTb"/>
            <w:noWrap w:val="false"/>
          </w:tcPr>
          <w:p>
            <w:pPr>
              <w:pStyle w:val="1493"/>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285" w:type="dxa"/>
            <w:vAlign w:val="center"/>
            <w:textDirection w:val="lrTb"/>
            <w:noWrap w:val="false"/>
          </w:tcPr>
          <w:p>
            <w:pPr>
              <w:pStyle w:val="1493"/>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rPr>
              <w:t xml:space="preserve">不存在供应商须知第八条中的情形</w:t>
            </w:r>
            <w:r>
              <w:rPr>
                <w:rFonts w:hint="eastAsia" w:ascii="宋体" w:hAnsi="宋体" w:eastAsia="宋体"/>
                <w:sz w:val="24"/>
                <w:szCs w:val="24"/>
                <w:highlight w:val="none"/>
                <w:lang w:val="en-US" w:eastAsia="zh-CN" w:bidi="ar-SA"/>
              </w:rPr>
            </w:r>
            <w:r/>
          </w:p>
        </w:tc>
      </w:tr>
    </w:tbl>
    <w:p>
      <w:pPr>
        <w:pStyle w:val="1493"/>
        <w:ind w:left="0" w:firstLine="482"/>
        <w:keepLines w:val="0"/>
        <w:keepNext w:val="0"/>
        <w:pageBreakBefore w:val="0"/>
        <w:spacing w:line="360" w:lineRule="auto"/>
        <w:widowControl w:val="off"/>
        <w:tabs>
          <w:tab w:val="left" w:pos="525" w:leader="none"/>
          <w:tab w:val="left" w:pos="1050" w:leader="none"/>
        </w:tabs>
        <w:rPr>
          <w:rFonts w:hint="eastAsia"/>
          <w:highlight w:val="none"/>
        </w:rPr>
        <w:outlineLvl w:val="9"/>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为中标候选人。</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w:t>
      </w:r>
      <w:r>
        <w:rPr>
          <w:rFonts w:hint="eastAsia" w:ascii="宋体" w:hAnsi="宋体" w:eastAsia="宋体" w:cs="宋体"/>
          <w:bCs/>
          <w:color w:val="000000"/>
          <w:sz w:val="24"/>
          <w:szCs w:val="24"/>
          <w:highlight w:val="none"/>
        </w:rPr>
        <w:t xml:space="preserve">出。质疑函的质疑事项应具体、明确，并有必要的事实依据和法律依据（格式详见中国政府采购网《政府采购供应商质疑函范本》）。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2．在发布中标公告的同时，江苏通汇工程管理咨询有限公司将向中标供应商发中标通知书。</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32174"/>
      <w:r/>
      <w:bookmarkStart w:id="23" w:name="_Toc21337"/>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作任何修改。</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3．本项目不收取履约保证金。</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598"/>
      <w:r/>
      <w:bookmarkStart w:id="25" w:name="_Toc28715"/>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(十五)政府采购信用担保</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政府采购信用担保，是由专业担保机构为供应商向采购人、代理机构、金融机构提供的保证。供应商可以根据自身情况，自行决定是否选择采用信用担保形式。</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(十六)政府采购合同融资：</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合同融资，是指参与政府采购的供应商，凭</w:t>
      </w:r>
      <w:r>
        <w:rPr>
          <w:rFonts w:hint="eastAsia" w:ascii="宋体" w:hAnsi="宋体" w:eastAsia="宋体" w:cs="宋体"/>
          <w:bCs/>
          <w:color w:val="000000"/>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000000"/>
          <w:sz w:val="24"/>
          <w:szCs w:val="24"/>
          <w:highlight w:val="none"/>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支付。采购代理服务费收费标准为：100万以下费率为1.5%</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100-500万元费率为</w:t>
      </w:r>
      <w:r>
        <w:rPr>
          <w:rFonts w:hint="eastAsia"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u w:val="none"/>
          <w:lang w:eastAsia="zh-CN"/>
        </w:rPr>
        <w:t xml:space="preserve">编标费（</w:t>
      </w:r>
      <w:r>
        <w:rPr>
          <w:rFonts w:hint="eastAsia" w:ascii="宋体" w:hAnsi="宋体" w:eastAsia="宋体" w:cs="Times New Roman"/>
          <w:bCs/>
          <w:color w:val="000000"/>
          <w:sz w:val="24"/>
          <w:szCs w:val="24"/>
          <w:highlight w:val="none"/>
          <w:u w:val="none"/>
          <w:lang w:val="en-US" w:eastAsia="zh-CN"/>
        </w:rPr>
        <w:t xml:space="preserve">如有</w:t>
      </w:r>
      <w:r>
        <w:rPr>
          <w:rFonts w:hint="eastAsia" w:ascii="宋体" w:hAnsi="宋体" w:eastAsia="宋体" w:cs="Times New Roman"/>
          <w:bCs/>
          <w:color w:val="000000"/>
          <w:sz w:val="24"/>
          <w:szCs w:val="24"/>
          <w:highlight w:val="none"/>
          <w:u w:val="none"/>
          <w:lang w:eastAsia="zh-CN"/>
        </w:rPr>
        <w:t xml:space="preserve">）按500万以下费率为0.38%；以控制价作为计算基数。</w:t>
      </w:r>
      <w:r>
        <w:rPr>
          <w:rFonts w:hint="eastAsia" w:ascii="宋体" w:hAnsi="宋体" w:eastAsia="宋体" w:cs="宋体"/>
          <w:color w:val="000000"/>
          <w:sz w:val="24"/>
          <w:szCs w:val="24"/>
          <w:highlight w:val="none"/>
          <w:lang w:eastAsia="zh-CN"/>
        </w:rPr>
      </w:r>
      <w:r/>
    </w:p>
    <w:p>
      <w:pPr>
        <w:pStyle w:val="1493"/>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493"/>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493"/>
        <w:ind w:lef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1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493"/>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493"/>
        <w:jc w:val="center"/>
        <w:spacing w:line="360" w:lineRule="auto"/>
        <w:rPr>
          <w:rFonts w:hint="eastAsia" w:ascii="Times New Roman" w:hAnsi="宋体" w:eastAsia="宋体" w:cs="宋体"/>
          <w:b/>
          <w:bCs/>
          <w:sz w:val="32"/>
          <w:szCs w:val="32"/>
          <w:highlight w:val="none"/>
          <w:lang w:val="en-US" w:eastAsia="zh-CN"/>
        </w:rPr>
        <w:outlineLvl w:val="0"/>
      </w:pPr>
      <w:r/>
      <w:bookmarkStart w:id="27" w:name="_Toc19762"/>
      <w:r>
        <w:rPr>
          <w:rFonts w:hint="eastAsia" w:ascii="Times New Roman" w:hAnsi="宋体" w:eastAsia="宋体" w:cs="宋体"/>
          <w:b/>
          <w:bCs/>
          <w:sz w:val="32"/>
          <w:szCs w:val="32"/>
          <w:highlight w:val="none"/>
          <w:lang w:val="en-US" w:eastAsia="zh-CN"/>
        </w:rPr>
        <w:t xml:space="preserve">三、项目技术要求和有关说明</w:t>
      </w:r>
      <w:bookmarkEnd w:id="21"/>
      <w:r/>
      <w:bookmarkEnd w:id="26"/>
      <w:r/>
      <w:bookmarkEnd w:id="27"/>
      <w:r>
        <w:rPr>
          <w:rFonts w:hint="eastAsia" w:ascii="Times New Roman" w:hAnsi="宋体" w:eastAsia="宋体" w:cs="宋体"/>
          <w:b/>
          <w:bCs/>
          <w:sz w:val="32"/>
          <w:szCs w:val="32"/>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bookmarkStart w:id="28" w:name="_Toc26"/>
      <w:r>
        <w:rPr>
          <w:rFonts w:hint="eastAsia" w:ascii="宋体" w:hAnsi="宋体" w:eastAsia="宋体" w:cs="宋体"/>
          <w:b/>
          <w:bCs/>
          <w:color w:val="000000"/>
          <w:sz w:val="24"/>
          <w:szCs w:val="24"/>
          <w:highlight w:val="none"/>
          <w:lang w:val="en-US" w:eastAsia="zh-CN"/>
        </w:rPr>
        <w:t xml:space="preserve">一、项目概况</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1、项目名称：厚桥街道智慧安全建设(一期)项目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2、采购范围：对消防电气火灾监测设备、一键报警、消防自动火灾报警、无线独立式烟感、可燃气体监测联网、压力、液位等设备进行采购。</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本项目核心产品为：无线独立式光电感烟火灾探测报警器</w:t>
      </w:r>
      <w:r>
        <w:rPr>
          <w:rFonts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4、供货期：合同签订生效后120日历天完成全部供货、安装、调试、验收工作</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5、项目整体免费质保期：1年</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6、服务人员要求：</w:t>
      </w:r>
      <w:r>
        <w:rPr>
          <w:rFonts w:hint="eastAsia" w:ascii="宋体" w:hAnsi="宋体" w:eastAsia="宋体" w:cs="宋体"/>
          <w:b/>
          <w:bCs/>
          <w:color w:val="000000"/>
          <w:sz w:val="24"/>
          <w:szCs w:val="24"/>
          <w:highlight w:val="none"/>
          <w:lang w:val="en-US" w:eastAsia="zh-CN"/>
        </w:rPr>
        <w:t xml:space="preserve">为本项目配备服务人员10~30人（含项目经理1人），投标人提供承诺书，承诺中标后按要求配备足额人员。未按要求提供作为无效投标处理，格式自拟。</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数据对接要求：本项目所有设备均必须具备联网功能，监测预警数据可以按照政府监管要求上报至锡山经济开发区智慧园区安全综合管理平台或招标人要求上报的其它平台系统，投标人须自行承担相应的对接费用，并提供对接承诺书，未按要求提供作为无效投标处理。</w:t>
      </w:r>
      <w:r>
        <w:rPr>
          <w:rFonts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本项目不需要履约保证金</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outlineLvl w:val="1"/>
      </w:pPr>
      <w:r>
        <w:rPr>
          <w:rFonts w:hint="eastAsia" w:ascii="宋体" w:hAnsi="宋体" w:eastAsia="宋体" w:cs="宋体"/>
          <w:b/>
          <w:bCs/>
          <w:color w:val="000000"/>
          <w:sz w:val="24"/>
          <w:szCs w:val="24"/>
          <w:highlight w:val="none"/>
          <w:lang w:val="en-US" w:eastAsia="zh-CN"/>
        </w:rPr>
        <w:t xml:space="preserve">二、总体要求</w:t>
      </w:r>
      <w:r>
        <w:rPr>
          <w:rFonts w:hint="eastAsia" w:ascii="宋体" w:hAnsi="宋体" w:eastAsia="宋体" w:cs="宋体"/>
          <w:b/>
          <w:bCs/>
          <w:color w:val="000000"/>
          <w:sz w:val="24"/>
          <w:szCs w:val="24"/>
          <w:highlight w:val="none"/>
          <w:lang w:val="zh-CN"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根据省、市委市政府对安全专项治理工作总体部署要求，从实际出发，建设覆盖厚桥街道7大类安全管理对象、19类物联监测应用场景的智慧安全综合管控系统，推进完善安全生产、消防工作长效机制，凭借物联技术手段加速推动辖区内单位安全生产、公共消防安全工作转型升级。本着标本兼治和先行先试的原则，结合街道建筑产业结构、地区实际状况，在街道辖区内全面推进落实安全生产和智慧消防建设，进一步夯实安全生产主体责任，完善各项消防基础建设，为街道经济高质量发展保驾护航。</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outlineLvl w:val="1"/>
      </w:pPr>
      <w:r>
        <w:rPr>
          <w:rFonts w:hint="eastAsia" w:ascii="宋体" w:hAnsi="宋体" w:eastAsia="宋体" w:cs="宋体"/>
          <w:b/>
          <w:bCs/>
          <w:color w:val="000000"/>
          <w:sz w:val="24"/>
          <w:szCs w:val="24"/>
          <w:highlight w:val="none"/>
          <w:lang w:val="en-US" w:eastAsia="zh-CN"/>
        </w:rPr>
        <w:t xml:space="preserve">三、建设目标</w:t>
      </w:r>
      <w:r>
        <w:rPr>
          <w:rFonts w:hint="eastAsia" w:ascii="宋体" w:hAnsi="宋体" w:eastAsia="宋体" w:cs="宋体"/>
          <w:b/>
          <w:bCs/>
          <w:color w:val="000000"/>
          <w:sz w:val="24"/>
          <w:szCs w:val="24"/>
          <w:highlight w:val="none"/>
          <w:lang w:val="zh-CN"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对厚桥街道管辖的养老院、学校、部分安置房小区、政府办公大楼、政府资产商铺、村社区服务中心、文体中心、部分规上企业部署安装物联传感设备，覆盖用电安全监测、生命通道畅通保障、强电配电间安全监测、一键报警联动、消防水系统监测、可燃/有毒气体监测、烟感等，实现智能预警及处置管理，提升应急处置效率。</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四、建设对象</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本项目建设系统覆盖以下7大类对象，拟建设对象清单：</w:t>
      </w:r>
      <w:r>
        <w:rPr>
          <w:rFonts w:hint="eastAsia" w:ascii="宋体" w:hAnsi="宋体" w:eastAsia="宋体" w:cs="宋体"/>
          <w:b w:val="0"/>
          <w:bCs w:val="0"/>
          <w:color w:val="000000"/>
          <w:sz w:val="24"/>
          <w:szCs w:val="24"/>
          <w:highlight w:val="none"/>
          <w:lang w:val="en-US" w:eastAsia="zh-CN"/>
        </w:rPr>
      </w:r>
      <w:r/>
    </w:p>
    <w:tbl>
      <w:tblPr>
        <w:tblW w:w="9764" w:type="dxa"/>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41"/>
        <w:gridCol w:w="3249"/>
        <w:gridCol w:w="5774"/>
      </w:tblGrid>
      <w:tr>
        <w:trPr>
          <w:trHeight w:val="540"/>
        </w:trPr>
        <w:tc>
          <w:tcPr>
            <w:tcW w:w="741"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3249"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类型</w:t>
            </w:r>
            <w:r>
              <w:rPr>
                <w:rFonts w:hint="eastAsia" w:ascii="宋体" w:hAnsi="宋体" w:eastAsia="宋体" w:cs="宋体"/>
                <w:b/>
                <w:bCs/>
                <w:i w:val="0"/>
                <w:iCs w:val="0"/>
                <w:color w:val="000000"/>
                <w:sz w:val="22"/>
                <w:szCs w:val="22"/>
                <w:highlight w:val="none"/>
                <w:u w:val="none"/>
              </w:rPr>
            </w:r>
            <w:r/>
          </w:p>
        </w:tc>
        <w:tc>
          <w:tcPr>
            <w:tcW w:w="5774"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rHeight w:val="540"/>
        </w:trPr>
        <w:tc>
          <w:tcPr>
            <w:tcW w:w="74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24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养老院</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（街道养老院，养老服务站9所）</w:t>
            </w:r>
            <w:r>
              <w:rPr>
                <w:rFonts w:hint="eastAsia"/>
                <w:highlight w:val="none"/>
              </w:rPr>
            </w:r>
            <w:r/>
          </w:p>
        </w:tc>
        <w:tc>
          <w:tcPr>
            <w:tcW w:w="5774"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无锡市锡山区厚桥养老院</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无锡市锡山区厚桥街道新厚桥村居家养老服务中心</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无锡市锡山区厚桥街道谢埭荡村居家养老服务站</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无锡市锡山区厚桥街道中东社区居家养老服务站</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无锡市锡山区厚桥街道嵩山社区居家养老服务站</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无锡市锡山区厚桥街道新联村居家养老服务站</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无锡市锡山区厚桥街道综合养老服务中心</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无锡市锡山区厚桥街道厚德苑居家养老服务站</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无锡市锡山区厚桥街道南桥头村居家养老服务站</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无锡市锡山区厚桥街道厚桥社区居家养老服务站</w:t>
            </w:r>
            <w:r>
              <w:rPr>
                <w:rFonts w:hint="eastAsia"/>
                <w:highlight w:val="none"/>
              </w:rPr>
            </w:r>
            <w:r/>
          </w:p>
        </w:tc>
      </w:tr>
      <w:tr>
        <w:trPr>
          <w:trHeight w:val="540"/>
        </w:trPr>
        <w:tc>
          <w:tcPr>
            <w:tcW w:w="74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24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rPr>
                <w:rFonts w:hint="eastAsia" w:ascii="宋体" w:hAnsi="宋体" w:eastAsia="宋体" w:cs="宋体"/>
                <w:i w:val="0"/>
                <w:iCs w:val="0"/>
                <w:color w:val="000000"/>
                <w:sz w:val="20"/>
                <w:szCs w:val="20"/>
                <w:highlight w:val="none"/>
                <w:u w:val="none"/>
              </w:rPr>
            </w:r>
            <w:r/>
          </w:p>
        </w:tc>
        <w:tc>
          <w:tcPr>
            <w:tcW w:w="5774"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无锡市锡山区厚桥中心幼儿园</w:t>
            </w:r>
            <w:r>
              <w:rPr>
                <w:rFonts w:hint="eastAsia" w:ascii="宋体" w:hAnsi="宋体" w:eastAsia="宋体" w:cs="宋体"/>
                <w:i w:val="0"/>
                <w:iCs w:val="0"/>
                <w:color w:val="000000"/>
                <w:sz w:val="20"/>
                <w:szCs w:val="20"/>
                <w:highlight w:val="none"/>
                <w:u w:val="none"/>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无锡市锡山区大诚幼儿园</w:t>
            </w:r>
            <w:r>
              <w:rPr>
                <w:rFonts w:hint="eastAsia" w:ascii="宋体" w:hAnsi="宋体" w:eastAsia="宋体" w:cs="宋体"/>
                <w:i w:val="0"/>
                <w:iCs w:val="0"/>
                <w:color w:val="000000"/>
                <w:sz w:val="20"/>
                <w:szCs w:val="20"/>
                <w:highlight w:val="none"/>
                <w:u w:val="none"/>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无锡市锡山区厚桥实验小学</w:t>
            </w:r>
            <w:r>
              <w:rPr>
                <w:rFonts w:hint="eastAsia" w:ascii="宋体" w:hAnsi="宋体" w:eastAsia="宋体" w:cs="宋体"/>
                <w:i w:val="0"/>
                <w:iCs w:val="0"/>
                <w:color w:val="000000"/>
                <w:sz w:val="20"/>
                <w:szCs w:val="20"/>
                <w:highlight w:val="none"/>
                <w:u w:val="none"/>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无锡市锡山区厚桥中学</w:t>
            </w:r>
            <w:r>
              <w:rPr>
                <w:rFonts w:hint="eastAsia" w:ascii="宋体" w:hAnsi="宋体" w:eastAsia="宋体" w:cs="宋体"/>
                <w:i w:val="0"/>
                <w:iCs w:val="0"/>
                <w:color w:val="000000"/>
                <w:sz w:val="20"/>
                <w:szCs w:val="20"/>
                <w:highlight w:val="none"/>
                <w:u w:val="none"/>
              </w:rPr>
            </w:r>
            <w:r/>
          </w:p>
        </w:tc>
      </w:tr>
      <w:tr>
        <w:trPr>
          <w:trHeight w:val="540"/>
        </w:trPr>
        <w:tc>
          <w:tcPr>
            <w:tcW w:w="74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24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安置房小区</w:t>
            </w:r>
            <w:r>
              <w:rPr>
                <w:rFonts w:hint="eastAsia" w:ascii="宋体" w:hAnsi="宋体" w:eastAsia="宋体" w:cs="宋体"/>
                <w:i w:val="0"/>
                <w:iCs w:val="0"/>
                <w:color w:val="000000"/>
                <w:sz w:val="20"/>
                <w:szCs w:val="20"/>
                <w:highlight w:val="none"/>
                <w:u w:val="none"/>
              </w:rPr>
            </w:r>
            <w:r/>
          </w:p>
        </w:tc>
        <w:tc>
          <w:tcPr>
            <w:tcW w:w="5774"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厚德苑A区</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厚德苑B区</w:t>
            </w:r>
            <w:r>
              <w:rPr>
                <w:rFonts w:hint="eastAsia" w:ascii="宋体" w:hAnsi="宋体" w:eastAsia="宋体" w:cs="宋体"/>
                <w:i w:val="0"/>
                <w:iCs w:val="0"/>
                <w:color w:val="000000"/>
                <w:sz w:val="20"/>
                <w:szCs w:val="20"/>
                <w:highlight w:val="none"/>
                <w:u w:val="none"/>
              </w:rPr>
            </w:r>
            <w:r/>
          </w:p>
        </w:tc>
      </w:tr>
      <w:tr>
        <w:trPr>
          <w:trHeight w:val="642"/>
        </w:trPr>
        <w:tc>
          <w:tcPr>
            <w:tcW w:w="74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24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政府办公大楼</w:t>
            </w:r>
            <w:r>
              <w:rPr>
                <w:rFonts w:hint="eastAsia" w:ascii="宋体" w:hAnsi="宋体" w:eastAsia="宋体" w:cs="宋体"/>
                <w:i w:val="0"/>
                <w:iCs w:val="0"/>
                <w:color w:val="000000"/>
                <w:sz w:val="20"/>
                <w:szCs w:val="20"/>
                <w:highlight w:val="none"/>
                <w:u w:val="none"/>
              </w:rPr>
            </w:r>
            <w:r/>
          </w:p>
        </w:tc>
        <w:tc>
          <w:tcPr>
            <w:tcW w:w="5774"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厚桥街道办事处办公楼</w:t>
            </w:r>
            <w:r>
              <w:rPr>
                <w:rFonts w:hint="eastAsia" w:ascii="宋体" w:hAnsi="宋体" w:eastAsia="宋体" w:cs="宋体"/>
                <w:i w:val="0"/>
                <w:iCs w:val="0"/>
                <w:color w:val="000000"/>
                <w:sz w:val="20"/>
                <w:szCs w:val="20"/>
                <w:highlight w:val="none"/>
                <w:u w:val="none"/>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行政执法局办公楼</w:t>
            </w:r>
            <w:r>
              <w:rPr>
                <w:rFonts w:hint="eastAsia" w:ascii="宋体" w:hAnsi="宋体" w:eastAsia="宋体" w:cs="宋体"/>
                <w:i w:val="0"/>
                <w:iCs w:val="0"/>
                <w:color w:val="000000"/>
                <w:sz w:val="20"/>
                <w:szCs w:val="20"/>
                <w:highlight w:val="none"/>
                <w:u w:val="none"/>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综治办办公楼</w:t>
            </w:r>
            <w:r>
              <w:rPr>
                <w:rFonts w:hint="eastAsia" w:ascii="宋体" w:hAnsi="宋体" w:eastAsia="宋体" w:cs="宋体"/>
                <w:i w:val="0"/>
                <w:iCs w:val="0"/>
                <w:color w:val="000000"/>
                <w:sz w:val="20"/>
                <w:szCs w:val="20"/>
                <w:highlight w:val="none"/>
                <w:u w:val="none"/>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行政审批局办公楼</w:t>
            </w:r>
            <w:r>
              <w:rPr>
                <w:rFonts w:hint="eastAsia" w:ascii="宋体" w:hAnsi="宋体" w:eastAsia="宋体" w:cs="宋体"/>
                <w:i w:val="0"/>
                <w:iCs w:val="0"/>
                <w:color w:val="000000"/>
                <w:sz w:val="20"/>
                <w:szCs w:val="20"/>
                <w:highlight w:val="none"/>
                <w:u w:val="none"/>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派出所</w:t>
            </w:r>
            <w:r>
              <w:rPr>
                <w:rFonts w:hint="eastAsia" w:ascii="宋体" w:hAnsi="宋体" w:eastAsia="宋体" w:cs="宋体"/>
                <w:i w:val="0"/>
                <w:iCs w:val="0"/>
                <w:color w:val="000000"/>
                <w:sz w:val="20"/>
                <w:szCs w:val="20"/>
                <w:highlight w:val="none"/>
                <w:u w:val="none"/>
              </w:rPr>
            </w:r>
            <w:r/>
          </w:p>
        </w:tc>
      </w:tr>
      <w:tr>
        <w:trPr>
          <w:trHeight w:val="540"/>
        </w:trPr>
        <w:tc>
          <w:tcPr>
            <w:tcW w:w="74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24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政府资产商铺</w:t>
            </w:r>
            <w:r>
              <w:rPr>
                <w:rFonts w:hint="eastAsia" w:ascii="宋体" w:hAnsi="宋体" w:eastAsia="宋体" w:cs="宋体"/>
                <w:i w:val="0"/>
                <w:iCs w:val="0"/>
                <w:color w:val="000000"/>
                <w:sz w:val="20"/>
                <w:szCs w:val="20"/>
                <w:highlight w:val="none"/>
                <w:u w:val="none"/>
              </w:rPr>
            </w:r>
            <w:r/>
          </w:p>
        </w:tc>
        <w:tc>
          <w:tcPr>
            <w:tcW w:w="5774"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政府资产商铺127家</w:t>
            </w:r>
            <w:r>
              <w:rPr>
                <w:rFonts w:hint="eastAsia" w:ascii="宋体" w:hAnsi="宋体" w:eastAsia="宋体" w:cs="宋体"/>
                <w:i w:val="0"/>
                <w:iCs w:val="0"/>
                <w:color w:val="000000"/>
                <w:sz w:val="20"/>
                <w:szCs w:val="20"/>
                <w:highlight w:val="none"/>
                <w:u w:val="none"/>
              </w:rPr>
            </w:r>
            <w:r/>
          </w:p>
        </w:tc>
      </w:tr>
      <w:tr>
        <w:trPr>
          <w:trHeight w:val="540"/>
        </w:trPr>
        <w:tc>
          <w:tcPr>
            <w:tcW w:w="74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6</w:t>
            </w:r>
            <w:r>
              <w:rPr>
                <w:rFonts w:hint="eastAsia" w:ascii="宋体" w:hAnsi="宋体" w:eastAsia="宋体" w:cs="宋体"/>
                <w:i w:val="0"/>
                <w:iCs w:val="0"/>
                <w:color w:val="000000"/>
                <w:sz w:val="20"/>
                <w:szCs w:val="20"/>
                <w:highlight w:val="none"/>
                <w:u w:val="none"/>
                <w:lang w:val="en-US" w:eastAsia="zh-CN"/>
              </w:rPr>
            </w:r>
            <w:r/>
          </w:p>
        </w:tc>
        <w:tc>
          <w:tcPr>
            <w:tcW w:w="324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村社区服务中心、文体中心</w:t>
            </w:r>
            <w:r>
              <w:rPr>
                <w:rFonts w:hint="eastAsia" w:ascii="宋体" w:hAnsi="宋体" w:eastAsia="宋体" w:cs="宋体"/>
                <w:i w:val="0"/>
                <w:iCs w:val="0"/>
                <w:color w:val="000000"/>
                <w:sz w:val="20"/>
                <w:szCs w:val="20"/>
                <w:highlight w:val="none"/>
                <w:u w:val="none"/>
              </w:rPr>
            </w:r>
            <w:r/>
          </w:p>
        </w:tc>
        <w:tc>
          <w:tcPr>
            <w:tcW w:w="5774"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社区服务中心10个</w:t>
            </w:r>
            <w:r>
              <w:rPr>
                <w:rFonts w:hint="eastAsia" w:ascii="宋体" w:hAnsi="宋体" w:eastAsia="宋体" w:cs="宋体"/>
                <w:i w:val="0"/>
                <w:iCs w:val="0"/>
                <w:color w:val="000000"/>
                <w:sz w:val="20"/>
                <w:szCs w:val="20"/>
                <w:highlight w:val="none"/>
                <w:u w:val="none"/>
                <w:lang w:val="en-US" w:eastAsia="zh-CN" w:bidi="ar"/>
              </w:rPr>
            </w:r>
            <w:r/>
          </w:p>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文体服务中心1所</w:t>
            </w:r>
            <w:r>
              <w:rPr>
                <w:rFonts w:hint="eastAsia" w:ascii="宋体" w:hAnsi="宋体" w:eastAsia="宋体" w:cs="宋体"/>
                <w:i w:val="0"/>
                <w:iCs w:val="0"/>
                <w:color w:val="000000"/>
                <w:sz w:val="20"/>
                <w:szCs w:val="20"/>
                <w:highlight w:val="none"/>
                <w:u w:val="none"/>
              </w:rPr>
            </w:r>
            <w:r/>
          </w:p>
        </w:tc>
      </w:tr>
      <w:tr>
        <w:trPr>
          <w:trHeight w:val="540"/>
        </w:trPr>
        <w:tc>
          <w:tcPr>
            <w:tcW w:w="74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24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规上企业</w:t>
            </w:r>
            <w:r>
              <w:rPr>
                <w:rFonts w:hint="eastAsia" w:ascii="宋体" w:hAnsi="宋体" w:eastAsia="宋体" w:cs="宋体"/>
                <w:i w:val="0"/>
                <w:iCs w:val="0"/>
                <w:color w:val="000000"/>
                <w:sz w:val="20"/>
                <w:szCs w:val="20"/>
                <w:highlight w:val="none"/>
                <w:u w:val="none"/>
              </w:rPr>
            </w:r>
            <w:r/>
          </w:p>
        </w:tc>
        <w:tc>
          <w:tcPr>
            <w:tcW w:w="5774"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规上企</w:t>
            </w:r>
            <w:r>
              <w:rPr>
                <w:rFonts w:hint="eastAsia" w:ascii="宋体" w:hAnsi="宋体" w:eastAsia="宋体" w:cs="宋体"/>
                <w:i w:val="0"/>
                <w:iCs w:val="0"/>
                <w:color w:val="000000"/>
                <w:sz w:val="20"/>
                <w:szCs w:val="20"/>
                <w:highlight w:val="none"/>
                <w:u w:val="none"/>
                <w:lang w:val="en-US" w:eastAsia="zh-CN" w:bidi="ar"/>
              </w:rPr>
              <w:t xml:space="preserve">业20家（建设方指定单位为准）</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备注：投标单位自行进行现场勘察。</w:t>
      </w:r>
      <w:r>
        <w:rPr>
          <w:rFonts w:hint="eastAsia" w:ascii="宋体" w:hAnsi="宋体" w:eastAsia="宋体" w:cs="宋体"/>
          <w:b/>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五、建设内容</w:t>
      </w:r>
      <w:r>
        <w:rPr>
          <w:rFonts w:ascii="宋体" w:hAnsi="宋体" w:eastAsia="宋体" w:cs="宋体"/>
          <w:b/>
          <w:bCs/>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1、传统消防联网改造、接入服务</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消防水监测预警：支持接入无线水压、水位传感器，远程查看消火栓、喷淋管、消防水池的水压值、水位值。</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消防主机联网：支持接入主流传统消防企业的消防主机数据，远程查看消防主机工作状态、实时报警数据。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可燃气体远程监测预警：支持接入无线可燃气体报警器，远程查看室内可燃气体浓度。</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生命通道监测预警：利用原有监控摄像机图像，集成多种智能分析算法，当消防车通道在占道行为发生时即刻报警，实现消防通道主干道的智能检测。</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视频监控联动：支持视频监控摄像机与接入物联监测对象的联动告警。</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2、新增物联设备采购、安装及接入服务</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无线烟感远程监测预警：支持接入无线烟感、无线温感报警器，远程查看室内烟雾度、温度、故障。</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电气火灾远程监测预警：支持电压、电流、剩余电流、温度多种参数同时监测与显示功能，数据实时上报平台，支持历史数据查询；支持移动、电信移动网络接入。</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机房动环监测：机房防浸水监测，实时监测机房地面水浸情况，防止因空调漏水、外墙渗水等水流进入机房，实现对机房湿度和温度的实时监测。</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跌倒雷达监测：跌倒检测雷达可以在范围对有无人进行监测；一旦检测到有跌倒动作，则会推送跌倒的告警信息。</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一键报警：一旦发生紧急情况，设备报警的同时PC端、电话端、APP端、短信等多重通知方式收到报警信号，提醒相关人员及时处理。</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环境气象监测：实时监测环境温湿度、噪音、pm2.5、pm10、风速、风向等关键数据，主动推送至平台。</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可燃/有毒气体监测预警：实现可燃有毒气体报警主机接入智慧安全管控一体机，传送实时数据。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涉爆粉尘联网监测：实现企业涉爆粉尘系统关键参数接入智慧安全管控一体机，传送实时数据。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安全巡查系统及故障上报：通过部署NFC/二维码巡检卡，实现日常安全巡查与故障上报。</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六、设备清单</w:t>
      </w:r>
      <w:r>
        <w:rPr>
          <w:rFonts w:ascii="宋体" w:hAnsi="宋体" w:eastAsia="宋体" w:cs="宋体"/>
          <w:b/>
          <w:bCs/>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1、街道养老院</w:t>
      </w:r>
      <w:r>
        <w:rPr>
          <w:rFonts w:hint="eastAsia"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557"/>
        <w:gridCol w:w="2025"/>
        <w:gridCol w:w="5020"/>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2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2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安全巡查系统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NFC巡检标签（点位）</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微小型传输装置</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可燃气体报警系统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可燃气体监测联网设备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机房防浸水监测设备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机房环境监测设备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5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无线液位传感器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电气火灾监测系统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无线电气火灾监测设备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一键报警声光广播报警设备</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一键报警声光广播报警设备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2、养老服务站（9个）</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57"/>
        <w:gridCol w:w="2025"/>
        <w:gridCol w:w="5020"/>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2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2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安全巡查系统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NFC巡检标签（点位）</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电气火灾监测系统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无线电气火灾监测设备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视频摄像机</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跌倒雷达监测</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跌倒雷达监测</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一键报警声光广播报警设备</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一键报警声光广播报警设备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3、学校（厚桥中心幼儿园)</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57"/>
        <w:gridCol w:w="2025"/>
        <w:gridCol w:w="5020"/>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2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2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176"/>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安全巡查系统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NFC巡检标签（点位）</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微小型传输装置</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可燃气体报警系统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可燃气体监测联网设备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机房防浸水监测设备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机房环境监测设备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无线液位传感器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4、学校（厚桥中学)</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57"/>
        <w:gridCol w:w="2025"/>
        <w:gridCol w:w="5020"/>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2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2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266"/>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安全巡查系统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NFC巡检标签（点位）</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机房防浸水监测设备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机房环境监测设备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智慧安全管控一体机</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智慧安全管控一体机</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5、学校（厚桥实验小学)</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57"/>
        <w:gridCol w:w="2025"/>
        <w:gridCol w:w="5020"/>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2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2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安全巡查系统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NFC巡检标签（点位）</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134"/>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微小型传输装置</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可燃气体报警系统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可燃气体监测联网设备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机房防浸水监测设备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机房环境监测设备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无线液位传感器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智慧安全管控一体机</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智慧安全管控一体机</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6、学校（大诚幼儿园)</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42"/>
        <w:gridCol w:w="2040"/>
        <w:gridCol w:w="5020"/>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42"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4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2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4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安全巡查系统</w:t>
            </w: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NFC巡检标签（点位）</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42"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42"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微小型传输装置</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4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可燃气体报警系统</w:t>
            </w: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可燃气体监测联网设备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42"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w:t>
            </w: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机房防浸水监测设备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42"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机房环境监测设备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42"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4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54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7、安置房小区（厚德苑A区）</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57"/>
        <w:gridCol w:w="2010"/>
        <w:gridCol w:w="5035"/>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1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3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无线液位传感器</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机房防浸水监测设备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机房环境监测设备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机房动环监测联网设备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电气火灾监测系统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无线电气火灾监测设备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生命通道监测</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消防智能分析设备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智慧安全管控一体机</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智慧安全管控一体机</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8、安置房小区（厚德苑B区）</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57"/>
        <w:gridCol w:w="2010"/>
        <w:gridCol w:w="5035"/>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1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3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微小型传输装置</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电气火灾监测系统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无线电气火灾监测设备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机房防浸水监测设备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机房环境监测设备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机房动环监测联网设备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无线液位传感器</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生命通道监测</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消防智能分析设备</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智慧安全管控一体机</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智慧安全管控一体机</w:t>
            </w:r>
            <w:r>
              <w:rPr>
                <w:rFonts w:hint="eastAsia" w:ascii="宋体" w:hAnsi="宋体" w:eastAsia="宋体" w:cs="宋体"/>
                <w:i w:val="0"/>
                <w:iCs w:val="0"/>
                <w:color w:val="000000"/>
                <w:sz w:val="20"/>
                <w:szCs w:val="20"/>
                <w:highlight w:val="none"/>
                <w:u w:val="none"/>
              </w:rPr>
            </w:r>
            <w:r/>
          </w:p>
        </w:tc>
        <w:tc>
          <w:tcPr>
            <w:tcW w:w="503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9、政府办公大楼（街道办事处办公楼、行政执法局办公楼、综治办办公楼，行政审批局办公楼、派出所）</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57"/>
        <w:gridCol w:w="2025"/>
        <w:gridCol w:w="5020"/>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2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2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169"/>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电气火灾监测系统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无线电气火灾监测设备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57" w:type="dxa"/>
            <w:vAlign w:val="center"/>
            <w:vMerge w:val="restart"/>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机房防浸水监测设备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机房环境监测设备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57" w:type="dxa"/>
            <w:vAlign w:val="center"/>
            <w:vMerge w:val="continue"/>
            <w:textDirection w:val="lrTb"/>
            <w:noWrap w:val="false"/>
          </w:tcPr>
          <w:p>
            <w:pPr>
              <w:pStyle w:val="14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机房动环监测联网设备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557"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环境气象监测</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环境气象监测</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10、政府资产商铺</w:t>
      </w:r>
      <w:r>
        <w:rPr>
          <w:rFonts w:ascii="宋体" w:hAnsi="宋体" w:eastAsia="宋体" w:cs="宋体"/>
          <w:b/>
          <w:bCs/>
          <w:color w:val="000000"/>
          <w:sz w:val="24"/>
          <w:szCs w:val="24"/>
          <w:highlight w:val="none"/>
          <w:lang w:val="en-US" w:eastAsia="zh-CN"/>
        </w:rPr>
      </w:r>
      <w:r/>
    </w:p>
    <w:tbl>
      <w:tblPr>
        <w:tblW w:w="10335" w:type="dxa"/>
        <w:jc w:val="center"/>
        <w:tblInd w:w="-29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558"/>
        <w:gridCol w:w="2025"/>
        <w:gridCol w:w="5019"/>
        <w:gridCol w:w="567"/>
        <w:gridCol w:w="567"/>
      </w:tblGrid>
      <w:tr>
        <w:trPr>
          <w:trHeight w:val="270"/>
        </w:trPr>
        <w:tc>
          <w:tcPr>
            <w:tcW w:w="599"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58"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25"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19"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90"/>
        </w:trPr>
        <w:tc>
          <w:tcPr>
            <w:tcW w:w="599"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58"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1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599"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58"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电气火灾监测系统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无线电气火灾监测设备</w:t>
            </w:r>
            <w:r>
              <w:rPr>
                <w:rFonts w:hint="eastAsia" w:ascii="宋体" w:hAnsi="宋体" w:eastAsia="宋体" w:cs="宋体"/>
                <w:i w:val="0"/>
                <w:iCs w:val="0"/>
                <w:color w:val="000000"/>
                <w:sz w:val="20"/>
                <w:szCs w:val="20"/>
                <w:highlight w:val="none"/>
                <w:u w:val="none"/>
              </w:rPr>
            </w:r>
            <w:r/>
          </w:p>
        </w:tc>
        <w:tc>
          <w:tcPr>
            <w:tcW w:w="501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11、村社区服务中心+文体服务中心</w:t>
      </w:r>
      <w:r>
        <w:rPr>
          <w:rFonts w:ascii="宋体" w:hAnsi="宋体" w:eastAsia="宋体" w:cs="宋体"/>
          <w:b/>
          <w:bCs/>
          <w:color w:val="000000"/>
          <w:sz w:val="24"/>
          <w:szCs w:val="24"/>
          <w:highlight w:val="none"/>
          <w:lang w:val="en-US" w:eastAsia="zh-CN"/>
        </w:rPr>
      </w:r>
      <w:r/>
    </w:p>
    <w:tbl>
      <w:tblPr>
        <w:tblW w:w="10335" w:type="dxa"/>
        <w:jc w:val="center"/>
        <w:tblInd w:w="-29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573"/>
        <w:gridCol w:w="2010"/>
        <w:gridCol w:w="5019"/>
        <w:gridCol w:w="567"/>
        <w:gridCol w:w="567"/>
      </w:tblGrid>
      <w:tr>
        <w:trPr>
          <w:trHeight w:val="270"/>
        </w:trPr>
        <w:tc>
          <w:tcPr>
            <w:tcW w:w="599"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73"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1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19"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184"/>
        </w:trPr>
        <w:tc>
          <w:tcPr>
            <w:tcW w:w="599"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73"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电气火灾监测系统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无线电气火灾监测设备</w:t>
            </w:r>
            <w:r>
              <w:rPr>
                <w:rFonts w:hint="eastAsia" w:ascii="宋体" w:hAnsi="宋体" w:eastAsia="宋体" w:cs="宋体"/>
                <w:i w:val="0"/>
                <w:iCs w:val="0"/>
                <w:color w:val="000000"/>
                <w:sz w:val="20"/>
                <w:szCs w:val="20"/>
                <w:highlight w:val="none"/>
                <w:u w:val="none"/>
              </w:rPr>
            </w:r>
            <w:r/>
          </w:p>
        </w:tc>
        <w:tc>
          <w:tcPr>
            <w:tcW w:w="501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599"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73"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无线独立式光电感烟火灾探测报警器</w:t>
            </w:r>
            <w:r>
              <w:rPr>
                <w:rFonts w:hint="eastAsia" w:ascii="宋体" w:hAnsi="宋体" w:eastAsia="宋体" w:cs="宋体"/>
                <w:i w:val="0"/>
                <w:iCs w:val="0"/>
                <w:color w:val="000000"/>
                <w:sz w:val="20"/>
                <w:szCs w:val="20"/>
                <w:highlight w:val="none"/>
                <w:u w:val="none"/>
              </w:rPr>
            </w:r>
            <w:r/>
          </w:p>
        </w:tc>
        <w:tc>
          <w:tcPr>
            <w:tcW w:w="501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599"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73"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1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00"/>
        </w:trPr>
        <w:tc>
          <w:tcPr>
            <w:tcW w:w="599"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73"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一键报警声光广播报警设备</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一键报警声光广播报警设备</w:t>
            </w:r>
            <w:r>
              <w:rPr>
                <w:rFonts w:hint="eastAsia" w:ascii="宋体" w:hAnsi="宋体" w:eastAsia="宋体" w:cs="宋体"/>
                <w:i w:val="0"/>
                <w:iCs w:val="0"/>
                <w:color w:val="000000"/>
                <w:sz w:val="20"/>
                <w:szCs w:val="20"/>
                <w:highlight w:val="none"/>
                <w:u w:val="none"/>
              </w:rPr>
            </w:r>
            <w:r/>
          </w:p>
        </w:tc>
        <w:tc>
          <w:tcPr>
            <w:tcW w:w="5019"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12、规上企业</w:t>
      </w:r>
      <w:r>
        <w:rPr>
          <w:rFonts w:ascii="宋体" w:hAnsi="宋体" w:eastAsia="宋体" w:cs="宋体"/>
          <w:b/>
          <w:bCs/>
          <w:color w:val="000000"/>
          <w:sz w:val="24"/>
          <w:szCs w:val="24"/>
          <w:highlight w:val="none"/>
          <w:lang w:val="en-US" w:eastAsia="zh-CN"/>
        </w:rPr>
      </w:r>
      <w:r/>
    </w:p>
    <w:tbl>
      <w:tblPr>
        <w:tblW w:w="10336" w:type="dxa"/>
        <w:jc w:val="center"/>
        <w:tblInd w:w="-2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572"/>
        <w:gridCol w:w="2010"/>
        <w:gridCol w:w="5020"/>
        <w:gridCol w:w="567"/>
        <w:gridCol w:w="56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572"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类别</w:t>
            </w:r>
            <w:r>
              <w:rPr>
                <w:rFonts w:hint="eastAsia" w:ascii="宋体" w:hAnsi="宋体" w:eastAsia="宋体" w:cs="宋体"/>
                <w:b/>
                <w:bCs/>
                <w:i w:val="0"/>
                <w:iCs w:val="0"/>
                <w:color w:val="000000"/>
                <w:sz w:val="20"/>
                <w:szCs w:val="20"/>
                <w:highlight w:val="none"/>
                <w:u w:val="none"/>
              </w:rPr>
            </w:r>
            <w:r/>
          </w:p>
        </w:tc>
        <w:tc>
          <w:tcPr>
            <w:tcW w:w="201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02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209"/>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7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自动火灾报警监控系统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微小型传输装置</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7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消防水系统监测设备</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无线压力传感器</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202"/>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7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可燃/有毒气体报警系统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可燃/有毒气体监测联网设备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7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涉爆粉尘监测</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涉爆粉尘监测监测联网设备</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57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视频监控系统</w:t>
            </w:r>
            <w:r>
              <w:rPr>
                <w:rFonts w:hint="eastAsia" w:ascii="宋体" w:hAnsi="宋体" w:eastAsia="宋体" w:cs="宋体"/>
                <w:i w:val="0"/>
                <w:iCs w:val="0"/>
                <w:color w:val="000000"/>
                <w:sz w:val="20"/>
                <w:szCs w:val="20"/>
                <w:highlight w:val="none"/>
                <w:u w:val="none"/>
              </w:rPr>
            </w:r>
            <w:r/>
          </w:p>
        </w:tc>
        <w:tc>
          <w:tcPr>
            <w:tcW w:w="201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视频推流主机（8路）</w:t>
            </w:r>
            <w:r>
              <w:rPr>
                <w:rFonts w:hint="eastAsia" w:ascii="宋体" w:hAnsi="宋体" w:eastAsia="宋体" w:cs="宋体"/>
                <w:i w:val="0"/>
                <w:iCs w:val="0"/>
                <w:color w:val="000000"/>
                <w:sz w:val="20"/>
                <w:szCs w:val="20"/>
                <w:highlight w:val="none"/>
                <w:u w:val="none"/>
              </w:rPr>
            </w:r>
            <w:r/>
          </w:p>
        </w:tc>
        <w:tc>
          <w:tcPr>
            <w:tcW w:w="502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13、单位数据配置服务</w:t>
      </w:r>
      <w:r>
        <w:rPr>
          <w:rFonts w:ascii="宋体" w:hAnsi="宋体" w:eastAsia="宋体" w:cs="宋体"/>
          <w:b/>
          <w:bCs/>
          <w:color w:val="000000"/>
          <w:sz w:val="24"/>
          <w:szCs w:val="24"/>
          <w:highlight w:val="none"/>
          <w:lang w:val="en-US" w:eastAsia="zh-CN"/>
        </w:rPr>
      </w:r>
      <w:r/>
    </w:p>
    <w:tbl>
      <w:tblPr>
        <w:tblW w:w="9766" w:type="dxa"/>
        <w:jc w:val="center"/>
        <w:tblInd w:w="-1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412"/>
        <w:gridCol w:w="5140"/>
        <w:gridCol w:w="567"/>
        <w:gridCol w:w="1047"/>
      </w:tblGrid>
      <w:tr>
        <w:trPr>
          <w:trHeight w:val="270"/>
        </w:trPr>
        <w:tc>
          <w:tcPr>
            <w:tcW w:w="60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2412"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140"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w:t>
            </w:r>
            <w:r>
              <w:rPr>
                <w:rFonts w:hint="eastAsia" w:ascii="宋体" w:hAnsi="宋体" w:eastAsia="宋体" w:cs="宋体"/>
                <w:b/>
                <w:bCs/>
                <w:i w:val="0"/>
                <w:iCs w:val="0"/>
                <w:color w:val="000000"/>
                <w:sz w:val="20"/>
                <w:szCs w:val="20"/>
                <w:highlight w:val="none"/>
                <w:u w:val="none"/>
              </w:rPr>
            </w:r>
            <w:r/>
          </w:p>
        </w:tc>
        <w:tc>
          <w:tcPr>
            <w:tcW w:w="56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1047" w:type="dxa"/>
            <w:vAlign w:val="center"/>
            <w:textDirection w:val="lrTb"/>
            <w:noWrap w:val="false"/>
          </w:tcPr>
          <w:p>
            <w:pPr>
              <w:pStyle w:val="14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265"/>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41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基础信息配置</w:t>
            </w:r>
            <w:r>
              <w:rPr>
                <w:rFonts w:hint="eastAsia" w:ascii="宋体" w:hAnsi="宋体" w:eastAsia="宋体" w:cs="宋体"/>
                <w:i w:val="0"/>
                <w:iCs w:val="0"/>
                <w:color w:val="000000"/>
                <w:sz w:val="20"/>
                <w:szCs w:val="20"/>
                <w:highlight w:val="none"/>
                <w:u w:val="none"/>
              </w:rPr>
            </w:r>
            <w:r/>
          </w:p>
        </w:tc>
        <w:tc>
          <w:tcPr>
            <w:tcW w:w="51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rPr>
                <w:rFonts w:hint="eastAsia" w:ascii="宋体" w:hAnsi="宋体" w:eastAsia="宋体" w:cs="宋体"/>
                <w:i w:val="0"/>
                <w:iCs w:val="0"/>
                <w:color w:val="000000"/>
                <w:sz w:val="20"/>
                <w:szCs w:val="20"/>
                <w:highlight w:val="none"/>
                <w:u w:val="none"/>
              </w:rPr>
            </w:r>
            <w:r/>
          </w:p>
        </w:tc>
        <w:tc>
          <w:tcPr>
            <w:tcW w:w="1047" w:type="dxa"/>
            <w:vAlign w:val="center"/>
            <w:vMerge w:val="restart"/>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个/1年</w:t>
            </w:r>
            <w:r>
              <w:rPr>
                <w:rFonts w:hint="eastAsia" w:ascii="宋体" w:hAnsi="宋体" w:eastAsia="宋体" w:cs="宋体"/>
                <w:i w:val="0"/>
                <w:iCs w:val="0"/>
                <w:color w:val="000000"/>
                <w:sz w:val="20"/>
                <w:szCs w:val="20"/>
                <w:highlight w:val="none"/>
                <w:u w:val="none"/>
              </w:rPr>
            </w:r>
            <w:r/>
          </w:p>
        </w:tc>
      </w:tr>
      <w:tr>
        <w:trPr>
          <w:trHeight w:val="90"/>
        </w:trPr>
        <w:tc>
          <w:tcPr>
            <w:tcW w:w="600"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412"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物联监测感知数据配置</w:t>
            </w:r>
            <w:r>
              <w:rPr>
                <w:rFonts w:hint="eastAsia" w:ascii="宋体" w:hAnsi="宋体" w:eastAsia="宋体" w:cs="宋体"/>
                <w:i w:val="0"/>
                <w:iCs w:val="0"/>
                <w:color w:val="000000"/>
                <w:sz w:val="20"/>
                <w:szCs w:val="20"/>
                <w:highlight w:val="none"/>
                <w:u w:val="none"/>
              </w:rPr>
            </w:r>
            <w:r/>
          </w:p>
        </w:tc>
        <w:tc>
          <w:tcPr>
            <w:tcW w:w="5140" w:type="dxa"/>
            <w:vAlign w:val="center"/>
            <w:textDirection w:val="lrTb"/>
            <w:noWrap w:val="false"/>
          </w:tcPr>
          <w:p>
            <w:pPr>
              <w:pStyle w:val="14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color w:val="000000"/>
                <w:sz w:val="20"/>
                <w:szCs w:val="20"/>
                <w:highlight w:val="none"/>
                <w:lang w:val="en-US" w:eastAsia="zh-CN" w:bidi="ar"/>
              </w:rPr>
              <w:t xml:space="preserve">详见“项目技术要求和有关说明—（七）技术参数”</w:t>
            </w:r>
            <w:r>
              <w:rPr>
                <w:rFonts w:hint="eastAsia" w:ascii="宋体" w:hAnsi="宋体" w:eastAsia="宋体" w:cs="宋体"/>
                <w:i w:val="0"/>
                <w:iCs w:val="0"/>
                <w:color w:val="000000"/>
                <w:sz w:val="20"/>
                <w:szCs w:val="20"/>
                <w:highlight w:val="none"/>
                <w:u w:val="none"/>
              </w:rPr>
            </w:r>
            <w:r/>
          </w:p>
        </w:tc>
        <w:tc>
          <w:tcPr>
            <w:tcW w:w="567"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47" w:type="dxa"/>
            <w:vAlign w:val="center"/>
            <w:vMerge w:val="continue"/>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1493"/>
        <w:ind w:firstLine="482"/>
        <w:keepLines w:val="0"/>
        <w:keepNext w:val="0"/>
        <w:pageBreakBefore w:val="0"/>
        <w:spacing w:before="157" w:line="360" w:lineRule="auto"/>
        <w:widowControl w:val="off"/>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七、技术参数</w:t>
      </w:r>
      <w:r>
        <w:rPr>
          <w:rFonts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投标人所投内容必须满足以下要求，不得有负偏离。</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1、NFC巡检标签</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(1)定制化NFC巡检卡，包含：用户LOGO，防水、防潮；内置NFC芯片和二维码，支持巡查内容和标准的制定，并与智慧安全管控一体机对接。</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(2)按要求进行工程安装、集成与调试。</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2、跌倒雷达监测</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(1)可实现有无人检测与跌倒姿态识别。</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(2)工作频段：60GHz-64GH，调制波形：FMCW，扫频带宽：2GHz</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(3)测距范围：0.1 m-4m，检测面积：不少于12平方 ，距离分辨：0.08 m</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(4)水平视角： -45°~+45°，俯仰视角： -45°~+45°</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(5)数据周期： 70ms</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(6)通讯接口： RS485或WIFI</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(7)支持二次开发，设备具备联网功能。</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3、环境气象监测</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(1)具有1 路ModBus-RTU 主站接口，需接入环境变送器：温湿度、噪音、pm2.5、pm10、风速、风向等变送器。</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(2)具有1 路室外LED 单色显示屏，默认点阵96*48（最大点阵数1024*256）。</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(3)具有市电与太阳能双供电，保证设备在恶劣的情况下也可以正常不间断工作。</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(4)通讯方式：4G无线</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(5)数据上传间隔可手动设置，默认30s。</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(6)安装方式：室外立杆安装，高度&gt;2.5m。</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(7)支持二次开发，设备具备联网功能。</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4、机房动环监测联网设备</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(1)供电：10-30V DC；</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(2)实现机房动环监测传送实时数据；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(3)设备支持32位ST处理器，基于Cortex-M3内核；</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(4)配备两路RS485，需保证数据加密传输；</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(5)支持远程查询或设定基础参数；</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(6)支持2个网络连接同时在线，支持TCP和UDP通讯协议；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(7)支持多种工作模式：短信透传模式、网络透传模式、HTTPD 模式；</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(8)支持设备状态实时监测，支持远程参数配置；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(9)外置SIM卡插槽，支持可插拔；</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5、机房防浸水监测设备</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(1)供电：10-30V DC；</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(2)最大功耗：继电器输出：1.2W  RS485输出：0.4W；</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(3)工作温湿度：-20℃~+60℃，0%RH~95%RH；</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(4)输出信号：继电器输出/RS485输出；</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(5)设备具备联网功能。</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6、机房环境监测设备</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(1)供电：10-30V DC(P≤0.4W）；</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(2)A准精度：湿度：±2%RH（60%RH，25℃）温度：±0.4℃（25℃）；</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(3)温度量程：-40℃~+80℃   湿度量程：0%RH~100%RH；</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(4)信号输出：4~20mA/0~5V/0~10V/RS485(Modbus-RTU)；</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(5)设备具备联网功能。</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7、可燃/有毒气体监测联网设备</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(1)实现对企业可燃有毒气体报警主机接入安全综合管控平台，传送实时数据；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(2)设备支持32位ST处理器，基于Cortex-M3内核；</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(3)配备两路RS485，需保证数据加密传输；</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(4)支持远程查询或设定基础参数；</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(5)支持2个网络连接同时在线，支持TCP和UDP通讯协议；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(6)支持多种工作模式：短信透传模式、网络透传模式、HTTPD 模式；</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(7)支持设备状态实时监测，支持远程参数配置；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(8)外置SIM卡插槽，支持可插拔。</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8、可燃气体监测联网设备</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(1)实现学校、养老院不同区域/品牌/型号可燃有毒气体报警主机接入智慧安全管控一体机，传送实时数据；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(2)设备支持32位ST处理器，基于Cortex-M3内核；</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(3)配备两路RS485，需保证数据加密传输；</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(4)支持远程查询或设定基础参数；</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(5)支持2个网络连接同时在线，支持TCP和UDP通讯协议；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(6)支持多种工作模式：短信透传模式、网络透传模式、HTTPD 模式；</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(7)支持设备状态实时监测，支持远程参数配置；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(8)外置SIM卡插槽，支持可插拔；</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9、涉爆粉尘监测监测联网设备</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(1)实现企业涉爆粉尘系统接入安全综合管控平台，传送实时数据；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(2)设备支持32位ST处理器，基于Cortex-M3内核；</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(3)配备两路RS485，需保证数据加密传输；</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(4)支持远程查询或设定基础参数；</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(5)支持2个网络连接同时在线，支持TCP和UDP通讯协议；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(6)支持多种工作模式：短信透传模式、网络透传模式、HTTPD 模式；</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(7)支持设备状态实时监测，支持远程参数配置；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(8)外置SIM卡插槽，支持可插拔。</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10、视频摄像机</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(1)视场角：52.3°，对角视场角：114.3°，4 mm，水平视场角：78.8°，垂直视场角：40.5°，对角视场角：93.9°，6 mm，水平视场角：49.1°，垂直视场角：26.3°，对角视场角：57.2°，8 mm，水平视场角：37.5°，垂直视场角：20.7°，对角视场角：43.3°，12 mm，水平视场角：23.4°，垂直视场角：13.3°，对角视场角：26.8°</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(2)补光距离： 最远可达30 m</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(3)防补光过曝： 支持</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(4)红外波长范围： 850 nm</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(5)补光灯类型： 红外灯</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(6)最大图像尺寸： 2688 × 1520（默认2560 × 1440）</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(7)视频压缩标准： 主码流：H.265/H.264</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(8)网络存储： 支持NAS（NFS，SMB/CIFS均支持）</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(9)音频： 1个内置麦克风</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(10)网络： 1个RJ45 10 M/100 M自适应以太网口</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(11)启动和工作温湿度： -30 ℃~60 ℃，湿度小于95%（无凝结）</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(12)供电方式： DC：12 V ± 25%，支持防反接保护；PoE：802.3af，Class 3</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(13)电流及功耗： DC：12 V，0.41 A，最大功耗：5 W；PoE：802.3af，36 V~57 V，0.18 A~0.11 A，最大功耗：6.5 W</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(14)电源接口类型： Ø5.5 mm圆口</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(15)防护： IP66</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(16)400万 1/3"CMOS红外筒型网络摄像机</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(17)按要求进行工程安装、集成与调试；支持并实现接入智慧安全管控一体机。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11、视频推流主机</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(1)机架式1U工业级设备主机， CPU主频≧2.6GHz，最大Turbo频率≧ 3.3GHz，4G内存，工业级MSATA固态硬盘≧64G，支持1*10TB 监控级SATA硬盘，网口≧6*10/100/1000M，USB接口≧2个，采用低功耗无风扇工业级宽频电源≦50W，默认支持4路视频，免费流量500G，可通过扩展License支持32路视频；</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具备视频管理功能，多路视频查看，地图视频查看功能，具备多品牌，多生产厂商的硬盘录像机、网络摄像机产品的接入功能；具备自动获取设备编号、端口IP、网关、DNS信息功能；具备视频监控关联后，设备报警自动弹出对应区域的视频画面；</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(3)支持平台端报警与视频联动功能配置；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12、微小型传输装置</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(1)实现不同区域/品牌/型号消防报警主机接入智慧安全管控一体机，传送实时数据；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(2)设备支持32位ST处理器，基于Cortex-M3内核；</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(3)配备两路RS485，需保证数据加密传输；</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(4)支持远程查询或设定基础参数；</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(5)支持2个网络连接同时在线，支持TCP和UDP通讯协议；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(6)支持多种工作模式：短信透传模式、网络透传模式、HTTPD 模式；</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(7)支持设备状态实时监测，支持远程参数配置；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(8)外置SIM卡插槽，支持可插拔；</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(9)尺寸10cm≤长≤15cm，宽10cm≤长≤15cm，高10cm≤长≤15cm。</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13、无线电气火灾监测设备</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(1)设备应具有不小于2英寸LCD液晶显示屏，且支持实时显示各传感器的设备状态、监测参数值、报警信息、故障信息、网络信息、时间等；</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(2)设备支持电压、电流、剩余电流、温度多种参数同时监测与显示功能，数据实时上报平台，支持历史数据查询；</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(3)报警类型：过压报警、欠压报警、过流报警、剩余电流报警、过温报警。</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(4)支持电信、移动网络；</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(5)支持接入不少于4路电流监测、3路电压监测、1路剩余电流监测、4路温度监测、2路RS485；</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(6)设备应具备断电续传功能，支持在断电后，将当前数据续传至平台，并向平台发出设备断电告警；</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(7)支持在1m范围内，声音不小于70dB(A)，设备应能接受并执行平台远程下发设备复位、消音等命令；</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(8)设备支持-10℃ ～50℃范围内工作；</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(9)设备应具有C45标准导轨安装卡槽、同时支持背胶及挂耳安装；</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(10)设备是具有国家消防CCCF相关认证，提供相关认证报告；</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(11)设备为保险公司承保产品，承保金额不低于2000万人民币；</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(12)按要求进行工程安装、集成与调试；支持并实现接入智慧安全管控一体机。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14、无线独立式光电感烟火灾探测报警器</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(1)工作电压：3VDC</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(2)通讯方式：4G通讯，支持电信、移动网络</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(3)供电方式：锂电池</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(4)采集类型：同时采集监测烟雾和温度</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(5)报警声压：≥80DB，3m</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(6)工作方式：≤95%RH（无凝露）</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15、无线压力传感器</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(1)支持移动/联通/电信无线传输模式；</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(2)压力量程：0-1.6Mpa； </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(3)供电电压：DC3.6V； </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(4)防护等级：IP65；</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(5)设备具备LED显示屏，可就地显示数据上报周期、电池电压值、实时液位值、信号强度等信息</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(6)实现消防管网及喷淋管网压力实时监测，发送实时数据；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16、无线液位传感器</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(1)实现消防水池/水箱液位实时监测，发送实时数据；</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(2)支持移动/联通/电信无线传输模式； </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(3)压力量程：0-5米（可定制）； </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(4)供电电压：DC3.6V； </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(5)防护等级：IP65；</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(6)设备具备LED显示屏，可就地显示数据上报周期、电池电压值、实时液位值、信号强度等信息；</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17、智能视频监控一体机</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(1)利用原有监控摄像机图像，集成多种智能分析算法，当消防车通道在占道行为发生时即刻报警，实现消防通道主干道的智能检测。</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(2)2个HDMI，1个VGA，支持1个4K显示输出。</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(3)2个10/100/1000Mbps自适应以太网口；设备内置2颗高性能GPU。</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(4)支持32路H.264/H.265混合接入，网络带宽192Mbps接入、192Mbps存储、192Mbps转发。</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(5)支持16路1080P解码显示输出，支持Smart H.265，H.265，Smart H.264，H.264混合解码。</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(6)支持24路200万或16路400万分辨率后智能通用行为分析，每路支持10条规则</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支持接入10~16路普通IPC进行消防通道占用检测，即对设定检测区域内物品占用消防通道进行检测，并在超过的时间后，触发报警联动，可设置多边形检测区域、持续时间、重复报警时间、灵敏度，报警联动包括录像、抓图、蜂鸣报警等。</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最多支持16路烟雾火焰检测，样机可识别视频画面中的烟雾和火焰，并在视频画面中显示识别结果；触发报警后支持联动录像、抓图、蜂鸣报警等；支持抓拍库存储5000万条烟火检测抓拍历史记录。设备支持不少于16路岗位行为检测，支持识别设定检测区域内人员吸烟、人数异常的行为，并在视频画面显示识别结果，同一个画面支持6种智能规则同时开启检测，触发报警后支持联动录像、抓图、蜂鸣报警等，最大支持5000万条岗位行为分析报警历史抓拍记录。支持智能检索、人脸以图搜图、AI报表等功能应用。</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(9)支持联动录像，抓图，蜂鸣，邮件，预置点，本地报警输出，IPC报警输出，语音播报。</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(10)智能分析支持实时模式和分时轮巡模式切换，单个轮巡任务最大支持32路。</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支持对外部导入的录像进行智能分析；最多可上传100条视频文件。</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(11)设备可在分时轮巡模式下，通过设置多个时间段、多个通道及对应智能分析规则等进行分析任务；可按设定分时分析任务，自动切换通道的智能分析类型。同一通道支持在不同时间段进行不同的智能分析；同一通道支持在同一时间并发进行多种智能分析。</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(12)设备可在分时轮巡模式下，设置多个时间段、多个枪机通道或者球机预置点场景及对应智能分析规则等进行轮巡分析任务；可按设定轮巡分析任务，自动切换枪机通道或球机预置点场景，并发进行智能分析；可设置轮巡时间间隔和并发数；可设置不少于25个通道进行轮巡分析；可实时展示整机分析状态。</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(13)按要求进行工程安装、集成与调试；支持并实现接入智慧安全管控一体机。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18、一键报警声光广播报警设备</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(1)供电：AC220V、 功率≥25W </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(2)喇叭分贝：≥120dB</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(3)工作湿度：10%~90%（不凝露）</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(4)工作温度：-40℃~70℃</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(5)防护等级：IP65</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(6)壳体材质：冷轧板，整机重量：≥2.8Kg</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(7)安装方式：壁挂安装</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(8)通讯接口：4G无线联网模块</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(9)输入接口：一路开关量信号（手报）</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(10)报警方式：声光报警模式，采用LED灯珠作为光源，同时疏散语音、警铃交替播放，支持语音定制。</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(11)按要求进行安装、集成与调试；支持一对一控制及一对多控制声光启停。按要求进行工程安装、集成与调试；支持并实现接入智慧安全管控一体机。</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19、智慧安全管控一体机</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(1)提供内置软件并支持快速上线的软硬件一体化设备。</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(2)19英寸机架式2U工业级设备主机，4核心4线程 CPU主频≧1.8G Hz，最大Turbo频率≧ 3.0G Hz，内存≧64G，配置双硬盘进行备份；</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(3)系统数据采用接口类型为SATA，容量≧1TB，备份数据采用固态硬盘，接口类型为MSATA，容量≧500G，网口≧6*10/100/1000/2500M，USB接口≧2个，调试接口为网口类型≧1个，工业级宽频电源≦50W，整机散热风扇≧3个；</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(4)主机须支持WIFI模块和4G/5G全网通模块，本次项目须配置WIFI模块。</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(5)支持本次建设物联设备类型及数量的接入，同时提供数据对接。</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(6)支持本次提供的所有设备监测数据本地存储及冗余备份。</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(7)按要求进行工程安装、集成与调试。</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20、单位数据配置服务</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(1)基础信息配置：学校、养老机构、安置房小区、政府办公大楼、政府出租商铺、村社区服务中心、规上企业的基础信息数据服务。</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(2)设备监测感知数据配置：学校、养老机构、安置房小区、政府办公大楼、政府出租商铺、村社区服务中心、规上企业的设备监测感知设备数据配置。</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八、其他注意事项</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1、需求中涉及量化指标区间范围的，首个数字为该项最低标准，须完全满足，未满足的视为负偏离。</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在完全满足采购需求的基础上，若采购需求中，明确要求提供相关证明材料的，必须按要求提供，未提供的视为负偏离，作为无效投标文件处理。未明确提供相关证明材料的，由投标人根据自身情况提供材料。</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color w:val="000000"/>
          <w:sz w:val="24"/>
          <w:highlight w:val="none"/>
        </w:rPr>
        <w:t xml:space="preserve">本项目相关设备及服务价格费用经采购完成确认后，质保期及服务期时长为1年</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highlight w:val="none"/>
        </w:rPr>
        <w:t xml:space="preserve">总报价包括硬件、服务购买、配件、包装、运杂、安装调试及售后服务等，从项目成交起到项目正式交付以及免费质保期内所发生的一切费用，采购人不再支付与该项目相关的其他任何费用。</w:t>
      </w:r>
      <w:r>
        <w:rPr>
          <w:rFonts w:hint="eastAsia" w:ascii="宋体" w:hAnsi="宋体" w:eastAsia="宋体" w:cs="宋体"/>
          <w:b w:val="0"/>
          <w:bCs w:val="0"/>
          <w:color w:val="000000"/>
          <w:sz w:val="24"/>
          <w:szCs w:val="24"/>
          <w:highlight w:val="none"/>
          <w:lang w:val="en-US" w:eastAsia="zh-CN"/>
        </w:rPr>
      </w:r>
      <w:r/>
    </w:p>
    <w:p>
      <w:pPr>
        <w:pStyle w:val="14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九、付款方式：</w:t>
      </w:r>
      <w:r>
        <w:rPr>
          <w:rFonts w:hint="eastAsia" w:ascii="宋体" w:hAnsi="宋体" w:eastAsia="宋体" w:cs="宋体"/>
          <w:b/>
          <w:bCs/>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合同签订后支付合同价款的30%作为预付款，设备安装完成并调试合格后支付至合同价的90%，服务期满后付清余款。每次付款时中标供应商须提供符合采购人财务要求的税金发票。采购人原则上应当自收到发票后10个工作日内将资金支付到合同约定的供应商账户。</w:t>
      </w: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440" w:right="1083" w:bottom="1440" w:left="1083" w:header="851" w:footer="992" w:gutter="0"/>
          <w:pgNumType w:start="1"/>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493"/>
        <w:jc w:val="center"/>
        <w:spacing w:line="360" w:lineRule="auto"/>
        <w:rPr>
          <w:rFonts w:hint="eastAsia" w:ascii="Times New Roman" w:hAnsi="宋体" w:eastAsia="宋体" w:cs="宋体"/>
          <w:b/>
          <w:bCs/>
          <w:sz w:val="32"/>
          <w:szCs w:val="32"/>
          <w:highlight w:val="none"/>
          <w:lang w:val="en-US" w:eastAsia="zh-CN"/>
        </w:rPr>
        <w:outlineLvl w:val="0"/>
      </w:pPr>
      <w:r/>
      <w:bookmarkStart w:id="29" w:name="_Toc12214"/>
      <w:r/>
      <w:bookmarkStart w:id="30" w:name="_Toc21985"/>
      <w:r>
        <w:rPr>
          <w:rFonts w:hint="eastAsia" w:ascii="Times New Roman" w:hAnsi="宋体" w:eastAsia="宋体" w:cs="宋体"/>
          <w:b/>
          <w:bCs/>
          <w:sz w:val="32"/>
          <w:szCs w:val="32"/>
          <w:highlight w:val="none"/>
          <w:lang w:val="en-US" w:eastAsia="zh-CN"/>
        </w:rPr>
        <w:t xml:space="preserve">四、合同书（格式文本）</w:t>
      </w:r>
      <w:bookmarkEnd w:id="28"/>
      <w:r/>
      <w:bookmarkEnd w:id="29"/>
      <w:r/>
      <w:bookmarkEnd w:id="30"/>
      <w:r>
        <w:rPr>
          <w:rFonts w:hint="eastAsia" w:ascii="Times New Roman" w:hAnsi="宋体" w:eastAsia="宋体" w:cs="宋体"/>
          <w:b/>
          <w:bCs/>
          <w:sz w:val="32"/>
          <w:szCs w:val="32"/>
          <w:highlight w:val="none"/>
          <w:lang w:val="en-US" w:eastAsia="zh-CN"/>
        </w:rPr>
      </w:r>
      <w:r/>
    </w:p>
    <w:p>
      <w:pPr>
        <w:pStyle w:val="1493"/>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31" w:name="_Toc17918"/>
      <w:r/>
      <w:bookmarkStart w:id="32" w:name="_Toc4709"/>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3"/>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十、其它事项：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3"/>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十一、合同不可分割部分：</w:t>
      </w:r>
      <w:r>
        <w:rPr>
          <w:rFonts w:hint="eastAsia" w:hAnsi="宋体" w:cs="宋体"/>
          <w:bCs/>
          <w:sz w:val="24"/>
          <w:highlight w:val="none"/>
        </w:rPr>
      </w:r>
      <w:r/>
    </w:p>
    <w:p>
      <w:pPr>
        <w:pStyle w:val="1493"/>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招标文件、投标文件、合同条款及中标通知书，乙方在投标、评标过程中所作其它有关承诺、声明、书面澄清等均为合同不可分割的部分，与主合同具有同等法律效力。</w:t>
      </w:r>
      <w:r>
        <w:rPr>
          <w:rFonts w:hint="eastAsia" w:ascii="Times New Roman" w:hAnsi="宋体" w:eastAsia="宋体" w:cs="宋体"/>
          <w:bCs/>
          <w:sz w:val="24"/>
          <w:highlight w:val="none"/>
        </w:rPr>
      </w:r>
      <w:r/>
    </w:p>
    <w:p>
      <w:pPr>
        <w:pStyle w:val="1493"/>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十二、合同备案：</w:t>
      </w:r>
      <w:r>
        <w:rPr>
          <w:rFonts w:hint="eastAsia" w:ascii="Times New Roman" w:hAnsi="宋体" w:eastAsia="宋体" w:cs="宋体"/>
          <w:bCs/>
          <w:sz w:val="24"/>
          <w:highlight w:val="none"/>
        </w:rPr>
      </w:r>
      <w:r/>
    </w:p>
    <w:p>
      <w:pPr>
        <w:pStyle w:val="1493"/>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合同一式伍份，甲乙双方各执贰份，采购代理机构壹份。</w:t>
      </w:r>
      <w:r>
        <w:rPr>
          <w:rFonts w:hint="eastAsia" w:ascii="Times New Roman" w:hAnsi="宋体" w:eastAsia="宋体" w:cs="宋体"/>
          <w:bCs/>
          <w:sz w:val="24"/>
          <w:highlight w:val="none"/>
        </w:rPr>
      </w:r>
      <w:r/>
    </w:p>
    <w:p>
      <w:pPr>
        <w:pStyle w:val="1493"/>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十三、合同生效：</w:t>
      </w:r>
      <w:r>
        <w:rPr>
          <w:rFonts w:hint="eastAsia" w:ascii="Times New Roman" w:hAnsi="宋体" w:eastAsia="宋体" w:cs="宋体"/>
          <w:bCs/>
          <w:sz w:val="24"/>
          <w:highlight w:val="none"/>
        </w:rPr>
      </w:r>
      <w:r/>
    </w:p>
    <w:p>
      <w:pPr>
        <w:pStyle w:val="1493"/>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singl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493"/>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493"/>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3"/>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493"/>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3"/>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3"/>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乙方帐号：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3"/>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493"/>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493"/>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★备注：本项目不需要履约保证金。</w:t>
      </w:r>
      <w:r>
        <w:rPr>
          <w:rFonts w:hint="eastAsia" w:ascii="宋体" w:hAnsi="宋体" w:eastAsia="宋体" w:cs="Times New Roman"/>
          <w:b w:val="0"/>
          <w:bCs/>
          <w:color w:val="000000"/>
          <w:sz w:val="24"/>
          <w:szCs w:val="24"/>
          <w:highlight w:val="none"/>
          <w:u w:val="none"/>
        </w:rPr>
      </w:r>
      <w:r/>
    </w:p>
    <w:p>
      <w:pPr>
        <w:pStyle w:val="1493"/>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493"/>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根据招标文件和该文件的中标通知书及</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投标文件，</w:t>
      </w:r>
      <w:r>
        <w:rPr>
          <w:rFonts w:hint="eastAsia" w:ascii="宋体" w:hAnsi="宋体" w:eastAsia="宋体" w:cs="宋体"/>
          <w:color w:val="000000"/>
          <w:sz w:val="24"/>
          <w:szCs w:val="24"/>
          <w:highlight w:val="none"/>
          <w:lang w:eastAsia="zh-CN"/>
        </w:rPr>
        <w:t xml:space="preserve">甲乙</w:t>
      </w:r>
      <w:r>
        <w:rPr>
          <w:rFonts w:hint="eastAsia" w:ascii="宋体" w:hAnsi="宋体" w:eastAsia="宋体" w:cs="宋体"/>
          <w:color w:val="000000"/>
          <w:sz w:val="24"/>
          <w:szCs w:val="24"/>
          <w:highlight w:val="none"/>
        </w:rPr>
        <w:t xml:space="preserve">双方就此次</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及相关问题，同意按下列条款规定执行。</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（一）合同内容：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购买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（二）价格及支付：</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1.按此次中标价格执行，合同总标的额为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945"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2.付款方式：</w:t>
      </w:r>
      <w:r>
        <w:rPr>
          <w:rFonts w:hint="eastAsia" w:ascii="宋体" w:hAnsi="宋体" w:eastAsia="宋体" w:cs="宋体"/>
          <w:b/>
          <w:bCs/>
          <w:color w:val="000000"/>
          <w:sz w:val="24"/>
          <w:szCs w:val="24"/>
          <w:highlight w:val="none"/>
        </w:rPr>
        <w:t xml:space="preserve">合同签订后支付合同价款的30%作为预付款，设备安装完成并调试合格后支付至合同价的90%，服务期满后付清余款。每次付款时中标供应商须提供符合采购人财务要求的税金发票。采购人原则上应当自收到发票后10个工作日内将资金支付到合同约定的供应商账户。</w:t>
      </w:r>
      <w:r>
        <w:rPr>
          <w:rFonts w:hint="eastAsia" w:ascii="宋体" w:hAnsi="宋体" w:eastAsia="宋体" w:cs="宋体"/>
          <w:b/>
          <w:bCs/>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知识产权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493"/>
        <w:ind w:firstLine="480"/>
        <w:keepLines w:val="0"/>
        <w:keepNext w:val="0"/>
        <w:pageBreakBefore w:val="0"/>
        <w:spacing w:line="360" w:lineRule="auto"/>
        <w:widowControl w:val="off"/>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应保证</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在使用其交付物、服务及其任何部分时不受到第三方关于侵犯专利权、商标权或软件著作权等知识产权的指控。任何第三方如果提出侵权指控，</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应承担可能发生的一切法律责任和费用（包括但不限于损害赔偿金、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为解决纠纷支付的律师费、诉讼费、差旅费等合理费用）。</w:t>
      </w:r>
      <w:r>
        <w:rPr>
          <w:rFonts w:hint="eastAsia" w:ascii="宋体" w:hAnsi="宋体" w:eastAsia="宋体" w:cs="宋体"/>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）质量与检验：</w:t>
      </w:r>
      <w:r>
        <w:rPr>
          <w:rFonts w:hint="eastAsia" w:ascii="宋体" w:hAnsi="宋体" w:eastAsia="宋体" w:cs="宋体"/>
          <w:color w:val="000000"/>
          <w:sz w:val="24"/>
          <w:szCs w:val="24"/>
          <w:highlight w:val="none"/>
          <w:lang w:eastAsia="zh-CN"/>
        </w:rPr>
      </w:r>
      <w:r/>
    </w:p>
    <w:p>
      <w:pPr>
        <w:pStyle w:val="1493"/>
        <w:ind w:firstLine="480"/>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应严格按照招标文件的有关规定和</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投标文件提供合格的货物及服务。</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2．如果任何被检验的货物或服务不符合质量要求，</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均可以拒绝接受，</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应及时更换被拒绝的货物或重新提供服务，且不得影响</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正常工作，费用由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承担，如因更换或重作导致</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逾期交付货物的，</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还应承担逾期交付的违约责任。本规定并不免除</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在本合同项下的货物质量保证义务或其他义务。</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420" w:leader="none"/>
          <w:tab w:val="left" w:pos="1050"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3．货物的到货验收包括：数量、外观、质量、性能、随机备件、装箱单、质量证书等随机资料及包装完整无破损。</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4．货物和系统调试验收标准：按行业通行标准、厂方出厂标准、招标文件要求和</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投标文件的承诺，并不低于国家相关标准（以其中的最高标准要求为准）。</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5．货物运到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指定地点并经</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验证签收后，由于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保管不善造成的质量问题，</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应负责修理，但有关费用由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应在货物运到并接到</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通知后及时按照招投标文件的约定组织验收。在验收过程中产生的质量及其他问题，</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须及时以书面形式提出异议并向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color w:val="000000"/>
          <w:sz w:val="24"/>
          <w:szCs w:val="24"/>
          <w:highlight w:val="none"/>
        </w:rPr>
        <w:t xml:space="preserve">反馈并提出相应处理意见。</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在接到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书面异议后应立即整改，否则承担违约责任。</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不得擅自变更招投标文件约定的性能、指标等相关内容，如有变更应按《中华人民共和国政府采购法》、财政部《政府采购货物和服务招标投标管理办法》的相关程序执行。</w:t>
      </w:r>
      <w:r>
        <w:rPr>
          <w:rFonts w:hint="eastAsia" w:ascii="宋体" w:hAnsi="宋体" w:eastAsia="宋体" w:cs="宋体"/>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（五）交货条件：</w:t>
      </w:r>
      <w:r>
        <w:rPr>
          <w:rFonts w:hint="eastAsia" w:ascii="宋体" w:hAnsi="宋体" w:eastAsia="宋体" w:cs="宋体"/>
          <w:color w:val="000000"/>
          <w:sz w:val="24"/>
          <w:szCs w:val="24"/>
          <w:highlight w:val="none"/>
          <w:lang w:eastAsia="zh-CN"/>
        </w:rPr>
      </w:r>
      <w:r/>
    </w:p>
    <w:p>
      <w:pPr>
        <w:pStyle w:val="1493"/>
        <w:ind w:firstLine="480"/>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1．交货日期（或完工期）：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月（具体开工日期以甲方的供货通知为准）</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在验收时应先用电子邮件等书面方式通知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3．货物的外观、包装、运输应按国家有关规定或相关部颁标准执行。如因</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包装或运输不当等原因造成损坏或丢失，应由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负责调换或补缺，如因此导致</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逾期交付货物的，</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还应承担逾期交付的违约责任。</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货物交货时，所有货物必须带有货物质量检验合格证书、中文质保单、装箱单、中文货物安装使用说明书。其它附件所有部件必须原包装。</w:t>
      </w:r>
      <w:r>
        <w:rPr>
          <w:rFonts w:hint="eastAsia" w:ascii="宋体" w:hAnsi="宋体" w:eastAsia="宋体" w:cs="宋体"/>
          <w:color w:val="000000"/>
          <w:sz w:val="24"/>
          <w:szCs w:val="24"/>
          <w:highlight w:val="none"/>
        </w:rPr>
      </w:r>
      <w:r/>
    </w:p>
    <w:p>
      <w:pPr>
        <w:pStyle w:val="1493"/>
        <w:ind w:left="2"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运输及到货地点：由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负责办理运输并承担所有费用，直接送到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指定地点，即：以合同书上的地点为准。</w:t>
      </w:r>
      <w:r>
        <w:rPr>
          <w:rFonts w:hint="eastAsia" w:ascii="宋体" w:hAnsi="宋体" w:eastAsia="宋体" w:cs="宋体"/>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（六）安装调试及售后服务：</w:t>
      </w:r>
      <w:r>
        <w:rPr>
          <w:rFonts w:hint="eastAsia" w:ascii="宋体" w:hAnsi="宋体" w:eastAsia="宋体" w:cs="宋体"/>
          <w:color w:val="000000"/>
          <w:sz w:val="24"/>
          <w:szCs w:val="24"/>
          <w:highlight w:val="none"/>
          <w:lang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负责本项目的安装和调试和操作培训，并保证其提供的货物符合国家、行业、地方、招投标文件及合同规定的质量、性能和标准，并正确且安全地安装。</w:t>
      </w:r>
      <w:r>
        <w:rPr>
          <w:rFonts w:hint="eastAsia" w:ascii="宋体" w:hAnsi="宋体" w:eastAsia="宋体" w:cs="宋体"/>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提供的服务全部按照国家有关法律法规规章和“三包”规定以及按招标文件要求和</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投标文件中的承诺执行。</w:t>
      </w:r>
      <w:r>
        <w:rPr>
          <w:rFonts w:hint="eastAsia" w:ascii="宋体" w:hAnsi="宋体" w:eastAsia="宋体" w:cs="宋体"/>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质保期后的货物维护由双方协商再定。</w:t>
      </w:r>
      <w:r>
        <w:rPr>
          <w:rFonts w:hint="eastAsia" w:ascii="宋体" w:hAnsi="宋体" w:eastAsia="宋体" w:cs="宋体"/>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应向</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现场调试的技术人员及维修人员提</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便条件，有关费用由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如要求</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提供招标文件及</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投标文件以外的其它服务，其费用另定。</w:t>
      </w:r>
      <w:r>
        <w:rPr>
          <w:rFonts w:hint="eastAsia" w:ascii="宋体" w:hAnsi="宋体" w:eastAsia="宋体" w:cs="宋体"/>
          <w:color w:val="000000"/>
          <w:sz w:val="24"/>
          <w:szCs w:val="24"/>
          <w:highlight w:val="none"/>
        </w:rPr>
      </w:r>
      <w:r/>
    </w:p>
    <w:p>
      <w:pPr>
        <w:pStyle w:val="1493"/>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（七）违约责任：</w:t>
      </w:r>
      <w:r>
        <w:rPr>
          <w:rFonts w:hint="eastAsia" w:ascii="宋体" w:hAnsi="宋体" w:eastAsia="宋体" w:cs="宋体"/>
          <w:color w:val="000000"/>
          <w:sz w:val="24"/>
          <w:szCs w:val="24"/>
          <w:highlight w:val="none"/>
          <w:lang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rPr>
          <w:rFonts w:hint="eastAsia" w:ascii="宋体" w:hAnsi="宋体" w:eastAsia="宋体" w:cs="宋体"/>
          <w:color w:val="000000"/>
          <w:sz w:val="24"/>
          <w:szCs w:val="24"/>
          <w:highlight w:val="none"/>
          <w:lang w:val="en-US"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r>
        <w:rPr>
          <w:rFonts w:hint="eastAsia" w:ascii="宋体" w:hAnsi="宋体" w:eastAsia="宋体" w:cs="宋体"/>
          <w:color w:val="000000"/>
          <w:sz w:val="24"/>
          <w:szCs w:val="24"/>
          <w:highlight w:val="none"/>
          <w:lang w:val="en-US"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3.甲方无正当理由逾期付款时，每逾期一日，甲方应按照逾期付款金额的万分之五的标准累计计算向乙方支付违约金。</w:t>
      </w:r>
      <w:r>
        <w:rPr>
          <w:rFonts w:hint="eastAsia" w:ascii="宋体" w:hAnsi="宋体" w:eastAsia="宋体" w:cs="宋体"/>
          <w:color w:val="000000"/>
          <w:sz w:val="24"/>
          <w:szCs w:val="24"/>
          <w:highlight w:val="none"/>
          <w:lang w:val="en-US"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4.由于甲方的原因要求延期交货，甲方应按规定承付货款，并承担乙方提供的代为保管费。</w:t>
      </w:r>
      <w:r>
        <w:rPr>
          <w:rFonts w:hint="eastAsia" w:ascii="宋体" w:hAnsi="宋体" w:eastAsia="宋体" w:cs="宋体"/>
          <w:color w:val="000000"/>
          <w:sz w:val="24"/>
          <w:szCs w:val="24"/>
          <w:highlight w:val="none"/>
          <w:lang w:val="en-US"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rPr>
          <w:rFonts w:hint="eastAsia" w:ascii="宋体" w:hAnsi="宋体" w:eastAsia="宋体" w:cs="宋体"/>
          <w:color w:val="000000"/>
          <w:sz w:val="24"/>
          <w:szCs w:val="24"/>
          <w:highlight w:val="none"/>
          <w:lang w:val="en-US"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由于乙方提供货物质量和安装存在问题和缺陷导致任何人身、财产损害的，乙方应负责承担由此产生的所有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eastAsia="宋体" w:cs="宋体"/>
          <w:color w:val="000000"/>
          <w:sz w:val="24"/>
          <w:szCs w:val="24"/>
          <w:highlight w:val="none"/>
          <w:lang w:val="en-US"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7.如遭遇不可抗力事件，遭遇不可抗力的一方应尽快以书面形式将不可抗力的情况和原因通知另一方，并积极采取措施防止损失扩大。因不可抗力造成的损失，供、需双方按照法律规定处理。</w:t>
      </w:r>
      <w:r>
        <w:rPr>
          <w:rFonts w:hint="eastAsia" w:ascii="宋体" w:hAnsi="宋体" w:eastAsia="宋体" w:cs="宋体"/>
          <w:color w:val="000000"/>
          <w:sz w:val="24"/>
          <w:szCs w:val="24"/>
          <w:highlight w:val="none"/>
          <w:lang w:val="en-US" w:eastAsia="zh-CN"/>
        </w:rPr>
      </w:r>
      <w:r/>
    </w:p>
    <w:p>
      <w:pPr>
        <w:pStyle w:val="1493"/>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8.招标文件及合同中所述之“不可抗力”系指不可预见、不可避免、不可克服的事件，包括但不限于：战争、洪水、台风、地震及其他法律、法规规定的事件。</w:t>
      </w:r>
      <w:r>
        <w:rPr>
          <w:rFonts w:hint="eastAsia" w:ascii="宋体" w:hAnsi="宋体" w:eastAsia="宋体" w:cs="宋体"/>
          <w:color w:val="000000"/>
          <w:sz w:val="24"/>
          <w:szCs w:val="24"/>
          <w:highlight w:val="none"/>
          <w:lang w:val="en-US" w:eastAsia="zh-CN"/>
        </w:rPr>
      </w:r>
      <w:r/>
    </w:p>
    <w:p>
      <w:pPr>
        <w:pStyle w:val="1493"/>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（八）合同的变更及终止：</w:t>
      </w:r>
      <w:r>
        <w:rPr>
          <w:rFonts w:hint="eastAsia" w:ascii="宋体" w:hAnsi="宋体" w:eastAsia="宋体" w:cs="宋体"/>
          <w:color w:val="000000"/>
          <w:sz w:val="24"/>
          <w:szCs w:val="24"/>
          <w:highlight w:val="none"/>
          <w:lang w:eastAsia="zh-CN"/>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8.1有下列情形之一的，本合同自行终止。</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(1)因不可抗力因素及政策原因，造成合同无法履行的。</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(2)经双方协商一致，自愿解除的。</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8.2有下列情形之一的，</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有权单方终止合同。</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(1)未经</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书面同意，</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擅自分包或者转包他人的。</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不履行义务，</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有权终止合同。</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8.3合同履行过程中发生下列情形的，</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有权变更、中止或终止合同，</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应当予以配合，但</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应当在发生相应情形后及时通知</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，并组织双方协商确定解决方案，</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应当按约支付</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已经完成的服务对应的合同价款，并补偿因合同变更、中止或终止而引发的</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直接损失：</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内部工作安排、计划调整等自身原因；</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（2）中央、省、市、区级政策变动，以及规划、计划调整等外部原因；</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（3）其他</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原因。</w:t>
      </w:r>
      <w:r>
        <w:rPr>
          <w:rFonts w:hint="eastAsia" w:ascii="宋体" w:hAnsi="宋体" w:eastAsia="宋体" w:cs="宋体"/>
          <w:bCs/>
          <w:color w:val="000000"/>
          <w:sz w:val="24"/>
          <w:szCs w:val="24"/>
          <w:highlight w:val="none"/>
        </w:rPr>
      </w:r>
      <w:r/>
    </w:p>
    <w:p>
      <w:pPr>
        <w:pStyle w:val="1493"/>
        <w:ind w:left="-2"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本合同对合同变更、中止或终止合同有其他特殊约定的，按该特殊约定执行。</w:t>
      </w:r>
      <w:r>
        <w:rPr>
          <w:rFonts w:hint="eastAsia" w:ascii="宋体" w:hAnsi="宋体" w:eastAsia="宋体" w:cs="宋体"/>
          <w:color w:val="000000"/>
          <w:highlight w:val="none"/>
        </w:rPr>
      </w:r>
      <w:r/>
    </w:p>
    <w:p>
      <w:pPr>
        <w:pStyle w:val="1493"/>
        <w:ind w:left="-2"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合同生效及其它：</w:t>
      </w:r>
      <w:r>
        <w:rPr>
          <w:rFonts w:hint="eastAsia" w:ascii="宋体" w:hAnsi="宋体" w:eastAsia="宋体" w:cs="宋体"/>
          <w:bCs/>
          <w:color w:val="000000"/>
          <w:sz w:val="24"/>
          <w:szCs w:val="24"/>
          <w:highlight w:val="none"/>
        </w:rPr>
      </w:r>
      <w:r/>
    </w:p>
    <w:p>
      <w:pPr>
        <w:pStyle w:val="1493"/>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.合同签订后</w:t>
      </w:r>
      <w:r>
        <w:rPr>
          <w:rFonts w:hint="eastAsia" w:ascii="宋体" w:hAnsi="宋体" w:eastAsia="宋体" w:cs="宋体"/>
          <w:bCs/>
          <w:color w:val="000000"/>
          <w:sz w:val="24"/>
          <w:szCs w:val="24"/>
          <w:highlight w:val="none"/>
          <w:lang w:eastAsia="zh-CN"/>
        </w:rPr>
        <w:t xml:space="preserve">甲乙</w:t>
      </w:r>
      <w:r>
        <w:rPr>
          <w:rFonts w:hint="eastAsia" w:ascii="宋体" w:hAnsi="宋体" w:eastAsia="宋体" w:cs="宋体"/>
          <w:bCs/>
          <w:color w:val="000000"/>
          <w:sz w:val="24"/>
          <w:szCs w:val="24"/>
          <w:highlight w:val="none"/>
        </w:rPr>
        <w:t xml:space="preserve">双方即直接产生权利与义务的关系，合同执行过程中出现的问题应按照合同约定、法律法规的规定办理。在合同履行过程中，双方如有争议，由</w:t>
      </w:r>
      <w:r>
        <w:rPr>
          <w:rFonts w:hint="eastAsia" w:ascii="宋体" w:hAnsi="宋体" w:eastAsia="宋体" w:cs="宋体"/>
          <w:bCs/>
          <w:color w:val="000000"/>
          <w:sz w:val="24"/>
          <w:szCs w:val="24"/>
          <w:highlight w:val="none"/>
          <w:lang w:eastAsia="zh-CN"/>
        </w:rPr>
        <w:t xml:space="preserve">甲乙</w:t>
      </w:r>
      <w:r>
        <w:rPr>
          <w:rFonts w:hint="eastAsia" w:ascii="宋体" w:hAnsi="宋体" w:eastAsia="宋体" w:cs="宋体"/>
          <w:bCs/>
          <w:color w:val="000000"/>
          <w:sz w:val="24"/>
          <w:szCs w:val="24"/>
          <w:highlight w:val="none"/>
        </w:rPr>
        <w:t xml:space="preserve">双方协商处理，若协商不成，可选择以下</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方式处理：</w:t>
      </w:r>
      <w:r>
        <w:rPr>
          <w:rFonts w:hint="eastAsia" w:ascii="宋体" w:hAnsi="宋体" w:eastAsia="宋体" w:cs="宋体"/>
          <w:bCs/>
          <w:color w:val="000000"/>
          <w:sz w:val="24"/>
          <w:szCs w:val="24"/>
          <w:highlight w:val="none"/>
        </w:rPr>
      </w:r>
      <w:r/>
    </w:p>
    <w:p>
      <w:pPr>
        <w:pStyle w:val="1493"/>
        <w:numPr>
          <w:ilvl w:val="0"/>
          <w:numId w:val="0"/>
        </w:numPr>
        <w:ind w:left="851"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向无锡仲裁委员会申请仲裁。</w:t>
      </w:r>
      <w:r>
        <w:rPr>
          <w:rFonts w:hint="eastAsia" w:ascii="宋体" w:hAnsi="宋体" w:eastAsia="宋体" w:cs="宋体"/>
          <w:color w:val="000000"/>
          <w:sz w:val="24"/>
          <w:szCs w:val="24"/>
          <w:highlight w:val="none"/>
        </w:rPr>
      </w:r>
      <w:r/>
    </w:p>
    <w:p>
      <w:pPr>
        <w:pStyle w:val="1493"/>
        <w:numPr>
          <w:ilvl w:val="0"/>
          <w:numId w:val="0"/>
        </w:numPr>
        <w:ind w:left="851"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所在地法院提起诉讼。</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bCs/>
          <w:color w:val="000000"/>
          <w:sz w:val="24"/>
          <w:szCs w:val="24"/>
          <w:highlight w:val="none"/>
          <w:lang w:val="en-US" w:eastAsia="zh-CN"/>
        </w:rPr>
      </w:r>
      <w:r/>
    </w:p>
    <w:p>
      <w:pPr>
        <w:pStyle w:val="1493"/>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3.合同中未有约定的按照有关的法律法规以及国家行业标准或技术文件规定予以解决。</w:t>
      </w:r>
      <w:r>
        <w:rPr>
          <w:rFonts w:hint="eastAsia" w:ascii="宋体" w:hAnsi="宋体" w:eastAsia="宋体" w:cs="宋体"/>
          <w:bCs/>
          <w:color w:val="000000"/>
          <w:sz w:val="24"/>
          <w:szCs w:val="24"/>
          <w:highlight w:val="none"/>
          <w:lang w:val="en-US" w:eastAsia="zh-CN"/>
        </w:rPr>
      </w:r>
      <w:r/>
    </w:p>
    <w:p>
      <w:pPr>
        <w:pStyle w:val="1493"/>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4.甲乙双方确认：对本合同条款及后果均已知悉，一致确认不存在欺诈、胁迫、乘人之危、重大误解、显失公平等任何可能导致合同无效或被撤销的情形。</w:t>
      </w:r>
      <w:r>
        <w:rPr>
          <w:rFonts w:hint="eastAsia" w:ascii="宋体" w:hAnsi="宋体" w:eastAsia="宋体" w:cs="宋体"/>
          <w:bCs/>
          <w:color w:val="000000"/>
          <w:sz w:val="24"/>
          <w:szCs w:val="24"/>
          <w:highlight w:val="none"/>
          <w:lang w:val="en-US" w:eastAsia="zh-CN"/>
        </w:rPr>
      </w:r>
      <w:r/>
    </w:p>
    <w:p>
      <w:pPr>
        <w:pStyle w:val="1493"/>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r>
      <w:r/>
    </w:p>
    <w:p>
      <w:pPr>
        <w:pStyle w:val="1493"/>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493"/>
        <w:jc w:val="center"/>
        <w:spacing w:line="360" w:lineRule="auto"/>
        <w:rPr>
          <w:rFonts w:hint="eastAsia" w:ascii="Times New Roman" w:hAnsi="宋体" w:eastAsia="宋体" w:cs="宋体"/>
          <w:b/>
          <w:bCs/>
          <w:sz w:val="32"/>
          <w:szCs w:val="32"/>
          <w:highlight w:val="none"/>
          <w:lang w:val="en-US" w:eastAsia="zh-CN"/>
        </w:rPr>
        <w:outlineLvl w:val="0"/>
      </w:pPr>
      <w:r/>
      <w:bookmarkStart w:id="33" w:name="_Toc5730"/>
      <w:r>
        <w:rPr>
          <w:rFonts w:hint="eastAsia" w:ascii="Times New Roman" w:hAnsi="宋体" w:eastAsia="宋体" w:cs="宋体"/>
          <w:b/>
          <w:bCs/>
          <w:sz w:val="32"/>
          <w:szCs w:val="32"/>
          <w:highlight w:val="none"/>
          <w:lang w:val="en-US" w:eastAsia="zh-CN"/>
        </w:rPr>
        <w:t xml:space="preserve">五、附件</w:t>
      </w:r>
      <w:bookmarkEnd w:id="31"/>
      <w:r/>
      <w:bookmarkEnd w:id="32"/>
      <w:r/>
      <w:bookmarkEnd w:id="33"/>
      <w:r>
        <w:rPr>
          <w:rFonts w:hint="eastAsia" w:ascii="Times New Roman" w:hAnsi="宋体" w:eastAsia="宋体" w:cs="宋体"/>
          <w:b/>
          <w:bCs/>
          <w:sz w:val="32"/>
          <w:szCs w:val="32"/>
          <w:highlight w:val="none"/>
          <w:lang w:val="en-US" w:eastAsia="zh-CN"/>
        </w:rPr>
      </w:r>
      <w:r/>
    </w:p>
    <w:p>
      <w:pPr>
        <w:pStyle w:val="1493"/>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493"/>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493"/>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3"/>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2、投标人综合情况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3"/>
        <w:ind w:left="0" w:firstLine="480"/>
        <w:jc w:val="left"/>
        <w:keepLines w:val="0"/>
        <w:keepNext w:val="0"/>
        <w:pageBreakBefore w:val="0"/>
        <w:spacing w:line="360" w:lineRule="auto"/>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3、人员配置情况</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11分</w:t>
      </w:r>
      <w:r>
        <w:rPr>
          <w:rFonts w:ascii="宋体" w:hAnsi="宋体" w:eastAsia="宋体" w:cs="宋体"/>
          <w:b/>
          <w:color w:val="000000"/>
          <w:sz w:val="24"/>
          <w:szCs w:val="24"/>
          <w:highlight w:val="none"/>
          <w:lang w:val="en-US" w:eastAsia="zh-CN"/>
        </w:rPr>
      </w:r>
      <w:r/>
    </w:p>
    <w:p>
      <w:pPr>
        <w:pStyle w:val="1493"/>
        <w:ind w:left="0" w:firstLine="480"/>
        <w:jc w:val="left"/>
        <w:keepLines w:val="0"/>
        <w:keepNext w:val="0"/>
        <w:pageBreakBefore w:val="0"/>
        <w:spacing w:line="360" w:lineRule="auto"/>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4、产品技术部分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25分</w:t>
      </w:r>
      <w:r>
        <w:rPr>
          <w:rFonts w:ascii="宋体" w:hAnsi="宋体" w:eastAsia="宋体" w:cs="宋体"/>
          <w:b/>
          <w:color w:val="000000"/>
          <w:sz w:val="24"/>
          <w:szCs w:val="24"/>
          <w:highlight w:val="none"/>
          <w:lang w:val="en-US" w:eastAsia="zh-CN"/>
        </w:rPr>
      </w:r>
      <w:r/>
    </w:p>
    <w:p>
      <w:pPr>
        <w:pStyle w:val="1493"/>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、项目方案                             </w:t>
      </w:r>
      <w:r>
        <w:rPr>
          <w:rFonts w:hint="eastAsia" w:ascii="宋体" w:hAnsi="宋体" w:eastAsia="宋体" w:cs="宋体"/>
          <w:b/>
          <w:color w:val="000000"/>
          <w:sz w:val="24"/>
          <w:szCs w:val="24"/>
          <w:highlight w:val="none"/>
          <w:lang w:val="en-US" w:eastAsia="zh-CN"/>
        </w:rPr>
        <w:t xml:space="preserve">24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3"/>
        <w:ind w:left="0" w:firstLine="480"/>
        <w:jc w:val="left"/>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6、政策性因素                            2分</w:t>
      </w:r>
      <w:r>
        <w:rPr>
          <w:rFonts w:hint="eastAsia" w:ascii="宋体" w:hAnsi="宋体" w:eastAsia="宋体" w:cs="宋体"/>
          <w:b/>
          <w:color w:val="000000"/>
          <w:sz w:val="24"/>
          <w:szCs w:val="24"/>
          <w:highlight w:val="none"/>
          <w:lang w:val="en-US" w:eastAsia="zh-CN"/>
        </w:rPr>
      </w:r>
      <w:r/>
    </w:p>
    <w:p>
      <w:pPr>
        <w:pStyle w:val="1493"/>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542"/>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493"/>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542"/>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投标供应商综合情况（</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val="zh-CN" w:eastAsia="zh-CN"/>
        </w:rPr>
        <w:t xml:space="preserve">）企业</w:t>
      </w:r>
      <w:r>
        <w:rPr>
          <w:rFonts w:hint="eastAsia" w:ascii="宋体" w:hAnsi="宋体" w:eastAsia="宋体" w:cs="宋体"/>
          <w:b/>
          <w:bCs w:val="0"/>
          <w:color w:val="000000"/>
          <w:sz w:val="24"/>
          <w:szCs w:val="24"/>
          <w:highlight w:val="none"/>
          <w:lang w:val="zh-CN"/>
        </w:rPr>
        <w:t xml:space="preserve">业绩（</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zh-CN"/>
        </w:rPr>
        <w:t xml:space="preserve">分）</w:t>
      </w:r>
      <w:r>
        <w:rPr>
          <w:rFonts w:hint="eastAsia" w:ascii="宋体" w:hAnsi="宋体" w:eastAsia="宋体" w:cs="宋体"/>
          <w:b/>
          <w:bCs w:val="0"/>
          <w:color w:val="000000"/>
          <w:sz w:val="24"/>
          <w:szCs w:val="24"/>
          <w:highlight w:val="none"/>
          <w:lang w:val="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投标供应商近三年</w:t>
      </w:r>
      <w:r>
        <w:rPr>
          <w:rFonts w:hint="eastAsia" w:ascii="宋体" w:hAnsi="宋体" w:eastAsia="宋体" w:cs="宋体"/>
          <w:bCs/>
          <w:color w:val="000000"/>
          <w:sz w:val="24"/>
          <w:szCs w:val="24"/>
          <w:highlight w:val="none"/>
        </w:rPr>
        <w:t xml:space="preserve">（以</w:t>
      </w:r>
      <w:r>
        <w:rPr>
          <w:rFonts w:hint="eastAsia" w:ascii="宋体" w:hAnsi="宋体" w:eastAsia="宋体" w:cs="宋体"/>
          <w:bCs/>
          <w:color w:val="000000"/>
          <w:sz w:val="24"/>
          <w:szCs w:val="24"/>
          <w:highlight w:val="none"/>
          <w:lang w:val="en-US" w:eastAsia="zh-CN"/>
        </w:rPr>
        <w:t xml:space="preserve">合同签订</w:t>
      </w:r>
      <w:r>
        <w:rPr>
          <w:rFonts w:hint="eastAsia" w:ascii="宋体" w:hAnsi="宋体" w:eastAsia="宋体" w:cs="宋体"/>
          <w:bCs/>
          <w:color w:val="000000"/>
          <w:sz w:val="24"/>
          <w:szCs w:val="24"/>
          <w:highlight w:val="none"/>
        </w:rPr>
        <w:t xml:space="preserve">时间为准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无签订时间的以合同开始履行日期为准</w:t>
      </w:r>
      <w:r>
        <w:rPr>
          <w:rFonts w:hint="eastAsia" w:ascii="宋体" w:hAnsi="宋体" w:eastAsia="宋体" w:cs="宋体"/>
          <w:bCs/>
          <w:color w:val="000000"/>
          <w:sz w:val="24"/>
          <w:szCs w:val="24"/>
          <w:highlight w:val="none"/>
        </w:rPr>
        <w:t xml:space="preserve">）以来</w:t>
      </w:r>
      <w:r>
        <w:rPr>
          <w:rFonts w:hint="eastAsia" w:ascii="宋体" w:hAnsi="宋体" w:eastAsia="宋体" w:cs="宋体"/>
          <w:bCs/>
          <w:color w:val="000000"/>
          <w:sz w:val="24"/>
          <w:szCs w:val="24"/>
          <w:highlight w:val="none"/>
        </w:rPr>
        <w:t xml:space="preserve">承担过类似项目的，有</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个得</w:t>
      </w: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类似项目业绩证明需提供</w:t>
      </w:r>
      <w:r>
        <w:rPr>
          <w:rFonts w:hint="eastAsia" w:ascii="宋体" w:hAnsi="宋体" w:eastAsia="宋体" w:cs="宋体"/>
          <w:b/>
          <w:bCs w:val="0"/>
          <w:color w:val="000000"/>
          <w:sz w:val="24"/>
          <w:szCs w:val="24"/>
          <w:highlight w:val="none"/>
          <w:lang w:val="en-US" w:eastAsia="zh-CN"/>
        </w:rPr>
        <w:t xml:space="preserve">有效的</w:t>
      </w:r>
      <w:r>
        <w:rPr>
          <w:rFonts w:hint="eastAsia" w:ascii="宋体" w:hAnsi="宋体" w:eastAsia="宋体" w:cs="宋体"/>
          <w:b/>
          <w:bCs w:val="0"/>
          <w:color w:val="000000"/>
          <w:sz w:val="24"/>
          <w:szCs w:val="24"/>
          <w:highlight w:val="none"/>
        </w:rPr>
        <w:t xml:space="preserve">合同</w:t>
      </w:r>
      <w:r>
        <w:rPr>
          <w:rFonts w:hint="eastAsia" w:ascii="宋体" w:hAnsi="宋体" w:eastAsia="宋体" w:cs="宋体"/>
          <w:b/>
          <w:bCs w:val="0"/>
          <w:color w:val="000000"/>
          <w:sz w:val="24"/>
          <w:szCs w:val="24"/>
          <w:highlight w:val="none"/>
          <w:lang w:val="en-US" w:eastAsia="zh-CN"/>
        </w:rPr>
        <w:t xml:space="preserve">扫描件上传至投标文件并电子签章，不提供不得分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）服务能力（</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投标供应商具有ITSS信息技术服务二级及以上资质</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lang w:eastAsia="zh-CN"/>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注：需提供</w:t>
      </w:r>
      <w:r>
        <w:rPr>
          <w:rFonts w:hint="eastAsia" w:ascii="宋体" w:hAnsi="宋体" w:eastAsia="宋体" w:cs="宋体"/>
          <w:b/>
          <w:bCs w:val="0"/>
          <w:color w:val="000000"/>
          <w:sz w:val="24"/>
          <w:szCs w:val="24"/>
          <w:highlight w:val="none"/>
          <w:lang w:val="en-US" w:eastAsia="zh-CN"/>
        </w:rPr>
        <w:t xml:space="preserve">有效的</w:t>
      </w:r>
      <w:r>
        <w:rPr>
          <w:rFonts w:hint="eastAsia" w:ascii="宋体" w:hAnsi="宋体" w:eastAsia="宋体" w:cs="宋体"/>
          <w:b/>
          <w:bCs w:val="0"/>
          <w:color w:val="000000"/>
          <w:sz w:val="24"/>
          <w:szCs w:val="24"/>
          <w:highlight w:val="none"/>
          <w:lang w:val="en-US" w:eastAsia="zh-CN"/>
        </w:rPr>
        <w:t xml:space="preserve">相关证书扫描件上传至投标文件并电子签章，不提供不得分。</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（3）服务承诺（</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以投标供应商所做服务承诺为依据，主要考察如下：</w:t>
      </w:r>
      <w:r>
        <w:rPr>
          <w:rFonts w:hint="eastAsia" w:ascii="宋体" w:hAnsi="宋体" w:eastAsia="宋体" w:cs="宋体"/>
          <w:bCs/>
          <w:color w:val="000000"/>
          <w:sz w:val="24"/>
          <w:szCs w:val="24"/>
          <w:highlight w:val="none"/>
          <w:lang w:eastAsia="zh-CN"/>
        </w:rPr>
      </w:r>
      <w:r/>
    </w:p>
    <w:p>
      <w:pPr>
        <w:pStyle w:val="1493"/>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投标供应商服务响应时间：投标供应商承诺1小时内响应并到达现场的，得</w:t>
      </w: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分；超过</w:t>
      </w: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小时</w:t>
      </w:r>
      <w:r>
        <w:rPr>
          <w:rFonts w:hint="eastAsia" w:ascii="宋体" w:hAnsi="宋体" w:eastAsia="宋体" w:cs="宋体"/>
          <w:bCs/>
          <w:color w:val="000000"/>
          <w:sz w:val="24"/>
          <w:szCs w:val="24"/>
          <w:highlight w:val="none"/>
          <w:lang w:val="en-US" w:eastAsia="zh-CN"/>
        </w:rPr>
        <w:t xml:space="preserve">的，</w:t>
      </w:r>
      <w:r>
        <w:rPr>
          <w:rFonts w:ascii="宋体" w:hAnsi="宋体" w:eastAsia="宋体" w:cs="宋体"/>
          <w:bCs/>
          <w:color w:val="000000"/>
          <w:sz w:val="24"/>
          <w:szCs w:val="24"/>
          <w:highlight w:val="none"/>
          <w:lang w:val="en-US" w:eastAsia="zh-CN"/>
        </w:rPr>
        <w:t xml:space="preserve">不得分。</w:t>
      </w:r>
      <w:r>
        <w:rPr>
          <w:rFonts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val="en-US" w:eastAsia="zh-CN"/>
        </w:rPr>
        <w:t xml:space="preserve">注：需</w:t>
      </w:r>
      <w:r>
        <w:rPr>
          <w:rFonts w:hint="eastAsia" w:ascii="宋体" w:hAnsi="宋体" w:eastAsia="宋体" w:cs="宋体"/>
          <w:b/>
          <w:bCs w:val="0"/>
          <w:color w:val="000000"/>
          <w:sz w:val="24"/>
          <w:szCs w:val="24"/>
          <w:highlight w:val="none"/>
          <w:lang w:eastAsia="zh-CN"/>
        </w:rPr>
        <w:t xml:space="preserve">提供服务承诺函扫描件</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格式自拟，</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eastAsia="zh-CN"/>
        </w:rPr>
      </w:r>
      <w:r/>
    </w:p>
    <w:p>
      <w:pPr>
        <w:pStyle w:val="1542"/>
        <w:ind w:left="0" w:firstLine="480"/>
        <w:jc w:val="left"/>
        <w:keepLines w:val="0"/>
        <w:keepNext w:val="0"/>
        <w:pageBreakBefore w:val="0"/>
        <w:spacing w:after="0" w:line="360" w:lineRule="auto"/>
        <w:rPr>
          <w:rFonts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3、人员配置情况（11分）</w:t>
      </w:r>
      <w:r>
        <w:rPr>
          <w:rFonts w:ascii="宋体" w:hAnsi="宋体" w:eastAsia="宋体" w:cs="宋体"/>
          <w:b/>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（1）项目经理（3分）：具备</w:t>
      </w:r>
      <w:r>
        <w:rPr>
          <w:rFonts w:ascii="宋体" w:hAnsi="宋体" w:eastAsia="宋体" w:cs="宋体"/>
          <w:bCs/>
          <w:color w:val="000000"/>
          <w:sz w:val="24"/>
          <w:szCs w:val="24"/>
          <w:highlight w:val="none"/>
          <w:lang w:val="en-US" w:eastAsia="zh-CN"/>
        </w:rPr>
        <w:t xml:space="preserve">二级建造师</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机电工程</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有效证书</w:t>
      </w:r>
      <w:r>
        <w:rPr>
          <w:rFonts w:hint="eastAsia" w:ascii="宋体" w:hAnsi="宋体" w:eastAsia="宋体" w:cs="宋体"/>
          <w:bCs/>
          <w:color w:val="000000"/>
          <w:sz w:val="24"/>
          <w:szCs w:val="24"/>
          <w:highlight w:val="none"/>
          <w:lang w:val="en-US" w:eastAsia="zh-CN"/>
        </w:rPr>
        <w:t xml:space="preserve">的，</w:t>
      </w:r>
      <w:r>
        <w:rPr>
          <w:rFonts w:ascii="宋体" w:hAnsi="宋体" w:eastAsia="宋体" w:cs="宋体"/>
          <w:bCs/>
          <w:color w:val="000000"/>
          <w:sz w:val="24"/>
          <w:szCs w:val="24"/>
          <w:highlight w:val="none"/>
          <w:lang w:val="en-US" w:eastAsia="zh-CN"/>
        </w:rPr>
        <w:t xml:space="preserve">得2分；</w:t>
      </w:r>
      <w:r>
        <w:rPr>
          <w:rFonts w:hint="eastAsia" w:ascii="宋体" w:hAnsi="宋体" w:eastAsia="宋体" w:cs="宋体"/>
          <w:bCs/>
          <w:color w:val="000000"/>
          <w:sz w:val="24"/>
          <w:szCs w:val="24"/>
          <w:highlight w:val="none"/>
          <w:lang w:val="en-US" w:eastAsia="zh-CN"/>
        </w:rPr>
        <w:t xml:space="preserve">具备</w:t>
      </w:r>
      <w:r>
        <w:rPr>
          <w:rFonts w:ascii="宋体" w:hAnsi="宋体" w:eastAsia="宋体" w:cs="宋体"/>
          <w:bCs/>
          <w:color w:val="000000"/>
          <w:sz w:val="24"/>
          <w:szCs w:val="24"/>
          <w:highlight w:val="none"/>
          <w:lang w:val="en-US" w:eastAsia="zh-CN"/>
        </w:rPr>
        <w:t xml:space="preserve">一级建造师</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机电工程</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有效证书</w:t>
      </w:r>
      <w:r>
        <w:rPr>
          <w:rFonts w:hint="eastAsia" w:ascii="宋体" w:hAnsi="宋体" w:eastAsia="宋体" w:cs="宋体"/>
          <w:bCs/>
          <w:color w:val="000000"/>
          <w:sz w:val="24"/>
          <w:szCs w:val="24"/>
          <w:highlight w:val="none"/>
          <w:lang w:val="en-US" w:eastAsia="zh-CN"/>
        </w:rPr>
        <w:t xml:space="preserve">的，</w:t>
      </w:r>
      <w:r>
        <w:rPr>
          <w:rFonts w:ascii="宋体" w:hAnsi="宋体" w:eastAsia="宋体" w:cs="宋体"/>
          <w:bCs/>
          <w:color w:val="000000"/>
          <w:sz w:val="24"/>
          <w:szCs w:val="24"/>
          <w:highlight w:val="none"/>
          <w:lang w:val="en-US" w:eastAsia="zh-CN"/>
        </w:rPr>
        <w:t xml:space="preserve">得3分。</w:t>
      </w:r>
      <w:r>
        <w:rPr>
          <w:rFonts w:hint="eastAsia" w:ascii="宋体" w:hAnsi="宋体" w:eastAsia="宋体" w:cs="宋体"/>
          <w:bCs/>
          <w:color w:val="000000"/>
          <w:sz w:val="24"/>
          <w:szCs w:val="24"/>
          <w:highlight w:val="none"/>
          <w:lang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（2）专业技术人员（5分）：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①具备网络认证工程师证书（HCIE或H3CIE或CCIE）或信息安全注册认证证书（CISP）或IT服务工程师认证证书的，有1个得1分，本项最高得3分；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②施工人员具备低压电工证书，每提供一个得0.5分，本项最高2分。</w:t>
      </w:r>
      <w:r>
        <w:rPr>
          <w:rFonts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项目团队人员配置（3分）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20人＜</w:t>
      </w:r>
      <w:r>
        <w:rPr>
          <w:rFonts w:hint="eastAsia" w:ascii="宋体" w:hAnsi="宋体" w:eastAsia="宋体" w:cs="宋体"/>
          <w:bCs/>
          <w:color w:val="000000"/>
          <w:sz w:val="24"/>
          <w:szCs w:val="24"/>
          <w:highlight w:val="none"/>
          <w:lang w:val="en-US" w:eastAsia="zh-CN"/>
        </w:rPr>
        <w:t xml:space="preserve">实施维护人员人数</w:t>
      </w:r>
      <w:r>
        <w:rPr>
          <w:rFonts w:hint="eastAsia" w:ascii="宋体" w:hAnsi="宋体" w:eastAsia="宋体" w:cs="宋体"/>
          <w:bCs/>
          <w:color w:val="000000"/>
          <w:sz w:val="24"/>
          <w:szCs w:val="24"/>
          <w:highlight w:val="none"/>
          <w:lang w:val="en-US" w:eastAsia="zh-CN"/>
        </w:rPr>
        <w:t xml:space="preserve">≤30人</w:t>
      </w:r>
      <w:r>
        <w:rPr>
          <w:rFonts w:hint="eastAsia" w:ascii="宋体" w:hAnsi="宋体" w:eastAsia="宋体" w:cs="宋体"/>
          <w:bCs/>
          <w:color w:val="000000"/>
          <w:sz w:val="24"/>
          <w:szCs w:val="24"/>
          <w:highlight w:val="none"/>
          <w:lang w:val="en-US" w:eastAsia="zh-CN"/>
        </w:rPr>
        <w:t xml:space="preserve">的，得3分；15人＜</w:t>
      </w:r>
      <w:r>
        <w:rPr>
          <w:rFonts w:hint="eastAsia" w:ascii="宋体" w:hAnsi="宋体" w:eastAsia="宋体" w:cs="宋体"/>
          <w:bCs/>
          <w:color w:val="000000"/>
          <w:sz w:val="24"/>
          <w:szCs w:val="24"/>
          <w:highlight w:val="none"/>
          <w:lang w:val="en-US" w:eastAsia="zh-CN"/>
        </w:rPr>
        <w:t xml:space="preserve">实施维护人员人数</w:t>
      </w:r>
      <w:r>
        <w:rPr>
          <w:rFonts w:hint="eastAsia" w:ascii="宋体" w:hAnsi="宋体" w:eastAsia="宋体" w:cs="宋体"/>
          <w:bCs/>
          <w:color w:val="000000"/>
          <w:sz w:val="24"/>
          <w:szCs w:val="24"/>
          <w:highlight w:val="none"/>
          <w:lang w:val="en-US" w:eastAsia="zh-CN"/>
        </w:rPr>
        <w:t xml:space="preserve">≤20人，得1分；10人＜</w:t>
      </w:r>
      <w:r>
        <w:rPr>
          <w:rFonts w:hint="eastAsia" w:ascii="宋体" w:hAnsi="宋体" w:eastAsia="宋体" w:cs="宋体"/>
          <w:bCs/>
          <w:color w:val="000000"/>
          <w:sz w:val="24"/>
          <w:szCs w:val="24"/>
          <w:highlight w:val="none"/>
          <w:lang w:val="en-US" w:eastAsia="zh-CN"/>
        </w:rPr>
        <w:t xml:space="preserve">实施维护人员人数</w:t>
      </w:r>
      <w:r>
        <w:rPr>
          <w:rFonts w:hint="eastAsia" w:ascii="宋体" w:hAnsi="宋体" w:eastAsia="宋体" w:cs="宋体"/>
          <w:bCs/>
          <w:color w:val="000000"/>
          <w:sz w:val="24"/>
          <w:szCs w:val="24"/>
          <w:highlight w:val="none"/>
          <w:lang w:val="en-US" w:eastAsia="zh-CN"/>
        </w:rPr>
        <w:t xml:space="preserve">≤15人，本项不得分。</w:t>
      </w:r>
      <w:r>
        <w:rPr>
          <w:highlight w:val="none"/>
          <w:lang w:val="en-US" w:eastAsia="zh-CN"/>
        </w:rPr>
      </w:r>
      <w:r/>
    </w:p>
    <w:p>
      <w:pPr>
        <w:pStyle w:val="14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注：①</w:t>
      </w:r>
      <w:r>
        <w:rPr>
          <w:rFonts w:ascii="宋体" w:hAnsi="宋体" w:eastAsia="宋体" w:cs="宋体"/>
          <w:b/>
          <w:bCs w:val="0"/>
          <w:color w:val="000000"/>
          <w:sz w:val="24"/>
          <w:szCs w:val="24"/>
          <w:highlight w:val="none"/>
          <w:lang w:val="en-US" w:eastAsia="zh-CN"/>
        </w:rPr>
        <w:t xml:space="preserve">同一人不可重复得分</w:t>
      </w:r>
      <w:r>
        <w:rPr>
          <w:rFonts w:hint="eastAsia" w:ascii="宋体" w:hAnsi="宋体" w:eastAsia="宋体" w:cs="宋体"/>
          <w:b/>
          <w:bCs w:val="0"/>
          <w:color w:val="000000"/>
          <w:sz w:val="24"/>
          <w:szCs w:val="24"/>
          <w:highlight w:val="none"/>
          <w:lang w:val="en-US" w:eastAsia="zh-CN"/>
        </w:rPr>
        <w:t xml:space="preserve">；</w:t>
      </w:r>
      <w:r>
        <w:rPr>
          <w:rFonts w:ascii="宋体" w:hAnsi="宋体" w:eastAsia="宋体" w:cs="宋体"/>
          <w:b/>
          <w:bCs w:val="0"/>
          <w:color w:val="000000"/>
          <w:sz w:val="24"/>
          <w:szCs w:val="24"/>
          <w:highlight w:val="none"/>
          <w:lang w:val="en-US" w:eastAsia="zh-CN"/>
        </w:rPr>
        <w:t xml:space="preserve">返聘、临聘、已退休人员均</w:t>
      </w:r>
      <w:r>
        <w:rPr>
          <w:rFonts w:hint="eastAsia" w:ascii="宋体" w:hAnsi="宋体" w:eastAsia="宋体" w:cs="宋体"/>
          <w:b/>
          <w:bCs w:val="0"/>
          <w:color w:val="000000"/>
          <w:sz w:val="24"/>
          <w:szCs w:val="24"/>
          <w:highlight w:val="none"/>
          <w:lang w:val="en-US" w:eastAsia="zh-CN"/>
        </w:rPr>
        <w:t xml:space="preserve">不得分；</w:t>
      </w:r>
      <w:r>
        <w:rPr>
          <w:rFonts w:ascii="宋体" w:hAnsi="宋体" w:eastAsia="宋体" w:cs="宋体"/>
          <w:b/>
          <w:bCs w:val="0"/>
          <w:color w:val="000000"/>
          <w:sz w:val="24"/>
          <w:szCs w:val="24"/>
          <w:highlight w:val="none"/>
          <w:lang w:val="en-US" w:eastAsia="zh-CN"/>
        </w:rPr>
        <w:t xml:space="preserve">已通过相关考试，但尚未拿到证书的，</w:t>
      </w:r>
      <w:r>
        <w:rPr>
          <w:rFonts w:hint="eastAsia" w:ascii="宋体" w:hAnsi="宋体" w:eastAsia="宋体" w:cs="宋体"/>
          <w:b/>
          <w:bCs w:val="0"/>
          <w:color w:val="000000"/>
          <w:sz w:val="24"/>
          <w:szCs w:val="24"/>
          <w:highlight w:val="none"/>
          <w:lang w:val="en-US" w:eastAsia="zh-CN"/>
        </w:rPr>
        <w:t xml:space="preserve">不得分</w:t>
      </w:r>
      <w:r>
        <w:rPr>
          <w:rFonts w:ascii="宋体" w:hAnsi="宋体" w:eastAsia="宋体" w:cs="宋体"/>
          <w:b/>
          <w:bCs w:val="0"/>
          <w:color w:val="000000"/>
          <w:sz w:val="24"/>
          <w:szCs w:val="24"/>
          <w:highlight w:val="none"/>
          <w:lang w:val="en-US" w:eastAsia="zh-CN"/>
        </w:rPr>
        <w:t xml:space="preserve">；延续或换证提供换证前老的关于个人的注册和变更情况截图上传至投标文件并电子签章，否则对应项不得分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②以上成员</w:t>
      </w:r>
      <w:r>
        <w:rPr>
          <w:rFonts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相关</w:t>
      </w:r>
      <w:r>
        <w:rPr>
          <w:rFonts w:ascii="宋体" w:hAnsi="宋体" w:eastAsia="宋体" w:cs="宋体"/>
          <w:b/>
          <w:bCs w:val="0"/>
          <w:color w:val="000000"/>
          <w:sz w:val="24"/>
          <w:szCs w:val="24"/>
          <w:highlight w:val="none"/>
          <w:lang w:val="en-US" w:eastAsia="zh-CN"/>
        </w:rPr>
        <w:t xml:space="preserve">证明材料</w:t>
      </w:r>
      <w:r>
        <w:rPr>
          <w:rFonts w:hint="eastAsia" w:ascii="宋体" w:hAnsi="宋体" w:eastAsia="宋体" w:cs="宋体"/>
          <w:b/>
          <w:bCs w:val="0"/>
          <w:color w:val="000000"/>
          <w:sz w:val="24"/>
          <w:szCs w:val="24"/>
          <w:highlight w:val="none"/>
          <w:lang w:val="en-US" w:eastAsia="zh-CN"/>
        </w:rPr>
        <w:t xml:space="preserve">扫描件上传至投标文件并电子签章；同时需提供</w:t>
      </w:r>
      <w:r>
        <w:rPr>
          <w:rFonts w:ascii="宋体" w:hAnsi="宋体" w:eastAsia="宋体" w:cs="宋体"/>
          <w:b/>
          <w:bCs w:val="0"/>
          <w:color w:val="000000"/>
          <w:sz w:val="24"/>
          <w:szCs w:val="24"/>
          <w:highlight w:val="none"/>
          <w:lang w:val="en-US" w:eastAsia="zh-CN"/>
        </w:rPr>
        <w:t xml:space="preserve">由法定的社保收缴部门出具的</w:t>
      </w:r>
      <w:r>
        <w:rPr>
          <w:rFonts w:hint="eastAsia" w:ascii="宋体" w:hAnsi="宋体" w:eastAsia="宋体" w:cs="宋体"/>
          <w:b/>
          <w:bCs w:val="0"/>
          <w:color w:val="0000ff"/>
          <w:sz w:val="24"/>
          <w:szCs w:val="24"/>
          <w:highlight w:val="none"/>
          <w:lang w:val="en-US" w:eastAsia="zh-CN"/>
        </w:rPr>
        <w:t xml:space="preserve">2024年4</w:t>
      </w:r>
      <w:r>
        <w:rPr>
          <w:rFonts w:hint="eastAsia" w:ascii="宋体" w:hAnsi="宋体" w:eastAsia="宋体" w:cs="宋体"/>
          <w:b/>
          <w:bCs w:val="0"/>
          <w:color w:val="0000ff"/>
          <w:sz w:val="24"/>
          <w:szCs w:val="24"/>
          <w:highlight w:val="none"/>
          <w:lang w:val="en-US" w:eastAsia="zh-CN"/>
        </w:rPr>
        <w:t xml:space="preserve">月</w:t>
      </w:r>
      <w:r>
        <w:rPr>
          <w:rFonts w:hint="eastAsia" w:ascii="宋体" w:hAnsi="宋体" w:eastAsia="宋体" w:cs="宋体"/>
          <w:b/>
          <w:bCs w:val="0"/>
          <w:color w:val="0000ff"/>
          <w:sz w:val="24"/>
          <w:szCs w:val="24"/>
          <w:highlight w:val="none"/>
          <w:lang w:val="en-US" w:eastAsia="zh-CN"/>
        </w:rPr>
        <w:t xml:space="preserve">-2024年6月</w:t>
      </w:r>
      <w:r>
        <w:rPr>
          <w:rFonts w:ascii="宋体" w:hAnsi="宋体" w:eastAsia="宋体" w:cs="宋体"/>
          <w:b/>
          <w:bCs w:val="0"/>
          <w:color w:val="000000"/>
          <w:sz w:val="24"/>
          <w:szCs w:val="24"/>
          <w:highlight w:val="none"/>
          <w:lang w:val="en-US" w:eastAsia="zh-CN"/>
        </w:rPr>
        <w:t xml:space="preserve">的社保缴费证明</w:t>
      </w:r>
      <w:r>
        <w:rPr>
          <w:rFonts w:hint="eastAsia" w:ascii="宋体" w:hAnsi="宋体" w:eastAsia="宋体" w:cs="宋体"/>
          <w:b/>
          <w:bCs w:val="0"/>
          <w:color w:val="000000"/>
          <w:sz w:val="24"/>
          <w:szCs w:val="24"/>
          <w:highlight w:val="none"/>
          <w:lang w:val="en-US" w:eastAsia="zh-CN"/>
        </w:rPr>
        <w:t xml:space="preserve">扫描件上传至投标文件并电子签章</w:t>
      </w:r>
      <w:r>
        <w:rPr>
          <w:rFonts w:ascii="宋体" w:hAnsi="宋体" w:eastAsia="宋体" w:cs="宋体"/>
          <w:b/>
          <w:bCs w:val="0"/>
          <w:color w:val="000000"/>
          <w:sz w:val="24"/>
          <w:szCs w:val="24"/>
          <w:highlight w:val="none"/>
          <w:lang w:val="en-US" w:eastAsia="zh-CN"/>
        </w:rPr>
        <w:t xml:space="preserve">，不提供不得分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1493"/>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ascii="宋体" w:hAnsi="宋体" w:eastAsia="宋体" w:cs="宋体"/>
          <w:bCs/>
          <w:color w:val="000000"/>
          <w:sz w:val="24"/>
          <w:szCs w:val="24"/>
          <w:highlight w:val="none"/>
          <w:lang w:val="en-US" w:eastAsia="zh-CN"/>
        </w:rPr>
      </w:r>
      <w:r/>
    </w:p>
    <w:p>
      <w:pPr>
        <w:pStyle w:val="1542"/>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4、产品技术部分（25分）</w:t>
      </w:r>
      <w:r>
        <w:rPr>
          <w:rFonts w:hint="eastAsia" w:ascii="宋体" w:hAnsi="宋体" w:eastAsia="宋体" w:cs="宋体"/>
          <w:b/>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（1）产品参数（13分）</w:t>
      </w:r>
      <w:r>
        <w:rPr>
          <w:rFonts w:ascii="宋体" w:hAnsi="宋体" w:eastAsia="宋体" w:cs="宋体"/>
          <w:b/>
          <w:bCs w:val="0"/>
          <w:color w:val="000000"/>
          <w:sz w:val="24"/>
          <w:szCs w:val="24"/>
          <w:highlight w:val="none"/>
          <w:lang w:val="en-US" w:eastAsia="zh-CN"/>
        </w:rPr>
      </w:r>
      <w:r/>
    </w:p>
    <w:tbl>
      <w:tblPr>
        <w:tblStyle w:val="1545"/>
        <w:tblW w:w="13498" w:type="dxa"/>
        <w:jc w:val="center"/>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4006"/>
        <w:gridCol w:w="4484"/>
        <w:gridCol w:w="3255"/>
        <w:gridCol w:w="1032"/>
      </w:tblGrid>
      <w:tr>
        <w:trPr>
          <w:tblHeader/>
        </w:trPr>
        <w:tc>
          <w:tcPr>
            <w:tcW w:w="721"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
                <w:bCs w:val="0"/>
                <w:color w:val="000000"/>
                <w:sz w:val="20"/>
                <w:szCs w:val="20"/>
                <w:highlight w:val="none"/>
                <w:vertAlign w:val="baseline"/>
                <w:lang w:val="en-US" w:eastAsia="zh-CN"/>
              </w:rPr>
              <w:outlineLvl w:val="9"/>
            </w:pPr>
            <w:r>
              <w:rPr>
                <w:rFonts w:hint="eastAsia" w:ascii="宋体" w:hAnsi="宋体" w:eastAsia="宋体" w:cs="宋体"/>
                <w:b/>
                <w:bCs w:val="0"/>
                <w:color w:val="000000"/>
                <w:sz w:val="20"/>
                <w:szCs w:val="20"/>
                <w:highlight w:val="none"/>
                <w:vertAlign w:val="baseline"/>
                <w:lang w:val="en-US" w:eastAsia="zh-CN"/>
              </w:rPr>
              <w:t xml:space="preserve">序号</w:t>
            </w:r>
            <w:r>
              <w:rPr>
                <w:rFonts w:ascii="宋体" w:hAnsi="宋体" w:eastAsia="宋体" w:cs="宋体"/>
                <w:b/>
                <w:bCs w:val="0"/>
                <w:color w:val="000000"/>
                <w:sz w:val="20"/>
                <w:szCs w:val="20"/>
                <w:highlight w:val="none"/>
                <w:vertAlign w:val="baseline"/>
                <w:lang w:val="en-US" w:eastAsia="zh-CN"/>
              </w:rPr>
            </w:r>
            <w:r/>
          </w:p>
        </w:tc>
        <w:tc>
          <w:tcPr>
            <w:tcW w:w="4006"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
                <w:bCs w:val="0"/>
                <w:color w:val="000000"/>
                <w:sz w:val="20"/>
                <w:szCs w:val="20"/>
                <w:highlight w:val="none"/>
                <w:vertAlign w:val="baseline"/>
                <w:lang w:val="en-US" w:eastAsia="zh-CN"/>
              </w:rPr>
              <w:outlineLvl w:val="9"/>
            </w:pPr>
            <w:r>
              <w:rPr>
                <w:rFonts w:hint="eastAsia" w:ascii="宋体" w:hAnsi="宋体" w:eastAsia="宋体" w:cs="宋体"/>
                <w:b/>
                <w:bCs w:val="0"/>
                <w:color w:val="000000"/>
                <w:sz w:val="20"/>
                <w:szCs w:val="20"/>
                <w:highlight w:val="none"/>
                <w:vertAlign w:val="baseline"/>
                <w:lang w:val="en-US" w:eastAsia="zh-CN"/>
              </w:rPr>
              <w:t xml:space="preserve">采购需求</w:t>
            </w:r>
            <w:r>
              <w:rPr>
                <w:rFonts w:ascii="宋体" w:hAnsi="宋体" w:eastAsia="宋体" w:cs="宋体"/>
                <w:b/>
                <w:bCs w:val="0"/>
                <w:color w:val="000000"/>
                <w:sz w:val="20"/>
                <w:szCs w:val="20"/>
                <w:highlight w:val="none"/>
                <w:vertAlign w:val="baseline"/>
                <w:lang w:val="en-US" w:eastAsia="zh-CN"/>
              </w:rPr>
            </w:r>
            <w:r/>
          </w:p>
        </w:tc>
        <w:tc>
          <w:tcPr>
            <w:tcW w:w="4484"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
                <w:bCs w:val="0"/>
                <w:color w:val="000000"/>
                <w:sz w:val="20"/>
                <w:szCs w:val="20"/>
                <w:highlight w:val="none"/>
                <w:vertAlign w:val="baseline"/>
                <w:lang w:val="en-US" w:eastAsia="zh-CN"/>
              </w:rPr>
              <w:outlineLvl w:val="9"/>
            </w:pPr>
            <w:r>
              <w:rPr>
                <w:rFonts w:hint="eastAsia" w:ascii="宋体" w:hAnsi="宋体" w:eastAsia="宋体" w:cs="宋体"/>
                <w:b/>
                <w:bCs w:val="0"/>
                <w:color w:val="000000"/>
                <w:sz w:val="20"/>
                <w:szCs w:val="20"/>
                <w:highlight w:val="none"/>
                <w:vertAlign w:val="baseline"/>
                <w:lang w:val="en-US" w:eastAsia="zh-CN"/>
              </w:rPr>
              <w:t xml:space="preserve">评分标准</w:t>
            </w:r>
            <w:r>
              <w:rPr>
                <w:rFonts w:ascii="宋体" w:hAnsi="宋体" w:eastAsia="宋体" w:cs="宋体"/>
                <w:b/>
                <w:bCs w:val="0"/>
                <w:color w:val="000000"/>
                <w:sz w:val="20"/>
                <w:szCs w:val="20"/>
                <w:highlight w:val="none"/>
                <w:vertAlign w:val="baseline"/>
                <w:lang w:val="en-US" w:eastAsia="zh-CN"/>
              </w:rPr>
            </w:r>
            <w:r/>
          </w:p>
        </w:tc>
        <w:tc>
          <w:tcPr>
            <w:tcW w:w="3255"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
                <w:bCs w:val="0"/>
                <w:color w:val="000000"/>
                <w:sz w:val="20"/>
                <w:szCs w:val="20"/>
                <w:highlight w:val="none"/>
                <w:vertAlign w:val="baseline"/>
                <w:lang w:val="en-US" w:eastAsia="zh-CN"/>
              </w:rPr>
              <w:outlineLvl w:val="9"/>
            </w:pPr>
            <w:r>
              <w:rPr>
                <w:rFonts w:hint="eastAsia" w:ascii="宋体" w:hAnsi="宋体" w:eastAsia="宋体" w:cs="宋体"/>
                <w:b/>
                <w:bCs w:val="0"/>
                <w:color w:val="000000"/>
                <w:sz w:val="20"/>
                <w:szCs w:val="20"/>
                <w:highlight w:val="none"/>
                <w:vertAlign w:val="baseline"/>
                <w:lang w:val="en-US" w:eastAsia="zh-CN"/>
              </w:rPr>
              <w:t xml:space="preserve">备注</w:t>
            </w:r>
            <w:r>
              <w:rPr>
                <w:rFonts w:ascii="宋体" w:hAnsi="宋体" w:eastAsia="宋体" w:cs="宋体"/>
                <w:b/>
                <w:bCs w:val="0"/>
                <w:color w:val="000000"/>
                <w:sz w:val="20"/>
                <w:szCs w:val="20"/>
                <w:highlight w:val="none"/>
                <w:vertAlign w:val="baseline"/>
                <w:lang w:val="en-US" w:eastAsia="zh-CN"/>
              </w:rPr>
            </w:r>
            <w:r/>
          </w:p>
        </w:tc>
        <w:tc>
          <w:tcPr>
            <w:tcW w:w="1032"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
                <w:bCs w:val="0"/>
                <w:color w:val="000000"/>
                <w:sz w:val="20"/>
                <w:szCs w:val="20"/>
                <w:highlight w:val="none"/>
                <w:vertAlign w:val="baseline"/>
                <w:lang w:val="en-US" w:eastAsia="zh-CN"/>
              </w:rPr>
              <w:outlineLvl w:val="9"/>
            </w:pPr>
            <w:r>
              <w:rPr>
                <w:rFonts w:hint="eastAsia" w:ascii="宋体" w:hAnsi="宋体" w:eastAsia="宋体" w:cs="宋体"/>
                <w:b/>
                <w:bCs w:val="0"/>
                <w:color w:val="000000"/>
                <w:sz w:val="20"/>
                <w:szCs w:val="20"/>
                <w:highlight w:val="none"/>
                <w:vertAlign w:val="baseline"/>
                <w:lang w:val="en-US" w:eastAsia="zh-CN"/>
              </w:rPr>
              <w:t xml:space="preserve">分值上限</w:t>
            </w:r>
            <w:r>
              <w:rPr>
                <w:rFonts w:ascii="宋体" w:hAnsi="宋体" w:eastAsia="宋体" w:cs="宋体"/>
                <w:b/>
                <w:bCs w:val="0"/>
                <w:color w:val="000000"/>
                <w:sz w:val="20"/>
                <w:szCs w:val="20"/>
                <w:highlight w:val="none"/>
                <w:vertAlign w:val="baseline"/>
                <w:lang w:val="en-US" w:eastAsia="zh-CN"/>
              </w:rPr>
            </w:r>
            <w:r/>
          </w:p>
        </w:tc>
      </w:tr>
      <w:tr>
        <w:trPr/>
        <w:tc>
          <w:tcPr>
            <w:tcW w:w="721"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1</w:t>
            </w:r>
            <w:r>
              <w:rPr>
                <w:rFonts w:ascii="宋体" w:hAnsi="宋体" w:eastAsia="宋体" w:cs="宋体"/>
                <w:bCs/>
                <w:color w:val="000000"/>
                <w:sz w:val="22"/>
                <w:szCs w:val="22"/>
                <w:highlight w:val="none"/>
                <w:vertAlign w:val="baseline"/>
                <w:lang w:val="en-US" w:eastAsia="zh-CN"/>
              </w:rPr>
            </w:r>
            <w:r/>
          </w:p>
        </w:tc>
        <w:tc>
          <w:tcPr>
            <w:tcW w:w="4006"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微小型传输装置：</w:t>
            </w:r>
            <w:r>
              <w:rPr>
                <w:rFonts w:hint="eastAsia" w:ascii="宋体" w:hAnsi="宋体" w:eastAsia="宋体" w:cs="宋体"/>
                <w:bCs/>
                <w:color w:val="000000"/>
                <w:sz w:val="22"/>
                <w:szCs w:val="22"/>
                <w:highlight w:val="none"/>
                <w:vertAlign w:val="baseli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尺寸10cm≤长≤15cm，宽10cm≤长≤15cm，高10cm≤长≤15cm。</w:t>
            </w:r>
            <w:r>
              <w:rPr>
                <w:rFonts w:hint="eastAsia" w:ascii="宋体" w:hAnsi="宋体" w:eastAsia="宋体" w:cs="宋体"/>
                <w:bCs/>
                <w:color w:val="000000"/>
                <w:sz w:val="22"/>
                <w:szCs w:val="22"/>
                <w:highlight w:val="none"/>
                <w:vertAlign w:val="baseline"/>
                <w:lang w:val="en-US" w:eastAsia="zh-CN"/>
              </w:rPr>
            </w:r>
            <w:r/>
          </w:p>
        </w:tc>
        <w:tc>
          <w:tcPr>
            <w:tcW w:w="4484"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因工程安装空间的实际情况，所投微小型传输装置产品尺寸需要尽可能的小型化：</w:t>
            </w:r>
            <w:r>
              <w:rPr>
                <w:rFonts w:hint="eastAsia" w:ascii="宋体" w:hAnsi="宋体" w:eastAsia="宋体" w:cs="宋体"/>
                <w:bCs/>
                <w:color w:val="000000"/>
                <w:sz w:val="22"/>
                <w:szCs w:val="22"/>
                <w:highlight w:val="no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尺寸长宽高≤10cm，得3分；</w:t>
            </w:r>
            <w:r>
              <w:rPr>
                <w:rFonts w:hint="eastAsia" w:ascii="宋体" w:hAnsi="宋体" w:eastAsia="宋体" w:cs="宋体"/>
                <w:bCs/>
                <w:color w:val="000000"/>
                <w:sz w:val="22"/>
                <w:szCs w:val="22"/>
                <w:highlight w:val="no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10cm＜长宽高≤12cm，得2分；</w:t>
            </w:r>
            <w:r>
              <w:rPr>
                <w:rFonts w:hint="eastAsia" w:ascii="宋体" w:hAnsi="宋体" w:eastAsia="宋体" w:cs="宋体"/>
                <w:bCs/>
                <w:color w:val="000000"/>
                <w:sz w:val="22"/>
                <w:szCs w:val="22"/>
                <w:highlight w:val="no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lang w:val="en-US" w:eastAsia="zh-CN"/>
              </w:rPr>
              <w:t xml:space="preserve">12cm＜长宽高＜15cm，得1分。</w:t>
            </w:r>
            <w:r>
              <w:rPr>
                <w:rFonts w:hint="eastAsia" w:ascii="宋体" w:hAnsi="宋体" w:eastAsia="宋体" w:cs="宋体"/>
                <w:bCs/>
                <w:color w:val="000000"/>
                <w:sz w:val="22"/>
                <w:szCs w:val="22"/>
                <w:highlight w:val="none"/>
                <w:vertAlign w:val="baseline"/>
                <w:lang w:val="en-US" w:eastAsia="zh-CN"/>
              </w:rPr>
            </w:r>
            <w:r/>
          </w:p>
        </w:tc>
        <w:tc>
          <w:tcPr>
            <w:tcW w:w="3255" w:type="dxa"/>
            <w:vAlign w:val="center"/>
            <w:textDirection w:val="lrTb"/>
            <w:noWrap w:val="false"/>
          </w:tcPr>
          <w:p>
            <w:pPr>
              <w:pStyle w:val="1493"/>
              <w:ind w:left="0" w:right="0" w:firstLine="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需提供该产品在火灾报警控制器内的安装完成后的照片图片扫描件上传至投标文件并电子签章，不提供不得分。</w:t>
            </w:r>
            <w:r>
              <w:rPr>
                <w:rFonts w:hint="eastAsia" w:ascii="宋体" w:hAnsi="宋体" w:eastAsia="宋体" w:cs="宋体"/>
                <w:bCs/>
                <w:color w:val="000000"/>
                <w:sz w:val="22"/>
                <w:szCs w:val="22"/>
                <w:highlight w:val="none"/>
                <w:vertAlign w:val="baseline"/>
                <w:lang w:val="en-US" w:eastAsia="zh-CN"/>
              </w:rPr>
            </w:r>
            <w:r/>
          </w:p>
        </w:tc>
        <w:tc>
          <w:tcPr>
            <w:tcW w:w="1032"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3分</w:t>
            </w:r>
            <w:r>
              <w:rPr>
                <w:rFonts w:hint="eastAsia" w:ascii="宋体" w:hAnsi="宋体" w:eastAsia="宋体" w:cs="宋体"/>
                <w:bCs/>
                <w:color w:val="000000"/>
                <w:sz w:val="22"/>
                <w:szCs w:val="22"/>
                <w:highlight w:val="none"/>
                <w:lang w:val="en-US" w:eastAsia="zh-CN"/>
              </w:rPr>
            </w:r>
            <w:r/>
          </w:p>
        </w:tc>
      </w:tr>
      <w:tr>
        <w:trPr/>
        <w:tc>
          <w:tcPr>
            <w:tcW w:w="721"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2</w:t>
            </w:r>
            <w:r>
              <w:rPr>
                <w:rFonts w:ascii="宋体" w:hAnsi="宋体" w:eastAsia="宋体" w:cs="宋体"/>
                <w:bCs/>
                <w:color w:val="000000"/>
                <w:sz w:val="22"/>
                <w:szCs w:val="22"/>
                <w:highlight w:val="none"/>
                <w:vertAlign w:val="baseline"/>
                <w:lang w:val="en-US" w:eastAsia="zh-CN"/>
              </w:rPr>
            </w:r>
            <w:r/>
          </w:p>
        </w:tc>
        <w:tc>
          <w:tcPr>
            <w:tcW w:w="4006"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智能视频监控一体机：</w:t>
            </w:r>
            <w:r>
              <w:rPr>
                <w:rFonts w:hint="eastAsia" w:ascii="宋体" w:hAnsi="宋体" w:eastAsia="宋体" w:cs="宋体"/>
                <w:bCs/>
                <w:color w:val="000000"/>
                <w:sz w:val="22"/>
                <w:szCs w:val="22"/>
                <w:highlight w:val="none"/>
                <w:vertAlign w:val="baseli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智能视频监控一体机支持接入10~16路普通IPC进行消防通道占用检测。</w:t>
            </w:r>
            <w:r>
              <w:rPr>
                <w:rFonts w:hint="eastAsia" w:ascii="宋体" w:hAnsi="宋体" w:eastAsia="宋体" w:cs="宋体"/>
                <w:bCs/>
                <w:color w:val="000000"/>
                <w:sz w:val="22"/>
                <w:szCs w:val="22"/>
                <w:highlight w:val="none"/>
                <w:vertAlign w:val="baseline"/>
                <w:lang w:val="en-US" w:eastAsia="zh-CN"/>
              </w:rPr>
            </w:r>
            <w:r/>
          </w:p>
        </w:tc>
        <w:tc>
          <w:tcPr>
            <w:tcW w:w="4484"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支持接入10~16路普通IPC进行消防通道占用检测：</w:t>
            </w:r>
            <w:r>
              <w:rPr>
                <w:rFonts w:hint="eastAsia" w:ascii="宋体" w:hAnsi="宋体" w:eastAsia="宋体" w:cs="宋体"/>
                <w:bCs/>
                <w:color w:val="000000"/>
                <w:sz w:val="22"/>
                <w:szCs w:val="22"/>
                <w:highlight w:val="no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14≤支持接入＜16普通IPC进行消防通道占用检测，得3分；</w:t>
            </w:r>
            <w:r>
              <w:rPr>
                <w:rFonts w:hint="eastAsia" w:ascii="宋体" w:hAnsi="宋体" w:eastAsia="宋体" w:cs="宋体"/>
                <w:bCs/>
                <w:color w:val="000000"/>
                <w:sz w:val="22"/>
                <w:szCs w:val="22"/>
                <w:highlight w:val="no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12≤支持接入＜14普通IPC进行消防通道占用检测，得2分；</w:t>
            </w:r>
            <w:r>
              <w:rPr>
                <w:rFonts w:hint="eastAsia" w:ascii="宋体" w:hAnsi="宋体" w:eastAsia="宋体" w:cs="宋体"/>
                <w:bCs/>
                <w:color w:val="000000"/>
                <w:sz w:val="22"/>
                <w:szCs w:val="22"/>
                <w:highlight w:val="no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10＜支持接入＜12普通IPC进行消防通道占用检测，得1分。</w:t>
            </w:r>
            <w:r>
              <w:rPr>
                <w:rFonts w:hint="eastAsia" w:ascii="宋体" w:hAnsi="宋体" w:eastAsia="宋体" w:cs="宋体"/>
                <w:bCs/>
                <w:color w:val="000000"/>
                <w:sz w:val="22"/>
                <w:szCs w:val="22"/>
                <w:highlight w:val="none"/>
                <w:lang w:val="en-US" w:eastAsia="zh-CN"/>
              </w:rPr>
            </w:r>
            <w:r/>
          </w:p>
        </w:tc>
        <w:tc>
          <w:tcPr>
            <w:tcW w:w="3255" w:type="dxa"/>
            <w:vAlign w:val="center"/>
            <w:textDirection w:val="lrTb"/>
            <w:noWrap w:val="false"/>
          </w:tcPr>
          <w:p>
            <w:pPr>
              <w:pStyle w:val="1493"/>
              <w:ind w:left="0" w:right="0" w:firstLine="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需提供该产品在火灾报警控制器内的安装完成后的照片图片扫描件上传至投标文件并电子签章，不提供不得分。</w:t>
            </w:r>
            <w:r>
              <w:rPr>
                <w:rFonts w:hint="eastAsia" w:ascii="宋体" w:hAnsi="宋体" w:eastAsia="宋体" w:cs="宋体"/>
                <w:bCs/>
                <w:color w:val="000000"/>
                <w:sz w:val="22"/>
                <w:szCs w:val="22"/>
                <w:highlight w:val="none"/>
                <w:vertAlign w:val="baseline"/>
                <w:lang w:val="en-US" w:eastAsia="zh-CN"/>
              </w:rPr>
            </w:r>
            <w:r/>
          </w:p>
        </w:tc>
        <w:tc>
          <w:tcPr>
            <w:tcW w:w="1032"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3分</w:t>
            </w:r>
            <w:r>
              <w:rPr>
                <w:rFonts w:ascii="宋体" w:hAnsi="宋体" w:eastAsia="宋体" w:cs="宋体"/>
                <w:bCs/>
                <w:color w:val="000000"/>
                <w:sz w:val="22"/>
                <w:szCs w:val="22"/>
                <w:highlight w:val="none"/>
                <w:vertAlign w:val="baseline"/>
                <w:lang w:val="en-US" w:eastAsia="zh-CN"/>
              </w:rPr>
            </w:r>
            <w:r/>
          </w:p>
        </w:tc>
      </w:tr>
      <w:tr>
        <w:trPr/>
        <w:tc>
          <w:tcPr>
            <w:tcW w:w="721"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3</w:t>
            </w:r>
            <w:r>
              <w:rPr>
                <w:rFonts w:ascii="宋体" w:hAnsi="宋体" w:eastAsia="宋体" w:cs="宋体"/>
                <w:bCs/>
                <w:color w:val="000000"/>
                <w:sz w:val="22"/>
                <w:szCs w:val="22"/>
                <w:highlight w:val="none"/>
                <w:vertAlign w:val="baseline"/>
                <w:lang w:val="en-US" w:eastAsia="zh-CN"/>
              </w:rPr>
            </w:r>
            <w:r/>
          </w:p>
        </w:tc>
        <w:tc>
          <w:tcPr>
            <w:tcW w:w="4006"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智能视频监控一体机：</w:t>
            </w:r>
            <w:r>
              <w:rPr>
                <w:rFonts w:hint="eastAsia" w:ascii="宋体" w:hAnsi="宋体" w:eastAsia="宋体" w:cs="宋体"/>
                <w:bCs/>
                <w:color w:val="000000"/>
                <w:sz w:val="22"/>
                <w:szCs w:val="22"/>
                <w:highlight w:val="none"/>
                <w:vertAlign w:val="baseli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设备可在分时轮巡模式下，设置多个时间段、多个枪机通道或者球机预置点场景及对应智能分析规则等进行轮巡分析任务；可按设定轮巡分析任务，自动切换枪机通道或球机预置点场景，并发进行智能分析；可设置轮巡时间间隔和并发数；可设置</w:t>
            </w:r>
            <w:r>
              <w:rPr>
                <w:rFonts w:hint="eastAsia" w:ascii="宋体" w:hAnsi="宋体" w:eastAsia="宋体" w:cs="宋体"/>
                <w:b/>
                <w:bCs w:val="0"/>
                <w:color w:val="000000"/>
                <w:sz w:val="22"/>
                <w:szCs w:val="22"/>
                <w:highlight w:val="none"/>
                <w:vertAlign w:val="baseline"/>
                <w:lang w:val="en-US" w:eastAsia="zh-CN"/>
              </w:rPr>
              <w:t xml:space="preserve">25个以上</w:t>
            </w:r>
            <w:r>
              <w:rPr>
                <w:rFonts w:hint="eastAsia" w:ascii="宋体" w:hAnsi="宋体" w:eastAsia="宋体" w:cs="宋体"/>
                <w:bCs/>
                <w:color w:val="000000"/>
                <w:sz w:val="22"/>
                <w:szCs w:val="22"/>
                <w:highlight w:val="none"/>
                <w:vertAlign w:val="baseline"/>
                <w:lang w:val="en-US" w:eastAsia="zh-CN"/>
              </w:rPr>
              <w:t xml:space="preserve">通道进行轮巡分析；可实时展示整机分析状态。</w:t>
            </w:r>
            <w:r>
              <w:rPr>
                <w:rFonts w:hint="eastAsia" w:ascii="宋体" w:hAnsi="宋体" w:eastAsia="宋体" w:cs="宋体"/>
                <w:bCs/>
                <w:color w:val="000000"/>
                <w:sz w:val="22"/>
                <w:szCs w:val="22"/>
                <w:highlight w:val="none"/>
                <w:vertAlign w:val="baseline"/>
                <w:lang w:val="en-US" w:eastAsia="zh-CN"/>
              </w:rPr>
            </w:r>
            <w:r/>
          </w:p>
        </w:tc>
        <w:tc>
          <w:tcPr>
            <w:tcW w:w="4484"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设备可在分时轮巡模式下，设置多个时间段、多个枪机通道或者球机预置点场景及对应智能分析规则等进行轮巡分析任务；可按设定轮巡分析任务，自动切换枪机通道或球机预置点场景，并发进行智能分析；可设置轮巡时间间隔和并发数；可设置</w:t>
            </w:r>
            <w:r>
              <w:rPr>
                <w:rFonts w:hint="eastAsia" w:ascii="宋体" w:hAnsi="宋体" w:eastAsia="宋体" w:cs="宋体"/>
                <w:b/>
                <w:bCs w:val="0"/>
                <w:color w:val="000000"/>
                <w:sz w:val="22"/>
                <w:szCs w:val="22"/>
                <w:highlight w:val="none"/>
                <w:lang w:val="en-US" w:eastAsia="zh-CN"/>
              </w:rPr>
              <w:t xml:space="preserve">30个以上</w:t>
            </w:r>
            <w:r>
              <w:rPr>
                <w:rFonts w:hint="eastAsia" w:ascii="宋体" w:hAnsi="宋体" w:eastAsia="宋体" w:cs="宋体"/>
                <w:bCs/>
                <w:color w:val="000000"/>
                <w:sz w:val="22"/>
                <w:szCs w:val="22"/>
                <w:highlight w:val="none"/>
                <w:lang w:val="en-US" w:eastAsia="zh-CN"/>
              </w:rPr>
              <w:t xml:space="preserve">通道进行轮巡分析；可实时展示整机分析状态，得2分。</w:t>
            </w:r>
            <w:r>
              <w:rPr>
                <w:rFonts w:hint="eastAsia" w:ascii="宋体" w:hAnsi="宋体" w:eastAsia="宋体" w:cs="宋体"/>
                <w:bCs/>
                <w:color w:val="000000"/>
                <w:sz w:val="22"/>
                <w:szCs w:val="22"/>
                <w:highlight w:val="none"/>
                <w:lang w:val="en-US" w:eastAsia="zh-CN"/>
              </w:rPr>
            </w:r>
            <w:r/>
          </w:p>
        </w:tc>
        <w:tc>
          <w:tcPr>
            <w:tcW w:w="3255" w:type="dxa"/>
            <w:vAlign w:val="center"/>
            <w:textDirection w:val="lrTb"/>
            <w:noWrap w:val="false"/>
          </w:tcPr>
          <w:p>
            <w:pPr>
              <w:pStyle w:val="1493"/>
              <w:ind w:left="0" w:right="0" w:firstLine="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需提供公安部有效检测报告扫描件上传至投标文件并电子签章，不提供不得分。</w:t>
            </w:r>
            <w:r>
              <w:rPr>
                <w:rFonts w:hint="eastAsia" w:ascii="宋体" w:hAnsi="宋体" w:eastAsia="宋体" w:cs="宋体"/>
                <w:bCs/>
                <w:color w:val="000000"/>
                <w:sz w:val="22"/>
                <w:szCs w:val="22"/>
                <w:highlight w:val="none"/>
                <w:vertAlign w:val="baseline"/>
                <w:lang w:val="en-US" w:eastAsia="zh-CN"/>
              </w:rPr>
            </w:r>
            <w:r/>
          </w:p>
        </w:tc>
        <w:tc>
          <w:tcPr>
            <w:tcW w:w="1032"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2分</w:t>
            </w:r>
            <w:r>
              <w:rPr>
                <w:rFonts w:ascii="宋体" w:hAnsi="宋体" w:eastAsia="宋体" w:cs="宋体"/>
                <w:bCs/>
                <w:color w:val="000000"/>
                <w:sz w:val="22"/>
                <w:szCs w:val="22"/>
                <w:highlight w:val="none"/>
                <w:vertAlign w:val="baseline"/>
                <w:lang w:val="en-US" w:eastAsia="zh-CN"/>
              </w:rPr>
            </w:r>
            <w:r/>
          </w:p>
        </w:tc>
      </w:tr>
      <w:tr>
        <w:trPr/>
        <w:tc>
          <w:tcPr>
            <w:tcW w:w="721"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4</w:t>
            </w:r>
            <w:r>
              <w:rPr>
                <w:rFonts w:ascii="宋体" w:hAnsi="宋体" w:eastAsia="宋体" w:cs="宋体"/>
                <w:bCs/>
                <w:color w:val="000000"/>
                <w:sz w:val="22"/>
                <w:szCs w:val="22"/>
                <w:highlight w:val="none"/>
                <w:vertAlign w:val="baseline"/>
                <w:lang w:val="en-US" w:eastAsia="zh-CN"/>
              </w:rPr>
            </w:r>
            <w:r/>
          </w:p>
        </w:tc>
        <w:tc>
          <w:tcPr>
            <w:tcW w:w="4006"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视频推流主机（8路）：</w:t>
            </w:r>
            <w:r>
              <w:rPr>
                <w:rFonts w:hint="eastAsia" w:ascii="宋体" w:hAnsi="宋体" w:eastAsia="宋体" w:cs="宋体"/>
                <w:bCs/>
                <w:color w:val="000000"/>
                <w:sz w:val="22"/>
                <w:szCs w:val="22"/>
                <w:highlight w:val="no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所投产品可以实现新增设备配置，支持多品牌、多厂商硬盘录像机或网络摄像机产品接入。</w:t>
            </w:r>
            <w:r>
              <w:rPr>
                <w:rFonts w:hint="eastAsia" w:ascii="宋体" w:hAnsi="宋体" w:eastAsia="宋体" w:cs="宋体"/>
                <w:bCs/>
                <w:color w:val="000000"/>
                <w:sz w:val="22"/>
                <w:szCs w:val="22"/>
                <w:highlight w:val="none"/>
                <w:lang w:val="en-US" w:eastAsia="zh-CN"/>
              </w:rPr>
            </w:r>
            <w:r/>
          </w:p>
        </w:tc>
        <w:tc>
          <w:tcPr>
            <w:tcW w:w="4484"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设备</w:t>
            </w:r>
            <w:r>
              <w:rPr>
                <w:rFonts w:ascii="宋体" w:hAnsi="宋体" w:eastAsia="宋体" w:cs="宋体"/>
                <w:bCs/>
                <w:color w:val="000000"/>
                <w:sz w:val="22"/>
                <w:szCs w:val="22"/>
                <w:highlight w:val="none"/>
                <w:lang w:val="en-US" w:eastAsia="zh-CN"/>
              </w:rPr>
              <w:t xml:space="preserve">支持实现新增设备配置，</w:t>
            </w:r>
            <w:r>
              <w:rPr>
                <w:rFonts w:ascii="宋体" w:hAnsi="宋体" w:eastAsia="宋体" w:cs="宋体"/>
                <w:b/>
                <w:bCs w:val="0"/>
                <w:color w:val="000000"/>
                <w:sz w:val="22"/>
                <w:szCs w:val="22"/>
                <w:highlight w:val="none"/>
                <w:lang w:val="en-US" w:eastAsia="zh-CN"/>
              </w:rPr>
              <w:t xml:space="preserve">可以实现多网段配置，可以实现网络测试，</w:t>
            </w:r>
            <w:r>
              <w:rPr>
                <w:rFonts w:ascii="宋体" w:hAnsi="宋体" w:eastAsia="宋体" w:cs="宋体"/>
                <w:bCs/>
                <w:color w:val="000000"/>
                <w:sz w:val="22"/>
                <w:szCs w:val="22"/>
                <w:highlight w:val="none"/>
                <w:lang w:val="en-US" w:eastAsia="zh-CN"/>
              </w:rPr>
              <w:t xml:space="preserve">支持多品牌、多厂商硬盘录像机或网络摄像机产品接入</w:t>
            </w:r>
            <w:r>
              <w:rPr>
                <w:rFonts w:hint="eastAsia" w:ascii="宋体" w:hAnsi="宋体" w:eastAsia="宋体" w:cs="宋体"/>
                <w:bCs/>
                <w:color w:val="000000"/>
                <w:sz w:val="22"/>
                <w:szCs w:val="22"/>
                <w:highlight w:val="none"/>
                <w:lang w:val="en-US" w:eastAsia="zh-CN"/>
              </w:rPr>
              <w:t xml:space="preserve">的，得2分。</w:t>
            </w:r>
            <w:r>
              <w:rPr>
                <w:rFonts w:hint="eastAsia" w:ascii="宋体" w:hAnsi="宋体" w:eastAsia="宋体" w:cs="宋体"/>
                <w:bCs/>
                <w:color w:val="000000"/>
                <w:sz w:val="22"/>
                <w:szCs w:val="22"/>
                <w:highlight w:val="none"/>
                <w:lang w:val="en-US" w:eastAsia="zh-CN"/>
              </w:rPr>
            </w:r>
            <w:r/>
          </w:p>
        </w:tc>
        <w:tc>
          <w:tcPr>
            <w:tcW w:w="3255"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lang w:val="en-US" w:eastAsia="zh-CN"/>
              </w:rPr>
              <w:outlineLvl w:val="9"/>
            </w:pPr>
            <w:r>
              <w:rPr>
                <w:rFonts w:hint="eastAsia" w:ascii="宋体" w:hAnsi="宋体" w:eastAsia="宋体" w:cs="宋体"/>
                <w:bCs/>
                <w:color w:val="000000"/>
                <w:sz w:val="22"/>
                <w:szCs w:val="22"/>
                <w:highlight w:val="none"/>
                <w:lang w:val="en-US" w:eastAsia="zh-CN"/>
              </w:rPr>
              <w:t xml:space="preserve">需提供相关权威评测机构（如中国软件评测中心等）的测试报告描件上传至投标文件并电子签章，不提供不得分。</w:t>
            </w:r>
            <w:r>
              <w:rPr>
                <w:rFonts w:hint="eastAsia" w:ascii="宋体" w:hAnsi="宋体" w:eastAsia="宋体" w:cs="宋体"/>
                <w:bCs/>
                <w:color w:val="000000"/>
                <w:sz w:val="22"/>
                <w:szCs w:val="22"/>
                <w:highlight w:val="none"/>
                <w:lang w:val="en-US" w:eastAsia="zh-CN"/>
              </w:rPr>
            </w:r>
            <w:r/>
          </w:p>
        </w:tc>
        <w:tc>
          <w:tcPr>
            <w:tcW w:w="1032"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2分</w:t>
            </w:r>
            <w:r>
              <w:rPr>
                <w:rFonts w:hint="eastAsia" w:ascii="宋体" w:hAnsi="宋体" w:eastAsia="宋体" w:cs="宋体"/>
                <w:bCs/>
                <w:color w:val="000000"/>
                <w:sz w:val="22"/>
                <w:szCs w:val="22"/>
                <w:highlight w:val="none"/>
                <w:vertAlign w:val="baseline"/>
                <w:lang w:val="en-US" w:eastAsia="zh-CN"/>
              </w:rPr>
            </w:r>
            <w:r/>
          </w:p>
        </w:tc>
      </w:tr>
      <w:tr>
        <w:trPr/>
        <w:tc>
          <w:tcPr>
            <w:tcW w:w="721"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5</w:t>
            </w:r>
            <w:r>
              <w:rPr>
                <w:rFonts w:ascii="宋体" w:hAnsi="宋体" w:eastAsia="宋体" w:cs="宋体"/>
                <w:bCs/>
                <w:color w:val="000000"/>
                <w:sz w:val="22"/>
                <w:szCs w:val="22"/>
                <w:highlight w:val="none"/>
                <w:vertAlign w:val="baseline"/>
                <w:lang w:val="en-US" w:eastAsia="zh-CN"/>
              </w:rPr>
            </w:r>
            <w:r/>
          </w:p>
        </w:tc>
        <w:tc>
          <w:tcPr>
            <w:tcW w:w="4006"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智慧安全管控一体机：</w:t>
            </w:r>
            <w:r>
              <w:rPr>
                <w:rFonts w:hint="eastAsia" w:ascii="宋体" w:hAnsi="宋体" w:eastAsia="宋体" w:cs="宋体"/>
                <w:bCs/>
                <w:color w:val="000000"/>
                <w:sz w:val="22"/>
                <w:szCs w:val="22"/>
                <w:highlight w:val="none"/>
                <w:vertAlign w:val="baseline"/>
                <w:lang w:val="en-US" w:eastAsia="zh-CN"/>
              </w:rPr>
            </w:r>
            <w:r/>
          </w:p>
        </w:tc>
        <w:tc>
          <w:tcPr>
            <w:tcW w:w="4484"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与本项目学校、政府办公大楼、企业类似场景实际应用案例拓扑结构图及案例说明，每提供一类场景，得1分，本项最高得2分。</w:t>
            </w:r>
            <w:r>
              <w:rPr>
                <w:rFonts w:hint="eastAsia" w:ascii="宋体" w:hAnsi="宋体" w:eastAsia="宋体" w:cs="宋体"/>
                <w:bCs/>
                <w:color w:val="000000"/>
                <w:sz w:val="22"/>
                <w:szCs w:val="22"/>
                <w:highlight w:val="none"/>
                <w:vertAlign w:val="baseline"/>
                <w:lang w:val="en-US" w:eastAsia="zh-CN"/>
              </w:rPr>
            </w:r>
            <w:r/>
          </w:p>
        </w:tc>
        <w:tc>
          <w:tcPr>
            <w:tcW w:w="3255"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需提供实际应用案例拓扑结构图及案例说明，上传至投标文件并电子签章，不提供不得分</w:t>
            </w:r>
            <w:r>
              <w:rPr>
                <w:rFonts w:hint="eastAsia" w:ascii="宋体" w:hAnsi="宋体" w:eastAsia="宋体" w:cs="宋体"/>
                <w:bCs/>
                <w:color w:val="000000"/>
                <w:sz w:val="22"/>
                <w:szCs w:val="22"/>
                <w:highlight w:val="none"/>
                <w:vertAlign w:val="baseline"/>
                <w:lang w:val="en-US" w:eastAsia="zh-CN"/>
              </w:rPr>
            </w:r>
            <w:r/>
          </w:p>
        </w:tc>
        <w:tc>
          <w:tcPr>
            <w:tcW w:w="1032"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2分</w:t>
            </w:r>
            <w:r>
              <w:rPr>
                <w:rFonts w:ascii="宋体" w:hAnsi="宋体" w:eastAsia="宋体" w:cs="宋体"/>
                <w:bCs/>
                <w:color w:val="000000"/>
                <w:sz w:val="22"/>
                <w:szCs w:val="22"/>
                <w:highlight w:val="none"/>
                <w:vertAlign w:val="baseline"/>
                <w:lang w:val="en-US" w:eastAsia="zh-CN"/>
              </w:rPr>
            </w:r>
            <w:r/>
          </w:p>
        </w:tc>
      </w:tr>
      <w:tr>
        <w:trPr/>
        <w:tc>
          <w:tcPr>
            <w:tcW w:w="721"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6</w:t>
            </w:r>
            <w:r>
              <w:rPr>
                <w:rFonts w:ascii="宋体" w:hAnsi="宋体" w:eastAsia="宋体" w:cs="宋体"/>
                <w:bCs/>
                <w:color w:val="000000"/>
                <w:sz w:val="22"/>
                <w:szCs w:val="22"/>
                <w:highlight w:val="none"/>
                <w:vertAlign w:val="baseline"/>
                <w:lang w:val="en-US" w:eastAsia="zh-CN"/>
              </w:rPr>
            </w:r>
            <w:r/>
          </w:p>
        </w:tc>
        <w:tc>
          <w:tcPr>
            <w:tcW w:w="4006"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无线电气火灾监测设备：</w:t>
            </w:r>
            <w:r>
              <w:rPr>
                <w:rFonts w:hint="eastAsia" w:ascii="宋体" w:hAnsi="宋体" w:eastAsia="宋体" w:cs="宋体"/>
                <w:bCs/>
                <w:color w:val="000000"/>
                <w:sz w:val="22"/>
                <w:szCs w:val="22"/>
                <w:highlight w:val="none"/>
                <w:vertAlign w:val="baseline"/>
                <w:lang w:val="en-US" w:eastAsia="zh-CN"/>
              </w:rPr>
            </w:r>
            <w:r/>
          </w:p>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设备为保险公司承保产品，承保金额不低于2000万人民币。</w:t>
            </w:r>
            <w:r>
              <w:rPr>
                <w:rFonts w:hint="eastAsia" w:ascii="宋体" w:hAnsi="宋体" w:eastAsia="宋体" w:cs="宋体"/>
                <w:bCs/>
                <w:color w:val="000000"/>
                <w:sz w:val="22"/>
                <w:szCs w:val="22"/>
                <w:highlight w:val="none"/>
                <w:vertAlign w:val="baseline"/>
                <w:lang w:val="en-US" w:eastAsia="zh-CN"/>
              </w:rPr>
            </w:r>
            <w:r/>
          </w:p>
        </w:tc>
        <w:tc>
          <w:tcPr>
            <w:tcW w:w="4484"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设备须为保险公司承保产品，承保金额不低于4000万人民币的，得1分。</w:t>
            </w:r>
            <w:r>
              <w:rPr>
                <w:rFonts w:hint="eastAsia" w:ascii="宋体" w:hAnsi="宋体" w:eastAsia="宋体" w:cs="宋体"/>
                <w:bCs/>
                <w:color w:val="000000"/>
                <w:sz w:val="22"/>
                <w:szCs w:val="22"/>
                <w:highlight w:val="none"/>
                <w:vertAlign w:val="baseline"/>
                <w:lang w:val="en-US" w:eastAsia="zh-CN"/>
              </w:rPr>
            </w:r>
            <w:r/>
          </w:p>
        </w:tc>
        <w:tc>
          <w:tcPr>
            <w:tcW w:w="3255" w:type="dxa"/>
            <w:vAlign w:val="center"/>
            <w:textDirection w:val="lrTb"/>
            <w:noWrap w:val="false"/>
          </w:tcPr>
          <w:p>
            <w:pPr>
              <w:pStyle w:val="1493"/>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需提供相关证明材料并加盖所投设备原厂商公章扫描件上传至投标文件，不提供不得分。</w:t>
            </w:r>
            <w:r>
              <w:rPr>
                <w:rFonts w:hint="eastAsia" w:ascii="宋体" w:hAnsi="宋体" w:eastAsia="宋体" w:cs="宋体"/>
                <w:bCs/>
                <w:color w:val="000000"/>
                <w:sz w:val="22"/>
                <w:szCs w:val="22"/>
                <w:highlight w:val="none"/>
                <w:vertAlign w:val="baseline"/>
                <w:lang w:val="en-US" w:eastAsia="zh-CN"/>
              </w:rPr>
            </w:r>
            <w:r/>
          </w:p>
        </w:tc>
        <w:tc>
          <w:tcPr>
            <w:tcW w:w="1032" w:type="dxa"/>
            <w:vAlign w:val="center"/>
            <w:textDirection w:val="lrTb"/>
            <w:noWrap w:val="false"/>
          </w:tcPr>
          <w:p>
            <w:pPr>
              <w:pStyle w:val="1493"/>
              <w:ind w:left="0" w:right="0" w:firstLine="0"/>
              <w:jc w:val="center"/>
              <w:keepLines w:val="0"/>
              <w:keepNext w:val="0"/>
              <w:pageBreakBefore w:val="0"/>
              <w:spacing w:line="360" w:lineRule="auto"/>
              <w:tabs>
                <w:tab w:val="left" w:pos="945" w:leader="none"/>
                <w:tab w:val="left" w:pos="1155" w:leader="none"/>
              </w:tabs>
              <w:rPr>
                <w:rFonts w:ascii="宋体" w:hAnsi="宋体" w:eastAsia="宋体" w:cs="宋体"/>
                <w:bCs/>
                <w:color w:val="000000"/>
                <w:sz w:val="22"/>
                <w:szCs w:val="22"/>
                <w:highlight w:val="none"/>
                <w:vertAlign w:val="baseline"/>
                <w:lang w:val="en-US" w:eastAsia="zh-CN"/>
              </w:rPr>
              <w:outlineLvl w:val="9"/>
            </w:pPr>
            <w:r>
              <w:rPr>
                <w:rFonts w:hint="eastAsia" w:ascii="宋体" w:hAnsi="宋体" w:eastAsia="宋体" w:cs="宋体"/>
                <w:bCs/>
                <w:color w:val="000000"/>
                <w:sz w:val="22"/>
                <w:szCs w:val="22"/>
                <w:highlight w:val="none"/>
                <w:vertAlign w:val="baseline"/>
                <w:lang w:val="en-US" w:eastAsia="zh-CN"/>
              </w:rPr>
              <w:t xml:space="preserve">1分</w:t>
            </w:r>
            <w:r>
              <w:rPr>
                <w:rFonts w:ascii="宋体" w:hAnsi="宋体" w:eastAsia="宋体" w:cs="宋体"/>
                <w:bCs/>
                <w:color w:val="000000"/>
                <w:sz w:val="22"/>
                <w:szCs w:val="22"/>
                <w:highlight w:val="none"/>
                <w:vertAlign w:val="baseline"/>
                <w:lang w:val="en-US" w:eastAsia="zh-CN"/>
              </w:rPr>
            </w:r>
            <w:r/>
          </w:p>
        </w:tc>
      </w:tr>
    </w:tbl>
    <w:p>
      <w:pPr>
        <w:pStyle w:val="1493"/>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sectPr>
          <w:footnotePr/>
          <w:endnotePr/>
          <w:type w:val="nextPage"/>
          <w:pgSz w:w="16838" w:h="11906" w:orient="landscape"/>
          <w:pgMar w:top="1800" w:right="1440" w:bottom="1800" w:left="1440" w:header="624" w:footer="907" w:gutter="0"/>
          <w:pgNumType w:start="1"/>
          <w:cols w:num="1" w:sep="0" w:space="1701" w:equalWidth="1"/>
          <w:docGrid w:linePitch="360"/>
          <w:titlePg/>
        </w:sectPr>
        <w:outlineLvl w:val="9"/>
      </w:pPr>
      <w:r>
        <w:rPr>
          <w:rFonts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（2）设备功能模拟演示（12分）</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需提场景相关功能操作视频，视频内容需要包含投标人名称，项目名称，视频大小不超过100M，时长不超过7分钟，未提供演示视频的该项不得分，如因投标人提供的视频讲解文件不清晰、演示描述与项目本身无关或者无法打开的，本项也不得分。</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针对本项目场景所建设的硬件设备功能进行模拟演示，须通过投标人所投智慧安全管控一体机设备内置软件及相关设备进行操作演示，具体包含：</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1）安全巡查功能演示（2分）</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制定单位检查计划，单位可根据实际需求创建日常巡查、风险分级管控、专项检查、综合性检查等不同类型的检查计划，检查计划可分派到部门或小组；计划生成的任务方式则可以选择固定频次或不固定频次，固定频次的计划生成的任务检查方式则可以设置到年、月、周、日、小时等；检查内容则可自定义（满足要求得1分，演示不全不得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安全巡查，当计划按照生成方式生成任务后，可在PC端或者App端进行安全巡查，在app端可通过扫描二维码或者贴近NFC检查卡展示巡查内容，通过检查内容和随手拍提交隐患、上传现场照片、上传的照片具有自定义文字水印、上传人姓名、位置、时间等信息，可保存和编辑检查内容至草稿，也可直接提交检查记录（满足要求得1分，演示不全不得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2）火灾报警监控系统演示（2分）</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消防报警主机触发手报或者烟雾报警器报警，可通过物联网传输装置发送报警信息至演示平台，演示平台可推送相关报警消息至单位相关责任人，支持在移动APP端查看报警点位信息和报警点位关联的视频实时画面。当消防主机触发复位信号时，演示平台报警点位自动恢复(满足要求得2分，演示不全不得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3）机房动环监测演示（2分）</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通过单位驾驶舱，可查看机房温湿度与水浸的实时监测数据，当设备触发报警时，弹出报警提示，点击消息可查看设备报警信息，当设备有关联的视频时，点击可查看实时画面(满足要求得2分，演示不全不得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4）消防水系统监测设备演示（2分）</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通过单位消防监测驾驶舱，可查看水系统的压力液位信息，包括室内消火栓压力、喷淋管网压力、室外消火栓压力(满足要求得2分，演示不全不得分）。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5）一键报警声光广播报警设备（4分）</w:t>
      </w:r>
      <w:r>
        <w:rPr>
          <w:rFonts w:hint="eastAsia"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①演示内容包括：设备支持一对一控制及一对多控制声光启停，可通过智能手机终端进行远程启动、停止报警功能的(满足要求得2分，演示不全不得分）；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无线电气火灾监测设备模拟报警后，可联动一键报警声光广播报警设备进行及时报警，并播放指定的报警语音：“厚桥街道无线电气火灾监测设备与一键报警声光广播报警设备联动报警功能投标演示”的(满足要求得2分，演示不全不得分）。</w:t>
      </w:r>
      <w:r>
        <w:rPr>
          <w:rFonts w:hint="eastAsia" w:ascii="宋体" w:hAnsi="宋体" w:eastAsia="宋体" w:cs="宋体"/>
          <w:bCs/>
          <w:color w:val="000000"/>
          <w:sz w:val="24"/>
          <w:szCs w:val="24"/>
          <w:highlight w:val="none"/>
          <w:lang w:val="en-US" w:eastAsia="zh-CN"/>
        </w:rPr>
      </w:r>
      <w:r/>
    </w:p>
    <w:p>
      <w:pPr>
        <w:pStyle w:val="1542"/>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5、项目方案（24分）</w:t>
      </w:r>
      <w:r>
        <w:rPr>
          <w:rFonts w:hint="eastAsia" w:ascii="宋体" w:hAnsi="宋体" w:eastAsia="宋体" w:cs="宋体"/>
          <w:b/>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项目需求理解与设计（</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①为保障项目的顺利落地，投标人可根据现场调研的实际情况对本项目需求理解进行详细阐述（2分）</w:t>
      </w:r>
      <w:r>
        <w:rPr>
          <w:rFonts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内容详实、需求贴合度高且条理清晰的，得2分；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内容较为简单、可行、细节待完善的，得1分；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内容粗略、无针对性、基本满足采购需求的，得0.5分；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②</w:t>
      </w:r>
      <w:r>
        <w:rPr>
          <w:rFonts w:hint="eastAsia" w:ascii="宋体" w:hAnsi="宋体"/>
          <w:b/>
          <w:bCs w:val="0"/>
          <w:color w:val="000000"/>
          <w:sz w:val="24"/>
          <w:szCs w:val="24"/>
          <w:highlight w:val="none"/>
          <w:lang w:val="en-US" w:eastAsia="zh-CN"/>
        </w:rPr>
        <w:t xml:space="preserve">投标人可根据对项目的理解进行方案设计（2分）</w:t>
      </w:r>
      <w:r>
        <w:rPr>
          <w:rFonts w:ascii="宋体" w:hAnsi="宋体" w:eastAsia="宋体" w:cs="宋体"/>
          <w:b/>
          <w:bCs w:val="0"/>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内容详实、需求贴合度高且条理清晰的，得2分；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内容较为简单、可行、细节待完善的，得1分；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内容粗略、无针对性、基本满足采购需求的，得0.5分；</w:t>
      </w: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sz w:val="24"/>
          <w:szCs w:val="24"/>
          <w:highlight w:val="none"/>
          <w:lang w:eastAsia="zh-CN"/>
        </w:rPr>
        <w:outlineLvl w:val="9"/>
      </w:pPr>
      <w:r>
        <w:rPr>
          <w:rFonts w:hint="eastAsia" w:ascii="宋体" w:hAnsi="宋体" w:cs="宋体"/>
          <w:b/>
          <w:bCs w:val="0"/>
          <w:sz w:val="24"/>
          <w:szCs w:val="24"/>
          <w:highlight w:val="none"/>
          <w:lang w:eastAsia="zh-CN"/>
        </w:rPr>
        <w:t xml:space="preserve">（2）项目实施方案（1</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lang w:eastAsia="zh-CN"/>
        </w:rPr>
        <w:t xml:space="preserve">分）</w:t>
      </w:r>
      <w:r>
        <w:rPr>
          <w:rFonts w:hint="eastAsia" w:ascii="宋体" w:hAnsi="宋体" w:eastAsia="宋体" w:cs="宋体"/>
          <w:b/>
          <w:bCs w:val="0"/>
          <w:sz w:val="24"/>
          <w:szCs w:val="24"/>
          <w:highlight w:val="none"/>
          <w:lang w:eastAsia="zh-CN"/>
        </w:rPr>
      </w:r>
      <w:r/>
    </w:p>
    <w:p>
      <w:pPr>
        <w:pStyle w:val="1493"/>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包括但不限于：</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管理制度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项目进度控制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③</w:t>
      </w:r>
      <w:r>
        <w:rPr>
          <w:rFonts w:hint="eastAsia" w:ascii="宋体" w:hAnsi="宋体" w:cs="宋体"/>
          <w:bCs/>
          <w:sz w:val="24"/>
          <w:szCs w:val="24"/>
          <w:highlight w:val="none"/>
        </w:rPr>
        <w:t xml:space="preserve">项目风险控制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④</w:t>
      </w:r>
      <w:r>
        <w:rPr>
          <w:rFonts w:hint="eastAsia" w:ascii="宋体" w:hAnsi="宋体" w:cs="宋体"/>
          <w:bCs/>
          <w:sz w:val="24"/>
          <w:szCs w:val="24"/>
          <w:highlight w:val="none"/>
        </w:rPr>
        <w:t xml:space="preserve">项目资源控制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项目范围控制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项目进度计划</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⑦</w:t>
      </w:r>
      <w:r>
        <w:rPr>
          <w:rFonts w:hint="eastAsia" w:ascii="宋体" w:hAnsi="宋体" w:cs="宋体"/>
          <w:bCs/>
          <w:sz w:val="24"/>
          <w:szCs w:val="24"/>
          <w:highlight w:val="none"/>
        </w:rPr>
        <w:t xml:space="preserve">设备安装调试</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2分</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lang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质量保证措施（</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投标人针对本项目质量控制及保证方案进行阐述</w:t>
      </w:r>
      <w:r>
        <w:rPr>
          <w:rFonts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安排的合理性高、科学性高的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安排的合理性一般、科学性一般的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安排的合理性较差的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售后服务方案（</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对</w:t>
      </w:r>
      <w:r>
        <w:rPr>
          <w:rFonts w:hint="eastAsia" w:ascii="宋体" w:hAnsi="宋体" w:eastAsia="宋体" w:cs="宋体"/>
          <w:bCs/>
          <w:color w:val="000000"/>
          <w:sz w:val="24"/>
          <w:szCs w:val="24"/>
          <w:highlight w:val="none"/>
        </w:rPr>
        <w:t xml:space="preserve">售后服务方案，包括但不限于服务体系、服务内容、应急处理方案、质保承诺说明、专业技术人员保障等情况</w:t>
      </w:r>
      <w:r>
        <w:rPr>
          <w:rFonts w:hint="eastAsia" w:ascii="宋体" w:hAnsi="宋体" w:eastAsia="宋体" w:cs="宋体"/>
          <w:bCs/>
          <w:color w:val="000000"/>
          <w:sz w:val="24"/>
          <w:szCs w:val="24"/>
          <w:highlight w:val="none"/>
          <w:lang w:val="en-US" w:eastAsia="zh-CN"/>
        </w:rPr>
        <w:t xml:space="preserve">进行阐述</w:t>
      </w:r>
      <w:r>
        <w:rPr>
          <w:rFonts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内容粗略、无针对性、基本满足采购需求的，得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）项目培训方案（</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按照使用单位工作人员的素质状况和工作需求，</w:t>
      </w:r>
      <w:r>
        <w:rPr>
          <w:rFonts w:hint="eastAsia" w:ascii="宋体" w:hAnsi="宋体" w:eastAsia="宋体" w:cs="宋体"/>
          <w:bCs/>
          <w:color w:val="000000"/>
          <w:sz w:val="24"/>
          <w:szCs w:val="24"/>
          <w:highlight w:val="none"/>
          <w:lang w:val="en-US" w:eastAsia="zh-CN"/>
        </w:rPr>
        <w:t xml:space="preserve">投标人对</w:t>
      </w:r>
      <w:r>
        <w:rPr>
          <w:rFonts w:ascii="宋体" w:hAnsi="宋体" w:eastAsia="宋体" w:cs="宋体"/>
          <w:bCs/>
          <w:color w:val="000000"/>
          <w:sz w:val="24"/>
          <w:szCs w:val="24"/>
          <w:highlight w:val="none"/>
          <w:lang w:val="en-US" w:eastAsia="zh-CN"/>
        </w:rPr>
        <w:t xml:space="preserve">制定培训目标、计划、培训内容和要求，编制统一的培训方案和教材，人员分级、分类培训，分批实施等方面</w:t>
      </w:r>
      <w:r>
        <w:rPr>
          <w:rFonts w:hint="eastAsia" w:ascii="宋体" w:hAnsi="宋体" w:eastAsia="宋体" w:cs="宋体"/>
          <w:bCs/>
          <w:color w:val="000000"/>
          <w:sz w:val="24"/>
          <w:szCs w:val="24"/>
          <w:highlight w:val="none"/>
          <w:lang w:val="en-US" w:eastAsia="zh-CN"/>
        </w:rPr>
        <w:t xml:space="preserve">进行阐述</w:t>
      </w:r>
      <w:r>
        <w:rPr>
          <w:rFonts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内容粗略、无针对性、基本满足采购需求的，得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542"/>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政策性因素（2分）</w:t>
      </w:r>
      <w:r>
        <w:rPr>
          <w:rFonts w:hint="eastAsia" w:ascii="宋体" w:hAnsi="宋体" w:eastAsia="宋体" w:cs="宋体"/>
          <w:b/>
          <w:bCs/>
          <w:color w:val="000000"/>
          <w:sz w:val="24"/>
          <w:szCs w:val="24"/>
          <w:highlight w:val="none"/>
          <w:lang w:val="en-US" w:eastAsia="zh-CN"/>
        </w:rPr>
      </w:r>
      <w:r/>
    </w:p>
    <w:p>
      <w:pPr>
        <w:pStyle w:val="1493"/>
        <w:ind w:firstLine="480"/>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所选用设备、材料(除强制采购产品外)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rPr>
          <w:rFonts w:hint="eastAsia" w:ascii="宋体" w:hAnsi="宋体" w:cs="宋体"/>
          <w:color w:val="000000"/>
          <w:sz w:val="24"/>
          <w:highlight w:val="none"/>
          <w:shd w:val="clear" w:color="auto" w:fill="ffffff"/>
          <w:lang w:eastAsia="zh-CN"/>
        </w:rPr>
        <w:t xml:space="preserve">。</w:t>
      </w:r>
      <w:r>
        <w:rPr>
          <w:rFonts w:hint="eastAsia" w:ascii="宋体" w:hAnsi="宋体" w:eastAsia="宋体" w:cs="宋体"/>
          <w:color w:val="000000"/>
          <w:sz w:val="24"/>
          <w:highlight w:val="none"/>
          <w:shd w:val="clear" w:color="auto" w:fill="ffffff"/>
          <w:lang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
          <w:bCs w:val="0"/>
          <w:color w:val="000000"/>
          <w:sz w:val="24"/>
          <w:szCs w:val="24"/>
          <w:highlight w:val="none"/>
          <w:lang w:eastAsia="zh-CN"/>
        </w:rPr>
      </w:r>
      <w:r/>
    </w:p>
    <w:p>
      <w:pPr>
        <w:pStyle w:val="1493"/>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493"/>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493"/>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493"/>
        <w:rPr>
          <w:rFonts w:ascii="黑体" w:eastAsia="黑体"/>
          <w:bCs/>
          <w:color w:val="000000"/>
          <w:sz w:val="32"/>
          <w:highlight w:val="none"/>
        </w:rPr>
        <w:outlineLvl w:val="9"/>
      </w:pPr>
      <w:r>
        <w:rPr>
          <w:rFonts w:ascii="黑体" w:eastAsia="黑体"/>
          <w:bCs/>
          <w:color w:val="000000"/>
          <w:sz w:val="32"/>
          <w:highlight w:val="none"/>
        </w:rPr>
      </w:r>
      <w:r/>
    </w:p>
    <w:p>
      <w:pPr>
        <w:pStyle w:val="1493"/>
        <w:rPr>
          <w:rFonts w:ascii="黑体" w:eastAsia="黑体"/>
          <w:bCs/>
          <w:color w:val="000000"/>
          <w:sz w:val="32"/>
          <w:highlight w:val="none"/>
        </w:rPr>
        <w:outlineLvl w:val="9"/>
      </w:pPr>
      <w:r>
        <w:rPr>
          <w:rFonts w:ascii="黑体" w:eastAsia="黑体"/>
          <w:bCs/>
          <w:color w:val="000000"/>
          <w:sz w:val="32"/>
          <w:highlight w:val="none"/>
        </w:rPr>
      </w:r>
      <w:r/>
    </w:p>
    <w:p>
      <w:pPr>
        <w:pStyle w:val="1493"/>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493"/>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493"/>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493"/>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493"/>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493"/>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493"/>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527"/>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493"/>
        <w:rPr>
          <w:rFonts w:hint="eastAsia" w:ascii="宋体" w:hAnsi="宋体" w:cs="宋体"/>
          <w:color w:val="000000"/>
          <w:highlight w:val="none"/>
        </w:rPr>
        <w:outlineLvl w:val="9"/>
      </w:pPr>
      <w:r>
        <w:rPr>
          <w:rFonts w:hint="eastAsia" w:ascii="宋体" w:hAnsi="宋体" w:cs="宋体"/>
          <w:color w:val="000000"/>
          <w:highlight w:val="none"/>
        </w:rPr>
      </w:r>
      <w:r/>
    </w:p>
    <w:p>
      <w:pPr>
        <w:pStyle w:val="1493"/>
        <w:spacing w:line="360" w:lineRule="auto"/>
        <w:rPr>
          <w:rFonts w:hint="eastAsia" w:ascii="宋体" w:hAnsi="宋体" w:eastAsia="宋体" w:cs="宋体"/>
          <w:bCs/>
          <w:color w:val="000000"/>
          <w:sz w:val="30"/>
          <w:szCs w:val="30"/>
          <w:highlight w:val="none"/>
          <w:lang w:eastAsia="zh-CN"/>
        </w:rPr>
        <w:outlineLvl w:val="9"/>
      </w:pPr>
      <w:r/>
      <w:bookmarkStart w:id="34" w:name="_Toc31708"/>
      <w:r/>
      <w:bookmarkStart w:id="35" w:name="_Toc3725"/>
      <w:r>
        <w:rPr>
          <w:rFonts w:hint="eastAsia" w:ascii="宋体" w:hAnsi="宋体" w:cs="宋体"/>
          <w:bCs/>
          <w:color w:val="000000"/>
          <w:sz w:val="30"/>
          <w:szCs w:val="30"/>
          <w:highlight w:val="none"/>
        </w:rPr>
        <w:t xml:space="preserve">采购项目编号：</w:t>
      </w:r>
      <w:bookmarkEnd w:id="34"/>
      <w:r/>
      <w:bookmarkEnd w:id="35"/>
      <w:r>
        <w:rPr>
          <w:rFonts w:hint="eastAsia" w:ascii="宋体" w:hAnsi="宋体" w:cs="宋体"/>
          <w:color w:val="000000"/>
          <w:sz w:val="30"/>
          <w:szCs w:val="30"/>
          <w:highlight w:val="none"/>
          <w:lang w:eastAsia="zh-CN"/>
        </w:rPr>
        <w:t xml:space="preserve">JSZC-320205-THGC-G2024-0042</w:t>
      </w:r>
      <w:r>
        <w:rPr>
          <w:rFonts w:hint="eastAsia" w:ascii="宋体" w:hAnsi="宋体" w:eastAsia="宋体" w:cs="宋体"/>
          <w:bCs/>
          <w:color w:val="000000"/>
          <w:sz w:val="30"/>
          <w:szCs w:val="30"/>
          <w:highlight w:val="none"/>
          <w:lang w:eastAsia="zh-CN"/>
        </w:rPr>
      </w:r>
      <w:r/>
    </w:p>
    <w:p>
      <w:pPr>
        <w:pStyle w:val="1493"/>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厚桥街道智慧安全建设(一期)项目</w:t>
      </w:r>
      <w:r>
        <w:rPr>
          <w:rFonts w:hint="eastAsia" w:ascii="宋体" w:hAnsi="宋体" w:eastAsia="宋体" w:cs="Times New Roman"/>
          <w:b w:val="0"/>
          <w:bCs/>
          <w:color w:val="000000"/>
          <w:sz w:val="30"/>
          <w:szCs w:val="30"/>
          <w:highlight w:val="none"/>
          <w:lang w:eastAsia="zh-CN"/>
        </w:rPr>
      </w:r>
      <w:r/>
    </w:p>
    <w:p>
      <w:pPr>
        <w:pStyle w:val="1493"/>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493"/>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493"/>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6" w:name="一．报价函（格式）"/>
      <w:r/>
      <w:bookmarkEnd w:id="36"/>
      <w:r>
        <w:rPr>
          <w:rFonts w:hint="eastAsia" w:ascii="宋体" w:hAnsi="宋体" w:cs="宋体"/>
          <w:bCs/>
          <w:color w:val="000000"/>
          <w:sz w:val="28"/>
          <w:szCs w:val="28"/>
          <w:highlight w:val="none"/>
        </w:rPr>
      </w:r>
      <w:r/>
    </w:p>
    <w:p>
      <w:pPr>
        <w:pStyle w:val="1493"/>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493"/>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493"/>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93"/>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493"/>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493"/>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49"/>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549"/>
          <w:rFonts w:hint="eastAsia"/>
          <w:bCs/>
          <w:color w:val="000000"/>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493"/>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493"/>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rPr>
          <w:rFonts w:hint="eastAsia" w:ascii="宋体" w:hAnsi="宋体" w:cs="宋体"/>
          <w:bCs/>
          <w:color w:val="000000"/>
          <w:sz w:val="24"/>
          <w:szCs w:val="24"/>
          <w:highlight w:val="none"/>
        </w:rPr>
      </w:r>
      <w:r/>
    </w:p>
    <w:p>
      <w:pPr>
        <w:pStyle w:val="1493"/>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3"/>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493"/>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493"/>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jc w:val="center"/>
        <w:rPr>
          <w:rFonts w:hint="eastAsia" w:ascii="宋体" w:hAnsi="宋体" w:cs="宋体"/>
          <w:bCs/>
          <w:color w:val="000000"/>
          <w:sz w:val="24"/>
          <w:szCs w:val="24"/>
          <w:highlight w:val="none"/>
        </w:rPr>
        <w:outlineLvl w:val="9"/>
      </w:pPr>
      <w:r/>
      <w:bookmarkStart w:id="37" w:name="报价方关于资格的声明函（格式）"/>
      <w:r/>
      <w:bookmarkEnd w:id="37"/>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493"/>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493"/>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493"/>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493"/>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493"/>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493"/>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493"/>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493"/>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493"/>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493"/>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18"/>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3"/>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493"/>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lang w:eastAsia="zh-CN"/>
        </w:rPr>
        <w:t xml:space="preserve">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3"/>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38" w:name="_Toc32348"/>
      <w:r/>
      <w:bookmarkStart w:id="39" w:name="_Toc2444"/>
      <w:r>
        <w:rPr>
          <w:rFonts w:hint="eastAsia" w:ascii="宋体" w:hAnsi="宋体" w:cs="宋体"/>
          <w:bCs/>
          <w:color w:val="000000"/>
          <w:sz w:val="24"/>
          <w:szCs w:val="24"/>
          <w:highlight w:val="none"/>
        </w:rPr>
      </w:r>
      <w:r/>
    </w:p>
    <w:p>
      <w:pPr>
        <w:pStyle w:val="1493"/>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38"/>
      <w:r/>
      <w:bookmarkEnd w:id="39"/>
      <w:r>
        <w:rPr>
          <w:rFonts w:hint="eastAsia" w:ascii="宋体" w:hAnsi="宋体" w:cs="宋体"/>
          <w:bCs/>
          <w:color w:val="000000"/>
          <w:sz w:val="24"/>
          <w:szCs w:val="24"/>
          <w:highlight w:val="none"/>
        </w:rPr>
      </w:r>
      <w:r/>
    </w:p>
    <w:p>
      <w:pPr>
        <w:pStyle w:val="1493"/>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493"/>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493"/>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493"/>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493"/>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493"/>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73505"/>
                <wp:effectExtent l="0" t="0" r="0" b="0"/>
                <wp:docPr id="19"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3"/>
                            </w:pPr>
                            <w:r/>
                            <w:r/>
                          </w:p>
                        </w:txbxContent>
                      </wps:txbx>
                      <wps:bodyPr wrap="square" upright="1"/>
                    </wps:wsp>
                  </a:graphicData>
                </a:graphic>
              </wp:inline>
            </w:drawing>
          </mc:Choice>
          <mc:Fallback>
            <w:pict>
              <v:shape id="shape 18" o:spid="_x0000_s18" o:spt="202" type="#_x0000_t202" style="width:189.0pt;height:108.1pt;mso-wrap-distance-left:0.0pt;mso-wrap-distance-top:0.0pt;mso-wrap-distance-right:0.0pt;mso-wrap-distance-bottom:0.0pt;visibility:visible;" fillcolor="#FFFFFF" strokecolor="#000000">
                <v:textbox inset="0,0,0,0">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3"/>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1570" cy="1375410"/>
                <wp:effectExtent l="0" t="0" r="0" b="0"/>
                <wp:docPr id="20"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3"/>
                            </w:pPr>
                            <w:r/>
                            <w:r/>
                          </w:p>
                        </w:txbxContent>
                      </wps:txbx>
                      <wps:bodyPr wrap="square" upright="1"/>
                    </wps:wsp>
                  </a:graphicData>
                </a:graphic>
              </wp:inline>
            </w:drawing>
          </mc:Choice>
          <mc:Fallback>
            <w:pict>
              <v:shape id="shape 19" o:spid="_x0000_s19" o:spt="202" type="#_x0000_t202" style="width:189.1pt;height:108.3pt;mso-wrap-distance-left:0.0pt;mso-wrap-distance-top:0.0pt;mso-wrap-distance-right:0.0pt;mso-wrap-distance-bottom:0.0pt;visibility:visible;" fillcolor="#FFFFFF" strokecolor="#000000">
                <v:textbox inset="0,0,0,0">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3"/>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rFonts w:hint="eastAsia"/>
          <w:color w:val="000000"/>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3"/>
                            </w:pPr>
                            <w:r/>
                            <w:r/>
                          </w:p>
                        </w:txbxContent>
                      </wps:txbx>
                      <wps:bodyPr wrap="square" upright="1"/>
                    </wps:wsp>
                  </a:graphicData>
                </a:graphic>
              </wp:anchor>
            </w:drawing>
          </mc:Choice>
          <mc:Fallback>
            <w:pict>
              <v:shape id="shape 20" o:spid="_x0000_s20" o:spt="202" type="#_x0000_t202" style="position:absolute;z-index:251658243;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3"/>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3"/>
                            </w:pPr>
                            <w:r/>
                            <w:r/>
                          </w:p>
                        </w:txbxContent>
                      </wps:txbx>
                      <wps:bodyPr wrap="square" upright="1"/>
                    </wps:wsp>
                  </a:graphicData>
                </a:graphic>
              </wp:anchor>
            </w:drawing>
          </mc:Choice>
          <mc:Fallback>
            <w:pict>
              <v:shape id="shape 21" o:spid="_x0000_s21" o:spt="202" type="#_x0000_t202" style="position:absolute;z-index:251658244;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3"/>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493"/>
        <w:jc w:val="center"/>
        <w:spacing w:line="360" w:lineRule="auto"/>
        <w:rPr>
          <w:rFonts w:ascii="宋体" w:hAnsi="宋体"/>
          <w:b/>
          <w:sz w:val="28"/>
          <w:szCs w:val="28"/>
          <w:highlight w:val="none"/>
        </w:rPr>
      </w:pPr>
      <w:r>
        <w:rPr>
          <w:rFonts w:ascii="宋体" w:hAnsi="宋体"/>
          <w:b/>
          <w:sz w:val="28"/>
          <w:szCs w:val="28"/>
          <w:highlight w:val="none"/>
        </w:rPr>
      </w:r>
      <w:r/>
    </w:p>
    <w:p>
      <w:pPr>
        <w:pStyle w:val="1493"/>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493"/>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493"/>
        <w:ind w:firstLine="612"/>
        <w:spacing w:line="360" w:lineRule="auto"/>
        <w:rPr>
          <w:rFonts w:ascii="宋体" w:hAnsi="宋体"/>
          <w:sz w:val="24"/>
          <w:szCs w:val="24"/>
          <w:highlight w:val="none"/>
        </w:rPr>
      </w:pPr>
      <w:r>
        <w:rPr>
          <w:rFonts w:ascii="宋体" w:hAnsi="宋体"/>
          <w:sz w:val="24"/>
          <w:szCs w:val="24"/>
          <w:highlight w:val="none"/>
        </w:rPr>
      </w:r>
      <w:r/>
    </w:p>
    <w:p>
      <w:pPr>
        <w:pStyle w:val="1493"/>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3"/>
        <w:ind w:firstLine="610"/>
        <w:spacing w:line="360" w:lineRule="auto"/>
        <w:rPr>
          <w:rFonts w:ascii="宋体" w:hAnsi="宋体"/>
          <w:sz w:val="24"/>
          <w:szCs w:val="24"/>
          <w:highlight w:val="none"/>
        </w:rPr>
      </w:pPr>
      <w:r>
        <w:rPr>
          <w:rFonts w:ascii="宋体" w:hAnsi="宋体"/>
          <w:sz w:val="24"/>
          <w:szCs w:val="24"/>
          <w:highlight w:val="none"/>
        </w:rPr>
      </w:r>
      <w:r/>
    </w:p>
    <w:p>
      <w:pPr>
        <w:pStyle w:val="1493"/>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3"/>
        <w:ind w:firstLine="610"/>
        <w:spacing w:line="360" w:lineRule="auto"/>
        <w:rPr>
          <w:rFonts w:ascii="宋体" w:hAnsi="宋体"/>
          <w:sz w:val="24"/>
          <w:szCs w:val="24"/>
          <w:highlight w:val="none"/>
        </w:rPr>
      </w:pPr>
      <w:r>
        <w:rPr>
          <w:rFonts w:ascii="宋体" w:hAnsi="宋体"/>
          <w:sz w:val="24"/>
          <w:szCs w:val="24"/>
          <w:highlight w:val="none"/>
        </w:rPr>
      </w:r>
      <w:r/>
    </w:p>
    <w:p>
      <w:pPr>
        <w:pStyle w:val="1493"/>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493"/>
        <w:ind w:firstLine="610"/>
        <w:spacing w:line="360" w:lineRule="auto"/>
        <w:rPr>
          <w:rFonts w:ascii="宋体" w:hAnsi="宋体"/>
          <w:sz w:val="24"/>
          <w:szCs w:val="24"/>
          <w:highlight w:val="none"/>
        </w:rPr>
      </w:pPr>
      <w:r>
        <w:rPr>
          <w:rFonts w:ascii="宋体" w:hAnsi="宋体"/>
          <w:sz w:val="24"/>
          <w:szCs w:val="24"/>
          <w:highlight w:val="none"/>
        </w:rPr>
      </w:r>
      <w:r/>
    </w:p>
    <w:p>
      <w:pPr>
        <w:pStyle w:val="1493"/>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3"/>
        <w:ind w:firstLine="610"/>
        <w:spacing w:line="360" w:lineRule="auto"/>
        <w:rPr>
          <w:rFonts w:ascii="宋体" w:hAnsi="宋体"/>
          <w:sz w:val="24"/>
          <w:szCs w:val="24"/>
          <w:highlight w:val="none"/>
        </w:rPr>
      </w:pPr>
      <w:r>
        <w:rPr>
          <w:rFonts w:ascii="宋体" w:hAnsi="宋体"/>
          <w:sz w:val="24"/>
          <w:szCs w:val="24"/>
          <w:highlight w:val="none"/>
        </w:rPr>
      </w:r>
      <w:r/>
    </w:p>
    <w:p>
      <w:pPr>
        <w:pStyle w:val="1493"/>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3"/>
        <w:ind w:firstLine="610"/>
        <w:spacing w:line="360" w:lineRule="auto"/>
        <w:rPr>
          <w:rFonts w:ascii="宋体" w:hAnsi="宋体"/>
          <w:sz w:val="24"/>
          <w:szCs w:val="24"/>
          <w:highlight w:val="none"/>
        </w:rPr>
      </w:pPr>
      <w:r>
        <w:rPr>
          <w:rFonts w:ascii="宋体" w:hAnsi="宋体"/>
          <w:sz w:val="24"/>
          <w:szCs w:val="24"/>
          <w:highlight w:val="none"/>
        </w:rPr>
      </w:r>
      <w:r/>
    </w:p>
    <w:p>
      <w:pPr>
        <w:pStyle w:val="1493"/>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493"/>
        <w:ind w:firstLine="610"/>
        <w:spacing w:line="360" w:lineRule="auto"/>
        <w:rPr>
          <w:rFonts w:ascii="宋体" w:hAnsi="宋体"/>
          <w:sz w:val="24"/>
          <w:szCs w:val="24"/>
          <w:highlight w:val="none"/>
        </w:rPr>
      </w:pPr>
      <w:r>
        <w:rPr>
          <w:rFonts w:ascii="宋体" w:hAnsi="宋体"/>
          <w:sz w:val="24"/>
          <w:szCs w:val="24"/>
          <w:highlight w:val="none"/>
        </w:rPr>
      </w:r>
      <w:r/>
    </w:p>
    <w:p>
      <w:pPr>
        <w:pStyle w:val="1493"/>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493"/>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493"/>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400935" cy="1373505"/>
                <wp:effectExtent l="0" t="0" r="0" b="0"/>
                <wp:wrapNone/>
                <wp:docPr id="23"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round/>
                        </a:ln>
                      </wps:spPr>
                      <wps:txbx>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3"/>
                            </w:pPr>
                            <w:r/>
                            <w:r/>
                          </w:p>
                        </w:txbxContent>
                      </wps:txbx>
                      <wps:bodyPr wrap="square" upright="1"/>
                    </wps:wsp>
                  </a:graphicData>
                </a:graphic>
              </wp:anchor>
            </w:drawing>
          </mc:Choice>
          <mc:Fallback>
            <w:pict>
              <v:shape id="shape 22" o:spid="_x0000_s22" o:spt="202" type="#_x0000_t202" style="position:absolute;z-index:251658241;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3"/>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401570" cy="1375410"/>
                <wp:effectExtent l="0" t="0" r="0" b="0"/>
                <wp:wrapNone/>
                <wp:docPr id="24"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3"/>
                            </w:pPr>
                            <w:r/>
                            <w:r/>
                          </w:p>
                        </w:txbxContent>
                      </wps:txbx>
                      <wps:bodyPr wrap="square" upright="1"/>
                    </wps:wsp>
                  </a:graphicData>
                </a:graphic>
              </wp:anchor>
            </w:drawing>
          </mc:Choice>
          <mc:Fallback>
            <w:pict>
              <v:shape id="shape 23" o:spid="_x0000_s23" o:spt="202" type="#_x0000_t202" style="position:absolute;z-index:251658242;o:allowoverlap:true;o:allowincell:true;mso-position-horizontal-relative:text;margin-left:0.0pt;mso-position-horizontal:absolute;mso-position-vertical-relative:text;margin-top:0.0pt;mso-position-vertical:absolute;width:189.1pt;height:108.3pt;mso-wrap-distance-left:9.0pt;mso-wrap-distance-top:0.0pt;mso-wrap-distance-right:9.0pt;mso-wrap-distance-bottom:0.0pt;visibility:visible;" fillcolor="#FFFFFF" strokecolor="#000000">
                <v:textbox inset="0,0,0,0">
                  <w:txbxContent>
                    <w:p>
                      <w:pPr>
                        <w:pStyle w:val="1493"/>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3"/>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3"/>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bookmarkStart w:id="40" w:name="_Toc7396"/>
      <w:r/>
      <w:bookmarkStart w:id="41" w:name="_Toc1904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0"/>
      <w:r/>
      <w:bookmarkEnd w:id="41"/>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rPr>
          <w:rFonts w:hint="eastAsia" w:ascii="宋体" w:hAnsi="宋体" w:cs="宋体"/>
          <w:b w:val="0"/>
          <w:bCs w:val="0"/>
          <w:color w:val="000000"/>
          <w:sz w:val="24"/>
          <w:szCs w:val="24"/>
          <w:highlight w:val="none"/>
        </w:rPr>
      </w:r>
      <w:r/>
    </w:p>
    <w:p>
      <w:pPr>
        <w:pStyle w:val="1518"/>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493"/>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1．本公司（单位）具备履行合同所必需的设备和专业技术能力；</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2．本公司未被“信用中国”网站（www.creditchina.gov.cn）、中国政府采购网(www.ccgp.gov.cn)列入失信被执行人、重大税收违法案件当事人名单、政府采购严重违法失信行为记录名单。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3.本公司承诺为本项目服务所涉及的人员均为在本公司参加社会保险人员；</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本公司承诺本项目所有物联监测设备具备联网功能，监测预警数据须按照政府监管要求上报至锡山经济开发区智慧园区安全综合管理平台或招标人要求上报的其它平台系统，公司后续不会额外加收对接相关的费用；</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本公司承诺本次报价包括硬件、服务购买、配件（包括不限于：工程器具、管材、线缆等）、包装、运杂、安装调试及售后服务等，从项目成交起到项目正式交付以及免费质保期内所发生的一切费用，本公司不再收取与该项目相关的其他任何费用。</w:t>
      </w:r>
      <w:r>
        <w:rPr>
          <w:rFonts w:hint="eastAsia" w:ascii="宋体" w:hAnsi="宋体" w:eastAsia="宋体" w:cs="宋体"/>
          <w:color w:val="000000"/>
          <w:sz w:val="24"/>
          <w:szCs w:val="24"/>
          <w:highlight w:val="none"/>
        </w:rPr>
      </w:r>
      <w:r/>
    </w:p>
    <w:p>
      <w:pPr>
        <w:pStyle w:val="14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如违背上述承诺，本公司（单位）将承担一切法律责任。</w:t>
      </w:r>
      <w:r>
        <w:rPr>
          <w:rFonts w:hint="eastAsia" w:ascii="宋体" w:hAnsi="宋体" w:eastAsia="宋体" w:cs="宋体"/>
          <w:color w:val="000000"/>
          <w:sz w:val="24"/>
          <w:szCs w:val="24"/>
          <w:highlight w:val="none"/>
        </w:rPr>
      </w:r>
      <w:r/>
    </w:p>
    <w:p>
      <w:pPr>
        <w:pStyle w:val="1493"/>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493"/>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01"/>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01"/>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493"/>
        <w:rPr>
          <w:rFonts w:hint="eastAsia"/>
          <w:highlight w:val="none"/>
        </w:rPr>
      </w:pPr>
      <w:r>
        <w:rPr>
          <w:rFonts w:hint="eastAsia"/>
          <w:highlight w:val="none"/>
        </w:rPr>
      </w:r>
      <w:r/>
    </w:p>
    <w:p>
      <w:pPr>
        <w:pStyle w:val="1493"/>
        <w:rPr>
          <w:rFonts w:hint="eastAsia" w:ascii="宋体" w:hAnsi="宋体" w:cs="宋体"/>
          <w:b/>
          <w:color w:val="000000"/>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 </w:t>
      </w:r>
      <w:r>
        <w:rPr>
          <w:rFonts w:hint="eastAsia" w:ascii="宋体" w:hAnsi="宋体" w:cs="宋体"/>
          <w:bCs/>
          <w:color w:val="000000"/>
          <w:sz w:val="24"/>
          <w:szCs w:val="24"/>
          <w:highlight w:val="none"/>
        </w:rPr>
      </w:r>
      <w:r/>
    </w:p>
    <w:p>
      <w:pPr>
        <w:pStyle w:val="1513"/>
        <w:rPr>
          <w:rFonts w:hint="eastAsia"/>
          <w:color w:val="000000"/>
          <w:highlight w:val="none"/>
        </w:rPr>
        <w:outlineLvl w:val="9"/>
      </w:pPr>
      <w:r>
        <w:rPr>
          <w:rFonts w:hint="eastAsia"/>
          <w:color w:val="000000"/>
          <w:highlight w:val="none"/>
        </w:rPr>
      </w:r>
      <w:r/>
    </w:p>
    <w:p>
      <w:pPr>
        <w:pStyle w:val="1493"/>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rFonts w:hint="eastAsia" w:ascii="宋体" w:hAnsi="宋体" w:cs="宋体"/>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trHeight w:val="993"/>
        </w:trPr>
        <w:tc>
          <w:tcPr>
            <w:tcW w:w="2907" w:type="dxa"/>
            <w:vAlign w:val="center"/>
            <w:textDirection w:val="lrTb"/>
            <w:noWrap w:val="false"/>
          </w:tcPr>
          <w:p>
            <w:pPr>
              <w:pStyle w:val="1513"/>
              <w:jc w:val="center"/>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5374" w:type="dxa"/>
            <w:vAlign w:val="center"/>
            <w:textDirection w:val="lrTb"/>
            <w:noWrap w:val="false"/>
          </w:tcPr>
          <w:p>
            <w:pPr>
              <w:pStyle w:val="1513"/>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1031"/>
        </w:trPr>
        <w:tc>
          <w:tcPr>
            <w:tcW w:w="2907" w:type="dxa"/>
            <w:vAlign w:val="center"/>
            <w:textDirection w:val="lrTb"/>
            <w:noWrap w:val="false"/>
          </w:tcPr>
          <w:p>
            <w:pPr>
              <w:pStyle w:val="1493"/>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项目总报价</w:t>
            </w:r>
            <w:r>
              <w:rPr>
                <w:rFonts w:hint="eastAsia" w:ascii="宋体" w:hAnsi="宋体" w:cs="宋体"/>
                <w:color w:val="000000"/>
                <w:sz w:val="24"/>
                <w:szCs w:val="24"/>
                <w:highlight w:val="none"/>
              </w:rPr>
            </w:r>
            <w:r/>
          </w:p>
        </w:tc>
        <w:tc>
          <w:tcPr>
            <w:tcW w:w="5374" w:type="dxa"/>
            <w:vAlign w:val="center"/>
            <w:textDirection w:val="lrTb"/>
            <w:noWrap w:val="false"/>
          </w:tcPr>
          <w:p>
            <w:pPr>
              <w:pStyle w:val="1493"/>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93"/>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493"/>
              <w:ind w:left="0" w:right="0" w:firstLine="0"/>
              <w:jc w:val="center"/>
              <w:spacing w:line="300" w:lineRule="auto"/>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供货期</w:t>
            </w:r>
            <w:r>
              <w:rPr>
                <w:rFonts w:ascii="宋体" w:hAnsi="宋体" w:eastAsia="宋体" w:cs="宋体"/>
                <w:color w:val="000000"/>
                <w:sz w:val="24"/>
                <w:szCs w:val="24"/>
                <w:highlight w:val="none"/>
                <w:lang w:val="en-US" w:eastAsia="zh-CN"/>
              </w:rPr>
            </w:r>
            <w:r/>
          </w:p>
        </w:tc>
        <w:tc>
          <w:tcPr>
            <w:tcW w:w="5374" w:type="dxa"/>
            <w:vAlign w:val="center"/>
            <w:textDirection w:val="lrTb"/>
            <w:noWrap w:val="false"/>
          </w:tcPr>
          <w:p>
            <w:pPr>
              <w:pStyle w:val="1493"/>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493"/>
              <w:ind w:left="0" w:right="0" w:firstLine="0"/>
              <w:jc w:val="center"/>
              <w:spacing w:line="300" w:lineRule="auto"/>
              <w:rPr>
                <w:rFonts w:hint="eastAsia" w:ascii="宋体" w:hAnsi="宋体" w:eastAsia="宋体" w:cs="宋体"/>
                <w:color w:val="000000"/>
                <w:sz w:val="24"/>
                <w:szCs w:val="24"/>
                <w:highlight w:val="none"/>
                <w:lang w:eastAsia="zh-CN"/>
              </w:rPr>
              <w:outlineLvl w:val="9"/>
            </w:pPr>
            <w:r>
              <w:rPr>
                <w:rFonts w:hint="eastAsia" w:ascii="宋体" w:hAnsi="宋体"/>
                <w:bCs/>
                <w:color w:val="000000"/>
                <w:sz w:val="24"/>
                <w:szCs w:val="24"/>
                <w:highlight w:val="none"/>
                <w:lang w:val="en-US" w:eastAsia="zh-CN"/>
              </w:rPr>
              <w:t xml:space="preserve">项目免费质保期</w:t>
            </w:r>
            <w:r>
              <w:rPr>
                <w:rFonts w:hint="eastAsia" w:ascii="宋体" w:hAnsi="宋体" w:eastAsia="宋体" w:cs="宋体"/>
                <w:color w:val="000000"/>
                <w:sz w:val="24"/>
                <w:szCs w:val="24"/>
                <w:highlight w:val="none"/>
                <w:lang w:eastAsia="zh-CN"/>
              </w:rPr>
            </w:r>
            <w:r/>
          </w:p>
        </w:tc>
        <w:tc>
          <w:tcPr>
            <w:tcW w:w="5374" w:type="dxa"/>
            <w:vAlign w:val="center"/>
            <w:textDirection w:val="lrTb"/>
            <w:noWrap w:val="false"/>
          </w:tcPr>
          <w:p>
            <w:pPr>
              <w:pStyle w:val="1493"/>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493"/>
              <w:jc w:val="center"/>
              <w:spacing w:line="300" w:lineRule="auto"/>
              <w:rPr>
                <w:rFonts w:ascii="宋体" w:hAnsi="宋体"/>
                <w:bCs/>
                <w:color w:val="000000"/>
                <w:sz w:val="24"/>
                <w:szCs w:val="24"/>
                <w:highlight w:val="none"/>
                <w:lang w:val="en-US" w:eastAsia="zh-CN"/>
              </w:rPr>
              <w:outlineLvl w:val="9"/>
            </w:pPr>
            <w:r>
              <w:rPr>
                <w:rFonts w:hint="eastAsia" w:ascii="宋体" w:hAnsi="宋体"/>
                <w:bCs/>
                <w:color w:val="000000"/>
                <w:sz w:val="24"/>
                <w:szCs w:val="24"/>
                <w:highlight w:val="none"/>
                <w:lang w:val="en-US" w:eastAsia="zh-CN"/>
              </w:rPr>
              <w:t xml:space="preserve">项目经理</w:t>
            </w:r>
            <w:r>
              <w:rPr>
                <w:rFonts w:ascii="宋体" w:hAnsi="宋体"/>
                <w:bCs/>
                <w:color w:val="000000"/>
                <w:sz w:val="24"/>
                <w:szCs w:val="24"/>
                <w:highlight w:val="none"/>
                <w:lang w:val="en-US" w:eastAsia="zh-CN"/>
              </w:rPr>
            </w:r>
            <w:r/>
          </w:p>
        </w:tc>
        <w:tc>
          <w:tcPr>
            <w:tcW w:w="5374" w:type="dxa"/>
            <w:vAlign w:val="center"/>
            <w:textDirection w:val="lrTb"/>
            <w:noWrap w:val="false"/>
          </w:tcPr>
          <w:p>
            <w:pPr>
              <w:pStyle w:val="1493"/>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pStyle w:val="1493"/>
        <w:spacing w:before="5"/>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571"/>
        <w:ind w:firstLine="0"/>
        <w:rPr>
          <w:rFonts w:hint="eastAsia" w:ascii="宋体" w:hAnsi="宋体" w:cs="宋体"/>
          <w:color w:val="000000"/>
          <w:highlight w:val="none"/>
        </w:rPr>
        <w:outlineLvl w:val="9"/>
      </w:pPr>
      <w:r>
        <w:rPr>
          <w:rFonts w:hint="eastAsia" w:ascii="宋体" w:hAnsi="宋体" w:cs="宋体"/>
          <w:color w:val="000000"/>
          <w:highlight w:val="none"/>
        </w:rPr>
      </w:r>
      <w:r/>
    </w:p>
    <w:p>
      <w:pPr>
        <w:pStyle w:val="1493"/>
        <w:ind w:firstLine="480"/>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57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1"/>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3"/>
        <w:ind w:firstLine="28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3"/>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2880"/>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493"/>
        <w:ind w:left="720" w:hanging="720"/>
        <w:spacing w:line="400" w:lineRule="exact"/>
        <w:rPr>
          <w:rFonts w:hint="eastAsia" w:ascii="宋体" w:hAnsi="宋体" w:cs="宋体"/>
          <w:bCs/>
          <w:color w:val="000000"/>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493"/>
        <w:ind w:firstLine="560"/>
        <w:jc w:val="center"/>
        <w:spacing w:line="480" w:lineRule="exact"/>
        <w:rPr>
          <w:rFonts w:hint="eastAsia" w:ascii="宋体" w:hAnsi="宋体" w:eastAsia="宋体" w:cs="宋体"/>
          <w:bCs/>
          <w:color w:val="000000"/>
          <w:sz w:val="28"/>
          <w:szCs w:val="28"/>
          <w:highlight w:val="none"/>
        </w:rPr>
        <w:outlineLvl w:val="9"/>
      </w:pPr>
      <w:r/>
      <w:bookmarkStart w:id="42" w:name="_Toc27474"/>
      <w:r>
        <w:rPr>
          <w:rFonts w:hint="eastAsia" w:ascii="宋体" w:hAnsi="宋体" w:eastAsia="宋体" w:cs="宋体"/>
          <w:bCs/>
          <w:color w:val="000000"/>
          <w:sz w:val="28"/>
          <w:szCs w:val="28"/>
          <w:highlight w:val="none"/>
        </w:rPr>
        <w:t xml:space="preserve">明细报价表</w:t>
      </w:r>
      <w:bookmarkEnd w:id="42"/>
      <w:r>
        <w:rPr>
          <w:rFonts w:hint="eastAsia" w:ascii="宋体" w:hAnsi="宋体" w:eastAsia="宋体" w:cs="宋体"/>
          <w:bCs/>
          <w:color w:val="000000"/>
          <w:sz w:val="28"/>
          <w:szCs w:val="28"/>
          <w:highlight w:val="none"/>
        </w:rPr>
      </w:r>
      <w:r/>
    </w:p>
    <w:p>
      <w:pPr>
        <w:pStyle w:val="1493"/>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highlight w:val="none"/>
        </w:rPr>
        <w:t xml:space="preserve">项目名称：</w:t>
      </w:r>
      <w:r>
        <w:rPr>
          <w:rFonts w:hint="eastAsia" w:ascii="宋体" w:hAnsi="宋体"/>
          <w:bCs/>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tbl>
      <w:tblPr>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2"/>
        <w:gridCol w:w="852"/>
        <w:gridCol w:w="852"/>
        <w:gridCol w:w="852"/>
        <w:gridCol w:w="852"/>
        <w:gridCol w:w="852"/>
        <w:gridCol w:w="853"/>
        <w:gridCol w:w="853"/>
        <w:gridCol w:w="853"/>
        <w:gridCol w:w="851"/>
      </w:tblGrid>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1、街道养老院</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2、养老服务站（9个）</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3、学校（厚桥中心幼儿园)</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4、学校（厚桥中学)</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5、学校（厚桥实验小学)</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6、学校（大诚幼儿园)</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3"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3"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3"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1"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7、安置房小区（厚德苑A区）</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8、安置房小区（厚德苑B区）</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9、政府办公大楼（街道办事处办公楼、行政执法局办公楼、综治办办公楼，行政审批局办公楼、派出所）</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10、政府资产商铺</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11、村社区服务中心+文体服务中心</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12、规上企业</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品牌</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型号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gridSpan w:val="10"/>
            <w:tcW w:w="8522" w:type="dxa"/>
            <w:vAlign w:val="center"/>
            <w:textDirection w:val="lrTb"/>
            <w:noWrap/>
          </w:tcPr>
          <w:p>
            <w:pPr>
              <w:pStyle w:val="149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13、单位数据配置服务</w:t>
            </w:r>
            <w:r>
              <w:rPr>
                <w:rFonts w:hint="eastAsia" w:ascii="宋体" w:hAnsi="宋体" w:eastAsia="宋体" w:cs="宋体"/>
                <w:i w:val="0"/>
                <w:iCs w:val="0"/>
                <w:color w:val="000000"/>
                <w:sz w:val="24"/>
                <w:szCs w:val="24"/>
                <w:highlight w:val="none"/>
                <w:u w:val="none"/>
              </w:rPr>
            </w:r>
            <w:r/>
          </w:p>
        </w:tc>
      </w:tr>
      <w:tr>
        <w:trPr>
          <w:trHeight w:val="280"/>
        </w:trPr>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rPr>
                <w:rFonts w:hint="eastAsia" w:ascii="宋体" w:hAnsi="宋体" w:eastAsia="宋体" w:cs="宋体"/>
                <w:i w:val="0"/>
                <w:iCs w:val="0"/>
                <w:color w:val="000000"/>
                <w:sz w:val="20"/>
                <w:szCs w:val="20"/>
                <w:highlight w:val="none"/>
                <w:u w:val="none"/>
              </w:rPr>
            </w:r>
            <w:r/>
          </w:p>
        </w:tc>
        <w:tc>
          <w:tcPr>
            <w:gridSpan w:val="3"/>
            <w:tcW w:w="2556"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w:t>
            </w: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w:t>
            </w: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2"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tcW w:w="2556"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1"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0"/>
        </w:trPr>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2"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tcW w:w="2556" w:type="dxa"/>
            <w:vAlign w:val="center"/>
            <w:textDirection w:val="lrTb"/>
            <w:noWrap w:val="false"/>
          </w:tcPr>
          <w:p>
            <w:pPr>
              <w:pStyle w:val="14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53"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3"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3"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51"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0"/>
        </w:trPr>
        <w:tc>
          <w:tcPr>
            <w:gridSpan w:val="8"/>
            <w:tcW w:w="6818" w:type="dxa"/>
            <w:vAlign w:val="center"/>
            <w:textDirection w:val="lrTb"/>
            <w:noWrap/>
          </w:tcPr>
          <w:p>
            <w:pPr>
              <w:pStyle w:val="1493"/>
              <w:jc w:val="center"/>
              <w:rPr>
                <w:rFonts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合计金额</w:t>
            </w:r>
            <w:r>
              <w:rPr>
                <w:rFonts w:ascii="宋体" w:hAnsi="宋体" w:eastAsia="宋体" w:cs="宋体"/>
                <w:i w:val="0"/>
                <w:iCs w:val="0"/>
                <w:color w:val="000000"/>
                <w:sz w:val="22"/>
                <w:szCs w:val="22"/>
                <w:highlight w:val="none"/>
                <w:u w:val="none"/>
                <w:lang w:val="en-US" w:eastAsia="zh-CN"/>
              </w:rPr>
            </w:r>
            <w:r/>
          </w:p>
        </w:tc>
        <w:tc>
          <w:tcPr>
            <w:gridSpan w:val="2"/>
            <w:tcW w:w="1704" w:type="dxa"/>
            <w:vAlign w:val="center"/>
            <w:textDirection w:val="lrTb"/>
            <w:noWrap/>
          </w:tcPr>
          <w:p>
            <w:pPr>
              <w:pStyle w:val="14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1493"/>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493"/>
        <w:ind w:firstLine="480"/>
        <w:jc w:val="right"/>
        <w:spacing w:line="480" w:lineRule="exact"/>
        <w:rPr>
          <w:rFonts w:hint="eastAsia" w:ascii="宋体" w:hAnsi="宋体" w:eastAsia="宋体" w:cs="宋体"/>
          <w:b/>
          <w:bCs/>
          <w:color w:val="000000"/>
          <w:sz w:val="24"/>
          <w:szCs w:val="24"/>
          <w:highlight w:val="none"/>
        </w:rPr>
        <w:outlineLvl w:val="9"/>
      </w:pPr>
      <w:r/>
      <w:bookmarkStart w:id="43" w:name="_Toc11575"/>
      <w:r/>
      <w:bookmarkStart w:id="44" w:name="_Toc17818"/>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493"/>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493"/>
        <w:ind w:firstLine="480"/>
        <w:jc w:val="right"/>
        <w:spacing w:line="480" w:lineRule="exact"/>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lang w:val="en-US" w:eastAsia="zh-CN"/>
        </w:rPr>
      </w:r>
      <w:r/>
    </w:p>
    <w:p>
      <w:pPr>
        <w:pStyle w:val="1493"/>
        <w:spacing w:line="480" w:lineRule="auto"/>
        <w:rPr>
          <w:rFonts w:hint="eastAsia"/>
          <w:highlight w:val="none"/>
        </w:rPr>
        <w:outlineLvl w:val="9"/>
      </w:pPr>
      <w:r>
        <w:rPr>
          <w:rFonts w:hint="eastAsia" w:ascii="宋体" w:hAnsi="宋体" w:cs="宋体"/>
          <w:b/>
          <w:color w:val="000000"/>
          <w:sz w:val="24"/>
          <w:szCs w:val="24"/>
          <w:highlight w:val="none"/>
        </w:rPr>
        <w:t xml:space="preserve">注：投标供应商应当根据“项目技术要求和有关说明”的内容在详细填写。</w:t>
      </w:r>
      <w:r>
        <w:rPr>
          <w:rFonts w:hint="eastAsia"/>
          <w:highlight w:val="none"/>
        </w:rPr>
      </w:r>
      <w:r/>
    </w:p>
    <w:p>
      <w:pPr>
        <w:pStyle w:val="1493"/>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w:t>
      </w:r>
      <w:bookmarkEnd w:id="43"/>
      <w:r/>
      <w:bookmarkEnd w:id="44"/>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493"/>
        <w:ind w:firstLine="560"/>
        <w:jc w:val="center"/>
        <w:spacing w:line="48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t xml:space="preserve">投标供应商情况表</w:t>
      </w:r>
      <w:r>
        <w:rPr>
          <w:rFonts w:hint="eastAsia" w:ascii="宋体" w:hAnsi="宋体" w:eastAsia="宋体" w:cs="宋体"/>
          <w:bCs/>
          <w:color w:val="000000"/>
          <w:sz w:val="28"/>
          <w:szCs w:val="28"/>
          <w:highlight w:val="none"/>
        </w:rPr>
      </w:r>
      <w:r/>
    </w:p>
    <w:p>
      <w:pPr>
        <w:pStyle w:val="1493"/>
        <w:spacing w:line="480" w:lineRule="exact"/>
        <w:rPr>
          <w:highlight w:val="none"/>
        </w:rPr>
        <w:outlineLvl w:val="9"/>
      </w:pPr>
      <w:r>
        <w:rPr>
          <w:rFonts w:hint="eastAsia" w:ascii="宋体" w:hAnsi="宋体" w:eastAsia="宋体" w:cs="Times New Roman"/>
          <w:bCs/>
          <w:sz w:val="24"/>
          <w:szCs w:val="24"/>
          <w:highlight w:val="none"/>
        </w:rPr>
        <w:t xml:space="preserve">单位名称：（公章）</w:t>
      </w:r>
      <w:r>
        <w:rPr>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法定代表人</w:t>
            </w:r>
            <w:r>
              <w:rPr>
                <w:rFonts w:hint="eastAsia" w:hAnsi="宋体" w:cs="宋体"/>
                <w:sz w:val="22"/>
                <w:szCs w:val="21"/>
                <w:highlight w:val="none"/>
              </w:rPr>
            </w:r>
            <w:r/>
          </w:p>
        </w:tc>
        <w:tc>
          <w:tcPr>
            <w:tcW w:w="1925"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c>
          <w:tcPr>
            <w:tcW w:w="1537"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成立日期</w:t>
            </w:r>
            <w:r>
              <w:rPr>
                <w:rFonts w:hint="eastAsia" w:hAnsi="宋体" w:cs="宋体"/>
                <w:sz w:val="22"/>
                <w:szCs w:val="21"/>
                <w:highlight w:val="none"/>
              </w:rPr>
            </w:r>
            <w:r/>
          </w:p>
        </w:tc>
        <w:tc>
          <w:tcPr>
            <w:tcW w:w="3216"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Height w:val="503"/>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企业地址</w:t>
            </w:r>
            <w:r>
              <w:rPr>
                <w:rFonts w:hint="eastAsia" w:hAnsi="宋体" w:cs="宋体"/>
                <w:sz w:val="22"/>
                <w:szCs w:val="21"/>
                <w:highlight w:val="none"/>
              </w:rPr>
            </w:r>
            <w:r/>
          </w:p>
        </w:tc>
        <w:tc>
          <w:tcPr>
            <w:tcW w:w="1925"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c>
          <w:tcPr>
            <w:tcW w:w="1537"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注册资本</w:t>
            </w:r>
            <w:r>
              <w:rPr>
                <w:rFonts w:hint="eastAsia" w:hAnsi="宋体" w:cs="宋体"/>
                <w:sz w:val="22"/>
                <w:szCs w:val="21"/>
                <w:highlight w:val="none"/>
              </w:rPr>
            </w:r>
            <w:r/>
          </w:p>
        </w:tc>
        <w:tc>
          <w:tcPr>
            <w:tcW w:w="3216"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      </w:t>
            </w:r>
            <w:r>
              <w:rPr>
                <w:rFonts w:hint="eastAsia" w:hAnsi="宋体" w:cs="宋体"/>
                <w:sz w:val="22"/>
                <w:szCs w:val="21"/>
                <w:highlight w:val="none"/>
                <w:lang w:val="en-US" w:eastAsia="zh-CN"/>
              </w:rPr>
              <w:t xml:space="preserve">   </w:t>
            </w:r>
            <w:r>
              <w:rPr>
                <w:rFonts w:hint="eastAsia" w:hAnsi="宋体" w:cs="宋体"/>
                <w:sz w:val="22"/>
                <w:szCs w:val="21"/>
                <w:highlight w:val="none"/>
              </w:rPr>
              <w:t xml:space="preserve">万元</w:t>
            </w:r>
            <w:r>
              <w:rPr>
                <w:rFonts w:hint="eastAsia" w:hAnsi="宋体" w:cs="宋体"/>
                <w:sz w:val="22"/>
                <w:szCs w:val="21"/>
                <w:highlight w:val="none"/>
              </w:rPr>
            </w:r>
            <w:r/>
          </w:p>
        </w:tc>
      </w:tr>
      <w:tr>
        <w:trPr>
          <w:cantSplit/>
          <w:trHeight w:val="528"/>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经营范围</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Height w:val="541"/>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开户行</w:t>
            </w:r>
            <w:r>
              <w:rPr>
                <w:rFonts w:hint="eastAsia" w:hAnsi="宋体" w:cs="宋体"/>
                <w:sz w:val="22"/>
                <w:szCs w:val="21"/>
                <w:highlight w:val="none"/>
              </w:rPr>
            </w:r>
            <w:r/>
          </w:p>
        </w:tc>
        <w:tc>
          <w:tcPr>
            <w:tcW w:w="1925"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c>
          <w:tcPr>
            <w:tcW w:w="1537"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银行账号</w:t>
            </w:r>
            <w:r>
              <w:rPr>
                <w:rFonts w:hint="eastAsia" w:hAnsi="宋体" w:cs="宋体"/>
                <w:sz w:val="22"/>
                <w:szCs w:val="21"/>
                <w:highlight w:val="none"/>
              </w:rPr>
            </w:r>
            <w:r/>
          </w:p>
        </w:tc>
        <w:tc>
          <w:tcPr>
            <w:tcW w:w="3216"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Height w:val="541"/>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资产总计</w:t>
            </w:r>
            <w:r>
              <w:rPr>
                <w:rFonts w:hint="eastAsia" w:hAnsi="宋体" w:cs="宋体"/>
                <w:sz w:val="22"/>
                <w:szCs w:val="21"/>
                <w:highlight w:val="none"/>
              </w:rPr>
            </w:r>
            <w:r/>
          </w:p>
        </w:tc>
        <w:tc>
          <w:tcPr>
            <w:tcW w:w="1925"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      万元</w:t>
            </w:r>
            <w:r>
              <w:rPr>
                <w:rFonts w:hint="eastAsia" w:hAnsi="宋体" w:cs="宋体"/>
                <w:sz w:val="22"/>
                <w:szCs w:val="21"/>
                <w:highlight w:val="none"/>
              </w:rPr>
            </w:r>
            <w:r/>
          </w:p>
        </w:tc>
        <w:tc>
          <w:tcPr>
            <w:tcW w:w="1537"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净资产</w:t>
            </w:r>
            <w:r>
              <w:rPr>
                <w:rFonts w:hint="eastAsia" w:hAnsi="宋体" w:cs="宋体"/>
                <w:sz w:val="22"/>
                <w:szCs w:val="21"/>
                <w:highlight w:val="none"/>
              </w:rPr>
            </w:r>
            <w:r/>
          </w:p>
        </w:tc>
        <w:tc>
          <w:tcPr>
            <w:tcW w:w="3216"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万元</w:t>
            </w:r>
            <w:r>
              <w:rPr>
                <w:rFonts w:hint="eastAsia" w:hAnsi="宋体" w:cs="宋体"/>
                <w:sz w:val="22"/>
                <w:szCs w:val="21"/>
                <w:highlight w:val="none"/>
              </w:rPr>
            </w:r>
            <w:r/>
          </w:p>
        </w:tc>
      </w:tr>
      <w:tr>
        <w:trPr>
          <w:cantSplit/>
          <w:trHeight w:val="515"/>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股东权益</w:t>
            </w:r>
            <w:r>
              <w:rPr>
                <w:rFonts w:hint="eastAsia" w:hAnsi="宋体" w:cs="宋体"/>
                <w:sz w:val="22"/>
                <w:szCs w:val="21"/>
                <w:highlight w:val="none"/>
              </w:rPr>
            </w:r>
            <w:r/>
          </w:p>
        </w:tc>
        <w:tc>
          <w:tcPr>
            <w:tcW w:w="1925"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     万元</w:t>
            </w:r>
            <w:r>
              <w:rPr>
                <w:rFonts w:hint="eastAsia" w:hAnsi="宋体" w:cs="宋体"/>
                <w:sz w:val="22"/>
                <w:szCs w:val="21"/>
                <w:highlight w:val="none"/>
              </w:rPr>
            </w:r>
            <w:r/>
          </w:p>
        </w:tc>
        <w:tc>
          <w:tcPr>
            <w:tcW w:w="1537"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主营收入</w:t>
            </w:r>
            <w:r>
              <w:rPr>
                <w:rFonts w:hint="eastAsia" w:hAnsi="宋体" w:cs="宋体"/>
                <w:sz w:val="22"/>
                <w:szCs w:val="21"/>
                <w:highlight w:val="none"/>
              </w:rPr>
            </w:r>
            <w:r/>
          </w:p>
        </w:tc>
        <w:tc>
          <w:tcPr>
            <w:tcW w:w="3216"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202</w:t>
            </w:r>
            <w:r>
              <w:rPr>
                <w:rFonts w:hint="eastAsia" w:hAnsi="宋体" w:cs="宋体"/>
                <w:sz w:val="22"/>
                <w:szCs w:val="21"/>
                <w:highlight w:val="none"/>
                <w:lang w:val="en-US" w:eastAsia="zh-CN"/>
              </w:rPr>
              <w:t xml:space="preserve">3</w:t>
            </w:r>
            <w:r>
              <w:rPr>
                <w:rFonts w:hint="eastAsia" w:hAnsi="宋体" w:cs="宋体"/>
                <w:sz w:val="22"/>
                <w:szCs w:val="21"/>
                <w:highlight w:val="none"/>
              </w:rPr>
              <w:t xml:space="preserve">年     万元</w:t>
            </w:r>
            <w:r>
              <w:rPr>
                <w:rFonts w:hint="eastAsia" w:hAnsi="宋体" w:cs="宋体"/>
                <w:sz w:val="22"/>
                <w:szCs w:val="21"/>
                <w:highlight w:val="none"/>
              </w:rPr>
            </w:r>
            <w:r/>
          </w:p>
        </w:tc>
      </w:tr>
      <w:tr>
        <w:trPr>
          <w:cantSplit/>
          <w:trHeight w:val="564"/>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实现利润</w:t>
            </w:r>
            <w:r>
              <w:rPr>
                <w:rFonts w:hint="eastAsia" w:hAnsi="宋体" w:cs="宋体"/>
                <w:sz w:val="22"/>
                <w:szCs w:val="21"/>
                <w:highlight w:val="none"/>
              </w:rPr>
            </w:r>
            <w:r/>
          </w:p>
        </w:tc>
        <w:tc>
          <w:tcPr>
            <w:tcW w:w="1925"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202</w:t>
            </w:r>
            <w:r>
              <w:rPr>
                <w:rFonts w:hint="eastAsia" w:hAnsi="宋体" w:cs="宋体"/>
                <w:sz w:val="22"/>
                <w:szCs w:val="21"/>
                <w:highlight w:val="none"/>
                <w:lang w:val="en-US" w:eastAsia="zh-CN"/>
              </w:rPr>
              <w:t xml:space="preserve">3</w:t>
            </w:r>
            <w:r>
              <w:rPr>
                <w:rFonts w:hint="eastAsia" w:hAnsi="宋体" w:cs="宋体"/>
                <w:sz w:val="22"/>
                <w:szCs w:val="21"/>
                <w:highlight w:val="none"/>
              </w:rPr>
              <w:t xml:space="preserve">年 </w:t>
            </w:r>
            <w:r>
              <w:rPr>
                <w:rFonts w:hint="eastAsia" w:hAnsi="宋体" w:cs="宋体"/>
                <w:sz w:val="22"/>
                <w:szCs w:val="21"/>
                <w:highlight w:val="none"/>
                <w:lang w:val="en-US" w:eastAsia="zh-CN"/>
              </w:rPr>
              <w:t xml:space="preserve">    </w:t>
            </w:r>
            <w:r>
              <w:rPr>
                <w:rFonts w:hint="eastAsia" w:hAnsi="宋体" w:cs="宋体"/>
                <w:sz w:val="22"/>
                <w:szCs w:val="21"/>
                <w:highlight w:val="none"/>
              </w:rPr>
              <w:t xml:space="preserve">万元</w:t>
            </w:r>
            <w:r>
              <w:rPr>
                <w:rFonts w:hint="eastAsia" w:hAnsi="宋体" w:cs="宋体"/>
                <w:sz w:val="22"/>
                <w:szCs w:val="21"/>
                <w:highlight w:val="none"/>
              </w:rPr>
            </w:r>
            <w:r/>
          </w:p>
        </w:tc>
        <w:tc>
          <w:tcPr>
            <w:tcW w:w="1537"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c>
          <w:tcPr>
            <w:tcW w:w="3216"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营业面积</w:t>
            </w:r>
            <w:r>
              <w:rPr>
                <w:rFonts w:hint="eastAsia" w:hAnsi="宋体" w:cs="宋体"/>
                <w:sz w:val="22"/>
                <w:szCs w:val="21"/>
                <w:highlight w:val="none"/>
              </w:rPr>
            </w:r>
            <w:r/>
          </w:p>
        </w:tc>
        <w:tc>
          <w:tcPr>
            <w:tcW w:w="1925"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         平方米</w:t>
            </w:r>
            <w:r>
              <w:rPr>
                <w:rFonts w:hint="eastAsia" w:hAnsi="宋体" w:cs="宋体"/>
                <w:sz w:val="22"/>
                <w:szCs w:val="21"/>
                <w:highlight w:val="none"/>
              </w:rPr>
            </w:r>
            <w:r/>
          </w:p>
        </w:tc>
        <w:tc>
          <w:tcPr>
            <w:tcW w:w="1537"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其中：</w:t>
            </w:r>
            <w:r>
              <w:rPr>
                <w:rFonts w:hint="eastAsia" w:hAnsi="宋体" w:cs="宋体"/>
                <w:sz w:val="22"/>
                <w:szCs w:val="21"/>
                <w:highlight w:val="none"/>
              </w:rPr>
            </w:r>
            <w:r/>
          </w:p>
        </w:tc>
        <w:tc>
          <w:tcPr>
            <w:tcW w:w="3216"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自有面积</w:t>
            </w:r>
            <w:r>
              <w:rPr>
                <w:rFonts w:hint="eastAsia" w:hAnsi="宋体" w:cs="宋体"/>
                <w:sz w:val="22"/>
                <w:szCs w:val="21"/>
                <w:highlight w:val="none"/>
                <w:lang w:val="en-US" w:eastAsia="zh-CN"/>
              </w:rPr>
              <w:t xml:space="preserve">      </w:t>
            </w:r>
            <w:r>
              <w:rPr>
                <w:rFonts w:hint="eastAsia" w:hAnsi="宋体" w:cs="宋体"/>
                <w:sz w:val="22"/>
                <w:szCs w:val="21"/>
                <w:highlight w:val="none"/>
              </w:rPr>
              <w:t xml:space="preserve">平方米</w:t>
            </w:r>
            <w:r>
              <w:rPr>
                <w:rFonts w:hint="eastAsia" w:hAnsi="宋体" w:cs="宋体"/>
                <w:sz w:val="22"/>
                <w:szCs w:val="21"/>
                <w:highlight w:val="none"/>
              </w:rPr>
            </w:r>
            <w:r/>
          </w:p>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承租面积</w:t>
            </w:r>
            <w:r>
              <w:rPr>
                <w:rFonts w:hint="eastAsia" w:hAnsi="宋体" w:cs="宋体"/>
                <w:sz w:val="22"/>
                <w:szCs w:val="21"/>
                <w:highlight w:val="none"/>
                <w:lang w:val="en-US" w:eastAsia="zh-CN"/>
              </w:rPr>
              <w:t xml:space="preserve">      </w:t>
            </w:r>
            <w:r>
              <w:rPr>
                <w:rFonts w:hint="eastAsia" w:hAnsi="宋体" w:cs="宋体"/>
                <w:sz w:val="22"/>
                <w:szCs w:val="21"/>
                <w:highlight w:val="none"/>
              </w:rPr>
              <w:t xml:space="preserve">平方米</w:t>
            </w:r>
            <w:r>
              <w:rPr>
                <w:rFonts w:hint="eastAsia" w:hAnsi="宋体" w:cs="宋体"/>
                <w:sz w:val="22"/>
                <w:szCs w:val="21"/>
                <w:highlight w:val="none"/>
              </w:rPr>
            </w:r>
            <w:r/>
          </w:p>
        </w:tc>
      </w:tr>
      <w:tr>
        <w:trPr>
          <w:cantSplit/>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单位简历及内设机构情况</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Height w:val="703"/>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单位优势及特长</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近三年来完成或正在履行的重大合同情况</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最近2年内在经营过程中受到何种奖励或处分</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（包括财政、工商、税务、物价、技监部门稽查情况和结果）</w:t>
            </w:r>
            <w:r>
              <w:rPr>
                <w:rFonts w:hint="eastAsia" w:hAnsi="宋体" w:cs="宋体"/>
                <w:sz w:val="22"/>
                <w:szCs w:val="21"/>
                <w:highlight w:val="none"/>
              </w:rPr>
            </w:r>
            <w:r/>
          </w:p>
        </w:tc>
      </w:tr>
      <w:tr>
        <w:trPr>
          <w:cantSplit/>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最近3年内有无因售假、售劣或是其他原因被消费者投诉或起诉的情况及说明</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（包括解决方式和结果）</w:t>
            </w:r>
            <w:r>
              <w:rPr>
                <w:rFonts w:hint="eastAsia" w:hAnsi="宋体" w:cs="宋体"/>
                <w:sz w:val="22"/>
                <w:szCs w:val="21"/>
                <w:highlight w:val="none"/>
              </w:rPr>
            </w:r>
            <w:r/>
          </w:p>
        </w:tc>
      </w:tr>
      <w:tr>
        <w:trPr>
          <w:cantSplit/>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参加政府采购活动前三年内，在经营活动中有无重大违法记录情况及说明</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获得技术认证的工程师及简介</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r>
        <w:trPr>
          <w:cantSplit/>
          <w:trHeight w:val="947"/>
        </w:trPr>
        <w:tc>
          <w:tcPr>
            <w:tcW w:w="2590"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t xml:space="preserve">其他需要说明的情况</w:t>
            </w:r>
            <w:r>
              <w:rPr>
                <w:rFonts w:hint="eastAsia" w:hAnsi="宋体" w:cs="宋体"/>
                <w:sz w:val="22"/>
                <w:szCs w:val="21"/>
                <w:highlight w:val="none"/>
              </w:rPr>
            </w:r>
            <w:r/>
          </w:p>
        </w:tc>
        <w:tc>
          <w:tcPr>
            <w:gridSpan w:val="3"/>
            <w:tcW w:w="6678" w:type="dxa"/>
            <w:vAlign w:val="center"/>
            <w:textDirection w:val="lrTb"/>
            <w:noWrap w:val="false"/>
          </w:tcPr>
          <w:p>
            <w:pPr>
              <w:pStyle w:val="1493"/>
              <w:jc w:val="left"/>
              <w:spacing w:line="276" w:lineRule="auto"/>
              <w:rPr>
                <w:rFonts w:hint="eastAsia" w:hAnsi="宋体" w:cs="宋体"/>
                <w:sz w:val="22"/>
                <w:szCs w:val="21"/>
                <w:highlight w:val="none"/>
              </w:rPr>
            </w:pPr>
            <w:r>
              <w:rPr>
                <w:rFonts w:hint="eastAsia" w:hAnsi="宋体" w:cs="宋体"/>
                <w:sz w:val="22"/>
                <w:szCs w:val="21"/>
                <w:highlight w:val="none"/>
              </w:rPr>
            </w:r>
            <w:r/>
          </w:p>
        </w:tc>
      </w:tr>
    </w:tbl>
    <w:p>
      <w:pPr>
        <w:pStyle w:val="1542"/>
        <w:ind w:left="0" w:firstLine="0"/>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542"/>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bookmarkStart w:id="45" w:name="_Toc28479"/>
      <w:r/>
      <w:bookmarkStart w:id="46" w:name="_Toc437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5"/>
      <w:r/>
      <w:bookmarkEnd w:id="46"/>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3"/>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560"/>
        <w:jc w:val="center"/>
        <w:spacing w:line="480" w:lineRule="exact"/>
        <w:rPr>
          <w:rFonts w:hint="eastAsia" w:ascii="宋体" w:hAnsi="宋体" w:eastAsia="宋体" w:cs="宋体"/>
          <w:bCs/>
          <w:color w:val="000000"/>
          <w:sz w:val="28"/>
          <w:szCs w:val="28"/>
          <w:highlight w:val="none"/>
        </w:rPr>
        <w:outlineLvl w:val="9"/>
      </w:pPr>
      <w:r/>
      <w:bookmarkStart w:id="47" w:name="_Toc27971"/>
      <w:r/>
      <w:bookmarkStart w:id="48" w:name="_Toc25155"/>
      <w:r>
        <w:rPr>
          <w:rFonts w:hint="eastAsia" w:ascii="宋体" w:hAnsi="宋体" w:eastAsia="宋体" w:cs="宋体"/>
          <w:bCs/>
          <w:color w:val="000000"/>
          <w:sz w:val="28"/>
          <w:szCs w:val="28"/>
          <w:highlight w:val="none"/>
        </w:rPr>
        <w:t xml:space="preserve">投标偏离表</w:t>
      </w:r>
      <w:bookmarkEnd w:id="47"/>
      <w:r/>
      <w:bookmarkEnd w:id="48"/>
      <w:r>
        <w:rPr>
          <w:rFonts w:hint="eastAsia" w:ascii="宋体" w:hAnsi="宋体" w:eastAsia="宋体" w:cs="宋体"/>
          <w:bCs/>
          <w:color w:val="000000"/>
          <w:sz w:val="28"/>
          <w:szCs w:val="28"/>
          <w:highlight w:val="none"/>
        </w:rPr>
      </w:r>
      <w:r/>
    </w:p>
    <w:p>
      <w:pPr>
        <w:pStyle w:val="1493"/>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spacing w:line="400" w:lineRule="exact"/>
        <w:rPr>
          <w:rFonts w:hint="eastAsia" w:ascii="黑体" w:hAnsi="Times New Roman" w:eastAsia="黑体" w:cs="Times New Roman"/>
          <w:bCs/>
          <w:color w:val="000000"/>
          <w:sz w:val="24"/>
          <w:szCs w:val="24"/>
          <w:highlight w:val="none"/>
        </w:rPr>
        <w:outlineLvl w:val="9"/>
      </w:pPr>
      <w:r>
        <w:rPr>
          <w:rFonts w:hint="eastAsia" w:ascii="黑体" w:eastAsia="黑体"/>
          <w:bCs/>
          <w:color w:val="000000"/>
          <w:sz w:val="24"/>
          <w:szCs w:val="24"/>
          <w:highlight w:val="none"/>
        </w:rPr>
        <w:t xml:space="preserve">投标人名称（</w:t>
      </w:r>
      <w:r>
        <w:rPr>
          <w:rFonts w:hint="eastAsia" w:ascii="黑体" w:hAnsi="Times New Roman" w:eastAsia="黑体" w:cs="Times New Roman"/>
          <w:bCs/>
          <w:color w:val="000000"/>
          <w:sz w:val="24"/>
          <w:szCs w:val="24"/>
          <w:highlight w:val="none"/>
        </w:rPr>
        <w:t xml:space="preserve">盖章）</w:t>
      </w:r>
      <w:r>
        <w:rPr>
          <w:rFonts w:hint="eastAsia" w:ascii="黑体" w:hAnsi="Times New Roman" w:eastAsia="黑体" w:cs="Times New Roman"/>
          <w:bCs/>
          <w:color w:val="000000"/>
          <w:sz w:val="24"/>
          <w:szCs w:val="24"/>
          <w:highlight w:val="none"/>
          <w:lang w:val="en-US" w:eastAsia="zh-CN"/>
        </w:rPr>
        <w:t xml:space="preserve">                           </w:t>
      </w:r>
      <w:r>
        <w:rPr>
          <w:rFonts w:hint="eastAsia" w:ascii="黑体" w:hAnsi="Times New Roman" w:eastAsia="黑体" w:cs="Times New Roman"/>
          <w:bCs/>
          <w:color w:val="000000"/>
          <w:sz w:val="24"/>
          <w:szCs w:val="24"/>
          <w:highlight w:val="none"/>
        </w:rPr>
        <w:t xml:space="preserve">政府采购编号：</w:t>
      </w:r>
      <w:r>
        <w:rPr>
          <w:rFonts w:hint="eastAsia" w:ascii="黑体" w:hAnsi="Times New Roman" w:eastAsia="黑体" w:cs="Times New Roman"/>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3"/>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3120"/>
        <w:rPr>
          <w:rFonts w:hint="eastAsia" w:ascii="宋体" w:hAnsi="宋体" w:cs="宋体"/>
          <w:b/>
          <w:bCs/>
          <w:color w:val="000000"/>
          <w:sz w:val="24"/>
          <w:szCs w:val="24"/>
          <w:highlight w:val="none"/>
        </w:rPr>
        <w:outlineLvl w:val="9"/>
      </w:pPr>
      <w:r/>
      <w:bookmarkStart w:id="49" w:name="_Toc31759"/>
      <w:r/>
      <w:bookmarkStart w:id="50" w:name="_Toc24453"/>
      <w:r>
        <w:rPr>
          <w:rFonts w:hint="eastAsia" w:ascii="宋体" w:hAnsi="宋体" w:cs="宋体"/>
          <w:b/>
          <w:bCs/>
          <w:color w:val="000000"/>
          <w:sz w:val="24"/>
          <w:szCs w:val="24"/>
          <w:highlight w:val="none"/>
        </w:rPr>
        <w:t xml:space="preserve">法定代表人或法定代表人授权代表签字或盖章：</w:t>
      </w:r>
      <w:bookmarkEnd w:id="49"/>
      <w:r/>
      <w:bookmarkEnd w:id="50"/>
      <w:r>
        <w:rPr>
          <w:rFonts w:hint="eastAsia" w:ascii="宋体" w:hAnsi="宋体" w:cs="宋体"/>
          <w:b/>
          <w:bCs/>
          <w:color w:val="000000"/>
          <w:sz w:val="24"/>
          <w:szCs w:val="24"/>
          <w:highlight w:val="none"/>
        </w:rPr>
      </w:r>
      <w:r/>
    </w:p>
    <w:p>
      <w:pPr>
        <w:pStyle w:val="1513"/>
        <w:ind w:left="7200" w:hanging="7200"/>
        <w:rPr>
          <w:rFonts w:eastAsia="宋体"/>
          <w:color w:val="000000"/>
          <w:highlight w:val="none"/>
        </w:rPr>
        <w:outlineLvl w:val="9"/>
      </w:pPr>
      <w:r>
        <w:rPr>
          <w:rFonts w:hint="eastAsia" w:ascii="宋体" w:hAnsi="宋体" w:eastAsia="宋体" w:cs="宋体"/>
          <w:b/>
          <w:color w:val="000000"/>
          <w:sz w:val="24"/>
          <w:szCs w:val="24"/>
          <w:highlight w:val="none"/>
        </w:rPr>
        <w:t xml:space="preserve">                                                                  日  期：</w:t>
      </w:r>
      <w:r>
        <w:rPr>
          <w:rFonts w:eastAsia="宋体"/>
          <w:color w:val="000000"/>
          <w:highlight w:val="none"/>
        </w:rPr>
      </w:r>
      <w:r/>
    </w:p>
    <w:p>
      <w:pPr>
        <w:pStyle w:val="1493"/>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rPr>
          <w:rFonts w:hint="eastAsia" w:ascii="宋体" w:hAnsi="宋体" w:cs="宋体"/>
          <w:bCs/>
          <w:color w:val="000000"/>
          <w:sz w:val="24"/>
          <w:szCs w:val="24"/>
          <w:highlight w:val="none"/>
        </w:rPr>
        <w:outlineLvl w:val="9"/>
      </w:pPr>
      <w:r/>
      <w:bookmarkStart w:id="51" w:name="_Toc2067"/>
      <w:r/>
      <w:bookmarkStart w:id="52" w:name="_Toc8176"/>
      <w:r>
        <w:rPr>
          <w:rFonts w:hint="eastAsia" w:ascii="宋体" w:hAnsi="宋体" w:cs="宋体"/>
          <w:bCs/>
          <w:color w:val="000000"/>
          <w:sz w:val="24"/>
          <w:szCs w:val="24"/>
          <w:highlight w:val="none"/>
        </w:rPr>
        <w:t xml:space="preserve">注：（1）本表不得删除，可自行延长；</w:t>
      </w:r>
      <w:bookmarkEnd w:id="51"/>
      <w:r/>
      <w:bookmarkEnd w:id="52"/>
      <w:r>
        <w:rPr>
          <w:rFonts w:hint="eastAsia" w:ascii="宋体" w:hAnsi="宋体" w:cs="宋体"/>
          <w:bCs/>
          <w:color w:val="000000"/>
          <w:sz w:val="24"/>
          <w:szCs w:val="24"/>
          <w:highlight w:val="none"/>
        </w:rPr>
      </w:r>
      <w:r/>
    </w:p>
    <w:p>
      <w:pPr>
        <w:pStyle w:val="1493"/>
        <w:ind w:left="-214" w:firstLine="720"/>
        <w:rPr>
          <w:rFonts w:hint="eastAsia" w:ascii="宋体" w:hAnsi="宋体" w:cs="宋体"/>
          <w:bCs/>
          <w:color w:val="000000"/>
          <w:sz w:val="24"/>
          <w:szCs w:val="24"/>
          <w:highlight w:val="none"/>
        </w:rPr>
        <w:outlineLvl w:val="9"/>
      </w:pPr>
      <w:r/>
      <w:bookmarkStart w:id="53" w:name="_Toc22220"/>
      <w:r/>
      <w:bookmarkStart w:id="54" w:name="_Toc511"/>
      <w:r>
        <w:rPr>
          <w:rFonts w:hint="eastAsia" w:ascii="宋体" w:hAnsi="宋体" w:cs="宋体"/>
          <w:bCs/>
          <w:color w:val="000000"/>
          <w:sz w:val="24"/>
          <w:szCs w:val="24"/>
          <w:highlight w:val="none"/>
        </w:rPr>
        <w:t xml:space="preserve">（2）如无任何服务偏离，请于本表“偏离说明”中注明“无偏离”；</w:t>
      </w:r>
      <w:bookmarkEnd w:id="53"/>
      <w:r/>
      <w:bookmarkEnd w:id="54"/>
      <w:r>
        <w:rPr>
          <w:rFonts w:hint="eastAsia" w:ascii="宋体" w:hAnsi="宋体" w:cs="宋体"/>
          <w:bCs/>
          <w:color w:val="000000"/>
          <w:sz w:val="24"/>
          <w:szCs w:val="24"/>
          <w:highlight w:val="none"/>
        </w:rPr>
      </w:r>
      <w:r/>
    </w:p>
    <w:p>
      <w:pPr>
        <w:pStyle w:val="1493"/>
        <w:ind w:firstLine="480"/>
        <w:rPr>
          <w:rFonts w:hint="eastAsia" w:ascii="宋体" w:hAnsi="宋体" w:cs="宋体"/>
          <w:bCs/>
          <w:color w:val="000000"/>
          <w:sz w:val="24"/>
          <w:szCs w:val="24"/>
          <w:highlight w:val="none"/>
        </w:rPr>
        <w:outlineLvl w:val="9"/>
      </w:pPr>
      <w:r/>
      <w:bookmarkStart w:id="55" w:name="_Toc9412"/>
      <w:r/>
      <w:bookmarkStart w:id="56" w:name="_Toc10188"/>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5"/>
      <w:r/>
      <w:bookmarkEnd w:id="56"/>
      <w:r>
        <w:rPr>
          <w:rFonts w:hint="eastAsia" w:ascii="宋体" w:hAnsi="宋体" w:cs="宋体"/>
          <w:bCs/>
          <w:color w:val="000000"/>
          <w:sz w:val="24"/>
          <w:szCs w:val="24"/>
          <w:highlight w:val="none"/>
        </w:rPr>
      </w:r>
      <w:r/>
    </w:p>
    <w:p>
      <w:pPr>
        <w:pStyle w:val="157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1"/>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1"/>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）投标供应商近年已完成类似业绩一览表（格式）</w:t>
      </w:r>
      <w:r>
        <w:rPr>
          <w:rFonts w:hint="eastAsia" w:ascii="宋体" w:hAnsi="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560"/>
        <w:jc w:val="center"/>
        <w:spacing w:line="48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t xml:space="preserve">类似业绩一览表</w:t>
      </w:r>
      <w:r>
        <w:rPr>
          <w:rFonts w:hint="eastAsia" w:ascii="宋体" w:hAnsi="宋体" w:eastAsia="宋体" w:cs="宋体"/>
          <w:bCs/>
          <w:color w:val="000000"/>
          <w:sz w:val="28"/>
          <w:szCs w:val="28"/>
          <w:highlight w:val="none"/>
        </w:rPr>
      </w:r>
      <w:r/>
    </w:p>
    <w:p>
      <w:pPr>
        <w:pStyle w:val="1493"/>
        <w:jc w:val="center"/>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93"/>
        <w:spacing w:line="400" w:lineRule="exact"/>
        <w:rPr>
          <w:rFonts w:hint="eastAsia" w:ascii="黑体" w:hAnsi="Times New Roman" w:eastAsia="黑体" w:cs="Times New Roman"/>
          <w:bCs/>
          <w:color w:val="000000"/>
          <w:sz w:val="24"/>
          <w:szCs w:val="24"/>
          <w:highlight w:val="none"/>
        </w:rPr>
        <w:outlineLvl w:val="9"/>
      </w:pPr>
      <w:r>
        <w:rPr>
          <w:rFonts w:hint="eastAsia" w:ascii="黑体" w:hAnsi="Times New Roman" w:eastAsia="黑体" w:cs="Times New Roman"/>
          <w:bCs/>
          <w:color w:val="000000"/>
          <w:sz w:val="24"/>
          <w:szCs w:val="24"/>
          <w:highlight w:val="none"/>
        </w:rPr>
        <w:t xml:space="preserve">投标人（盖章）：                          政府采购编号：</w:t>
      </w:r>
      <w:r>
        <w:rPr>
          <w:rFonts w:hint="eastAsia" w:ascii="黑体" w:hAnsi="Times New Roman" w:eastAsia="黑体" w:cs="Times New Roman"/>
          <w:bCs/>
          <w:color w:val="000000"/>
          <w:sz w:val="24"/>
          <w:szCs w:val="24"/>
          <w:highlight w:val="none"/>
        </w:rPr>
      </w:r>
      <w:r/>
    </w:p>
    <w:tbl>
      <w:tblPr>
        <w:tblW w:w="90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pStyle w:val="14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合同金额（万元）</w:t>
            </w: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合同签订日期</w:t>
            </w: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服务期限</w:t>
            </w: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298"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493"/>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lang w:eastAsia="zh-CN"/>
              </w:rPr>
            </w:r>
            <w:r/>
          </w:p>
        </w:tc>
        <w:tc>
          <w:tcPr>
            <w:tcW w:w="1298" w:type="dxa"/>
            <w:vAlign w:val="top"/>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c>
          <w:tcPr>
            <w:tcW w:w="1082" w:type="dxa"/>
            <w:vAlign w:val="top"/>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c>
          <w:tcPr>
            <w:tcW w:w="1964" w:type="dxa"/>
            <w:vAlign w:val="top"/>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c>
          <w:tcPr>
            <w:tcW w:w="1515" w:type="dxa"/>
            <w:vAlign w:val="top"/>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c>
          <w:tcPr>
            <w:tcW w:w="1867" w:type="dxa"/>
            <w:vAlign w:val="top"/>
            <w:textDirection w:val="lrTb"/>
            <w:noWrap w:val="false"/>
          </w:tcPr>
          <w:p>
            <w:pPr>
              <w:pStyle w:val="1493"/>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r>
    </w:tbl>
    <w:p>
      <w:pPr>
        <w:pStyle w:val="1493"/>
        <w:ind w:left="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493"/>
        <w:ind w:firstLine="3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法定代表人或法定代表人授权代表签字或盖章：</w:t>
      </w:r>
      <w:r>
        <w:rPr>
          <w:rFonts w:hint="eastAsia" w:ascii="宋体" w:hAnsi="宋体" w:cs="宋体"/>
          <w:b/>
          <w:bCs/>
          <w:color w:val="000000"/>
          <w:sz w:val="24"/>
          <w:szCs w:val="24"/>
          <w:highlight w:val="none"/>
        </w:rPr>
      </w:r>
      <w:r/>
    </w:p>
    <w:p>
      <w:pPr>
        <w:pStyle w:val="1493"/>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备注：1.表格不够可自行延长。</w:t>
      </w:r>
      <w:r>
        <w:rPr>
          <w:rFonts w:hint="eastAsia" w:ascii="宋体" w:hAnsi="宋体" w:cs="宋体"/>
          <w:bCs/>
          <w:color w:val="000000"/>
          <w:sz w:val="24"/>
          <w:szCs w:val="24"/>
          <w:highlight w:val="none"/>
        </w:rPr>
      </w:r>
      <w:r/>
    </w:p>
    <w:p>
      <w:pPr>
        <w:pStyle w:val="1493"/>
        <w:ind w:left="120"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2.相关材料请附本表之后。</w:t>
      </w:r>
      <w:r>
        <w:rPr>
          <w:rFonts w:hint="eastAsia" w:ascii="宋体" w:hAnsi="宋体" w:cs="宋体"/>
          <w:bCs/>
          <w:color w:val="000000"/>
          <w:sz w:val="24"/>
          <w:szCs w:val="24"/>
          <w:highlight w:val="none"/>
        </w:rPr>
      </w:r>
      <w:r/>
    </w:p>
    <w:p>
      <w:pPr>
        <w:pStyle w:val="1493"/>
        <w:ind w:left="120"/>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必须提供，</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3"/>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3"/>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中小企业声明函（货物）</w:t>
      </w:r>
      <w:r>
        <w:rPr>
          <w:rFonts w:hint="eastAsia" w:ascii="宋体" w:hAnsi="宋体" w:cs="宋体"/>
          <w:bCs/>
          <w:color w:val="000000"/>
          <w:sz w:val="24"/>
          <w:szCs w:val="24"/>
          <w:highlight w:val="none"/>
        </w:rPr>
      </w:r>
      <w:r/>
    </w:p>
    <w:p>
      <w:pPr>
        <w:pStyle w:val="1493"/>
        <w:ind w:firstLine="480"/>
        <w:keepLines w:val="0"/>
        <w:keepNext w:val="0"/>
        <w:pageBreakBefore w:val="0"/>
        <w:spacing w:line="580" w:lineRule="exact"/>
        <w:widowControl w:val="off"/>
        <w:rPr>
          <w:rFonts w:hint="eastAsia" w:ascii="宋体" w:hAnsi="宋体" w:cs="宋体"/>
          <w:bCs/>
          <w:color w:val="000000"/>
          <w:sz w:val="24"/>
          <w:szCs w:val="24"/>
          <w:highlight w:val="none"/>
        </w:rPr>
        <w:outlineLvl w:val="9"/>
      </w:pPr>
      <w:r>
        <w:rPr>
          <w:rFonts w:hint="eastAsia" w:ascii="宋体" w:hAnsi="宋体" w:eastAsia="宋体" w:cs="宋体"/>
          <w:i w:val="0"/>
          <w:iCs w:val="0"/>
          <w:sz w:val="24"/>
          <w:highlight w:val="none"/>
          <w:lang w:bidi="ar"/>
        </w:rPr>
        <w:t xml:space="preserve">本公司（联合体）郑重声明，根据《政府采购促进中小企业发展管理办法》（财库﹝2020﹞46 号）的规定，本公司</w:t>
      </w:r>
      <w:r>
        <w:rPr>
          <w:rFonts w:hint="eastAsia" w:ascii="宋体" w:hAnsi="宋体" w:eastAsia="宋体" w:cs="宋体"/>
          <w:i w:val="0"/>
          <w:iCs w:val="0"/>
          <w:sz w:val="24"/>
          <w:highlight w:val="none"/>
          <w:u w:val="single"/>
          <w:lang w:bidi="ar"/>
        </w:rPr>
        <w:t xml:space="preserve">         </w:t>
      </w:r>
      <w:r>
        <w:rPr>
          <w:rFonts w:hint="eastAsia" w:ascii="宋体" w:hAnsi="宋体" w:eastAsia="宋体" w:cs="宋体"/>
          <w:i w:val="0"/>
          <w:iCs w:val="0"/>
          <w:sz w:val="24"/>
          <w:highlight w:val="none"/>
          <w:lang w:bidi="ar"/>
        </w:rPr>
        <w:t xml:space="preserve">参加</w:t>
      </w:r>
      <w:r>
        <w:rPr>
          <w:rFonts w:hint="eastAsia" w:ascii="宋体" w:hAnsi="宋体" w:eastAsia="宋体" w:cs="宋体"/>
          <w:i w:val="0"/>
          <w:iCs w:val="0"/>
          <w:sz w:val="24"/>
          <w:highlight w:val="none"/>
          <w:u w:val="single"/>
          <w:lang w:bidi="ar"/>
        </w:rPr>
        <w:t xml:space="preserve">（单位名称）</w:t>
      </w:r>
      <w:r>
        <w:rPr>
          <w:rFonts w:hint="eastAsia" w:ascii="宋体" w:hAnsi="宋体" w:eastAsia="宋体" w:cs="宋体"/>
          <w:i w:val="0"/>
          <w:iCs w:val="0"/>
          <w:sz w:val="24"/>
          <w:highlight w:val="none"/>
          <w:lang w:bidi="ar"/>
        </w:rPr>
        <w:t xml:space="preserve">的</w:t>
      </w:r>
      <w:r>
        <w:rPr>
          <w:rFonts w:hint="eastAsia" w:ascii="宋体" w:hAnsi="宋体" w:eastAsia="宋体" w:cs="宋体"/>
          <w:i w:val="0"/>
          <w:iCs w:val="0"/>
          <w:sz w:val="24"/>
          <w:highlight w:val="none"/>
          <w:u w:val="single"/>
          <w:lang w:bidi="ar"/>
        </w:rPr>
        <w:t xml:space="preserve">（项目名称）</w:t>
      </w:r>
      <w:r>
        <w:rPr>
          <w:rFonts w:hint="eastAsia" w:ascii="宋体" w:hAnsi="宋体" w:eastAsia="宋体" w:cs="宋体"/>
          <w:i w:val="0"/>
          <w:iCs w:val="0"/>
          <w:sz w:val="24"/>
          <w:highlight w:val="none"/>
          <w:lang w:bidi="ar"/>
        </w:rPr>
        <w:t xml:space="preserve">采购活动，</w:t>
      </w:r>
      <w:r>
        <w:rPr>
          <w:rFonts w:hint="eastAsia" w:ascii="宋体" w:hAnsi="宋体" w:eastAsia="宋体" w:cs="宋体"/>
          <w:i w:val="0"/>
          <w:iCs w:val="0"/>
          <w:sz w:val="24"/>
          <w:highlight w:val="none"/>
        </w:rPr>
        <w:t xml:space="preserve">提供的货物全部由符合政策要求的中小企业制造。企业的具体情况如下</w:t>
      </w:r>
      <w:r>
        <w:rPr>
          <w:rFonts w:hint="eastAsia" w:ascii="宋体" w:hAnsi="宋体" w:eastAsia="宋体" w:cs="宋体"/>
          <w:i w:val="0"/>
          <w:iCs w:val="0"/>
          <w:sz w:val="24"/>
          <w:highlight w:val="none"/>
          <w:lang w:bidi="ar"/>
        </w:rPr>
        <w:t xml:space="preserve">：</w:t>
      </w:r>
      <w:r>
        <w:rPr>
          <w:rFonts w:hint="eastAsia" w:ascii="宋体" w:hAnsi="宋体" w:cs="宋体"/>
          <w:bCs/>
          <w:color w:val="000000"/>
          <w:sz w:val="24"/>
          <w:szCs w:val="24"/>
          <w:highlight w:val="none"/>
        </w:rPr>
      </w:r>
      <w:r/>
    </w:p>
    <w:p>
      <w:pPr>
        <w:pStyle w:val="1493"/>
        <w:ind w:firstLine="480"/>
        <w:keepLines w:val="0"/>
        <w:keepNext w:val="0"/>
        <w:pageBreakBefore w:val="0"/>
        <w:spacing w:line="580" w:lineRule="exact"/>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（标的名称）</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；制造商为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3"/>
        <w:ind w:firstLine="480"/>
        <w:keepLines w:val="0"/>
        <w:keepNext w:val="0"/>
        <w:pageBreakBefore w:val="0"/>
        <w:spacing w:line="580" w:lineRule="exact"/>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（标的名称）</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；制造商为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3"/>
        <w:ind w:firstLine="480"/>
        <w:keepLines w:val="0"/>
        <w:keepNext w:val="0"/>
        <w:pageBreakBefore w:val="0"/>
        <w:spacing w:line="580" w:lineRule="exact"/>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3"/>
        <w:ind w:firstLine="480"/>
        <w:keepLines w:val="0"/>
        <w:keepNext w:val="0"/>
        <w:pageBreakBefore w:val="0"/>
        <w:spacing w:line="580" w:lineRule="exact"/>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cs="宋体"/>
          <w:bCs/>
          <w:color w:val="000000"/>
          <w:sz w:val="24"/>
          <w:szCs w:val="24"/>
          <w:highlight w:val="none"/>
        </w:rPr>
      </w:r>
      <w:r/>
    </w:p>
    <w:p>
      <w:pPr>
        <w:pStyle w:val="1493"/>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3"/>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期：</w:t>
      </w:r>
      <w:r>
        <w:rPr>
          <w:rFonts w:hint="eastAsia" w:ascii="宋体" w:hAnsi="宋体" w:cs="宋体"/>
          <w:bCs/>
          <w:color w:val="000000"/>
          <w:sz w:val="24"/>
          <w:szCs w:val="24"/>
          <w:highlight w:val="none"/>
        </w:rPr>
      </w:r>
      <w:r/>
    </w:p>
    <w:p>
      <w:pPr>
        <w:pStyle w:val="152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493"/>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w:t>
      </w:r>
      <w:r>
        <w:rPr>
          <w:rFonts w:hint="eastAsia" w:ascii="宋体" w:hAnsi="宋体" w:cs="宋体"/>
          <w:color w:val="000000"/>
          <w:sz w:val="24"/>
          <w:highlight w:val="none"/>
        </w:rPr>
      </w:r>
      <w:r/>
    </w:p>
    <w:p>
      <w:pPr>
        <w:pStyle w:val="1493"/>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供应商根据《工业和信息化部、国家统计局、国家发展和改革委员会、财政部关于印发中小企业划型标准规定的通知》（工信部联企业[2011]300号）规定的划分标准填写中小企业声明函。</w:t>
      </w:r>
      <w:r>
        <w:rPr>
          <w:rFonts w:hint="eastAsia" w:ascii="宋体" w:hAnsi="宋体" w:cs="宋体"/>
          <w:color w:val="000000"/>
          <w:sz w:val="24"/>
          <w:highlight w:val="none"/>
        </w:rPr>
      </w:r>
      <w:r/>
    </w:p>
    <w:p>
      <w:pPr>
        <w:pStyle w:val="1493"/>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.供应商提供的声明函与事实不符的，依照《政府采购法》第七十七条第一款的规定追究法律责任。</w:t>
      </w:r>
      <w:r>
        <w:rPr>
          <w:rFonts w:hint="eastAsia" w:ascii="宋体" w:hAnsi="宋体" w:cs="宋体"/>
          <w:color w:val="000000"/>
          <w:sz w:val="24"/>
          <w:highlight w:val="none"/>
        </w:rPr>
      </w:r>
      <w:r/>
    </w:p>
    <w:p>
      <w:pPr>
        <w:pStyle w:val="1513"/>
        <w:rPr>
          <w:rFonts w:hint="eastAsia"/>
          <w:highlight w:val="none"/>
          <w:lang w:val="en-US" w:eastAsia="zh-CN"/>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highlight w:val="none"/>
          <w:lang w:val="en-US" w:eastAsia="zh-CN"/>
        </w:rPr>
      </w:r>
      <w:r/>
    </w:p>
    <w:p>
      <w:pPr>
        <w:pStyle w:val="1493"/>
        <w:numPr>
          <w:ilvl w:val="0"/>
          <w:numId w:val="0"/>
        </w:numPr>
        <w:rPr>
          <w:rFonts w:hint="eastAsia" w:ascii="宋体" w:hAnsi="宋体" w:eastAsia="宋体" w:cs="宋体"/>
          <w:b/>
          <w:color w:val="000000"/>
          <w:sz w:val="24"/>
          <w:szCs w:val="24"/>
          <w:highlight w:val="none"/>
          <w:lang w:eastAsia="zh-CN"/>
        </w:rPr>
        <w:outlineLvl w:val="2"/>
      </w:pPr>
      <w:r/>
      <w:bookmarkStart w:id="57" w:name="OLE_LINK14"/>
      <w:r/>
      <w:bookmarkStart w:id="58" w:name="OLE_LINK13"/>
      <w:r/>
      <w:bookmarkStart w:id="59"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493"/>
        <w:spacing w:line="588" w:lineRule="exact"/>
        <w:rPr>
          <w:rFonts w:hint="eastAsia" w:ascii="宋体" w:hAnsi="宋体" w:cs="宋体"/>
          <w:b/>
          <w:color w:val="000000"/>
          <w:spacing w:val="6"/>
          <w:sz w:val="24"/>
          <w:szCs w:val="24"/>
          <w:highlight w:val="none"/>
        </w:rPr>
        <w:outlineLvl w:val="9"/>
      </w:pPr>
      <w:r/>
      <w:bookmarkEnd w:id="57"/>
      <w:r/>
      <w:bookmarkEnd w:id="58"/>
      <w:r>
        <w:rPr>
          <w:rFonts w:hint="eastAsia" w:ascii="宋体" w:hAnsi="宋体" w:cs="宋体"/>
          <w:b/>
          <w:color w:val="000000"/>
          <w:spacing w:val="6"/>
          <w:sz w:val="24"/>
          <w:szCs w:val="24"/>
          <w:highlight w:val="none"/>
        </w:rPr>
      </w:r>
      <w:r/>
    </w:p>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493"/>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493"/>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493"/>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3"/>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3"/>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71"/>
        <w:ind w:firstLine="480"/>
        <w:rPr>
          <w:rFonts w:hint="eastAsia" w:ascii="宋体" w:hAnsi="宋体" w:cs="宋体"/>
          <w:color w:val="000000"/>
          <w:sz w:val="24"/>
          <w:szCs w:val="24"/>
          <w:highlight w:val="none"/>
        </w:rPr>
        <w:outlineLvl w:val="9"/>
      </w:pPr>
      <w:r/>
      <w:bookmarkEnd w:id="59"/>
      <w:r>
        <w:rPr>
          <w:rFonts w:hint="eastAsia" w:ascii="宋体" w:hAnsi="宋体" w:cs="宋体"/>
          <w:color w:val="000000"/>
          <w:sz w:val="24"/>
          <w:szCs w:val="24"/>
          <w:highlight w:val="none"/>
        </w:rPr>
      </w:r>
      <w:r/>
    </w:p>
    <w:p>
      <w:pPr>
        <w:pStyle w:val="157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1"/>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493"/>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57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1"/>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57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493"/>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493"/>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3"/>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tabs>
        <w:tab w:val="center" w:pos="4153" w:leader="none"/>
        <w:tab w:val="right" w:pos="8306" w:leader="none"/>
      </w:tabs>
      <w:rPr>
        <w:rStyle w:val="1547"/>
      </w:rPr>
      <w:framePr w:wrap="around" w:vAnchor="text" w:hAnchor="margin" w:xAlign="center" w:y="1"/>
    </w:pPr>
    <w:r>
      <w:fldChar w:fldCharType="begin"/>
    </w:r>
    <w:r>
      <w:rPr>
        <w:rStyle w:val="1547"/>
      </w:rPr>
      <w:instrText xml:space="preserve">PAGE  </w:instrText>
    </w:r>
    <w:r>
      <w:fldChar w:fldCharType="separate"/>
    </w:r>
    <w:r>
      <w:rPr>
        <w:rStyle w:val="1547"/>
      </w:rPr>
      <w:t xml:space="preserve">1</w:t>
    </w:r>
    <w:r>
      <w:fldChar w:fldCharType="end"/>
    </w:r>
    <w:r>
      <w:rPr>
        <w:rStyle w:val="1547"/>
      </w:rPr>
    </w:r>
    <w:r/>
  </w:p>
  <w:p>
    <w:pPr>
      <w:pStyle w:val="1527"/>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3"/>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3"/>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3"/>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3"/>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3"/>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3"/>
                          </w:pPr>
                          <w:r/>
                          <w:r/>
                        </w:p>
                        <w:p>
                          <w:pPr>
                            <w:pStyle w:val="1493"/>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3"/>
                    </w:pPr>
                    <w:r/>
                    <w:r/>
                  </w:p>
                  <w:p>
                    <w:pPr>
                      <w:pStyle w:val="1493"/>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3"/>
                          </w:pPr>
                          <w:r/>
                          <w:r/>
                        </w:p>
                        <w:p>
                          <w:pPr>
                            <w:pStyle w:val="1493"/>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3"/>
                    </w:pPr>
                    <w:r/>
                    <w:r/>
                  </w:p>
                  <w:p>
                    <w:pPr>
                      <w:pStyle w:val="14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3"/>
                          </w:pPr>
                          <w:r/>
                          <w:r/>
                        </w:p>
                        <w:p>
                          <w:pPr>
                            <w:pStyle w:val="1493"/>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3"/>
                    </w:pPr>
                    <w:r/>
                    <w:r/>
                  </w:p>
                  <w:p>
                    <w:pPr>
                      <w:pStyle w:val="14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3"/>
                          </w:pPr>
                          <w:r/>
                          <w:r/>
                        </w:p>
                        <w:p>
                          <w:pPr>
                            <w:pStyle w:val="1493"/>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3"/>
                    </w:pPr>
                    <w:r/>
                    <w:r/>
                  </w:p>
                  <w:p>
                    <w:pPr>
                      <w:pStyle w:val="1493"/>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3"/>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3"/>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3"/>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3"/>
                          </w:pPr>
                          <w:r/>
                          <w:r/>
                        </w:p>
                        <w:p>
                          <w:pPr>
                            <w:pStyle w:val="1493"/>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3"/>
                    </w:pPr>
                    <w:r/>
                    <w:r/>
                  </w:p>
                  <w:p>
                    <w:pPr>
                      <w:pStyle w:val="14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3"/>
                          </w:pPr>
                          <w:r/>
                          <w:r/>
                        </w:p>
                        <w:p>
                          <w:pPr>
                            <w:pStyle w:val="1493"/>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3"/>
                    </w:pPr>
                    <w:r/>
                    <w:r/>
                  </w:p>
                  <w:p>
                    <w:pPr>
                      <w:pStyle w:val="149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3"/>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3"/>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3"/>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3"/>
                          </w:pPr>
                          <w:r/>
                          <w:r/>
                        </w:p>
                        <w:p>
                          <w:pPr>
                            <w:pStyle w:val="1493"/>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3"/>
                    </w:pPr>
                    <w:r/>
                    <w:r/>
                  </w:p>
                  <w:p>
                    <w:pPr>
                      <w:pStyle w:val="14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3"/>
                          </w:pPr>
                          <w:r/>
                          <w:r/>
                        </w:p>
                        <w:p>
                          <w:pPr>
                            <w:pStyle w:val="1493"/>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3"/>
                    </w:pPr>
                    <w:r/>
                    <w:r/>
                  </w:p>
                  <w:p>
                    <w:pPr>
                      <w:pStyle w:val="1493"/>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3"/>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3"/>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spacing w:after="240"/>
      <w:tabs>
        <w:tab w:val="center" w:pos="4153" w:leader="none"/>
        <w:tab w:val="right" w:pos="8306" w:leader="none"/>
      </w:tabs>
      <w:rPr>
        <w:rStyle w:val="1547"/>
      </w:rPr>
      <w:framePr w:wrap="around" w:vAnchor="text" w:hAnchor="margin" w:xAlign="center" w:y="1"/>
    </w:pPr>
    <w:r>
      <w:fldChar w:fldCharType="begin"/>
    </w:r>
    <w:r>
      <w:rPr>
        <w:rStyle w:val="1547"/>
      </w:rPr>
      <w:instrText xml:space="preserve">PAGE  </w:instrText>
    </w:r>
    <w:r>
      <w:fldChar w:fldCharType="end"/>
    </w:r>
    <w:r>
      <w:rPr>
        <w:rStyle w:val="1547"/>
      </w:rPr>
    </w:r>
    <w:r/>
  </w:p>
  <w:p>
    <w:pPr>
      <w:pStyle w:val="1527"/>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49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493"/>
        <w:ind w:left="840" w:hanging="420"/>
        <w:tabs>
          <w:tab w:val="num" w:pos="840" w:leader="none"/>
        </w:tabs>
      </w:pPr>
      <w:rPr>
        <w:rFonts w:cs="Times New Roman"/>
      </w:rPr>
    </w:lvl>
    <w:lvl w:ilvl="2">
      <w:start w:val="10"/>
      <w:numFmt w:val="decimal"/>
      <w:isLgl w:val="false"/>
      <w:suff w:val="tab"/>
      <w:lvlText w:val="%3."/>
      <w:lvlJc w:val="left"/>
      <w:pPr>
        <w:pStyle w:val="1493"/>
        <w:ind w:left="1200" w:hanging="360"/>
        <w:tabs>
          <w:tab w:val="num" w:pos="1200" w:leader="none"/>
        </w:tabs>
      </w:pPr>
      <w:rPr>
        <w:rFonts w:cs="Times New Roman"/>
      </w:rPr>
    </w:lvl>
    <w:lvl w:ilvl="3">
      <w:start w:val="1"/>
      <w:numFmt w:val="decimal"/>
      <w:isLgl w:val="false"/>
      <w:suff w:val="tab"/>
      <w:lvlText w:val="%4."/>
      <w:lvlJc w:val="left"/>
      <w:pPr>
        <w:pStyle w:val="1493"/>
        <w:ind w:left="1680" w:hanging="420"/>
        <w:tabs>
          <w:tab w:val="num" w:pos="1680" w:leader="none"/>
        </w:tabs>
      </w:pPr>
      <w:rPr>
        <w:rFonts w:cs="Times New Roman"/>
      </w:rPr>
    </w:lvl>
    <w:lvl w:ilvl="4">
      <w:start w:val="1"/>
      <w:numFmt w:val="lowerLetter"/>
      <w:isLgl w:val="false"/>
      <w:suff w:val="tab"/>
      <w:lvlText w:val="%5)"/>
      <w:lvlJc w:val="left"/>
      <w:pPr>
        <w:pStyle w:val="1493"/>
        <w:ind w:left="2100" w:hanging="420"/>
        <w:tabs>
          <w:tab w:val="num" w:pos="2100" w:leader="none"/>
        </w:tabs>
      </w:pPr>
      <w:rPr>
        <w:rFonts w:cs="Times New Roman"/>
      </w:rPr>
    </w:lvl>
    <w:lvl w:ilvl="5">
      <w:start w:val="1"/>
      <w:numFmt w:val="lowerRoman"/>
      <w:isLgl w:val="false"/>
      <w:suff w:val="tab"/>
      <w:lvlText w:val="%6."/>
      <w:lvlJc w:val="right"/>
      <w:pPr>
        <w:pStyle w:val="1493"/>
        <w:ind w:left="2520" w:hanging="420"/>
        <w:tabs>
          <w:tab w:val="num" w:pos="2520" w:leader="none"/>
        </w:tabs>
      </w:pPr>
      <w:rPr>
        <w:rFonts w:cs="Times New Roman"/>
      </w:rPr>
    </w:lvl>
    <w:lvl w:ilvl="6">
      <w:start w:val="1"/>
      <w:numFmt w:val="decimal"/>
      <w:isLgl w:val="false"/>
      <w:suff w:val="tab"/>
      <w:lvlText w:val="%7."/>
      <w:lvlJc w:val="left"/>
      <w:pPr>
        <w:pStyle w:val="1493"/>
        <w:ind w:left="2940" w:hanging="420"/>
        <w:tabs>
          <w:tab w:val="num" w:pos="2940" w:leader="none"/>
        </w:tabs>
      </w:pPr>
      <w:rPr>
        <w:rFonts w:cs="Times New Roman"/>
      </w:rPr>
    </w:lvl>
    <w:lvl w:ilvl="7">
      <w:start w:val="1"/>
      <w:numFmt w:val="lowerLetter"/>
      <w:isLgl w:val="false"/>
      <w:suff w:val="tab"/>
      <w:lvlText w:val="%8)"/>
      <w:lvlJc w:val="left"/>
      <w:pPr>
        <w:pStyle w:val="1493"/>
        <w:ind w:left="3360" w:hanging="420"/>
        <w:tabs>
          <w:tab w:val="num" w:pos="3360" w:leader="none"/>
        </w:tabs>
      </w:pPr>
      <w:rPr>
        <w:rFonts w:cs="Times New Roman"/>
      </w:rPr>
    </w:lvl>
    <w:lvl w:ilvl="8">
      <w:start w:val="1"/>
      <w:numFmt w:val="lowerRoman"/>
      <w:isLgl w:val="false"/>
      <w:suff w:val="tab"/>
      <w:lvlText w:val="%9."/>
      <w:lvlJc w:val="right"/>
      <w:pPr>
        <w:pStyle w:val="1493"/>
        <w:ind w:left="3780" w:hanging="420"/>
        <w:tabs>
          <w:tab w:val="num" w:pos="3780" w:leader="none"/>
        </w:tabs>
      </w:pPr>
      <w:rPr>
        <w:rFonts w:cs="Times New Roman"/>
      </w:rPr>
    </w:lvl>
  </w:abstractNum>
  <w:abstractNum w:abstractNumId="1">
    <w:multiLevelType w:val="hybridMultilevel"/>
    <w:lvl w:ilvl="0">
      <w:start w:val="1"/>
      <w:numFmt w:val="upperLetter"/>
      <w:pStyle w:val="1498"/>
      <w:isLgl w:val="false"/>
      <w:suff w:val="tab"/>
      <w:lvlText w:val="%1."/>
      <w:lvlJc w:val="left"/>
      <w:pPr>
        <w:pStyle w:val="1493"/>
        <w:ind w:left="360" w:hanging="360"/>
        <w:tabs>
          <w:tab w:val="num" w:pos="360" w:leader="none"/>
        </w:tabs>
      </w:pPr>
      <w:rPr>
        <w:rFonts w:cs="Times New Roman"/>
      </w:rPr>
    </w:lvl>
    <w:lvl w:ilvl="1">
      <w:start w:val="1"/>
      <w:numFmt w:val="lowerLetter"/>
      <w:isLgl w:val="false"/>
      <w:suff w:val="tab"/>
      <w:lvlText w:val="%2)"/>
      <w:lvlJc w:val="left"/>
      <w:pPr>
        <w:pStyle w:val="1493"/>
        <w:ind w:left="840" w:hanging="420"/>
        <w:tabs>
          <w:tab w:val="num" w:pos="840" w:leader="none"/>
        </w:tabs>
      </w:pPr>
      <w:rPr>
        <w:rFonts w:cs="Times New Roman"/>
      </w:rPr>
    </w:lvl>
    <w:lvl w:ilvl="2">
      <w:start w:val="1"/>
      <w:numFmt w:val="lowerRoman"/>
      <w:isLgl w:val="false"/>
      <w:suff w:val="tab"/>
      <w:lvlText w:val="%3."/>
      <w:lvlJc w:val="right"/>
      <w:pPr>
        <w:pStyle w:val="1493"/>
        <w:ind w:left="1260" w:hanging="420"/>
        <w:tabs>
          <w:tab w:val="num" w:pos="1260" w:leader="none"/>
        </w:tabs>
      </w:pPr>
      <w:rPr>
        <w:rFonts w:cs="Times New Roman"/>
      </w:rPr>
    </w:lvl>
    <w:lvl w:ilvl="3">
      <w:start w:val="1"/>
      <w:numFmt w:val="decimal"/>
      <w:isLgl w:val="false"/>
      <w:suff w:val="tab"/>
      <w:lvlText w:val="%4."/>
      <w:lvlJc w:val="left"/>
      <w:pPr>
        <w:pStyle w:val="1493"/>
        <w:ind w:left="1680" w:hanging="420"/>
        <w:tabs>
          <w:tab w:val="num" w:pos="1680" w:leader="none"/>
        </w:tabs>
      </w:pPr>
      <w:rPr>
        <w:rFonts w:cs="Times New Roman"/>
      </w:rPr>
    </w:lvl>
    <w:lvl w:ilvl="4">
      <w:start w:val="1"/>
      <w:numFmt w:val="lowerLetter"/>
      <w:isLgl w:val="false"/>
      <w:suff w:val="tab"/>
      <w:lvlText w:val="%5)"/>
      <w:lvlJc w:val="left"/>
      <w:pPr>
        <w:pStyle w:val="1493"/>
        <w:ind w:left="2100" w:hanging="420"/>
        <w:tabs>
          <w:tab w:val="num" w:pos="2100" w:leader="none"/>
        </w:tabs>
      </w:pPr>
      <w:rPr>
        <w:rFonts w:cs="Times New Roman"/>
      </w:rPr>
    </w:lvl>
    <w:lvl w:ilvl="5">
      <w:start w:val="1"/>
      <w:numFmt w:val="lowerRoman"/>
      <w:isLgl w:val="false"/>
      <w:suff w:val="tab"/>
      <w:lvlText w:val="%6."/>
      <w:lvlJc w:val="right"/>
      <w:pPr>
        <w:pStyle w:val="1493"/>
        <w:ind w:left="2520" w:hanging="420"/>
        <w:tabs>
          <w:tab w:val="num" w:pos="2520" w:leader="none"/>
        </w:tabs>
      </w:pPr>
      <w:rPr>
        <w:rFonts w:cs="Times New Roman"/>
      </w:rPr>
    </w:lvl>
    <w:lvl w:ilvl="6">
      <w:start w:val="1"/>
      <w:numFmt w:val="decimal"/>
      <w:isLgl w:val="false"/>
      <w:suff w:val="tab"/>
      <w:lvlText w:val="%7."/>
      <w:lvlJc w:val="left"/>
      <w:pPr>
        <w:pStyle w:val="1493"/>
        <w:ind w:left="2940" w:hanging="420"/>
        <w:tabs>
          <w:tab w:val="num" w:pos="2940" w:leader="none"/>
        </w:tabs>
      </w:pPr>
      <w:rPr>
        <w:rFonts w:cs="Times New Roman"/>
      </w:rPr>
    </w:lvl>
    <w:lvl w:ilvl="7">
      <w:start w:val="1"/>
      <w:numFmt w:val="lowerLetter"/>
      <w:isLgl w:val="false"/>
      <w:suff w:val="tab"/>
      <w:lvlText w:val="%8)"/>
      <w:lvlJc w:val="left"/>
      <w:pPr>
        <w:pStyle w:val="1493"/>
        <w:ind w:left="3360" w:hanging="420"/>
        <w:tabs>
          <w:tab w:val="num" w:pos="3360" w:leader="none"/>
        </w:tabs>
      </w:pPr>
      <w:rPr>
        <w:rFonts w:cs="Times New Roman"/>
      </w:rPr>
    </w:lvl>
    <w:lvl w:ilvl="8">
      <w:start w:val="1"/>
      <w:numFmt w:val="lowerRoman"/>
      <w:isLgl w:val="false"/>
      <w:suff w:val="tab"/>
      <w:lvlText w:val="%9."/>
      <w:lvlJc w:val="right"/>
      <w:pPr>
        <w:pStyle w:val="1493"/>
        <w:ind w:left="3780" w:hanging="420"/>
        <w:tabs>
          <w:tab w:val="num"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6">
    <w:name w:val="Heading 1"/>
    <w:basedOn w:val="1493"/>
    <w:next w:val="1493"/>
    <w:link w:val="1317"/>
    <w:uiPriority w:val="9"/>
    <w:qFormat/>
    <w:pPr>
      <w:keepLines/>
      <w:keepNext/>
      <w:spacing w:before="480" w:after="200"/>
      <w:outlineLvl w:val="0"/>
    </w:pPr>
    <w:rPr>
      <w:rFonts w:ascii="Arial" w:hAnsi="Arial" w:eastAsia="Arial" w:cs="Arial"/>
      <w:sz w:val="40"/>
      <w:szCs w:val="40"/>
    </w:rPr>
  </w:style>
  <w:style w:type="character" w:styleId="1317">
    <w:name w:val="Heading 1 Char"/>
    <w:link w:val="1316"/>
    <w:uiPriority w:val="9"/>
    <w:rPr>
      <w:rFonts w:ascii="Arial" w:hAnsi="Arial" w:eastAsia="Arial" w:cs="Arial"/>
      <w:sz w:val="40"/>
      <w:szCs w:val="40"/>
    </w:rPr>
  </w:style>
  <w:style w:type="paragraph" w:styleId="1318">
    <w:name w:val="Heading 2"/>
    <w:basedOn w:val="1493"/>
    <w:next w:val="1493"/>
    <w:link w:val="1319"/>
    <w:uiPriority w:val="9"/>
    <w:unhideWhenUsed/>
    <w:qFormat/>
    <w:pPr>
      <w:keepLines/>
      <w:keepNext/>
      <w:spacing w:before="360" w:after="200"/>
      <w:outlineLvl w:val="1"/>
    </w:pPr>
    <w:rPr>
      <w:rFonts w:ascii="Arial" w:hAnsi="Arial" w:eastAsia="Arial" w:cs="Arial"/>
      <w:sz w:val="34"/>
    </w:rPr>
  </w:style>
  <w:style w:type="character" w:styleId="1319">
    <w:name w:val="Heading 2 Char"/>
    <w:link w:val="1318"/>
    <w:uiPriority w:val="9"/>
    <w:rPr>
      <w:rFonts w:ascii="Arial" w:hAnsi="Arial" w:eastAsia="Arial" w:cs="Arial"/>
      <w:sz w:val="34"/>
    </w:rPr>
  </w:style>
  <w:style w:type="paragraph" w:styleId="1320">
    <w:name w:val="Heading 3"/>
    <w:basedOn w:val="1493"/>
    <w:next w:val="1493"/>
    <w:link w:val="1321"/>
    <w:uiPriority w:val="9"/>
    <w:unhideWhenUsed/>
    <w:qFormat/>
    <w:pPr>
      <w:keepLines/>
      <w:keepNext/>
      <w:spacing w:before="320" w:after="200"/>
      <w:outlineLvl w:val="2"/>
    </w:pPr>
    <w:rPr>
      <w:rFonts w:ascii="Arial" w:hAnsi="Arial" w:eastAsia="Arial" w:cs="Arial"/>
      <w:sz w:val="30"/>
      <w:szCs w:val="30"/>
    </w:rPr>
  </w:style>
  <w:style w:type="character" w:styleId="1321">
    <w:name w:val="Heading 3 Char"/>
    <w:link w:val="1320"/>
    <w:uiPriority w:val="9"/>
    <w:rPr>
      <w:rFonts w:ascii="Arial" w:hAnsi="Arial" w:eastAsia="Arial" w:cs="Arial"/>
      <w:sz w:val="30"/>
      <w:szCs w:val="30"/>
    </w:rPr>
  </w:style>
  <w:style w:type="paragraph" w:styleId="1322">
    <w:name w:val="Heading 4"/>
    <w:basedOn w:val="1493"/>
    <w:next w:val="1493"/>
    <w:link w:val="1323"/>
    <w:uiPriority w:val="9"/>
    <w:unhideWhenUsed/>
    <w:qFormat/>
    <w:pPr>
      <w:keepLines/>
      <w:keepNext/>
      <w:spacing w:before="320" w:after="200"/>
      <w:outlineLvl w:val="3"/>
    </w:pPr>
    <w:rPr>
      <w:rFonts w:ascii="Arial" w:hAnsi="Arial" w:eastAsia="Arial" w:cs="Arial"/>
      <w:b/>
      <w:bCs/>
      <w:sz w:val="26"/>
      <w:szCs w:val="26"/>
    </w:rPr>
  </w:style>
  <w:style w:type="character" w:styleId="1323">
    <w:name w:val="Heading 4 Char"/>
    <w:link w:val="1322"/>
    <w:uiPriority w:val="9"/>
    <w:rPr>
      <w:rFonts w:ascii="Arial" w:hAnsi="Arial" w:eastAsia="Arial" w:cs="Arial"/>
      <w:b/>
      <w:bCs/>
      <w:sz w:val="26"/>
      <w:szCs w:val="26"/>
    </w:rPr>
  </w:style>
  <w:style w:type="paragraph" w:styleId="1324">
    <w:name w:val="Heading 5"/>
    <w:basedOn w:val="1493"/>
    <w:next w:val="1493"/>
    <w:link w:val="1325"/>
    <w:uiPriority w:val="9"/>
    <w:unhideWhenUsed/>
    <w:qFormat/>
    <w:pPr>
      <w:keepLines/>
      <w:keepNext/>
      <w:spacing w:before="320" w:after="200"/>
      <w:outlineLvl w:val="4"/>
    </w:pPr>
    <w:rPr>
      <w:rFonts w:ascii="Arial" w:hAnsi="Arial" w:eastAsia="Arial" w:cs="Arial"/>
      <w:b/>
      <w:bCs/>
      <w:sz w:val="24"/>
      <w:szCs w:val="24"/>
    </w:rPr>
  </w:style>
  <w:style w:type="character" w:styleId="1325">
    <w:name w:val="Heading 5 Char"/>
    <w:link w:val="1324"/>
    <w:uiPriority w:val="9"/>
    <w:rPr>
      <w:rFonts w:ascii="Arial" w:hAnsi="Arial" w:eastAsia="Arial" w:cs="Arial"/>
      <w:b/>
      <w:bCs/>
      <w:sz w:val="24"/>
      <w:szCs w:val="24"/>
    </w:rPr>
  </w:style>
  <w:style w:type="paragraph" w:styleId="1326">
    <w:name w:val="Heading 6"/>
    <w:basedOn w:val="1493"/>
    <w:next w:val="1493"/>
    <w:link w:val="1327"/>
    <w:uiPriority w:val="9"/>
    <w:unhideWhenUsed/>
    <w:qFormat/>
    <w:pPr>
      <w:keepLines/>
      <w:keepNext/>
      <w:spacing w:before="320" w:after="200"/>
      <w:outlineLvl w:val="5"/>
    </w:pPr>
    <w:rPr>
      <w:rFonts w:ascii="Arial" w:hAnsi="Arial" w:eastAsia="Arial" w:cs="Arial"/>
      <w:b/>
      <w:bCs/>
      <w:sz w:val="22"/>
      <w:szCs w:val="22"/>
    </w:rPr>
  </w:style>
  <w:style w:type="character" w:styleId="1327">
    <w:name w:val="Heading 6 Char"/>
    <w:link w:val="1326"/>
    <w:uiPriority w:val="9"/>
    <w:rPr>
      <w:rFonts w:ascii="Arial" w:hAnsi="Arial" w:eastAsia="Arial" w:cs="Arial"/>
      <w:b/>
      <w:bCs/>
      <w:sz w:val="22"/>
      <w:szCs w:val="22"/>
    </w:rPr>
  </w:style>
  <w:style w:type="paragraph" w:styleId="1328">
    <w:name w:val="Heading 7"/>
    <w:basedOn w:val="1493"/>
    <w:next w:val="1493"/>
    <w:link w:val="1329"/>
    <w:uiPriority w:val="9"/>
    <w:unhideWhenUsed/>
    <w:qFormat/>
    <w:pPr>
      <w:keepLines/>
      <w:keepNext/>
      <w:spacing w:before="320" w:after="200"/>
      <w:outlineLvl w:val="6"/>
    </w:pPr>
    <w:rPr>
      <w:rFonts w:ascii="Arial" w:hAnsi="Arial" w:eastAsia="Arial" w:cs="Arial"/>
      <w:b/>
      <w:bCs/>
      <w:i/>
      <w:iCs/>
      <w:sz w:val="22"/>
      <w:szCs w:val="22"/>
    </w:rPr>
  </w:style>
  <w:style w:type="character" w:styleId="1329">
    <w:name w:val="Heading 7 Char"/>
    <w:link w:val="1328"/>
    <w:uiPriority w:val="9"/>
    <w:rPr>
      <w:rFonts w:ascii="Arial" w:hAnsi="Arial" w:eastAsia="Arial" w:cs="Arial"/>
      <w:b/>
      <w:bCs/>
      <w:i/>
      <w:iCs/>
      <w:sz w:val="22"/>
      <w:szCs w:val="22"/>
    </w:rPr>
  </w:style>
  <w:style w:type="paragraph" w:styleId="1330">
    <w:name w:val="Heading 8"/>
    <w:basedOn w:val="1493"/>
    <w:next w:val="1493"/>
    <w:link w:val="1331"/>
    <w:uiPriority w:val="9"/>
    <w:unhideWhenUsed/>
    <w:qFormat/>
    <w:pPr>
      <w:keepLines/>
      <w:keepNext/>
      <w:spacing w:before="320" w:after="200"/>
      <w:outlineLvl w:val="7"/>
    </w:pPr>
    <w:rPr>
      <w:rFonts w:ascii="Arial" w:hAnsi="Arial" w:eastAsia="Arial" w:cs="Arial"/>
      <w:i/>
      <w:iCs/>
      <w:sz w:val="22"/>
      <w:szCs w:val="22"/>
    </w:rPr>
  </w:style>
  <w:style w:type="character" w:styleId="1331">
    <w:name w:val="Heading 8 Char"/>
    <w:link w:val="1330"/>
    <w:uiPriority w:val="9"/>
    <w:rPr>
      <w:rFonts w:ascii="Arial" w:hAnsi="Arial" w:eastAsia="Arial" w:cs="Arial"/>
      <w:i/>
      <w:iCs/>
      <w:sz w:val="22"/>
      <w:szCs w:val="22"/>
    </w:rPr>
  </w:style>
  <w:style w:type="paragraph" w:styleId="1332">
    <w:name w:val="Heading 9"/>
    <w:basedOn w:val="1493"/>
    <w:next w:val="1493"/>
    <w:link w:val="1333"/>
    <w:uiPriority w:val="9"/>
    <w:unhideWhenUsed/>
    <w:qFormat/>
    <w:pPr>
      <w:keepLines/>
      <w:keepNext/>
      <w:spacing w:before="320" w:after="200"/>
      <w:outlineLvl w:val="8"/>
    </w:pPr>
    <w:rPr>
      <w:rFonts w:ascii="Arial" w:hAnsi="Arial" w:eastAsia="Arial" w:cs="Arial"/>
      <w:i/>
      <w:iCs/>
      <w:sz w:val="21"/>
      <w:szCs w:val="21"/>
    </w:rPr>
  </w:style>
  <w:style w:type="character" w:styleId="1333">
    <w:name w:val="Heading 9 Char"/>
    <w:link w:val="1332"/>
    <w:uiPriority w:val="9"/>
    <w:rPr>
      <w:rFonts w:ascii="Arial" w:hAnsi="Arial" w:eastAsia="Arial" w:cs="Arial"/>
      <w:i/>
      <w:iCs/>
      <w:sz w:val="21"/>
      <w:szCs w:val="21"/>
    </w:rPr>
  </w:style>
  <w:style w:type="paragraph" w:styleId="1334">
    <w:name w:val="No Spacing"/>
    <w:uiPriority w:val="1"/>
    <w:qFormat/>
    <w:pPr>
      <w:spacing w:before="0" w:after="0" w:line="240" w:lineRule="auto"/>
    </w:pPr>
  </w:style>
  <w:style w:type="paragraph" w:styleId="1335">
    <w:name w:val="Title"/>
    <w:basedOn w:val="1493"/>
    <w:next w:val="1493"/>
    <w:link w:val="1336"/>
    <w:uiPriority w:val="10"/>
    <w:qFormat/>
    <w:pPr>
      <w:contextualSpacing/>
      <w:spacing w:before="300" w:after="200"/>
    </w:pPr>
    <w:rPr>
      <w:sz w:val="48"/>
      <w:szCs w:val="48"/>
    </w:rPr>
  </w:style>
  <w:style w:type="character" w:styleId="1336">
    <w:name w:val="Title Char"/>
    <w:link w:val="1335"/>
    <w:uiPriority w:val="10"/>
    <w:rPr>
      <w:sz w:val="48"/>
      <w:szCs w:val="48"/>
    </w:rPr>
  </w:style>
  <w:style w:type="paragraph" w:styleId="1337">
    <w:name w:val="Subtitle"/>
    <w:basedOn w:val="1493"/>
    <w:next w:val="1493"/>
    <w:link w:val="1338"/>
    <w:uiPriority w:val="11"/>
    <w:qFormat/>
    <w:pPr>
      <w:spacing w:before="200" w:after="200"/>
    </w:pPr>
    <w:rPr>
      <w:sz w:val="24"/>
      <w:szCs w:val="24"/>
    </w:rPr>
  </w:style>
  <w:style w:type="character" w:styleId="1338">
    <w:name w:val="Subtitle Char"/>
    <w:link w:val="1337"/>
    <w:uiPriority w:val="11"/>
    <w:rPr>
      <w:sz w:val="24"/>
      <w:szCs w:val="24"/>
    </w:rPr>
  </w:style>
  <w:style w:type="paragraph" w:styleId="1339">
    <w:name w:val="Quote"/>
    <w:basedOn w:val="1493"/>
    <w:next w:val="1493"/>
    <w:link w:val="1340"/>
    <w:uiPriority w:val="29"/>
    <w:qFormat/>
    <w:pPr>
      <w:ind w:left="720" w:right="720"/>
    </w:pPr>
    <w:rPr>
      <w:i/>
    </w:rPr>
  </w:style>
  <w:style w:type="character" w:styleId="1340">
    <w:name w:val="Quote Char"/>
    <w:link w:val="1339"/>
    <w:uiPriority w:val="29"/>
    <w:rPr>
      <w:i/>
    </w:rPr>
  </w:style>
  <w:style w:type="paragraph" w:styleId="1341">
    <w:name w:val="Intense Quote"/>
    <w:basedOn w:val="1493"/>
    <w:next w:val="1493"/>
    <w:link w:val="13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2">
    <w:name w:val="Intense Quote Char"/>
    <w:link w:val="1341"/>
    <w:uiPriority w:val="30"/>
    <w:rPr>
      <w:i/>
    </w:rPr>
  </w:style>
  <w:style w:type="paragraph" w:styleId="1343">
    <w:name w:val="Header"/>
    <w:basedOn w:val="1493"/>
    <w:link w:val="1344"/>
    <w:uiPriority w:val="99"/>
    <w:unhideWhenUsed/>
    <w:pPr>
      <w:spacing w:after="0" w:line="240" w:lineRule="auto"/>
      <w:tabs>
        <w:tab w:val="center" w:pos="7143" w:leader="none"/>
        <w:tab w:val="right" w:pos="14287" w:leader="none"/>
      </w:tabs>
    </w:pPr>
  </w:style>
  <w:style w:type="character" w:styleId="1344">
    <w:name w:val="Header Char"/>
    <w:link w:val="1343"/>
    <w:uiPriority w:val="99"/>
  </w:style>
  <w:style w:type="paragraph" w:styleId="1345">
    <w:name w:val="Footer"/>
    <w:basedOn w:val="1493"/>
    <w:link w:val="1348"/>
    <w:uiPriority w:val="99"/>
    <w:unhideWhenUsed/>
    <w:pPr>
      <w:spacing w:after="0" w:line="240" w:lineRule="auto"/>
      <w:tabs>
        <w:tab w:val="center" w:pos="7143" w:leader="none"/>
        <w:tab w:val="right" w:pos="14287" w:leader="none"/>
      </w:tabs>
    </w:pPr>
  </w:style>
  <w:style w:type="character" w:styleId="1346">
    <w:name w:val="Footer Char"/>
    <w:link w:val="1345"/>
    <w:uiPriority w:val="99"/>
  </w:style>
  <w:style w:type="paragraph" w:styleId="1347">
    <w:name w:val="Caption"/>
    <w:basedOn w:val="1493"/>
    <w:next w:val="1493"/>
    <w:uiPriority w:val="35"/>
    <w:semiHidden/>
    <w:unhideWhenUsed/>
    <w:qFormat/>
    <w:pPr>
      <w:spacing w:line="276" w:lineRule="auto"/>
    </w:pPr>
    <w:rPr>
      <w:b/>
      <w:bCs/>
      <w:color w:val="4f81bd" w:themeColor="accent1"/>
      <w:sz w:val="18"/>
      <w:szCs w:val="18"/>
    </w:rPr>
  </w:style>
  <w:style w:type="character" w:styleId="1348">
    <w:name w:val="Caption Char"/>
    <w:basedOn w:val="1347"/>
    <w:link w:val="1345"/>
    <w:uiPriority w:val="99"/>
  </w:style>
  <w:style w:type="table" w:styleId="13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75">
    <w:name w:val="Hyperlink"/>
    <w:uiPriority w:val="99"/>
    <w:unhideWhenUsed/>
    <w:rPr>
      <w:color w:val="0000ff" w:themeColor="hyperlink"/>
      <w:u w:val="single"/>
    </w:rPr>
  </w:style>
  <w:style w:type="paragraph" w:styleId="1476">
    <w:name w:val="footnote text"/>
    <w:basedOn w:val="1493"/>
    <w:link w:val="1477"/>
    <w:uiPriority w:val="99"/>
    <w:semiHidden/>
    <w:unhideWhenUsed/>
    <w:pPr>
      <w:spacing w:after="40" w:line="240" w:lineRule="auto"/>
    </w:pPr>
    <w:rPr>
      <w:sz w:val="18"/>
    </w:rPr>
  </w:style>
  <w:style w:type="character" w:styleId="1477">
    <w:name w:val="Footnote Text Char"/>
    <w:link w:val="1476"/>
    <w:uiPriority w:val="99"/>
    <w:rPr>
      <w:sz w:val="18"/>
    </w:rPr>
  </w:style>
  <w:style w:type="character" w:styleId="1478">
    <w:name w:val="footnote reference"/>
    <w:uiPriority w:val="99"/>
    <w:unhideWhenUsed/>
    <w:rPr>
      <w:vertAlign w:val="superscript"/>
    </w:rPr>
  </w:style>
  <w:style w:type="paragraph" w:styleId="1479">
    <w:name w:val="endnote text"/>
    <w:basedOn w:val="1493"/>
    <w:link w:val="1480"/>
    <w:uiPriority w:val="99"/>
    <w:semiHidden/>
    <w:unhideWhenUsed/>
    <w:pPr>
      <w:spacing w:after="0" w:line="240" w:lineRule="auto"/>
    </w:pPr>
    <w:rPr>
      <w:sz w:val="20"/>
    </w:rPr>
  </w:style>
  <w:style w:type="character" w:styleId="1480">
    <w:name w:val="Endnote Text Char"/>
    <w:link w:val="1479"/>
    <w:uiPriority w:val="99"/>
    <w:rPr>
      <w:sz w:val="20"/>
    </w:rPr>
  </w:style>
  <w:style w:type="character" w:styleId="1481">
    <w:name w:val="endnote reference"/>
    <w:uiPriority w:val="99"/>
    <w:semiHidden/>
    <w:unhideWhenUsed/>
    <w:rPr>
      <w:vertAlign w:val="superscript"/>
    </w:rPr>
  </w:style>
  <w:style w:type="paragraph" w:styleId="1482">
    <w:name w:val="toc 1"/>
    <w:basedOn w:val="1493"/>
    <w:next w:val="1493"/>
    <w:uiPriority w:val="39"/>
    <w:unhideWhenUsed/>
    <w:pPr>
      <w:ind w:left="0" w:right="0" w:firstLine="0"/>
      <w:spacing w:after="57"/>
    </w:pPr>
  </w:style>
  <w:style w:type="paragraph" w:styleId="1483">
    <w:name w:val="toc 2"/>
    <w:basedOn w:val="1493"/>
    <w:next w:val="1493"/>
    <w:uiPriority w:val="39"/>
    <w:unhideWhenUsed/>
    <w:pPr>
      <w:ind w:left="283" w:right="0" w:firstLine="0"/>
      <w:spacing w:after="57"/>
    </w:pPr>
  </w:style>
  <w:style w:type="paragraph" w:styleId="1484">
    <w:name w:val="toc 3"/>
    <w:basedOn w:val="1493"/>
    <w:next w:val="1493"/>
    <w:uiPriority w:val="39"/>
    <w:unhideWhenUsed/>
    <w:pPr>
      <w:ind w:left="567" w:right="0" w:firstLine="0"/>
      <w:spacing w:after="57"/>
    </w:pPr>
  </w:style>
  <w:style w:type="paragraph" w:styleId="1485">
    <w:name w:val="toc 4"/>
    <w:basedOn w:val="1493"/>
    <w:next w:val="1493"/>
    <w:uiPriority w:val="39"/>
    <w:unhideWhenUsed/>
    <w:pPr>
      <w:ind w:left="850" w:right="0" w:firstLine="0"/>
      <w:spacing w:after="57"/>
    </w:pPr>
  </w:style>
  <w:style w:type="paragraph" w:styleId="1486">
    <w:name w:val="toc 5"/>
    <w:basedOn w:val="1493"/>
    <w:next w:val="1493"/>
    <w:uiPriority w:val="39"/>
    <w:unhideWhenUsed/>
    <w:pPr>
      <w:ind w:left="1134" w:right="0" w:firstLine="0"/>
      <w:spacing w:after="57"/>
    </w:pPr>
  </w:style>
  <w:style w:type="paragraph" w:styleId="1487">
    <w:name w:val="toc 6"/>
    <w:basedOn w:val="1493"/>
    <w:next w:val="1493"/>
    <w:uiPriority w:val="39"/>
    <w:unhideWhenUsed/>
    <w:pPr>
      <w:ind w:left="1417" w:right="0" w:firstLine="0"/>
      <w:spacing w:after="57"/>
    </w:pPr>
  </w:style>
  <w:style w:type="paragraph" w:styleId="1488">
    <w:name w:val="toc 7"/>
    <w:basedOn w:val="1493"/>
    <w:next w:val="1493"/>
    <w:uiPriority w:val="39"/>
    <w:unhideWhenUsed/>
    <w:pPr>
      <w:ind w:left="1701" w:right="0" w:firstLine="0"/>
      <w:spacing w:after="57"/>
    </w:pPr>
  </w:style>
  <w:style w:type="paragraph" w:styleId="1489">
    <w:name w:val="toc 8"/>
    <w:basedOn w:val="1493"/>
    <w:next w:val="1493"/>
    <w:uiPriority w:val="39"/>
    <w:unhideWhenUsed/>
    <w:pPr>
      <w:ind w:left="1984" w:right="0" w:firstLine="0"/>
      <w:spacing w:after="57"/>
    </w:pPr>
  </w:style>
  <w:style w:type="paragraph" w:styleId="1490">
    <w:name w:val="toc 9"/>
    <w:basedOn w:val="1493"/>
    <w:next w:val="1493"/>
    <w:uiPriority w:val="39"/>
    <w:unhideWhenUsed/>
    <w:pPr>
      <w:ind w:left="2268" w:right="0" w:firstLine="0"/>
      <w:spacing w:after="57"/>
    </w:pPr>
  </w:style>
  <w:style w:type="paragraph" w:styleId="1491">
    <w:name w:val="TOC Heading"/>
    <w:uiPriority w:val="39"/>
    <w:unhideWhenUsed/>
  </w:style>
  <w:style w:type="paragraph" w:styleId="1492">
    <w:name w:val="table of figures"/>
    <w:basedOn w:val="1493"/>
    <w:next w:val="1493"/>
    <w:uiPriority w:val="99"/>
    <w:unhideWhenUsed/>
    <w:pPr>
      <w:spacing w:after="0" w:afterAutospacing="0"/>
    </w:pPr>
  </w:style>
  <w:style w:type="paragraph" w:styleId="1493" w:default="1">
    <w:name w:val="Normal"/>
    <w:next w:val="1501"/>
    <w:link w:val="1493"/>
    <w:qFormat/>
    <w:pPr>
      <w:jc w:val="both"/>
      <w:widowControl w:val="off"/>
    </w:pPr>
    <w:rPr>
      <w:sz w:val="21"/>
      <w:lang w:val="en-US" w:eastAsia="zh-CN" w:bidi="ar-SA"/>
    </w:rPr>
  </w:style>
  <w:style w:type="paragraph" w:styleId="1494">
    <w:name w:val="标题 1"/>
    <w:basedOn w:val="1493"/>
    <w:next w:val="1493"/>
    <w:link w:val="1502"/>
    <w:qFormat/>
    <w:pPr>
      <w:jc w:val="center"/>
      <w:keepNext/>
      <w:outlineLvl w:val="0"/>
    </w:pPr>
    <w:rPr>
      <w:rFonts w:ascii="楷体_GB2312" w:hAnsi="楷体_GB2312" w:eastAsia="宋体"/>
      <w:b/>
      <w:sz w:val="28"/>
      <w:szCs w:val="32"/>
    </w:rPr>
  </w:style>
  <w:style w:type="paragraph" w:styleId="1495">
    <w:name w:val="标题 2"/>
    <w:basedOn w:val="1493"/>
    <w:next w:val="1493"/>
    <w:link w:val="1503"/>
    <w:qFormat/>
    <w:pPr>
      <w:jc w:val="center"/>
      <w:keepNext/>
      <w:outlineLvl w:val="1"/>
    </w:pPr>
    <w:rPr>
      <w:rFonts w:ascii="楷体_GB2312" w:eastAsia="楷体_GB2312"/>
      <w:b/>
      <w:bCs/>
      <w:sz w:val="18"/>
    </w:rPr>
  </w:style>
  <w:style w:type="paragraph" w:styleId="1496">
    <w:name w:val="标题 3"/>
    <w:basedOn w:val="1493"/>
    <w:next w:val="1493"/>
    <w:link w:val="1504"/>
    <w:qFormat/>
    <w:pPr>
      <w:jc w:val="center"/>
      <w:keepNext/>
      <w:outlineLvl w:val="2"/>
    </w:pPr>
    <w:rPr>
      <w:rFonts w:eastAsia="楷体_GB2312"/>
      <w:b/>
      <w:bCs/>
      <w:sz w:val="15"/>
    </w:rPr>
  </w:style>
  <w:style w:type="paragraph" w:styleId="1497">
    <w:name w:val="标题 4"/>
    <w:basedOn w:val="1493"/>
    <w:next w:val="1493"/>
    <w:link w:val="1505"/>
    <w:qFormat/>
    <w:pPr>
      <w:jc w:val="center"/>
      <w:keepNext/>
      <w:outlineLvl w:val="3"/>
    </w:pPr>
    <w:rPr>
      <w:rFonts w:eastAsia="楷体_GB2312"/>
      <w:b/>
      <w:bCs/>
      <w:sz w:val="13"/>
    </w:rPr>
  </w:style>
  <w:style w:type="paragraph" w:styleId="1498">
    <w:name w:val="标题 5"/>
    <w:basedOn w:val="1493"/>
    <w:next w:val="1493"/>
    <w:link w:val="1506"/>
    <w:qFormat/>
    <w:pPr>
      <w:numPr>
        <w:ilvl w:val="0"/>
        <w:numId w:val="1"/>
      </w:numPr>
      <w:keepNext/>
      <w:tabs>
        <w:tab w:val="left" w:pos="360" w:leader="none"/>
      </w:tabs>
      <w:outlineLvl w:val="4"/>
    </w:pPr>
    <w:rPr>
      <w:rFonts w:ascii="楷体_GB2312" w:eastAsia="楷体_GB2312"/>
      <w:bCs/>
      <w:sz w:val="28"/>
    </w:rPr>
  </w:style>
  <w:style w:type="character" w:styleId="1499">
    <w:name w:val="默认段落字体"/>
    <w:next w:val="1499"/>
    <w:link w:val="1493"/>
    <w:uiPriority w:val="1"/>
    <w:unhideWhenUsed/>
  </w:style>
  <w:style w:type="table" w:styleId="1500">
    <w:name w:val="普通表格"/>
    <w:next w:val="1500"/>
    <w:link w:val="1493"/>
    <w:uiPriority w:val="99"/>
    <w:unhideWhenUsed/>
    <w:qFormat/>
    <w:tblPr/>
  </w:style>
  <w:style w:type="paragraph" w:styleId="1501">
    <w:name w:val="段"/>
    <w:next w:val="1493"/>
    <w:link w:val="1493"/>
    <w:pPr>
      <w:ind w:firstLine="200"/>
      <w:jc w:val="both"/>
    </w:pPr>
    <w:rPr>
      <w:rFonts w:ascii="宋体" w:hAnsi="Times New Roman" w:eastAsia="宋体" w:cs="Times New Roman"/>
      <w:sz w:val="21"/>
      <w:lang w:val="en-US" w:eastAsia="zh-CN" w:bidi="ar-SA"/>
    </w:rPr>
  </w:style>
  <w:style w:type="character" w:styleId="1502">
    <w:name w:val="标题 1 字符"/>
    <w:next w:val="1502"/>
    <w:link w:val="1494"/>
    <w:qFormat/>
    <w:rPr>
      <w:rFonts w:ascii="楷体_GB2312" w:hAnsi="楷体_GB2312" w:eastAsia="宋体" w:cs="Times New Roman"/>
      <w:b/>
      <w:sz w:val="28"/>
      <w:szCs w:val="32"/>
    </w:rPr>
  </w:style>
  <w:style w:type="character" w:styleId="1503">
    <w:name w:val="标题 2 字符"/>
    <w:next w:val="1503"/>
    <w:link w:val="1495"/>
    <w:qFormat/>
    <w:rPr>
      <w:rFonts w:ascii="楷体_GB2312" w:hAnsi="Times New Roman" w:eastAsia="楷体_GB2312" w:cs="Times New Roman"/>
      <w:b/>
      <w:bCs/>
      <w:sz w:val="18"/>
      <w:szCs w:val="20"/>
    </w:rPr>
  </w:style>
  <w:style w:type="character" w:styleId="1504">
    <w:name w:val="标题 3 字符"/>
    <w:next w:val="1504"/>
    <w:link w:val="1496"/>
    <w:qFormat/>
    <w:rPr>
      <w:rFonts w:ascii="Times New Roman" w:hAnsi="Times New Roman" w:eastAsia="楷体_GB2312" w:cs="Times New Roman"/>
      <w:b/>
      <w:bCs/>
      <w:sz w:val="15"/>
      <w:szCs w:val="20"/>
    </w:rPr>
  </w:style>
  <w:style w:type="character" w:styleId="1505">
    <w:name w:val="标题 4 字符"/>
    <w:next w:val="1505"/>
    <w:link w:val="1497"/>
    <w:qFormat/>
    <w:rPr>
      <w:rFonts w:ascii="Times New Roman" w:hAnsi="Times New Roman" w:eastAsia="楷体_GB2312" w:cs="Times New Roman"/>
      <w:b/>
      <w:bCs/>
      <w:sz w:val="13"/>
      <w:szCs w:val="20"/>
    </w:rPr>
  </w:style>
  <w:style w:type="character" w:styleId="1506">
    <w:name w:val="标题 5 字符"/>
    <w:next w:val="1506"/>
    <w:link w:val="1498"/>
    <w:qFormat/>
    <w:rPr>
      <w:rFonts w:ascii="楷体_GB2312" w:hAnsi="Times New Roman" w:eastAsia="楷体_GB2312" w:cs="Times New Roman"/>
      <w:bCs/>
      <w:sz w:val="28"/>
      <w:szCs w:val="20"/>
    </w:rPr>
  </w:style>
  <w:style w:type="paragraph" w:styleId="1507">
    <w:name w:val="正文缩进"/>
    <w:basedOn w:val="1493"/>
    <w:next w:val="1493"/>
    <w:link w:val="1508"/>
    <w:unhideWhenUsed/>
    <w:qFormat/>
    <w:pPr>
      <w:ind w:firstLine="420"/>
    </w:pPr>
  </w:style>
  <w:style w:type="character" w:styleId="1508">
    <w:name w:val="正文缩进 字符"/>
    <w:next w:val="1508"/>
    <w:link w:val="1507"/>
    <w:semiHidden/>
    <w:qFormat/>
    <w:rPr>
      <w:rFonts w:ascii="Times New Roman" w:hAnsi="Times New Roman"/>
      <w:sz w:val="21"/>
    </w:rPr>
  </w:style>
  <w:style w:type="paragraph" w:styleId="1509">
    <w:name w:val="文档结构图"/>
    <w:basedOn w:val="1493"/>
    <w:next w:val="1509"/>
    <w:link w:val="1510"/>
    <w:semiHidden/>
    <w:qFormat/>
    <w:pPr>
      <w:shd w:val="clear" w:color="auto" w:fill="000080"/>
    </w:pPr>
    <w:rPr>
      <w:sz w:val="20"/>
    </w:rPr>
  </w:style>
  <w:style w:type="character" w:styleId="1510">
    <w:name w:val="文档结构图 字符"/>
    <w:next w:val="1510"/>
    <w:link w:val="1509"/>
    <w:semiHidden/>
    <w:qFormat/>
    <w:rPr>
      <w:rFonts w:ascii="Times New Roman" w:hAnsi="Times New Roman" w:eastAsia="宋体" w:cs="Times New Roman"/>
      <w:szCs w:val="20"/>
      <w:shd w:val="clear" w:color="auto" w:fill="000080"/>
    </w:rPr>
  </w:style>
  <w:style w:type="paragraph" w:styleId="1511">
    <w:name w:val="批注文字"/>
    <w:basedOn w:val="1493"/>
    <w:next w:val="1511"/>
    <w:link w:val="1512"/>
    <w:uiPriority w:val="99"/>
    <w:semiHidden/>
    <w:qFormat/>
    <w:pPr>
      <w:jc w:val="left"/>
    </w:pPr>
    <w:rPr>
      <w:sz w:val="20"/>
      <w:szCs w:val="24"/>
    </w:rPr>
  </w:style>
  <w:style w:type="character" w:styleId="1512">
    <w:name w:val="批注文字 字符"/>
    <w:next w:val="1512"/>
    <w:link w:val="1511"/>
    <w:uiPriority w:val="99"/>
    <w:semiHidden/>
    <w:qFormat/>
    <w:rPr>
      <w:rFonts w:ascii="Times New Roman" w:hAnsi="Times New Roman" w:eastAsia="宋体" w:cs="Times New Roman"/>
      <w:szCs w:val="24"/>
    </w:rPr>
  </w:style>
  <w:style w:type="paragraph" w:styleId="1513">
    <w:name w:val="正文文本"/>
    <w:basedOn w:val="1493"/>
    <w:next w:val="1493"/>
    <w:link w:val="1514"/>
    <w:uiPriority w:val="99"/>
    <w:qFormat/>
    <w:rPr>
      <w:rFonts w:ascii="华文中宋" w:eastAsia="华文中宋"/>
      <w:bCs/>
      <w:sz w:val="28"/>
    </w:rPr>
  </w:style>
  <w:style w:type="character" w:styleId="1514">
    <w:name w:val="正文文本 字符"/>
    <w:next w:val="1514"/>
    <w:link w:val="1513"/>
    <w:uiPriority w:val="99"/>
    <w:qFormat/>
    <w:rPr>
      <w:rFonts w:ascii="华文中宋" w:hAnsi="Times New Roman" w:eastAsia="华文中宋" w:cs="Times New Roman"/>
      <w:bCs/>
      <w:sz w:val="28"/>
      <w:szCs w:val="20"/>
    </w:rPr>
  </w:style>
  <w:style w:type="paragraph" w:styleId="1515">
    <w:name w:val="正文文本缩进"/>
    <w:basedOn w:val="1493"/>
    <w:next w:val="1517"/>
    <w:link w:val="1516"/>
    <w:qFormat/>
    <w:pPr>
      <w:ind w:firstLine="576"/>
    </w:pPr>
    <w:rPr>
      <w:b/>
      <w:sz w:val="30"/>
    </w:rPr>
  </w:style>
  <w:style w:type="character" w:styleId="1516">
    <w:name w:val="正文文本缩进 字符"/>
    <w:next w:val="1516"/>
    <w:link w:val="1515"/>
    <w:qFormat/>
    <w:rPr>
      <w:rFonts w:ascii="Times New Roman" w:hAnsi="Times New Roman" w:eastAsia="宋体" w:cs="Times New Roman"/>
      <w:b/>
      <w:sz w:val="30"/>
      <w:szCs w:val="20"/>
    </w:rPr>
  </w:style>
  <w:style w:type="paragraph" w:styleId="1517">
    <w:name w:val="寄信人地址"/>
    <w:basedOn w:val="1493"/>
    <w:next w:val="1517"/>
    <w:link w:val="1493"/>
    <w:qFormat/>
    <w:rPr>
      <w:rFonts w:ascii="Arial" w:hAnsi="Arial"/>
    </w:rPr>
  </w:style>
  <w:style w:type="paragraph" w:styleId="1518">
    <w:name w:val="索引 4"/>
    <w:basedOn w:val="1493"/>
    <w:next w:val="1493"/>
    <w:link w:val="1493"/>
    <w:uiPriority w:val="99"/>
    <w:qFormat/>
    <w:pPr>
      <w:ind w:left="600"/>
    </w:pPr>
    <w:rPr>
      <w:szCs w:val="24"/>
    </w:rPr>
  </w:style>
  <w:style w:type="paragraph" w:styleId="1519">
    <w:name w:val="纯文本"/>
    <w:basedOn w:val="1493"/>
    <w:next w:val="1519"/>
    <w:link w:val="1520"/>
    <w:qFormat/>
    <w:rPr>
      <w:rFonts w:ascii="宋体" w:hAnsi="Courier New"/>
    </w:rPr>
  </w:style>
  <w:style w:type="character" w:styleId="1520">
    <w:name w:val="纯文本 字符"/>
    <w:next w:val="1520"/>
    <w:link w:val="1519"/>
    <w:rPr>
      <w:rFonts w:ascii="宋体" w:hAnsi="Courier New"/>
      <w:sz w:val="21"/>
    </w:rPr>
  </w:style>
  <w:style w:type="paragraph" w:styleId="1521">
    <w:name w:val="日期"/>
    <w:basedOn w:val="1493"/>
    <w:next w:val="1493"/>
    <w:link w:val="1522"/>
    <w:qFormat/>
    <w:rPr>
      <w:rFonts w:eastAsia="黑体"/>
      <w:b/>
      <w:sz w:val="36"/>
    </w:rPr>
  </w:style>
  <w:style w:type="character" w:styleId="1522">
    <w:name w:val="日期 字符"/>
    <w:next w:val="1522"/>
    <w:link w:val="1521"/>
    <w:qFormat/>
    <w:rPr>
      <w:rFonts w:ascii="Times New Roman" w:hAnsi="Times New Roman" w:eastAsia="黑体" w:cs="Times New Roman"/>
      <w:b/>
      <w:sz w:val="36"/>
      <w:szCs w:val="20"/>
    </w:rPr>
  </w:style>
  <w:style w:type="paragraph" w:styleId="1523">
    <w:name w:val="正文文本缩进 2"/>
    <w:basedOn w:val="1493"/>
    <w:next w:val="1523"/>
    <w:link w:val="1524"/>
    <w:qFormat/>
    <w:pPr>
      <w:ind w:left="900"/>
    </w:pPr>
    <w:rPr>
      <w:rFonts w:ascii="楷体_GB2312" w:eastAsia="楷体_GB2312"/>
      <w:b/>
      <w:sz w:val="28"/>
    </w:rPr>
  </w:style>
  <w:style w:type="character" w:styleId="1524">
    <w:name w:val="正文文本缩进 2 字符"/>
    <w:next w:val="1524"/>
    <w:link w:val="1523"/>
    <w:qFormat/>
    <w:rPr>
      <w:rFonts w:ascii="楷体_GB2312" w:hAnsi="Times New Roman" w:eastAsia="楷体_GB2312" w:cs="Times New Roman"/>
      <w:b/>
      <w:sz w:val="28"/>
      <w:szCs w:val="20"/>
    </w:rPr>
  </w:style>
  <w:style w:type="paragraph" w:styleId="1525">
    <w:name w:val="批注框文本"/>
    <w:basedOn w:val="1493"/>
    <w:next w:val="1525"/>
    <w:link w:val="1526"/>
    <w:uiPriority w:val="99"/>
    <w:unhideWhenUsed/>
    <w:qFormat/>
    <w:rPr>
      <w:sz w:val="18"/>
      <w:szCs w:val="18"/>
    </w:rPr>
  </w:style>
  <w:style w:type="character" w:styleId="1526">
    <w:name w:val="批注框文本 字符"/>
    <w:next w:val="1526"/>
    <w:link w:val="1525"/>
    <w:uiPriority w:val="99"/>
    <w:semiHidden/>
    <w:qFormat/>
    <w:rPr>
      <w:rFonts w:ascii="Times New Roman" w:hAnsi="Times New Roman" w:eastAsia="宋体" w:cs="Times New Roman"/>
      <w:sz w:val="18"/>
      <w:szCs w:val="18"/>
    </w:rPr>
  </w:style>
  <w:style w:type="paragraph" w:styleId="1527">
    <w:name w:val="页脚"/>
    <w:basedOn w:val="1493"/>
    <w:next w:val="1529"/>
    <w:link w:val="1528"/>
    <w:unhideWhenUsed/>
    <w:qFormat/>
    <w:pPr>
      <w:jc w:val="left"/>
      <w:tabs>
        <w:tab w:val="center" w:pos="4153" w:leader="none"/>
        <w:tab w:val="right" w:pos="8306" w:leader="none"/>
      </w:tabs>
    </w:pPr>
    <w:rPr>
      <w:sz w:val="18"/>
      <w:szCs w:val="18"/>
    </w:rPr>
  </w:style>
  <w:style w:type="character" w:styleId="1528">
    <w:name w:val="页脚 字符"/>
    <w:next w:val="1528"/>
    <w:link w:val="1527"/>
    <w:qFormat/>
    <w:rPr>
      <w:sz w:val="18"/>
      <w:szCs w:val="18"/>
    </w:rPr>
  </w:style>
  <w:style w:type="paragraph" w:styleId="1529">
    <w:name w:val="TOC Heading1"/>
    <w:next w:val="1493"/>
    <w:link w:val="1493"/>
    <w:qFormat/>
    <w:rPr>
      <w:sz w:val="32"/>
      <w:lang w:val="en-US" w:eastAsia="zh-CN" w:bidi="ar-SA"/>
    </w:rPr>
  </w:style>
  <w:style w:type="paragraph" w:styleId="1530">
    <w:name w:val="页眉"/>
    <w:basedOn w:val="1493"/>
    <w:next w:val="1530"/>
    <w:link w:val="1531"/>
    <w:unhideWhenUsed/>
    <w:qFormat/>
    <w:pPr>
      <w:jc w:val="center"/>
      <w:tabs>
        <w:tab w:val="center" w:pos="4153" w:leader="none"/>
        <w:tab w:val="right" w:pos="8306" w:leader="none"/>
      </w:tabs>
      <w:pBdr>
        <w:bottom w:val="single" w:color="000000" w:sz="6" w:space="1"/>
      </w:pBdr>
    </w:pPr>
    <w:rPr>
      <w:sz w:val="18"/>
      <w:szCs w:val="18"/>
    </w:rPr>
  </w:style>
  <w:style w:type="character" w:styleId="1531">
    <w:name w:val="页眉 字符"/>
    <w:next w:val="1531"/>
    <w:link w:val="1530"/>
    <w:qFormat/>
    <w:rPr>
      <w:sz w:val="18"/>
      <w:szCs w:val="18"/>
    </w:rPr>
  </w:style>
  <w:style w:type="paragraph" w:styleId="1532">
    <w:name w:val="目录 1"/>
    <w:basedOn w:val="1493"/>
    <w:next w:val="1493"/>
    <w:link w:val="1493"/>
    <w:uiPriority w:val="39"/>
    <w:unhideWhenUsed/>
  </w:style>
  <w:style w:type="paragraph" w:styleId="1533">
    <w:name w:val="列表"/>
    <w:basedOn w:val="1493"/>
    <w:next w:val="1533"/>
    <w:link w:val="1493"/>
    <w:qFormat/>
    <w:pPr>
      <w:ind w:left="420" w:hanging="420"/>
      <w:spacing w:after="20" w:line="288" w:lineRule="auto"/>
      <w:tabs>
        <w:tab w:val="left" w:pos="420" w:leader="none"/>
      </w:tabs>
    </w:pPr>
    <w:rPr>
      <w:szCs w:val="20"/>
      <w:lang w:val="en-GB"/>
    </w:rPr>
  </w:style>
  <w:style w:type="paragraph" w:styleId="1534">
    <w:name w:val="正文文本缩进 3"/>
    <w:basedOn w:val="1493"/>
    <w:next w:val="1534"/>
    <w:link w:val="1535"/>
    <w:qFormat/>
    <w:pPr>
      <w:ind w:left="359" w:firstLine="359"/>
    </w:pPr>
    <w:rPr>
      <w:sz w:val="20"/>
    </w:rPr>
  </w:style>
  <w:style w:type="character" w:styleId="1535">
    <w:name w:val="正文文本缩进 3 字符"/>
    <w:next w:val="1535"/>
    <w:link w:val="1534"/>
    <w:qFormat/>
    <w:rPr>
      <w:rFonts w:ascii="Times New Roman" w:hAnsi="Times New Roman" w:eastAsia="宋体" w:cs="Times New Roman"/>
      <w:szCs w:val="20"/>
    </w:rPr>
  </w:style>
  <w:style w:type="paragraph" w:styleId="1536">
    <w:name w:val="目录 2"/>
    <w:basedOn w:val="1493"/>
    <w:next w:val="1493"/>
    <w:link w:val="1493"/>
    <w:uiPriority w:val="39"/>
    <w:qFormat/>
    <w:pPr>
      <w:ind w:left="210" w:firstLine="150"/>
      <w:jc w:val="left"/>
      <w:tabs>
        <w:tab w:val="right" w:pos="9170" w:leader="dot"/>
      </w:tabs>
    </w:pPr>
    <w:rPr>
      <w:smallCaps/>
      <w:sz w:val="20"/>
    </w:rPr>
  </w:style>
  <w:style w:type="paragraph" w:styleId="1537">
    <w:name w:val="正文文本 2"/>
    <w:basedOn w:val="1493"/>
    <w:next w:val="1537"/>
    <w:link w:val="1538"/>
    <w:qFormat/>
    <w:pPr>
      <w:spacing w:after="120" w:line="480" w:lineRule="auto"/>
    </w:pPr>
    <w:rPr>
      <w:sz w:val="20"/>
    </w:rPr>
  </w:style>
  <w:style w:type="character" w:styleId="1538">
    <w:name w:val="正文文本 2 字符"/>
    <w:next w:val="1538"/>
    <w:link w:val="1537"/>
    <w:qFormat/>
    <w:rPr>
      <w:rFonts w:ascii="Times New Roman" w:hAnsi="Times New Roman" w:eastAsia="宋体" w:cs="Times New Roman"/>
      <w:szCs w:val="20"/>
    </w:rPr>
  </w:style>
  <w:style w:type="paragraph" w:styleId="1539">
    <w:name w:val="普通(网站)"/>
    <w:basedOn w:val="1493"/>
    <w:next w:val="1539"/>
    <w:link w:val="1493"/>
    <w:uiPriority w:val="99"/>
    <w:qFormat/>
    <w:pPr>
      <w:jc w:val="left"/>
      <w:spacing w:before="100" w:beforeAutospacing="1" w:after="100" w:afterAutospacing="1"/>
      <w:widowControl/>
    </w:pPr>
    <w:rPr>
      <w:rFonts w:ascii="宋体" w:hAnsi="宋体" w:cs="宋体"/>
      <w:sz w:val="24"/>
      <w:szCs w:val="24"/>
    </w:rPr>
  </w:style>
  <w:style w:type="paragraph" w:styleId="1540">
    <w:name w:val="批注主题"/>
    <w:basedOn w:val="1511"/>
    <w:next w:val="1511"/>
    <w:link w:val="1541"/>
    <w:uiPriority w:val="99"/>
    <w:semiHidden/>
    <w:qFormat/>
    <w:rPr>
      <w:b/>
      <w:bCs/>
    </w:rPr>
  </w:style>
  <w:style w:type="character" w:styleId="1541">
    <w:name w:val="批注主题 字符"/>
    <w:next w:val="1541"/>
    <w:link w:val="1540"/>
    <w:uiPriority w:val="99"/>
    <w:semiHidden/>
    <w:qFormat/>
    <w:rPr>
      <w:rFonts w:ascii="Times New Roman" w:hAnsi="Times New Roman" w:eastAsia="宋体" w:cs="Times New Roman"/>
      <w:b/>
      <w:bCs/>
      <w:szCs w:val="24"/>
    </w:rPr>
  </w:style>
  <w:style w:type="paragraph" w:styleId="1542">
    <w:name w:val="正文首行缩进"/>
    <w:basedOn w:val="1513"/>
    <w:next w:val="1542"/>
    <w:link w:val="1543"/>
    <w:pPr>
      <w:ind w:firstLine="420"/>
      <w:spacing w:after="120"/>
    </w:pPr>
    <w:rPr>
      <w:rFonts w:ascii="Times New Roman" w:eastAsia="宋体"/>
      <w:sz w:val="21"/>
      <w:szCs w:val="24"/>
    </w:rPr>
  </w:style>
  <w:style w:type="character" w:styleId="1543">
    <w:name w:val="正文首行缩进 字符"/>
    <w:next w:val="1543"/>
    <w:link w:val="1542"/>
    <w:qFormat/>
    <w:rPr>
      <w:rFonts w:ascii="Times New Roman" w:eastAsia="宋体"/>
      <w:sz w:val="21"/>
      <w:szCs w:val="24"/>
    </w:rPr>
  </w:style>
  <w:style w:type="paragraph" w:styleId="1544">
    <w:name w:val="正文首行缩进 2"/>
    <w:basedOn w:val="1515"/>
    <w:next w:val="1493"/>
    <w:link w:val="1493"/>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45">
    <w:name w:val="网格型"/>
    <w:basedOn w:val="1500"/>
    <w:next w:val="1545"/>
    <w:link w:val="1493"/>
    <w:qFormat/>
    <w:pPr>
      <w:jc w:val="both"/>
      <w:widowControl w:val="off"/>
    </w:pPr>
    <w:tblPr/>
  </w:style>
  <w:style w:type="character" w:styleId="1546">
    <w:name w:val="要点"/>
    <w:next w:val="1546"/>
    <w:link w:val="1493"/>
    <w:uiPriority w:val="99"/>
    <w:qFormat/>
    <w:rPr>
      <w:rFonts w:cs="Times New Roman"/>
      <w:b/>
      <w:bCs/>
    </w:rPr>
  </w:style>
  <w:style w:type="character" w:styleId="1547">
    <w:name w:val="页码"/>
    <w:next w:val="1547"/>
    <w:link w:val="1493"/>
    <w:rPr>
      <w:rFonts w:cs="Times New Roman"/>
    </w:rPr>
  </w:style>
  <w:style w:type="character" w:styleId="1548">
    <w:name w:val="已访问的超链接"/>
    <w:next w:val="1548"/>
    <w:link w:val="1493"/>
    <w:uiPriority w:val="99"/>
    <w:qFormat/>
    <w:rPr>
      <w:rFonts w:cs="Times New Roman"/>
      <w:color w:val="000000"/>
      <w:u w:val="none"/>
    </w:rPr>
  </w:style>
  <w:style w:type="character" w:styleId="1549">
    <w:name w:val="HTML 打字机"/>
    <w:next w:val="1549"/>
    <w:link w:val="1493"/>
    <w:uiPriority w:val="99"/>
    <w:qFormat/>
    <w:rPr>
      <w:rFonts w:ascii="宋体" w:hAnsi="宋体" w:eastAsia="宋体" w:cs="宋体"/>
      <w:sz w:val="24"/>
      <w:szCs w:val="24"/>
    </w:rPr>
  </w:style>
  <w:style w:type="character" w:styleId="1550">
    <w:name w:val="超链接"/>
    <w:next w:val="1550"/>
    <w:link w:val="1493"/>
    <w:qFormat/>
    <w:rPr>
      <w:color w:val="000000"/>
      <w:u w:val="none"/>
    </w:rPr>
  </w:style>
  <w:style w:type="paragraph" w:styleId="1551">
    <w:name w:val="正文文本1"/>
    <w:basedOn w:val="1493"/>
    <w:next w:val="1493"/>
    <w:link w:val="1493"/>
    <w:qFormat/>
    <w:rPr>
      <w:rFonts w:ascii="仿宋_GB2312" w:hAnsi="Times New Roman" w:eastAsia="仿宋_GB2312"/>
      <w:sz w:val="28"/>
      <w:szCs w:val="20"/>
    </w:rPr>
  </w:style>
  <w:style w:type="character" w:styleId="1552">
    <w:name w:val="font31"/>
    <w:next w:val="1552"/>
    <w:link w:val="1493"/>
    <w:qFormat/>
    <w:rPr>
      <w:rFonts w:hint="eastAsia" w:ascii="仿宋" w:hAnsi="仿宋" w:eastAsia="仿宋" w:cs="仿宋"/>
      <w:color w:val="000000"/>
      <w:sz w:val="24"/>
      <w:szCs w:val="24"/>
      <w:u w:val="none"/>
    </w:rPr>
  </w:style>
  <w:style w:type="character" w:styleId="1553">
    <w:name w:val="font11"/>
    <w:next w:val="1553"/>
    <w:link w:val="1493"/>
    <w:rPr>
      <w:rFonts w:hint="eastAsia" w:ascii="宋体" w:hAnsi="宋体" w:eastAsia="宋体" w:cs="宋体"/>
      <w:color w:val="000000"/>
      <w:sz w:val="20"/>
      <w:szCs w:val="20"/>
      <w:u w:val="none"/>
    </w:rPr>
  </w:style>
  <w:style w:type="character" w:styleId="1554">
    <w:name w:val="正文文本缩进 2 Char1"/>
    <w:next w:val="1554"/>
    <w:link w:val="1493"/>
    <w:semiHidden/>
    <w:qFormat/>
    <w:rPr>
      <w:rFonts w:ascii="Times New Roman" w:hAnsi="Times New Roman" w:eastAsia="宋体" w:cs="Times New Roman"/>
      <w:szCs w:val="20"/>
    </w:rPr>
  </w:style>
  <w:style w:type="character" w:styleId="1555">
    <w:name w:val="批注框文本 Char1"/>
    <w:next w:val="1555"/>
    <w:link w:val="1493"/>
    <w:uiPriority w:val="99"/>
    <w:semiHidden/>
    <w:rPr>
      <w:rFonts w:ascii="Times New Roman" w:hAnsi="Times New Roman" w:eastAsia="宋体" w:cs="Times New Roman"/>
      <w:sz w:val="18"/>
      <w:szCs w:val="18"/>
    </w:rPr>
  </w:style>
  <w:style w:type="character" w:styleId="1556">
    <w:name w:val="NormalCharacter1"/>
    <w:next w:val="1556"/>
    <w:link w:val="1557"/>
    <w:uiPriority w:val="99"/>
    <w:qFormat/>
    <w:rPr>
      <w:sz w:val="20"/>
    </w:rPr>
  </w:style>
  <w:style w:type="paragraph" w:styleId="1557">
    <w:name w:val="UserStyle_4"/>
    <w:basedOn w:val="1493"/>
    <w:next w:val="1557"/>
    <w:link w:val="1556"/>
    <w:uiPriority w:val="99"/>
    <w:qFormat/>
    <w:pPr>
      <w:widowControl/>
    </w:pPr>
    <w:rPr>
      <w:sz w:val="20"/>
    </w:rPr>
  </w:style>
  <w:style w:type="character" w:styleId="1558">
    <w:name w:val="正文文本缩进 Char1"/>
    <w:next w:val="1558"/>
    <w:link w:val="1493"/>
    <w:semiHidden/>
    <w:qFormat/>
    <w:rPr>
      <w:rFonts w:ascii="Times New Roman" w:hAnsi="Times New Roman" w:eastAsia="宋体" w:cs="Times New Roman"/>
      <w:szCs w:val="20"/>
    </w:rPr>
  </w:style>
  <w:style w:type="character" w:styleId="1559">
    <w:name w:val="case31"/>
    <w:next w:val="1559"/>
    <w:link w:val="1493"/>
    <w:qFormat/>
    <w:rPr>
      <w:spacing w:val="390"/>
      <w:sz w:val="21"/>
      <w:szCs w:val="21"/>
    </w:rPr>
  </w:style>
  <w:style w:type="character" w:styleId="1560">
    <w:name w:val="正文首行缩进两字 Char"/>
    <w:next w:val="1560"/>
    <w:link w:val="1561"/>
    <w:qFormat/>
    <w:rPr>
      <w:sz w:val="24"/>
      <w:szCs w:val="24"/>
      <w:lang w:val="en-US" w:eastAsia="zh-CN" w:bidi="ar-SA"/>
    </w:rPr>
  </w:style>
  <w:style w:type="paragraph" w:styleId="1561">
    <w:name w:val="正文首行缩进两字"/>
    <w:next w:val="1561"/>
    <w:link w:val="1560"/>
    <w:qFormat/>
    <w:pPr>
      <w:ind w:left="240" w:right="240" w:firstLine="480"/>
      <w:spacing w:line="300" w:lineRule="auto"/>
    </w:pPr>
    <w:rPr>
      <w:sz w:val="24"/>
      <w:szCs w:val="24"/>
      <w:lang w:val="en-US" w:eastAsia="zh-CN" w:bidi="ar-SA"/>
    </w:rPr>
  </w:style>
  <w:style w:type="character" w:styleId="1562">
    <w:name w:val="正文文本缩进 3 Char1"/>
    <w:next w:val="1562"/>
    <w:link w:val="1493"/>
    <w:semiHidden/>
    <w:qFormat/>
    <w:rPr>
      <w:rFonts w:ascii="Times New Roman" w:hAnsi="Times New Roman" w:eastAsia="宋体" w:cs="Times New Roman"/>
      <w:sz w:val="16"/>
      <w:szCs w:val="16"/>
    </w:rPr>
  </w:style>
  <w:style w:type="character" w:styleId="1563">
    <w:name w:val="日期 Char1"/>
    <w:next w:val="1563"/>
    <w:link w:val="1493"/>
    <w:semiHidden/>
    <w:qFormat/>
    <w:rPr>
      <w:rFonts w:ascii="Times New Roman" w:hAnsi="Times New Roman" w:eastAsia="宋体" w:cs="Times New Roman"/>
      <w:szCs w:val="20"/>
    </w:rPr>
  </w:style>
  <w:style w:type="character" w:styleId="1564">
    <w:name w:val="文档结构图 Char1"/>
    <w:next w:val="1564"/>
    <w:link w:val="1493"/>
    <w:semiHidden/>
    <w:qFormat/>
    <w:rPr>
      <w:rFonts w:ascii="宋体" w:hAnsi="Times New Roman" w:eastAsia="宋体" w:cs="Times New Roman"/>
      <w:sz w:val="18"/>
      <w:szCs w:val="18"/>
    </w:rPr>
  </w:style>
  <w:style w:type="character" w:styleId="1565">
    <w:name w:val="正文文本 2 Char1"/>
    <w:next w:val="1565"/>
    <w:link w:val="1493"/>
    <w:semiHidden/>
    <w:qFormat/>
    <w:rPr>
      <w:rFonts w:ascii="Times New Roman" w:hAnsi="Times New Roman" w:eastAsia="宋体" w:cs="Times New Roman"/>
      <w:szCs w:val="20"/>
    </w:rPr>
  </w:style>
  <w:style w:type="character" w:styleId="1566">
    <w:name w:val="font21"/>
    <w:next w:val="1566"/>
    <w:link w:val="1493"/>
    <w:qFormat/>
    <w:rPr>
      <w:rFonts w:hint="eastAsia" w:ascii="仿宋" w:hAnsi="仿宋" w:eastAsia="仿宋" w:cs="仿宋"/>
      <w:color w:val="000000"/>
      <w:sz w:val="24"/>
      <w:szCs w:val="24"/>
      <w:u w:val="none"/>
    </w:rPr>
  </w:style>
  <w:style w:type="paragraph" w:styleId="1567">
    <w:name w:val="列出段落"/>
    <w:basedOn w:val="1493"/>
    <w:next w:val="1567"/>
    <w:link w:val="1493"/>
    <w:uiPriority w:val="34"/>
    <w:qFormat/>
    <w:pPr>
      <w:ind w:firstLine="420"/>
    </w:pPr>
  </w:style>
  <w:style w:type="paragraph" w:styleId="1568">
    <w:name w:val="一级条标题"/>
    <w:next w:val="1493"/>
    <w:link w:val="1493"/>
    <w:qFormat/>
    <w:pPr>
      <w:ind w:left="552" w:hanging="420"/>
      <w:tabs>
        <w:tab w:val="left" w:pos="552" w:leader="none"/>
      </w:tabs>
      <w:outlineLvl w:val="2"/>
    </w:pPr>
    <w:rPr>
      <w:rFonts w:ascii="黑体" w:eastAsia="黑体"/>
      <w:sz w:val="21"/>
      <w:szCs w:val="21"/>
      <w:lang w:val="en-US" w:eastAsia="zh-CN" w:bidi="ar-SA"/>
    </w:rPr>
  </w:style>
  <w:style w:type="paragraph" w:styleId="1569">
    <w:name w:val="_Style 1"/>
    <w:basedOn w:val="1493"/>
    <w:next w:val="1569"/>
    <w:link w:val="1493"/>
    <w:uiPriority w:val="99"/>
    <w:qFormat/>
    <w:pPr>
      <w:ind w:firstLine="420"/>
    </w:pPr>
    <w:rPr>
      <w:rFonts w:ascii="Calibri" w:hAnsi="Calibri" w:eastAsia="宋体" w:cs="Calibri"/>
      <w:sz w:val="34"/>
      <w:szCs w:val="34"/>
    </w:rPr>
  </w:style>
  <w:style w:type="paragraph" w:styleId="1570">
    <w:name w:val="首行缩进"/>
    <w:basedOn w:val="1493"/>
    <w:next w:val="1570"/>
    <w:link w:val="1493"/>
    <w:qFormat/>
    <w:pPr>
      <w:ind w:firstLine="480"/>
    </w:pPr>
    <w:rPr>
      <w:szCs w:val="20"/>
      <w:lang w:val="zh-CN"/>
    </w:rPr>
  </w:style>
  <w:style w:type="paragraph" w:styleId="1571">
    <w:name w:val="List Paragraph1"/>
    <w:basedOn w:val="1493"/>
    <w:next w:val="1571"/>
    <w:link w:val="1493"/>
    <w:qFormat/>
    <w:pPr>
      <w:ind w:firstLine="420"/>
    </w:pPr>
    <w:rPr>
      <w:szCs w:val="21"/>
    </w:rPr>
  </w:style>
  <w:style w:type="paragraph" w:styleId="1572">
    <w:name w:val="普通文字"/>
    <w:basedOn w:val="1493"/>
    <w:next w:val="1493"/>
    <w:link w:val="1493"/>
    <w:rPr>
      <w:rFonts w:ascii="宋体"/>
      <w:sz w:val="24"/>
    </w:rPr>
  </w:style>
  <w:style w:type="paragraph" w:styleId="1573">
    <w:name w:val="二级无"/>
    <w:basedOn w:val="1493"/>
    <w:next w:val="1573"/>
    <w:link w:val="1493"/>
    <w:qFormat/>
    <w:pPr>
      <w:ind w:left="552" w:hanging="420"/>
      <w:jc w:val="left"/>
      <w:widowControl/>
      <w:tabs>
        <w:tab w:val="left" w:pos="552" w:leader="none"/>
      </w:tabs>
      <w:outlineLvl w:val="3"/>
    </w:pPr>
    <w:rPr>
      <w:rFonts w:ascii="宋体"/>
      <w:szCs w:val="21"/>
    </w:rPr>
  </w:style>
  <w:style w:type="paragraph" w:styleId="1574">
    <w:name w:val="p0 paragraphindent"/>
    <w:basedOn w:val="1493"/>
    <w:next w:val="1574"/>
    <w:link w:val="1493"/>
    <w:qFormat/>
    <w:pPr>
      <w:jc w:val="left"/>
      <w:spacing w:before="100" w:beforeAutospacing="1" w:after="100" w:afterAutospacing="1"/>
      <w:widowControl/>
    </w:pPr>
    <w:rPr>
      <w:rFonts w:ascii="宋体" w:hAnsi="宋体" w:cs="宋体"/>
      <w:sz w:val="24"/>
      <w:szCs w:val="24"/>
    </w:rPr>
  </w:style>
  <w:style w:type="paragraph" w:styleId="1575">
    <w:name w:val="List Paragraph"/>
    <w:basedOn w:val="1493"/>
    <w:next w:val="1575"/>
    <w:link w:val="1493"/>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76">
    <w:name w:val="字母编号列项（一级）"/>
    <w:next w:val="1576"/>
    <w:link w:val="1493"/>
    <w:qFormat/>
    <w:pPr>
      <w:ind w:left="552" w:hanging="420"/>
      <w:jc w:val="both"/>
      <w:tabs>
        <w:tab w:val="left" w:pos="552" w:leader="none"/>
        <w:tab w:val="left" w:pos="840" w:leader="none"/>
      </w:tabs>
    </w:pPr>
    <w:rPr>
      <w:rFonts w:ascii="宋体"/>
      <w:sz w:val="21"/>
      <w:lang w:val="en-US" w:eastAsia="zh-CN" w:bidi="ar-SA"/>
    </w:rPr>
  </w:style>
  <w:style w:type="paragraph" w:styleId="1577">
    <w:name w:val="标题 41"/>
    <w:basedOn w:val="1493"/>
    <w:next w:val="1493"/>
    <w:link w:val="1493"/>
    <w:qFormat/>
    <w:pPr>
      <w:jc w:val="center"/>
      <w:keepNext/>
      <w:outlineLvl w:val="3"/>
    </w:pPr>
    <w:rPr>
      <w:rFonts w:eastAsia="楷体_GB2312"/>
      <w:b/>
      <w:bCs/>
      <w:sz w:val="13"/>
    </w:rPr>
  </w:style>
  <w:style w:type="paragraph" w:styleId="1578">
    <w:name w:val="样式 小四 段前: 5 磅 段后: 5 磅 首行缩进:  2 字符"/>
    <w:basedOn w:val="1493"/>
    <w:next w:val="1578"/>
    <w:link w:val="1493"/>
    <w:qFormat/>
    <w:pPr>
      <w:jc w:val="center"/>
      <w:spacing w:line="360" w:lineRule="auto"/>
    </w:pPr>
    <w:rPr>
      <w:rFonts w:ascii="宋体" w:hAnsi="宋体"/>
      <w:bCs/>
      <w:color w:val="ff0000"/>
      <w:sz w:val="24"/>
      <w:szCs w:val="24"/>
    </w:rPr>
  </w:style>
  <w:style w:type="character" w:styleId="1579" w:default="1">
    <w:name w:val="Default Paragraph Font"/>
    <w:uiPriority w:val="1"/>
    <w:semiHidden/>
    <w:unhideWhenUsed/>
  </w:style>
  <w:style w:type="numbering" w:styleId="1580" w:default="1">
    <w:name w:val="No List"/>
    <w:uiPriority w:val="99"/>
    <w:semiHidden/>
    <w:unhideWhenUsed/>
  </w:style>
  <w:style w:type="table" w:styleId="15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4</cp:revision>
  <dcterms:created xsi:type="dcterms:W3CDTF">2023-03-28T06:55:00Z</dcterms:created>
  <dcterms:modified xsi:type="dcterms:W3CDTF">2024-07-09T03:11:13Z</dcterms:modified>
</cp:coreProperties>
</file>