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ind w:right="120"/>
        <w:jc w:val="center"/>
        <w:spacing w:line="360" w:lineRule="auto"/>
        <w:rPr>
          <w:rFonts w:hint="eastAsia" w:ascii="宋体" w:hAnsi="宋体" w:eastAsia="宋体" w:cs="宋体"/>
          <w:b/>
          <w:bCs/>
          <w:sz w:val="52"/>
          <w:szCs w:val="52"/>
          <w:highlight w:val="none"/>
          <w:lang w:val="en-US"/>
        </w:rPr>
      </w:pPr>
      <w:r>
        <w:rPr>
          <w:rFonts w:hint="eastAsia" w:ascii="宋体" w:hAnsi="宋体" w:eastAsia="宋体" w:cs="宋体"/>
          <w:b/>
          <w:bCs/>
          <w:sz w:val="44"/>
          <w:szCs w:val="44"/>
          <w:highlight w:val="none"/>
          <w:lang w:val="en-US" w:eastAsia="zh-CN"/>
        </w:rPr>
        <w:t xml:space="preserve">沭阳县第一人民医院康复设备采购项目（二）</w:t>
      </w:r>
      <w:r>
        <w:rPr>
          <w:rFonts w:hint="eastAsia" w:ascii="宋体" w:hAnsi="宋体" w:eastAsia="宋体" w:cs="宋体"/>
          <w:b/>
          <w:bCs/>
          <w:sz w:val="52"/>
          <w:szCs w:val="52"/>
          <w:highlight w:val="none"/>
          <w:lang w:val="en-US"/>
        </w:rPr>
      </w:r>
      <w:r/>
    </w:p>
    <w:p>
      <w:pPr>
        <w:pStyle w:val="718"/>
        <w:ind w:right="120"/>
        <w:jc w:val="center"/>
        <w:spacing w:line="360" w:lineRule="auto"/>
        <w:rPr>
          <w:rFonts w:hint="eastAsia" w:ascii="宋体" w:hAnsi="宋体" w:eastAsia="宋体" w:cs="宋体"/>
          <w:b/>
          <w:bCs/>
          <w:sz w:val="72"/>
          <w:szCs w:val="72"/>
          <w:highlight w:val="none"/>
          <w:lang w:eastAsia="zh-CN"/>
        </w:rPr>
      </w:pPr>
      <w:r>
        <w:rPr>
          <w:rFonts w:hint="eastAsia" w:ascii="宋体" w:hAnsi="宋体" w:eastAsia="宋体" w:cs="宋体"/>
          <w:sz w:val="36"/>
          <w:szCs w:val="36"/>
          <w:highlight w:val="none"/>
        </w:rPr>
        <w:t xml:space="preserve">项目编号：</w:t>
      </w:r>
      <w:r>
        <w:rPr>
          <w:rFonts w:hint="eastAsia" w:ascii="宋体" w:hAnsi="宋体" w:eastAsia="宋体" w:cs="宋体"/>
          <w:sz w:val="36"/>
          <w:szCs w:val="36"/>
          <w:highlight w:val="none"/>
          <w:lang w:eastAsia="zh-CN"/>
        </w:rPr>
        <w:t xml:space="preserve">JSZC-321322-JSHY-G2026-0016</w:t>
      </w:r>
      <w:r>
        <w:rPr>
          <w:rFonts w:hint="eastAsia" w:ascii="宋体" w:hAnsi="宋体" w:eastAsia="宋体" w:cs="宋体"/>
          <w:b/>
          <w:bCs/>
          <w:sz w:val="72"/>
          <w:szCs w:val="72"/>
          <w:highlight w:val="none"/>
          <w:lang w:eastAsia="zh-CN"/>
        </w:rPr>
      </w:r>
      <w:r/>
    </w:p>
    <w:p>
      <w:pPr>
        <w:pStyle w:val="718"/>
        <w:ind w:right="120"/>
        <w:jc w:val="both"/>
        <w:spacing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pStyle w:val="718"/>
        <w:ind w:right="120"/>
        <w:jc w:val="both"/>
        <w:spacing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pStyle w:val="718"/>
        <w:ind w:right="120"/>
        <w:jc w:val="center"/>
        <w:spacing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招标文件</w:t>
      </w:r>
      <w:r>
        <w:rPr>
          <w:rFonts w:hint="eastAsia" w:ascii="宋体" w:hAnsi="宋体" w:eastAsia="宋体" w:cs="宋体"/>
          <w:b/>
          <w:bCs/>
          <w:sz w:val="72"/>
          <w:szCs w:val="72"/>
          <w:highlight w:val="none"/>
        </w:rPr>
      </w:r>
      <w:r/>
    </w:p>
    <w:p>
      <w:pPr>
        <w:pStyle w:val="718"/>
        <w:ind w:right="120"/>
        <w:jc w:val="both"/>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ind w:firstLine="2520"/>
        <w:jc w:val="both"/>
        <w:spacing w:line="360" w:lineRule="auto"/>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t xml:space="preserve">采购人：沭阳县第一人民医院</w:t>
      </w:r>
      <w:r>
        <w:rPr>
          <w:rFonts w:hint="eastAsia" w:ascii="宋体" w:hAnsi="宋体" w:eastAsia="宋体" w:cs="宋体"/>
          <w:color w:val="000000"/>
          <w:sz w:val="36"/>
          <w:szCs w:val="36"/>
          <w:lang w:val="en-US" w:eastAsia="zh-CN"/>
        </w:rPr>
      </w:r>
      <w:r/>
    </w:p>
    <w:p>
      <w:pPr>
        <w:pStyle w:val="718"/>
        <w:jc w:val="center"/>
        <w:spacing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lang w:val="en-US" w:eastAsia="zh-CN"/>
        </w:rPr>
        <w:t xml:space="preserve">    </w:t>
      </w:r>
      <w:r>
        <w:rPr>
          <w:rFonts w:hint="eastAsia" w:ascii="宋体" w:hAnsi="宋体" w:eastAsia="宋体" w:cs="宋体"/>
          <w:color w:val="000000"/>
          <w:sz w:val="36"/>
          <w:szCs w:val="36"/>
        </w:rPr>
        <w:t xml:space="preserve">采购代理机构</w:t>
      </w:r>
      <w:bookmarkStart w:id="0" w:name="EB467128df5f344d64af2c93ecdb42da19"/>
      <w:r>
        <w:rPr>
          <w:rFonts w:hint="eastAsia" w:ascii="宋体" w:hAnsi="宋体" w:eastAsia="宋体" w:cs="宋体"/>
          <w:color w:val="000000"/>
          <w:sz w:val="36"/>
          <w:szCs w:val="36"/>
          <w:lang w:eastAsia="zh-CN"/>
        </w:rPr>
        <w:t xml:space="preserve">：</w:t>
      </w:r>
      <w:r>
        <w:rPr>
          <w:rFonts w:hint="eastAsia" w:ascii="宋体" w:hAnsi="宋体" w:eastAsia="宋体" w:cs="宋体"/>
          <w:color w:val="000000"/>
          <w:sz w:val="36"/>
          <w:szCs w:val="36"/>
        </w:rPr>
        <w:t xml:space="preserve">江苏弘业国际技术工程有限公司</w:t>
      </w:r>
      <w:bookmarkEnd w:id="0"/>
      <w:r>
        <w:rPr>
          <w:rFonts w:hint="eastAsia" w:ascii="宋体" w:hAnsi="宋体" w:eastAsia="宋体" w:cs="宋体"/>
          <w:color w:val="000000"/>
          <w:sz w:val="36"/>
          <w:szCs w:val="36"/>
        </w:rPr>
      </w:r>
      <w:r/>
    </w:p>
    <w:p>
      <w:pPr>
        <w:pStyle w:val="718"/>
        <w:ind w:firstLine="2880"/>
        <w:jc w:val="both"/>
        <w:spacing w:before="120" w:after="120" w:line="360" w:lineRule="auto"/>
        <w:rPr>
          <w:rFonts w:hint="eastAsia" w:ascii="宋体" w:hAnsi="宋体" w:eastAsia="宋体" w:cs="宋体"/>
          <w:b/>
          <w:color w:val="000000"/>
          <w:sz w:val="32"/>
          <w:szCs w:val="24"/>
          <w:highlight w:val="none"/>
        </w:rPr>
      </w:pPr>
      <w:r>
        <w:rPr>
          <w:rFonts w:hint="eastAsia" w:ascii="宋体" w:hAnsi="宋体" w:eastAsia="宋体" w:cs="宋体"/>
          <w:color w:val="000000"/>
          <w:sz w:val="36"/>
          <w:szCs w:val="36"/>
        </w:rPr>
        <w:t xml:space="preserve">日期</w:t>
      </w:r>
      <w:r>
        <w:rPr>
          <w:rFonts w:hint="eastAsia" w:ascii="宋体" w:hAnsi="宋体" w:eastAsia="宋体" w:cs="宋体"/>
          <w:color w:val="000000"/>
          <w:sz w:val="36"/>
          <w:szCs w:val="36"/>
          <w:lang w:eastAsia="zh-CN"/>
        </w:rPr>
        <w:t xml:space="preserve">：</w:t>
      </w:r>
      <w:r>
        <w:rPr>
          <w:rFonts w:hint="eastAsia" w:ascii="宋体" w:hAnsi="宋体" w:eastAsia="宋体" w:cs="宋体"/>
          <w:color w:val="000000"/>
          <w:sz w:val="36"/>
          <w:szCs w:val="36"/>
        </w:rPr>
        <w:t xml:space="preserve">202</w:t>
      </w:r>
      <w:r>
        <w:rPr>
          <w:rFonts w:hint="eastAsia" w:ascii="宋体" w:hAnsi="宋体" w:eastAsia="宋体" w:cs="宋体"/>
          <w:color w:val="000000"/>
          <w:sz w:val="36"/>
          <w:szCs w:val="36"/>
          <w:lang w:val="en-US" w:eastAsia="zh-CN"/>
        </w:rPr>
        <w:t xml:space="preserve">6</w:t>
      </w:r>
      <w:r>
        <w:rPr>
          <w:rFonts w:hint="eastAsia" w:ascii="宋体" w:hAnsi="宋体" w:eastAsia="宋体" w:cs="宋体"/>
          <w:color w:val="000000"/>
          <w:sz w:val="36"/>
          <w:szCs w:val="36"/>
        </w:rPr>
        <w:t xml:space="preserve">年</w:t>
      </w:r>
      <w:r>
        <w:rPr>
          <w:rFonts w:hint="eastAsia" w:ascii="宋体" w:hAnsi="宋体" w:eastAsia="宋体" w:cs="宋体"/>
          <w:color w:val="000000"/>
          <w:sz w:val="36"/>
          <w:szCs w:val="36"/>
          <w:lang w:val="en-US" w:eastAsia="zh-CN"/>
        </w:rPr>
        <w:t xml:space="preserve">1</w:t>
      </w:r>
      <w:r>
        <w:rPr>
          <w:rFonts w:hint="eastAsia" w:ascii="宋体" w:hAnsi="宋体" w:eastAsia="宋体" w:cs="宋体"/>
          <w:color w:val="000000"/>
          <w:sz w:val="36"/>
          <w:szCs w:val="36"/>
        </w:rPr>
        <w:t xml:space="preserve">月</w:t>
      </w:r>
      <w:r>
        <w:rPr>
          <w:rFonts w:hint="eastAsia" w:ascii="宋体" w:hAnsi="宋体" w:eastAsia="宋体" w:cs="宋体"/>
          <w:b/>
          <w:color w:val="000000"/>
          <w:sz w:val="32"/>
          <w:szCs w:val="24"/>
          <w:highlight w:val="none"/>
        </w:rPr>
      </w:r>
      <w:r/>
    </w:p>
    <w:p>
      <w:pPr>
        <w:pStyle w:val="718"/>
        <w:jc w:val="center"/>
        <w:keepLines/>
        <w:keepNext/>
        <w:pageBreakBefore/>
        <w:spacing w:line="360" w:lineRule="auto"/>
        <w:rPr>
          <w:rFonts w:hint="eastAsia"/>
          <w:b/>
          <w:color w:val="000000"/>
          <w:sz w:val="44"/>
          <w:szCs w:val="44"/>
          <w:highlight w:val="none"/>
        </w:rPr>
        <w:sectPr>
          <w:headerReference w:type="default" r:id="rId9"/>
          <w:footerReference w:type="first" r:id="rId10"/>
          <w:footnotePr/>
          <w:endnotePr/>
          <w:type w:val="nextPage"/>
          <w:pgSz w:w="11907" w:h="16840" w:orient="portrait"/>
          <w:pgMar w:top="1440" w:right="1080" w:bottom="1440" w:left="1080" w:header="851" w:footer="851" w:gutter="0"/>
          <w:cols w:num="1" w:sep="0" w:space="1701" w:equalWidth="1"/>
          <w:docGrid w:linePitch="360"/>
        </w:sectPr>
      </w:pPr>
      <w:r>
        <w:rPr>
          <w:rFonts w:hint="eastAsia"/>
          <w:b/>
          <w:color w:val="000000"/>
          <w:sz w:val="44"/>
          <w:szCs w:val="44"/>
          <w:highlight w:val="none"/>
        </w:rPr>
      </w:r>
      <w:r/>
    </w:p>
    <w:p>
      <w:pPr>
        <w:pStyle w:val="718"/>
        <w:jc w:val="center"/>
        <w:keepLines/>
        <w:keepNext/>
        <w:pageBreakBefore/>
        <w:spacing w:line="360" w:lineRule="auto"/>
        <w:rPr>
          <w:b/>
          <w:color w:val="000000"/>
          <w:sz w:val="44"/>
          <w:szCs w:val="44"/>
          <w:highlight w:val="none"/>
        </w:rPr>
      </w:pPr>
      <w:r>
        <w:rPr>
          <w:rFonts w:hint="eastAsia"/>
          <w:b/>
          <w:color w:val="000000"/>
          <w:sz w:val="44"/>
          <w:szCs w:val="44"/>
          <w:highlight w:val="none"/>
        </w:rPr>
        <w:t xml:space="preserve">目 录</w:t>
      </w:r>
      <w:r>
        <w:rPr>
          <w:b/>
          <w:color w:val="000000"/>
          <w:sz w:val="44"/>
          <w:szCs w:val="44"/>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_Toc10813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第一章  投标邀请</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_Toc10813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1</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_Toc9425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第二章  </w:t>
      </w:r>
      <w:r>
        <w:rPr>
          <w:rFonts w:hint="eastAsia" w:ascii="宋体" w:hAnsi="宋体" w:eastAsia="宋体" w:cs="宋体"/>
          <w:b w:val="0"/>
          <w:bCs w:val="0"/>
          <w:color w:val="000000"/>
          <w:sz w:val="32"/>
          <w:highlight w:val="none"/>
          <w:lang w:eastAsia="zh-CN"/>
        </w:rPr>
        <w:t xml:space="preserve">供应商</w:t>
      </w:r>
      <w:r>
        <w:rPr>
          <w:rFonts w:hint="eastAsia" w:ascii="宋体" w:hAnsi="宋体" w:eastAsia="宋体" w:cs="宋体"/>
          <w:b w:val="0"/>
          <w:bCs w:val="0"/>
          <w:color w:val="000000"/>
          <w:sz w:val="32"/>
          <w:highlight w:val="none"/>
        </w:rPr>
        <w:t xml:space="preserve">须知</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_Toc9425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7</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_Toc17996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第三章  评标方法与评标标准</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_Toc17996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_Toc22314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第四章  采购需求</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_Toc22314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_Toc2513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第五章  合同文本</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_Toc2513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59</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color w:val="000000"/>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_Toc12937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第六章  投标文件格式</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_Toc12937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64</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18"/>
        <w:jc w:val="left"/>
        <w:rPr>
          <w:rFonts w:hint="eastAsia" w:ascii="Calibri" w:hAnsi="Calibri"/>
          <w:sz w:val="21"/>
          <w:szCs w:val="22"/>
          <w:lang w:val="en-US" w:eastAsia="zh-CN" w:bidi="ar-SA"/>
        </w:rPr>
        <w:sectPr>
          <w:footerReference w:type="default" r:id="rId11"/>
          <w:footnotePr/>
          <w:endnotePr/>
          <w:type w:val="nextPage"/>
          <w:pgSz w:w="11907" w:h="16840" w:orient="portrait"/>
          <w:pgMar w:top="1440" w:right="1080" w:bottom="1440" w:left="1080" w:header="851" w:footer="851" w:gutter="0"/>
          <w:pgNumType w:start="1"/>
          <w:cols w:num="1" w:sep="0" w:space="1701" w:equalWidth="1"/>
          <w:docGrid w:linePitch="360"/>
        </w:sectPr>
      </w:pPr>
      <w:r/>
      <w:bookmarkStart w:id="1" w:name="_Toc81575152"/>
      <w:r/>
      <w:bookmarkStart w:id="2" w:name="_Toc81575189"/>
      <w:r>
        <w:rPr>
          <w:rFonts w:hint="eastAsia" w:ascii="Calibri" w:hAnsi="Calibri"/>
          <w:sz w:val="21"/>
          <w:szCs w:val="22"/>
          <w:lang w:val="en-US" w:eastAsia="zh-CN" w:bidi="ar-SA"/>
        </w:rPr>
      </w:r>
      <w:r/>
    </w:p>
    <w:p>
      <w:pPr>
        <w:pStyle w:val="719"/>
        <w:jc w:val="center"/>
        <w:spacing w:before="200" w:line="360" w:lineRule="auto"/>
        <w:rPr>
          <w:rFonts w:hint="eastAsia" w:eastAsia="黑体"/>
          <w:color w:val="000000"/>
          <w:sz w:val="44"/>
          <w:highlight w:val="none"/>
        </w:rPr>
      </w:pPr>
      <w:r/>
      <w:bookmarkStart w:id="3" w:name="_Toc10813"/>
      <w:r/>
      <w:bookmarkStart w:id="4" w:name="_Toc30943"/>
      <w:r/>
      <w:bookmarkStart w:id="5" w:name="_Toc25722"/>
      <w:r>
        <w:rPr>
          <w:rFonts w:hint="eastAsia" w:eastAsia="黑体"/>
          <w:color w:val="000000"/>
          <w:sz w:val="44"/>
          <w:highlight w:val="none"/>
        </w:rPr>
        <w:t xml:space="preserve">第一章  投标邀请</w:t>
      </w:r>
      <w:bookmarkEnd w:id="1"/>
      <w:r/>
      <w:bookmarkEnd w:id="2"/>
      <w:r/>
      <w:bookmarkEnd w:id="3"/>
      <w:r/>
      <w:bookmarkEnd w:id="4"/>
      <w:r/>
      <w:bookmarkEnd w:id="5"/>
      <w:r>
        <w:rPr>
          <w:rFonts w:hint="eastAsia" w:eastAsia="黑体"/>
          <w:color w:val="000000"/>
          <w:sz w:val="4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eastAsia="宋体" w:cs="宋体"/>
          <w:color w:val="000000"/>
          <w:sz w:val="24"/>
          <w:szCs w:val="24"/>
          <w:highlight w:val="none"/>
          <w:u w:val="none"/>
          <w:lang w:val="en-US" w:eastAsia="zh-CN"/>
        </w:rPr>
        <w:t xml:space="preserve">沭阳县第一人民医院</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江苏弘业国际技术工程有限公司</w:t>
      </w:r>
      <w:r>
        <w:rPr>
          <w:rFonts w:hint="eastAsia" w:ascii="宋体" w:hAnsi="宋体" w:eastAsia="宋体" w:cs="宋体"/>
          <w:color w:val="000000"/>
          <w:sz w:val="24"/>
          <w:szCs w:val="24"/>
          <w:highlight w:val="none"/>
          <w:u w:val="none"/>
        </w:rPr>
        <w:t xml:space="preserve">就</w:t>
      </w:r>
      <w:r>
        <w:rPr>
          <w:rFonts w:hint="eastAsia" w:ascii="宋体" w:hAnsi="宋体" w:eastAsia="宋体" w:cs="宋体"/>
          <w:color w:val="000000"/>
          <w:sz w:val="24"/>
          <w:szCs w:val="24"/>
          <w:highlight w:val="none"/>
          <w:u w:val="none"/>
          <w:lang w:val="en-US" w:eastAsia="zh-CN"/>
        </w:rPr>
        <w:t xml:space="preserve">康复设备</w:t>
      </w:r>
      <w:r>
        <w:rPr>
          <w:rFonts w:hint="eastAsia" w:ascii="宋体" w:hAnsi="宋体" w:eastAsia="宋体" w:cs="宋体"/>
          <w:color w:val="000000"/>
          <w:sz w:val="24"/>
          <w:szCs w:val="24"/>
          <w:highlight w:val="none"/>
          <w:u w:val="none"/>
        </w:rPr>
        <w:t xml:space="preserve">采购项目</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t xml:space="preserve">JSZC-321322-JSHY-G2026-0016</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进</w:t>
      </w:r>
      <w:r>
        <w:rPr>
          <w:rFonts w:hint="eastAsia" w:ascii="宋体" w:hAnsi="宋体" w:eastAsia="宋体" w:cs="宋体"/>
          <w:color w:val="000000"/>
          <w:sz w:val="24"/>
          <w:szCs w:val="24"/>
          <w:highlight w:val="none"/>
        </w:rPr>
        <w:t xml:space="preserve">行公开招标采购，欢迎符合条件的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none"/>
          <w:lang w:val="en-US" w:eastAsia="zh-CN"/>
        </w:rPr>
        <w:t xml:space="preserve">沭阳县第一人民医院康复设备采购项目（二）</w:t>
      </w:r>
      <w:r>
        <w:rPr>
          <w:rFonts w:hint="eastAsia" w:ascii="宋体" w:hAnsi="宋体" w:eastAsia="宋体" w:cs="宋体"/>
          <w:color w:val="000000"/>
          <w:sz w:val="24"/>
          <w:szCs w:val="24"/>
          <w:highlight w:val="none"/>
          <w:u w:val="none"/>
          <w:lang w:eastAsia="zh-CN"/>
        </w:rPr>
        <w:t xml:space="preserve">JSZC-321322-JSHY-G2026-0016</w:t>
      </w:r>
      <w:r>
        <w:rPr>
          <w:rFonts w:hint="eastAsia" w:ascii="宋体" w:hAnsi="宋体" w:eastAsia="宋体" w:cs="宋体"/>
          <w:color w:val="000000"/>
          <w:sz w:val="24"/>
          <w:szCs w:val="24"/>
          <w:highlight w:val="none"/>
          <w:u w:val="none"/>
        </w:rPr>
        <w:t xml:space="preserve">招标项目的潜在</w:t>
      </w:r>
      <w:r>
        <w:rPr>
          <w:rFonts w:hint="eastAsia" w:ascii="宋体" w:hAnsi="宋体" w:eastAsia="宋体" w:cs="宋体"/>
          <w:color w:val="000000"/>
          <w:sz w:val="24"/>
          <w:szCs w:val="24"/>
          <w:highlight w:val="none"/>
          <w:u w:val="none"/>
          <w:lang w:eastAsia="zh-CN"/>
        </w:rPr>
        <w:t xml:space="preserve">供应商</w:t>
      </w:r>
      <w:r>
        <w:rPr>
          <w:rFonts w:hint="eastAsia" w:ascii="宋体" w:hAnsi="宋体" w:eastAsia="宋体" w:cs="宋体"/>
          <w:color w:val="000000"/>
          <w:sz w:val="24"/>
          <w:szCs w:val="24"/>
          <w:highlight w:val="none"/>
          <w:u w:val="none"/>
        </w:rPr>
        <w:t xml:space="preserve">应在“苏采云”系统内免费下载（</w:t>
      </w:r>
      <w:r>
        <w:rPr>
          <w:rFonts w:hint="eastAsia" w:ascii="宋体" w:hAnsi="宋体" w:eastAsia="宋体" w:cs="宋体"/>
          <w:color w:val="000000"/>
          <w:sz w:val="24"/>
          <w:szCs w:val="24"/>
          <w:highlight w:val="none"/>
          <w:u w:val="none"/>
          <w:lang w:eastAsia="zh-CN"/>
        </w:rPr>
        <w:t xml:space="preserve">供应商</w:t>
      </w:r>
      <w:r>
        <w:rPr>
          <w:rFonts w:hint="eastAsia" w:ascii="宋体" w:hAnsi="宋体" w:eastAsia="宋体" w:cs="宋体"/>
          <w:color w:val="000000"/>
          <w:sz w:val="24"/>
          <w:szCs w:val="24"/>
          <w:highlight w:val="none"/>
          <w:u w:val="none"/>
        </w:rPr>
        <w:t xml:space="preserve">必须在苏采云系统中获取采购文件，方能参与政府采购项目）获取招标文件，并于</w:t>
      </w:r>
      <w:r>
        <w:rPr>
          <w:rFonts w:hint="eastAsia" w:ascii="宋体" w:hAnsi="宋体" w:eastAsia="宋体" w:cs="宋体"/>
          <w:color w:val="000000"/>
          <w:sz w:val="24"/>
          <w:szCs w:val="24"/>
          <w:highlight w:val="none"/>
          <w:u w:val="none"/>
          <w:lang w:eastAsia="zh-CN"/>
        </w:rPr>
        <w:t xml:space="preserve">202</w:t>
      </w: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eastAsia="zh-CN"/>
        </w:rPr>
        <w:t xml:space="preserve">年</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eastAsia="zh-CN"/>
        </w:rPr>
        <w:t xml:space="preserve">月</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eastAsia="zh-CN"/>
        </w:rPr>
        <w:t xml:space="preserve">日 1</w:t>
      </w:r>
      <w:r>
        <w:rPr>
          <w:rFonts w:hint="eastAsia" w:ascii="宋体" w:hAnsi="宋体" w:eastAsia="宋体" w:cs="宋体"/>
          <w:color w:val="000000"/>
          <w:sz w:val="24"/>
          <w:szCs w:val="24"/>
          <w:highlight w:val="none"/>
          <w:u w:val="none"/>
          <w:lang w:val="en-US" w:eastAsia="zh-CN"/>
        </w:rPr>
        <w:t xml:space="preserve">4</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0</w:t>
      </w:r>
      <w:r>
        <w:rPr>
          <w:rFonts w:hint="eastAsia" w:ascii="宋体" w:hAnsi="宋体" w:eastAsia="宋体" w:cs="宋体"/>
          <w:color w:val="000000"/>
          <w:sz w:val="24"/>
          <w:szCs w:val="24"/>
          <w:highlight w:val="none"/>
          <w:u w:val="none"/>
          <w:lang w:eastAsia="zh-CN"/>
        </w:rPr>
        <w:t xml:space="preserve">0</w:t>
      </w:r>
      <w:r>
        <w:rPr>
          <w:rFonts w:hint="eastAsia" w:ascii="宋体" w:hAnsi="宋体" w:eastAsia="宋体" w:cs="宋体"/>
          <w:color w:val="000000"/>
          <w:sz w:val="24"/>
          <w:szCs w:val="24"/>
          <w:highlight w:val="none"/>
          <w:u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6" w:name="_Toc38985263"/>
      <w:r/>
      <w:bookmarkStart w:id="7" w:name="_Toc35393790"/>
      <w:r/>
      <w:bookmarkStart w:id="8" w:name="_Toc28359002"/>
      <w:r/>
      <w:bookmarkStart w:id="9" w:name="_Toc28359079"/>
      <w:r/>
      <w:bookmarkStart w:id="10" w:name="_Toc35393621"/>
      <w:r/>
      <w:bookmarkStart w:id="11" w:name="_Toc2584"/>
      <w:r/>
      <w:bookmarkStart w:id="12" w:name="_Hlk24379207"/>
      <w:r>
        <w:rPr>
          <w:rFonts w:hint="eastAsia" w:ascii="宋体" w:hAnsi="宋体" w:eastAsia="宋体" w:cs="宋体"/>
          <w:bCs/>
          <w:color w:val="000000"/>
          <w:szCs w:val="2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JSZC-321322-JSHY-G2026-0016</w:t>
      </w:r>
      <w:r>
        <w:rPr>
          <w:rFonts w:hint="eastAsia" w:ascii="宋体" w:hAnsi="宋体" w:eastAsia="宋体" w:cs="宋体"/>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bookmarkEnd w:id="12"/>
      <w:r>
        <w:rPr>
          <w:rFonts w:hint="eastAsia" w:ascii="宋体" w:hAnsi="宋体" w:eastAsia="宋体" w:cs="宋体"/>
          <w:color w:val="000000"/>
          <w:sz w:val="24"/>
          <w:szCs w:val="24"/>
          <w:highlight w:val="none"/>
          <w:u w:val="none"/>
          <w:lang w:val="en-US" w:eastAsia="zh-CN"/>
        </w:rPr>
        <w:t xml:space="preserve">沭阳县第一人民医院康复设备采购项目（二）</w:t>
      </w:r>
      <w:r>
        <w:rPr>
          <w:rFonts w:hint="eastAsia" w:ascii="宋体" w:hAnsi="宋体" w:eastAsia="宋体" w:cs="宋体"/>
          <w:color w:val="000000"/>
          <w:sz w:val="24"/>
          <w:szCs w:val="24"/>
          <w:highlight w:val="none"/>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213.3万元</w:t>
      </w:r>
      <w:r>
        <w:rPr>
          <w:rFonts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3" w:name="EB6c1f3d39c6914ae1bada8ccaa777b37a"/>
      <w:r>
        <w:rPr>
          <w:rFonts w:hint="eastAsia" w:ascii="宋体" w:hAnsi="宋体" w:eastAsia="宋体" w:cs="宋体"/>
          <w:color w:val="000000"/>
          <w:sz w:val="24"/>
          <w:szCs w:val="24"/>
          <w:highlight w:val="none"/>
        </w:rPr>
        <w:t xml:space="preserve">本项目最高限价为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213.3万元</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bookmarkEnd w:id="13"/>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r>
      <w:r/>
    </w:p>
    <w:tbl>
      <w:tblPr>
        <w:tblW w:w="9345" w:type="dxa"/>
        <w:jc w:val="center"/>
        <w:tblInd w:w="-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725"/>
        <w:gridCol w:w="4647"/>
        <w:gridCol w:w="1983"/>
      </w:tblGrid>
      <w:tr>
        <w:trPr>
          <w:trHeight w:val="642"/>
        </w:trPr>
        <w:tc>
          <w:tcPr>
            <w:tcW w:w="990"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w:t>
            </w:r>
            <w:r>
              <w:rPr>
                <w:rFonts w:hint="eastAsia" w:ascii="宋体" w:hAnsi="宋体" w:eastAsia="宋体" w:cs="宋体"/>
                <w:b/>
                <w:bCs/>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品目</w:t>
            </w:r>
            <w:r>
              <w:rPr>
                <w:rFonts w:ascii="宋体" w:hAnsi="宋体" w:eastAsia="宋体" w:cs="宋体"/>
                <w:b/>
                <w:bCs/>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名称</w:t>
            </w:r>
            <w:r>
              <w:rPr>
                <w:rFonts w:hint="eastAsia" w:ascii="宋体" w:hAnsi="宋体" w:eastAsia="宋体" w:cs="宋体"/>
                <w:b/>
                <w:bCs/>
                <w:color w:val="000000"/>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r>
      <w:tr>
        <w:trPr>
          <w:trHeight w:val="441"/>
        </w:trPr>
        <w:tc>
          <w:tcPr>
            <w:tcW w:w="990" w:type="dxa"/>
            <w:vAlign w:val="center"/>
            <w:vMerge w:val="restart"/>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康复科设备</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五官超短波电疗仪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脑电治疗仪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吞咽神经和肌肉电刺激仪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脉冲磁治疗仪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超声波治疗仪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神经系统康复评估工作站</w:t>
            </w:r>
            <w:r>
              <w:rPr>
                <w:rFonts w:hint="eastAsia" w:ascii="宋体" w:hAnsi="宋体" w:eastAsia="宋体" w:cs="宋体"/>
                <w:sz w:val="24"/>
                <w:szCs w:val="24"/>
                <w:highlight w:val="none"/>
                <w:lang w:val="en-US" w:eastAsia="zh-CN"/>
              </w:rPr>
            </w:r>
            <w:r/>
          </w:p>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（神经肌肉刺激治疗仪）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1套</w:t>
            </w:r>
            <w:r>
              <w:rPr>
                <w:rFonts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平衡测试及训练系统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电动牵引床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多功能训练器（八件组合）</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训练用阶梯（三向楼梯）</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PT凳</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PT床（电动）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电动站立架</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骨科康复设备</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生物反馈治疗仪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干扰电治疗仪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空气波压力治疗仪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便捷式手功能康复系统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床旁（下肢）主被动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四肢联动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下肢CPM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盆底生物反馈治疗仪（核心产品）</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电动升降床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站立床（电动起立床）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上下肢主被动康复训练系统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品目二十八</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肢体低频治疗仪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品目二十九</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中频电疗仪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熏蒸治疗仪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红外线烤灯</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磁刺激仪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采购包1预算总计为213.3万元。</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本项目不接受进口产品投标。</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特别说明：该采购包1为一个整体，供应商参与投标须对采购包1所有品目进行投标。</w:t>
            </w:r>
            <w:r>
              <w:rPr>
                <w:rFonts w:ascii="宋体" w:hAnsi="宋体" w:eastAsia="宋体" w:cs="宋体"/>
                <w:color w:val="000000"/>
                <w:sz w:val="24"/>
                <w:szCs w:val="24"/>
                <w:highlight w:val="none"/>
                <w:lang w:val="en-US" w:eastAsia="zh-CN"/>
              </w:rPr>
            </w:r>
            <w:r/>
          </w:p>
        </w:tc>
      </w:tr>
    </w:tbl>
    <w:p>
      <w:pPr>
        <w:pStyle w:val="718"/>
        <w:ind w:firstLine="0"/>
        <w:spacing w:line="24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aps w:val="0"/>
          <w:color w:val="000000"/>
          <w:sz w:val="24"/>
          <w:szCs w:val="24"/>
        </w:rPr>
        <w:t xml:space="preserve">（详细内容见本招标文件第四章）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aps w:val="0"/>
          <w:color w:val="000000"/>
          <w:sz w:val="24"/>
          <w:szCs w:val="24"/>
          <w:highlight w:val="none"/>
          <w:lang w:val="en-US" w:eastAsia="zh-CN"/>
        </w:rPr>
        <w:t xml:space="preserve">合同签订后</w:t>
      </w:r>
      <w:r>
        <w:rPr>
          <w:rFonts w:hint="eastAsia" w:ascii="宋体" w:hAnsi="宋体" w:cs="宋体"/>
          <w:caps w:val="0"/>
          <w:color w:val="000000"/>
          <w:sz w:val="24"/>
          <w:szCs w:val="24"/>
          <w:highlight w:val="none"/>
          <w:lang w:val="en-US" w:eastAsia="zh-CN"/>
        </w:rPr>
        <w:t xml:space="preserve">30</w:t>
      </w:r>
      <w:r>
        <w:rPr>
          <w:rFonts w:hint="eastAsia" w:ascii="宋体" w:hAnsi="宋体" w:eastAsia="宋体" w:cs="宋体"/>
          <w:caps w:val="0"/>
          <w:color w:val="000000"/>
          <w:sz w:val="24"/>
          <w:szCs w:val="24"/>
          <w:highlight w:val="none"/>
          <w:lang w:val="en-US" w:eastAsia="zh-CN"/>
        </w:rPr>
        <w:t xml:space="preserve">日内交付采购人</w:t>
      </w:r>
      <w:r>
        <w:rPr>
          <w:rFonts w:hint="eastAsia" w:ascii="宋体" w:hAnsi="宋体" w:cs="宋体"/>
          <w:caps w:val="0"/>
          <w:color w:val="000000"/>
          <w:sz w:val="24"/>
          <w:szCs w:val="24"/>
          <w:highlight w:val="none"/>
          <w:lang w:val="en-US" w:eastAsia="zh-CN"/>
        </w:rPr>
        <w:t xml:space="preserve">使用</w:t>
      </w:r>
      <w:r>
        <w:rPr>
          <w:rFonts w:hint="eastAsia" w:ascii="宋体" w:hAnsi="宋体" w:eastAsia="宋体" w:cs="宋体"/>
          <w:caps w:val="0"/>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18"/>
        <w:ind w:firstLine="480"/>
        <w:spacing w:line="360" w:lineRule="auto"/>
        <w:rPr>
          <w:rFonts w:hint="eastAsia" w:ascii="Calibri" w:hAnsi="Calibri"/>
          <w:sz w:val="21"/>
          <w:szCs w:val="22"/>
          <w:lang w:val="en-US" w:eastAsia="zh-CN" w:bidi="ar-SA"/>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none"/>
        </w:rPr>
        <w:t xml:space="preserve">不接受</w:t>
      </w:r>
      <w:r>
        <w:rPr>
          <w:rFonts w:hint="eastAsia" w:ascii="宋体" w:hAnsi="宋体" w:eastAsia="宋体" w:cs="宋体"/>
          <w:color w:val="000000"/>
          <w:sz w:val="24"/>
          <w:szCs w:val="24"/>
          <w:highlight w:val="none"/>
        </w:rPr>
        <w:t xml:space="preserve">联合体投标。</w:t>
      </w:r>
      <w:r>
        <w:rPr>
          <w:rFonts w:hint="eastAsia" w:ascii="Calibri" w:hAnsi="Calibri"/>
          <w:sz w:val="21"/>
          <w:szCs w:val="22"/>
          <w:lang w:val="en-US" w:eastAsia="zh-CN" w:bidi="ar-SA"/>
        </w:rPr>
      </w:r>
      <w:r/>
    </w:p>
    <w:p>
      <w:pPr>
        <w:pStyle w:val="720"/>
        <w:spacing w:before="0" w:after="0" w:line="360" w:lineRule="auto"/>
        <w:rPr>
          <w:rFonts w:hint="eastAsia" w:ascii="宋体" w:hAnsi="宋体" w:eastAsia="宋体" w:cs="宋体"/>
          <w:bCs/>
          <w:color w:val="000000"/>
          <w:szCs w:val="22"/>
          <w:highlight w:val="none"/>
        </w:rPr>
      </w:pPr>
      <w:r/>
      <w:bookmarkStart w:id="14" w:name="_Toc27291"/>
      <w:r/>
      <w:bookmarkStart w:id="15" w:name="_Toc38985264"/>
      <w:r/>
      <w:bookmarkStart w:id="16" w:name="_Toc28359003"/>
      <w:r/>
      <w:bookmarkStart w:id="17" w:name="_Toc35393622"/>
      <w:r/>
      <w:bookmarkStart w:id="18" w:name="_Toc28359080"/>
      <w:r/>
      <w:bookmarkStart w:id="19" w:name="_Toc35393791"/>
      <w:r>
        <w:rPr>
          <w:rFonts w:hint="eastAsia" w:ascii="宋体" w:hAnsi="宋体" w:eastAsia="宋体" w:cs="宋体"/>
          <w:bCs/>
          <w:color w:val="000000"/>
          <w:szCs w:val="22"/>
          <w:highlight w:val="none"/>
        </w:rPr>
        <w:t xml:space="preserve">二、申请人的资格要求</w:t>
      </w:r>
      <w:bookmarkEnd w:id="14"/>
      <w:r/>
      <w:bookmarkEnd w:id="15"/>
      <w:r/>
      <w:bookmarkEnd w:id="16"/>
      <w:r/>
      <w:bookmarkEnd w:id="17"/>
      <w:r/>
      <w:bookmarkEnd w:id="18"/>
      <w:r/>
      <w:bookmarkEnd w:id="19"/>
      <w:r/>
      <w:bookmarkStart w:id="20" w:name="_Toc28359004"/>
      <w:r/>
      <w:bookmarkStart w:id="21" w:name="_Toc38985265"/>
      <w:r/>
      <w:bookmarkStart w:id="22" w:name="_Toc35393623"/>
      <w:r/>
      <w:bookmarkStart w:id="23" w:name="_Toc28359081"/>
      <w:r/>
      <w:bookmarkStart w:id="24" w:name="_Toc35393792"/>
      <w:r>
        <w:rPr>
          <w:rFonts w:hint="eastAsia" w:ascii="宋体" w:hAnsi="宋体" w:eastAsia="宋体" w:cs="宋体"/>
          <w:bCs/>
          <w:color w:val="000000"/>
          <w:szCs w:val="22"/>
          <w:highlight w:val="none"/>
        </w:rPr>
      </w:r>
      <w:r/>
    </w:p>
    <w:p>
      <w:pPr>
        <w:pStyle w:val="720"/>
        <w:ind w:firstLine="480"/>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（一）通用资格要求</w:t>
      </w:r>
      <w:r>
        <w:rPr>
          <w:rFonts w:hint="eastAsia" w:ascii="宋体" w:hAnsi="宋体" w:eastAsia="宋体" w:cs="宋体"/>
          <w:b w:val="0"/>
          <w:bCs/>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caps w:val="0"/>
          <w:color w:val="000000"/>
          <w:sz w:val="24"/>
          <w:szCs w:val="24"/>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w:t>
      </w:r>
      <w:r>
        <w:rPr>
          <w:rFonts w:hint="eastAsia" w:ascii="宋体" w:hAnsi="宋体" w:eastAsia="宋体" w:cs="宋体"/>
          <w:caps w:val="0"/>
          <w:color w:val="000000"/>
          <w:sz w:val="24"/>
          <w:szCs w:val="24"/>
          <w:highlight w:val="none"/>
        </w:rPr>
        <w:t xml:space="preserve">属于小型、微型企业的，不重复享受政策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提供中小企业声明函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lang w:eastAsia="zh-CN"/>
        </w:rPr>
      </w:r>
      <w:r/>
    </w:p>
    <w:p>
      <w:pPr>
        <w:pStyle w:val="71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718"/>
        <w:ind w:firstLine="420"/>
        <w:keepLines w:val="0"/>
        <w:keepNext w:val="0"/>
        <w:pageBreakBefore w:val="0"/>
        <w:spacing w:line="360" w:lineRule="auto"/>
        <w:widowControl w:val="off"/>
        <w:rPr>
          <w:rFonts w:hint="eastAsia" w:ascii="宋体" w:hAnsi="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投标产品按国家规定须</w:t>
      </w:r>
      <w:r>
        <w:rPr>
          <w:rFonts w:hint="eastAsia" w:ascii="宋体" w:hAnsi="宋体" w:eastAsia="宋体" w:cs="宋体"/>
          <w:caps w:val="0"/>
          <w:color w:val="000000"/>
          <w:sz w:val="24"/>
          <w:szCs w:val="24"/>
          <w:highlight w:val="none"/>
          <w:lang w:val="en-US" w:eastAsia="zh-CN"/>
        </w:rPr>
        <w:t xml:space="preserve">具有</w:t>
      </w:r>
      <w:r>
        <w:rPr>
          <w:rFonts w:hint="eastAsia" w:ascii="宋体" w:hAnsi="宋体" w:eastAsia="宋体" w:cs="宋体"/>
          <w:caps w:val="0"/>
          <w:color w:val="000000"/>
          <w:sz w:val="24"/>
          <w:szCs w:val="24"/>
          <w:highlight w:val="none"/>
        </w:rPr>
        <w:t xml:space="preserve">医疗器械注册证的，投标人须根据投标产品的类别</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提供投标产品的《医疗器械注册证》或医疗器械备案凭证及附表（复印件加盖公章）</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如投标产品</w:t>
      </w:r>
      <w:r>
        <w:rPr>
          <w:rFonts w:hint="eastAsia" w:ascii="宋体" w:hAnsi="宋体" w:eastAsia="宋体" w:cs="宋体"/>
          <w:caps w:val="0"/>
          <w:color w:val="000000"/>
          <w:sz w:val="24"/>
          <w:szCs w:val="24"/>
          <w:highlight w:val="none"/>
        </w:rPr>
        <w:t xml:space="preserve">按国家规定</w:t>
      </w:r>
      <w:r>
        <w:rPr>
          <w:rFonts w:hint="eastAsia" w:ascii="宋体" w:hAnsi="宋体" w:eastAsia="宋体" w:cs="宋体"/>
          <w:caps w:val="0"/>
          <w:color w:val="000000"/>
          <w:sz w:val="24"/>
          <w:szCs w:val="24"/>
          <w:highlight w:val="none"/>
          <w:lang w:val="en-US" w:eastAsia="zh-CN"/>
        </w:rPr>
        <w:t xml:space="preserve">为非医疗器械的，须提供非医疗器械产品声明函（格式自拟，请按照品目顺序提供）</w:t>
      </w:r>
      <w:r>
        <w:rPr>
          <w:rFonts w:hint="eastAsia" w:ascii="宋体" w:hAnsi="宋体" w:cs="宋体"/>
          <w:caps w:val="0"/>
          <w:color w:val="000000"/>
          <w:sz w:val="24"/>
          <w:szCs w:val="24"/>
          <w:highlight w:val="none"/>
          <w:lang w:eastAsia="zh-CN"/>
        </w:rPr>
        <w:t xml:space="preserve">。</w:t>
      </w:r>
      <w:r>
        <w:rPr>
          <w:rFonts w:hint="eastAsia" w:ascii="宋体" w:hAnsi="宋体" w:cs="宋体"/>
          <w:caps w:val="0"/>
          <w:color w:val="000000"/>
          <w:sz w:val="24"/>
          <w:szCs w:val="24"/>
          <w:highlight w:val="none"/>
          <w:lang w:eastAsia="zh-CN"/>
        </w:rPr>
      </w:r>
      <w:r/>
    </w:p>
    <w:p>
      <w:pPr>
        <w:pStyle w:val="718"/>
        <w:ind w:firstLine="420"/>
        <w:keepLines w:val="0"/>
        <w:keepNext w:val="0"/>
        <w:pageBreakBefore w:val="0"/>
        <w:spacing w:line="360" w:lineRule="auto"/>
        <w:widowControl w:val="off"/>
        <w:rPr>
          <w:rFonts w:hint="eastAsia" w:ascii="宋体" w:hAnsi="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eastAsia="zh-CN"/>
        </w:rPr>
        <w:t xml:space="preserve">.供应商</w:t>
      </w:r>
      <w:r>
        <w:rPr>
          <w:rFonts w:hint="eastAsia" w:ascii="宋体" w:hAnsi="宋体" w:eastAsia="宋体" w:cs="宋体"/>
          <w:caps w:val="0"/>
          <w:color w:val="000000"/>
          <w:sz w:val="24"/>
          <w:szCs w:val="24"/>
          <w:highlight w:val="none"/>
        </w:rPr>
        <w:t xml:space="preserve">为医疗器械经营企业的，须根据投标产品的类别，提供</w:t>
      </w:r>
      <w:r>
        <w:rPr>
          <w:rFonts w:hint="eastAsia" w:ascii="宋体" w:hAnsi="宋体" w:eastAsia="宋体" w:cs="宋体"/>
          <w:caps w:val="0"/>
          <w:color w:val="000000"/>
          <w:sz w:val="24"/>
          <w:szCs w:val="24"/>
          <w:highlight w:val="none"/>
          <w:lang w:eastAsia="zh-CN"/>
        </w:rPr>
        <w:t xml:space="preserve">供应商</w:t>
      </w:r>
      <w:r>
        <w:rPr>
          <w:rFonts w:hint="eastAsia" w:ascii="宋体" w:hAnsi="宋体" w:eastAsia="宋体" w:cs="宋体"/>
          <w:caps w:val="0"/>
          <w:color w:val="000000"/>
          <w:sz w:val="24"/>
          <w:szCs w:val="24"/>
          <w:highlight w:val="none"/>
        </w:rPr>
        <w:t xml:space="preserve">的《医疗器械经营企业许可证》或者《医疗器械经营备案凭证》</w:t>
      </w:r>
      <w:r>
        <w:rPr>
          <w:rFonts w:hint="eastAsia" w:ascii="宋体" w:hAnsi="宋体" w:cs="宋体"/>
          <w:caps w:val="0"/>
          <w:color w:val="000000"/>
          <w:sz w:val="24"/>
          <w:szCs w:val="24"/>
          <w:highlight w:val="none"/>
          <w:lang w:eastAsia="zh-CN"/>
        </w:rPr>
        <w:t xml:space="preserve">。</w:t>
      </w:r>
      <w:r>
        <w:rPr>
          <w:rFonts w:hint="eastAsia" w:ascii="宋体" w:hAnsi="宋体" w:cs="宋体"/>
          <w:caps w:val="0"/>
          <w:color w:val="000000"/>
          <w:sz w:val="24"/>
          <w:szCs w:val="24"/>
          <w:highlight w:val="none"/>
          <w:lang w:eastAsia="zh-CN"/>
        </w:rPr>
      </w:r>
      <w:r/>
    </w:p>
    <w:p>
      <w:pPr>
        <w:pStyle w:val="71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3.医疗器械生产企业投标本企业产品的，须根据投标产品的类别，提供《医疗器械生产许可证》或《I类医疗器械生产备案凭证》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8"/>
        <w:ind w:firstLine="420"/>
        <w:keepLines w:val="0"/>
        <w:keepNext w:val="0"/>
        <w:pageBreakBefore w:val="0"/>
        <w:spacing w:line="360" w:lineRule="auto"/>
        <w:widowControl w:val="off"/>
        <w:rPr>
          <w:rFonts w:hint="eastAsia" w:ascii="宋体" w:hAnsi="宋体" w:eastAsia="宋体" w:cs="宋体"/>
          <w:b w:val="0"/>
          <w:cap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caps w:val="0"/>
          <w:color w:val="000000"/>
          <w:sz w:val="24"/>
          <w:szCs w:val="24"/>
          <w:highlight w:val="none"/>
          <w:lang w:val="en-US" w:eastAsia="zh-CN" w:bidi="ar-SA"/>
        </w:rPr>
        <w:t xml:space="preserve">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t xml:space="preserve">按要求</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b w:val="0"/>
          <w:caps w:val="0"/>
          <w:color w:val="000000"/>
          <w:sz w:val="24"/>
          <w:szCs w:val="24"/>
          <w:highlight w:val="none"/>
          <w:lang w:val="en-US" w:eastAsia="zh-CN" w:bidi="ar-SA"/>
        </w:rPr>
        <w:t xml:space="preserve">承诺函）。</w:t>
      </w:r>
      <w:bookmarkStart w:id="25" w:name="_Toc22204"/>
      <w:r>
        <w:rPr>
          <w:rFonts w:hint="eastAsia" w:ascii="宋体" w:hAnsi="宋体" w:eastAsia="宋体" w:cs="宋体"/>
          <w:b w:val="0"/>
          <w:caps w:val="0"/>
          <w:color w:val="000000"/>
          <w:sz w:val="24"/>
          <w:szCs w:val="24"/>
          <w:highlight w:val="none"/>
          <w:lang w:val="en-US" w:eastAsia="zh-CN" w:bidi="ar-SA"/>
        </w:rPr>
      </w:r>
      <w:r/>
    </w:p>
    <w:p>
      <w:pPr>
        <w:pStyle w:val="718"/>
        <w:spacing w:line="360" w:lineRule="auto"/>
        <w:rPr>
          <w:rFonts w:hint="eastAsia" w:ascii="宋体" w:hAnsi="宋体" w:eastAsia="宋体" w:cs="宋体"/>
          <w:bCs/>
          <w:color w:val="000000"/>
          <w:sz w:val="32"/>
          <w:szCs w:val="36"/>
          <w:highlight w:val="none"/>
        </w:rPr>
      </w:pPr>
      <w:r>
        <w:rPr>
          <w:rFonts w:hint="eastAsia" w:ascii="宋体" w:hAnsi="宋体" w:eastAsia="宋体" w:cs="宋体"/>
          <w:b/>
          <w:bCs w:val="0"/>
          <w:color w:val="000000"/>
          <w:sz w:val="32"/>
          <w:szCs w:val="36"/>
          <w:highlight w:val="none"/>
        </w:rPr>
        <w:t xml:space="preserve">三、获取招标文件</w:t>
      </w:r>
      <w:bookmarkEnd w:id="20"/>
      <w:r/>
      <w:bookmarkEnd w:id="21"/>
      <w:r/>
      <w:bookmarkEnd w:id="22"/>
      <w:r/>
      <w:bookmarkEnd w:id="23"/>
      <w:r/>
      <w:bookmarkEnd w:id="24"/>
      <w:r/>
      <w:bookmarkEnd w:id="25"/>
      <w:r>
        <w:rPr>
          <w:rFonts w:hint="eastAsia" w:ascii="宋体" w:hAnsi="宋体" w:eastAsia="宋体" w:cs="宋体"/>
          <w:bCs/>
          <w:color w:val="000000"/>
          <w:sz w:val="32"/>
          <w:szCs w:val="36"/>
          <w:highlight w:val="none"/>
        </w:rPr>
      </w:r>
      <w:r/>
    </w:p>
    <w:p>
      <w:pPr>
        <w:pStyle w:val="718"/>
        <w:ind w:firstLine="480"/>
        <w:spacing w:line="360" w:lineRule="auto"/>
        <w:rPr>
          <w:rFonts w:hint="eastAsia" w:ascii="宋体" w:hAnsi="宋体" w:eastAsia="宋体" w:cs="宋体"/>
          <w:color w:val="000000"/>
          <w:sz w:val="24"/>
          <w:szCs w:val="24"/>
          <w:highlight w:val="none"/>
        </w:rPr>
      </w:pPr>
      <w:r/>
      <w:bookmarkStart w:id="26" w:name="_Toc28359082"/>
      <w:r/>
      <w:bookmarkStart w:id="27" w:name="_Toc28359005"/>
      <w:r/>
      <w:bookmarkStart w:id="28" w:name="_Toc35393624"/>
      <w:r/>
      <w:bookmarkStart w:id="29" w:name="_Toc35393793"/>
      <w:r/>
      <w:bookmarkStart w:id="30" w:name="_Toc38985266"/>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招标公告发布之日起5个工作日。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2.地点：“苏采云”系统内免费下载（供应商必须在苏采云系统中获取采购文件，方能参与政府采购项目）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3.方式：供应商登录“江苏政府采购网”，在网站首页点击“苏采云”→使用CA锁登录系统（</w:t>
      </w:r>
      <w:r>
        <w:rPr>
          <w:rFonts w:hint="eastAsia" w:ascii="宋体" w:hAnsi="宋体" w:eastAsia="宋体" w:cs="宋体"/>
          <w:color w:val="000000"/>
          <w:sz w:val="24"/>
          <w:szCs w:val="24"/>
          <w:highlight w:val="none"/>
          <w:lang w:val="en-US" w:eastAsia="zh-CN"/>
        </w:rPr>
        <w:t xml:space="preserve">新用户需进行“平台用户注册”</w:t>
      </w:r>
      <w:r>
        <w:rPr>
          <w:rFonts w:hint="eastAsia" w:ascii="宋体" w:hAnsi="宋体" w:eastAsia="宋体" w:cs="宋体"/>
          <w:color w:val="000000"/>
          <w:sz w:val="24"/>
          <w:szCs w:val="24"/>
          <w:highlight w:val="none"/>
          <w:lang w:val="en-US" w:eastAsia="zh-CN"/>
        </w:rPr>
        <w:t xml:space="preserve">）→“项目参与”进行登记，在“可参与项目”中选择“我要参与”，参与成功后到“已参与项目”界面中找到该项目下载文件并进行操作。</w:t>
      </w:r>
      <w:r>
        <w:rPr>
          <w:rFonts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bookmarkStart w:id="31" w:name="EB0c44ff4da61f4af989d119fe214be450"/>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本项目共分</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个采购包。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未按要求获取招标文件，后果自负（其投标文件不予接受）。</w:t>
      </w:r>
      <w:bookmarkEnd w:id="31"/>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32" w:name="_Toc19148"/>
      <w:r>
        <w:rPr>
          <w:rFonts w:hint="eastAsia" w:ascii="宋体" w:hAnsi="宋体" w:eastAsia="宋体" w:cs="宋体"/>
          <w:bCs/>
          <w:color w:val="000000"/>
          <w:szCs w:val="22"/>
          <w:highlight w:val="none"/>
        </w:rPr>
        <w:t xml:space="preserve">四、提交投标文件</w:t>
      </w:r>
      <w:bookmarkEnd w:id="26"/>
      <w:r/>
      <w:bookmarkEnd w:id="27"/>
      <w:r>
        <w:rPr>
          <w:rFonts w:hint="eastAsia" w:ascii="宋体" w:hAnsi="宋体" w:eastAsia="宋体" w:cs="宋体"/>
          <w:bCs/>
          <w:color w:val="000000"/>
          <w:szCs w:val="22"/>
          <w:highlight w:val="none"/>
        </w:rPr>
        <w:t xml:space="preserve">截止时间、开标时间和地点</w:t>
      </w:r>
      <w:bookmarkEnd w:id="28"/>
      <w:r/>
      <w:bookmarkEnd w:id="29"/>
      <w:r/>
      <w:bookmarkEnd w:id="30"/>
      <w:r/>
      <w:bookmarkEnd w:id="32"/>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2.地点：江苏省政府采购交易系统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33" w:name="_Toc24820"/>
      <w:r/>
      <w:bookmarkStart w:id="34" w:name="_Toc35393625"/>
      <w:r/>
      <w:bookmarkStart w:id="35" w:name="_Toc35393794"/>
      <w:r/>
      <w:bookmarkStart w:id="36" w:name="_Toc38985267"/>
      <w:r/>
      <w:bookmarkStart w:id="37" w:name="_Toc28359007"/>
      <w:r/>
      <w:bookmarkStart w:id="38" w:name="_Toc28359084"/>
      <w:r>
        <w:rPr>
          <w:rFonts w:hint="eastAsia" w:ascii="宋体" w:hAnsi="宋体" w:eastAsia="宋体" w:cs="宋体"/>
          <w:bCs/>
          <w:color w:val="000000"/>
          <w:szCs w:val="22"/>
          <w:highlight w:val="none"/>
        </w:rPr>
        <w:t xml:space="preserve">五、公告期限</w:t>
      </w:r>
      <w:bookmarkEnd w:id="33"/>
      <w:r/>
      <w:bookmarkEnd w:id="34"/>
      <w:r/>
      <w:bookmarkEnd w:id="35"/>
      <w:r/>
      <w:bookmarkEnd w:id="36"/>
      <w:r/>
      <w:bookmarkEnd w:id="37"/>
      <w:r/>
      <w:bookmarkEnd w:id="38"/>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rPr>
      </w:pPr>
      <w:r/>
      <w:bookmarkStart w:id="39" w:name="_Toc35393795"/>
      <w:r/>
      <w:bookmarkStart w:id="40" w:name="_Toc35393626"/>
      <w:r/>
      <w:bookmarkStart w:id="41" w:name="_Toc38985268"/>
      <w:r>
        <w:rPr>
          <w:rFonts w:hint="eastAsia" w:ascii="宋体" w:hAnsi="宋体" w:eastAsia="宋体" w:cs="宋体"/>
          <w:color w:val="000000"/>
          <w:sz w:val="24"/>
          <w:szCs w:val="24"/>
          <w:highlight w:val="none"/>
        </w:rPr>
        <w:t xml:space="preserve">自公告发布之日起5个工作日。</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42" w:name="_Toc13415"/>
      <w:r>
        <w:rPr>
          <w:rFonts w:hint="eastAsia" w:ascii="宋体" w:hAnsi="宋体" w:eastAsia="宋体" w:cs="宋体"/>
          <w:bCs/>
          <w:color w:val="000000"/>
          <w:szCs w:val="22"/>
          <w:highlight w:val="none"/>
        </w:rPr>
        <w:t xml:space="preserve">六、其他补充事宜</w:t>
      </w:r>
      <w:bookmarkEnd w:id="39"/>
      <w:r/>
      <w:bookmarkEnd w:id="40"/>
      <w:r/>
      <w:bookmarkEnd w:id="41"/>
      <w:r/>
      <w:bookmarkEnd w:id="42"/>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rPr>
      </w:pPr>
      <w:r/>
      <w:bookmarkStart w:id="43" w:name="EB64e1f522fd8c43fcb4d3ba471386b3e7"/>
      <w:r/>
      <w:bookmarkStart w:id="44" w:name="_Toc28359085"/>
      <w:r/>
      <w:bookmarkStart w:id="45" w:name="_Toc35393796"/>
      <w:r/>
      <w:bookmarkStart w:id="46" w:name="_Toc28359008"/>
      <w:r/>
      <w:bookmarkStart w:id="47" w:name="_Toc35393627"/>
      <w:r/>
      <w:bookmarkStart w:id="48" w:name="_Toc38985269"/>
      <w:r>
        <w:rPr>
          <w:rFonts w:hint="eastAsia" w:ascii="宋体" w:hAnsi="宋体" w:eastAsia="宋体" w:cs="宋体"/>
          <w:color w:val="000000"/>
          <w:sz w:val="24"/>
          <w:szCs w:val="24"/>
          <w:highlight w:val="none"/>
        </w:rPr>
        <w:t xml:space="preserve">1.招标公告发布媒体：</w:t>
      </w:r>
      <w:bookmarkStart w:id="49" w:name="OLE_LINK3"/>
      <w:r>
        <w:rPr>
          <w:rFonts w:hint="eastAsia" w:ascii="宋体" w:hAnsi="宋体" w:eastAsia="宋体" w:cs="宋体"/>
          <w:color w:val="000000"/>
          <w:sz w:val="24"/>
          <w:szCs w:val="24"/>
          <w:highlight w:val="none"/>
        </w:rPr>
        <w:t xml:space="preserve">江苏政府采购网</w:t>
      </w:r>
      <w:bookmarkEnd w:id="49"/>
      <w:r>
        <w:rPr>
          <w:rFonts w:hint="eastAsia" w:ascii="宋体" w:hAnsi="宋体" w:eastAsia="宋体" w:cs="宋体"/>
          <w:color w:val="000000"/>
          <w:sz w:val="24"/>
          <w:szCs w:val="24"/>
          <w:highlight w:val="none"/>
        </w:rPr>
        <w:t xml:space="preserve">、宿迁市政府采购网等。</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参与政府采购项目，需要办理江苏省政府采购数字证书及电子公章，具体详见苏采云系统登录页“新CA办理指南”。《苏采云系统供应商操作手册》（以下简称《操作手册》）可至江苏省政府采购网―办事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资料下载中心下载，供应商按《操作手册》进行注册、制作、上传电子投标文件。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3.供应商访问政府采购管理交易系统（苏采云）的网络地址和方法：</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3.3“CA数字证书”的办理材料以及供应商操作手册详见：http://jsxcmm.com/help/gys.html。</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3.4潜在供应商访问“苏采云”系统的网络地址和方法：“苏采云”系统的网址：http://jszfcg.jsczt.cn/jszc/login。</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3.6招标代理机构（采购代理机构）将数据电文形式的采购文件加载至“苏采云”系统，供潜在供应商下载或者查阅。</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3.7苏采云系统使用谷歌浏览器参与不见面开标。</w:t>
      </w:r>
      <w:r>
        <w:rPr>
          <w:rFonts w:ascii="宋体" w:hAnsi="宋体" w:eastAsia="宋体" w:cs="宋体"/>
          <w:color w:val="000000"/>
          <w:sz w:val="24"/>
          <w:szCs w:val="24"/>
          <w:highlight w:val="none"/>
          <w:lang w:val="en-US" w:eastAsia="zh-CN"/>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4"/>
          <w:szCs w:val="24"/>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宿迁地区CA数字证书办理联系方式：18762803891。</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.宿迁地区“苏采云”系统技术支持客服电话：0527-84225125、0519-86722806。</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End w:id="43"/>
      <w:r/>
      <w:bookmarkStart w:id="50" w:name="_Toc29049"/>
      <w:r>
        <w:rPr>
          <w:rFonts w:hint="eastAsia" w:ascii="宋体" w:hAnsi="宋体" w:eastAsia="宋体" w:cs="宋体"/>
          <w:bCs/>
          <w:color w:val="000000"/>
          <w:szCs w:val="22"/>
          <w:highlight w:val="none"/>
        </w:rPr>
        <w:t xml:space="preserve">七、本次招标联系方式</w:t>
      </w:r>
      <w:bookmarkEnd w:id="44"/>
      <w:r/>
      <w:bookmarkEnd w:id="45"/>
      <w:r/>
      <w:bookmarkEnd w:id="46"/>
      <w:r/>
      <w:bookmarkEnd w:id="47"/>
      <w:r/>
      <w:bookmarkEnd w:id="48"/>
      <w:r/>
      <w:bookmarkEnd w:id="50"/>
      <w:r>
        <w:rPr>
          <w:rFonts w:hint="eastAsia" w:ascii="宋体" w:hAnsi="宋体" w:eastAsia="宋体" w:cs="宋体"/>
          <w:bCs/>
          <w:color w:val="000000"/>
          <w:szCs w:val="22"/>
          <w:highlight w:val="none"/>
        </w:rPr>
      </w:r>
      <w:r/>
    </w:p>
    <w:p>
      <w:pPr>
        <w:pStyle w:val="718"/>
        <w:ind w:left="0" w:firstLine="480"/>
        <w:jc w:val="left"/>
        <w:keepLines w:val="0"/>
        <w:keepNext w:val="0"/>
        <w:pageBreakBefore w:val="0"/>
        <w:spacing w:line="24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1.采购人信息</w:t>
      </w:r>
      <w:r>
        <w:rPr>
          <w:rFonts w:hint="eastAsia" w:ascii="宋体" w:hAnsi="宋体" w:eastAsia="宋体" w:cs="宋体"/>
          <w:caps w:val="0"/>
          <w:color w:val="000000"/>
          <w:sz w:val="24"/>
          <w:szCs w:val="24"/>
        </w:rPr>
      </w:r>
      <w:r/>
    </w:p>
    <w:p>
      <w:pPr>
        <w:pStyle w:val="718"/>
        <w:ind w:firstLine="420"/>
        <w:jc w:val="left"/>
        <w:keepLines w:val="0"/>
        <w:keepNext w:val="0"/>
        <w:pageBreakBefore w:val="0"/>
        <w:spacing w:line="560" w:lineRule="exact"/>
        <w:rPr>
          <w:rFonts w:ascii="宋体" w:hAnsi="宋体" w:eastAsia="宋体" w:cs="宋体"/>
          <w:caps w:val="0"/>
          <w:color w:val="000000"/>
          <w:sz w:val="24"/>
          <w:szCs w:val="24"/>
          <w:u w:val="none"/>
          <w:lang w:val="en-US" w:eastAsia="zh-CN"/>
        </w:rPr>
      </w:pPr>
      <w:r>
        <w:rPr>
          <w:rFonts w:hint="eastAsia" w:ascii="宋体" w:hAnsi="宋体" w:eastAsia="宋体" w:cs="宋体"/>
          <w:caps w:val="0"/>
          <w:color w:val="000000"/>
          <w:sz w:val="24"/>
          <w:szCs w:val="24"/>
          <w:u w:val="none"/>
        </w:rPr>
        <w:t xml:space="preserve">名 </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称：</w:t>
      </w:r>
      <w:r>
        <w:rPr>
          <w:rFonts w:hint="eastAsia" w:ascii="宋体" w:hAnsi="宋体" w:eastAsia="宋体" w:cs="宋体"/>
          <w:caps w:val="0"/>
          <w:color w:val="000000"/>
          <w:sz w:val="24"/>
          <w:szCs w:val="24"/>
          <w:u w:val="none"/>
          <w:lang w:val="en-US" w:eastAsia="zh-CN"/>
        </w:rPr>
        <w:t xml:space="preserve">沭阳县第一人民医院</w:t>
      </w:r>
      <w:r>
        <w:rPr>
          <w:rFonts w:ascii="宋体" w:hAnsi="宋体" w:eastAsia="宋体" w:cs="宋体"/>
          <w:caps w:val="0"/>
          <w:color w:val="000000"/>
          <w:sz w:val="24"/>
          <w:szCs w:val="24"/>
          <w:u w:val="none"/>
          <w:lang w:val="en-US" w:eastAsia="zh-CN"/>
        </w:rPr>
      </w:r>
      <w:r/>
    </w:p>
    <w:p>
      <w:pPr>
        <w:pStyle w:val="718"/>
        <w:ind w:firstLine="420"/>
        <w:jc w:val="left"/>
        <w:keepLines w:val="0"/>
        <w:keepNext w:val="0"/>
        <w:pageBreakBefore w:val="0"/>
        <w:spacing w:line="560" w:lineRule="exact"/>
        <w:rPr>
          <w:rFonts w:ascii="宋体" w:hAnsi="宋体" w:eastAsia="宋体" w:cs="宋体"/>
          <w:caps w:val="0"/>
          <w:color w:val="000000"/>
          <w:sz w:val="24"/>
          <w:szCs w:val="24"/>
          <w:u w:val="none"/>
          <w:lang w:val="en-US" w:eastAsia="zh-CN"/>
        </w:rPr>
      </w:pPr>
      <w:r>
        <w:rPr>
          <w:rFonts w:hint="eastAsia" w:ascii="宋体" w:hAnsi="宋体" w:eastAsia="宋体" w:cs="宋体"/>
          <w:caps w:val="0"/>
          <w:color w:val="000000"/>
          <w:sz w:val="24"/>
          <w:szCs w:val="24"/>
          <w:u w:val="none"/>
        </w:rPr>
        <w:t xml:space="preserve">地</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址：</w:t>
      </w:r>
      <w:bookmarkStart w:id="51" w:name="EB56584df6d7a94fbba4fdfdc5b0e454cb"/>
      <w:r>
        <w:rPr>
          <w:rFonts w:hint="eastAsia" w:ascii="宋体" w:hAnsi="宋体" w:eastAsia="宋体" w:cs="宋体"/>
          <w:caps w:val="0"/>
          <w:color w:val="000000"/>
          <w:sz w:val="24"/>
          <w:szCs w:val="24"/>
          <w:u w:val="none"/>
          <w:lang w:val="en-US" w:eastAsia="zh-CN"/>
        </w:rPr>
        <w:t xml:space="preserve">沭阳县智慧路1号</w:t>
      </w:r>
      <w:bookmarkEnd w:id="51"/>
      <w:r>
        <w:rPr>
          <w:rFonts w:ascii="宋体" w:hAnsi="宋体" w:eastAsia="宋体" w:cs="宋体"/>
          <w:caps w:val="0"/>
          <w:color w:val="000000"/>
          <w:sz w:val="24"/>
          <w:szCs w:val="24"/>
          <w:u w:val="none"/>
          <w:lang w:val="en-US" w:eastAsia="zh-CN"/>
        </w:rPr>
      </w:r>
      <w:r/>
    </w:p>
    <w:p>
      <w:pPr>
        <w:pStyle w:val="718"/>
        <w:ind w:firstLine="420"/>
        <w:jc w:val="left"/>
        <w:keepLines w:val="0"/>
        <w:keepNext w:val="0"/>
        <w:pageBreakBefore w:val="0"/>
        <w:spacing w:line="560" w:lineRule="exact"/>
        <w:rPr>
          <w:rFonts w:hint="eastAsia" w:ascii="宋体" w:hAnsi="宋体" w:cs="宋体"/>
          <w:caps w:val="0"/>
          <w:color w:val="000000"/>
          <w:sz w:val="24"/>
          <w:szCs w:val="24"/>
          <w:u w:val="none"/>
          <w:lang w:val="en-US" w:eastAsia="zh-CN"/>
        </w:rPr>
      </w:pPr>
      <w:r>
        <w:rPr>
          <w:rFonts w:hint="eastAsia" w:ascii="宋体" w:hAnsi="宋体" w:eastAsia="宋体" w:cs="宋体"/>
          <w:caps w:val="0"/>
          <w:color w:val="000000"/>
          <w:sz w:val="24"/>
          <w:szCs w:val="24"/>
          <w:u w:val="none"/>
        </w:rPr>
        <w:t xml:space="preserve">联系人：</w:t>
      </w:r>
      <w:r>
        <w:rPr>
          <w:rFonts w:hint="eastAsia" w:ascii="宋体" w:hAnsi="宋体" w:eastAsia="宋体" w:cs="宋体"/>
          <w:caps w:val="0"/>
          <w:color w:val="000000"/>
          <w:sz w:val="24"/>
          <w:szCs w:val="24"/>
          <w:u w:val="none"/>
          <w:lang w:val="en-US" w:eastAsia="zh-CN"/>
        </w:rPr>
        <w:t xml:space="preserve">张</w:t>
      </w:r>
      <w:r>
        <w:rPr>
          <w:rFonts w:hint="eastAsia" w:ascii="宋体" w:hAnsi="宋体" w:cs="宋体"/>
          <w:caps w:val="0"/>
          <w:color w:val="000000"/>
          <w:sz w:val="24"/>
          <w:szCs w:val="24"/>
          <w:u w:val="none"/>
          <w:lang w:val="en-US" w:eastAsia="zh-CN"/>
        </w:rPr>
        <w:t xml:space="preserve">老师</w:t>
      </w:r>
      <w:r>
        <w:rPr>
          <w:rFonts w:hint="eastAsia" w:ascii="宋体" w:hAnsi="宋体" w:cs="宋体"/>
          <w:caps w:val="0"/>
          <w:color w:val="000000"/>
          <w:sz w:val="24"/>
          <w:szCs w:val="24"/>
          <w:u w:val="none"/>
          <w:lang w:val="en-US" w:eastAsia="zh-CN"/>
        </w:rPr>
      </w:r>
      <w:r/>
    </w:p>
    <w:p>
      <w:pPr>
        <w:pStyle w:val="718"/>
        <w:ind w:firstLine="420"/>
        <w:jc w:val="left"/>
        <w:keepLines w:val="0"/>
        <w:keepNext w:val="0"/>
        <w:pageBreakBefore w:val="0"/>
        <w:spacing w:line="560" w:lineRule="exact"/>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highlight w:val="none"/>
          <w:u w:val="none"/>
        </w:rPr>
        <w:t xml:space="preserve">联系方式：</w:t>
      </w:r>
      <w:bookmarkStart w:id="52" w:name="EB4c7135abe8d94c059173fcfc77fa7371"/>
      <w:r>
        <w:rPr>
          <w:rFonts w:hint="eastAsia" w:ascii="宋体" w:hAnsi="宋体" w:eastAsia="宋体" w:cs="宋体"/>
          <w:caps w:val="0"/>
          <w:color w:val="000000"/>
          <w:sz w:val="24"/>
          <w:szCs w:val="24"/>
          <w:highlight w:val="none"/>
          <w:u w:val="none"/>
        </w:rPr>
        <w:t xml:space="preserve">0527-80</w:t>
      </w:r>
      <w:bookmarkEnd w:id="52"/>
      <w:r>
        <w:rPr>
          <w:rFonts w:hint="eastAsia" w:ascii="宋体" w:hAnsi="宋体" w:cs="宋体"/>
          <w:caps w:val="0"/>
          <w:color w:val="000000"/>
          <w:sz w:val="24"/>
          <w:szCs w:val="24"/>
          <w:highlight w:val="none"/>
          <w:u w:val="none"/>
          <w:lang w:val="en-US" w:eastAsia="zh-CN"/>
        </w:rPr>
        <w:t xml:space="preserve">635129</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u w:val="none"/>
        </w:rPr>
        <w:t xml:space="preserve">　　　　　　　　 </w:t>
      </w:r>
      <w:bookmarkStart w:id="53" w:name="_Toc28359086"/>
      <w:r/>
      <w:bookmarkStart w:id="54" w:name="_Toc28359009"/>
      <w:r>
        <w:rPr>
          <w:rFonts w:hint="eastAsia" w:ascii="宋体" w:hAnsi="宋体" w:eastAsia="宋体" w:cs="宋体"/>
          <w:caps w:val="0"/>
          <w:color w:val="000000"/>
          <w:sz w:val="24"/>
          <w:szCs w:val="24"/>
          <w:u w:val="none"/>
        </w:rPr>
      </w:r>
      <w:r/>
    </w:p>
    <w:p>
      <w:pPr>
        <w:pStyle w:val="718"/>
        <w:ind w:firstLine="420"/>
        <w:jc w:val="left"/>
        <w:keepLines w:val="0"/>
        <w:keepNext w:val="0"/>
        <w:pageBreakBefore w:val="0"/>
        <w:spacing w:line="560" w:lineRule="exact"/>
        <w:widowControl/>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u w:val="none"/>
        </w:rPr>
        <w:t xml:space="preserve">2.</w:t>
      </w:r>
      <w:bookmarkEnd w:id="53"/>
      <w:r/>
      <w:bookmarkEnd w:id="54"/>
      <w:r>
        <w:rPr>
          <w:rFonts w:hint="eastAsia" w:ascii="宋体" w:hAnsi="宋体" w:eastAsia="宋体" w:cs="宋体"/>
          <w:caps w:val="0"/>
          <w:color w:val="000000"/>
          <w:sz w:val="24"/>
          <w:szCs w:val="24"/>
          <w:u w:val="none"/>
        </w:rPr>
        <w:t xml:space="preserve">采购代理机构信息</w:t>
      </w:r>
      <w:r>
        <w:rPr>
          <w:rFonts w:hint="eastAsia" w:ascii="宋体" w:hAnsi="宋体" w:eastAsia="宋体" w:cs="宋体"/>
          <w:caps w:val="0"/>
          <w:color w:val="000000"/>
          <w:sz w:val="24"/>
          <w:szCs w:val="24"/>
          <w:u w:val="none"/>
        </w:rPr>
      </w:r>
      <w:r/>
    </w:p>
    <w:p>
      <w:pPr>
        <w:pStyle w:val="718"/>
        <w:ind w:firstLine="420"/>
        <w:jc w:val="left"/>
        <w:pageBreakBefore w:val="0"/>
        <w:spacing w:line="560" w:lineRule="exact"/>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u w:val="none"/>
        </w:rPr>
        <w:t xml:space="preserve">名</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 称：</w:t>
      </w:r>
      <w:bookmarkStart w:id="55" w:name="EB428b58a0efec4a7f97890403ab826602"/>
      <w:r>
        <w:rPr>
          <w:rFonts w:hint="eastAsia" w:ascii="宋体" w:hAnsi="宋体" w:eastAsia="宋体" w:cs="宋体"/>
          <w:caps w:val="0"/>
          <w:color w:val="000000"/>
          <w:sz w:val="24"/>
          <w:szCs w:val="24"/>
          <w:u w:val="none"/>
        </w:rPr>
        <w:t xml:space="preserve">江苏弘业国际技术工程有限公司</w:t>
      </w:r>
      <w:bookmarkEnd w:id="55"/>
      <w:r>
        <w:rPr>
          <w:rFonts w:hint="eastAsia" w:ascii="宋体" w:hAnsi="宋体" w:eastAsia="宋体" w:cs="宋体"/>
          <w:caps w:val="0"/>
          <w:color w:val="000000"/>
          <w:sz w:val="24"/>
          <w:szCs w:val="24"/>
          <w:u w:val="none"/>
        </w:rPr>
      </w:r>
      <w:r/>
    </w:p>
    <w:p>
      <w:pPr>
        <w:pStyle w:val="718"/>
        <w:ind w:firstLine="420"/>
        <w:keepLines w:val="0"/>
        <w:keepNext w:val="0"/>
        <w:pageBreakBefore w:val="0"/>
        <w:spacing w:line="560" w:lineRule="exact"/>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u w:val="none"/>
        </w:rPr>
        <w:t xml:space="preserve">地</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址：</w:t>
      </w:r>
      <w:bookmarkStart w:id="56" w:name="EB08225640f9de4100a05d495bb483e049"/>
      <w:r>
        <w:rPr>
          <w:rFonts w:hint="eastAsia" w:ascii="宋体" w:hAnsi="宋体" w:eastAsia="宋体" w:cs="宋体"/>
          <w:caps w:val="0"/>
          <w:color w:val="000000"/>
          <w:sz w:val="24"/>
          <w:szCs w:val="24"/>
          <w:u w:val="none"/>
        </w:rPr>
        <w:t xml:space="preserve">南京市秦淮区中华路50号弘业大厦1</w:t>
      </w:r>
      <w:r>
        <w:rPr>
          <w:rFonts w:hint="eastAsia" w:ascii="宋体" w:hAnsi="宋体" w:eastAsia="宋体" w:cs="宋体"/>
          <w:caps w:val="0"/>
          <w:color w:val="000000"/>
          <w:sz w:val="24"/>
          <w:szCs w:val="24"/>
          <w:u w:val="none"/>
          <w:lang w:val="en-US" w:eastAsia="zh-CN"/>
        </w:rPr>
        <w:t xml:space="preserve">0</w:t>
      </w:r>
      <w:r>
        <w:rPr>
          <w:rFonts w:hint="eastAsia" w:ascii="宋体" w:hAnsi="宋体" w:eastAsia="宋体" w:cs="宋体"/>
          <w:caps w:val="0"/>
          <w:color w:val="000000"/>
          <w:sz w:val="24"/>
          <w:szCs w:val="24"/>
          <w:u w:val="none"/>
        </w:rPr>
        <w:t xml:space="preserve">楼</w:t>
      </w:r>
      <w:bookmarkEnd w:id="56"/>
      <w:r>
        <w:rPr>
          <w:rFonts w:hint="eastAsia" w:ascii="宋体" w:hAnsi="宋体" w:eastAsia="宋体" w:cs="宋体"/>
          <w:caps w:val="0"/>
          <w:color w:val="000000"/>
          <w:sz w:val="24"/>
          <w:szCs w:val="24"/>
          <w:u w:val="none"/>
        </w:rPr>
      </w:r>
      <w:r/>
    </w:p>
    <w:p>
      <w:pPr>
        <w:pStyle w:val="718"/>
        <w:ind w:firstLine="420"/>
        <w:keepLines w:val="0"/>
        <w:keepNext w:val="0"/>
        <w:pageBreakBefore w:val="0"/>
        <w:spacing w:line="560" w:lineRule="exact"/>
        <w:rPr>
          <w:rFonts w:hint="eastAsia" w:ascii="宋体" w:hAnsi="宋体" w:eastAsia="宋体" w:cs="宋体"/>
          <w:caps w:val="0"/>
          <w:color w:val="000000"/>
          <w:sz w:val="24"/>
          <w:szCs w:val="24"/>
          <w:highlight w:val="none"/>
          <w:u w:val="none"/>
          <w:lang w:val="en-US" w:eastAsia="zh-CN"/>
        </w:rPr>
      </w:pPr>
      <w:r>
        <w:rPr>
          <w:rFonts w:hint="eastAsia" w:ascii="宋体" w:hAnsi="宋体" w:eastAsia="宋体" w:cs="宋体"/>
          <w:caps w:val="0"/>
          <w:color w:val="000000"/>
          <w:sz w:val="24"/>
          <w:szCs w:val="24"/>
          <w:highlight w:val="none"/>
          <w:u w:val="none"/>
        </w:rPr>
        <w:t xml:space="preserve">联系人：</w:t>
      </w:r>
      <w:r>
        <w:rPr>
          <w:rFonts w:hint="eastAsia" w:ascii="宋体" w:hAnsi="宋体" w:eastAsia="宋体" w:cs="宋体"/>
          <w:caps w:val="0"/>
          <w:color w:val="000000"/>
          <w:sz w:val="24"/>
          <w:szCs w:val="24"/>
          <w:highlight w:val="none"/>
          <w:u w:val="none"/>
          <w:lang w:val="en-US" w:eastAsia="zh-CN"/>
        </w:rPr>
        <w:t xml:space="preserve">苗健、戴婷</w:t>
      </w:r>
      <w:r>
        <w:rPr>
          <w:rFonts w:hint="eastAsia" w:ascii="宋体" w:hAnsi="宋体" w:eastAsia="宋体" w:cs="宋体"/>
          <w:caps w:val="0"/>
          <w:color w:val="000000"/>
          <w:sz w:val="24"/>
          <w:szCs w:val="24"/>
          <w:highlight w:val="none"/>
          <w:u w:val="none"/>
          <w:lang w:val="en-US" w:eastAsia="zh-CN"/>
        </w:rPr>
      </w:r>
      <w:r/>
    </w:p>
    <w:p>
      <w:pPr>
        <w:pStyle w:val="718"/>
        <w:ind w:firstLine="420"/>
        <w:keepLines w:val="0"/>
        <w:keepNext w:val="0"/>
        <w:pageBreakBefore w:val="0"/>
        <w:spacing w:line="560" w:lineRule="exact"/>
        <w:rPr>
          <w:rFonts w:hint="eastAsia" w:ascii="宋体" w:hAnsi="宋体" w:eastAsia="宋体" w:cs="宋体"/>
          <w:color w:val="000000"/>
          <w:sz w:val="24"/>
          <w:highlight w:val="yellow"/>
        </w:rPr>
      </w:pPr>
      <w:r>
        <w:rPr>
          <w:rFonts w:hint="eastAsia" w:ascii="宋体" w:hAnsi="宋体" w:eastAsia="宋体" w:cs="宋体"/>
          <w:caps w:val="0"/>
          <w:color w:val="000000"/>
          <w:sz w:val="24"/>
          <w:szCs w:val="24"/>
          <w:u w:val="none"/>
        </w:rPr>
        <w:t xml:space="preserve">联系方式：</w:t>
      </w:r>
      <w:bookmarkStart w:id="57" w:name="EB7068699ee1d14b3e8880f7b644c54f05"/>
      <w:r>
        <w:rPr>
          <w:rFonts w:hint="eastAsia" w:ascii="宋体" w:hAnsi="宋体" w:eastAsia="宋体" w:cs="宋体"/>
          <w:caps w:val="0"/>
          <w:color w:val="000000"/>
          <w:sz w:val="24"/>
          <w:szCs w:val="24"/>
          <w:u w:val="none"/>
          <w:lang w:val="en-US" w:eastAsia="zh-CN"/>
        </w:rPr>
        <w:t xml:space="preserve">18551866585、</w:t>
      </w:r>
      <w:r>
        <w:rPr>
          <w:rFonts w:hint="eastAsia" w:ascii="宋体" w:hAnsi="宋体" w:eastAsia="宋体" w:cs="宋体"/>
          <w:caps w:val="0"/>
          <w:color w:val="000000"/>
          <w:sz w:val="24"/>
          <w:szCs w:val="24"/>
          <w:u w:val="none"/>
        </w:rPr>
        <w:t xml:space="preserve">025-</w:t>
      </w:r>
      <w:bookmarkEnd w:id="57"/>
      <w:r>
        <w:rPr>
          <w:rFonts w:hint="eastAsia" w:ascii="宋体" w:hAnsi="宋体" w:cs="宋体"/>
          <w:caps w:val="0"/>
          <w:color w:val="000000"/>
          <w:sz w:val="24"/>
          <w:szCs w:val="24"/>
          <w:u w:val="none"/>
          <w:lang w:eastAsia="zh-CN"/>
        </w:rPr>
        <w:t xml:space="preserve">52306140</w:t>
      </w:r>
      <w:r>
        <w:rPr>
          <w:rFonts w:hint="eastAsia" w:ascii="宋体" w:hAnsi="宋体" w:eastAsia="宋体" w:cs="宋体"/>
          <w:color w:val="000000"/>
          <w:sz w:val="24"/>
          <w:highlight w:val="yellow"/>
        </w:rPr>
      </w:r>
      <w:r/>
    </w:p>
    <w:p>
      <w:pPr>
        <w:pStyle w:val="718"/>
        <w:jc w:val="center"/>
        <w:spacing w:line="360" w:lineRule="auto"/>
        <w:rPr>
          <w:rFonts w:hint="eastAsia" w:eastAsia="黑体"/>
          <w:color w:val="000000"/>
          <w:sz w:val="44"/>
          <w:highlight w:val="none"/>
        </w:rPr>
        <w:outlineLvl w:val="0"/>
      </w:pPr>
      <w:r/>
      <w:bookmarkStart w:id="58" w:name="_Toc15265"/>
      <w:r/>
      <w:bookmarkStart w:id="59" w:name="_Toc81575153"/>
      <w:r/>
      <w:bookmarkStart w:id="60" w:name="_Toc9425"/>
      <w:r/>
      <w:bookmarkStart w:id="61" w:name="_Toc81575190"/>
      <w:r/>
      <w:bookmarkStart w:id="62" w:name="_Toc11687"/>
      <w:r>
        <w:rPr>
          <w:rFonts w:hint="eastAsia" w:eastAsia="黑体"/>
          <w:color w:val="000000"/>
          <w:sz w:val="44"/>
          <w:highlight w:val="none"/>
        </w:rPr>
        <w:br w:type="page" w:clear="all"/>
      </w:r>
      <w:r>
        <w:rPr>
          <w:rFonts w:hint="eastAsia" w:eastAsia="黑体"/>
          <w:color w:val="000000"/>
          <w:sz w:val="44"/>
          <w:highlight w:val="none"/>
        </w:rPr>
        <w:t xml:space="preserve">第二章  </w:t>
      </w:r>
      <w:r>
        <w:rPr>
          <w:rFonts w:hint="eastAsia" w:eastAsia="黑体"/>
          <w:color w:val="000000"/>
          <w:sz w:val="44"/>
          <w:highlight w:val="none"/>
          <w:lang w:eastAsia="zh-CN"/>
        </w:rPr>
        <w:t xml:space="preserve">供应商</w:t>
      </w:r>
      <w:r>
        <w:rPr>
          <w:rFonts w:hint="eastAsia" w:eastAsia="黑体"/>
          <w:color w:val="000000"/>
          <w:sz w:val="44"/>
          <w:highlight w:val="none"/>
        </w:rPr>
        <w:t xml:space="preserve">须知</w:t>
      </w:r>
      <w:bookmarkEnd w:id="58"/>
      <w:r/>
      <w:bookmarkEnd w:id="59"/>
      <w:r/>
      <w:bookmarkEnd w:id="60"/>
      <w:r/>
      <w:bookmarkEnd w:id="61"/>
      <w:r/>
      <w:bookmarkEnd w:id="62"/>
      <w:r>
        <w:rPr>
          <w:rFonts w:hint="eastAsia" w:eastAsia="黑体"/>
          <w:color w:val="000000"/>
          <w:sz w:val="44"/>
          <w:highlight w:val="none"/>
        </w:rPr>
      </w:r>
      <w:r/>
    </w:p>
    <w:p>
      <w:pPr>
        <w:pStyle w:val="720"/>
        <w:spacing w:before="0" w:after="120" w:line="360" w:lineRule="auto"/>
        <w:rPr>
          <w:rFonts w:hint="eastAsia" w:eastAsia="宋体" w:cs="Arial"/>
          <w:bCs/>
          <w:color w:val="000000"/>
          <w:szCs w:val="22"/>
          <w:highlight w:val="none"/>
        </w:rPr>
      </w:pPr>
      <w:r/>
      <w:bookmarkStart w:id="63" w:name="_Toc4529"/>
      <w:r>
        <w:rPr>
          <w:rFonts w:hint="eastAsia" w:eastAsia="宋体" w:cs="Arial"/>
          <w:bCs/>
          <w:color w:val="000000"/>
          <w:szCs w:val="22"/>
          <w:highlight w:val="none"/>
          <w:lang w:eastAsia="zh-CN"/>
        </w:rPr>
        <w:t xml:space="preserve">供应商</w:t>
      </w:r>
      <w:r>
        <w:rPr>
          <w:rFonts w:hint="eastAsia" w:eastAsia="宋体" w:cs="Arial"/>
          <w:bCs/>
          <w:color w:val="000000"/>
          <w:szCs w:val="22"/>
          <w:highlight w:val="none"/>
        </w:rPr>
        <w:t xml:space="preserve">须知前附表：</w:t>
      </w:r>
      <w:bookmarkEnd w:id="63"/>
      <w:r>
        <w:rPr>
          <w:rFonts w:hint="eastAsia" w:eastAsia="宋体" w:cs="Arial"/>
          <w:bCs/>
          <w:color w:val="000000"/>
          <w:szCs w:val="22"/>
          <w:highlight w:val="none"/>
        </w:rPr>
      </w:r>
      <w:r/>
    </w:p>
    <w:tbl>
      <w:tblPr>
        <w:tblW w:w="9765"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218"/>
        <w:gridCol w:w="6707"/>
      </w:tblGrid>
      <w:tr>
        <w:trPr>
          <w:trHeight w:val="528"/>
        </w:trPr>
        <w:tc>
          <w:tcPr>
            <w:tcW w:w="84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bookmarkStart w:id="64" w:name="EBc9d8a0a6c333409599b28034cbc893d2"/>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tcW w:w="6707"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shd w:val="clear" w:color="auto" w:fill="ffc000"/>
              </w:rPr>
            </w:pPr>
            <w:r>
              <w:rPr>
                <w:rFonts w:hint="eastAsia" w:ascii="宋体" w:hAnsi="宋体" w:eastAsia="宋体" w:cs="宋体"/>
                <w:color w:val="000000"/>
                <w:sz w:val="24"/>
                <w:szCs w:val="24"/>
                <w:highlight w:val="none"/>
              </w:rPr>
              <w:t xml:space="preserve">若有内容与供应商须知前附表内容不一致时，以供应商须知前附表为准。</w:t>
            </w:r>
            <w:r>
              <w:rPr>
                <w:rFonts w:hint="eastAsia" w:ascii="宋体" w:hAnsi="宋体" w:eastAsia="宋体" w:cs="宋体"/>
                <w:color w:val="000000"/>
                <w:sz w:val="24"/>
                <w:szCs w:val="24"/>
                <w:highlight w:val="none"/>
                <w:shd w:val="clear" w:color="auto" w:fill="ffc000"/>
              </w:rPr>
            </w:r>
            <w:r/>
          </w:p>
        </w:tc>
      </w:tr>
      <w:tr>
        <w:trPr>
          <w:trHeight w:val="501"/>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本项目不收取投标保证金。</w:t>
            </w:r>
            <w:r>
              <w:rPr>
                <w:rFonts w:hint="eastAsia" w:ascii="宋体" w:hAnsi="宋体" w:eastAsia="宋体" w:cs="宋体"/>
                <w:color w:val="000000"/>
                <w:sz w:val="24"/>
                <w:szCs w:val="24"/>
                <w:highlight w:val="none"/>
              </w:rPr>
            </w:r>
            <w:r/>
          </w:p>
        </w:tc>
      </w:tr>
      <w:tr>
        <w:trPr>
          <w:trHeight w:val="508"/>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0日</w:t>
            </w:r>
            <w:r>
              <w:rPr>
                <w:rFonts w:hint="eastAsia" w:ascii="宋体" w:hAnsi="宋体" w:eastAsia="宋体" w:cs="宋体"/>
                <w:color w:val="000000"/>
                <w:sz w:val="24"/>
                <w:szCs w:val="24"/>
                <w:highlight w:val="none"/>
              </w:rPr>
              <w:t xml:space="preserve">（从提交投标文件截止之日起算）</w:t>
            </w:r>
            <w:r>
              <w:rPr>
                <w:rFonts w:hint="eastAsia" w:ascii="宋体" w:hAnsi="宋体" w:eastAsia="宋体" w:cs="宋体"/>
                <w:color w:val="000000"/>
                <w:sz w:val="24"/>
                <w:szCs w:val="24"/>
                <w:highlight w:val="none"/>
              </w:rPr>
            </w:r>
            <w:r/>
          </w:p>
        </w:tc>
      </w:tr>
      <w:tr>
        <w:trPr>
          <w:trHeight w:val="520"/>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1179"/>
              <w:jc w:val="both"/>
              <w:spacing w:line="240" w:lineRule="auto"/>
              <w:rPr>
                <w:rFonts w:hint="eastAsia" w:ascii="宋体" w:hAnsi="宋体" w:eastAsia="宋体" w:cs="宋体"/>
                <w:color w:val="000000"/>
                <w:sz w:val="24"/>
                <w:szCs w:val="24"/>
                <w:highlight w:val="none"/>
              </w:rPr>
            </w:pPr>
            <w:r/>
            <w:bookmarkStart w:id="65" w:name="EBf2540e281f614ac8b4efc83b6e64d4d2"/>
            <w:r/>
            <w:bookmarkEnd w:id="65"/>
            <w:r>
              <w:rPr>
                <w:rFonts w:hint="eastAsia" w:ascii="宋体" w:hAnsi="宋体" w:eastAsia="宋体" w:cs="宋体"/>
                <w:color w:val="000000"/>
                <w:sz w:val="24"/>
                <w:szCs w:val="24"/>
                <w:highlight w:val="none"/>
              </w:rPr>
              <w:t xml:space="preserve">综合评分法。具体细则详见招标文件评标办法部分。</w:t>
            </w:r>
            <w:r>
              <w:rPr>
                <w:rFonts w:hint="eastAsia" w:ascii="宋体" w:hAnsi="宋体" w:eastAsia="宋体" w:cs="宋体"/>
                <w:color w:val="000000"/>
                <w:sz w:val="24"/>
                <w:szCs w:val="24"/>
                <w:highlight w:val="none"/>
              </w:rPr>
            </w:r>
            <w:r/>
          </w:p>
        </w:tc>
      </w:tr>
      <w:tr>
        <w:trPr>
          <w:trHeight w:val="581"/>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分包、转包要求</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本项目不允许分包、转包。</w:t>
            </w: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tabs>
                <w:tab w:val="left" w:pos="851"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本项目采购代理服务费</w:t>
            </w:r>
            <w:r>
              <w:rPr>
                <w:rFonts w:hint="eastAsia" w:ascii="宋体" w:hAnsi="宋体" w:eastAsia="宋体" w:cs="宋体"/>
                <w:sz w:val="24"/>
                <w:szCs w:val="24"/>
                <w:highlight w:val="none"/>
                <w:lang w:val="en-US" w:eastAsia="zh-CN"/>
              </w:rPr>
              <w:t xml:space="preserve">按</w:t>
            </w:r>
            <w:r>
              <w:rPr>
                <w:rFonts w:hint="eastAsia" w:ascii="宋体" w:hAnsi="宋体" w:eastAsia="宋体" w:cs="宋体"/>
                <w:sz w:val="24"/>
                <w:szCs w:val="24"/>
                <w:highlight w:val="none"/>
              </w:rPr>
              <w:t xml:space="preserve">计价格</w:t>
            </w:r>
            <w:r>
              <w:rPr>
                <w:rFonts w:hint="eastAsia" w:ascii="宋体" w:hAnsi="宋体" w:eastAsia="宋体" w:cs="宋体"/>
                <w:sz w:val="24"/>
                <w:szCs w:val="24"/>
                <w:highlight w:val="none"/>
                <w:lang w:eastAsia="zh-CN"/>
              </w:rPr>
              <w:t xml:space="preserve">〔2002〕1980号</w:t>
            </w:r>
            <w:r>
              <w:rPr>
                <w:rFonts w:hint="eastAsia" w:ascii="宋体" w:hAnsi="宋体" w:eastAsia="宋体" w:cs="宋体"/>
                <w:sz w:val="24"/>
                <w:szCs w:val="24"/>
                <w:highlight w:val="none"/>
              </w:rPr>
              <w:t xml:space="preserve">文</w:t>
            </w:r>
            <w:r>
              <w:rPr>
                <w:rFonts w:hint="eastAsia" w:ascii="宋体" w:hAnsi="宋体" w:eastAsia="宋体" w:cs="宋体"/>
                <w:sz w:val="24"/>
                <w:szCs w:val="24"/>
                <w:highlight w:val="none"/>
                <w:lang w:val="en-US" w:eastAsia="zh-CN"/>
              </w:rPr>
              <w:t xml:space="preserve">收费</w:t>
            </w: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80%</w:t>
            </w:r>
            <w:r>
              <w:rPr>
                <w:rFonts w:hint="eastAsia" w:ascii="宋体" w:hAnsi="宋体" w:eastAsia="宋体" w:cs="宋体"/>
                <w:sz w:val="24"/>
                <w:szCs w:val="24"/>
                <w:highlight w:val="none"/>
              </w:rPr>
              <w:t xml:space="preserve">收取，在领取</w:t>
            </w:r>
            <w:r>
              <w:rPr>
                <w:rFonts w:hint="eastAsia" w:ascii="宋体" w:hAnsi="宋体" w:eastAsia="宋体" w:cs="宋体"/>
                <w:sz w:val="24"/>
                <w:szCs w:val="24"/>
                <w:highlight w:val="none"/>
                <w:lang w:val="en-US" w:eastAsia="zh-CN"/>
              </w:rPr>
              <w:t xml:space="preserve">中标（成交）</w:t>
            </w:r>
            <w:r>
              <w:rPr>
                <w:rFonts w:hint="eastAsia" w:ascii="宋体" w:hAnsi="宋体" w:eastAsia="宋体" w:cs="宋体"/>
                <w:sz w:val="24"/>
                <w:szCs w:val="24"/>
                <w:highlight w:val="none"/>
              </w:rPr>
              <w:t xml:space="preserve">通知书前一次性缴纳。</w:t>
            </w:r>
            <w:r>
              <w:rPr>
                <w:rFonts w:hint="eastAsia" w:ascii="宋体" w:hAnsi="宋体" w:eastAsia="宋体" w:cs="宋体"/>
                <w:sz w:val="24"/>
                <w:szCs w:val="24"/>
                <w:highlight w:val="none"/>
              </w:rPr>
            </w:r>
            <w:r/>
          </w:p>
          <w:p>
            <w:pPr>
              <w:pStyle w:val="718"/>
              <w:spacing w:line="240" w:lineRule="auto"/>
              <w:tabs>
                <w:tab w:val="left" w:pos="851"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账户信息：</w:t>
            </w:r>
            <w:r>
              <w:rPr>
                <w:rFonts w:hint="eastAsia" w:ascii="宋体" w:hAnsi="宋体" w:eastAsia="宋体" w:cs="宋体"/>
                <w:color w:val="000000"/>
                <w:sz w:val="24"/>
                <w:szCs w:val="24"/>
                <w:highlight w:val="none"/>
              </w:rPr>
            </w:r>
            <w:r/>
          </w:p>
          <w:p>
            <w:pPr>
              <w:pStyle w:val="718"/>
              <w:spacing w:line="240" w:lineRule="auto"/>
              <w:tabs>
                <w:tab w:val="left" w:pos="851" w:leader="none"/>
                <w:tab w:val="left" w:pos="113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账户名称：</w:t>
            </w:r>
            <w:r>
              <w:rPr>
                <w:rFonts w:hint="eastAsia" w:ascii="宋体" w:hAnsi="宋体" w:eastAsia="宋体" w:cs="宋体"/>
                <w:color w:val="000000"/>
                <w:sz w:val="24"/>
                <w:szCs w:val="24"/>
                <w:highlight w:val="none"/>
                <w:lang w:eastAsia="zh-CN"/>
              </w:rPr>
              <w:t xml:space="preserve">江苏弘业国际技术工程有限公司</w:t>
            </w:r>
            <w:r>
              <w:rPr>
                <w:rFonts w:hint="eastAsia" w:ascii="宋体" w:hAnsi="宋体" w:eastAsia="宋体" w:cs="宋体"/>
                <w:color w:val="000000"/>
                <w:sz w:val="24"/>
                <w:szCs w:val="24"/>
                <w:highlight w:val="none"/>
                <w:lang w:eastAsia="zh-CN"/>
              </w:rPr>
            </w:r>
            <w:r/>
          </w:p>
          <w:p>
            <w:pPr>
              <w:pStyle w:val="718"/>
              <w:spacing w:line="240" w:lineRule="auto"/>
              <w:tabs>
                <w:tab w:val="left" w:pos="851"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sz w:val="24"/>
                <w:szCs w:val="24"/>
                <w:highlight w:val="none"/>
                <w:lang w:val="en-US" w:eastAsia="zh-CN"/>
              </w:rPr>
              <w:t xml:space="preserve">中国银行南京市中华路支行</w:t>
            </w:r>
            <w:r>
              <w:rPr>
                <w:rFonts w:hint="eastAsia" w:ascii="宋体" w:hAnsi="宋体" w:eastAsia="宋体" w:cs="宋体"/>
                <w:color w:val="000000"/>
                <w:sz w:val="24"/>
                <w:szCs w:val="24"/>
                <w:highlight w:val="none"/>
              </w:rPr>
            </w:r>
            <w:r/>
          </w:p>
          <w:p>
            <w:pPr>
              <w:pStyle w:val="718"/>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lang w:val="en-US" w:eastAsia="zh-CN"/>
              </w:rPr>
              <w:t xml:space="preserve">527460884999</w:t>
            </w:r>
            <w:r>
              <w:rPr>
                <w:rFonts w:hint="eastAsia" w:ascii="宋体" w:hAnsi="宋体" w:eastAsia="宋体" w:cs="宋体"/>
                <w:color w:val="000000"/>
                <w:sz w:val="24"/>
                <w:szCs w:val="24"/>
                <w:highlight w:val="none"/>
              </w:rPr>
            </w:r>
            <w:r/>
          </w:p>
        </w:tc>
      </w:tr>
      <w:tr>
        <w:trPr>
          <w:trHeight w:val="622"/>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本项目不需要缴纳履约保证金。</w:t>
            </w: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进口产品政策</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除招标公告载明接受进口产品参加外，不</w:t>
            </w:r>
            <w:r>
              <w:rPr>
                <w:rFonts w:hint="eastAsia" w:ascii="宋体" w:hAnsi="宋体" w:eastAsia="宋体" w:cs="宋体"/>
                <w:sz w:val="24"/>
                <w:szCs w:val="24"/>
                <w:highlight w:val="none"/>
                <w:lang w:val="en-US" w:eastAsia="zh-CN"/>
              </w:rPr>
              <w:t xml:space="preserve">接受</w:t>
            </w:r>
            <w:r>
              <w:rPr>
                <w:rFonts w:hint="eastAsia" w:ascii="宋体" w:hAnsi="宋体" w:eastAsia="宋体" w:cs="宋体"/>
                <w:sz w:val="24"/>
                <w:szCs w:val="24"/>
                <w:highlight w:val="none"/>
              </w:rPr>
              <w:t xml:space="preserve">进口产品参加</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。进口产品认定依照《财政部关于政府采购进口产品管理有关问题的通知》（财办库〔2008〕248号）的规定。</w:t>
            </w:r>
            <w:r>
              <w:rPr>
                <w:rFonts w:hint="eastAsia" w:ascii="宋体" w:hAnsi="宋体" w:eastAsia="宋体" w:cs="宋体"/>
                <w:sz w:val="24"/>
                <w:szCs w:val="24"/>
                <w:highlight w:val="none"/>
              </w:rPr>
            </w:r>
            <w:r/>
          </w:p>
          <w:p>
            <w:pPr>
              <w:pStyle w:val="718"/>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允许进口产品参加的，满足需求的国内产品可以参加。</w:t>
            </w:r>
            <w:r>
              <w:rPr>
                <w:rFonts w:hint="eastAsia" w:ascii="宋体" w:hAnsi="宋体" w:eastAsia="宋体" w:cs="宋体"/>
                <w:sz w:val="24"/>
                <w:szCs w:val="24"/>
                <w:highlight w:val="none"/>
              </w:rPr>
            </w:r>
            <w:r/>
          </w:p>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允许进口产品参加的，优先采购向我国企业转让技术、与我国企业签订消化吸收再创新方案的供应商的进口产品。</w:t>
            </w:r>
            <w:r>
              <w:rPr>
                <w:rFonts w:hint="eastAsia" w:ascii="宋体" w:hAnsi="宋体" w:eastAsia="宋体" w:cs="宋体"/>
                <w:color w:val="000000"/>
                <w:sz w:val="24"/>
                <w:szCs w:val="24"/>
                <w:highlight w:val="none"/>
              </w:rPr>
            </w:r>
            <w:r/>
          </w:p>
        </w:tc>
      </w:tr>
      <w:tr>
        <w:trPr>
          <w:trHeight w:val="873"/>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中小企业划分所属行业</w:t>
            </w:r>
            <w:r>
              <w:rPr>
                <w:rFonts w:hint="eastAsia" w:ascii="宋体" w:hAnsi="宋体" w:eastAsia="宋体" w:cs="宋体"/>
                <w:color w:val="000000"/>
                <w:sz w:val="24"/>
                <w:szCs w:val="24"/>
                <w:highlight w:val="none"/>
                <w:lang w:val="en-US" w:eastAsia="zh-CN"/>
              </w:rPr>
              <w:t xml:space="preserve">及划分标准</w:t>
            </w:r>
            <w:r>
              <w:rPr>
                <w:rFonts w:ascii="宋体" w:hAnsi="宋体" w:eastAsia="宋体" w:cs="宋体"/>
                <w:color w:val="000000"/>
                <w:sz w:val="24"/>
                <w:szCs w:val="24"/>
                <w:highlight w:val="none"/>
                <w:lang w:val="en-US" w:eastAsia="zh-CN"/>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本项目采购的标的对应的中小企业划分标准所属行业为</w:t>
            </w:r>
            <w:r>
              <w:rPr>
                <w:rFonts w:hint="eastAsia" w:ascii="宋体" w:hAnsi="宋体" w:eastAsia="宋体" w:cs="宋体"/>
                <w:b/>
                <w:bCs/>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rPr>
              <w:t xml:space="preserve">。</w:t>
            </w:r>
            <w:bookmarkEnd w:id="64"/>
            <w:r>
              <w:rPr>
                <w:rFonts w:hint="eastAsia" w:ascii="宋体" w:hAnsi="宋体" w:eastAsia="宋体" w:cs="宋体"/>
                <w:color w:val="000000"/>
                <w:sz w:val="24"/>
                <w:szCs w:val="24"/>
                <w:highlight w:val="none"/>
              </w:rPr>
            </w:r>
            <w:r/>
          </w:p>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tc>
      </w:tr>
      <w:tr>
        <w:trPr>
          <w:trHeight w:val="632"/>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gridSpan w:val="2"/>
            <w:tcW w:w="8925"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本项目属于</w:t>
            </w:r>
            <w:r>
              <w:rPr>
                <w:rFonts w:hint="eastAsia" w:ascii="宋体" w:hAnsi="宋体" w:eastAsia="宋体" w:cs="宋体"/>
                <w:b w:val="0"/>
                <w:bCs w:val="0"/>
                <w:color w:val="000000"/>
                <w:sz w:val="24"/>
                <w:szCs w:val="24"/>
                <w:highlight w:val="none"/>
                <w:u w:val="single"/>
                <w:lang w:val="en-US" w:eastAsia="zh-CN"/>
              </w:rPr>
              <w:t xml:space="preserve">货物</w:t>
            </w:r>
            <w:r>
              <w:rPr>
                <w:rFonts w:hint="eastAsia" w:ascii="宋体" w:hAnsi="宋体" w:eastAsia="宋体" w:cs="宋体"/>
                <w:b w:val="0"/>
                <w:bCs w:val="0"/>
                <w:color w:val="000000"/>
                <w:sz w:val="24"/>
                <w:szCs w:val="24"/>
                <w:highlight w:val="none"/>
                <w:u w:val="single"/>
              </w:rPr>
              <w:t xml:space="preserve">类</w:t>
            </w:r>
            <w:r>
              <w:rPr>
                <w:rFonts w:hint="eastAsia" w:ascii="宋体" w:hAnsi="宋体" w:eastAsia="宋体" w:cs="宋体"/>
                <w:b w:val="0"/>
                <w:bCs w:val="0"/>
                <w:color w:val="000000"/>
                <w:sz w:val="24"/>
                <w:szCs w:val="24"/>
                <w:highlight w:val="none"/>
              </w:rPr>
              <w:t xml:space="preserve">采购，</w:t>
            </w:r>
            <w:r>
              <w:rPr>
                <w:rFonts w:hint="eastAsia" w:ascii="宋体" w:hAnsi="宋体" w:eastAsia="宋体" w:cs="宋体"/>
                <w:b w:val="0"/>
                <w:bCs w:val="0"/>
                <w:color w:val="000000"/>
                <w:sz w:val="24"/>
                <w:szCs w:val="24"/>
                <w:highlight w:val="none"/>
                <w:u w:val="single"/>
              </w:rPr>
              <w:t xml:space="preserve">非专门面向中小企业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603"/>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W w:w="8925" w:type="dxa"/>
            <w:vAlign w:val="center"/>
            <w:textDirection w:val="lrTb"/>
            <w:noWrap w:val="false"/>
          </w:tcPr>
          <w:p>
            <w:pPr>
              <w:pStyle w:val="718"/>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供应商中标后需提供与电子投标文件一致的纸质打印投标文件3份</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归档使用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732"/>
      </w:pPr>
      <w:r/>
      <w:r/>
    </w:p>
    <w:p>
      <w:pPr>
        <w:pStyle w:val="720"/>
        <w:spacing w:before="0" w:after="0" w:line="360" w:lineRule="auto"/>
        <w:rPr>
          <w:rFonts w:hint="eastAsia" w:ascii="宋体" w:hAnsi="宋体" w:eastAsia="宋体" w:cs="宋体"/>
          <w:bCs/>
          <w:color w:val="000000"/>
          <w:sz w:val="30"/>
          <w:szCs w:val="30"/>
          <w:highlight w:val="none"/>
        </w:rPr>
      </w:pPr>
      <w:r/>
      <w:bookmarkStart w:id="66" w:name="EB6eaaf474639940df900ef4965d71f450"/>
      <w:r/>
      <w:bookmarkEnd w:id="66"/>
      <w:r/>
      <w:bookmarkStart w:id="67" w:name="_Toc8239"/>
      <w:r/>
      <w:bookmarkStart w:id="68" w:name="_Toc30953"/>
      <w:r/>
      <w:bookmarkStart w:id="69" w:name="_Toc81575192"/>
      <w:r/>
      <w:bookmarkStart w:id="70" w:name="_Toc81575155"/>
      <w:r>
        <w:rPr>
          <w:rFonts w:hint="eastAsia" w:ascii="宋体" w:hAnsi="宋体" w:eastAsia="宋体" w:cs="宋体"/>
          <w:bCs/>
          <w:color w:val="000000"/>
          <w:sz w:val="30"/>
          <w:szCs w:val="30"/>
          <w:highlight w:val="none"/>
        </w:rPr>
        <w:br w:type="page" w:clear="all"/>
      </w:r>
      <w:r>
        <w:rPr>
          <w:rFonts w:hint="eastAsia" w:ascii="宋体" w:hAnsi="宋体" w:eastAsia="宋体" w:cs="宋体"/>
          <w:bCs/>
          <w:color w:val="000000"/>
          <w:sz w:val="30"/>
          <w:szCs w:val="30"/>
          <w:highlight w:val="none"/>
        </w:rPr>
        <w:t xml:space="preserve">一、总 则</w:t>
      </w:r>
      <w:bookmarkEnd w:id="67"/>
      <w:r/>
      <w:bookmarkEnd w:id="68"/>
      <w:r/>
      <w:bookmarkEnd w:id="69"/>
      <w:r/>
      <w:bookmarkEnd w:id="70"/>
      <w:r>
        <w:rPr>
          <w:rFonts w:hint="eastAsia" w:ascii="宋体" w:hAnsi="宋体" w:eastAsia="宋体" w:cs="宋体"/>
          <w:bCs/>
          <w:color w:val="000000"/>
          <w:sz w:val="30"/>
          <w:szCs w:val="30"/>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招标方式</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本次采购采取公开招标方式。</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合格的</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2.1合格的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必须符合招标文件第一章《投标邀请》第二条及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须知前附表相关规定，且具备完成本项目的能力，中标后不允许转包。</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2.2满足本文件实质性要求的规定。</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适用法律</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本次招标及由招标产生的合同受中华人民共和国的相关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制约和保护。</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投标费用</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应自行承担所有参加投标有关的费用。</w:t>
      </w:r>
      <w:bookmarkStart w:id="71" w:name="_Toc81575193"/>
      <w:r/>
      <w:bookmarkStart w:id="72" w:name="_Toc29306"/>
      <w:r/>
      <w:bookmarkStart w:id="73" w:name="_Toc15995"/>
      <w:r/>
      <w:bookmarkStart w:id="74" w:name="_Toc81575156"/>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val="0"/>
          <w:bCs w:val="0"/>
          <w:caps w:val="0"/>
          <w:color w:val="000000"/>
          <w:sz w:val="24"/>
          <w:szCs w:val="24"/>
        </w:rPr>
      </w:pPr>
      <w:r>
        <w:rPr>
          <w:rFonts w:hint="eastAsia" w:ascii="宋体" w:hAnsi="宋体" w:eastAsia="宋体" w:cs="宋体"/>
          <w:b/>
          <w:bCs/>
          <w:caps w:val="0"/>
          <w:color w:val="000000"/>
          <w:sz w:val="24"/>
          <w:szCs w:val="24"/>
          <w:lang w:val="en-US" w:eastAsia="zh-CN"/>
        </w:rPr>
        <w:t xml:space="preserve">5.</w:t>
      </w:r>
      <w:r>
        <w:rPr>
          <w:rFonts w:hint="eastAsia" w:ascii="宋体" w:hAnsi="宋体" w:eastAsia="宋体" w:cs="宋体"/>
          <w:b/>
          <w:bCs/>
          <w:caps w:val="0"/>
          <w:color w:val="000000"/>
          <w:sz w:val="24"/>
          <w:szCs w:val="24"/>
        </w:rPr>
        <w:t xml:space="preserve">招标文件的约束力</w:t>
      </w:r>
      <w:r>
        <w:rPr>
          <w:rFonts w:hint="eastAsia" w:ascii="宋体" w:hAnsi="宋体" w:eastAsia="宋体" w:cs="宋体"/>
          <w:b w:val="0"/>
          <w:bCs w:val="0"/>
          <w:caps w:val="0"/>
          <w:color w:val="000000"/>
          <w:sz w:val="24"/>
          <w:szCs w:val="24"/>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aps w:val="0"/>
          <w:color w:val="000000"/>
          <w:sz w:val="24"/>
          <w:szCs w:val="24"/>
          <w:lang w:eastAsia="zh-CN"/>
        </w:rPr>
        <w:t xml:space="preserve">供应商</w:t>
      </w:r>
      <w:r>
        <w:rPr>
          <w:rFonts w:hint="eastAsia" w:ascii="宋体" w:hAnsi="宋体" w:eastAsia="宋体" w:cs="宋体"/>
          <w:caps w:val="0"/>
          <w:color w:val="000000"/>
          <w:sz w:val="24"/>
          <w:szCs w:val="24"/>
        </w:rPr>
        <w:t xml:space="preserve">一旦参加本项目采购活动，即被认为接受了本招标文件的规定和约束。</w:t>
      </w:r>
      <w:r>
        <w:rPr>
          <w:rFonts w:hint="eastAsia" w:ascii="宋体" w:hAnsi="宋体" w:eastAsia="宋体" w:cs="宋体"/>
          <w:color w:val="000000"/>
          <w:sz w:val="24"/>
          <w:szCs w:val="24"/>
          <w:highlight w:val="none"/>
          <w:lang w:val="en-US" w:eastAsia="zh-CN"/>
        </w:rPr>
      </w:r>
      <w:r/>
    </w:p>
    <w:p>
      <w:pPr>
        <w:pStyle w:val="718"/>
        <w:spacing w:line="360" w:lineRule="auto"/>
        <w:rPr>
          <w:rFonts w:hint="eastAsia" w:ascii="黑体" w:hAnsi="黑体" w:eastAsia="黑体" w:cs="黑体"/>
          <w:bCs/>
          <w:color w:val="000000"/>
          <w:sz w:val="30"/>
          <w:szCs w:val="30"/>
          <w:highlight w:val="none"/>
        </w:rPr>
      </w:pPr>
      <w:r>
        <w:rPr>
          <w:rFonts w:hint="eastAsia" w:ascii="宋体" w:hAnsi="宋体" w:eastAsia="宋体" w:cs="宋体"/>
          <w:b/>
          <w:bCs w:val="0"/>
          <w:color w:val="000000"/>
          <w:sz w:val="30"/>
          <w:szCs w:val="30"/>
          <w:highlight w:val="none"/>
        </w:rPr>
        <w:t xml:space="preserve">二、招标文件</w:t>
      </w:r>
      <w:bookmarkEnd w:id="71"/>
      <w:r/>
      <w:bookmarkEnd w:id="72"/>
      <w:r/>
      <w:bookmarkEnd w:id="73"/>
      <w:r/>
      <w:bookmarkEnd w:id="74"/>
      <w:r>
        <w:rPr>
          <w:rFonts w:hint="eastAsia" w:ascii="黑体" w:hAnsi="黑体" w:eastAsia="黑体" w:cs="黑体"/>
          <w:bCs/>
          <w:color w:val="000000"/>
          <w:sz w:val="30"/>
          <w:szCs w:val="30"/>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招标文件构成</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.1招标文件由以下部分组成：</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第一章：投标邀请；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第三章：资格审查及评标办法；</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第四章：采购需求；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第五章：合同文本；</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第六章：投标文件格式。</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请仔细检查招标文件是否齐全，如有缺漏请立即与代理机构联系解决。</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b/>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本项目落实的政府采购政策对应序号为</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7.3</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7.4、7.5</w:t>
      </w: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lang w:val="en-US" w:eastAsia="zh-CN"/>
        </w:rPr>
        <w:t xml:space="preserve">7.10、7.11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.1中小企业政策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政府采购促进中小企业发展，在政府采购活动中，供应商提供的货物、工程或者服务符合下列情形的，享受中小企业扶持政策：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中小企业供应商参加政府采购活动，应当出具《中小企业声明函》，否则不得享受相关中小企业扶持政策。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w:t>
      </w:r>
      <w:r>
        <w:rPr>
          <w:rFonts w:hint="eastAsia" w:ascii="宋体" w:hAnsi="宋体" w:eastAsia="宋体" w:cs="宋体"/>
          <w:color w:val="000000"/>
          <w:sz w:val="24"/>
          <w:szCs w:val="24"/>
          <w:highlight w:val="none"/>
          <w:lang w:eastAsia="zh-CN"/>
        </w:rPr>
        <w:t xml:space="preserve">划分</w:t>
      </w:r>
      <w:r>
        <w:rPr>
          <w:rFonts w:hint="eastAsia" w:ascii="宋体" w:hAnsi="宋体" w:eastAsia="宋体" w:cs="宋体"/>
          <w:color w:val="000000"/>
          <w:sz w:val="24"/>
          <w:szCs w:val="24"/>
          <w:highlight w:val="none"/>
        </w:rPr>
        <w:t xml:space="preserve">标准规定的通知》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注：①参加投标的中小企业，应当按照《政府采购促进中小企业发展管理办法》（财库〔2020〕46号）规定，出具《中小企业声明函》，否则不得享受相关中小企业扶持政策。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投标文件中上传加盖出具单位公章的电子件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%的扣除，用扣除后的价格参加评审。（是否接受联合体以招标文件中相关内容为准，是否允许大中型企业向一家或者多家小微企业分包以招标文件中相关内容为准。）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节能产品、信息安全产品、环境标志产品</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.3提供的产品属于信息安全产品的，供应商应当选择经国家认证的信息安全产品投标，并提供由中国网络安全审查技术与认证中心按国家标准认证颁发的有效认证证书复印件。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.4提供的产品属于政府强制采购节能产品的，供应商应当选择依据国家标准中二级能效（水效）指标认证的节能产品投标，并提供有效的节能产品认证证书复印件。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.5提供的产品属于环境标志产品的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供应商应当选择依据相关标准的最新版本认证的环境标志产品投标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并提供有效的环境标志产品认证证书复印件。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绿色采购</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.1中标/成交供应商对涉及商品的包装应按照《关于印发《商品包装政府采购需求标准（试行）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2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000000"/>
          <w:sz w:val="24"/>
          <w:szCs w:val="24"/>
          <w:highlight w:val="none"/>
          <w:lang w:eastAsia="zh-CN"/>
        </w:rPr>
        <w:t xml:space="preserve">提高</w:t>
      </w:r>
      <w:r>
        <w:rPr>
          <w:rFonts w:hint="eastAsia" w:ascii="宋体" w:hAnsi="宋体" w:eastAsia="宋体" w:cs="宋体"/>
          <w:color w:val="000000"/>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.5落实政府采购《绿色建筑和绿色建材政府采购需求标准》（财库〔2022〕35号文）和《政府采购支持绿色建材促进建筑品质提升政策项目实施指南》（财办库〔2023〕52号）文件标准。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7.6</w:t>
      </w:r>
      <w:r>
        <w:rPr>
          <w:rFonts w:hint="eastAsia" w:ascii="宋体" w:hAnsi="宋体" w:eastAsia="宋体" w:cs="宋体"/>
          <w:color w:val="000000"/>
          <w:sz w:val="24"/>
          <w:szCs w:val="24"/>
          <w:highlight w:val="none"/>
        </w:rPr>
        <w:t xml:space="preserve">创新产品采购</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网络产品、市场准入类产品采购</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网络关键设备和网络安全专用产品目录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7.8</w:t>
      </w:r>
      <w:r>
        <w:rPr>
          <w:rFonts w:hint="eastAsia" w:ascii="宋体" w:hAnsi="宋体" w:eastAsia="宋体" w:cs="宋体"/>
          <w:color w:val="000000"/>
          <w:sz w:val="24"/>
          <w:szCs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7.9</w:t>
      </w:r>
      <w:r>
        <w:rPr>
          <w:rFonts w:hint="eastAsia" w:ascii="宋体" w:hAnsi="宋体" w:eastAsia="宋体" w:cs="宋体"/>
          <w:color w:val="000000"/>
          <w:sz w:val="24"/>
          <w:szCs w:val="24"/>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7.10</w:t>
      </w:r>
      <w:r>
        <w:rPr>
          <w:rFonts w:hint="eastAsia" w:ascii="宋体" w:hAnsi="宋体" w:eastAsia="宋体" w:cs="宋体"/>
          <w:color w:val="000000"/>
          <w:sz w:val="24"/>
          <w:szCs w:val="24"/>
          <w:highlight w:val="none"/>
        </w:rPr>
        <w:t xml:space="preserve">落实政府采购领域数字人民币政策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在政府采购履约保证金、代理服务费和货款资金支付中，鼓励以数字人民币作为支付方式。</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7.11</w:t>
      </w:r>
      <w:r>
        <w:rPr>
          <w:rFonts w:hint="eastAsia" w:ascii="宋体" w:hAnsi="宋体" w:eastAsia="宋体" w:cs="宋体"/>
          <w:color w:val="000000"/>
          <w:sz w:val="24"/>
          <w:szCs w:val="24"/>
          <w:highlight w:val="none"/>
          <w:lang w:val="en-US" w:eastAsia="zh-CN"/>
        </w:rPr>
        <w:t xml:space="preserve">评审过程中出现下列情形之一的，评审委员会应当启动异常低价投标（响应）审查程序：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（1）投标（响应）报价低于采购项目预算50%的，即投标（响应）报价〈采购项目预算×50% ；</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（2）投标（响应）报价低于采购项目最高限价45%的，即投标（响应）报价〈采购项目最高限价×45% ；</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（3）评审委员会认定的供应商报价过低、有可能影响产品质量或者不能诚信履约的其他情形。</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启动异常低价投标（响应）审查后，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注：未按要求提供相关材料的，不享受相关政策。</w:t>
      </w:r>
      <w:r>
        <w:rPr>
          <w:rFonts w:hint="eastAsia" w:ascii="宋体" w:hAnsi="宋体" w:eastAsia="宋体" w:cs="宋体"/>
          <w:b/>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招标文件的澄清或修改</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.1在提交</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接收截止之日前，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.2招标文件的澄清、修改将在原公告媒体上发布更正公告，澄清、修改文件均作为招标文件的组成部分，并对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.3采购代理机构发出的所有补充、修改和变更文件均作为招标文件的组成部分，与招标文件具有同等法律效力。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应及时登录“苏采云”系统获取澄清答疑文件（修改后的招标文件），如因供应商原因未能及时获取澄清和修改，由此造成的相关责任，由供应商承担。</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75" w:name="_Toc81575157"/>
      <w:r/>
      <w:bookmarkStart w:id="76" w:name="_Toc5574"/>
      <w:r/>
      <w:bookmarkStart w:id="77" w:name="_Toc81575194"/>
      <w:r/>
      <w:bookmarkStart w:id="78" w:name="_Toc11461"/>
      <w:r>
        <w:rPr>
          <w:rFonts w:hint="eastAsia" w:ascii="宋体" w:hAnsi="宋体" w:eastAsia="宋体" w:cs="宋体"/>
          <w:bCs/>
          <w:color w:val="000000"/>
          <w:sz w:val="30"/>
          <w:szCs w:val="30"/>
          <w:highlight w:val="none"/>
        </w:rPr>
        <w:t xml:space="preserve">三、投标文件的编制</w:t>
      </w:r>
      <w:bookmarkEnd w:id="75"/>
      <w:r/>
      <w:bookmarkEnd w:id="76"/>
      <w:r/>
      <w:bookmarkEnd w:id="77"/>
      <w:r/>
      <w:bookmarkEnd w:id="78"/>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投标文件的编制要求</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应仔细阅读“招标文件”的所有内容，保证所提供的全部资料的真实性、完整性及有效性，以使其投标对“招标文件”作出实质性响应。</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.2投标文件要求加盖电子签章之处，应按要求加盖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数字证书的电子签章。其他需要盖章但未明确要求电子签章的，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可按要求加盖公章后上传材料电子件或直接加盖电子签章。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.3本项目通过“苏采云”系统进行电子投标，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宋体" w:hAnsi="宋体" w:eastAsia="宋体" w:cs="宋体"/>
          <w:color w:val="000000"/>
          <w:sz w:val="24"/>
          <w:szCs w:val="24"/>
          <w:highlight w:val="none"/>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9.4供应商如同时参与多个采购包（如有）招标，则应按采购包分别制作投标文件，否则将视为无效投标文件。</w:t>
      </w:r>
      <w:r>
        <w:rPr>
          <w:rFonts w:ascii="宋体" w:hAnsi="宋体" w:eastAsia="宋体" w:cs="宋体"/>
          <w:color w:val="000000"/>
          <w:sz w:val="24"/>
          <w:szCs w:val="24"/>
          <w:highlight w:val="none"/>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投标文件构成</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.1投标文件包括资格证明文件、开标一览表、分项报价表、响应及偏离表、投标函、其他证明文件等部分。</w:t>
      </w:r>
      <w:r>
        <w:rPr>
          <w:rFonts w:hint="eastAsia" w:ascii="宋体" w:hAnsi="宋体" w:eastAsia="宋体" w:cs="宋体"/>
          <w:bCs/>
          <w:color w:val="000000"/>
          <w:sz w:val="24"/>
          <w:szCs w:val="24"/>
          <w:highlight w:val="none"/>
        </w:rPr>
        <w:t xml:space="preserve">投标文件构成资料为非中文时应提供中文译版。</w:t>
      </w:r>
      <w:bookmarkStart w:id="79" w:name="EBc50e2bb832bb43068403b10c1cce6141"/>
      <w:r>
        <w:rPr>
          <w:rFonts w:hint="eastAsia" w:ascii="宋体" w:hAnsi="宋体" w:eastAsia="宋体" w:cs="宋体"/>
          <w:bCs/>
          <w:color w:val="000000"/>
          <w:sz w:val="24"/>
          <w:szCs w:val="24"/>
          <w:highlight w:val="none"/>
        </w:rPr>
      </w:r>
      <w:r/>
    </w:p>
    <w:p>
      <w:pPr>
        <w:pStyle w:val="718"/>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0.2供应商应仔细阅读“招标文件”的所有内容，参考“招标文件”第六章“投标文件有关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r>
        <w:rPr>
          <w:rFonts w:hint="eastAsia" w:ascii="宋体" w:hAnsi="宋体" w:eastAsia="宋体" w:cs="宋体"/>
          <w:bCs/>
          <w:color w:val="000000"/>
          <w:sz w:val="24"/>
          <w:szCs w:val="24"/>
          <w:highlight w:val="none"/>
          <w:lang w:val="en-US" w:eastAsia="zh-CN"/>
        </w:rPr>
      </w:r>
      <w:r/>
    </w:p>
    <w:p>
      <w:pPr>
        <w:pStyle w:val="718"/>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各供应商在编制投标文件时请按照招标文件第六章规定的格式进行，混乱地编排导致投标文件被误读或评委会查找不到有效文件是供应商的风险。</w:t>
      </w:r>
      <w:r>
        <w:rPr>
          <w:rFonts w:ascii="宋体" w:hAnsi="宋体" w:eastAsia="宋体" w:cs="宋体"/>
          <w:bCs/>
          <w:color w:val="000000"/>
          <w:sz w:val="24"/>
          <w:szCs w:val="24"/>
          <w:highlight w:val="none"/>
          <w:lang w:val="en-US" w:eastAsia="zh-CN"/>
        </w:rPr>
      </w:r>
      <w:r/>
    </w:p>
    <w:p>
      <w:pPr>
        <w:pStyle w:val="718"/>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招标文件要求提供证书证件等原件电子件的，</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rPr>
        <w:t xml:space="preserve">提供的电子件应是对证书证件等原件通过扫描、拍照等方式进行数字化的可被“苏采云”系统识别的数字文件，否则评标委员会可以视其未提供。无论何种原因，即使</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rPr>
        <w:t xml:space="preserve">开标时携带了证书证明资料的原件，但电子投标文件中未包含相关资料电子件的，评标委员会可以视同其未提供。</w:t>
      </w:r>
      <w:bookmarkEnd w:id="79"/>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投标报价</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.1报价为一次报价，本项目不接受备选的投标方案或有选择的报价，只允许有一个报价。投标报价内容包括</w:t>
      </w:r>
      <w:bookmarkStart w:id="80" w:name="EB54dd097a55df4796bd5f9b6bdf2ddc40"/>
      <w:r>
        <w:rPr>
          <w:rFonts w:hint="eastAsia" w:ascii="宋体" w:hAnsi="宋体" w:eastAsia="宋体" w:cs="宋体"/>
          <w:color w:val="000000"/>
          <w:sz w:val="24"/>
          <w:szCs w:val="24"/>
          <w:highlight w:val="none"/>
        </w:rPr>
        <w:t xml:space="preserve">招标文件中</w:t>
      </w:r>
      <w:r>
        <w:rPr>
          <w:rFonts w:hint="eastAsia" w:ascii="宋体" w:hAnsi="宋体" w:eastAsia="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的其他一切费用。</w:t>
      </w:r>
      <w:bookmarkEnd w:id="80"/>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.2报价注意事项：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11.2.1</w:t>
      </w:r>
      <w:r>
        <w:rPr>
          <w:rFonts w:hint="eastAsia" w:ascii="宋体" w:hAnsi="宋体" w:eastAsia="宋体" w:cs="宋体"/>
          <w:color w:val="000000"/>
          <w:sz w:val="24"/>
          <w:szCs w:val="24"/>
          <w:highlight w:val="none"/>
        </w:rPr>
        <w:t xml:space="preserve">投标价格一律以人民币计算，以元为单位标注，最多保留至小数点后两位，招标文件有规定的按招标文件执行。</w:t>
      </w:r>
      <w:r>
        <w:rPr>
          <w:rFonts w:hint="eastAsia" w:ascii="宋体" w:hAnsi="宋体" w:eastAsia="宋体" w:cs="宋体"/>
          <w:color w:val="000000"/>
          <w:sz w:val="24"/>
          <w:szCs w:val="24"/>
          <w:highlight w:val="none"/>
        </w:rPr>
      </w:r>
      <w:r/>
    </w:p>
    <w:p>
      <w:pPr>
        <w:pStyle w:val="809"/>
        <w:rPr>
          <w:rFonts w:hint="eastAsia" w:ascii="宋体" w:hAnsi="宋体" w:eastAsia="宋体" w:cs="宋体"/>
          <w:b w:val="0"/>
          <w:bCs/>
          <w:color w:val="000000"/>
          <w:sz w:val="24"/>
          <w:szCs w:val="24"/>
          <w:highlight w:val="none"/>
        </w:rPr>
      </w:pPr>
      <w:r>
        <w:rPr>
          <w:rFonts w:hint="eastAsia" w:ascii="宋体" w:hAnsi="宋体" w:eastAsia="宋体" w:cs="宋体"/>
          <w:b w:val="0"/>
          <w:bCs/>
          <w:sz w:val="24"/>
          <w:szCs w:val="24"/>
          <w:lang w:val="en-US" w:eastAsia="zh-CN"/>
        </w:rPr>
        <w:t xml:space="preserve">11.2.2</w:t>
      </w:r>
      <w:r>
        <w:rPr>
          <w:rFonts w:hint="eastAsia" w:ascii="宋体" w:hAnsi="宋体" w:eastAsia="宋体" w:cs="宋体"/>
          <w:b w:val="0"/>
          <w:bCs/>
          <w:color w:val="000000"/>
          <w:sz w:val="24"/>
          <w:szCs w:val="24"/>
          <w:highlight w:val="none"/>
        </w:rPr>
        <w:t xml:space="preserve">供应商报价时应充分考虑所有可能影响到报价的因素，一旦评标结束最终中标，任何情况都将被认为是中标人的报价让利行为，损失自负。</w:t>
      </w:r>
      <w:r>
        <w:rPr>
          <w:rFonts w:hint="eastAsia" w:ascii="宋体" w:hAnsi="宋体" w:eastAsia="宋体" w:cs="宋体"/>
          <w:b w:val="0"/>
          <w:bCs/>
          <w:color w:val="000000"/>
          <w:sz w:val="24"/>
          <w:szCs w:val="24"/>
          <w:highlight w:val="none"/>
        </w:rPr>
      </w:r>
      <w:r/>
    </w:p>
    <w:p>
      <w:pPr>
        <w:pStyle w:val="80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11.2.3</w:t>
      </w:r>
      <w:r>
        <w:rPr>
          <w:rFonts w:hint="eastAsia" w:ascii="宋体" w:hAnsi="宋体" w:eastAsia="宋体" w:cs="宋体"/>
          <w:b w:val="0"/>
          <w:bCs/>
          <w:color w:val="000000"/>
          <w:sz w:val="24"/>
          <w:szCs w:val="24"/>
          <w:highlight w:val="none"/>
        </w:rPr>
        <w:t xml:space="preserve">报价应包含本次招标标的有关的所有费用，包括但不限于技术资料、支付给员工的工资和国家强制缴纳的各种社会保障资金，以及供应商认为需要的其他费用等。</w:t>
      </w:r>
      <w:r>
        <w:rPr>
          <w:rFonts w:hint="eastAsia" w:ascii="宋体" w:hAnsi="宋体" w:eastAsia="宋体" w:cs="宋体"/>
          <w:b w:val="0"/>
          <w:bCs/>
          <w:color w:val="000000"/>
          <w:sz w:val="24"/>
          <w:szCs w:val="24"/>
          <w:highlight w:val="none"/>
        </w:rPr>
      </w:r>
      <w:r/>
    </w:p>
    <w:p>
      <w:pPr>
        <w:pStyle w:val="809"/>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11.2.4</w:t>
      </w:r>
      <w:r>
        <w:rPr>
          <w:rFonts w:hint="eastAsia" w:ascii="宋体" w:hAnsi="宋体" w:eastAsia="宋体" w:cs="宋体"/>
          <w:b w:val="0"/>
          <w:bCs/>
          <w:color w:val="000000"/>
          <w:sz w:val="24"/>
          <w:szCs w:val="24"/>
          <w:highlight w:val="none"/>
        </w:rPr>
        <w:t xml:space="preserve">供应商的任何错漏、优惠、竞争性报价不得作为减轻责任、减少服务、增加收费、降低质量的理由。</w:t>
      </w:r>
      <w:r>
        <w:rPr>
          <w:rFonts w:hint="eastAsia" w:ascii="宋体" w:hAnsi="宋体" w:eastAsia="宋体" w:cs="宋体"/>
          <w:b w:val="0"/>
          <w:bCs/>
          <w:color w:val="000000"/>
          <w:sz w:val="24"/>
          <w:szCs w:val="24"/>
          <w:highlight w:val="none"/>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12.</w:t>
      </w:r>
      <w:r>
        <w:rPr>
          <w:rFonts w:hint="eastAsia" w:ascii="宋体" w:hAnsi="宋体" w:eastAsia="宋体" w:cs="宋体"/>
          <w:b/>
          <w:color w:val="000000"/>
          <w:sz w:val="24"/>
          <w:szCs w:val="24"/>
          <w:highlight w:val="none"/>
        </w:rPr>
        <w:t xml:space="preserve">投标有效期</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须知前附表规定的投标有效期内，投标有效期从提交投标文件的截止之日起算。投标有效期比规定短的将被视为未实质性响应招标文件。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12.2特殊情况需延长投标有效期的，采购代理机构可于投标有效期届满之前，要求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同意延长有效期，可向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提出延长投标有效期的要求，采购代理机构的要求与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的答复均应为书面形式（如信件、传真或电报等），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拒绝延长的，其投标在原投标有效期届满后将不再有效；</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同意延长的，不允许修改或撤回投标文件。</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81" w:name="_Toc23443"/>
      <w:r/>
      <w:bookmarkStart w:id="82" w:name="_Toc2773"/>
      <w:r/>
      <w:bookmarkStart w:id="83" w:name="_Toc81575195"/>
      <w:r/>
      <w:bookmarkStart w:id="84" w:name="_Toc81575158"/>
      <w:r>
        <w:rPr>
          <w:rFonts w:hint="eastAsia" w:ascii="宋体" w:hAnsi="宋体" w:eastAsia="宋体" w:cs="宋体"/>
          <w:bCs/>
          <w:color w:val="000000"/>
          <w:sz w:val="30"/>
          <w:szCs w:val="30"/>
          <w:highlight w:val="none"/>
        </w:rPr>
        <w:t xml:space="preserve">四、投标文件的提交</w:t>
      </w:r>
      <w:bookmarkEnd w:id="81"/>
      <w:r/>
      <w:bookmarkEnd w:id="82"/>
      <w:r/>
      <w:bookmarkEnd w:id="83"/>
      <w:r/>
      <w:bookmarkEnd w:id="84"/>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13.</w:t>
      </w:r>
      <w:r>
        <w:rPr>
          <w:rFonts w:hint="eastAsia" w:ascii="宋体" w:hAnsi="宋体" w:eastAsia="宋体" w:cs="宋体"/>
          <w:b/>
          <w:color w:val="000000"/>
          <w:sz w:val="24"/>
          <w:szCs w:val="24"/>
          <w:highlight w:val="none"/>
        </w:rPr>
        <w:t xml:space="preserve">投标文件的提交</w:t>
      </w:r>
      <w:r>
        <w:rPr>
          <w:rFonts w:hint="eastAsia" w:ascii="宋体" w:hAnsi="宋体" w:eastAsia="宋体" w:cs="宋体"/>
          <w:b/>
          <w:color w:val="000000"/>
          <w:sz w:val="24"/>
          <w:szCs w:val="24"/>
          <w:highlight w:val="none"/>
          <w:lang w:eastAsia="zh-CN"/>
        </w:rPr>
        <w:t xml:space="preserve">、撤回和修改</w:t>
      </w:r>
      <w:r>
        <w:rPr>
          <w:rFonts w:hint="eastAsia" w:ascii="宋体" w:hAnsi="宋体" w:eastAsia="宋体" w:cs="宋体"/>
          <w:b/>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应在招标文件规定的投标截止时间前提交投标文件并将电子投标文件上传至“苏采云”系统对应的本次开标采购包中。除招标文件另有规定外，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所提交的投标文件不予退还。</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13.2投标文件的修改和撤回：</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供应商可在投标截止时间前，撤回其投标文件，具体操作方法见《操作手册》。供应商撤回投标文件，则认为其不再参与本项目投标活动。</w:t>
      </w:r>
      <w:r>
        <w:rPr>
          <w:rFonts w:hint="eastAsia" w:ascii="宋体" w:hAnsi="宋体" w:eastAsia="宋体" w:cs="宋体"/>
          <w:color w:val="000000"/>
          <w:sz w:val="24"/>
          <w:szCs w:val="24"/>
          <w:highlight w:val="none"/>
        </w:rPr>
      </w:r>
      <w:r/>
    </w:p>
    <w:p>
      <w:pPr>
        <w:pStyle w:val="809"/>
        <w:rPr>
          <w:rFonts w:hint="eastAsia"/>
          <w:b w:val="0"/>
          <w:bCs/>
          <w:sz w:val="24"/>
          <w:szCs w:val="24"/>
          <w:lang w:eastAsia="zh-CN"/>
        </w:rPr>
      </w:pPr>
      <w:r>
        <w:rPr>
          <w:rFonts w:hint="eastAsia"/>
          <w:b w:val="0"/>
          <w:bCs/>
          <w:sz w:val="24"/>
          <w:szCs w:val="24"/>
        </w:rPr>
        <w:t xml:space="preserve">供应商可在投标截止时间前，对其投标文件进行修改，具体操作方法见《操作手册》。在投标截止时间之后，供应商不得对其投标文件作任何修改</w:t>
      </w:r>
      <w:r>
        <w:rPr>
          <w:rFonts w:hint="eastAsia"/>
          <w:b w:val="0"/>
          <w:bCs/>
          <w:sz w:val="24"/>
          <w:szCs w:val="24"/>
          <w:lang w:eastAsia="zh-CN"/>
        </w:rPr>
        <w:t xml:space="preserve">。</w:t>
      </w:r>
      <w:r>
        <w:rPr>
          <w:rFonts w:hint="eastAsia"/>
          <w:b w:val="0"/>
          <w:bCs/>
          <w:sz w:val="24"/>
          <w:szCs w:val="24"/>
          <w:lang w:eastAsia="zh-CN"/>
        </w:rPr>
      </w:r>
      <w:r/>
    </w:p>
    <w:p>
      <w:pPr>
        <w:pStyle w:val="809"/>
        <w:rPr>
          <w:rFonts w:hint="eastAsia"/>
          <w:b w:val="0"/>
          <w:bCs/>
          <w:sz w:val="24"/>
          <w:szCs w:val="24"/>
          <w:lang w:eastAsia="zh-CN"/>
        </w:rPr>
      </w:pPr>
      <w:r>
        <w:rPr>
          <w:rFonts w:hint="eastAsia"/>
          <w:b w:val="0"/>
          <w:bCs/>
          <w:sz w:val="24"/>
          <w:szCs w:val="24"/>
          <w:lang w:eastAsia="zh-CN"/>
        </w:rPr>
        <w:t xml:space="preserve">在投标截止时间至招标文件中规定的投标有效期满之间的这段时间内，供应商不得撤回其投标。</w:t>
      </w:r>
      <w:r>
        <w:rPr>
          <w:rFonts w:hint="eastAsia"/>
          <w:b w:val="0"/>
          <w:bCs/>
          <w:sz w:val="24"/>
          <w:szCs w:val="24"/>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13.3采购人、采购代理机构可以通过修改招标文件酌情延长投标文件接收截止日期，在此情况下，</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的所有权利和义务以及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受制约的截止日期均应以延长后新的截止日期为准。</w:t>
      </w:r>
      <w:r>
        <w:rPr>
          <w:rFonts w:hint="eastAsia" w:ascii="宋体" w:hAnsi="宋体" w:eastAsia="宋体" w:cs="宋体"/>
          <w:color w:val="000000"/>
          <w:sz w:val="24"/>
          <w:szCs w:val="24"/>
          <w:highlight w:val="none"/>
        </w:rPr>
      </w:r>
      <w:r/>
    </w:p>
    <w:p>
      <w:pPr>
        <w:pStyle w:val="809"/>
        <w:rPr>
          <w:rFonts w:eastAsia="宋体"/>
          <w:b w:val="0"/>
          <w:bCs/>
          <w:sz w:val="24"/>
          <w:szCs w:val="24"/>
          <w:lang w:val="en-US" w:eastAsia="zh-CN"/>
        </w:rPr>
      </w:pPr>
      <w:r>
        <w:rPr>
          <w:rFonts w:hint="eastAsia" w:ascii="宋体" w:hAnsi="宋体" w:eastAsia="宋体" w:cs="宋体"/>
          <w:b w:val="0"/>
          <w:bCs/>
          <w:color w:val="000000"/>
          <w:sz w:val="24"/>
          <w:szCs w:val="24"/>
          <w:highlight w:val="none"/>
          <w:lang w:val="en-US" w:eastAsia="zh-CN"/>
        </w:rPr>
        <w:t xml:space="preserve">13.4供应商应充分考虑网络环境、网络带宽等因素可能对投标产生的影响，如因供应商自身原因造成的电子投标文件上传不成功的，按照第14条规定处理。</w:t>
      </w:r>
      <w:r>
        <w:rPr>
          <w:rFonts w:eastAsia="宋体"/>
          <w:b w:val="0"/>
          <w:bCs/>
          <w:sz w:val="24"/>
          <w:szCs w:val="24"/>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14.</w:t>
      </w:r>
      <w:r>
        <w:rPr>
          <w:rFonts w:hint="eastAsia" w:ascii="宋体" w:hAnsi="宋体" w:eastAsia="宋体" w:cs="宋体"/>
          <w:b/>
          <w:color w:val="000000"/>
          <w:sz w:val="24"/>
          <w:szCs w:val="24"/>
          <w:highlight w:val="none"/>
        </w:rPr>
        <w:t xml:space="preserve">投标文件被拒绝接收的情形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在招标文件规定的投标截止时间后上传的投标文件或对投标报价或其他实质性内容修正的文件。</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85" w:name="_Toc20026"/>
      <w:r/>
      <w:bookmarkStart w:id="86" w:name="_Toc81575160"/>
      <w:r/>
      <w:bookmarkStart w:id="87" w:name="_Toc81575197"/>
      <w:r/>
      <w:bookmarkStart w:id="88" w:name="_Toc959"/>
      <w:r>
        <w:rPr>
          <w:rFonts w:hint="eastAsia" w:ascii="宋体" w:hAnsi="宋体" w:eastAsia="宋体" w:cs="宋体"/>
          <w:bCs/>
          <w:color w:val="000000"/>
          <w:sz w:val="30"/>
          <w:szCs w:val="30"/>
          <w:highlight w:val="none"/>
        </w:rPr>
        <w:t xml:space="preserve">五、开标、评标程序</w:t>
      </w:r>
      <w:bookmarkEnd w:id="85"/>
      <w:r/>
      <w:bookmarkEnd w:id="86"/>
      <w:r/>
      <w:bookmarkEnd w:id="87"/>
      <w:r/>
      <w:bookmarkEnd w:id="88"/>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15.</w:t>
      </w:r>
      <w:r>
        <w:rPr>
          <w:rFonts w:hint="eastAsia" w:ascii="宋体" w:hAnsi="宋体" w:eastAsia="宋体" w:cs="宋体"/>
          <w:b/>
          <w:color w:val="000000"/>
          <w:sz w:val="24"/>
          <w:szCs w:val="24"/>
          <w:highlight w:val="none"/>
        </w:rPr>
        <w:t xml:space="preserve">开标</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15.1采购代理机构将在招标公告中规定的时间和地点组织公开开标。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应当按照《操作手册》规定，参加开标活动，在“苏采云”系统规定的时间内对投标文件解密。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15.2开标仪式由采购代理机构组织。“苏采云”系统将自动对项目进行开标，并宣布各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名称和投标价格。</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用于解密的CA证书应为该投标文件生成加密、上传的同一把CA证书。</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应登录“苏采云”系统进入“开标大厅”，在系统约定时间内使用CA证书解密，未成功解密的视为放弃投标。</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16.</w:t>
      </w:r>
      <w:r>
        <w:rPr>
          <w:rFonts w:hint="eastAsia" w:ascii="宋体" w:hAnsi="宋体" w:eastAsia="宋体" w:cs="宋体"/>
          <w:b/>
          <w:color w:val="000000"/>
          <w:sz w:val="24"/>
          <w:szCs w:val="24"/>
          <w:highlight w:val="none"/>
        </w:rPr>
        <w:t xml:space="preserve">评标委员会</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17.</w:t>
      </w:r>
      <w:r>
        <w:rPr>
          <w:rFonts w:hint="eastAsia" w:ascii="宋体" w:hAnsi="宋体" w:eastAsia="宋体" w:cs="宋体"/>
          <w:b/>
          <w:color w:val="000000"/>
          <w:sz w:val="24"/>
          <w:szCs w:val="24"/>
          <w:highlight w:val="none"/>
        </w:rPr>
        <w:t xml:space="preserve">评标程序</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17.1资格审查</w:t>
      </w:r>
      <w:bookmarkStart w:id="89" w:name="EBa9c0a2c9e523494487594c65b2a92370"/>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开标结束后，采购人或采购代理机构依法根据招标文件的规定对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的资格证明文件等进行审查。</w:t>
      </w:r>
      <w:bookmarkEnd w:id="89"/>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17.2符合性检查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17.2.1依据招标文件的规定，由评标委员会从投标文件的有效性、完整性和对招标文件的响应程度进行审查，以确定是否对招标文件的实质性要求作出响应。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hAnsi="宋体" w:eastAsia="宋体" w:cs="宋体"/>
          <w:color w:val="000000"/>
          <w:sz w:val="24"/>
          <w:szCs w:val="24"/>
          <w:highlight w:val="none"/>
        </w:rPr>
        <w:t xml:space="preserve">所谓重大偏离是指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投标文件中所述设备质量、技术规格、数量、交货期、服务等明显不能满足招标文件要求。</w:t>
      </w:r>
      <w:bookmarkEnd w:id="90"/>
      <w:r>
        <w:rPr>
          <w:rFonts w:hint="eastAsia" w:ascii="宋体" w:hAnsi="宋体" w:eastAsia="宋体" w:cs="宋体"/>
          <w:color w:val="000000"/>
          <w:sz w:val="24"/>
          <w:szCs w:val="24"/>
          <w:highlight w:val="none"/>
        </w:rPr>
        <w:t xml:space="preserve">重大偏离的认定需经过评标委员会以少数服从多数的原则作出结论。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17.3未通过资格审查或符合性审查的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，采购代理机构将在“苏采云”系统中告知未通过资格审查或符合性审查的原因，评标结束后，采购代理机构将不再告知未通过资格审查或符合性审查的原因。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17.4评标委员会判断投标文件的响应性，仅基于投标文件本身而不靠外部证据。对非实质性响应的投标文件，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不能通过修正或撤销不符之处，而使其成为实质性响应。</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17.5相同品牌产品投标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17.5.1采用最低评标价法的采购项目，提供相同品牌产品的不同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参加同一合同项下投标的，以其中通过资格审查、符合性审查且报价最低的参加评标；报价相同的，由采购人采取随机抽取方式确定，其他投标无效。</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17.5.2使用综合评分法的采购项目，提供相同品牌产品且通过资格审查、符合性审查的不同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参加同一合同项下投标的，按一家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获得中标人推荐资格；评审得分相同的，报价最低的同品牌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获得中标人推荐资格；评审得分且报价相同的，采取随机抽取方式确定，其他同品牌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不作为中标候选人。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17.5.3非单一产品采购项目，采购人确定核心产品，并在招标文件中载明。多家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提供的核心产品品牌相同的，按前两款规定处理。</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17.6有关问题的澄清</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17.6.1对投标文件中含义不明确、同类问题表述不一致或者有明显文字和计算错误的内容，评标委员会通过“苏采云”系统向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发出“澄清要求函”，要求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的澄清、说明或者补正应当采用书面形式且不得超出投标文件的范围或者改变投标文件的实质性内容。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的澄清、说明或者补正应加盖电子公章，或者由法定代表人或其授权的代表签章（或签字）。澄清、说明和补正的内容作为投标文件的补充部分。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17.6.2投标文件报价出现前后不一致的，除招标文件另有规定外，按照下列规定修正：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17.6.3评标委员会将按上述修正错误的方法调整投标文件中的投标报价，并通过“苏采云”系统告知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，调整后的价格应对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不接受修正后的价格，其投标将被拒绝。</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17.7比较</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评标委员会将按招标文件中规定的评标方法和标准，对符合性检查合格的投标文件进行商务和技术评比。</w:t>
      </w:r>
      <w:r>
        <w:rPr>
          <w:rFonts w:hint="eastAsia" w:ascii="宋体" w:hAnsi="宋体" w:eastAsia="宋体" w:cs="宋体"/>
          <w:color w:val="000000"/>
          <w:sz w:val="24"/>
          <w:szCs w:val="24"/>
          <w:highlight w:val="none"/>
        </w:rPr>
      </w:r>
      <w:r/>
    </w:p>
    <w:p>
      <w:pPr>
        <w:pStyle w:val="809"/>
        <w:rPr>
          <w:rFonts w:hint="eastAsia"/>
          <w:b w:val="0"/>
          <w:bCs/>
          <w:sz w:val="24"/>
          <w:szCs w:val="24"/>
        </w:rPr>
      </w:pPr>
      <w:r>
        <w:rPr>
          <w:rFonts w:hint="eastAsia"/>
          <w:b w:val="0"/>
          <w:bCs/>
          <w:sz w:val="24"/>
          <w:szCs w:val="24"/>
        </w:rPr>
        <w:t xml:space="preserve">17.</w:t>
      </w:r>
      <w:r>
        <w:rPr>
          <w:rFonts w:hint="eastAsia"/>
          <w:b w:val="0"/>
          <w:bCs/>
          <w:sz w:val="24"/>
          <w:szCs w:val="24"/>
          <w:lang w:val="en-US" w:eastAsia="zh-CN"/>
        </w:rPr>
        <w:t xml:space="preserve">8</w:t>
      </w:r>
      <w:r>
        <w:rPr>
          <w:rFonts w:hint="eastAsia"/>
          <w:b w:val="0"/>
          <w:bCs/>
          <w:sz w:val="24"/>
          <w:szCs w:val="24"/>
        </w:rPr>
        <w:t xml:space="preserve">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b w:val="0"/>
          <w:bCs/>
          <w:sz w:val="24"/>
          <w:szCs w:val="24"/>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推荐中标候选人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评标委员会按照招标文件中规定的评标方法和标准推荐中标候选人。</w:t>
      </w:r>
      <w:r>
        <w:rPr>
          <w:rFonts w:hint="eastAsia" w:ascii="宋体" w:hAnsi="宋体" w:eastAsia="宋体" w:cs="宋体"/>
          <w:color w:val="000000"/>
          <w:sz w:val="24"/>
          <w:szCs w:val="24"/>
          <w:highlight w:val="none"/>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若有充分证据证明，中标候选人出现下列情况之一的，一经查实，采购人有权提请评标委员会或财政部门重新确定其中标资格：</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（1）提供虚假材料谋取中标的；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（2）与评审专家、采购人、其他投标人或者采购代理机构工作人员恶意串通的；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（3）向评审专家、采购人或采购代理机构工作人员行贿或者提供其他不正当利益的；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（4）不满足本招标文件规定的实质性要求，但评标过程中又未被评标委员会发现的；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（5）出现供应商串通投标情形的；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（6）不符合</w:t>
      </w:r>
      <w:r>
        <w:rPr>
          <w:rFonts w:hint="eastAsia" w:ascii="宋体" w:hAnsi="宋体" w:eastAsia="宋体" w:cs="宋体"/>
          <w:b w:val="0"/>
          <w:bCs/>
          <w:sz w:val="24"/>
          <w:szCs w:val="24"/>
          <w:lang w:eastAsia="zh-CN"/>
        </w:rPr>
        <w:t xml:space="preserve">法律法规</w:t>
      </w:r>
      <w:r>
        <w:rPr>
          <w:rFonts w:hint="eastAsia" w:ascii="宋体" w:hAnsi="宋体" w:eastAsia="宋体" w:cs="宋体"/>
          <w:b w:val="0"/>
          <w:bCs/>
          <w:sz w:val="24"/>
          <w:szCs w:val="24"/>
        </w:rPr>
        <w:t xml:space="preserve">规定的其他情形。</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不符合法定中标条件的，采购人可按评委会推荐的中标候选人名单排序，确定下一候选人为中标人，也可以重新开展政府采购活动。</w:t>
      </w:r>
      <w:r>
        <w:rPr>
          <w:rFonts w:hint="eastAsia" w:ascii="宋体" w:hAnsi="宋体" w:eastAsia="宋体" w:cs="宋体"/>
          <w:b w:val="0"/>
          <w:bCs/>
          <w:sz w:val="24"/>
          <w:szCs w:val="24"/>
        </w:rPr>
      </w:r>
      <w:r/>
    </w:p>
    <w:p>
      <w:pPr>
        <w:pStyle w:val="720"/>
        <w:spacing w:before="0" w:after="0" w:line="360" w:lineRule="auto"/>
        <w:rPr>
          <w:rFonts w:hint="eastAsia" w:ascii="宋体" w:hAnsi="宋体" w:eastAsia="宋体" w:cs="宋体"/>
          <w:bCs/>
          <w:color w:val="000000"/>
          <w:sz w:val="24"/>
          <w:szCs w:val="24"/>
          <w:highlight w:val="none"/>
        </w:rPr>
      </w:pPr>
      <w:r/>
      <w:bookmarkStart w:id="91" w:name="_Toc8712"/>
      <w:r/>
      <w:bookmarkStart w:id="92" w:name="_Toc81575196"/>
      <w:r/>
      <w:bookmarkStart w:id="93" w:name="_Toc8841"/>
      <w:r/>
      <w:bookmarkStart w:id="94" w:name="_Toc81575159"/>
      <w:r>
        <w:rPr>
          <w:rFonts w:hint="eastAsia" w:ascii="宋体" w:hAnsi="宋体" w:eastAsia="宋体" w:cs="宋体"/>
          <w:bCs/>
          <w:color w:val="000000"/>
          <w:sz w:val="30"/>
          <w:szCs w:val="30"/>
          <w:highlight w:val="none"/>
        </w:rPr>
        <w:t xml:space="preserve">六、无效投标、废标、串通投标</w:t>
      </w:r>
      <w:bookmarkEnd w:id="91"/>
      <w:r/>
      <w:bookmarkEnd w:id="92"/>
      <w:r/>
      <w:bookmarkEnd w:id="93"/>
      <w:r/>
      <w:bookmarkEnd w:id="94"/>
      <w:r>
        <w:rPr>
          <w:rFonts w:hint="eastAsia" w:ascii="宋体" w:hAnsi="宋体" w:eastAsia="宋体" w:cs="宋体"/>
          <w:bCs/>
          <w:color w:val="000000"/>
          <w:sz w:val="30"/>
          <w:szCs w:val="30"/>
          <w:highlight w:val="none"/>
        </w:rPr>
        <w:t xml:space="preserve">及取消中标候选人资格情形</w:t>
      </w:r>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18.</w:t>
      </w:r>
      <w:r>
        <w:rPr>
          <w:rFonts w:hint="eastAsia" w:ascii="宋体" w:hAnsi="宋体" w:eastAsia="宋体" w:cs="宋体"/>
          <w:b/>
          <w:color w:val="000000"/>
          <w:sz w:val="24"/>
          <w:szCs w:val="24"/>
          <w:highlight w:val="none"/>
        </w:rPr>
        <w:t xml:space="preserve">无效投标情形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同一采购包提交两个（含两个）以上不同的投标报价的。</w:t>
      </w:r>
      <w:r>
        <w:rPr>
          <w:rFonts w:hint="eastAsia" w:ascii="宋体" w:hAnsi="宋体" w:eastAsia="宋体" w:cs="宋体"/>
          <w:strike/>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不符合招标文件规定资格要求的或未按规定提交资质证件的。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的报价超过了采购预算或最高限价的。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18.4投标文件未通过</w:t>
      </w:r>
      <w:r>
        <w:rPr>
          <w:rFonts w:hint="eastAsia" w:ascii="宋体" w:hAnsi="宋体" w:eastAsia="宋体" w:cs="宋体"/>
          <w:color w:val="000000"/>
          <w:sz w:val="24"/>
          <w:szCs w:val="24"/>
          <w:highlight w:val="none"/>
          <w:lang w:val="en-US" w:eastAsia="zh-CN"/>
        </w:rPr>
        <w:t xml:space="preserve">资格性审查或</w:t>
      </w:r>
      <w:r>
        <w:rPr>
          <w:rFonts w:hint="eastAsia" w:ascii="宋体" w:hAnsi="宋体" w:eastAsia="宋体" w:cs="宋体"/>
          <w:color w:val="000000"/>
          <w:sz w:val="24"/>
          <w:szCs w:val="24"/>
          <w:highlight w:val="none"/>
        </w:rPr>
        <w:t xml:space="preserve">符合性审查的。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18.5投标文件出现重大偏离，不符合招标文件中规定的实质性要求的（★部分为实质性要求）。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18.6评标委员会认为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的报价，有可能影响产品质量或者不能诚信履约的，且</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不能在合理的时间内提供说明，证明其报价合理性的。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18.7投标文件未按照招标文件要求加盖CA电子公章的。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有本招标文件规定的恶意串通投标情形的。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8"/>
          <w:highlight w:val="none"/>
        </w:rPr>
        <w:t xml:space="preserve">投标文件出现商务条款的负偏离，视为未对招标文件进行实质性响应</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eastAsia="zh-CN"/>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投标报价出现前后不一致，按照招标文件规定进行修正，修正后的报价，供应商不在规定时间内确认或修正后的报价超过预算金额或者最高限价的。</w:t>
      </w:r>
      <w:r>
        <w:rPr>
          <w:rFonts w:hint="eastAsia" w:ascii="宋体" w:hAnsi="宋体" w:eastAsia="宋体" w:cs="宋体"/>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8"/>
          <w:highlight w:val="none"/>
        </w:rPr>
        <w:t xml:space="preserve">明细报价表出现缺漏项的</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eastAsia="zh-CN"/>
        </w:rPr>
      </w:r>
      <w:r/>
    </w:p>
    <w:p>
      <w:pPr>
        <w:pStyle w:val="718"/>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8"/>
          <w:highlight w:val="none"/>
        </w:rPr>
        <w:t xml:space="preserve">投标文件技术参数及要求中一般指标超出招标文件规定允许偏离最大范围或最高项数的</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eastAsia="zh-CN"/>
        </w:rPr>
      </w:r>
      <w:r/>
    </w:p>
    <w:p>
      <w:pPr>
        <w:pStyle w:val="718"/>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8"/>
          <w:highlight w:val="none"/>
          <w:lang w:val="en-US" w:eastAsia="zh-CN"/>
        </w:rPr>
        <w:t xml:space="preserve">技术响应完全复制采购需求的内容，未对招标文件进行有效响应的。</w:t>
      </w:r>
      <w:r>
        <w:rPr>
          <w:rFonts w:hint="eastAsia" w:ascii="宋体" w:hAnsi="宋体" w:eastAsia="宋体" w:cs="宋体"/>
          <w:color w:val="000000"/>
          <w:sz w:val="24"/>
          <w:szCs w:val="28"/>
          <w:highlight w:val="none"/>
          <w:lang w:val="en-US" w:eastAsia="zh-CN"/>
        </w:rPr>
      </w:r>
      <w:r/>
    </w:p>
    <w:p>
      <w:pPr>
        <w:pStyle w:val="718"/>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14其他</w:t>
      </w:r>
      <w:r>
        <w:rPr>
          <w:rFonts w:hint="eastAsia" w:ascii="宋体" w:hAnsi="宋体" w:eastAsia="宋体" w:cs="宋体"/>
          <w:color w:val="000000"/>
          <w:sz w:val="24"/>
          <w:szCs w:val="28"/>
          <w:highlight w:val="none"/>
        </w:rPr>
        <w:t xml:space="preserve">评标委员会认为有必要取消的投标</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及本招标文件规定的</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无效投标的情形。</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19.</w:t>
      </w:r>
      <w:r>
        <w:rPr>
          <w:rFonts w:hint="eastAsia" w:ascii="宋体" w:hAnsi="宋体" w:eastAsia="宋体" w:cs="宋体"/>
          <w:b/>
          <w:color w:val="000000"/>
          <w:sz w:val="24"/>
          <w:szCs w:val="24"/>
          <w:highlight w:val="none"/>
        </w:rPr>
        <w:t xml:space="preserve">废标情形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19.1符合专业条件的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或者对招标文件作实质响应的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不足三家的。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19.2出现影响采购公正的违法、违规行为的。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19.3因重大变故，采购任务取消的。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19.4评标委员会认定招标文件存在歧义、重大缺陷导致评审工作无法进行的。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19.5在“苏采云”系统规定时间内成功解密电子投标文件的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不足3家的。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因苏采云系统故障造成开标不成功</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20.供应商</w:t>
      </w:r>
      <w:r>
        <w:rPr>
          <w:rFonts w:hint="eastAsia" w:ascii="宋体" w:hAnsi="宋体" w:eastAsia="宋体" w:cs="宋体"/>
          <w:b/>
          <w:color w:val="000000"/>
          <w:sz w:val="24"/>
          <w:szCs w:val="24"/>
          <w:highlight w:val="none"/>
        </w:rPr>
        <w:t xml:space="preserve">不足三家情形处理</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不足3家或者通过资格审查或符合性审查的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不足3家的，除采购任务取消情形外，按财政部令第87号第四十三条条款进行处理。</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21.</w:t>
      </w:r>
      <w:r>
        <w:rPr>
          <w:rFonts w:hint="eastAsia" w:ascii="宋体" w:hAnsi="宋体" w:eastAsia="宋体" w:cs="宋体"/>
          <w:b/>
          <w:color w:val="000000"/>
          <w:sz w:val="24"/>
          <w:szCs w:val="24"/>
          <w:highlight w:val="none"/>
        </w:rPr>
        <w:t xml:space="preserve">串通投标情形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有下列情形之一的，属于恶意串通投标：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21.1供应商直接或间接从采购人或采购代理机构处获得其他供应商的投标情况，并修改其投标文件；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21.2评审活动开始前供应商直接或间接从采购人或采购代理机构处获得评标委员会组成人员情况；</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21.3供应商接受采购人或采购代理机构授意撤换、修改投标文件；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21.4供应商之间协商投标报价、技术方案等投标文件实质性内容；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21.5属于同一集团、协会、商会等组织成员的供应商按照该组织要求协同投标；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21.6供应商之间事先约定由某一特定供应商中标、成交；</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21.7供应商之间商定部分供应商放弃投标或者放弃中标、成交；</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21.8供应商与采购人或采购代理机构之间、供应商相互之间为谋求特定供应商中标成交或者排斥其他供应商的其他串通行为；</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有下列情形之一的，视为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串通投标，其投标无效：</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委托同一单位或者个人办理投标事宜；</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的投标文件相互混装；</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21.14不同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的投标保证金从同一单位或者个人的账户转出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不同供应商的ip地址、MAC地址、标书制作工具客户端标识码一致的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22.</w:t>
      </w:r>
      <w:bookmarkStart w:id="95" w:name="OLE_LINK4"/>
      <w:r>
        <w:rPr>
          <w:rFonts w:hint="eastAsia" w:ascii="宋体" w:hAnsi="宋体" w:eastAsia="宋体" w:cs="宋体"/>
          <w:b/>
          <w:color w:val="000000"/>
          <w:sz w:val="24"/>
          <w:szCs w:val="24"/>
          <w:highlight w:val="none"/>
        </w:rPr>
        <w:t xml:space="preserve">取消中标候选人资格情形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bookmarkEnd w:id="95"/>
      <w:r>
        <w:rPr>
          <w:rFonts w:hint="eastAsia" w:ascii="宋体" w:hAnsi="宋体" w:eastAsia="宋体" w:cs="宋体"/>
          <w:color w:val="000000"/>
          <w:sz w:val="24"/>
          <w:szCs w:val="24"/>
          <w:highlight w:val="none"/>
        </w:rPr>
        <w:t xml:space="preserve">22.1提供虚假材料谋取中标的；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22.2采取不正当手段诋毁、排挤其他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22.3与采购人、其他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或者采购代理机构恶意串通的；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22.4向采购人、采购代理机构行贿或者提供其他不正当利益的；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22.5未在规定时间内与采购人签订采购合同的；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情况。</w:t>
      </w:r>
      <w:bookmarkStart w:id="96" w:name="_Toc81575198"/>
      <w:r/>
      <w:bookmarkStart w:id="97" w:name="_Toc2391"/>
      <w:r/>
      <w:bookmarkStart w:id="98" w:name="_Toc6494"/>
      <w:r/>
      <w:bookmarkStart w:id="99" w:name="_Toc81575161"/>
      <w:r>
        <w:rPr>
          <w:rFonts w:hint="eastAsia" w:ascii="宋体" w:hAnsi="宋体" w:eastAsia="宋体" w:cs="宋体"/>
          <w:color w:val="000000"/>
          <w:sz w:val="24"/>
          <w:szCs w:val="24"/>
          <w:highlight w:val="none"/>
        </w:rPr>
      </w:r>
      <w:r/>
    </w:p>
    <w:p>
      <w:pPr>
        <w:pStyle w:val="718"/>
        <w:spacing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30"/>
          <w:szCs w:val="30"/>
          <w:highlight w:val="none"/>
          <w:lang w:val="en-US" w:eastAsia="zh-CN" w:bidi="ar-SA"/>
        </w:rPr>
        <w:t xml:space="preserve">七、中标及合同签订</w:t>
      </w:r>
      <w:bookmarkEnd w:id="96"/>
      <w:r/>
      <w:bookmarkEnd w:id="97"/>
      <w:r/>
      <w:bookmarkEnd w:id="98"/>
      <w:r/>
      <w:bookmarkEnd w:id="99"/>
      <w:r>
        <w:rPr>
          <w:rFonts w:hint="eastAsia" w:ascii="宋体" w:hAnsi="宋体" w:eastAsia="宋体" w:cs="宋体"/>
          <w:b/>
          <w:bCs/>
          <w:color w:val="000000"/>
          <w:sz w:val="24"/>
          <w:szCs w:val="24"/>
          <w:highlight w:val="none"/>
          <w:lang w:val="en-US" w:eastAsia="zh-CN" w:bidi="ar-SA"/>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23.</w:t>
      </w:r>
      <w:r>
        <w:rPr>
          <w:rFonts w:hint="eastAsia" w:ascii="宋体" w:hAnsi="宋体" w:eastAsia="宋体" w:cs="宋体"/>
          <w:b/>
          <w:color w:val="000000"/>
          <w:sz w:val="24"/>
          <w:szCs w:val="24"/>
          <w:highlight w:val="none"/>
        </w:rPr>
        <w:t xml:space="preserve">确定中标人</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23.1采购人应当自收到评审报告之日起5个工作日内在评审报告推荐的中标候选人中按顺序确定中标人。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23.2中标人确定之日起2个工作日内，采购人、采购代理机构将发布中标结果，中标公告的公告期限为1个工作日。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23.3采购人确定正被列为失信被执行人的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为中标人的，中标结果无效。</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采购人不得通过对样品进行检测、对供应商进行考察等方式改变评审结果。</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24.</w:t>
      </w:r>
      <w:r>
        <w:rPr>
          <w:rFonts w:hint="eastAsia" w:ascii="宋体" w:hAnsi="宋体" w:eastAsia="宋体" w:cs="宋体"/>
          <w:b/>
          <w:color w:val="000000"/>
          <w:sz w:val="24"/>
          <w:szCs w:val="24"/>
          <w:highlight w:val="none"/>
        </w:rPr>
        <w:t xml:space="preserve">中标通知书</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24.1在公告中标结果的同时，采购代理机构将向中标人发出中标通知书。中标人使用CA数字证书登录“苏采云”系统及时下载中标通知书。</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24.3采用综合评分法评审的，未中标人可于中标结果公告期限届满之日起通过“苏采云”系统查看</w:t>
      </w:r>
      <w:bookmarkStart w:id="100" w:name="OLE_LINK5"/>
      <w:r>
        <w:rPr>
          <w:rFonts w:hint="eastAsia" w:ascii="宋体" w:hAnsi="宋体" w:eastAsia="宋体" w:cs="宋体"/>
          <w:color w:val="000000"/>
          <w:sz w:val="24"/>
          <w:szCs w:val="24"/>
          <w:highlight w:val="none"/>
        </w:rPr>
        <w:t xml:space="preserve">自己的评审得分及排序情况。</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bookmarkEnd w:id="100"/>
      <w:r>
        <w:rPr>
          <w:rFonts w:hint="eastAsia" w:ascii="宋体" w:hAnsi="宋体" w:eastAsia="宋体" w:cs="宋体"/>
          <w:b/>
          <w:color w:val="000000"/>
          <w:sz w:val="24"/>
          <w:szCs w:val="24"/>
          <w:highlight w:val="none"/>
          <w:lang w:eastAsia="zh-CN"/>
        </w:rPr>
        <w:t xml:space="preserve">25.</w:t>
      </w:r>
      <w:r>
        <w:rPr>
          <w:rFonts w:hint="eastAsia" w:ascii="宋体" w:hAnsi="宋体" w:eastAsia="宋体" w:cs="宋体"/>
          <w:b/>
          <w:color w:val="000000"/>
          <w:sz w:val="24"/>
          <w:szCs w:val="24"/>
          <w:highlight w:val="none"/>
        </w:rPr>
        <w:t xml:space="preserve">授予合同</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25.1采购人与中标人应当在中标通知书发出之日起</w:t>
      </w:r>
      <w:r>
        <w:rPr>
          <w:rFonts w:hint="eastAsia" w:ascii="宋体" w:hAnsi="宋体" w:eastAsia="宋体" w:cs="宋体"/>
          <w:color w:val="000000"/>
          <w:sz w:val="24"/>
          <w:szCs w:val="24"/>
          <w:highlight w:val="none"/>
          <w:u w:val="single"/>
        </w:rPr>
        <w:t xml:space="preserve">15日内</w:t>
      </w:r>
      <w:r>
        <w:rPr>
          <w:rFonts w:hint="eastAsia" w:ascii="宋体" w:hAnsi="宋体" w:eastAsia="宋体" w:cs="宋体"/>
          <w:color w:val="000000"/>
          <w:sz w:val="24"/>
          <w:szCs w:val="24"/>
          <w:highlight w:val="none"/>
        </w:rPr>
        <w:t xml:space="preserve">签订政府采购合同。中标通知书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招标文件、中标人的投标文件以及评标过程中有关澄清文件均作为合同附件。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25.2采购人在自合同签订之日起2个工作日内，将合同在指定的媒体上公告。</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中标人无正当理由未在规定时间内与采购人签订合同的，采购人有权建议取消其中标资格，监管部门将对其依法处理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26.</w:t>
      </w:r>
      <w:r>
        <w:rPr>
          <w:rFonts w:hint="eastAsia" w:ascii="宋体" w:hAnsi="宋体" w:eastAsia="宋体" w:cs="宋体"/>
          <w:b/>
          <w:color w:val="000000"/>
          <w:sz w:val="24"/>
          <w:szCs w:val="24"/>
          <w:highlight w:val="none"/>
        </w:rPr>
        <w:t xml:space="preserve">履约保证金</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26.1</w:t>
      </w:r>
      <w:r>
        <w:rPr>
          <w:rFonts w:hint="eastAsia" w:ascii="宋体" w:hAnsi="宋体" w:eastAsia="宋体" w:cs="宋体"/>
          <w:color w:val="000000"/>
          <w:sz w:val="24"/>
          <w:szCs w:val="24"/>
          <w:highlight w:val="none"/>
        </w:rPr>
        <w:t xml:space="preserve">本项目不收取履约保证金。</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27.</w:t>
      </w:r>
      <w:r>
        <w:rPr>
          <w:rFonts w:hint="eastAsia" w:ascii="宋体" w:hAnsi="宋体" w:eastAsia="宋体" w:cs="宋体"/>
          <w:b/>
          <w:color w:val="000000"/>
          <w:sz w:val="24"/>
          <w:szCs w:val="24"/>
          <w:highlight w:val="none"/>
        </w:rPr>
        <w:t xml:space="preserve">线上融资</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27.1</w:t>
      </w:r>
      <w:r>
        <w:rPr>
          <w:rFonts w:hint="eastAsia" w:ascii="宋体" w:hAnsi="宋体" w:eastAsia="宋体" w:cs="宋体"/>
          <w:bCs/>
          <w:color w:val="000000"/>
          <w:sz w:val="24"/>
          <w:szCs w:val="24"/>
          <w:highlight w:val="none"/>
        </w:rPr>
        <w:t xml:space="preserve">中标人可凭政府采购合同办理融资贷款，详情见江苏政府采购网“政采贷”专栏。</w:t>
      </w:r>
      <w:r>
        <w:rPr>
          <w:rFonts w:hint="eastAsia" w:ascii="宋体" w:hAnsi="宋体" w:eastAsia="宋体" w:cs="宋体"/>
          <w:b/>
          <w:bCs/>
          <w:color w:val="000000"/>
          <w:sz w:val="24"/>
          <w:szCs w:val="24"/>
          <w:highlight w:val="none"/>
        </w:rPr>
      </w:r>
      <w:r/>
    </w:p>
    <w:p>
      <w:pPr>
        <w:pStyle w:val="71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28.</w:t>
      </w:r>
      <w:r>
        <w:rPr>
          <w:rFonts w:hint="eastAsia" w:ascii="宋体" w:hAnsi="宋体" w:eastAsia="宋体" w:cs="宋体"/>
          <w:b/>
          <w:color w:val="000000"/>
          <w:sz w:val="24"/>
          <w:szCs w:val="24"/>
          <w:highlight w:val="none"/>
        </w:rPr>
        <w:t xml:space="preserve">合同履行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28.1政府采购合同订立后，合同各方不得擅自变更、中止或者终止合同。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101" w:name="_Toc81575199"/>
      <w:r/>
      <w:bookmarkStart w:id="102" w:name="_Toc81575162"/>
      <w:r/>
      <w:bookmarkStart w:id="103" w:name="_Toc7550"/>
      <w:r/>
      <w:bookmarkStart w:id="104" w:name="_Toc22084"/>
      <w:r>
        <w:rPr>
          <w:rFonts w:hint="eastAsia" w:ascii="宋体" w:hAnsi="宋体" w:eastAsia="宋体" w:cs="宋体"/>
          <w:bCs/>
          <w:color w:val="000000"/>
          <w:sz w:val="30"/>
          <w:szCs w:val="30"/>
          <w:highlight w:val="none"/>
        </w:rPr>
        <w:t xml:space="preserve">八、</w:t>
      </w:r>
      <w:bookmarkEnd w:id="101"/>
      <w:r/>
      <w:bookmarkEnd w:id="102"/>
      <w:r/>
      <w:bookmarkEnd w:id="103"/>
      <w:r/>
      <w:bookmarkEnd w:id="104"/>
      <w:r/>
      <w:bookmarkStart w:id="105" w:name="_Toc81575163"/>
      <w:r/>
      <w:bookmarkStart w:id="106" w:name="_Toc12263"/>
      <w:r/>
      <w:bookmarkStart w:id="107" w:name="_Toc31888"/>
      <w:r/>
      <w:bookmarkStart w:id="108" w:name="_Toc81575200"/>
      <w:r>
        <w:rPr>
          <w:rFonts w:hint="eastAsia" w:ascii="宋体" w:hAnsi="宋体" w:eastAsia="宋体" w:cs="宋体"/>
          <w:bCs/>
          <w:color w:val="000000"/>
          <w:sz w:val="30"/>
          <w:szCs w:val="30"/>
          <w:highlight w:val="none"/>
        </w:rPr>
        <w:t xml:space="preserve">质疑与投诉</w:t>
      </w:r>
      <w:bookmarkEnd w:id="105"/>
      <w:r/>
      <w:bookmarkEnd w:id="106"/>
      <w:r/>
      <w:bookmarkEnd w:id="107"/>
      <w:r/>
      <w:bookmarkEnd w:id="108"/>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29.</w:t>
      </w:r>
      <w:r>
        <w:rPr>
          <w:rFonts w:hint="eastAsia" w:ascii="宋体" w:hAnsi="宋体" w:eastAsia="宋体" w:cs="宋体"/>
          <w:b/>
          <w:color w:val="000000"/>
          <w:sz w:val="24"/>
          <w:szCs w:val="24"/>
          <w:highlight w:val="none"/>
        </w:rPr>
        <w:t xml:space="preserve">质疑</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29.1供应商认为采购文件、采购过程和中标结果使自己的权益受到损害的，可以在知道或者应知其权益受到损害之日起七个工作日内，</w:t>
      </w:r>
      <w:bookmarkStart w:id="109" w:name="OLE_LINK2"/>
      <w:r>
        <w:rPr>
          <w:rFonts w:hint="eastAsia" w:ascii="宋体" w:hAnsi="宋体" w:eastAsia="宋体" w:cs="宋体"/>
          <w:b/>
          <w:bCs/>
          <w:color w:val="000000"/>
          <w:sz w:val="24"/>
          <w:szCs w:val="24"/>
          <w:highlight w:val="none"/>
        </w:rPr>
        <w:t xml:space="preserve">向采购人</w:t>
      </w:r>
      <w:r>
        <w:rPr>
          <w:rFonts w:hint="eastAsia" w:ascii="宋体" w:hAnsi="宋体" w:eastAsia="宋体" w:cs="宋体"/>
          <w:b/>
          <w:bCs/>
          <w:color w:val="000000"/>
          <w:sz w:val="24"/>
          <w:szCs w:val="24"/>
          <w:highlight w:val="none"/>
          <w:lang w:val="en-US" w:eastAsia="zh-CN"/>
        </w:rPr>
        <w:t xml:space="preserve">或采购代理机构</w:t>
      </w:r>
      <w:r>
        <w:rPr>
          <w:rFonts w:hint="eastAsia" w:ascii="宋体" w:hAnsi="宋体" w:eastAsia="宋体" w:cs="宋体"/>
          <w:b/>
          <w:bCs/>
          <w:color w:val="000000"/>
          <w:sz w:val="24"/>
          <w:szCs w:val="24"/>
          <w:highlight w:val="none"/>
        </w:rPr>
        <w:t xml:space="preserve">提出质疑</w:t>
      </w:r>
      <w:bookmarkEnd w:id="109"/>
      <w:r>
        <w:rPr>
          <w:rFonts w:hint="eastAsia" w:ascii="宋体" w:hAnsi="宋体" w:eastAsia="宋体" w:cs="宋体"/>
          <w:b/>
          <w:bCs/>
          <w:color w:val="000000"/>
          <w:sz w:val="24"/>
          <w:szCs w:val="24"/>
          <w:highlight w:val="none"/>
        </w:rPr>
        <w:t xml:space="preserve">。</w:t>
      </w:r>
      <w:bookmarkStart w:id="110" w:name="OLE_LINK1"/>
      <w:r>
        <w:rPr>
          <w:rFonts w:hint="eastAsia" w:ascii="宋体" w:hAnsi="宋体" w:eastAsia="宋体" w:cs="宋体"/>
          <w:color w:val="000000"/>
          <w:sz w:val="24"/>
          <w:szCs w:val="24"/>
          <w:highlight w:val="none"/>
        </w:rPr>
        <w:t xml:space="preserve">质疑联系部门、联系电话、通讯地址详见采购公告。</w:t>
      </w:r>
      <w:bookmarkEnd w:id="110"/>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29.2供应商应知其权益受到损害之日，是指：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对本项目采购文件提出质疑的，为获取采购文件之日或者采购文件公告期限届满之日；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对本项目采购过程提出质疑的，为各采购程序环节结束之日；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对本项目中标结果提出质疑的，为中标结果公告期限届满之日。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29.4供应商提出质疑应当提交质疑函和必要的证明材料。质疑函的必备内容：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供应商的姓名或者名称、地址、邮编、联系人及联系电话；</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质疑项目的名称、编号；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获取采购文件的时间；</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具体、明确的质疑事项和质疑事项相关的请求；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color w:val="000000"/>
          <w:sz w:val="24"/>
          <w:szCs w:val="24"/>
          <w:highlight w:val="none"/>
        </w:rPr>
        <w:t xml:space="preserve">必要的法律依据；</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提出质疑的日期；</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供应商为自然人的，由本人签字；供应商为法人或者其他组织的，应当由法定代表人、主要负责人，或者其授权代表签字或者盖章，并加盖公章；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color w:val="000000"/>
          <w:sz w:val="24"/>
          <w:szCs w:val="24"/>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29.5采购人</w:t>
      </w:r>
      <w:r>
        <w:rPr>
          <w:rFonts w:hint="eastAsia" w:ascii="宋体" w:hAnsi="宋体" w:eastAsia="宋体" w:cs="宋体"/>
          <w:color w:val="000000"/>
          <w:sz w:val="24"/>
          <w:szCs w:val="24"/>
          <w:highlight w:val="none"/>
          <w:lang w:val="en-US" w:eastAsia="zh-CN"/>
        </w:rPr>
        <w:t xml:space="preserve">或采购代价机构</w:t>
      </w:r>
      <w:r>
        <w:rPr>
          <w:rFonts w:hint="eastAsia" w:ascii="宋体" w:hAnsi="宋体" w:eastAsia="宋体" w:cs="宋体"/>
          <w:color w:val="000000"/>
          <w:sz w:val="24"/>
          <w:szCs w:val="24"/>
          <w:highlight w:val="none"/>
        </w:rPr>
        <w:t xml:space="preserve">在收到质疑函后7个工作日内作出答复，并以书面形式通知质疑供应商和其他有关供应商，但质疑答复的内容不涉及商业秘密。</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30.</w:t>
      </w:r>
      <w:r>
        <w:rPr>
          <w:rFonts w:hint="eastAsia" w:ascii="宋体" w:hAnsi="宋体" w:eastAsia="宋体" w:cs="宋体"/>
          <w:b/>
          <w:color w:val="000000"/>
          <w:sz w:val="24"/>
          <w:szCs w:val="24"/>
          <w:highlight w:val="none"/>
        </w:rPr>
        <w:t xml:space="preserve">投诉</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30.1</w:t>
      </w:r>
      <w:r>
        <w:rPr>
          <w:rFonts w:hint="eastAsia" w:ascii="宋体" w:hAnsi="宋体" w:eastAsia="宋体" w:cs="宋体"/>
          <w:color w:val="000000"/>
          <w:sz w:val="24"/>
          <w:szCs w:val="24"/>
          <w:highlight w:val="none"/>
        </w:rPr>
        <w:t xml:space="preserve">质疑供应商对答复不满意或采购人、采购代理机构未在规定时间内作出答复的，可在答复期满后15个工作日内向《政府采购质疑和投诉办法》第六条规定的财政部门提起投诉。</w:t>
      </w:r>
      <w:bookmarkStart w:id="111" w:name="EB4d341233595e4bf8ad7006b4bd78d974"/>
      <w:r/>
      <w:bookmarkEnd w:id="111"/>
      <w:r/>
      <w:bookmarkStart w:id="112" w:name="_Toc81575164"/>
      <w:r/>
      <w:bookmarkStart w:id="113" w:name="_Toc81575201"/>
      <w:r/>
      <w:bookmarkStart w:id="114" w:name="_Hlk166141273"/>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30.2</w:t>
      </w:r>
      <w:r>
        <w:rPr>
          <w:rFonts w:hint="eastAsia" w:ascii="宋体" w:hAnsi="宋体" w:eastAsia="宋体" w:cs="宋体"/>
          <w:sz w:val="24"/>
          <w:szCs w:val="24"/>
          <w:highlight w:val="none"/>
        </w:rPr>
        <w:t xml:space="preserve">供应商捏造事实、提供虚假材料或者以非法手段取得证明材料进行投诉的，由财政部门列入不良行为记录名单，禁止其1至3年内参加政府采购活动。</w:t>
      </w:r>
      <w:r>
        <w:rPr>
          <w:rFonts w:hint="eastAsia" w:ascii="宋体" w:hAnsi="宋体" w:eastAsia="宋体" w:cs="宋体"/>
          <w:color w:val="000000"/>
          <w:sz w:val="24"/>
          <w:szCs w:val="24"/>
          <w:highlight w:val="none"/>
        </w:rPr>
      </w:r>
      <w:r/>
    </w:p>
    <w:p>
      <w:pPr>
        <w:pStyle w:val="718"/>
        <w:numPr>
          <w:ilvl w:val="0"/>
          <w:numId w:val="0"/>
        </w:numPr>
        <w:spacing w:line="360" w:lineRule="auto"/>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t xml:space="preserve">九、货物（包含与货物相关的服务）的追加</w:t>
      </w:r>
      <w:r>
        <w:rPr>
          <w:rFonts w:hint="eastAsia" w:ascii="宋体" w:hAnsi="宋体" w:eastAsia="宋体" w:cs="宋体"/>
          <w:b/>
          <w:bCs w:val="0"/>
          <w:color w:val="000000"/>
          <w:sz w:val="30"/>
          <w:szCs w:val="30"/>
          <w:highlight w:val="none"/>
          <w:lang w:val="en-US" w:eastAsia="zh-CN"/>
        </w:rPr>
      </w:r>
      <w:r/>
    </w:p>
    <w:p>
      <w:pPr>
        <w:pStyle w:val="718"/>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718"/>
        <w:numPr>
          <w:ilvl w:val="0"/>
          <w:numId w:val="0"/>
        </w:numPr>
        <w:spacing w:line="360" w:lineRule="auto"/>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t xml:space="preserve">十、验收及付款</w:t>
      </w:r>
      <w:r>
        <w:rPr>
          <w:rFonts w:hint="eastAsia" w:ascii="宋体" w:hAnsi="宋体" w:eastAsia="宋体" w:cs="宋体"/>
          <w:b/>
          <w:bCs w:val="0"/>
          <w:color w:val="000000"/>
          <w:sz w:val="30"/>
          <w:szCs w:val="30"/>
          <w:highlight w:val="none"/>
          <w:lang w:val="en-US" w:eastAsia="zh-CN"/>
        </w:rPr>
      </w:r>
      <w:r/>
    </w:p>
    <w:p>
      <w:pPr>
        <w:pStyle w:val="718"/>
        <w:numPr>
          <w:ilvl w:val="0"/>
          <w:numId w:val="0"/>
        </w:numPr>
        <w:ind w:firstLine="482"/>
        <w:spacing w:line="360" w:lineRule="auto"/>
        <w:rPr>
          <w:rFonts w:ascii="宋体" w:hAnsi="宋体" w:eastAsia="宋体" w:cs="宋体"/>
          <w:b w:val="0"/>
          <w:bCs/>
          <w:caps w:val="0"/>
          <w:color w:val="000000"/>
          <w:sz w:val="24"/>
          <w:highlight w:val="white"/>
          <w:lang w:val="en-US" w:eastAsia="zh-CN"/>
        </w:rPr>
      </w:pPr>
      <w:r>
        <w:rPr>
          <w:rFonts w:hint="eastAsia" w:ascii="宋体" w:hAnsi="宋体" w:eastAsia="宋体" w:cs="宋体"/>
          <w:b/>
          <w:bCs w:val="0"/>
          <w:caps w:val="0"/>
          <w:color w:val="000000"/>
          <w:sz w:val="24"/>
          <w:highlight w:val="white"/>
          <w:lang w:val="en-US" w:eastAsia="zh-CN"/>
        </w:rPr>
        <w:t xml:space="preserve">32.验收</w:t>
      </w:r>
      <w:r>
        <w:rPr>
          <w:rFonts w:ascii="宋体" w:hAnsi="宋体" w:eastAsia="宋体" w:cs="宋体"/>
          <w:b w:val="0"/>
          <w:bCs/>
          <w:caps w:val="0"/>
          <w:color w:val="000000"/>
          <w:sz w:val="24"/>
          <w:highlight w:val="white"/>
          <w:lang w:val="en-US" w:eastAsia="zh-CN"/>
        </w:rPr>
      </w:r>
      <w:r/>
    </w:p>
    <w:p>
      <w:pPr>
        <w:pStyle w:val="718"/>
        <w:numPr>
          <w:ilvl w:val="0"/>
          <w:numId w:val="0"/>
        </w:numPr>
        <w:ind w:firstLine="48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32.2采购人可以邀请参加本项目的其他投标人或者第三方机构参与验收。参与验收的投标人或者第三方机构的意见作为验收书的参考资料一并存档。</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caps w:val="0"/>
          <w:color w:val="000000"/>
          <w:sz w:val="24"/>
        </w:rPr>
      </w:pPr>
      <w:r>
        <w:rPr>
          <w:rFonts w:hint="eastAsia" w:ascii="宋体" w:hAnsi="宋体" w:eastAsia="宋体" w:cs="宋体"/>
          <w:b w:val="0"/>
          <w:bCs/>
          <w:caps w:val="0"/>
          <w:color w:val="000000"/>
          <w:sz w:val="24"/>
          <w:highlight w:val="white"/>
          <w:lang w:val="en-US" w:eastAsia="zh-CN"/>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caps w:val="0"/>
          <w:color w:val="000000"/>
          <w:sz w:val="24"/>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bCs w:val="0"/>
          <w:caps w:val="0"/>
          <w:color w:val="000000"/>
          <w:sz w:val="24"/>
          <w:highlight w:val="white"/>
          <w:lang w:val="en-US" w:eastAsia="zh-CN"/>
        </w:rPr>
        <w:t xml:space="preserve">33.付款</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按照招标文件和合同约定的付款方式，采购人及时办理付款手续。</w:t>
      </w:r>
      <w:r>
        <w:rPr>
          <w:rFonts w:hint="eastAsia" w:ascii="宋体" w:hAnsi="宋体" w:eastAsia="宋体" w:cs="宋体"/>
          <w:b w:val="0"/>
          <w:bCs/>
          <w:caps w:val="0"/>
          <w:color w:val="000000"/>
          <w:sz w:val="24"/>
          <w:highlight w:val="white"/>
          <w:lang w:val="en-US" w:eastAsia="zh-CN"/>
        </w:rPr>
      </w:r>
      <w:r/>
    </w:p>
    <w:p>
      <w:pPr>
        <w:pStyle w:val="718"/>
        <w:numPr>
          <w:ilvl w:val="0"/>
          <w:numId w:val="3"/>
        </w:numPr>
        <w:pageBreakBefore w:val="0"/>
        <w:spacing w:line="360" w:lineRule="auto"/>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t xml:space="preserve">保密</w:t>
      </w:r>
      <w:r>
        <w:rPr>
          <w:rFonts w:hint="eastAsia" w:ascii="宋体" w:hAnsi="宋体" w:eastAsia="宋体" w:cs="宋体"/>
          <w:b/>
          <w:bCs w:val="0"/>
          <w:color w:val="000000"/>
          <w:sz w:val="30"/>
          <w:szCs w:val="30"/>
          <w:highlight w:val="none"/>
          <w:lang w:val="en-US" w:eastAsia="zh-CN"/>
        </w:rPr>
      </w:r>
      <w:r/>
    </w:p>
    <w:p>
      <w:pPr>
        <w:pStyle w:val="718"/>
        <w:ind w:firstLine="420"/>
        <w:pageBreakBefore w:val="0"/>
        <w:spacing w:line="360" w:lineRule="auto"/>
        <w:rPr>
          <w:rFonts w:hint="eastAsia" w:ascii="宋体" w:hAnsi="宋体" w:eastAsia="宋体" w:cs="宋体"/>
          <w:b/>
          <w:bCs w:val="0"/>
          <w:caps w:val="0"/>
          <w:color w:val="000000"/>
          <w:sz w:val="24"/>
          <w:highlight w:val="white"/>
          <w:lang w:val="en-US" w:eastAsia="zh-CN"/>
        </w:rPr>
      </w:pPr>
      <w:r>
        <w:rPr>
          <w:rFonts w:hint="eastAsia" w:ascii="宋体" w:hAnsi="宋体" w:eastAsia="宋体" w:cs="宋体"/>
          <w:b/>
          <w:bCs w:val="0"/>
          <w:caps w:val="0"/>
          <w:color w:val="000000"/>
          <w:sz w:val="24"/>
          <w:highlight w:val="white"/>
          <w:lang w:val="en-US" w:eastAsia="zh-CN"/>
        </w:rPr>
        <w:t xml:space="preserve">34.保密</w:t>
      </w:r>
      <w:r>
        <w:rPr>
          <w:rFonts w:hint="eastAsia" w:ascii="宋体" w:hAnsi="宋体" w:eastAsia="宋体" w:cs="宋体"/>
          <w:b/>
          <w:bCs w:val="0"/>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34.1参与本次招标投标活动的各方应对招标文件和投标文件中的商业和技术等秘密保密，违者应对由此造成的后果承担法律责任。 </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34.2凡是与审查、澄清、评价和比较投标的有关资料以及授标建议等，采购人、评委、采购代理机构均不得向供应商或与评标无关的其他人员透露。</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34.3在评标过程中，供应商不得以任何行为影响评标过程，否则其投标文件将被作为无效投标文件。</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34.4采购代理机构和评标委员会不向未中标的供应商解释未中标原因，也不公布评标过程中的相关细节。</w:t>
      </w:r>
      <w:r>
        <w:rPr>
          <w:rFonts w:hint="eastAsia" w:ascii="宋体" w:hAnsi="宋体" w:eastAsia="宋体" w:cs="宋体"/>
          <w:b w:val="0"/>
          <w:bCs/>
          <w:caps w:val="0"/>
          <w:color w:val="000000"/>
          <w:sz w:val="24"/>
          <w:highlight w:val="white"/>
          <w:lang w:val="en-US" w:eastAsia="zh-CN"/>
        </w:rPr>
      </w:r>
      <w:r/>
    </w:p>
    <w:p>
      <w:pPr>
        <w:pStyle w:val="718"/>
        <w:ind w:firstLine="420"/>
        <w:jc w:val="left"/>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34.5采用综合评分法的项目，未中标的供应商可于中标结果公告期限届满之日起通过苏采云系统查看自己的评审得分及排序情况。</w:t>
      </w:r>
      <w:bookmarkStart w:id="115" w:name="_Toc17996"/>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color w:val="000000"/>
          <w:highlight w:val="none"/>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第三章  </w:t>
      </w:r>
      <w:bookmarkEnd w:id="112"/>
      <w:r/>
      <w:bookmarkEnd w:id="113"/>
      <w:r/>
      <w:bookmarkEnd w:id="115"/>
      <w:r>
        <w:rPr>
          <w:rFonts w:hint="eastAsia" w:ascii="Calibri" w:hAnsi="Calibri" w:eastAsia="宋体" w:cs="Times New Roman"/>
          <w:b/>
          <w:color w:val="000000"/>
          <w:sz w:val="44"/>
          <w:szCs w:val="44"/>
          <w:highlight w:val="none"/>
        </w:rPr>
        <w:t xml:space="preserve">评标方法与评标标准</w:t>
      </w:r>
      <w:r>
        <w:rPr>
          <w:color w:val="000000"/>
          <w:highlight w:val="none"/>
        </w:rPr>
      </w:r>
      <w:r/>
    </w:p>
    <w:p>
      <w:pPr>
        <w:pStyle w:val="718"/>
        <w:numPr>
          <w:ilvl w:val="0"/>
          <w:numId w:val="4"/>
        </w:numPr>
        <w:ind w:firstLine="482"/>
        <w:jc w:val="left"/>
        <w:spacing w:line="440" w:lineRule="exact"/>
        <w:rPr>
          <w:rFonts w:hint="eastAsia" w:ascii="宋体" w:hAnsi="宋体" w:eastAsia="宋体" w:cs="宋体"/>
          <w:b/>
          <w:sz w:val="24"/>
          <w:szCs w:val="24"/>
          <w:highlight w:val="none"/>
        </w:rPr>
      </w:pPr>
      <w:r/>
      <w:bookmarkStart w:id="116" w:name="EB1a5d8b2c3833482f95a1f101c76adb9d"/>
      <w:r>
        <w:rPr>
          <w:rFonts w:hint="eastAsia" w:ascii="宋体" w:hAnsi="宋体" w:eastAsia="宋体" w:cs="宋体"/>
          <w:b/>
          <w:sz w:val="24"/>
          <w:szCs w:val="24"/>
          <w:highlight w:val="none"/>
        </w:rPr>
        <w:t xml:space="preserve">资格性审查</w:t>
      </w:r>
      <w:r>
        <w:rPr>
          <w:rFonts w:hint="eastAsia" w:ascii="宋体" w:hAnsi="宋体" w:eastAsia="宋体" w:cs="宋体"/>
          <w:b/>
          <w:sz w:val="24"/>
          <w:szCs w:val="24"/>
          <w:highlight w:val="none"/>
        </w:rPr>
      </w:r>
      <w:r/>
    </w:p>
    <w:p>
      <w:pPr>
        <w:pStyle w:val="718"/>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采购人或采购代理机构按照招标文件第一</w:t>
      </w:r>
      <w:r>
        <w:rPr>
          <w:rFonts w:hint="eastAsia" w:ascii="宋体" w:hAnsi="宋体" w:eastAsia="宋体" w:cs="宋体"/>
          <w:sz w:val="24"/>
          <w:szCs w:val="24"/>
          <w:highlight w:val="none"/>
          <w:lang w:val="en-US" w:eastAsia="zh-CN"/>
        </w:rPr>
        <w:t xml:space="preserve">章</w:t>
      </w:r>
      <w:r>
        <w:rPr>
          <w:rFonts w:hint="eastAsia" w:ascii="宋体" w:hAnsi="宋体" w:eastAsia="宋体" w:cs="宋体"/>
          <w:sz w:val="24"/>
          <w:szCs w:val="24"/>
          <w:highlight w:val="none"/>
        </w:rPr>
        <w:t xml:space="preserve">《投标邀请》</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申请人的资格要求，对各供应商进行</w:t>
      </w:r>
      <w:r>
        <w:rPr>
          <w:rFonts w:hint="eastAsia" w:ascii="宋体" w:hAnsi="宋体" w:eastAsia="宋体" w:cs="宋体"/>
          <w:sz w:val="24"/>
          <w:szCs w:val="24"/>
          <w:highlight w:val="none"/>
          <w:lang w:eastAsia="zh-CN"/>
        </w:rPr>
        <w:t xml:space="preserve">资格</w:t>
      </w:r>
      <w:r>
        <w:rPr>
          <w:rFonts w:hint="eastAsia" w:ascii="宋体" w:hAnsi="宋体" w:eastAsia="宋体" w:cs="宋体"/>
          <w:sz w:val="24"/>
          <w:szCs w:val="24"/>
          <w:highlight w:val="none"/>
        </w:rPr>
        <w:t xml:space="preserve">审查，未通过评审的为无效标，不再参与评审。</w:t>
      </w:r>
      <w:r>
        <w:rPr>
          <w:rFonts w:hint="eastAsia" w:ascii="宋体" w:hAnsi="宋体" w:eastAsia="宋体" w:cs="宋体"/>
          <w:sz w:val="24"/>
          <w:szCs w:val="24"/>
          <w:highlight w:val="none"/>
        </w:rPr>
      </w:r>
      <w:r/>
    </w:p>
    <w:p>
      <w:pPr>
        <w:pStyle w:val="718"/>
        <w:numPr>
          <w:ilvl w:val="0"/>
          <w:numId w:val="4"/>
        </w:numPr>
        <w:ind w:firstLine="482"/>
        <w:jc w:val="left"/>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符合性审查</w:t>
      </w:r>
      <w:r>
        <w:rPr>
          <w:rFonts w:hint="eastAsia" w:ascii="宋体" w:hAnsi="宋体" w:eastAsia="宋体" w:cs="宋体"/>
          <w:sz w:val="24"/>
          <w:szCs w:val="24"/>
          <w:highlight w:val="none"/>
        </w:rPr>
      </w:r>
      <w:r/>
    </w:p>
    <w:p>
      <w:pPr>
        <w:pStyle w:val="718"/>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评标委员会按照下列指标对各供应商进行符合性审查，未通过评审的为无效标，不再参与评审。</w:t>
      </w:r>
      <w:bookmarkEnd w:id="116"/>
      <w:r>
        <w:rPr>
          <w:rFonts w:hint="eastAsia" w:ascii="宋体" w:hAnsi="宋体" w:eastAsia="宋体" w:cs="宋体"/>
          <w:sz w:val="24"/>
          <w:szCs w:val="24"/>
          <w:highlight w:val="none"/>
        </w:rPr>
      </w:r>
      <w:r/>
    </w:p>
    <w:tbl>
      <w:tblPr>
        <w:tblW w:w="4986"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21"/>
        <w:gridCol w:w="4908"/>
      </w:tblGrid>
      <w:tr>
        <w:trPr>
          <w:trHeight w:val="528"/>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符合性审查因素</w:t>
            </w:r>
            <w:r>
              <w:rPr>
                <w:rFonts w:hint="eastAsia" w:ascii="宋体" w:hAnsi="宋体" w:eastAsia="宋体" w:cs="宋体"/>
                <w:b/>
                <w:bCs/>
                <w:sz w:val="24"/>
                <w:szCs w:val="24"/>
                <w:highlight w:val="none"/>
              </w:rPr>
            </w:r>
            <w:r/>
          </w:p>
        </w:tc>
        <w:tc>
          <w:tcPr>
            <w:tcW w:w="4903"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评审标准</w:t>
            </w:r>
            <w:r>
              <w:rPr>
                <w:rFonts w:hint="eastAsia" w:ascii="宋体" w:hAnsi="宋体" w:eastAsia="宋体" w:cs="宋体"/>
                <w:b/>
                <w:bCs/>
                <w:sz w:val="24"/>
                <w:szCs w:val="24"/>
                <w:highlight w:val="none"/>
              </w:rPr>
            </w:r>
            <w:r/>
          </w:p>
        </w:tc>
      </w:tr>
      <w:tr>
        <w:trPr>
          <w:trHeight w:val="528"/>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法定代表人身份证明或</w:t>
            </w:r>
            <w:r>
              <w:rPr>
                <w:rFonts w:hint="eastAsia" w:ascii="宋体" w:hAnsi="宋体" w:eastAsia="宋体" w:cs="宋体"/>
                <w:sz w:val="24"/>
                <w:szCs w:val="24"/>
                <w:highlight w:val="none"/>
                <w:lang w:val="en-US" w:eastAsia="zh-CN"/>
              </w:rPr>
            </w:r>
            <w:r/>
          </w:p>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法定代表人授权书</w:t>
            </w:r>
            <w:r>
              <w:rPr>
                <w:rFonts w:hint="eastAsia" w:ascii="宋体" w:hAnsi="宋体" w:eastAsia="宋体" w:cs="宋体"/>
                <w:sz w:val="24"/>
                <w:szCs w:val="24"/>
                <w:highlight w:val="none"/>
                <w:lang w:val="en-US" w:eastAsia="zh-CN"/>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内容符合招标文件要求，并且按照要求</w:t>
            </w:r>
            <w:r>
              <w:rPr>
                <w:rFonts w:hint="eastAsia" w:ascii="宋体" w:hAnsi="宋体" w:eastAsia="宋体" w:cs="宋体"/>
                <w:sz w:val="24"/>
                <w:szCs w:val="24"/>
                <w:highlight w:val="none"/>
                <w:lang w:val="en-US" w:eastAsia="zh-CN"/>
              </w:rPr>
              <w:t xml:space="preserve">签章/签字</w:t>
            </w:r>
            <w:r>
              <w:rPr>
                <w:rFonts w:hint="eastAsia" w:ascii="宋体" w:hAnsi="宋体" w:eastAsia="宋体" w:cs="宋体"/>
                <w:sz w:val="24"/>
                <w:szCs w:val="24"/>
                <w:highlight w:val="none"/>
              </w:rPr>
            </w:r>
            <w:r/>
          </w:p>
        </w:tc>
      </w:tr>
      <w:tr>
        <w:trPr>
          <w:trHeight w:val="569"/>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投标文件签署、盖章齐全完整</w:t>
            </w:r>
            <w:r>
              <w:rPr>
                <w:rFonts w:hint="eastAsia" w:ascii="宋体" w:hAnsi="宋体" w:eastAsia="宋体" w:cs="宋体"/>
                <w:sz w:val="24"/>
                <w:szCs w:val="24"/>
                <w:highlight w:val="none"/>
                <w:lang w:val="en-US" w:eastAsia="zh-CN"/>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符合招标文件要求</w:t>
            </w:r>
            <w:r>
              <w:rPr>
                <w:rFonts w:hint="eastAsia" w:ascii="宋体" w:hAnsi="宋体" w:eastAsia="宋体" w:cs="宋体"/>
                <w:sz w:val="24"/>
                <w:szCs w:val="24"/>
                <w:highlight w:val="none"/>
                <w:lang w:val="en-US" w:eastAsia="zh-CN"/>
              </w:rPr>
            </w:r>
            <w:r/>
          </w:p>
        </w:tc>
      </w:tr>
      <w:tr>
        <w:trPr>
          <w:trHeight w:val="528"/>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，供应商不存在联合体</w:t>
            </w:r>
            <w:r>
              <w:rPr>
                <w:rFonts w:hint="eastAsia" w:ascii="宋体" w:hAnsi="宋体" w:eastAsia="宋体" w:cs="宋体"/>
                <w:sz w:val="24"/>
                <w:szCs w:val="24"/>
                <w:highlight w:val="none"/>
              </w:rPr>
            </w:r>
            <w:r/>
          </w:p>
        </w:tc>
      </w:tr>
      <w:tr>
        <w:trPr>
          <w:trHeight w:val="646"/>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w:t>
            </w:r>
            <w:r>
              <w:rPr>
                <w:rFonts w:hint="eastAsia" w:ascii="宋体" w:hAnsi="宋体" w:eastAsia="宋体" w:cs="宋体"/>
                <w:sz w:val="24"/>
                <w:szCs w:val="24"/>
                <w:highlight w:val="none"/>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符合招标文件要求</w:t>
            </w:r>
            <w:r>
              <w:rPr>
                <w:rFonts w:hint="eastAsia" w:ascii="宋体" w:hAnsi="宋体" w:eastAsia="宋体" w:cs="宋体"/>
                <w:sz w:val="24"/>
                <w:szCs w:val="24"/>
                <w:highlight w:val="none"/>
              </w:rPr>
            </w:r>
            <w:r/>
          </w:p>
        </w:tc>
      </w:tr>
      <w:tr>
        <w:trPr>
          <w:trHeight w:val="615"/>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填写符合招标文件要求，并且不存在</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w:t>
            </w:r>
            <w:r>
              <w:rPr>
                <w:rFonts w:hint="eastAsia" w:ascii="宋体" w:hAnsi="宋体" w:eastAsia="宋体" w:cs="宋体"/>
                <w:sz w:val="24"/>
                <w:szCs w:val="24"/>
                <w:highlight w:val="none"/>
              </w:rPr>
            </w:r>
            <w:r/>
          </w:p>
        </w:tc>
      </w:tr>
      <w:tr>
        <w:trPr>
          <w:trHeight w:val="650"/>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对实质性条款的响应性</w:t>
            </w:r>
            <w:r>
              <w:rPr>
                <w:rFonts w:hint="eastAsia" w:ascii="宋体" w:hAnsi="宋体" w:eastAsia="宋体" w:cs="宋体"/>
                <w:sz w:val="24"/>
                <w:szCs w:val="24"/>
                <w:highlight w:val="none"/>
                <w:lang w:val="en-US" w:eastAsia="zh-CN" w:bidi="ar-SA"/>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符合招标文件要求，并且不存在重大偏离</w:t>
            </w:r>
            <w:r>
              <w:rPr>
                <w:rFonts w:hint="eastAsia" w:ascii="宋体" w:hAnsi="宋体" w:eastAsia="宋体" w:cs="宋体"/>
                <w:sz w:val="24"/>
                <w:szCs w:val="24"/>
                <w:highlight w:val="none"/>
                <w:lang w:val="en-US" w:eastAsia="zh-CN" w:bidi="ar-SA"/>
              </w:rPr>
            </w:r>
            <w:r/>
          </w:p>
        </w:tc>
      </w:tr>
    </w:tbl>
    <w:p>
      <w:pPr>
        <w:pStyle w:val="7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8"/>
        <w:ind w:firstLine="482"/>
        <w:jc w:val="left"/>
        <w:spacing w:line="360" w:lineRule="auto"/>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rPr>
          <w:rFonts w:ascii="Times New Roman" w:hAnsi="Times New Roman" w:cs="仿宋"/>
          <w:b/>
          <w:bCs/>
          <w:color w:val="000000"/>
          <w:sz w:val="24"/>
          <w:highlight w:val="none"/>
        </w:rPr>
      </w:r>
      <w:r/>
    </w:p>
    <w:p>
      <w:pPr>
        <w:pStyle w:val="718"/>
        <w:ind w:firstLine="480"/>
        <w:jc w:val="left"/>
        <w:spacing w:line="360" w:lineRule="auto"/>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本项目采用综合评分法，评标结果按评审后得分由高到低顺序排列。得分相同的，按投标报价由低到高顺序排序。得分且报价相同的，按需求响应优劣顺序排列。</w:t>
      </w:r>
      <w:r>
        <w:rPr>
          <w:rFonts w:ascii="Times New Roman" w:hAnsi="Times New Roman" w:cs="仿宋"/>
          <w:color w:val="000000"/>
          <w:sz w:val="24"/>
          <w:highlight w:val="none"/>
        </w:rPr>
      </w:r>
      <w:r/>
    </w:p>
    <w:p>
      <w:pPr>
        <w:pStyle w:val="718"/>
        <w:ind w:firstLine="480"/>
        <w:jc w:val="left"/>
        <w:spacing w:line="360" w:lineRule="auto"/>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718"/>
        <w:ind w:firstLine="480"/>
        <w:jc w:val="left"/>
        <w:spacing w:line="360" w:lineRule="auto"/>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w:t>
      </w:r>
      <w:r>
        <w:rPr>
          <w:rFonts w:hint="eastAsia" w:ascii="Times New Roman" w:hAnsi="Times New Roman" w:cs="仿宋"/>
          <w:color w:val="000000"/>
          <w:sz w:val="24"/>
          <w:highlight w:val="none"/>
          <w:lang w:eastAsia="zh-CN"/>
        </w:rPr>
        <w:t xml:space="preserve">供应商</w:t>
      </w:r>
      <w:r>
        <w:rPr>
          <w:rFonts w:hint="eastAsia" w:ascii="Times New Roman" w:hAnsi="Times New Roman" w:cs="仿宋"/>
          <w:color w:val="000000"/>
          <w:sz w:val="24"/>
          <w:highlight w:val="none"/>
        </w:rPr>
        <w:t xml:space="preserve">排序推荐中标候选人，并形成评标报告。</w:t>
      </w:r>
      <w:r>
        <w:rPr>
          <w:rFonts w:hint="eastAsia" w:ascii="Times New Roman" w:hAnsi="Times New Roman" w:cs="仿宋"/>
          <w:color w:val="000000"/>
          <w:sz w:val="24"/>
          <w:highlight w:val="none"/>
        </w:rPr>
      </w:r>
      <w:r/>
    </w:p>
    <w:p>
      <w:pPr>
        <w:pStyle w:val="718"/>
        <w:ind w:firstLine="482"/>
        <w:jc w:val="left"/>
        <w:spacing w:line="360" w:lineRule="auto"/>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四、评标标准</w:t>
      </w:r>
      <w:r>
        <w:rPr>
          <w:rFonts w:hint="eastAsia" w:ascii="Times New Roman" w:hAnsi="Times New Roman" w:cs="仿宋"/>
          <w:b/>
          <w:bCs/>
          <w:color w:val="000000"/>
          <w:sz w:val="24"/>
          <w:highlight w:val="none"/>
        </w:rPr>
      </w:r>
      <w:r/>
    </w:p>
    <w:tbl>
      <w:tblPr>
        <w:tblW w:w="4977" w:type="pct"/>
        <w:jc w:val="center"/>
        <w:tblInd w:w="14"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25"/>
        <w:gridCol w:w="964"/>
        <w:gridCol w:w="7128"/>
      </w:tblGrid>
      <w:tr>
        <w:trPr>
          <w:trHeight w:val="668"/>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b/>
                <w:bCs/>
                <w:caps w:val="0"/>
                <w:color w:val="000000"/>
                <w:sz w:val="24"/>
                <w:szCs w:val="24"/>
                <w:lang w:val="en-US" w:eastAsia="zh-CN" w:bidi="ar-SA"/>
              </w:rPr>
            </w:pPr>
            <w:r/>
            <w:bookmarkStart w:id="117" w:name="_Toc2916"/>
            <w:r/>
            <w:bookmarkStart w:id="118" w:name="_Toc12255"/>
            <w:r/>
            <w:bookmarkStart w:id="119" w:name="_Toc22314"/>
            <w:r/>
            <w:bookmarkStart w:id="120" w:name="_Toc81575168"/>
            <w:r/>
            <w:bookmarkStart w:id="121" w:name="_Toc81575205"/>
            <w:r>
              <w:rPr>
                <w:rFonts w:hint="eastAsia" w:ascii="宋体" w:hAnsi="宋体" w:eastAsia="宋体" w:cs="宋体"/>
                <w:b/>
                <w:bCs/>
                <w:caps w:val="0"/>
                <w:color w:val="000000"/>
                <w:sz w:val="24"/>
                <w:szCs w:val="24"/>
                <w:rtl w:val="0"/>
                <w:lang w:val="en-US" w:eastAsia="zh-CN" w:bidi="ar-SA"/>
              </w:rPr>
              <w:t xml:space="preserve">评审因素</w:t>
            </w:r>
            <w:r>
              <w:rPr>
                <w:rFonts w:hint="eastAsia" w:ascii="宋体" w:hAnsi="宋体" w:eastAsia="宋体" w:cs="宋体"/>
                <w:b/>
                <w:bCs/>
                <w:caps w:val="0"/>
                <w:color w:val="000000"/>
                <w:sz w:val="24"/>
                <w:szCs w:val="24"/>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eastAsia="宋体" w:cs="宋体"/>
                <w:b/>
                <w:bCs/>
                <w:caps w:val="0"/>
                <w:color w:val="000000"/>
                <w:sz w:val="24"/>
                <w:szCs w:val="24"/>
                <w:lang w:val="en-US" w:eastAsia="zh-CN" w:bidi="ar-SA"/>
              </w:rPr>
            </w:pPr>
            <w:r>
              <w:rPr>
                <w:rFonts w:hint="eastAsia" w:ascii="宋体" w:hAnsi="宋体" w:eastAsia="宋体" w:cs="宋体"/>
                <w:b/>
                <w:bCs/>
                <w:caps w:val="0"/>
                <w:color w:val="000000"/>
                <w:sz w:val="24"/>
                <w:szCs w:val="24"/>
                <w:rtl w:val="0"/>
                <w:lang w:val="en-US" w:eastAsia="zh-CN" w:bidi="ar-SA"/>
              </w:rPr>
              <w:t xml:space="preserve">分数</w:t>
            </w:r>
            <w:r>
              <w:rPr>
                <w:rFonts w:hint="eastAsia" w:ascii="宋体" w:hAnsi="宋体" w:eastAsia="宋体" w:cs="宋体"/>
                <w:b/>
                <w:bCs/>
                <w:caps w:val="0"/>
                <w:color w:val="000000"/>
                <w:sz w:val="24"/>
                <w:szCs w:val="24"/>
                <w:lang w:val="en-US" w:eastAsia="zh-CN" w:bidi="ar-SA"/>
              </w:rPr>
            </w:r>
            <w:r/>
          </w:p>
        </w:tc>
        <w:tc>
          <w:tcPr>
            <w:tcW w:w="3667" w:type="dxa"/>
            <w:vAlign w:val="center"/>
            <w:textDirection w:val="lrTb"/>
            <w:noWrap w:val="false"/>
          </w:tcPr>
          <w:p>
            <w:pPr>
              <w:pStyle w:val="718"/>
              <w:jc w:val="center"/>
              <w:spacing w:after="0" w:afterAutospacing="0" w:line="240" w:lineRule="auto"/>
              <w:widowControl w:val="off"/>
              <w:rPr>
                <w:rFonts w:hint="eastAsia" w:ascii="宋体" w:hAnsi="宋体" w:eastAsia="宋体" w:cs="宋体"/>
                <w:b/>
                <w:bCs/>
                <w:caps w:val="0"/>
                <w:color w:val="000000"/>
                <w:sz w:val="24"/>
                <w:szCs w:val="24"/>
                <w:lang w:val="en-US" w:eastAsia="zh-CN" w:bidi="ar-SA"/>
              </w:rPr>
            </w:pPr>
            <w:r>
              <w:rPr>
                <w:rFonts w:hint="eastAsia" w:ascii="宋体" w:hAnsi="宋体" w:eastAsia="宋体" w:cs="宋体"/>
                <w:b/>
                <w:bCs/>
                <w:caps w:val="0"/>
                <w:color w:val="000000"/>
                <w:sz w:val="24"/>
                <w:szCs w:val="24"/>
                <w:rtl w:val="0"/>
                <w:lang w:val="en-US" w:eastAsia="zh-CN" w:bidi="ar-SA"/>
              </w:rPr>
              <w:t xml:space="preserve">评审标准</w:t>
            </w:r>
            <w:r>
              <w:rPr>
                <w:rFonts w:hint="eastAsia" w:ascii="宋体" w:hAnsi="宋体" w:eastAsia="宋体" w:cs="宋体"/>
                <w:b/>
                <w:bCs/>
                <w:caps w:val="0"/>
                <w:color w:val="000000"/>
                <w:sz w:val="24"/>
                <w:szCs w:val="24"/>
                <w:lang w:val="en-US" w:eastAsia="zh-CN" w:bidi="ar-SA"/>
              </w:rPr>
            </w:r>
            <w:r/>
          </w:p>
        </w:tc>
      </w:tr>
      <w:tr>
        <w:trPr>
          <w:trHeight w:val="1028"/>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投标报价</w:t>
            </w:r>
            <w:r>
              <w:rPr>
                <w:rFonts w:hint="eastAsia" w:ascii="宋体" w:hAnsi="宋体" w:eastAsia="宋体" w:cs="宋体"/>
                <w:caps w:val="0"/>
                <w:color w:val="000000"/>
                <w:sz w:val="24"/>
                <w:szCs w:val="24"/>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30分</w:t>
            </w:r>
            <w:r>
              <w:rPr>
                <w:rFonts w:hint="eastAsia" w:ascii="宋体" w:hAnsi="宋体" w:eastAsia="宋体" w:cs="宋体"/>
                <w:caps w:val="0"/>
                <w:color w:val="000000"/>
                <w:sz w:val="24"/>
                <w:szCs w:val="24"/>
                <w:lang w:val="en-US" w:eastAsia="zh-CN" w:bidi="ar-SA"/>
              </w:rPr>
            </w:r>
            <w:r/>
          </w:p>
        </w:tc>
        <w:tc>
          <w:tcPr>
            <w:tcW w:w="3667" w:type="dxa"/>
            <w:vAlign w:val="center"/>
            <w:textDirection w:val="lrTb"/>
            <w:noWrap w:val="false"/>
          </w:tcPr>
          <w:p>
            <w:pPr>
              <w:pStyle w:val="718"/>
              <w:jc w:val="left"/>
              <w:spacing w:after="0"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tl w:val="0"/>
                <w:lang w:val="en-US" w:eastAsia="zh-CN" w:bidi="ar-SA"/>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lang w:val="en-US" w:eastAsia="zh-CN" w:bidi="ar-SA"/>
              </w:rPr>
            </w:r>
            <w:r/>
          </w:p>
        </w:tc>
      </w:tr>
      <w:tr>
        <w:trPr>
          <w:trHeight w:val="3303"/>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技术要求响应</w:t>
            </w:r>
            <w:r>
              <w:rPr>
                <w:rFonts w:hint="eastAsia" w:ascii="宋体" w:hAnsi="宋体" w:eastAsia="宋体" w:cs="宋体"/>
                <w:caps w:val="0"/>
                <w:color w:val="000000"/>
                <w:sz w:val="24"/>
                <w:szCs w:val="24"/>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cs="宋体"/>
                <w:caps w:val="0"/>
                <w:color w:val="000000"/>
                <w:sz w:val="24"/>
                <w:szCs w:val="24"/>
                <w:rtl w:val="0"/>
                <w:lang w:val="en-US" w:eastAsia="zh-CN" w:bidi="ar-SA"/>
              </w:rPr>
              <w:t xml:space="preserve">45</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tc>
        <w:tc>
          <w:tcPr>
            <w:tcW w:w="3667"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满足或优于</w:t>
            </w:r>
            <w:r>
              <w:rPr>
                <w:rFonts w:hint="eastAsia" w:ascii="宋体" w:hAnsi="宋体" w:cs="宋体"/>
                <w:caps w:val="0"/>
                <w:color w:val="000000"/>
                <w:sz w:val="24"/>
                <w:szCs w:val="24"/>
                <w:highlight w:val="none"/>
                <w:rtl w:val="0"/>
                <w:lang w:val="en-US" w:eastAsia="zh-CN" w:bidi="ar-SA"/>
              </w:rPr>
              <w:t xml:space="preserve">招标</w:t>
            </w:r>
            <w:r>
              <w:rPr>
                <w:rFonts w:hint="eastAsia" w:ascii="宋体" w:hAnsi="宋体" w:eastAsia="宋体" w:cs="宋体"/>
                <w:caps w:val="0"/>
                <w:color w:val="000000"/>
                <w:sz w:val="24"/>
                <w:szCs w:val="24"/>
                <w:highlight w:val="none"/>
                <w:rtl w:val="0"/>
                <w:lang w:val="en-US" w:eastAsia="zh-CN" w:bidi="ar-SA"/>
              </w:rPr>
              <w:t xml:space="preserve">文件采购需求技术要求的基本要求得4</w:t>
            </w:r>
            <w:r>
              <w:rPr>
                <w:rFonts w:hint="eastAsia" w:ascii="宋体" w:hAnsi="宋体" w:cs="宋体"/>
                <w:caps w:val="0"/>
                <w:color w:val="000000"/>
                <w:sz w:val="24"/>
                <w:szCs w:val="24"/>
                <w:highlight w:val="none"/>
                <w:rtl w:val="0"/>
                <w:lang w:val="en-US" w:eastAsia="zh-CN" w:bidi="ar-SA"/>
              </w:rPr>
              <w:t xml:space="preserve">5</w:t>
            </w:r>
            <w:r>
              <w:rPr>
                <w:rFonts w:hint="eastAsia" w:ascii="宋体" w:hAnsi="宋体" w:eastAsia="宋体" w:cs="宋体"/>
                <w:caps w:val="0"/>
                <w:color w:val="000000"/>
                <w:sz w:val="24"/>
                <w:szCs w:val="24"/>
                <w:highlight w:val="none"/>
                <w:rtl w:val="0"/>
                <w:lang w:val="en-US" w:eastAsia="zh-CN" w:bidi="ar-SA"/>
              </w:rPr>
              <w:t xml:space="preserve">分，一般参数，负偏离一项，扣1分，扣完为止；负偏离为无效标，▲为重要参数，负偏离一项，扣3分，扣完为止；★为实质性要求，负偏离为无效标。</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注：</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1.一般参数为除标注★及▲以外参数。</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2.供应商针对本项评分内容在投标文件《技术要求响应偏离表》中逐条列出响应及偏离情况，未在响应偏离表中列明偏离情况的对应项按负偏离进行处理。</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sz w:val="24"/>
                <w:szCs w:val="24"/>
                <w:rtl w:val="0"/>
                <w:lang w:val="en-US" w:eastAsia="zh-CN"/>
              </w:rPr>
            </w:pPr>
            <w:r>
              <w:rPr>
                <w:rFonts w:hint="eastAsia" w:ascii="宋体" w:hAnsi="宋体" w:eastAsia="宋体" w:cs="宋体"/>
                <w:caps w:val="0"/>
                <w:color w:val="000000"/>
                <w:sz w:val="24"/>
                <w:szCs w:val="24"/>
                <w:highlight w:val="none"/>
                <w:rtl w:val="0"/>
                <w:lang w:val="en-US" w:eastAsia="zh-CN" w:bidi="ar-SA"/>
              </w:rPr>
              <w:t xml:space="preserve">3.对于技术要求中</w:t>
            </w:r>
            <w:r>
              <w:rPr>
                <w:rFonts w:hint="eastAsia" w:ascii="宋体" w:hAnsi="宋体" w:eastAsia="宋体" w:cs="宋体"/>
                <w:caps w:val="0"/>
                <w:color w:val="000000"/>
                <w:sz w:val="24"/>
                <w:szCs w:val="24"/>
                <w:highlight w:val="none"/>
                <w:rtl w:val="0"/>
                <w:lang w:val="en-US" w:eastAsia="zh-CN" w:bidi="ar-SA"/>
              </w:rPr>
              <w:t xml:space="preserve">标注★及▲</w:t>
            </w:r>
            <w:r>
              <w:rPr>
                <w:rFonts w:hint="eastAsia" w:ascii="宋体" w:hAnsi="宋体" w:eastAsia="宋体" w:cs="宋体"/>
                <w:caps w:val="0"/>
                <w:color w:val="000000"/>
                <w:sz w:val="24"/>
                <w:szCs w:val="24"/>
                <w:highlight w:val="none"/>
                <w:rtl w:val="0"/>
                <w:lang w:val="en-US" w:eastAsia="zh-CN" w:bidi="ar-SA"/>
              </w:rPr>
              <w:t xml:space="preserve">的参数如供应商在投标文件中进行响应，请提供技术支持资料（技术白皮书或检测报告</w:t>
            </w:r>
            <w:r>
              <w:rPr>
                <w:rFonts w:hint="eastAsia" w:ascii="宋体" w:hAnsi="宋体" w:eastAsia="宋体" w:cs="宋体"/>
                <w:caps w:val="0"/>
                <w:color w:val="000000"/>
                <w:sz w:val="24"/>
                <w:szCs w:val="24"/>
                <w:highlight w:val="none"/>
                <w:rtl w:val="0"/>
                <w:lang w:val="en-US" w:eastAsia="zh-CN" w:bidi="ar-SA"/>
              </w:rPr>
              <w:t xml:space="preserve">或</w:t>
            </w:r>
            <w:r>
              <w:rPr>
                <w:rFonts w:hint="eastAsia" w:ascii="宋体" w:hAnsi="宋体" w:eastAsia="宋体" w:cs="宋体"/>
                <w:caps w:val="0"/>
                <w:color w:val="000000"/>
                <w:sz w:val="24"/>
                <w:szCs w:val="24"/>
                <w:highlight w:val="none"/>
                <w:rtl w:val="0"/>
                <w:lang w:val="en-US" w:eastAsia="zh-CN" w:bidi="ar-SA"/>
              </w:rPr>
              <w:t xml:space="preserve">制造商盖章的证明材料等）并标明页码及所在位置，如提供的材料不全或提供材料不能证明其响应情况或未提供证明材料，</w:t>
            </w:r>
            <w:r>
              <w:rPr>
                <w:rFonts w:hint="eastAsia" w:ascii="宋体" w:hAnsi="宋体" w:cs="宋体"/>
                <w:caps w:val="0"/>
                <w:color w:val="000000"/>
                <w:sz w:val="24"/>
                <w:szCs w:val="24"/>
                <w:highlight w:val="none"/>
                <w:rtl w:val="0"/>
                <w:lang w:val="en-US" w:eastAsia="zh-CN" w:bidi="ar-SA"/>
              </w:rPr>
              <w:t xml:space="preserve">评标委员会可</w:t>
            </w:r>
            <w:r>
              <w:rPr>
                <w:rFonts w:hint="eastAsia" w:ascii="宋体" w:hAnsi="宋体" w:eastAsia="宋体" w:cs="宋体"/>
                <w:caps w:val="0"/>
                <w:color w:val="000000"/>
                <w:sz w:val="24"/>
                <w:szCs w:val="24"/>
                <w:highlight w:val="none"/>
                <w:rtl w:val="0"/>
                <w:lang w:val="en-US" w:eastAsia="zh-CN" w:bidi="ar-SA"/>
              </w:rPr>
              <w:t xml:space="preserve">视为未响应。</w:t>
            </w:r>
            <w:r>
              <w:rPr>
                <w:rFonts w:hint="eastAsia"/>
                <w:sz w:val="24"/>
                <w:szCs w:val="24"/>
                <w:rtl w:val="0"/>
                <w:lang w:val="en-US" w:eastAsia="zh-CN"/>
              </w:rPr>
            </w:r>
            <w:r/>
          </w:p>
        </w:tc>
      </w:tr>
      <w:tr>
        <w:trPr>
          <w:trHeight w:val="1231"/>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企业业绩</w:t>
            </w:r>
            <w:r>
              <w:rPr>
                <w:rFonts w:hint="eastAsia" w:ascii="宋体" w:hAnsi="宋体" w:eastAsia="宋体" w:cs="宋体"/>
                <w:caps w:val="0"/>
                <w:color w:val="000000"/>
                <w:sz w:val="24"/>
                <w:szCs w:val="24"/>
                <w:rtl w:val="0"/>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cs="宋体"/>
                <w:caps w:val="0"/>
                <w:color w:val="000000"/>
                <w:sz w:val="24"/>
                <w:szCs w:val="24"/>
                <w:rtl w:val="0"/>
                <w:lang w:val="en-US" w:eastAsia="zh-CN" w:bidi="ar-SA"/>
              </w:rPr>
            </w:pPr>
            <w:r>
              <w:rPr>
                <w:rFonts w:hint="eastAsia" w:ascii="宋体" w:hAnsi="宋体" w:cs="宋体"/>
                <w:caps w:val="0"/>
                <w:color w:val="000000"/>
                <w:sz w:val="24"/>
                <w:szCs w:val="24"/>
                <w:rtl w:val="0"/>
                <w:lang w:val="en-US" w:eastAsia="zh-CN" w:bidi="ar-SA"/>
              </w:rPr>
              <w:t xml:space="preserve">3</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cs="宋体"/>
                <w:caps w:val="0"/>
                <w:color w:val="000000"/>
                <w:sz w:val="24"/>
                <w:szCs w:val="24"/>
                <w:rtl w:val="0"/>
                <w:lang w:val="en-US" w:eastAsia="zh-CN" w:bidi="ar-SA"/>
              </w:rPr>
            </w:r>
            <w:r/>
          </w:p>
        </w:tc>
        <w:tc>
          <w:tcPr>
            <w:tcW w:w="3667"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提供投标人自202</w:t>
            </w:r>
            <w:r>
              <w:rPr>
                <w:rFonts w:hint="eastAsia" w:ascii="宋体" w:hAnsi="宋体" w:cs="宋体"/>
                <w:caps w:val="0"/>
                <w:color w:val="000000"/>
                <w:sz w:val="24"/>
                <w:szCs w:val="24"/>
                <w:highlight w:val="none"/>
                <w:rtl w:val="0"/>
                <w:lang w:val="en-US" w:eastAsia="zh-CN" w:bidi="ar-SA"/>
              </w:rPr>
              <w:t xml:space="preserve">3</w:t>
            </w:r>
            <w:r>
              <w:rPr>
                <w:rFonts w:hint="eastAsia" w:ascii="宋体" w:hAnsi="宋体" w:eastAsia="宋体" w:cs="宋体"/>
                <w:caps w:val="0"/>
                <w:color w:val="000000"/>
                <w:sz w:val="24"/>
                <w:szCs w:val="24"/>
                <w:highlight w:val="none"/>
                <w:rtl w:val="0"/>
                <w:lang w:val="en-US" w:eastAsia="zh-CN" w:bidi="ar-SA"/>
              </w:rPr>
              <w:t xml:space="preserve">年1月1日以来（以合同签订时间为准）与本次投标核心产品类似业绩，每提供一份得</w:t>
            </w:r>
            <w:r>
              <w:rPr>
                <w:rFonts w:hint="eastAsia" w:ascii="宋体" w:hAnsi="宋体" w:cs="宋体"/>
                <w:caps w:val="0"/>
                <w:color w:val="000000"/>
                <w:sz w:val="24"/>
                <w:szCs w:val="24"/>
                <w:highlight w:val="none"/>
                <w:rtl w:val="0"/>
                <w:lang w:val="en-US" w:eastAsia="zh-CN" w:bidi="ar-SA"/>
              </w:rPr>
              <w:t xml:space="preserve">1</w:t>
            </w:r>
            <w:r>
              <w:rPr>
                <w:rFonts w:hint="eastAsia" w:ascii="宋体" w:hAnsi="宋体" w:eastAsia="宋体" w:cs="宋体"/>
                <w:caps w:val="0"/>
                <w:color w:val="000000"/>
                <w:sz w:val="24"/>
                <w:szCs w:val="24"/>
                <w:highlight w:val="none"/>
                <w:rtl w:val="0"/>
                <w:lang w:val="en-US" w:eastAsia="zh-CN" w:bidi="ar-SA"/>
              </w:rPr>
              <w:t xml:space="preserve">分，满分</w:t>
            </w:r>
            <w:r>
              <w:rPr>
                <w:rFonts w:hint="eastAsia" w:ascii="宋体" w:hAnsi="宋体" w:cs="宋体"/>
                <w:caps w:val="0"/>
                <w:color w:val="000000"/>
                <w:sz w:val="24"/>
                <w:szCs w:val="24"/>
                <w:highlight w:val="none"/>
                <w:rtl w:val="0"/>
                <w:lang w:val="en-US" w:eastAsia="zh-CN" w:bidi="ar-SA"/>
              </w:rPr>
              <w:t xml:space="preserve">3</w:t>
            </w:r>
            <w:r>
              <w:rPr>
                <w:rFonts w:hint="eastAsia" w:ascii="宋体" w:hAnsi="宋体" w:eastAsia="宋体" w:cs="宋体"/>
                <w:caps w:val="0"/>
                <w:color w:val="000000"/>
                <w:sz w:val="24"/>
                <w:szCs w:val="24"/>
                <w:highlight w:val="none"/>
                <w:rtl w:val="0"/>
                <w:lang w:val="en-US" w:eastAsia="zh-CN" w:bidi="ar-SA"/>
              </w:rPr>
              <w:t xml:space="preserve">分。</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注：</w:t>
            </w:r>
            <w:r>
              <w:rPr>
                <w:rFonts w:hint="eastAsia" w:ascii="宋体" w:hAnsi="宋体" w:eastAsia="宋体" w:cs="宋体"/>
                <w:caps w:val="0"/>
                <w:color w:val="000000"/>
                <w:sz w:val="24"/>
                <w:szCs w:val="24"/>
                <w:highlight w:val="none"/>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1.提供中标（成交）通知书、合同。</w:t>
            </w:r>
            <w:r>
              <w:rPr>
                <w:rFonts w:hint="eastAsia" w:ascii="宋体" w:hAnsi="宋体" w:eastAsia="宋体" w:cs="宋体"/>
                <w:caps w:val="0"/>
                <w:color w:val="000000"/>
                <w:sz w:val="24"/>
                <w:szCs w:val="24"/>
                <w:highlight w:val="none"/>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2.合同须有双方清晰盖章及项目/设备名称、品牌、型号、金额等。</w:t>
            </w:r>
            <w:r>
              <w:rPr>
                <w:rFonts w:hint="eastAsia" w:ascii="宋体" w:hAnsi="宋体" w:eastAsia="宋体" w:cs="宋体"/>
                <w:caps w:val="0"/>
                <w:color w:val="000000"/>
                <w:sz w:val="24"/>
                <w:szCs w:val="24"/>
                <w:highlight w:val="none"/>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3.提供不全或未提供的不得分。</w:t>
            </w:r>
            <w:r>
              <w:rPr>
                <w:rFonts w:hint="eastAsia" w:ascii="宋体" w:hAnsi="宋体" w:eastAsia="宋体" w:cs="宋体"/>
                <w:caps w:val="0"/>
                <w:color w:val="000000"/>
                <w:sz w:val="24"/>
                <w:szCs w:val="24"/>
                <w:highlight w:val="none"/>
                <w:rtl w:val="0"/>
                <w:lang w:val="en-US" w:eastAsia="zh-CN" w:bidi="ar-SA"/>
              </w:rPr>
            </w:r>
            <w:r/>
          </w:p>
        </w:tc>
      </w:tr>
      <w:tr>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项目实施方案</w:t>
            </w:r>
            <w:r>
              <w:rPr>
                <w:rFonts w:hint="eastAsia" w:ascii="宋体" w:hAnsi="宋体" w:eastAsia="宋体" w:cs="宋体"/>
                <w:caps w:val="0"/>
                <w:color w:val="000000"/>
                <w:sz w:val="24"/>
                <w:szCs w:val="24"/>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tc>
        <w:tc>
          <w:tcPr>
            <w:tcW w:w="3667"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根据该项目提供符合采购人情况的设备交付实施方案和安装调试方案。根据其完善性、可实施性、有效性等情况进行综合评审。</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要求：具有明确的交货时间，方案全面，可实施性强，设备交付安装安排合理，时间进度安排合理，优于采购需求的得</w:t>
            </w: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分；方案较全面，可实施性较强，设备交付安排较好，时间进度安排较好，符合采购需求的得</w:t>
            </w:r>
            <w:r>
              <w:rPr>
                <w:rFonts w:hint="eastAsia" w:ascii="宋体" w:hAnsi="宋体" w:cs="宋体"/>
                <w:caps w:val="0"/>
                <w:color w:val="000000"/>
                <w:sz w:val="24"/>
                <w:szCs w:val="24"/>
                <w:rtl w:val="0"/>
                <w:lang w:val="en-US" w:eastAsia="zh-CN" w:bidi="ar-SA"/>
              </w:rPr>
              <w:t xml:space="preserve">4</w:t>
            </w:r>
            <w:r>
              <w:rPr>
                <w:rFonts w:hint="eastAsia" w:ascii="宋体" w:hAnsi="宋体" w:eastAsia="宋体" w:cs="宋体"/>
                <w:caps w:val="0"/>
                <w:color w:val="000000"/>
                <w:sz w:val="24"/>
                <w:szCs w:val="24"/>
                <w:rtl w:val="0"/>
                <w:lang w:val="en-US" w:eastAsia="zh-CN" w:bidi="ar-SA"/>
              </w:rPr>
              <w:t xml:space="preserve">分；方案一般，可实施性一般，时间进度安排一般，设备交付安排一般，通过后期优化能实现采购要求的得1分；其余或不提供不得分。</w:t>
            </w:r>
            <w:r>
              <w:rPr>
                <w:rFonts w:hint="eastAsia" w:ascii="宋体" w:hAnsi="宋体" w:eastAsia="宋体" w:cs="宋体"/>
                <w:caps w:val="0"/>
                <w:color w:val="000000"/>
                <w:sz w:val="24"/>
                <w:szCs w:val="24"/>
                <w:lang w:val="en-US" w:eastAsia="zh-CN" w:bidi="ar-SA"/>
              </w:rPr>
            </w:r>
            <w:r/>
          </w:p>
        </w:tc>
      </w:tr>
      <w:tr>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售后服务方案</w:t>
            </w:r>
            <w:r>
              <w:rPr>
                <w:rFonts w:hint="eastAsia" w:ascii="宋体" w:hAnsi="宋体" w:eastAsia="宋体" w:cs="宋体"/>
                <w:caps w:val="0"/>
                <w:color w:val="000000"/>
                <w:sz w:val="24"/>
                <w:szCs w:val="24"/>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tc>
        <w:tc>
          <w:tcPr>
            <w:tcW w:w="3667"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根据该项目提供符合采购人情况的售后及应急服务方案及售后服务承诺。根据其完善性、可实施性及承诺响应时间、工程到场时间进行综合评审。要求：响应时间满足2小时内电话响应进行线上指导，24小时内到达现场，并提供备用配件供临时使用。应急售后措施完善，具有预见性，对可能存在的情况有具体应对方案和具体时间节点安排，管理力量雄厚，技术人员专业素养高且有经验，人员配备合理，承诺响应时间、到场时间最短且方案最为合理完善的得</w:t>
            </w: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应急措施比较完善，比较有预见性，对可能存在的情况有比较具体的应对方案和时间安排，管理力量比较雄厚，技术人员专业素养较高且有一定经验，人员配备较合理，承诺响应时间、到场时间较短且方案较为合理完善得</w:t>
            </w:r>
            <w:r>
              <w:rPr>
                <w:rFonts w:hint="eastAsia" w:ascii="宋体" w:hAnsi="宋体" w:cs="宋体"/>
                <w:caps w:val="0"/>
                <w:color w:val="000000"/>
                <w:sz w:val="24"/>
                <w:szCs w:val="24"/>
                <w:rtl w:val="0"/>
                <w:lang w:val="en-US" w:eastAsia="zh-CN" w:bidi="ar-SA"/>
              </w:rPr>
              <w:t xml:space="preserve">4</w:t>
            </w:r>
            <w:r>
              <w:rPr>
                <w:rFonts w:hint="eastAsia" w:ascii="宋体" w:hAnsi="宋体" w:eastAsia="宋体" w:cs="宋体"/>
                <w:caps w:val="0"/>
                <w:color w:val="000000"/>
                <w:sz w:val="24"/>
                <w:szCs w:val="24"/>
                <w:rtl w:val="0"/>
                <w:lang w:val="en-US" w:eastAsia="zh-CN" w:bidi="ar-SA"/>
              </w:rPr>
              <w:t xml:space="preserve">分；应急措施一般，对可能存在的情况有应对方案或时间安排，管理力量一般，具有专门的售后技术人员，人员配备一般，承诺响应时间、到场时间一般且方案一般得1分；其余或不提供不得分。</w:t>
            </w:r>
            <w:r>
              <w:rPr>
                <w:rFonts w:hint="eastAsia" w:ascii="宋体" w:hAnsi="宋体" w:eastAsia="宋体" w:cs="宋体"/>
                <w:caps w:val="0"/>
                <w:color w:val="000000"/>
                <w:sz w:val="24"/>
                <w:szCs w:val="24"/>
                <w:lang w:val="en-US" w:eastAsia="zh-CN" w:bidi="ar-SA"/>
              </w:rPr>
            </w:r>
            <w:r/>
          </w:p>
        </w:tc>
      </w:tr>
      <w:tr>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培训及技术支持方案</w:t>
            </w:r>
            <w:r>
              <w:rPr>
                <w:rFonts w:hint="eastAsia" w:ascii="宋体" w:hAnsi="宋体" w:eastAsia="宋体" w:cs="宋体"/>
                <w:caps w:val="0"/>
                <w:color w:val="000000"/>
                <w:sz w:val="24"/>
                <w:szCs w:val="24"/>
                <w:rtl w:val="0"/>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rtl w:val="0"/>
                <w:lang w:val="en-US" w:eastAsia="zh-CN" w:bidi="ar-SA"/>
              </w:rPr>
            </w:r>
            <w:r/>
          </w:p>
        </w:tc>
        <w:tc>
          <w:tcPr>
            <w:tcW w:w="3667"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根据该项目提供符合采购方情况的培训服务方案及技术支持方案。根据其内容完善性、全面性、是否科学规范、可操作性、是否便于实施等具体内容进行综合评审。要求：人员的操作培训和售后培训以及采购方所需的技术和学术支持。承诺完善、具体合理、服务时间长、服务费用合理、有明确的、具体可行的培训方案和措施，保证使用单位能熟练操作、维护和正常使用、具有技术和学术支持的能力并且有明确、合理、可行的支持方案的得</w:t>
            </w: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承诺较完善、比较具体合理、服务时间较长、服务费较合理、有较明确的、比较具体可行的培训方案和措施，使用单位能操作、维护和使用、具有较好的技术和学术支持能力并且有较明确、较合理、较可行的支持方案的得</w:t>
            </w:r>
            <w:r>
              <w:rPr>
                <w:rFonts w:hint="eastAsia" w:ascii="宋体" w:hAnsi="宋体" w:cs="宋体"/>
                <w:caps w:val="0"/>
                <w:color w:val="000000"/>
                <w:sz w:val="24"/>
                <w:szCs w:val="24"/>
                <w:rtl w:val="0"/>
                <w:lang w:val="en-US" w:eastAsia="zh-CN" w:bidi="ar-SA"/>
              </w:rPr>
              <w:t xml:space="preserve">4</w:t>
            </w:r>
            <w:r>
              <w:rPr>
                <w:rFonts w:hint="eastAsia" w:ascii="宋体" w:hAnsi="宋体" w:eastAsia="宋体" w:cs="宋体"/>
                <w:caps w:val="0"/>
                <w:color w:val="000000"/>
                <w:sz w:val="24"/>
                <w:szCs w:val="24"/>
                <w:rtl w:val="0"/>
                <w:lang w:val="en-US" w:eastAsia="zh-CN" w:bidi="ar-SA"/>
              </w:rPr>
              <w:t xml:space="preserve">分；承诺一般、一般合理、服务时间较短、服务费较高、有培训方案和措施，有支持方案的得1分；其余或不提供不得分。</w:t>
            </w:r>
            <w:r>
              <w:rPr>
                <w:rFonts w:hint="eastAsia" w:ascii="宋体" w:hAnsi="宋体" w:eastAsia="宋体" w:cs="宋体"/>
                <w:caps w:val="0"/>
                <w:color w:val="000000"/>
                <w:sz w:val="24"/>
                <w:szCs w:val="24"/>
                <w:rtl w:val="0"/>
                <w:lang w:val="en-US" w:eastAsia="zh-CN" w:bidi="ar-SA"/>
              </w:rPr>
            </w:r>
            <w:r/>
          </w:p>
        </w:tc>
      </w:tr>
      <w:tr>
        <w:trPr/>
        <w:tc>
          <w:tcPr>
            <w:tcW w:w="836"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2"/>
                <w:szCs w:val="22"/>
                <w:rtl w:val="0"/>
                <w:lang w:val="en-US" w:eastAsia="zh-CN" w:bidi="ar-SA"/>
              </w:rPr>
              <w:t xml:space="preserve">投标产品主要为节能、环保产品</w:t>
            </w:r>
            <w:r>
              <w:rPr>
                <w:rFonts w:hint="eastAsia" w:ascii="宋体" w:hAnsi="宋体" w:eastAsia="宋体" w:cs="宋体"/>
                <w:caps w:val="0"/>
                <w:color w:val="000000"/>
                <w:sz w:val="24"/>
                <w:szCs w:val="24"/>
                <w:rtl w:val="0"/>
                <w:lang w:val="en-US" w:eastAsia="zh-CN" w:bidi="ar-SA"/>
              </w:rPr>
            </w:r>
            <w:r/>
          </w:p>
        </w:tc>
        <w:tc>
          <w:tcPr>
            <w:tcW w:w="496" w:type="dxa"/>
            <w:vAlign w:val="center"/>
            <w:textDirection w:val="lrTb"/>
            <w:noWrap w:val="false"/>
          </w:tcPr>
          <w:p>
            <w:pPr>
              <w:pStyle w:val="718"/>
              <w:jc w:val="center"/>
              <w:spacing w:after="0" w:afterAutospacing="0" w:line="240" w:lineRule="auto"/>
              <w:widowControl w:val="off"/>
              <w:rPr>
                <w:rFonts w:hint="eastAsia" w:ascii="宋体" w:hAnsi="宋体" w:cs="宋体"/>
                <w:caps w:val="0"/>
                <w:color w:val="000000"/>
                <w:sz w:val="24"/>
                <w:szCs w:val="24"/>
                <w:rtl w:val="0"/>
                <w:lang w:val="en-US" w:eastAsia="zh-CN" w:bidi="ar-SA"/>
              </w:rPr>
            </w:pPr>
            <w:r>
              <w:rPr>
                <w:rFonts w:hint="eastAsia" w:ascii="宋体" w:hAnsi="宋体" w:eastAsia="宋体" w:cs="宋体"/>
                <w:caps w:val="0"/>
                <w:color w:val="000000"/>
                <w:sz w:val="22"/>
                <w:szCs w:val="22"/>
                <w:rtl w:val="0"/>
                <w:lang w:val="en-US" w:eastAsia="zh-CN" w:bidi="ar-SA"/>
              </w:rPr>
              <w:t xml:space="preserve">1分</w:t>
            </w:r>
            <w:r>
              <w:rPr>
                <w:rFonts w:hint="eastAsia" w:ascii="宋体" w:hAnsi="宋体" w:cs="宋体"/>
                <w:caps w:val="0"/>
                <w:color w:val="000000"/>
                <w:sz w:val="24"/>
                <w:szCs w:val="24"/>
                <w:rtl w:val="0"/>
                <w:lang w:val="en-US" w:eastAsia="zh-CN" w:bidi="ar-SA"/>
              </w:rPr>
            </w:r>
            <w:r/>
          </w:p>
        </w:tc>
        <w:tc>
          <w:tcPr>
            <w:tcW w:w="3667"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1.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0.5分。如投标产品均属于政府强制采购环境标志产品品目清单范围内，本项不得分。</w:t>
            </w:r>
            <w:r>
              <w:rPr>
                <w:rFonts w:hint="eastAsia" w:ascii="宋体" w:hAnsi="宋体" w:eastAsia="宋体" w:cs="宋体"/>
                <w:caps w:val="0"/>
                <w:color w:val="000000"/>
                <w:sz w:val="24"/>
                <w:szCs w:val="24"/>
                <w:rtl w:val="0"/>
                <w:lang w:val="en-US" w:eastAsia="zh-CN" w:bidi="ar-SA"/>
              </w:rPr>
            </w:r>
            <w:r/>
          </w:p>
        </w:tc>
      </w:tr>
    </w:tbl>
    <w:p>
      <w:pPr>
        <w:pStyle w:val="71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1.小微企业的价格扣除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1.2价格扣除比例或者价格分加分比例对小型企业和微型企业同等对待，不作区分。</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2.监狱和戒毒企业的价格扣除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2.1对监狱和戒毒企业（简称监狱企业），给予10%的价格扣除，用扣除后的价格参与评审。</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2.2监狱企业需提供由省级以上监狱管理局、戒毒管理局（含新疆生产建设兵团）出具的属于监狱企业的证明文件。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2.3监狱企业标准请参照《关于政府采购支持监狱企业发展有关问题的通知》（财库</w:t>
      </w:r>
      <w:r>
        <w:rPr>
          <w:rFonts w:hint="eastAsia" w:ascii="宋体" w:hAnsi="宋体" w:eastAsia="宋体" w:cs="宋体"/>
          <w:sz w:val="24"/>
          <w:szCs w:val="24"/>
          <w:highlight w:val="none"/>
          <w:lang w:eastAsia="zh-CN"/>
        </w:rPr>
        <w:t xml:space="preserve">〔2014〕68号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3.残疾人福利性单位的价格扣除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3.1对残疾人福利性单位，给予10%的价格扣除，用扣除后的价格参与评审。</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3.2残疾人福利单位需按照招标文件的要求提供《残疾人福利性单位声明函》。</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3.3残疾人福利单位标准请参照《关于促进残疾人就业政府采购政策的通知》（财库〔2017〕141号）。</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4.监狱企业、残疾人福利单位属于小型、微型企业的，不重复享受政策。</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5.专门面向中小企业采购的项目，不再执行价格评审优惠的扶持政策。</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6.实质性要求不得负偏离；否则，按照无效投标处理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18"/>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7.采购本国产品的支持政策</w:t>
      </w:r>
      <w:r>
        <w:rPr>
          <w:rFonts w:hint="eastAsia"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7.1本项目政府采购活动中既有本国产品又有非本国产品参与竞争的，依法对本国产品给予价格评审优惠，对本国产品的报价给予</w:t>
      </w:r>
      <w:r>
        <w:rPr>
          <w:rFonts w:ascii="宋体" w:hAnsi="宋体" w:eastAsia="宋体" w:cs="宋体"/>
          <w:sz w:val="24"/>
          <w:szCs w:val="24"/>
          <w:highlight w:val="none"/>
          <w:u w:val="single"/>
          <w:lang w:val="en-US" w:eastAsia="zh-CN"/>
        </w:rPr>
        <w:t xml:space="preserve">20%</w:t>
      </w:r>
      <w:r>
        <w:rPr>
          <w:rFonts w:ascii="宋体" w:hAnsi="宋体" w:eastAsia="宋体" w:cs="宋体"/>
          <w:sz w:val="24"/>
          <w:szCs w:val="24"/>
          <w:highlight w:val="none"/>
          <w:lang w:val="en-US" w:eastAsia="zh-CN"/>
        </w:rPr>
        <w:t xml:space="preserve">的价格扣除，用扣除后的价格参与评审。</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w:t>
      </w:r>
      <w:r>
        <w:rPr>
          <w:rFonts w:ascii="宋体" w:hAnsi="宋体" w:eastAsia="宋体" w:cs="宋体"/>
          <w:b/>
          <w:bCs/>
          <w:color w:val="ff0000"/>
          <w:sz w:val="24"/>
          <w:szCs w:val="24"/>
          <w:highlight w:val="none"/>
          <w:lang w:val="en-US" w:eastAsia="zh-CN"/>
        </w:rPr>
        <w:t xml:space="preserve">供应商需在“第六章 投标文件格式”的“投标</w:t>
      </w:r>
      <w:r>
        <w:rPr>
          <w:rFonts w:hint="eastAsia" w:ascii="宋体" w:hAnsi="宋体" w:eastAsia="宋体" w:cs="宋体"/>
          <w:b/>
          <w:bCs/>
          <w:color w:val="ff0000"/>
          <w:sz w:val="24"/>
          <w:szCs w:val="24"/>
          <w:highlight w:val="none"/>
          <w:lang w:val="en-US" w:eastAsia="zh-CN"/>
        </w:rPr>
        <w:t xml:space="preserve">报价明细表</w:t>
      </w:r>
      <w:r>
        <w:rPr>
          <w:rFonts w:ascii="宋体" w:hAnsi="宋体" w:eastAsia="宋体" w:cs="宋体"/>
          <w:b/>
          <w:bCs/>
          <w:color w:val="ff0000"/>
          <w:sz w:val="24"/>
          <w:szCs w:val="24"/>
          <w:highlight w:val="none"/>
          <w:lang w:val="en-US" w:eastAsia="zh-CN"/>
        </w:rPr>
        <w:t xml:space="preserve">”中填写比例数值</w:t>
      </w:r>
      <w:r>
        <w:rPr>
          <w:rFonts w:ascii="宋体" w:hAnsi="宋体" w:eastAsia="宋体" w:cs="宋体"/>
          <w:sz w:val="24"/>
          <w:szCs w:val="24"/>
          <w:highlight w:val="none"/>
          <w:lang w:val="en-US" w:eastAsia="zh-CN"/>
        </w:rPr>
        <w:t xml:space="preserve">），依法对该供应商提供的全部产品给予价格评审优惠，即对该供应商提供的全部产品的总报价给予</w:t>
      </w:r>
      <w:r>
        <w:rPr>
          <w:rFonts w:ascii="宋体" w:hAnsi="宋体" w:eastAsia="宋体" w:cs="宋体"/>
          <w:sz w:val="24"/>
          <w:szCs w:val="24"/>
          <w:highlight w:val="none"/>
          <w:u w:val="single"/>
          <w:lang w:val="en-US" w:eastAsia="zh-CN"/>
        </w:rPr>
        <w:t xml:space="preserve">20%</w:t>
      </w:r>
      <w:r>
        <w:rPr>
          <w:rFonts w:ascii="宋体" w:hAnsi="宋体" w:eastAsia="宋体" w:cs="宋体"/>
          <w:sz w:val="24"/>
          <w:szCs w:val="24"/>
          <w:highlight w:val="none"/>
          <w:lang w:val="en-US" w:eastAsia="zh-CN"/>
        </w:rPr>
        <w:t xml:space="preserve">的价格扣除，用扣除后的价格参与评审。供应商未填写比例数值，或比例数值未达到80%的，将不享受本国产品价格评审优惠。</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7.3供应商需按照招标文件的要求提供《关于符合本国产品标准的声明函》（以下简称《声明函》），如不提供将不享受本国产品价格评审优惠。</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7.4供应商需在《声明函》中逐一、准确填写产品名称、厂名、生产厂址三项信息（《声明函》中</w:t>
      </w:r>
      <w:r>
        <w:rPr>
          <w:rFonts w:hint="eastAsia" w:ascii="宋体" w:hAnsi="宋体" w:cs="宋体"/>
          <w:b/>
          <w:bCs/>
          <w:color w:val="ff0000"/>
          <w:sz w:val="24"/>
          <w:szCs w:val="24"/>
          <w:highlight w:val="yellow"/>
          <w:lang w:val="en-US" w:eastAsia="zh-CN"/>
        </w:rPr>
        <w:t xml:space="preserve">标黄部分</w:t>
      </w:r>
      <w:r>
        <w:rPr>
          <w:rFonts w:hint="eastAsia" w:ascii="宋体" w:hAnsi="宋体" w:cs="宋体"/>
          <w:b/>
          <w:bCs/>
          <w:color w:val="ff0000"/>
          <w:sz w:val="24"/>
          <w:szCs w:val="24"/>
          <w:highlight w:val="none"/>
          <w:lang w:val="en-US" w:eastAsia="zh-CN"/>
        </w:rPr>
        <w:t xml:space="preserve">及用</w:t>
      </w:r>
      <w:r>
        <w:rPr>
          <w:rFonts w:hint="eastAsia" w:ascii="宋体" w:hAnsi="宋体" w:cs="宋体"/>
          <w:b/>
          <w:bCs/>
          <w:color w:val="ff0000"/>
          <w:sz w:val="24"/>
          <w:szCs w:val="24"/>
          <w:lang w:val="en-US" w:eastAsia="zh-CN"/>
        </w:rPr>
        <w:t xml:space="preserve">删除线</w:t>
      </w:r>
      <w:r>
        <w:rPr>
          <w:rFonts w:hint="eastAsia" w:ascii="宋体" w:hAnsi="宋体" w:cs="宋体"/>
          <w:b/>
          <w:bCs/>
          <w:strike/>
          <w:color w:val="ff0000"/>
          <w:sz w:val="24"/>
          <w:szCs w:val="24"/>
          <w:lang w:val="en-US" w:eastAsia="zh-CN"/>
        </w:rPr>
        <w:t xml:space="preserve">（A）</w:t>
      </w:r>
      <w:r>
        <w:rPr>
          <w:rFonts w:hint="eastAsia" w:ascii="宋体" w:hAnsi="宋体" w:eastAsia="宋体" w:cs="宋体"/>
          <w:b/>
          <w:bCs/>
          <w:color w:val="ff0000"/>
          <w:sz w:val="24"/>
          <w:szCs w:val="24"/>
          <w:lang w:val="en-US" w:eastAsia="zh-CN"/>
        </w:rPr>
        <w:t xml:space="preserve">划除的地方无需填写</w:t>
      </w:r>
      <w:r>
        <w:rPr>
          <w:rFonts w:ascii="宋体" w:hAnsi="宋体" w:eastAsia="宋体" w:cs="宋体"/>
          <w:sz w:val="24"/>
          <w:szCs w:val="24"/>
          <w:highlight w:val="none"/>
          <w:lang w:val="en-US" w:eastAsia="zh-CN"/>
        </w:rPr>
        <w:t xml:space="preserve">），三项信息中任意一项未填写的视为该项产品不符合本国产品标准，不享受本国产品价格评审优惠。</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718"/>
        <w:ind w:firstLine="480"/>
        <w:spacing w:line="440" w:lineRule="exact"/>
        <w:rPr>
          <w:rFonts w:hint="eastAsia"/>
          <w:b/>
          <w:color w:val="000000"/>
          <w:sz w:val="44"/>
          <w:szCs w:val="44"/>
          <w:highlight w:val="none"/>
        </w:rPr>
      </w:pPr>
      <w:r>
        <w:rPr>
          <w:rFonts w:hint="eastAsia"/>
          <w:b/>
          <w:color w:val="000000"/>
          <w:sz w:val="44"/>
          <w:szCs w:val="44"/>
          <w:highlight w:val="none"/>
        </w:rPr>
      </w:r>
      <w:r/>
    </w:p>
    <w:p>
      <w:pPr>
        <w:pStyle w:val="718"/>
        <w:spacing w:line="440" w:lineRule="exact"/>
        <w:rPr>
          <w:rFonts w:hint="eastAsia"/>
          <w:b/>
          <w:color w:val="000000"/>
          <w:sz w:val="44"/>
          <w:szCs w:val="44"/>
          <w:highlight w:val="none"/>
        </w:rPr>
      </w:pPr>
      <w:r>
        <w:rPr>
          <w:rFonts w:hint="eastAsia"/>
          <w:b/>
          <w:color w:val="000000"/>
          <w:sz w:val="44"/>
          <w:szCs w:val="44"/>
          <w:highlight w:val="none"/>
        </w:rPr>
      </w:r>
      <w:r/>
    </w:p>
    <w:p>
      <w:pPr>
        <w:pStyle w:val="718"/>
        <w:ind w:firstLine="480"/>
        <w:spacing w:line="440" w:lineRule="exact"/>
        <w:rPr>
          <w:rFonts w:hint="eastAsia"/>
          <w:b/>
          <w:color w:val="000000"/>
          <w:sz w:val="44"/>
          <w:szCs w:val="44"/>
          <w:highlight w:val="none"/>
        </w:rPr>
      </w:pPr>
      <w:r>
        <w:rPr>
          <w:rFonts w:hint="eastAsia"/>
          <w:b/>
          <w:color w:val="000000"/>
          <w:sz w:val="44"/>
          <w:szCs w:val="44"/>
          <w:highlight w:val="none"/>
        </w:rPr>
      </w:r>
      <w:r/>
    </w:p>
    <w:p>
      <w:pPr>
        <w:pStyle w:val="718"/>
        <w:jc w:val="center"/>
        <w:spacing w:line="440" w:lineRule="exact"/>
        <w:rPr>
          <w:rFonts w:hint="eastAsia"/>
          <w:b/>
          <w:color w:val="000000"/>
          <w:sz w:val="44"/>
          <w:szCs w:val="44"/>
          <w:highlight w:val="none"/>
        </w:rPr>
      </w:pPr>
      <w:r>
        <w:rPr>
          <w:rFonts w:hint="eastAsia"/>
          <w:b/>
          <w:color w:val="000000"/>
          <w:sz w:val="44"/>
          <w:szCs w:val="44"/>
          <w:highlight w:val="none"/>
        </w:rPr>
        <w:br w:type="page" w:clear="all"/>
      </w:r>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4"/>
      <w:r/>
      <w:bookmarkEnd w:id="117"/>
      <w:r/>
      <w:bookmarkEnd w:id="118"/>
      <w:r/>
      <w:bookmarkEnd w:id="119"/>
      <w:r/>
      <w:bookmarkEnd w:id="120"/>
      <w:r/>
      <w:bookmarkEnd w:id="121"/>
      <w:r>
        <w:rPr>
          <w:rFonts w:hint="eastAsia"/>
          <w:b/>
          <w:color w:val="000000"/>
          <w:sz w:val="44"/>
          <w:szCs w:val="44"/>
          <w:highlight w:val="none"/>
        </w:rPr>
      </w:r>
      <w:r/>
    </w:p>
    <w:p>
      <w:pPr>
        <w:pStyle w:val="71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b/>
          <w:color w:val="000000"/>
          <w:sz w:val="24"/>
          <w:szCs w:val="24"/>
          <w:highlight w:val="none"/>
        </w:rPr>
      </w:r>
      <w:r/>
    </w:p>
    <w:tbl>
      <w:tblPr>
        <w:tblW w:w="93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725"/>
        <w:gridCol w:w="4647"/>
        <w:gridCol w:w="1983"/>
      </w:tblGrid>
      <w:tr>
        <w:trPr>
          <w:trHeight w:val="642"/>
        </w:trPr>
        <w:tc>
          <w:tcPr>
            <w:tcW w:w="990"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w:t>
            </w:r>
            <w:r>
              <w:rPr>
                <w:rFonts w:hint="eastAsia" w:ascii="宋体" w:hAnsi="宋体" w:eastAsia="宋体" w:cs="宋体"/>
                <w:b/>
                <w:bCs/>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品目</w:t>
            </w:r>
            <w:r>
              <w:rPr>
                <w:rFonts w:ascii="宋体" w:hAnsi="宋体" w:eastAsia="宋体" w:cs="宋体"/>
                <w:b/>
                <w:bCs/>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名称</w:t>
            </w:r>
            <w:r>
              <w:rPr>
                <w:rFonts w:hint="eastAsia" w:ascii="宋体" w:hAnsi="宋体" w:eastAsia="宋体" w:cs="宋体"/>
                <w:b/>
                <w:bCs/>
                <w:color w:val="000000"/>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r>
      <w:tr>
        <w:trPr>
          <w:trHeight w:val="543"/>
        </w:trPr>
        <w:tc>
          <w:tcPr>
            <w:tcW w:w="990" w:type="dxa"/>
            <w:vAlign w:val="center"/>
            <w:vMerge w:val="restart"/>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康复科设备</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五官超短波电疗仪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脑电治疗仪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吞咽神经和肌肉电刺激仪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脉冲磁治疗仪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超声波治疗仪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神经系统康复评估工作站</w:t>
            </w:r>
            <w:r>
              <w:rPr>
                <w:rFonts w:hint="eastAsia" w:ascii="宋体" w:hAnsi="宋体" w:eastAsia="宋体" w:cs="宋体"/>
                <w:sz w:val="24"/>
                <w:szCs w:val="24"/>
                <w:highlight w:val="none"/>
                <w:lang w:val="en-US" w:eastAsia="zh-CN"/>
              </w:rPr>
            </w:r>
            <w:r/>
          </w:p>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（神经肌肉刺激治疗仪）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平衡测试及训练系统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电动牵引床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多功能训练器（八件组合）</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训练用阶梯（三向楼梯）</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PT凳</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PT床（电动）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电动站立架</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骨科康复设备</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生物反馈治疗仪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干扰电治疗仪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空气波压力治疗仪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便捷式手功能康复系统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床旁（下肢）主被动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四肢联动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下肢CPM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盆底生物反馈治疗仪（核心产品）</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电动升降床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站立床（电动起立床）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上下肢主被动康复训练系统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品目二十八</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肢体低频治疗仪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品目二十九</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中频电疗仪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熏蒸治疗仪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红外线烤灯</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磁刺激仪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采购包1预算总计为213.3万元。</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本项目不接受进口产品投标。</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特别说明：该采购包1为一个整体，供应商参与投标须对采购包1所有品目进行投标。</w:t>
            </w:r>
            <w:r>
              <w:rPr>
                <w:rFonts w:ascii="宋体" w:hAnsi="宋体" w:eastAsia="宋体" w:cs="宋体"/>
                <w:color w:val="000000"/>
                <w:sz w:val="24"/>
                <w:szCs w:val="24"/>
                <w:highlight w:val="none"/>
                <w:lang w:val="en-US" w:eastAsia="zh-CN"/>
              </w:rPr>
            </w:r>
            <w:r/>
          </w:p>
        </w:tc>
      </w:tr>
    </w:tbl>
    <w:p>
      <w:pPr>
        <w:pStyle w:val="71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二、技术要求</w:t>
      </w:r>
      <w:r>
        <w:rPr>
          <w:rFonts w:hint="eastAsia" w:ascii="宋体" w:hAnsi="宋体" w:eastAsia="宋体" w:cs="宋体"/>
          <w:b/>
          <w:color w:val="000000"/>
          <w:sz w:val="24"/>
          <w:szCs w:val="24"/>
          <w:highlight w:val="none"/>
        </w:rPr>
      </w:r>
      <w:r/>
    </w:p>
    <w:p>
      <w:pPr>
        <w:pStyle w:val="718"/>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采购包1：技术参数及要求</w:t>
      </w:r>
      <w:r>
        <w:rPr>
          <w:rFonts w:hint="eastAsia" w:ascii="宋体" w:hAnsi="宋体" w:eastAsia="宋体" w:cs="宋体"/>
          <w:b/>
          <w:bCs/>
          <w:color w:val="000000"/>
          <w:sz w:val="24"/>
          <w:szCs w:val="24"/>
          <w:lang w:val="en-US" w:eastAsia="zh-CN"/>
        </w:rPr>
      </w: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5"/>
        <w:gridCol w:w="8317"/>
      </w:tblGrid>
      <w:tr>
        <w:trPr>
          <w:trHeight w:val="434"/>
        </w:trPr>
        <w:tc>
          <w:tcPr>
            <w:gridSpan w:val="2"/>
            <w:tcW w:w="9912" w:type="dxa"/>
            <w:vAlign w:val="center"/>
            <w:textDirection w:val="lrTb"/>
            <w:noWrap w:val="false"/>
          </w:tcPr>
          <w:p>
            <w:pPr>
              <w:pStyle w:val="718"/>
              <w:jc w:val="center"/>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需求清单及技术参数</w:t>
            </w:r>
            <w:r>
              <w:rPr>
                <w:rFonts w:hint="eastAsia" w:ascii="宋体" w:hAnsi="宋体" w:eastAsia="宋体" w:cs="宋体"/>
                <w:color w:val="000000"/>
                <w:sz w:val="24"/>
                <w:szCs w:val="24"/>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shd w:val="clear" w:color="auto" w:fill="ffffff"/>
                <w:lang w:val="en-US" w:eastAsia="zh-CN"/>
              </w:rPr>
            </w:pPr>
            <w:r>
              <w:rPr>
                <w:rFonts w:hint="eastAsia" w:ascii="宋体" w:hAnsi="宋体" w:eastAsia="宋体" w:cs="宋体"/>
                <w:b/>
                <w:bCs/>
                <w:color w:val="000000"/>
                <w:sz w:val="24"/>
                <w:szCs w:val="24"/>
                <w:lang w:val="en-US" w:eastAsia="zh-CN"/>
              </w:rPr>
              <w:t xml:space="preserve">品目一</w:t>
            </w:r>
            <w:r>
              <w:rPr>
                <w:rFonts w:hint="eastAsia" w:ascii="宋体" w:hAnsi="宋体" w:eastAsia="宋体" w:cs="宋体"/>
                <w:b w:val="0"/>
                <w:bCs w:val="0"/>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五官超短波电疗仪</w:t>
            </w:r>
            <w:r>
              <w:rPr>
                <w:rFonts w:hint="eastAsia" w:ascii="宋体" w:hAnsi="宋体" w:eastAsia="宋体" w:cs="宋体"/>
                <w:b/>
                <w:bCs/>
                <w:color w:val="000000"/>
                <w:sz w:val="24"/>
                <w:szCs w:val="24"/>
                <w:lang w:val="en-US" w:eastAsia="zh-CN"/>
              </w:rPr>
              <w:t xml:space="preserve">1台</w:t>
            </w:r>
            <w:r>
              <w:rPr>
                <w:rFonts w:hint="eastAsia" w:ascii="宋体" w:hAnsi="宋体" w:eastAsia="宋体" w:cs="宋体"/>
                <w:b w:val="0"/>
                <w:bCs w:val="0"/>
                <w:color w:val="000000"/>
                <w:sz w:val="24"/>
                <w:szCs w:val="24"/>
                <w:highlight w:val="none"/>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shd w:val="clear" w:color="auto" w:fill="ffffff"/>
                <w:lang w:val="en-US" w:eastAsia="zh-CN"/>
              </w:rPr>
            </w:pPr>
            <w:r>
              <w:rPr>
                <w:rFonts w:hint="eastAsia" w:ascii="宋体" w:hAnsi="宋体" w:eastAsia="宋体" w:cs="宋体"/>
                <w:b w:val="0"/>
                <w:bCs w:val="0"/>
                <w:color w:val="000000"/>
                <w:sz w:val="24"/>
                <w:szCs w:val="24"/>
                <w:shd w:val="clear" w:color="auto" w:fill="ffffff"/>
                <w:lang w:val="en-US" w:eastAsia="zh-CN"/>
              </w:rPr>
              <w:t xml:space="preserve">1</w:t>
            </w:r>
            <w:r>
              <w:rPr>
                <w:rFonts w:hint="eastAsia" w:ascii="宋体" w:hAnsi="宋体" w:eastAsia="宋体" w:cs="宋体"/>
                <w:b w:val="0"/>
                <w:bCs w:val="0"/>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rPr>
              <w:t xml:space="preserve">使用电源：AC220V±22V，50Hz±1Hz</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none"/>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2</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适用部位：人体五官部位。（提供医疗器械注册证）</w:t>
            </w:r>
            <w:r>
              <w:rPr>
                <w:rFonts w:hint="eastAsia" w:ascii="宋体" w:hAnsi="宋体" w:eastAsia="宋体" w:cs="宋体"/>
                <w:color w:val="000000"/>
                <w:sz w:val="24"/>
                <w:szCs w:val="24"/>
                <w:shd w:val="clear" w:color="auto" w:fill="ffffff"/>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工作频率：40.68MHz±1.5%。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输入功率：≤280VA。</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输出功率：≤50W，四档可调。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治疗时间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min</w:t>
            </w:r>
            <w:r>
              <w:rPr>
                <w:rFonts w:hint="eastAsia" w:ascii="宋体" w:hAnsi="宋体" w:eastAsia="宋体" w:cs="宋体"/>
                <w:color w:val="000000"/>
                <w:sz w:val="24"/>
                <w:szCs w:val="24"/>
                <w:lang w:eastAsia="zh-CN"/>
              </w:rPr>
              <w:t xml:space="preserve">，≥六挡可调。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输出模式：连续波输出。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调谐方式：旋钮式输出回路谐振频率调谐。</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智能化管理系统：自动预热治疗结束后有提示并断开输出。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10</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输出电极：≥</w:t>
            </w:r>
            <w:r>
              <w:rPr>
                <w:rFonts w:hint="eastAsia" w:ascii="宋体" w:hAnsi="宋体" w:eastAsia="宋体" w:cs="宋体"/>
                <w:color w:val="000000"/>
                <w:sz w:val="24"/>
                <w:szCs w:val="24"/>
                <w:lang w:val="en-US" w:eastAsia="zh-CN"/>
              </w:rPr>
              <w:t xml:space="preserve">3种五官部位专用圆形硅胶电极板，</w:t>
            </w:r>
            <w:r>
              <w:rPr>
                <w:rFonts w:hint="eastAsia" w:ascii="宋体" w:hAnsi="宋体" w:eastAsia="宋体" w:cs="宋体"/>
                <w:color w:val="000000"/>
                <w:sz w:val="24"/>
                <w:szCs w:val="24"/>
              </w:rPr>
              <w:t xml:space="preserve">大、中、小各一对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11</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电流指示：最大量程为≥300mA，精度≥2.5级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产品样式：落地推车式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13</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存放装置：人性设计配置有电极板存放装置，方便临床使用。</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w:t>
            </w:r>
            <w:r>
              <w:rPr>
                <w:rFonts w:hint="eastAsia" w:ascii="宋体" w:hAnsi="宋体" w:eastAsia="宋体" w:cs="宋体"/>
                <w:b w:val="0"/>
                <w:bCs w:val="0"/>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lang w:val="en-US" w:eastAsia="zh-CN"/>
              </w:rPr>
              <w:t xml:space="preserve">配备木质治疗床。</w:t>
            </w:r>
            <w:r>
              <w:rPr>
                <w:rFonts w:hint="eastAsia" w:ascii="宋体" w:hAnsi="宋体" w:eastAsia="宋体" w:cs="宋体"/>
                <w:b w:val="0"/>
                <w:bCs w:val="0"/>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品目二</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脑电治疗仪1台</w:t>
            </w:r>
            <w:r>
              <w:rPr>
                <w:rFonts w:hint="eastAsia" w:ascii="宋体" w:hAnsi="宋体" w:eastAsia="宋体" w:cs="宋体"/>
                <w:b/>
                <w:bCs/>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主要构成：由一台主机、磁治疗帽、治疗主电极组成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结构形式：不可分拆的柜机推车式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显示方式：液晶屏幕显示界面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按键方式：一键飞梭的操作方式，所有功能的调节仅需通过对一个键施以旋转及按压动作即可全部完成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治疗功能要求：同时具备交变电磁场治疗帽、仿真生物电刺激小脑顶核两种功能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输出路（线）数：≥2路磁疗；≥2路仿生电刺激小脑顶核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定时功能：可在1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99min范围内设定所需时间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shd w:val="clear" w:color="auto" w:fill="ffffff"/>
                <w:lang w:val="en-US" w:eastAsia="zh-CN"/>
              </w:rPr>
            </w:pPr>
            <w:r>
              <w:rPr>
                <w:rFonts w:hint="eastAsia" w:ascii="宋体" w:hAnsi="宋体" w:eastAsia="宋体" w:cs="宋体"/>
                <w:b w:val="0"/>
                <w:bCs w:val="0"/>
                <w:color w:val="000000"/>
                <w:sz w:val="24"/>
                <w:szCs w:val="24"/>
              </w:rPr>
              <w:t xml:space="preserve">磁疗部分</w:t>
            </w:r>
            <w:r>
              <w:rPr>
                <w:rFonts w:hint="eastAsia" w:ascii="宋体" w:hAnsi="宋体" w:eastAsia="宋体" w:cs="宋体"/>
                <w:b w:val="0"/>
                <w:bCs w:val="0"/>
                <w:color w:val="000000"/>
                <w:sz w:val="24"/>
                <w:szCs w:val="24"/>
                <w:lang w:val="en-US" w:eastAsia="zh-CN"/>
              </w:rPr>
              <w:t xml:space="preserve">与电疗部分既可同时使用，也可单独使用。</w:t>
            </w:r>
            <w:r>
              <w:rPr>
                <w:rFonts w:hint="eastAsia" w:ascii="宋体" w:hAnsi="宋体" w:eastAsia="宋体" w:cs="宋体"/>
                <w:b w:val="0"/>
                <w:bCs w:val="0"/>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治疗强度</w:t>
            </w:r>
            <w:r>
              <w:rPr>
                <w:rFonts w:hint="eastAsia" w:ascii="宋体" w:hAnsi="宋体" w:eastAsia="宋体" w:cs="宋体"/>
                <w:color w:val="000000"/>
                <w:sz w:val="24"/>
                <w:szCs w:val="24"/>
                <w:lang w:val="en-US" w:eastAsia="zh-CN"/>
              </w:rPr>
              <w:t xml:space="preserve">两档可调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微振功能：≥四档可调，振频：0-10Hz；振幅：0-30V</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电疗部分</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主电极：采用数字合成技术，产生仿生物电治疗电流，恒流输出特性，分≥4种模式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输出开路的最大电压幅度峰值：≤50V</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最大输出电流幅度：0-30mA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分≥25档可调，误差±20%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磁治疗帽</w:t>
            </w:r>
            <w:r>
              <w:rPr>
                <w:rFonts w:hint="eastAsia" w:ascii="宋体" w:hAnsi="宋体" w:eastAsia="宋体" w:cs="宋体"/>
                <w:color w:val="000000"/>
                <w:sz w:val="24"/>
                <w:szCs w:val="24"/>
                <w:lang w:val="en-US" w:eastAsia="zh-CN"/>
              </w:rPr>
              <w:t xml:space="preserve">治疗头数目≥7个。</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配备电极片500对。</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配备OT桌、几何图形插板一个。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品目三</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吞咽神经和肌肉电刺激仪1台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便携式主机，≥10英寸触摸显示屏。</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应具备外置电流调节旋钮。</w:t>
            </w:r>
            <w:r>
              <w:rPr>
                <w:rFonts w:hint="eastAsia" w:ascii="宋体" w:hAnsi="宋体" w:eastAsia="宋体" w:cs="宋体"/>
                <w:color w:val="000000"/>
                <w:sz w:val="24"/>
                <w:szCs w:val="24"/>
                <w:lang w:val="en-US" w:eastAsia="zh-CN"/>
              </w:rPr>
            </w:r>
            <w:r/>
          </w:p>
        </w:tc>
      </w:tr>
      <w:tr>
        <w:trPr>
          <w:trHeight w:val="534"/>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独立≥3通道设备，每通道可独立设置治疗参数。≥2个通道同时具备电刺激/肌电采集功能。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具备电刺激/肌电采集功能。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测量范围：10μV～1000μV。</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6</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频率：2Hz～100Hz，可调。</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7</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rPr>
              <w:t xml:space="preserve">脉冲宽度：50μs～450μs，可调。</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val="0"/>
                <w:bCs w:val="0"/>
                <w:color w:val="000000"/>
                <w:sz w:val="24"/>
                <w:szCs w:val="24"/>
                <w:shd w:val="clear" w:color="auto" w:fill="ffffff"/>
                <w:lang w:val="en-US" w:eastAsia="zh-CN"/>
              </w:rPr>
              <w:t xml:space="preserve">8</w:t>
            </w:r>
            <w:r>
              <w:rPr>
                <w:rFonts w:hint="eastAsia" w:ascii="宋体" w:hAnsi="宋体" w:eastAsia="宋体" w:cs="宋体"/>
                <w:b/>
                <w:bCs/>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刺激时间：1s～20s，可调，休息时间：0～20s可调。</w:t>
            </w:r>
            <w:r>
              <w:rPr>
                <w:rFonts w:hint="eastAsia" w:ascii="宋体" w:hAnsi="宋体" w:eastAsia="宋体" w:cs="宋体"/>
                <w:b w:val="0"/>
                <w:bCs w:val="0"/>
                <w:color w:val="000000"/>
                <w:sz w:val="24"/>
                <w:szCs w:val="24"/>
                <w:highlight w:val="none"/>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rPr>
              <w:t xml:space="preserve">波升、波降时间：0s～10s可调。</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val="0"/>
                <w:bCs w:val="0"/>
                <w:color w:val="000000"/>
                <w:sz w:val="24"/>
                <w:szCs w:val="24"/>
                <w:shd w:val="clear" w:color="auto" w:fill="ffffff"/>
                <w:lang w:val="en-US" w:eastAsia="zh-CN"/>
              </w:rPr>
              <w:t xml:space="preserve">10</w:t>
            </w:r>
            <w:r>
              <w:rPr>
                <w:rFonts w:hint="eastAsia" w:ascii="宋体" w:hAnsi="宋体" w:eastAsia="宋体" w:cs="宋体"/>
                <w:b/>
                <w:bCs/>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治疗时间：5min～40min，步进≤5min。</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11</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输出强度：1mA～100mA可调。</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12</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可进行口面部不同部位及治疗面积的电刺激，且可更换多种电极头。</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13</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可按治疗需求控制电流输出的持续时间，提供多种电刺激模式。</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工作模式至少应包括≥8种。</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生物反馈训练：≥2种训练模式。</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软件控制程序具有病历管理功能。</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支持交流电供电与内部电源供电两种供电方式。</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b w:val="0"/>
                <w:bCs w:val="0"/>
                <w:color w:val="000000"/>
                <w:sz w:val="24"/>
                <w:szCs w:val="24"/>
                <w:lang w:val="en-US" w:eastAsia="zh-CN"/>
              </w:rPr>
              <w:t xml:space="preserve">设备使用年限≥8年。</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b w:val="0"/>
                <w:bCs w:val="0"/>
                <w:color w:val="000000"/>
                <w:sz w:val="24"/>
                <w:szCs w:val="24"/>
                <w:lang w:val="en-US" w:eastAsia="zh-CN"/>
              </w:rPr>
              <w:t xml:space="preserve">配备电极片500对。</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品目四</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脉冲磁治疗仪4台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适用于骨质疏松症引起疼痛的辅助治疗，辅助骨密度的改善，股骨粗隆间骨折、骨质疏松性脊柱骨折、胸腰椎骨质疏松性骨折、骨质疏松性椎体压缩性骨折的辅助治疗。</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额定输入功率：≤250VA。</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输出频率：1～100Hz连续可调。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磁场强度：≥10档可调。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治疗垫加热功能：≥5档可调。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治疗时间：1</w:t>
            </w:r>
            <w:r>
              <w:rPr>
                <w:rFonts w:hint="eastAsia" w:ascii="宋体" w:hAnsi="宋体" w:eastAsia="宋体" w:cs="宋体"/>
                <w:color w:val="000000"/>
                <w:sz w:val="24"/>
                <w:szCs w:val="24"/>
                <w:lang w:val="en-US" w:eastAsia="zh-CN"/>
              </w:rPr>
              <w:t xml:space="preserve">～99min可调。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治疗模式：</w:t>
            </w:r>
            <w:r>
              <w:rPr>
                <w:rFonts w:hint="eastAsia" w:ascii="宋体" w:hAnsi="宋体" w:eastAsia="宋体" w:cs="宋体"/>
                <w:color w:val="000000"/>
                <w:sz w:val="24"/>
                <w:szCs w:val="24"/>
                <w:highlight w:val="none"/>
                <w:lang w:val="en-US" w:eastAsia="zh-CN"/>
              </w:rPr>
              <w:t xml:space="preserve">≥5种。</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治疗器电磁体≥6块。</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治疗床具有电动升降功能，头部角度可调节。</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脊椎部位治疗器尺寸：≥690*180mm。</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应具有双重温度保护功能。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治疗床负荷：≥150kg。</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治疗床头部可调节角度：0~30°。</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品目五</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超声波治疗仪3台（超声波治疗仪1台+可吸附式2台）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超声波治疗仪1台。</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输入功率：≤200VA。</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输出通道：双通道输出，可独立调节。</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显示方式：≥5英寸液晶屏。</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声工作频率：输出1通道1MHz，输出2通道3MHz，允差±10%。</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输出模式：≥四种输出模式。</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最大有效声强：≤3W/cm²，≥10档可调。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定时：1～30min，连续可调。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输出1通道额定输出功率≥6W，输出2通道额定输出功率≥3W。</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波束不均匀系数RBN:≤8.0。</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输出1通道有效辐射面积：≥4cm²，输出2通道有效辐射面积：≥2cm²。</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波束类型：准直型。</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具有超温保护功能。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自定义治疗处方数量≥10个。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具有治疗头脱落检测功能。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配备耦合剂1箱。</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可吸附式2台</w:t>
            </w:r>
            <w:r>
              <w:rPr>
                <w:rFonts w:hint="eastAsia" w:ascii="宋体" w:hAnsi="宋体" w:eastAsia="宋体" w:cs="宋体"/>
                <w:b w:val="0"/>
                <w:bCs w:val="0"/>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输入功率：≤90VA。</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标配双通道，彩色触摸屏+旋钮操作。</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标配≥1个吸附超声治疗头，1个手持式治疗头。</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有效声强：≤1.2W/cm</w:t>
            </w:r>
            <w:r>
              <w:rPr>
                <w:rFonts w:hint="eastAsia" w:ascii="宋体" w:hAnsi="宋体" w:eastAsia="宋体" w:cs="宋体"/>
                <w:color w:val="000000"/>
                <w:sz w:val="24"/>
                <w:szCs w:val="24"/>
                <w:vertAlign w:val="superscript"/>
                <w:lang w:val="en-US" w:eastAsia="zh-CN"/>
              </w:rPr>
              <w:t xml:space="preserve">2  </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numPr>
                <w:ilvl w:val="0"/>
                <w:numId w:val="0"/>
              </w:numPr>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波束最大声强：≤6W/cm</w:t>
            </w:r>
            <w:r>
              <w:rPr>
                <w:rFonts w:hint="eastAsia" w:ascii="宋体" w:hAnsi="宋体" w:eastAsia="宋体" w:cs="宋体"/>
                <w:color w:val="000000"/>
                <w:sz w:val="24"/>
                <w:szCs w:val="24"/>
                <w:vertAlign w:val="superscript"/>
                <w:lang w:val="en-US" w:eastAsia="zh-CN"/>
              </w:rPr>
              <w:t xml:space="preserve">2   </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两种工作频率：1MHz或3MHz。</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波形类型：连续波或脉冲波。</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波束类型：准直型。</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脉冲持续时间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0ms～</w:t>
            </w:r>
            <w:r>
              <w:rPr>
                <w:rFonts w:hint="eastAsia" w:ascii="宋体" w:hAnsi="宋体" w:eastAsia="宋体" w:cs="宋体"/>
                <w:color w:val="000000"/>
                <w:sz w:val="24"/>
                <w:szCs w:val="24"/>
                <w:lang w:val="en-US" w:eastAsia="zh-CN"/>
              </w:rPr>
              <w:t xml:space="preserve">60</w:t>
            </w:r>
            <w:r>
              <w:rPr>
                <w:rFonts w:hint="eastAsia" w:ascii="宋体" w:hAnsi="宋体" w:eastAsia="宋体" w:cs="宋体"/>
                <w:color w:val="000000"/>
                <w:sz w:val="24"/>
                <w:szCs w:val="24"/>
              </w:rPr>
              <w:t xml:space="preserve">ms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时间最大输出功率与输出功率的比值（RTPA）：1～10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治疗时间：0min～30min，步长：≤1min。</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吸附超声模块的负压吸引压力调节范围：0mbar～500mbar，步长≤10mbar。</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具有手动操作功能：可设置通道、超声频率、治疗模式、强度单位、占空比、脉冲重复频率、吸附压力等多项参数。</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2.14</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总览界面：可查看各通道信息，治疗头是否在位，通道运行状态。</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2.15</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超温保护功能：当超声治疗头温度超过≥41℃时，设备停止输出，界面弹框提醒。</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品目六</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神经系统康复评估工作站（神经肌肉刺激治疗仪）1套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电刺激通道≥4个，多功能通道≥</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个，外部数字通道≥1个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电流类型≥3种，含单相脉冲电流、正双相脉冲电流、反双相脉冲电流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单相脉冲电流：0-50mA任意调整，调节精度≤0.1mA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正双相脉冲电流、反双相脉冲电流刺激</w:t>
            </w:r>
            <w:r>
              <w:rPr>
                <w:rFonts w:hint="eastAsia" w:ascii="宋体" w:hAnsi="宋体" w:eastAsia="宋体" w:cs="宋体"/>
                <w:color w:val="000000"/>
                <w:sz w:val="24"/>
                <w:szCs w:val="24"/>
                <w:lang w:eastAsia="zh-CN"/>
              </w:rPr>
              <w:t xml:space="preserve">电流</w:t>
            </w:r>
            <w:r>
              <w:rPr>
                <w:rFonts w:hint="eastAsia" w:ascii="宋体" w:hAnsi="宋体" w:eastAsia="宋体" w:cs="宋体"/>
                <w:color w:val="000000"/>
                <w:sz w:val="24"/>
                <w:szCs w:val="24"/>
              </w:rPr>
              <w:t xml:space="preserve">应在：0-50mA任意调整，</w:t>
            </w:r>
            <w:r>
              <w:rPr>
                <w:rFonts w:hint="eastAsia" w:ascii="宋体" w:hAnsi="宋体" w:eastAsia="宋体" w:cs="宋体"/>
                <w:color w:val="000000"/>
                <w:sz w:val="24"/>
                <w:szCs w:val="24"/>
                <w:lang w:eastAsia="zh-CN"/>
              </w:rPr>
              <w:t xml:space="preserve">调节幅度</w:t>
            </w:r>
            <w:r>
              <w:rPr>
                <w:rFonts w:hint="eastAsia" w:ascii="宋体" w:hAnsi="宋体" w:eastAsia="宋体" w:cs="宋体"/>
                <w:color w:val="000000"/>
                <w:sz w:val="24"/>
                <w:szCs w:val="24"/>
              </w:rPr>
              <w:t xml:space="preserve">≤0.5mA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压力传感器量程：0~</w:t>
            </w:r>
            <w:r>
              <w:rPr>
                <w:rFonts w:hint="eastAsia" w:ascii="宋体" w:hAnsi="宋体" w:eastAsia="宋体" w:cs="宋体"/>
                <w:color w:val="000000"/>
                <w:sz w:val="24"/>
                <w:szCs w:val="24"/>
                <w:lang w:val="fr-FR"/>
              </w:rPr>
              <w:t xml:space="preserve">10</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cmH</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O，压力分辨率：≤0.1cmH</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O</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电流输出延迟时间0-120s，上升时间0-10s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平台时间0-30s，下降时间0-10s，休息时间0-30s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897"/>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满足盆底压力及肌电评估指标要求：I类肌纤维肌力、I类肌纤维疲劳度、</w:t>
            </w:r>
            <w:r>
              <w:rPr>
                <w:rFonts w:hint="eastAsia" w:ascii="宋体" w:hAnsi="宋体" w:eastAsia="宋体" w:cs="宋体"/>
                <w:color w:val="000000"/>
                <w:sz w:val="24"/>
                <w:szCs w:val="24"/>
                <w:lang w:eastAsia="zh-CN"/>
              </w:rPr>
              <w:t xml:space="preserve">Ⅱ类</w:t>
            </w:r>
            <w:r>
              <w:rPr>
                <w:rFonts w:hint="eastAsia" w:ascii="宋体" w:hAnsi="宋体" w:eastAsia="宋体" w:cs="宋体"/>
                <w:color w:val="000000"/>
                <w:sz w:val="24"/>
                <w:szCs w:val="24"/>
              </w:rPr>
              <w:t xml:space="preserve">肌纤维肌力、</w:t>
            </w:r>
            <w:r>
              <w:rPr>
                <w:rFonts w:hint="eastAsia" w:ascii="宋体" w:hAnsi="宋体" w:eastAsia="宋体" w:cs="宋体"/>
                <w:color w:val="000000"/>
                <w:sz w:val="24"/>
                <w:szCs w:val="24"/>
                <w:lang w:eastAsia="zh-CN"/>
              </w:rPr>
              <w:t xml:space="preserve">Ⅱ类</w:t>
            </w:r>
            <w:r>
              <w:rPr>
                <w:rFonts w:hint="eastAsia" w:ascii="宋体" w:hAnsi="宋体" w:eastAsia="宋体" w:cs="宋体"/>
                <w:color w:val="000000"/>
                <w:sz w:val="24"/>
                <w:szCs w:val="24"/>
              </w:rPr>
              <w:t xml:space="preserve">肌纤维疲劳度、肌电位、阴道最大收缩压力值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82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jc w:val="both"/>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具有反馈全过程的记录与浏览，可分段查看评估、治疗每个阶段的记录，包括其反馈曲线、反馈采集的平均值及肌力的测量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具有≥8种治疗模式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fr-FR"/>
              </w:rPr>
              <w:t xml:space="preserve">可</w:t>
            </w:r>
            <w:r>
              <w:rPr>
                <w:rFonts w:hint="eastAsia" w:ascii="宋体" w:hAnsi="宋体" w:eastAsia="宋体" w:cs="宋体"/>
                <w:b w:val="0"/>
                <w:bCs w:val="0"/>
                <w:color w:val="000000"/>
                <w:sz w:val="24"/>
                <w:szCs w:val="24"/>
                <w:lang w:val="fr-FR" w:eastAsia="zh-CN"/>
              </w:rPr>
              <w:t xml:space="preserve">个性化</w:t>
            </w:r>
            <w:r>
              <w:rPr>
                <w:rFonts w:hint="eastAsia" w:ascii="宋体" w:hAnsi="宋体" w:eastAsia="宋体" w:cs="宋体"/>
                <w:b w:val="0"/>
                <w:bCs w:val="0"/>
                <w:color w:val="000000"/>
                <w:sz w:val="24"/>
                <w:szCs w:val="24"/>
                <w:lang w:val="fr-FR"/>
              </w:rPr>
              <w:t xml:space="preserve">修</w:t>
            </w:r>
            <w:r>
              <w:rPr>
                <w:rFonts w:hint="eastAsia" w:ascii="宋体" w:hAnsi="宋体" w:eastAsia="宋体" w:cs="宋体"/>
                <w:b w:val="0"/>
                <w:bCs w:val="0"/>
                <w:color w:val="000000"/>
                <w:sz w:val="24"/>
                <w:szCs w:val="24"/>
              </w:rPr>
              <w:t xml:space="preserve">改≥</w:t>
            </w:r>
            <w:r>
              <w:rPr>
                <w:rFonts w:hint="eastAsia" w:ascii="宋体" w:hAnsi="宋体" w:eastAsia="宋体" w:cs="宋体"/>
                <w:b w:val="0"/>
                <w:bCs w:val="0"/>
                <w:color w:val="000000"/>
                <w:sz w:val="24"/>
                <w:szCs w:val="24"/>
                <w:lang w:val="en-US" w:eastAsia="zh-CN"/>
              </w:rPr>
              <w:t xml:space="preserve">14种</w:t>
            </w:r>
            <w:r>
              <w:rPr>
                <w:rFonts w:hint="eastAsia" w:ascii="宋体" w:hAnsi="宋体" w:eastAsia="宋体" w:cs="宋体"/>
                <w:b w:val="0"/>
                <w:bCs w:val="0"/>
                <w:color w:val="000000"/>
                <w:sz w:val="24"/>
                <w:szCs w:val="24"/>
                <w:lang w:val="fr-FR"/>
              </w:rPr>
              <w:t xml:space="preserve">治疗参数，包括：电刺激的电流类型、强度、频率、脉宽、波形，肌电位最小值与最大值、自我训练波形，治疗时间、休息时间、电刺激上升时间、下降时间、休息时间、阶段工作时间等</w:t>
            </w:r>
            <w:r>
              <w:rPr>
                <w:rFonts w:hint="eastAsia" w:ascii="宋体" w:hAnsi="宋体" w:eastAsia="宋体" w:cs="宋体"/>
                <w:b w:val="0"/>
                <w:bCs w:val="0"/>
                <w:color w:val="000000"/>
                <w:sz w:val="24"/>
                <w:szCs w:val="24"/>
                <w:lang w:val="fr-FR"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个性化反馈采集与训练：治疗过程中，将患者实时收缩曲线绘制成反馈采集参考图，并根据此参考图进行收缩反馈训练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预置治疗方案适应症包括：盆底肌肉损伤造成的排尿异常、排便异常、盆腔脏器脱垂、阴道松弛或痉挛、性功能障碍；妇女常见病及疑难病；产后缺乳、乳胀及产后子宫复旧不良、腹直肌分离、各类型疼痛等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预置治疗方案数达≥2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0个以上，</w:t>
            </w:r>
            <w:r>
              <w:rPr>
                <w:rFonts w:hint="eastAsia" w:ascii="宋体" w:hAnsi="宋体" w:eastAsia="宋体" w:cs="宋体"/>
                <w:color w:val="000000"/>
                <w:sz w:val="24"/>
                <w:szCs w:val="24"/>
              </w:rPr>
              <w:t xml:space="preserve">并可以编制适合病人具体情况的治疗方案。方案可提供禁忌症、适应症、电极位置示意图等信息，可上传个性化解剖图片并修改电极位置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具有场景反馈模式：医生可根据空白的反馈采集，指导患者在不同的生活场景下进行盆底肌收缩训练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具备双刺激方案组合功能，可自由组合两个不同适应症的治疗方案进行治疗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配备盆底预约平台，支持患者微信扫码预约治疗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具有可视化POP-Q模块。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品目七</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平衡测试及训练系统1套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额定输入功率：≤50VA。</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活动平台绕球心摆动范围可控制，（摆动角度设置范围0°~±11°）。</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液压阻尼器阻力电动调节：≥5级，每个阻尼器可单独设定阻力，实现单向、单侧训练。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扶手杆调节高度：0～250mm，允差±5%。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测试平台最大承重：≥136kg。</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情景互动模式训练：稳定、承重转移、承重转移和稳定、双重任务≥四种训练类别，可进行单双侧、单双向、单双轴训练，训练后自动生成游戏训练报告及数据评估。</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评估报告：根据患者的稳定指数、标准差、区域占比等数据，生成整体的评估报告，支持打印功能。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测试方式：睁眼稳定范围测试、睁眼姿态稳定测试、闭眼姿态稳定测试。</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具有系统管理、患者管理、病历储存、备份恢复功能。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配置脚轮方便转移整机。</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配置安全防护腰围。</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配备体感训练平衡软垫（40*50cm）2个。</w:t>
            </w:r>
            <w:r>
              <w:rPr>
                <w:rFonts w:hint="eastAsia" w:ascii="宋体" w:hAnsi="宋体" w:eastAsia="宋体" w:cs="宋体"/>
                <w:color w:val="000000"/>
                <w:sz w:val="24"/>
                <w:szCs w:val="24"/>
                <w:highlight w:val="none"/>
                <w:lang w:val="en-US" w:eastAsia="zh-CN"/>
              </w:rPr>
            </w:r>
            <w:r/>
          </w:p>
        </w:tc>
      </w:tr>
      <w:tr>
        <w:trPr>
          <w:trHeight w:val="534"/>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配备体操棒与抛接球1套、手指阶梯和康复训练滚筒1个。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配备脚踝训练平衡球1。</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配备平衡杠1个。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品目八</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电动牵引床2张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牵引力、牵引时间、牵引模式、成角角度、旋转角度均由微电脑控制、液晶视窗显示、电机动力，充分实现智能化。</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在临床应用时，可纵向牵引、成角牵引、旋转牵引单独使用，亦可结合使用。</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牵引行程：0～200mm，允差±10mm。</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腰椎牵引力范围：0～990N，级差≤10N。</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牵引总时间：0～99min，级差1min，允差±30s。</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持续牵引时间：0～9min，级差1min，允差±30s。</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间歇牵引时间：0～9min，级差1min，允差±30s。</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成角动作范围：-10°～+30°，允差±2°。</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旋转角度范围：左右各25°，允差±2°。</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腰部热疗加热温度≤45℃，允差±3℃，超过≥45℃超温保护装置启动，避免烫伤患者。</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腰椎牵引具有≥8种牵引模式。</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牵引力自动补偿功能。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治疗方案：≥20种存储并读取。</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多种安全设计：最大牵引力≥990N、患者应急线控手柄开关、医务人员操作急退键。</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具有开机自检功能。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配备姿势矫正镜一个。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配备三角枕2个。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品目九</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多功能训练器（八件组合）1套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组件：肩关节旋转训练器、前臂旋转训练器、腕关节屈伸训练器、复式墙拉力器、肩梯、肋木、滑轮吊环训练器、滑轮吊环训练器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肩关节旋转训练器：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：≥70×30×100；高度调节范围0～64cm。是由滑动杆、阻尼件、连接旋转臂、可调节组件构成。滑动杆是提供器械主体上下移动的轨道是由金属管材制成。阻尼件是该器</w:t>
            </w:r>
            <w:r>
              <w:rPr>
                <w:rFonts w:hint="eastAsia" w:ascii="宋体" w:hAnsi="宋体" w:eastAsia="宋体" w:cs="宋体"/>
                <w:color w:val="000000"/>
                <w:sz w:val="24"/>
                <w:szCs w:val="24"/>
                <w:lang w:eastAsia="zh-CN"/>
              </w:rPr>
              <w:t xml:space="preserve">械的</w:t>
            </w:r>
            <w:r>
              <w:rPr>
                <w:rFonts w:hint="eastAsia" w:ascii="宋体" w:hAnsi="宋体" w:eastAsia="宋体" w:cs="宋体"/>
                <w:color w:val="000000"/>
                <w:sz w:val="24"/>
                <w:szCs w:val="24"/>
              </w:rPr>
              <w:t xml:space="preserve">核心部件，可调节阻尼。而可调节组件是实现主体器械上下移动和锁定组成部分，器械整体主要由金属构成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前臂旋转训练器：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：≥42×64×100；高度调节</w:t>
            </w:r>
            <w:r>
              <w:rPr>
                <w:rFonts w:hint="eastAsia" w:ascii="宋体" w:hAnsi="宋体" w:eastAsia="宋体" w:cs="宋体"/>
                <w:color w:val="000000"/>
                <w:sz w:val="24"/>
                <w:szCs w:val="24"/>
                <w:lang w:eastAsia="zh-CN"/>
              </w:rPr>
              <w:t xml:space="preserve">范围</w:t>
            </w:r>
            <w:r>
              <w:rPr>
                <w:rFonts w:hint="eastAsia" w:ascii="宋体" w:hAnsi="宋体" w:eastAsia="宋体" w:cs="宋体"/>
                <w:color w:val="000000"/>
                <w:sz w:val="24"/>
                <w:szCs w:val="24"/>
              </w:rPr>
              <w:t xml:space="preserve">0～50cm，托架前后调节范围40～68cm。是由滑动杆、阻尼件、连接旋转臂、可调节组件构成。滑动杆是提供器械主体上下移动的轨道是由金属管材制成。阻尼件是该器</w:t>
            </w:r>
            <w:r>
              <w:rPr>
                <w:rFonts w:hint="eastAsia" w:ascii="宋体" w:hAnsi="宋体" w:eastAsia="宋体" w:cs="宋体"/>
                <w:color w:val="000000"/>
                <w:sz w:val="24"/>
                <w:szCs w:val="24"/>
                <w:lang w:eastAsia="zh-CN"/>
              </w:rPr>
              <w:t xml:space="preserve">械的</w:t>
            </w:r>
            <w:r>
              <w:rPr>
                <w:rFonts w:hint="eastAsia" w:ascii="宋体" w:hAnsi="宋体" w:eastAsia="宋体" w:cs="宋体"/>
                <w:color w:val="000000"/>
                <w:sz w:val="24"/>
                <w:szCs w:val="24"/>
              </w:rPr>
              <w:t xml:space="preserve">核心部件，提供可调节阻尼，可调节组件是实现主体器械上下移动和锁定组成部分，器械整体主要由金属构成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腕关节屈伸训练器：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：≥53×20×100；结构型式：手柄、阻尼装置、阻尼调节手柄、平台、导向管、固定装置、平台升降手柄；材质：不锈钢圈、管，镀铬件、静电喷塑、木质手柄；平台升降调节范围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：0～50；最大阻力≥35kg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复式墙拉力器：</w:t>
            </w:r>
            <w:r>
              <w:rPr>
                <w:rFonts w:hint="eastAsia" w:ascii="宋体" w:hAnsi="宋体" w:eastAsia="宋体" w:cs="宋体"/>
                <w:color w:val="000000"/>
                <w:sz w:val="24"/>
                <w:szCs w:val="24"/>
              </w:rPr>
              <w:t xml:space="preserve">结构型式：固定支架、转向滑轮、绳索、导向管、手柄、滑轮、配重、插销、配重块、脚用拉力带；材质：静电喷塑架、钢管、尼龙绳，拉力器套数：≥2，行程范围cm：0～115，配重块质量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：≥2，配重块数量：≥5块，绳索额定载荷：≥720N，手柄额定载荷：≥480N，用途：进行四肢抗阻力运动，训练肌肉力量，也可进行关节活动度训练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肩梯：</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：≥10×17×127；结构型式：肩梯、固定支架、升降支架；材质：塑料、不锈钢；肩梯升降范围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：0～26；垂直方向额定载荷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：≥10；用途：通过手指沿着阶梯不断上移，逐渐提高肩关节的活动范围，减轻疼痛。适用于各类原因引起的肩关节活动障碍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肋木：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50×200；额定载荷：≥135kg；型钢，钢件表面喷塑；肋木杠直径≥3.2cm；肋木杠间距≥11cm；材质：静电喷塑钢架。用途：借助肋木杠进行上下肢体关节活动范围和肌力训练、坐站立训练、平衡训练及躯干的牵伸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滑轮吊环训练器：</w:t>
            </w:r>
            <w:r>
              <w:rPr>
                <w:rFonts w:hint="eastAsia" w:ascii="宋体" w:hAnsi="宋体" w:eastAsia="宋体" w:cs="宋体"/>
                <w:color w:val="000000"/>
                <w:sz w:val="24"/>
                <w:szCs w:val="24"/>
              </w:rPr>
              <w:t xml:space="preserve">用途：锻炼和提高上肢及肩关节肌力，用于肩关节活动范围训练、关节牵引、肌力训练。参考规格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：≥72×12×130，升降支架调节范围0～50cm，额定载荷≥15kg。整体框架为优质钢材表面静电喷涂，高度可调节。滑轮为万向轮。把手为优质塑料模具一次成型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滑轮吊环训练器：</w:t>
            </w:r>
            <w:r>
              <w:rPr>
                <w:rFonts w:hint="eastAsia" w:ascii="宋体" w:hAnsi="宋体" w:eastAsia="宋体" w:cs="宋体"/>
                <w:color w:val="000000"/>
                <w:sz w:val="24"/>
                <w:szCs w:val="24"/>
              </w:rPr>
              <w:t xml:space="preserve">用途：锻炼和提高上肢及肩关节肌力，用于肩关节活动范围训练、关节牵引、肌力训练；参考规格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：≥36×24×5cm，滑轮为万向轮，把手为优质塑料模具一次成型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配备弹力带、关节松动带和平衡垫。</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训练用阶梯（三向楼梯）1套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材质：不锈钢管扶手、密度板、地毯、静电喷塑架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结构型式： 扶手杠、固定管柱、阶梯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扶手杠调节范围（cm）：0-25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扶手杠侧向额定载荷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相邻台阶距离：≥10cm，深≥28cm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阶梯额定载荷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≥135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配备抽屉式训练用阶梯。</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品目十一</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PT凳20张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产品用途：康复师进行手法治疗时可移动的坐具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结构型式：主架、凳面；材质：座垫</w:t>
            </w:r>
            <w:r>
              <w:rPr>
                <w:rFonts w:hint="eastAsia" w:ascii="宋体" w:hAnsi="宋体" w:eastAsia="宋体" w:cs="宋体"/>
                <w:color w:val="000000"/>
                <w:sz w:val="24"/>
                <w:szCs w:val="24"/>
                <w:lang w:eastAsia="zh-CN"/>
              </w:rPr>
              <w:t xml:space="preserve">聚氨酯</w:t>
            </w:r>
            <w:r>
              <w:rPr>
                <w:rFonts w:hint="eastAsia" w:ascii="宋体" w:hAnsi="宋体" w:eastAsia="宋体" w:cs="宋体"/>
                <w:color w:val="000000"/>
                <w:sz w:val="24"/>
                <w:szCs w:val="24"/>
              </w:rPr>
              <w:t xml:space="preserve">一次发泡、铝钢结合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带液压油缸，360°旋转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额定承载：≥2000N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凳面高度可调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凳体底部设计有万向滑轮，可以自由移动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凳面可以360°旋转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品目十二</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PT床（电动）10张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结构型式：</w:t>
            </w:r>
            <w:r>
              <w:rPr>
                <w:rFonts w:hint="eastAsia" w:ascii="宋体" w:hAnsi="宋体" w:eastAsia="宋体" w:cs="宋体"/>
                <w:color w:val="000000"/>
                <w:sz w:val="24"/>
                <w:szCs w:val="24"/>
                <w:lang w:val="en-US" w:eastAsia="zh-CN"/>
              </w:rPr>
              <w:t xml:space="preserve">分段式，包含</w:t>
            </w:r>
            <w:r>
              <w:rPr>
                <w:rFonts w:hint="eastAsia" w:ascii="宋体" w:hAnsi="宋体" w:eastAsia="宋体" w:cs="宋体"/>
                <w:color w:val="000000"/>
                <w:sz w:val="24"/>
                <w:szCs w:val="24"/>
              </w:rPr>
              <w:t xml:space="preserve">床面、床架、床垫、电机、遥控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静电喷塑架，安全稳定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PU面料内置高回弹海绵床面2块，内部高回弹海绵厚≥35mm一次性成型，固定在床架上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承载≥4000N均布静载荷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医用慢速推杆电机≥2台，推力大，</w:t>
            </w:r>
            <w:r>
              <w:rPr>
                <w:rFonts w:hint="eastAsia" w:ascii="宋体" w:hAnsi="宋体" w:eastAsia="宋体" w:cs="宋体"/>
                <w:color w:val="000000"/>
                <w:sz w:val="24"/>
                <w:szCs w:val="24"/>
                <w:lang w:eastAsia="zh-CN"/>
              </w:rPr>
              <w:t xml:space="preserve">噪声</w:t>
            </w:r>
            <w:r>
              <w:rPr>
                <w:rFonts w:hint="eastAsia" w:ascii="宋体" w:hAnsi="宋体" w:eastAsia="宋体" w:cs="宋体"/>
                <w:color w:val="000000"/>
                <w:sz w:val="24"/>
                <w:szCs w:val="24"/>
              </w:rPr>
              <w:t xml:space="preserve">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电动推杆最大推力：≥8000N；最大拉力≥6000N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电动推杆自锁力（推）：≥8000N；自锁力（拉）：≥6000N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电动推杆行程：0～100mm；0～150mm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电动推杆防护等级：IP54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限位开关：内置；过载保护：有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控制方式：手柄点动控制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床面高度升降范围：5</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前床面翻转角度0°～85°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额定载荷：≤170kg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配有4个医用轮，且带有4个脚轮起落手柄，方便移动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配备紧急停止开关。</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床面尺寸：</w:t>
            </w:r>
            <w:r>
              <w:rPr>
                <w:rFonts w:hint="eastAsia" w:ascii="宋体" w:hAnsi="宋体" w:eastAsia="宋体" w:cs="宋体"/>
                <w:b w:val="0"/>
                <w:bCs w:val="0"/>
                <w:color w:val="000000"/>
                <w:sz w:val="24"/>
                <w:szCs w:val="24"/>
                <w:lang w:val="en-US" w:eastAsia="zh-CN"/>
              </w:rPr>
              <w:t xml:space="preserve">≥1900×1150mm；前床面尺寸：≥750×1150mm；后床面尺寸：≥1200×1150mm。</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配备角度尺一套。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具有</w:t>
            </w:r>
            <w:r>
              <w:rPr>
                <w:rFonts w:hint="eastAsia" w:ascii="宋体" w:hAnsi="宋体" w:eastAsia="宋体" w:cs="宋体"/>
                <w:color w:val="000000"/>
                <w:sz w:val="24"/>
                <w:szCs w:val="24"/>
              </w:rPr>
              <w:t xml:space="preserve">第二类医疗器械产品注册证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品目十三</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电动站立架3张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臀部垫和绑带额定承载质量kg：≥135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脚踏板额定承载质量kg：≥135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台面高度调节范围mm：112～1370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胸托架前后调节范围mm：≥80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背托架前后调节范围mm：≥150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结构形式：台面、绑带、膝部垫、支架、电机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配备四人站立架一个。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配备臀部垫、绑带一个。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品目十四</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短波治疗仪1台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工作频率：≥27.12MHz，允差±1.5%。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治疗时间：≥五档可调，各档允差±5%，预热时间≤120s。治疗结束后有声提示治疗结束。</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治疗模式：连续和脉冲。</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输出功率：≥五档可调，允差±20%。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脉冲模式</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脉冲调制频率：疏波≥MF70Hz，密波≥DF350Hz；允差±10%。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调制波形：方波。</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调制脉冲脉宽：疏波≤2.0ms，密波≤1.8ms，允差±20%。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调制度：100%。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输出线长度：≥1100mm，允差±10%。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指示灯条：指示输出强度。</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治疗结束后输出保护功能：有声音提示并断开输出。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具有手动调谐功能。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配备≥四个电子管。</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符合GB 9706.1-2020、GB 9706.203-2020的要求。</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品目十五</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生物反馈治疗仪2台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独立≥4通道设备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AD采样率：≥8192Hz</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AD采样位数：≥16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刺激强度：1mA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100mA可调，0.5mA步长连续可调，误差：1mA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5mA范围内±30%，6mA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100mA范围内±15%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刺激频率：0.5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Hz，1Hz以上1Hz步长连续可调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误差：±5%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脉冲宽度：10μs～1000μs，10μs步长连续可调，误差：10μs～50μs范围内±30%，60μs～1000μs范围内±10%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上升下降时间：0-</w:t>
            </w:r>
            <w:r>
              <w:rPr>
                <w:rFonts w:hint="eastAsia" w:ascii="宋体" w:hAnsi="宋体" w:eastAsia="宋体" w:cs="宋体"/>
                <w:color w:val="000000"/>
                <w:sz w:val="24"/>
                <w:szCs w:val="24"/>
                <w:highlight w:val="none"/>
                <w:lang w:val="en-US" w:eastAsia="zh-CN"/>
              </w:rPr>
              <w:t xml:space="preserve">20s</w:t>
            </w:r>
            <w:r>
              <w:rPr>
                <w:rFonts w:hint="eastAsia" w:ascii="宋体" w:hAnsi="宋体" w:eastAsia="宋体" w:cs="宋体"/>
                <w:color w:val="000000"/>
                <w:sz w:val="24"/>
                <w:szCs w:val="24"/>
                <w:highlight w:val="none"/>
              </w:rPr>
              <w:t xml:space="preserve">，刺激时间1s～20s 可调，休息时间0s～20s 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内置放大器带宽：20Hz～5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0Hz(-3dB)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内置放大器测量范围：1-3000μV（r.m.s）。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内置放大器最高分辨率：≤0.2μV(r.m.s）。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刺激波形：双相平衡波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物理调节：外置电流调节旋钮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内置嵌入式软件：具有功能康复、基础康复和评估反馈三大工作模块，且可根据患者需求编辑个性化治疗方案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内置多种治疗方案，包括：垂腕、垂足、吞咽、肩关节半脱位、促醒、镇痛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儿童</w:t>
            </w:r>
            <w:r>
              <w:rPr>
                <w:rFonts w:hint="eastAsia" w:ascii="宋体" w:hAnsi="宋体" w:eastAsia="宋体" w:cs="宋体"/>
                <w:color w:val="000000"/>
                <w:sz w:val="24"/>
                <w:szCs w:val="24"/>
              </w:rPr>
              <w:t xml:space="preserve">等方案，可自定义治疗方案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具有神经肌肉电刺激功能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具有肌电触发电刺激功能；强化正反馈，根据肌电信号实时改变电刺激强度，肌电值越大，电流强度也越大；强调患者的主观运动，</w:t>
            </w:r>
            <w:r>
              <w:rPr>
                <w:rFonts w:hint="eastAsia" w:ascii="宋体" w:hAnsi="宋体" w:eastAsia="宋体" w:cs="宋体"/>
                <w:color w:val="000000"/>
                <w:sz w:val="24"/>
                <w:szCs w:val="24"/>
                <w:lang w:val="en-US" w:eastAsia="zh-CN"/>
              </w:rPr>
              <w:t xml:space="preserve">可同时使用四通道。</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神经肌肉电刺激方案可实现多人，多通道，多方案，随时开始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具有时序模式和独立刺激模式可选，提供全面的康复治疗方案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提供常规刺激、载波调制和变频电刺激三种刺激形式选择，方案通道可自定义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具备表面肌电评估功能，实时评估患者肌力情况，可出具评估报告，评估报告可存储及导出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配备电极片500片。</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品目十六</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超短波治疗仪1台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使用电源：AC220V±22V，50Hz±1Hz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numPr>
                <w:ilvl w:val="0"/>
                <w:numId w:val="0"/>
              </w:numPr>
              <w:jc w:val="left"/>
              <w:keepLines w:val="0"/>
              <w:keepNext w:val="0"/>
              <w:pageBreakBefore w:val="0"/>
              <w:spacing w:before="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工作频率：40.68MHz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误差±1.5%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输入功率：≤1000VA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输出强度：≥四档</w:t>
            </w:r>
            <w:r>
              <w:rPr>
                <w:rFonts w:hint="eastAsia" w:ascii="宋体" w:hAnsi="宋体" w:eastAsia="宋体" w:cs="宋体"/>
                <w:color w:val="000000"/>
                <w:sz w:val="24"/>
                <w:szCs w:val="24"/>
                <w:lang w:eastAsia="zh-CN"/>
              </w:rPr>
              <w:t xml:space="preserve">连续可调。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输出指示：液晶屏实时显示</w:t>
            </w:r>
            <w:r>
              <w:rPr>
                <w:rFonts w:hint="eastAsia" w:ascii="宋体" w:hAnsi="宋体" w:eastAsia="宋体" w:cs="宋体"/>
                <w:color w:val="000000"/>
                <w:sz w:val="24"/>
                <w:szCs w:val="24"/>
                <w:lang w:val="zh-CN"/>
              </w:rPr>
              <w:t xml:space="preserve">预热状态、治疗状态、</w:t>
            </w:r>
            <w:r>
              <w:rPr>
                <w:rFonts w:hint="eastAsia" w:ascii="宋体" w:hAnsi="宋体" w:eastAsia="宋体" w:cs="宋体"/>
                <w:color w:val="000000"/>
                <w:sz w:val="24"/>
                <w:szCs w:val="24"/>
                <w:lang w:val="en-US" w:eastAsia="zh-CN"/>
              </w:rPr>
              <w:t xml:space="preserve">治疗时间、</w:t>
            </w:r>
            <w:r>
              <w:rPr>
                <w:rFonts w:hint="eastAsia" w:ascii="宋体" w:hAnsi="宋体" w:eastAsia="宋体" w:cs="宋体"/>
                <w:color w:val="000000"/>
                <w:sz w:val="24"/>
                <w:szCs w:val="24"/>
                <w:lang w:val="zh-CN"/>
              </w:rPr>
              <w:t xml:space="preserve">结束状态</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治疗时间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0～99min</w:t>
            </w:r>
            <w:r>
              <w:rPr>
                <w:rFonts w:hint="eastAsia" w:ascii="宋体" w:hAnsi="宋体" w:eastAsia="宋体" w:cs="宋体"/>
                <w:color w:val="000000"/>
                <w:sz w:val="24"/>
                <w:szCs w:val="24"/>
                <w:highlight w:val="none"/>
                <w:lang w:eastAsia="zh-CN"/>
              </w:rPr>
              <w:t xml:space="preserve">可调，</w:t>
            </w:r>
            <w:r>
              <w:rPr>
                <w:rFonts w:hint="eastAsia" w:ascii="宋体" w:hAnsi="宋体" w:eastAsia="宋体" w:cs="宋体"/>
                <w:color w:val="000000"/>
                <w:sz w:val="24"/>
                <w:szCs w:val="24"/>
                <w:highlight w:val="none"/>
                <w:lang w:val="en-US" w:eastAsia="zh-CN"/>
              </w:rPr>
              <w:t xml:space="preserve">液晶屏实时显示。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输出模式：≥</w:t>
            </w:r>
            <w:r>
              <w:rPr>
                <w:rFonts w:hint="eastAsia" w:ascii="宋体" w:hAnsi="宋体" w:eastAsia="宋体" w:cs="宋体"/>
                <w:color w:val="000000"/>
                <w:sz w:val="24"/>
                <w:szCs w:val="24"/>
                <w:lang w:val="en-US" w:eastAsia="zh-CN"/>
              </w:rPr>
              <w:t xml:space="preserve">3种模式，具有脉冲</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连续</w:t>
            </w:r>
            <w:r>
              <w:rPr>
                <w:rFonts w:hint="eastAsia" w:ascii="宋体" w:hAnsi="宋体" w:eastAsia="宋体" w:cs="宋体"/>
                <w:color w:val="000000"/>
                <w:sz w:val="24"/>
                <w:szCs w:val="24"/>
              </w:rPr>
              <w:t xml:space="preserve">、断续波</w:t>
            </w:r>
            <w:r>
              <w:rPr>
                <w:rFonts w:hint="eastAsia" w:ascii="宋体" w:hAnsi="宋体" w:eastAsia="宋体" w:cs="宋体"/>
                <w:color w:val="000000"/>
                <w:sz w:val="24"/>
                <w:szCs w:val="24"/>
                <w:lang w:val="en-US" w:eastAsia="zh-CN"/>
              </w:rPr>
              <w:t xml:space="preserve">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连续波模式：持续输出，“频率”、“脉宽”参数显示。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断续</w:t>
            </w:r>
            <w:r>
              <w:rPr>
                <w:rFonts w:hint="eastAsia" w:ascii="宋体" w:hAnsi="宋体" w:eastAsia="宋体" w:cs="宋体"/>
                <w:color w:val="000000"/>
                <w:sz w:val="24"/>
                <w:szCs w:val="24"/>
                <w:lang w:val="en-US" w:eastAsia="zh-CN"/>
              </w:rPr>
              <w:t xml:space="preserve">波</w:t>
            </w:r>
            <w:r>
              <w:rPr>
                <w:rFonts w:hint="eastAsia" w:ascii="宋体" w:hAnsi="宋体" w:eastAsia="宋体" w:cs="宋体"/>
                <w:color w:val="000000"/>
                <w:sz w:val="24"/>
                <w:szCs w:val="24"/>
              </w:rPr>
              <w:t xml:space="preserve">输出：</w:t>
            </w:r>
            <w:r>
              <w:rPr>
                <w:rFonts w:hint="eastAsia" w:ascii="宋体" w:hAnsi="宋体" w:eastAsia="宋体" w:cs="宋体"/>
                <w:color w:val="000000"/>
                <w:sz w:val="24"/>
                <w:szCs w:val="24"/>
                <w:lang w:val="en-US" w:eastAsia="zh-CN"/>
              </w:rPr>
              <w:t xml:space="preserve">以≥50%占空比的脉冲方式输出，输出频率</w:t>
            </w:r>
            <w:r>
              <w:rPr>
                <w:rFonts w:hint="eastAsia" w:ascii="宋体" w:hAnsi="宋体" w:eastAsia="宋体" w:cs="宋体"/>
                <w:color w:val="000000"/>
                <w:sz w:val="24"/>
                <w:szCs w:val="24"/>
              </w:rPr>
              <w:t xml:space="preserve">10～200Hz，步进≤10Hz，误差±10%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脉冲</w:t>
            </w:r>
            <w:r>
              <w:rPr>
                <w:rFonts w:hint="eastAsia" w:ascii="宋体" w:hAnsi="宋体" w:eastAsia="宋体" w:cs="宋体"/>
                <w:color w:val="000000"/>
                <w:sz w:val="24"/>
                <w:szCs w:val="24"/>
                <w:lang w:val="en-US" w:eastAsia="zh-CN"/>
              </w:rPr>
              <w:t xml:space="preserve">波</w:t>
            </w:r>
            <w:r>
              <w:rPr>
                <w:rFonts w:hint="eastAsia" w:ascii="宋体" w:hAnsi="宋体" w:eastAsia="宋体" w:cs="宋体"/>
                <w:color w:val="000000"/>
                <w:sz w:val="24"/>
                <w:szCs w:val="24"/>
              </w:rPr>
              <w:t xml:space="preserve">输出：</w:t>
            </w:r>
            <w:r>
              <w:rPr>
                <w:rFonts w:hint="eastAsia" w:ascii="宋体" w:hAnsi="宋体" w:eastAsia="宋体" w:cs="宋体"/>
                <w:color w:val="000000"/>
                <w:sz w:val="24"/>
                <w:szCs w:val="24"/>
                <w:lang w:val="en-US" w:eastAsia="zh-CN"/>
              </w:rPr>
              <w:t xml:space="preserve">以设定的频率和设定的脉冲宽度输出，脉冲</w:t>
            </w:r>
            <w:r>
              <w:rPr>
                <w:rFonts w:hint="eastAsia" w:ascii="宋体" w:hAnsi="宋体" w:eastAsia="宋体" w:cs="宋体"/>
                <w:color w:val="000000"/>
                <w:sz w:val="24"/>
                <w:szCs w:val="24"/>
              </w:rPr>
              <w:t xml:space="preserve">宽度200～1000us，步进≤50us，误差±10%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显示</w:t>
            </w:r>
            <w:r>
              <w:rPr>
                <w:rFonts w:hint="eastAsia" w:ascii="宋体" w:hAnsi="宋体" w:eastAsia="宋体" w:cs="宋体"/>
                <w:color w:val="000000"/>
                <w:sz w:val="24"/>
                <w:szCs w:val="24"/>
                <w:lang w:val="en-US" w:eastAsia="zh-CN"/>
              </w:rPr>
              <w:t xml:space="preserve">装置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电容式高清彩色</w:t>
            </w:r>
            <w:r>
              <w:rPr>
                <w:rFonts w:hint="eastAsia" w:ascii="宋体" w:hAnsi="宋体" w:eastAsia="宋体" w:cs="宋体"/>
                <w:color w:val="000000"/>
                <w:sz w:val="24"/>
                <w:szCs w:val="24"/>
              </w:rPr>
              <w:t xml:space="preserve">液晶屏</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仪器治疗参数和设备状态全程实时显示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智能一键：一键开机预热、治疗模式、输出强度，启用、暂停、停止等快捷键。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输出电极：≥</w:t>
            </w:r>
            <w:r>
              <w:rPr>
                <w:rFonts w:hint="eastAsia" w:ascii="宋体" w:hAnsi="宋体" w:eastAsia="宋体" w:cs="宋体"/>
                <w:color w:val="000000"/>
                <w:sz w:val="24"/>
                <w:szCs w:val="24"/>
                <w:lang w:val="en-US" w:eastAsia="zh-CN"/>
              </w:rPr>
              <w:t xml:space="preserve">3种规格电极板，</w:t>
            </w:r>
            <w:r>
              <w:rPr>
                <w:rFonts w:hint="eastAsia" w:ascii="宋体" w:hAnsi="宋体" w:eastAsia="宋体" w:cs="宋体"/>
                <w:color w:val="000000"/>
                <w:sz w:val="24"/>
                <w:szCs w:val="24"/>
              </w:rPr>
              <w:t xml:space="preserve">大、中、小各一对，适合不同治疗部位使用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调谐方式：旋钮式输出回路谐振频率调谐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配备助行器1个。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配备游标卡尺1个。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品目十七</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干扰电治疗仪1台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产品适用范围：该产品对肩周炎、风湿性关节炎、类风湿关节炎、盆腔炎、附件炎、慢性咽喉炎、颈椎病、腰椎间盘突出症、退行性骨性关节病、捩伤、挫伤、肌肉劳损、乳腺增生、坐骨神经痛、周围神经伤病、关节挛缩、慢性前列腺炎等具有镇痛、改善局部血液循环，促进炎症消散作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载波波形为正弦波，载波频率：≥1kHz～12kHz，其允差±5%。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最大输出电流：应为0-75mA（r.m.s），允差±10%。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调制频率范围：治疗仪调制频率范围为0-150Hz，允差±10%。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调制波形：正弦波、三角波以及方波。</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调幅度：治疗仪的调幅度0%—100%范围内，允差±5%。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差频频率范围：干扰电差频频率应在0-200Hz范围，允差±10%或者±1Hz。</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动态节律：干扰电动态节律为4s～10s，允差±10%。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最大吸引压力：设备吸引压力调整范围为60-180mmHg，允差±10%或±10mmHg。</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电极板预热装置最高加热温度≤45°C。</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水瓶保温装置最高温度≤60°C。</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≥2通道独立输出，可同时治疗≥2个患者，可最多输出≥八个电极。</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吸附电极</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采用双层水汽分离设计的轻薄贴身吸附电极。</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配备≥9种吸附电极供选择，小号电极用于关节等小部位治疗，大号电极碗用于腰背部等大部位治疗，多极复合电极作用于小部位便捷使用。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每个通道输出线采用4合1线吸附电极连接线。</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治疗模式疗法</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≥10种治疗模式（每种模式参数可单独设置）。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每个通道吸引压在60mmHg~180mmHg范围内可调，结合2种吸引模式（间歇、连续），间歇模式使吸附电极具有按摩作用。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每个通道的治疗模式、强度、吸引压可独立设置，互不影响。</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便捷性可用性</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配备滑动电极加热板（可调节温度电极保温功能）。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配备专用水瓶和带保温功能的水瓶架。</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配备电极吸附海绵4副。</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配备清洁功能。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配备收纳支架快速收纳吸附连接线和大容量配件箱，同时内置单手可提储水盒方便使用。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采用纯硬件的FPGA波形发生器，可产生任意组合波形，有效避免波形动态变化时，两组电流的延迟时差。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智能交互系统</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搭载≥12英寸液晶触摸高清显示屏，易用简洁的界面和丝滑的操作设计。</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配置简洁的基础操作面板，使用更简洁，输出强度旋转调节。</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品目十八</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空气波压力治疗仪2台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55"/>
              <w:spacing w:before="78"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pacing w:val="15"/>
                <w:sz w:val="24"/>
                <w:szCs w:val="24"/>
              </w:rPr>
              <w:t xml:space="preserve">适用范围</w:t>
            </w:r>
            <w:r>
              <w:rPr>
                <w:rFonts w:hint="eastAsia" w:ascii="宋体" w:hAnsi="宋体" w:eastAsia="宋体" w:cs="宋体"/>
                <w:color w:val="000000"/>
                <w:spacing w:val="15"/>
                <w:sz w:val="24"/>
                <w:szCs w:val="24"/>
                <w:lang w:eastAsia="zh-CN"/>
              </w:rPr>
              <w:t xml:space="preserve">：</w:t>
            </w:r>
            <w:r>
              <w:rPr>
                <w:rFonts w:hint="eastAsia" w:ascii="宋体" w:hAnsi="宋体" w:eastAsia="宋体" w:cs="宋体"/>
                <w:color w:val="000000"/>
                <w:spacing w:val="19"/>
                <w:sz w:val="24"/>
                <w:szCs w:val="24"/>
              </w:rPr>
              <w:t xml:space="preserve">适用于预防静脉血栓形成，减轻肢体水肿，脑血管意外、脑外伤、脑</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17"/>
                <w:sz w:val="24"/>
                <w:szCs w:val="24"/>
              </w:rPr>
              <w:t xml:space="preserve">手术后引起的肢体功能障碍和外周非栓塞性脉管炎的辅助治疗</w:t>
            </w:r>
            <w:r>
              <w:rPr>
                <w:rFonts w:hint="eastAsia" w:ascii="宋体" w:hAnsi="宋体" w:eastAsia="宋体" w:cs="宋体"/>
                <w:color w:val="000000"/>
                <w:spacing w:val="17"/>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0"/>
                <w:sz w:val="24"/>
                <w:szCs w:val="24"/>
              </w:rPr>
              <w:t xml:space="preserve">操作显示：≥8英寸液晶触摸屏，设备显示屏可</w:t>
            </w:r>
            <w:r>
              <w:rPr>
                <w:rFonts w:hint="eastAsia" w:ascii="宋体" w:hAnsi="宋体" w:eastAsia="宋体" w:cs="宋体"/>
                <w:color w:val="000000"/>
                <w:spacing w:val="6"/>
                <w:sz w:val="24"/>
                <w:szCs w:val="24"/>
              </w:rPr>
              <w:t xml:space="preserve">以显示当前程序下的工作压力、模式、治疗</w:t>
            </w:r>
            <w:r>
              <w:rPr>
                <w:rFonts w:hint="eastAsia" w:ascii="宋体" w:hAnsi="宋体" w:eastAsia="宋体" w:cs="宋体"/>
                <w:color w:val="000000"/>
                <w:spacing w:val="6"/>
                <w:sz w:val="24"/>
                <w:szCs w:val="24"/>
                <w:lang w:val="en-US" w:eastAsia="zh-CN"/>
              </w:rPr>
              <w:t xml:space="preserve">时</w:t>
            </w:r>
            <w:r>
              <w:rPr>
                <w:rFonts w:hint="eastAsia" w:ascii="宋体" w:hAnsi="宋体" w:eastAsia="宋体" w:cs="宋体"/>
                <w:color w:val="000000"/>
                <w:spacing w:val="6"/>
                <w:sz w:val="24"/>
                <w:szCs w:val="24"/>
              </w:rPr>
              <w:t xml:space="preserve">间、</w:t>
            </w:r>
            <w:r>
              <w:rPr>
                <w:rFonts w:hint="eastAsia" w:ascii="宋体" w:hAnsi="宋体" w:eastAsia="宋体" w:cs="宋体"/>
                <w:color w:val="000000"/>
                <w:spacing w:val="4"/>
                <w:sz w:val="24"/>
                <w:szCs w:val="24"/>
              </w:rPr>
              <w:t xml:space="preserve">治疗区域等参数，支持一键飞梭</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4"/>
                <w:sz w:val="24"/>
                <w:szCs w:val="24"/>
              </w:rPr>
              <w:t xml:space="preserve">气囊腔数：单侧</w:t>
            </w:r>
            <w:r>
              <w:rPr>
                <w:rFonts w:hint="eastAsia" w:ascii="宋体" w:hAnsi="宋体" w:eastAsia="宋体" w:cs="宋体"/>
                <w:color w:val="000000"/>
                <w:spacing w:val="10"/>
                <w:sz w:val="24"/>
                <w:szCs w:val="24"/>
              </w:rPr>
              <w:t xml:space="preserve">≥</w:t>
            </w:r>
            <w:r>
              <w:rPr>
                <w:rFonts w:hint="eastAsia" w:ascii="宋体" w:hAnsi="宋体" w:eastAsia="宋体" w:cs="宋体"/>
                <w:color w:val="000000"/>
                <w:spacing w:val="14"/>
                <w:sz w:val="24"/>
                <w:szCs w:val="24"/>
              </w:rPr>
              <w:t xml:space="preserve">6腔气囊、双侧</w:t>
            </w:r>
            <w:r>
              <w:rPr>
                <w:rFonts w:hint="eastAsia" w:ascii="宋体" w:hAnsi="宋体" w:eastAsia="宋体" w:cs="宋体"/>
                <w:color w:val="000000"/>
                <w:spacing w:val="10"/>
                <w:sz w:val="24"/>
                <w:szCs w:val="24"/>
              </w:rPr>
              <w:t xml:space="preserve">≥</w:t>
            </w:r>
            <w:r>
              <w:rPr>
                <w:rFonts w:hint="eastAsia" w:ascii="宋体" w:hAnsi="宋体" w:eastAsia="宋体" w:cs="宋体"/>
                <w:color w:val="000000"/>
                <w:spacing w:val="14"/>
                <w:sz w:val="24"/>
                <w:szCs w:val="24"/>
              </w:rPr>
              <w:t xml:space="preserve">12腔气囊，配</w:t>
            </w:r>
            <w:r>
              <w:rPr>
                <w:rFonts w:hint="eastAsia" w:ascii="宋体" w:hAnsi="宋体" w:eastAsia="宋体" w:cs="宋体"/>
                <w:color w:val="000000"/>
                <w:spacing w:val="4"/>
                <w:sz w:val="24"/>
                <w:szCs w:val="24"/>
              </w:rPr>
              <w:t xml:space="preserve">备双下肢气囊、上肢气囊</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6"/>
                <w:sz w:val="24"/>
                <w:szCs w:val="24"/>
              </w:rPr>
              <w:t xml:space="preserve">设备可同时、间歇、按顺序充放气</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
                <w:sz w:val="24"/>
                <w:szCs w:val="24"/>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循环压力治疗压强范围：</w:t>
            </w:r>
            <w:r>
              <w:rPr>
                <w:rFonts w:hint="eastAsia" w:ascii="宋体" w:hAnsi="宋体" w:eastAsia="宋体" w:cs="宋体"/>
                <w:color w:val="000000"/>
                <w:spacing w:val="-36"/>
                <w:sz w:val="24"/>
                <w:szCs w:val="24"/>
              </w:rPr>
              <w:t xml:space="preserve"> </w:t>
            </w:r>
            <w:r>
              <w:rPr>
                <w:rFonts w:hint="eastAsia" w:ascii="宋体" w:hAnsi="宋体" w:eastAsia="宋体" w:cs="宋体"/>
                <w:color w:val="000000"/>
                <w:spacing w:val="-1"/>
                <w:sz w:val="24"/>
                <w:szCs w:val="24"/>
              </w:rPr>
              <w:t xml:space="preserve">OkPa～36kPa</w:t>
            </w:r>
            <w:r>
              <w:rPr>
                <w:rFonts w:hint="eastAsia" w:ascii="宋体" w:hAnsi="宋体" w:eastAsia="宋体" w:cs="宋体"/>
                <w:color w:val="000000"/>
                <w:spacing w:val="-2"/>
                <w:sz w:val="24"/>
                <w:szCs w:val="24"/>
              </w:rPr>
              <w:t xml:space="preserve">(0mmHg～270mmHg), 步进≤1kP</w:t>
            </w:r>
            <w:r>
              <w:rPr>
                <w:rFonts w:hint="eastAsia" w:ascii="宋体" w:hAnsi="宋体" w:eastAsia="宋体" w:cs="宋体"/>
                <w:color w:val="000000"/>
                <w:spacing w:val="-3"/>
                <w:sz w:val="24"/>
                <w:szCs w:val="24"/>
              </w:rPr>
              <w:t xml:space="preserve">a</w:t>
            </w:r>
            <w:r>
              <w:rPr>
                <w:rFonts w:hint="eastAsia" w:ascii="宋体" w:hAnsi="宋体" w:eastAsia="宋体" w:cs="宋体"/>
                <w:color w:val="000000"/>
                <w:spacing w:val="-3"/>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
                <w:sz w:val="24"/>
                <w:szCs w:val="24"/>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压强单位显示方式：支持</w:t>
            </w:r>
            <w:r>
              <w:rPr>
                <w:rFonts w:hint="eastAsia" w:ascii="宋体" w:hAnsi="宋体" w:eastAsia="宋体" w:cs="宋体"/>
                <w:color w:val="000000"/>
                <w:spacing w:val="-63"/>
                <w:sz w:val="24"/>
                <w:szCs w:val="24"/>
              </w:rPr>
              <w:t xml:space="preserve"> </w:t>
            </w:r>
            <w:r>
              <w:rPr>
                <w:rFonts w:hint="eastAsia" w:ascii="宋体" w:hAnsi="宋体" w:eastAsia="宋体" w:cs="宋体"/>
                <w:color w:val="000000"/>
                <w:sz w:val="24"/>
                <w:szCs w:val="24"/>
              </w:rPr>
              <w:t xml:space="preserve">kPa</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5"/>
                <w:sz w:val="24"/>
                <w:szCs w:val="24"/>
              </w:rPr>
              <w:t xml:space="preserve">和</w:t>
            </w:r>
            <w:r>
              <w:rPr>
                <w:rFonts w:hint="eastAsia" w:ascii="宋体" w:hAnsi="宋体" w:eastAsia="宋体" w:cs="宋体"/>
                <w:color w:val="000000"/>
                <w:spacing w:val="-65"/>
                <w:sz w:val="24"/>
                <w:szCs w:val="24"/>
              </w:rPr>
              <w:t xml:space="preserve"> </w:t>
            </w:r>
            <w:r>
              <w:rPr>
                <w:rFonts w:hint="eastAsia" w:ascii="宋体" w:hAnsi="宋体" w:eastAsia="宋体" w:cs="宋体"/>
                <w:color w:val="000000"/>
                <w:sz w:val="24"/>
                <w:szCs w:val="24"/>
              </w:rPr>
              <w:t xml:space="preserve">mmHg</w:t>
            </w:r>
            <w:r>
              <w:rPr>
                <w:rFonts w:hint="eastAsia" w:ascii="宋体" w:hAnsi="宋体" w:eastAsia="宋体" w:cs="宋体"/>
                <w:color w:val="000000"/>
                <w:spacing w:val="5"/>
                <w:sz w:val="24"/>
                <w:szCs w:val="24"/>
              </w:rPr>
              <w:t xml:space="preserve">两种压强单位的显示切换</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工作噪声：正常工作时噪声≤60</w:t>
            </w:r>
            <w:r>
              <w:rPr>
                <w:rFonts w:hint="eastAsia" w:ascii="宋体" w:hAnsi="宋体" w:eastAsia="宋体" w:cs="宋体"/>
                <w:color w:val="000000"/>
                <w:sz w:val="24"/>
                <w:szCs w:val="24"/>
              </w:rPr>
              <w:t xml:space="preserve">dB</w:t>
            </w:r>
            <w:r>
              <w:rPr>
                <w:rFonts w:hint="eastAsia" w:ascii="宋体" w:hAnsi="宋体" w:eastAsia="宋体" w:cs="宋体"/>
                <w:color w:val="000000"/>
                <w:spacing w:val="5"/>
                <w:sz w:val="24"/>
                <w:szCs w:val="24"/>
              </w:rPr>
              <w:t xml:space="preserve">(A</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7"/>
                <w:sz w:val="24"/>
                <w:szCs w:val="24"/>
              </w:rPr>
              <w:t xml:space="preserve">单腔调压：可针对每个腔体单独调节压力设定</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零压跳过：在有创面或压力治疗禁忌的部位，可选择关闭该位置的气囊压力</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治疗时间：1min～</w:t>
            </w:r>
            <w:r>
              <w:rPr>
                <w:rFonts w:hint="eastAsia" w:ascii="宋体" w:hAnsi="宋体" w:eastAsia="宋体" w:cs="宋体"/>
                <w:color w:val="000000"/>
                <w:spacing w:val="-1"/>
                <w:sz w:val="24"/>
                <w:szCs w:val="24"/>
                <w:lang w:val="en-US" w:eastAsia="zh-CN"/>
              </w:rPr>
              <w:t xml:space="preserve">99</w:t>
            </w:r>
            <w:r>
              <w:rPr>
                <w:rFonts w:hint="eastAsia" w:ascii="宋体" w:hAnsi="宋体" w:eastAsia="宋体" w:cs="宋体"/>
                <w:color w:val="000000"/>
                <w:spacing w:val="-1"/>
                <w:sz w:val="24"/>
                <w:szCs w:val="24"/>
              </w:rPr>
              <w:t xml:space="preserve">min可调</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4"/>
                <w:sz w:val="24"/>
                <w:szCs w:val="24"/>
              </w:rPr>
              <w:t xml:space="preserve">连续治疗：可设置连续运行工作模式</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充气循环间隔：1s～99s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压力保持：</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s～20s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
                <w:sz w:val="24"/>
                <w:szCs w:val="24"/>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5"/>
                <w:sz w:val="24"/>
                <w:szCs w:val="24"/>
              </w:rPr>
              <w:t xml:space="preserve">治疗模式：≥30种治疗模式，含≥10种固定治疗模式和≥</w:t>
            </w:r>
            <w:r>
              <w:rPr>
                <w:rFonts w:hint="eastAsia" w:ascii="宋体" w:hAnsi="宋体" w:eastAsia="宋体" w:cs="宋体"/>
                <w:color w:val="000000"/>
                <w:spacing w:val="14"/>
                <w:sz w:val="24"/>
                <w:szCs w:val="24"/>
              </w:rPr>
              <w:t xml:space="preserve">20种自定义收藏模式</w:t>
            </w:r>
            <w:r>
              <w:rPr>
                <w:rFonts w:hint="eastAsia" w:ascii="宋体" w:hAnsi="宋体" w:eastAsia="宋体" w:cs="宋体"/>
                <w:color w:val="000000"/>
                <w:spacing w:val="1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9"/>
                <w:sz w:val="24"/>
                <w:szCs w:val="24"/>
              </w:rPr>
              <w:t xml:space="preserve">逆序加压：可设定从近心端向远心端贯序加压模式，预防由于动脉供</w:t>
            </w:r>
            <w:r>
              <w:rPr>
                <w:rFonts w:hint="eastAsia" w:ascii="宋体" w:hAnsi="宋体" w:eastAsia="宋体" w:cs="宋体"/>
                <w:color w:val="000000"/>
                <w:spacing w:val="6"/>
                <w:sz w:val="24"/>
                <w:szCs w:val="24"/>
              </w:rPr>
              <w:t xml:space="preserve">血不足引起的肢体远端血液循环障碍</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8"/>
                <w:sz w:val="24"/>
                <w:szCs w:val="24"/>
              </w:rPr>
              <w:t xml:space="preserve">过压保护：设备具有过压保护报警功能，当传递到肢体的最大治疗压</w:t>
            </w:r>
            <w:r>
              <w:rPr>
                <w:rFonts w:hint="eastAsia" w:ascii="宋体" w:hAnsi="宋体" w:eastAsia="宋体" w:cs="宋体"/>
                <w:color w:val="000000"/>
                <w:spacing w:val="12"/>
                <w:sz w:val="24"/>
                <w:szCs w:val="24"/>
              </w:rPr>
              <w:t xml:space="preserve">强超过120%时自动报警，并立即停止治疗</w:t>
            </w:r>
            <w:r>
              <w:rPr>
                <w:rFonts w:hint="eastAsia" w:ascii="宋体" w:hAnsi="宋体" w:eastAsia="宋体" w:cs="宋体"/>
                <w:color w:val="000000"/>
                <w:spacing w:val="12"/>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8"/>
                <w:sz w:val="24"/>
                <w:szCs w:val="24"/>
              </w:rPr>
              <w:t xml:space="preserve">自动泄压：达到阈值时、突然断电或中断治疗时，气囊可自动泄压</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7"/>
                <w:sz w:val="24"/>
                <w:szCs w:val="24"/>
              </w:rPr>
              <w:t xml:space="preserve">安全保护：配备紧急功能开关，遇到紧急</w:t>
            </w:r>
            <w:r>
              <w:rPr>
                <w:rFonts w:hint="eastAsia" w:ascii="宋体" w:hAnsi="宋体" w:eastAsia="宋体" w:cs="宋体"/>
                <w:color w:val="000000"/>
                <w:spacing w:val="6"/>
                <w:sz w:val="24"/>
                <w:szCs w:val="24"/>
              </w:rPr>
              <w:t xml:space="preserve">情况可以进行紧急停止</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5"/>
                <w:sz w:val="24"/>
                <w:szCs w:val="24"/>
                <w:lang w:val="en-US" w:eastAsia="zh-CN"/>
              </w:rPr>
              <w:t xml:space="preserve">19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血液回盈：具备血液回盈侦测提示功能</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4"/>
                <w:sz w:val="24"/>
                <w:szCs w:val="24"/>
              </w:rPr>
              <w:t xml:space="preserve">梯度治疗：支持对肢体形成梯度加压</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输入功率：≤100</w:t>
            </w:r>
            <w:r>
              <w:rPr>
                <w:rFonts w:hint="eastAsia" w:ascii="宋体" w:hAnsi="宋体" w:eastAsia="宋体" w:cs="宋体"/>
                <w:color w:val="000000"/>
                <w:sz w:val="24"/>
                <w:szCs w:val="24"/>
              </w:rPr>
              <w:t xml:space="preserve">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品目十九</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便捷式手功能康复系统1套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驱动方式：以空气作为动力，驱动柔性手套进行手功能康复，磁控手套通过磁控感应技术，驱动患侧手康复运动。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被动训练模式A：实现手指，手掌、腕部的一体化运动康复治疗，有效辅助手指关节和手腕关节功能性障碍患者的康复训练，促进脑部损伤的辅助治疗。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磁控镜像训练模式：通过传感器感应健侧手的抓握、伸展等运动，带动患侧手的同步抓握与伸展，实现磁控感应技术下的双侧镜像训练。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被动训练模式B：通过手部气囊护套，对手掌进行有规律的柔性挤压，促进手部末梢循环，有效消除水肿。</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动作切换时间：在被动训练模式A下，3s～10s可调，步进≤1s。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导向训练：通过训练模式的设置，可进行抓球训练和木插板等任务导向训练。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柔性手套：穿戴式仿生性柔性手套，穿戴舒适，标配L码手套一双，可选配XXS/XS/S/M/XL五种尺码手套，手套布料无缝拼接，使用抗菌材料，通过生物相容性实验并具备检验报告。</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支持手长：患者手长范围8～22cm均可使用。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训练方式：≥2种训练方式，可选择按时间或按次数进行治疗。</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安全保护功能：配备紧急功能开关，遇到紧急情况可以进行紧急停止。</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自动泄压功能：达到阈值时、突然断电或中断治疗时，气囊可自动泄压。</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配备手部分指板矫正训练器1套。</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配备木插板训练器械大中小各1套。</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床旁（下肢）主被动2台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电机动力系统运动时有力且平稳，使患者训练时安全有保证，使设备的各项功能指标都能正确运行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具有患者从完全被动训练阶段到主动和被动训练相交叉的助力训练阶段到</w:t>
            </w:r>
            <w:r>
              <w:rPr>
                <w:rFonts w:hint="eastAsia" w:ascii="宋体" w:hAnsi="宋体" w:eastAsia="宋体" w:cs="宋体"/>
                <w:color w:val="000000"/>
                <w:sz w:val="24"/>
                <w:szCs w:val="24"/>
                <w:lang w:eastAsia="zh-CN"/>
              </w:rPr>
              <w:t xml:space="preserve">完全</w:t>
            </w:r>
            <w:r>
              <w:rPr>
                <w:rFonts w:hint="eastAsia" w:ascii="宋体" w:hAnsi="宋体" w:eastAsia="宋体" w:cs="宋体"/>
                <w:color w:val="000000"/>
                <w:sz w:val="24"/>
                <w:szCs w:val="24"/>
              </w:rPr>
              <w:t xml:space="preserve">主动训练阶段到初期主动力量训练阶段的患者康复过程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采用≥10寸彩色液晶触摸屏，一目了然的控制面板的设计，使医务工作者能轻松容易</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掌握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具有≥六种针对性的训练模式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具有≥四种患者训练安全保护功能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目标数值均可</w:t>
            </w:r>
            <w:r>
              <w:rPr>
                <w:rFonts w:hint="eastAsia" w:ascii="宋体" w:hAnsi="宋体" w:eastAsia="宋体" w:cs="宋体"/>
                <w:color w:val="000000"/>
                <w:sz w:val="24"/>
                <w:szCs w:val="24"/>
                <w:lang w:eastAsia="zh-CN"/>
              </w:rPr>
              <w:t xml:space="preserve">调整。</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参数可调</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输入功率：床边型≤</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速度显示范围：</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-99r/min±10%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角度设定范围：0-</w:t>
            </w:r>
            <w:r>
              <w:rPr>
                <w:rFonts w:hint="eastAsia" w:ascii="宋体" w:hAnsi="宋体" w:eastAsia="宋体" w:cs="宋体"/>
                <w:color w:val="000000"/>
                <w:sz w:val="24"/>
                <w:szCs w:val="24"/>
                <w:lang w:val="en-US" w:eastAsia="zh-CN"/>
              </w:rPr>
              <w:t xml:space="preserve">325</w:t>
            </w:r>
            <w:r>
              <w:rPr>
                <w:rFonts w:hint="eastAsia" w:ascii="宋体" w:hAnsi="宋体" w:eastAsia="宋体" w:cs="宋体"/>
                <w:color w:val="000000"/>
                <w:sz w:val="24"/>
                <w:szCs w:val="24"/>
              </w:rPr>
              <w:t xml:space="preserve">度±5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阻力设定等级：1-20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阻力力矩：0-20Nm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能够实时显示患者主动做功情况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气动助力升降高度</w:t>
            </w:r>
            <w:r>
              <w:rPr>
                <w:rFonts w:hint="eastAsia" w:ascii="宋体" w:hAnsi="宋体" w:eastAsia="宋体" w:cs="宋体"/>
                <w:color w:val="000000"/>
                <w:sz w:val="24"/>
                <w:szCs w:val="24"/>
                <w:lang w:val="en-US" w:eastAsia="zh-CN"/>
              </w:rPr>
              <w:t xml:space="preserve">≥150</w:t>
            </w:r>
            <w:r>
              <w:rPr>
                <w:rFonts w:hint="eastAsia" w:ascii="宋体" w:hAnsi="宋体" w:eastAsia="宋体" w:cs="宋体"/>
                <w:color w:val="000000"/>
                <w:sz w:val="24"/>
                <w:szCs w:val="24"/>
              </w:rPr>
              <w:t xml:space="preserve">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显示屏平面翻转0-90°，显示屏轴向旋转0-200°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下肢治疗运动半径两档可调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腿部助力姿势弹力器无级可调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机器前支撑最大宽度≥46cm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高度≥7.8cm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配备股四头肌训练板1个。</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品目二十一</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四肢联动1台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供电方式：内部、外部电源供电两种可自由转换。</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承重≥200kg。</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操作显示≥7英寸液晶触摸显示屏。</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操作屏幕显示内容：时间、步频、步数、阻力等级、卡路里及功率。</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步频范围：0～250步/分，功率范围：0～800瓦特，累积计步：9999步，卡路里消耗：0～999卡。</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阻力调节：≥10级阻力。</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座椅由前向后调节范围：0～325mm，允差±5%。</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把手长度调节范围：0～400mm，允差±5%。</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座椅可向左右旋转90°，旋转至90°时自动锁定，允差±2°。</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座椅靠背调节角度：0～31°。</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配备绑脚，膝关节绑带。</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配备BOSU球、Bobath球各1个。</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品目二十二</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上肢CPM 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肘关节活动支架长度调节范围：0～150mm，允差±10%。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肩上臂支架调节范围：0～200mm，允差±10%。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肩前臂支架调节范围：0～280mm，允差±10%。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前臂支托调节范围：0～280mm，允差±10%。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移动支架高度调节范围：0～290mm，允差±10%。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被动训练力矩：≥20N·m，允差±10%。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额定载荷：≥50N。</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角度调节范围：0°～125°，级差≤3°，允差±10%。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角速度调节范围：3.0～4.4°/s，允差±20%，≥8档调节，级差≤0.2°/s。</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运动时间：0～240min，级差≤10min，允差±30s。</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设有线控开关，安全可靠。</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设备具有手动急停开关，触发后可停止设备所有电动产生的机械运动。</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电源中断及恢复通电后，固定肢体的支架保持在停止时的状态。</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启动后，设备开机自检，并自动复位。</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运动支臂左右可调换。</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LCD背光液晶屏实时显示运动角度、速度、时间。</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额定功率≥70VA。</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配备弹力绷带。</w:t>
            </w:r>
            <w:r>
              <w:rPr>
                <w:rFonts w:hint="eastAsia" w:ascii="宋体" w:hAnsi="宋体" w:eastAsia="宋体" w:cs="宋体"/>
                <w:color w:val="000000"/>
                <w:sz w:val="24"/>
                <w:szCs w:val="24"/>
                <w:lang w:val="en-US"/>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品目二十三</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下肢CPM 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支架长度调节范围：大腿0～260mm，小腿0～260mm，滑动连杆0～340mm，允差±10%。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伸展角度调节范围：0～120°，级差≤3°。</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屈曲角度调节范围：0～125°，级差≤3°。</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角度运行速度：≥8档可调，1.5～3.6°/s，允差±20%。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训练过程中可实时显示训练当前角度位置。</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训练时间：0～240min可调，级差≤10min，允差±10%，训练结束有提示音。</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脚踏板左右活动范围：移动至最左位置和最右位置中心线夹角为≥60°，允差为±10°。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具有线控开关，安全可靠。</w:t>
            </w:r>
            <w:r>
              <w:rPr>
                <w:rFonts w:hint="eastAsia" w:ascii="宋体" w:hAnsi="宋体" w:eastAsia="宋体" w:cs="宋体"/>
                <w:color w:val="000000"/>
                <w:sz w:val="24"/>
                <w:szCs w:val="24"/>
              </w:rPr>
            </w:r>
            <w:r/>
          </w:p>
        </w:tc>
      </w:tr>
      <w:tr>
        <w:trPr>
          <w:trHeight w:val="459"/>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设备具有手动急停开关，触发后可停止设备所有电动产生的机械运动。</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启动后，设备开机自检，并自动复位。</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额定输入功率≤60VA。</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配备弹力绷带。</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品目二十四</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盆底生物反馈治疗仪 1台 （核心产品）</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主机≥4 个电刺激通道、≥4个肌电采集通道、≥1个压力反馈通道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主机采用触控式操作，可单机便携工作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肌电采集测量范围：0μV～10000μV（r.m.s）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分辨率：≤0.2μV（r.m.s）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numPr>
                <w:ilvl w:val="0"/>
                <w:numId w:val="0"/>
              </w:numPr>
              <w:ind w:left="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通频带：不窄于10Hz～600Hz(-3dB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低频刺激强度：0-100mA，最小可调节强度≥0.5mA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低频刺激频率：0～1000Hz 可调，1Hz 以下步进0.1Hz，1Hz 以上步进 1Hz，误差</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输出脉冲宽度：10μs～1 s 可调，步进：10μs，误差±10%或</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±5μs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电刺激基础输出波形≥6种，包括三角波、方波、正弦波、指数波、梯形波、锯齿波、尖波</w:t>
            </w:r>
            <w:r>
              <w:rPr>
                <w:rFonts w:hint="eastAsia" w:ascii="宋体" w:hAnsi="宋体" w:eastAsia="宋体" w:cs="宋体"/>
                <w:color w:val="000000"/>
                <w:sz w:val="24"/>
                <w:szCs w:val="24"/>
                <w:lang w:eastAsia="zh-CN"/>
              </w:rPr>
              <w:t xml:space="preserve">等</w:t>
            </w:r>
            <w:r>
              <w:rPr>
                <w:rFonts w:hint="eastAsia" w:ascii="宋体" w:hAnsi="宋体" w:eastAsia="宋体" w:cs="宋体"/>
                <w:color w:val="000000"/>
                <w:sz w:val="24"/>
                <w:szCs w:val="24"/>
              </w:rPr>
              <w:t xml:space="preserve">幅波等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中频刺激频率：1kHz～10kHz 可调，步进：0.5kHz，单一频率允差</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压力模块测量范围不低于0-410mmHg，测量分辨率≤0.01mmHg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使用物理旋钮调节电流强度，操作方便，每个通道均设置各自的独立旋钮控制，可实现多通道不同强度刺激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highlight w:val="none"/>
                <w:lang w:val="en-US" w:eastAsia="zh-CN"/>
              </w:rPr>
              <w:t xml:space="preserve">三种</w:t>
            </w:r>
            <w:r>
              <w:rPr>
                <w:rFonts w:hint="eastAsia" w:ascii="宋体" w:hAnsi="宋体" w:eastAsia="宋体" w:cs="宋体"/>
                <w:color w:val="000000"/>
                <w:sz w:val="24"/>
                <w:szCs w:val="24"/>
                <w:highlight w:val="none"/>
              </w:rPr>
              <w:t xml:space="preserve">盆底肌电评估模式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Glazer评估具有基于大数据建立的盆底常模类型，可智能解读评估报告的五种评估结果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压力评估模式：使用可多次反复使用的充气型压力探头对盆底功能进行评估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情景评估模式：可实现实际生活情景下如腹压增加时的盆底功能评估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Kegel</w:t>
            </w:r>
            <w:r>
              <w:rPr>
                <w:rFonts w:hint="eastAsia" w:ascii="宋体" w:hAnsi="宋体" w:eastAsia="宋体" w:cs="宋体"/>
                <w:color w:val="000000"/>
                <w:sz w:val="24"/>
                <w:szCs w:val="24"/>
                <w:lang w:eastAsia="zh-CN"/>
              </w:rPr>
              <w:t xml:space="preserve">模板</w:t>
            </w:r>
            <w:r>
              <w:rPr>
                <w:rFonts w:hint="eastAsia" w:ascii="宋体" w:hAnsi="宋体" w:eastAsia="宋体" w:cs="宋体"/>
                <w:color w:val="000000"/>
                <w:sz w:val="24"/>
                <w:szCs w:val="24"/>
              </w:rPr>
              <w:t xml:space="preserve">训练具有肌电和压力两种模式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刺激方案≥</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种刺激模式，具有低频电刺激、中频电刺激、干扰电刺激、经皮神经电刺激等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可在诊疗记录中预览评估报告，回放评估过程，快速开始评估方案、治疗方案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数据统计分析功能：可汇总导出患者的诊疗记录，可分析统计医生工作量、患者治疗数据以及耗材使用情况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组合治疗功能：可以方案组合并且可以选择刺激功能参数，进行治疗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品目二十五</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电动升降床2张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结构型式：床面、床架、床垫、电机、遥控。</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静电喷塑架，安全稳定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PU面料内置高回弹海绵床面2块，内部高回弹海绵厚≥35mm一次性成型，固定在床架上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承载≥4000N均布静载荷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医用慢速推杆电机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电动推杆最大推力：≥8000N；最大拉力≥6000N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电动推杆自锁力（推）：≥8000N；自锁力（拉）：≥6000N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电动推杆行程： 0～150mm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电动推杆防护等级：IP54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限位开关：内置；过载保护：有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控制方式：手柄点动控制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输入功率≤100VA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床面高度升降范围：5</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前床面翻转角度0°～60°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床面尺寸≥20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×68cm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前床面尺寸≥54×68cm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后床面尺寸≥14</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×68cm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配有4个3寸医用轮，且带有4个脚轮起落手柄，方便移动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配备紧急停止开关</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配备治疗巾（70*100cm）20条，（40*60cm）20条。</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具有第二类医疗器械产品注册证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品目二十六</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站立床（电动起立床）3张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控制方式：手柄点动控制</w:t>
            </w:r>
            <w:r>
              <w:rPr>
                <w:rFonts w:hint="eastAsia" w:ascii="宋体" w:hAnsi="宋体" w:eastAsia="宋体" w:cs="宋体"/>
                <w:color w:val="000000"/>
                <w:sz w:val="24"/>
                <w:szCs w:val="24"/>
                <w:highlight w:val="none"/>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床面参考高度：≥525mm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起立角度：0°～85°可调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平均角速度≥1.2°/S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电源：AC220  50/60Hz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输入功率：≤100VA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电动推杆最大推力：≥8000N；最大拉力≥6000N</w:t>
            </w:r>
            <w:r>
              <w:rPr>
                <w:rFonts w:hint="eastAsia" w:ascii="宋体" w:hAnsi="宋体" w:eastAsia="宋体" w:cs="宋体"/>
                <w:color w:val="000000"/>
                <w:sz w:val="24"/>
                <w:szCs w:val="24"/>
                <w:highlight w:val="none"/>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电动推杆自锁力（推）：≥8000N；自锁力（拉）：≥6000N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电动推杆行程：0～400mm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电动推杆防护等级：IP54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限位开关：内置；过载保护：有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医用慢速推杆电机≥1台，推力大，</w:t>
            </w:r>
            <w:r>
              <w:rPr>
                <w:rFonts w:hint="eastAsia" w:ascii="宋体" w:hAnsi="宋体" w:eastAsia="宋体" w:cs="宋体"/>
                <w:color w:val="000000"/>
                <w:sz w:val="24"/>
                <w:szCs w:val="24"/>
                <w:lang w:eastAsia="zh-CN"/>
              </w:rPr>
              <w:t xml:space="preserve">噪声</w:t>
            </w:r>
            <w:r>
              <w:rPr>
                <w:rFonts w:hint="eastAsia" w:ascii="宋体" w:hAnsi="宋体" w:eastAsia="宋体" w:cs="宋体"/>
                <w:color w:val="000000"/>
                <w:sz w:val="24"/>
                <w:szCs w:val="24"/>
              </w:rPr>
              <w:t xml:space="preserve">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PU面料内置高回弹海绵</w:t>
            </w:r>
            <w:r>
              <w:rPr>
                <w:rFonts w:hint="eastAsia" w:ascii="宋体" w:hAnsi="宋体" w:eastAsia="宋体" w:cs="宋体"/>
                <w:color w:val="000000"/>
                <w:sz w:val="24"/>
                <w:szCs w:val="24"/>
                <w:lang w:eastAsia="zh-CN"/>
              </w:rPr>
              <w:t xml:space="preserve">床面</w:t>
            </w:r>
            <w:r>
              <w:rPr>
                <w:rFonts w:hint="eastAsia" w:ascii="宋体" w:hAnsi="宋体" w:eastAsia="宋体" w:cs="宋体"/>
                <w:color w:val="000000"/>
                <w:sz w:val="24"/>
                <w:szCs w:val="24"/>
              </w:rPr>
              <w:t xml:space="preserve">1块，内部高回弹海绵厚≥35mm一次性成型，固定在床架上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承载≥4000N均布静载荷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配有4个4寸医用轮，且带有4个脚轮起落手柄，方便移动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配备紧急停止开关</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具有第二类医疗器械产品注册证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品目二十七</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上下肢主被动康复训练系统2台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系统动力系统采用特殊的结构设计，高度调节</w:t>
            </w:r>
            <w:r>
              <w:rPr>
                <w:rFonts w:hint="eastAsia" w:ascii="宋体" w:hAnsi="宋体" w:eastAsia="宋体" w:cs="宋体"/>
                <w:color w:val="000000"/>
                <w:sz w:val="24"/>
                <w:szCs w:val="24"/>
                <w:lang w:val="en-US" w:eastAsia="zh-CN"/>
              </w:rPr>
              <w:t xml:space="preserve">≥150mm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具有患者从完全被动训练阶段到主动和被动训练相交叉的助力训练阶段到</w:t>
            </w:r>
            <w:r>
              <w:rPr>
                <w:rFonts w:hint="eastAsia" w:ascii="宋体" w:hAnsi="宋体" w:eastAsia="宋体" w:cs="宋体"/>
                <w:color w:val="000000"/>
                <w:sz w:val="24"/>
                <w:szCs w:val="24"/>
                <w:lang w:eastAsia="zh-CN"/>
              </w:rPr>
              <w:t xml:space="preserve">完全</w:t>
            </w:r>
            <w:r>
              <w:rPr>
                <w:rFonts w:hint="eastAsia" w:ascii="宋体" w:hAnsi="宋体" w:eastAsia="宋体" w:cs="宋体"/>
                <w:color w:val="000000"/>
                <w:sz w:val="24"/>
                <w:szCs w:val="24"/>
              </w:rPr>
              <w:t xml:space="preserve">主动训练阶段到初期主动力量训练阶段的患者康复过程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采用≥10</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寸彩色液晶触摸屏显示技术且一目了然的控制面板的设计，使医务工作者能轻松容易</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掌握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具有≥六种针对性的训练模式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具有≥四种患者训练安全保护功能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目标数值均可</w:t>
            </w:r>
            <w:r>
              <w:rPr>
                <w:rFonts w:hint="eastAsia" w:ascii="宋体" w:hAnsi="宋体" w:eastAsia="宋体" w:cs="宋体"/>
                <w:color w:val="000000"/>
                <w:sz w:val="24"/>
                <w:szCs w:val="24"/>
                <w:lang w:eastAsia="zh-CN"/>
              </w:rPr>
              <w:t xml:space="preserve">调整。</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参数可调</w:t>
            </w:r>
            <w:r>
              <w:rPr>
                <w:rFonts w:hint="eastAsia" w:ascii="宋体" w:hAnsi="宋体" w:eastAsia="宋体" w:cs="宋体"/>
                <w:color w:val="000000"/>
                <w:sz w:val="24"/>
                <w:szCs w:val="24"/>
                <w:highlight w:val="none"/>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AC220V±10%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输入功率：</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00VA（用于成人上下肢）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定时范围：0～120min±1min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速度显示范围：</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-99r/min±10%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速度设定范围：5-60r/min±10%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角度设定范围：0-</w:t>
            </w:r>
            <w:r>
              <w:rPr>
                <w:rFonts w:hint="eastAsia" w:ascii="宋体" w:hAnsi="宋体" w:eastAsia="宋体" w:cs="宋体"/>
                <w:color w:val="000000"/>
                <w:sz w:val="24"/>
                <w:szCs w:val="24"/>
                <w:lang w:val="en-US" w:eastAsia="zh-CN"/>
              </w:rPr>
              <w:t xml:space="preserve">325</w:t>
            </w:r>
            <w:r>
              <w:rPr>
                <w:rFonts w:hint="eastAsia" w:ascii="宋体" w:hAnsi="宋体" w:eastAsia="宋体" w:cs="宋体"/>
                <w:color w:val="000000"/>
                <w:sz w:val="24"/>
                <w:szCs w:val="24"/>
              </w:rPr>
              <w:t xml:space="preserve">度±5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6.7</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阻力设定等级：</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阻力力矩：0-20Nm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6.9</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心率设定范围：</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-150，精度±5次/min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能够实时显示患者主被动做功情况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可以根据患者情况上肢训练单元可高低调节，显示屏幕可0-330度转动，充分考虑了患者训练体位。</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训练结束后，屏幕上至少显示总训练时间、主动训练时间、被动训练时间、左侧主动运动比例、右侧主动运动比例、痉挛次数、卡路里、距离等数据。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品目二十八</w:t>
            </w:r>
            <w:r>
              <w:rPr>
                <w:rFonts w:hint="eastAsia" w:ascii="宋体" w:hAnsi="宋体" w:eastAsia="宋体" w:cs="宋体"/>
                <w:b/>
                <w:bCs/>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肢体低频治疗仪4台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界面采用≥7寸大屏幕彩色液晶显示，中文菜单，操作更方便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动态实时显示各通道的治疗波形、治疗剂量、治疗模式、治疗时间等，各种治疗数据一目了然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rPr>
              <w:t xml:space="preserve">智能控制，可以快速</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选择参数及操作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输出波形为双向不对称方波（矩形波），调制波为方波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输出频率：模式一输出脉冲基波频率为≥500Hz；调制脉冲频率为0.5Hz～5Hz；模式二输出脉冲频率为0.5Hz～5Hz；允差为每档最高频率的±10%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输出强度：刺激仪各路独立输出，在1KΩ负载阻抗时，每路输出电流的峰值Ip从0mA～100mA连续可调；输出值允差±30%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定时时间为5min～30min可调，允差±5%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输出通道：≥四组输出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配备大中小电极片共500对。</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品目二十九</w:t>
            </w:r>
            <w:r>
              <w:rPr>
                <w:rFonts w:hint="eastAsia" w:ascii="宋体" w:hAnsi="宋体" w:eastAsia="宋体" w:cs="宋体"/>
                <w:b/>
                <w:bCs/>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中频电疗仪2台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输出通道：≥四路中频电疗法，≥四路离子导入，≥二组干扰电疗法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具有透热功能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导电橡胶最大透热温度≤60℃，≥</w:t>
            </w:r>
            <w:r>
              <w:rPr>
                <w:rFonts w:hint="eastAsia" w:ascii="宋体" w:hAnsi="宋体" w:eastAsia="宋体" w:cs="宋体"/>
                <w:color w:val="000000"/>
                <w:sz w:val="24"/>
                <w:szCs w:val="24"/>
                <w:lang w:eastAsia="zh-CN"/>
              </w:rPr>
              <w:t xml:space="preserve">六挡可调。</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内存≥99个处方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中频频率：2～10KHz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调制频率：0～150Hz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调制波形：方波、尖波、三角波、锯齿波、指数波、正弦波、梯形波、扇形波和脉冲波及</w:t>
            </w:r>
            <w:r>
              <w:rPr>
                <w:rFonts w:hint="eastAsia" w:ascii="宋体" w:hAnsi="宋体" w:eastAsia="宋体" w:cs="宋体"/>
                <w:color w:val="000000"/>
                <w:sz w:val="24"/>
                <w:szCs w:val="24"/>
                <w:lang w:eastAsia="zh-CN"/>
              </w:rPr>
              <w:t xml:space="preserve">它们</w:t>
            </w:r>
            <w:r>
              <w:rPr>
                <w:rFonts w:hint="eastAsia" w:ascii="宋体" w:hAnsi="宋体" w:eastAsia="宋体" w:cs="宋体"/>
                <w:color w:val="000000"/>
                <w:sz w:val="24"/>
                <w:szCs w:val="24"/>
              </w:rPr>
              <w:t xml:space="preserve">之间的组合，由程序设定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调制方式：调制方式为调幅，根据处方不同可连续调制、变频调制、间歇调制、断续调制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差频频率范围：≥四通道电疗仪，其干扰电差频频率应在0～200Hz范围内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动态节律：≥四通道电疗仪，其干扰电动态节律为4s～10s范围内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差频变化周期：≥四通道电疗仪，其干扰电差频变化周期为15s～30s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定时装置：电疗仪具有定时装置，允差±5%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连续工作时间：治疗仪连续工作时间</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≥4h</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输出电流：电疗仪纯交流波形，最大输出≤100 mA；含直流分量时，输出电流≤80mA；输出电流为连续递增/递减调节，每档递增/减量为≤1mA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输出方式：</w:t>
            </w:r>
            <w:r>
              <w:rPr>
                <w:rFonts w:hint="eastAsia" w:ascii="宋体" w:hAnsi="宋体" w:eastAsia="宋体" w:cs="宋体"/>
                <w:color w:val="000000"/>
                <w:sz w:val="24"/>
                <w:szCs w:val="24"/>
              </w:rPr>
              <w:t xml:space="preserve">双向波（AC-中频电疗模式）及单向波（DC-离子导入模式）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配备大中小电极片共500对。</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品目三十</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熏蒸治疗仪1台</w:t>
            </w:r>
            <w:r>
              <w:rPr>
                <w:rFonts w:hint="eastAsia" w:ascii="宋体" w:hAnsi="宋体" w:eastAsia="宋体" w:cs="宋体"/>
                <w:b/>
                <w:bCs/>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通道数：双通道独立控制，可满足两个部位或两个病人同时治疗。</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≥7英寸彩色液晶触摸屏。</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预热、保温及治疗功率（气压）1-6档连续可调。</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预热温度50-90℃连续可调，加热到设定温度后，自动停止加热并进入保温模式。</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治疗时间1—99min连续可调。治疗过程中，智能时间控制，治疗结束有声音提示。</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水、电分离设计，保证设备使用安全。</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汽路控制电磁阀，耐高温、耐磨、耐冷凝，可靠性高。</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熏蒸手臂可角度调节。</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熏蒸锅容积≥6L。</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治疗仪监测到皮肤温度超≥45℃时，治疗仪应停止加热，并伴有声音提示信息。</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具备皮肤温度监测功能。</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温度传感器精度不低于±0.5℃~±1℃。</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四重安全防护：缺液防护（防干烧）、药液超温防护、容器超压防护、皮肤温度超温防护。</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品目三十一</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rPr>
                <w:rFonts w:hint="eastAsia" w:ascii="宋体" w:hAnsi="宋体" w:eastAsia="宋体" w:cs="宋体"/>
                <w:b/>
                <w:bCs/>
                <w:color w:val="000000"/>
                <w:sz w:val="24"/>
                <w:szCs w:val="22"/>
                <w:lang w:val="en-US" w:eastAsia="zh-CN" w:bidi="ar-SA"/>
              </w:rPr>
            </w:pPr>
            <w:r>
              <w:rPr>
                <w:rFonts w:hint="eastAsia" w:ascii="宋体" w:hAnsi="宋体" w:eastAsia="宋体" w:cs="宋体"/>
                <w:b/>
                <w:bCs/>
                <w:color w:val="000000"/>
                <w:sz w:val="24"/>
                <w:szCs w:val="22"/>
                <w:lang w:val="en-US" w:eastAsia="zh-CN" w:bidi="ar-SA"/>
              </w:rPr>
              <w:t xml:space="preserve">红外线烤灯5台</w:t>
            </w:r>
            <w:r>
              <w:rPr>
                <w:rFonts w:hint="eastAsia" w:ascii="宋体" w:hAnsi="宋体" w:eastAsia="宋体" w:cs="宋体"/>
                <w:b/>
                <w:bCs/>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单头独立控制</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医用电阻丝发热（炉盘发热）或红外管发射器，即开即热。</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治疗头可360度随意旋转。</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可伸缩弹簧杆或密封性合金液压杆。</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加重五角底座，带轮子，方便移动。</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品目三十二</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磁刺激仪1台</w:t>
            </w:r>
            <w:r>
              <w:rPr>
                <w:rFonts w:hint="eastAsia" w:ascii="宋体" w:hAnsi="宋体" w:eastAsia="宋体" w:cs="宋体"/>
                <w:b/>
                <w:bCs/>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适用范围：</w:t>
            </w:r>
            <w:r>
              <w:rPr>
                <w:rStyle w:val="1183"/>
                <w:rFonts w:hint="eastAsia" w:ascii="宋体" w:hAnsi="宋体" w:eastAsia="宋体" w:cs="宋体"/>
                <w:color w:val="000000"/>
                <w:sz w:val="24"/>
                <w:szCs w:val="24"/>
              </w:rPr>
              <w:t xml:space="preserve">刺激人体中枢神经和外周神经，用于中枢神经和外周神经功能的检测、评定、改善，用于神经电生理检查，用于神经损伤性疾病、腰骶神经功能障碍的辅助治疗。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整机通过YY/T 0994-2015 磁刺激设备行业标准</w:t>
            </w:r>
            <w:r>
              <w:rPr>
                <w:rFonts w:hint="eastAsia" w:ascii="宋体" w:hAnsi="宋体" w:eastAsia="宋体" w:cs="宋体"/>
                <w:color w:val="000000"/>
                <w:sz w:val="24"/>
                <w:szCs w:val="32"/>
                <w:lang w:val="en-US" w:eastAsia="zh-CN"/>
              </w:rPr>
              <w:t xml:space="preserve">和</w:t>
            </w:r>
            <w:r>
              <w:rPr>
                <w:rFonts w:hint="eastAsia" w:ascii="宋体" w:hAnsi="宋体" w:eastAsia="宋体" w:cs="宋体"/>
                <w:color w:val="000000"/>
                <w:sz w:val="24"/>
                <w:szCs w:val="32"/>
              </w:rPr>
              <w:t xml:space="preserve">通过电磁兼容性EMC测试</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铁芯线圈</w:t>
            </w:r>
            <w:r>
              <w:rPr>
                <w:rFonts w:hint="eastAsia" w:ascii="宋体" w:hAnsi="宋体" w:eastAsia="宋体" w:cs="宋体"/>
                <w:color w:val="000000"/>
                <w:sz w:val="24"/>
                <w:szCs w:val="24"/>
                <w:lang w:val="en-US" w:eastAsia="zh-CN"/>
              </w:rPr>
              <w:t xml:space="preserve">配置</w:t>
            </w:r>
            <w:r>
              <w:rPr>
                <w:rFonts w:hint="eastAsia" w:ascii="宋体" w:hAnsi="宋体" w:eastAsia="宋体" w:cs="宋体"/>
                <w:color w:val="000000"/>
                <w:sz w:val="24"/>
                <w:szCs w:val="24"/>
              </w:rPr>
              <w:t xml:space="preserve">，同时适用于盆底刺激和骶神经刺激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磁刺激主机和治疗座椅采用分体式设计，</w:t>
            </w:r>
            <w:r>
              <w:rPr>
                <w:rFonts w:hint="eastAsia" w:ascii="宋体" w:hAnsi="宋体" w:eastAsia="宋体" w:cs="宋体"/>
                <w:color w:val="000000"/>
                <w:sz w:val="24"/>
                <w:szCs w:val="24"/>
              </w:rPr>
              <w:t xml:space="preserve">液冷散热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座椅通过电磁兼容性EMC测试</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盆底和骶神经联合治疗时，无需患者调整治疗体位，</w:t>
            </w:r>
            <w:r>
              <w:rPr>
                <w:rFonts w:hint="eastAsia" w:ascii="宋体" w:hAnsi="宋体" w:eastAsia="宋体" w:cs="宋体"/>
                <w:color w:val="000000"/>
                <w:sz w:val="24"/>
                <w:szCs w:val="32"/>
                <w:lang w:val="en-US" w:eastAsia="zh-CN"/>
              </w:rPr>
              <w:t xml:space="preserve">座椅自动翻转</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主副双屏配置，主屏医护操作，副屏患者观看，医患实时互动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主屏为触控式操作屏</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磁刺激强度可进行电脑软件与磁刺激主机旋钮双模式调节</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开放式设计平台，具备触发输入输出通用接口，可兼容肌电图等设备</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val="en-US" w:eastAsia="zh-CN"/>
              </w:rPr>
              <w:t xml:space="preserve">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输出脉冲重复频率：0-</w:t>
            </w:r>
            <w:r>
              <w:rPr>
                <w:rFonts w:hint="eastAsia" w:ascii="宋体" w:hAnsi="宋体" w:eastAsia="宋体" w:cs="宋体"/>
                <w:color w:val="000000"/>
                <w:sz w:val="24"/>
                <w:szCs w:val="32"/>
                <w:lang w:val="en-US" w:eastAsia="zh-CN"/>
              </w:rPr>
              <w:t xml:space="preserve">10</w:t>
            </w:r>
            <w:r>
              <w:rPr>
                <w:rFonts w:hint="eastAsia" w:ascii="宋体" w:hAnsi="宋体" w:eastAsia="宋体" w:cs="宋体"/>
                <w:color w:val="000000"/>
                <w:sz w:val="24"/>
                <w:szCs w:val="32"/>
              </w:rPr>
              <w:t xml:space="preserve">0Hz可调，允差±3%；最小可调</w:t>
            </w:r>
            <w:r>
              <w:rPr>
                <w:rFonts w:hint="eastAsia" w:ascii="宋体" w:hAnsi="宋体" w:eastAsia="宋体" w:cs="宋体"/>
                <w:color w:val="000000"/>
                <w:sz w:val="24"/>
                <w:szCs w:val="24"/>
              </w:rPr>
              <w:t xml:space="preserve">步长为0.01Hz</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877"/>
              <w:numPr>
                <w:ilvl w:val="0"/>
                <w:numId w:val="0"/>
              </w:num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脉冲上升时间：≥50μs ±10μs；脉冲持续时间：≥340μs ±20μs；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13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磁感应强度最大变化率范围：60kT/s～90kT/s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32"/>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具备体外压力反馈模块</w:t>
            </w:r>
            <w:r>
              <w:rPr>
                <w:rFonts w:hint="eastAsia" w:ascii="宋体" w:hAnsi="宋体" w:eastAsia="宋体" w:cs="宋体"/>
                <w:color w:val="000000"/>
                <w:sz w:val="24"/>
                <w:szCs w:val="32"/>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软件具有标准模式、调频模式、调幅模式等多种脉冲输出模式</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val="en-US" w:eastAsia="zh-CN"/>
              </w:rPr>
              <w:t xml:space="preserve">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软件具有磁刺激、触发磁刺激等多种主动和被动训练功能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17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设备软件具有实时坐姿监测功能，出现错误坐姿，软件自动报警，指导患者进行正确坐姿</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内置治疗方案库，多种临床方案供医生选择，可以一键开启治疗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具有智能温度保护功能，刺激线圈温度达到≥40℃会自动停止输出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患者基本信息、临床方案、诊疗记录等信息海量存储，并可实时查询、编辑</w:t>
            </w:r>
            <w:r>
              <w:rPr>
                <w:rFonts w:hint="eastAsia" w:ascii="宋体" w:hAnsi="宋体" w:eastAsia="宋体" w:cs="宋体"/>
                <w:color w:val="000000"/>
                <w:sz w:val="24"/>
                <w:szCs w:val="24"/>
                <w:lang w:val="en-US" w:eastAsia="zh-CN"/>
              </w:rPr>
            </w:r>
            <w:r/>
          </w:p>
        </w:tc>
      </w:tr>
    </w:tbl>
    <w:p>
      <w:pPr>
        <w:pStyle w:val="71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18"/>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三、商务要求</w:t>
      </w:r>
      <w:r>
        <w:rPr>
          <w:rFonts w:hint="eastAsia" w:ascii="宋体" w:hAnsi="宋体" w:eastAsia="宋体" w:cs="宋体"/>
          <w:b/>
          <w:bCs/>
          <w:color w:val="000000"/>
          <w:sz w:val="24"/>
          <w:szCs w:val="24"/>
          <w:highlight w:val="none"/>
          <w:lang w:eastAsia="zh-CN"/>
        </w:rPr>
      </w:r>
      <w:r/>
    </w:p>
    <w:p>
      <w:pPr>
        <w:pStyle w:val="718"/>
        <w:ind w:firstLine="480"/>
        <w:spacing w:before="120" w:after="120" w:line="360" w:lineRule="auto"/>
        <w:rPr>
          <w:rFonts w:hint="eastAsia" w:ascii="宋体" w:hAnsi="宋体" w:eastAsia="宋体" w:cs="宋体"/>
          <w:color w:val="000000"/>
          <w:sz w:val="24"/>
          <w:szCs w:val="24"/>
          <w:lang w:val="en-US" w:eastAsia="zh-CN"/>
        </w:rPr>
      </w:pPr>
      <w:r/>
      <w:bookmarkStart w:id="122" w:name="_Hlk187855282"/>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lang w:val="en-US" w:eastAsia="zh-CN"/>
        </w:rPr>
        <w:t xml:space="preserve">付</w:t>
      </w:r>
      <w:r>
        <w:rPr>
          <w:rFonts w:hint="eastAsia" w:ascii="宋体" w:hAnsi="宋体" w:eastAsia="宋体" w:cs="宋体"/>
          <w:color w:val="000000"/>
          <w:sz w:val="24"/>
          <w:szCs w:val="24"/>
          <w:lang w:val="en-US" w:eastAsia="zh-CN"/>
        </w:rPr>
        <w:t xml:space="preserve">款方式：合同签订后，采购人在收到中标人发票后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color w:val="000000"/>
          <w:sz w:val="24"/>
          <w:szCs w:val="24"/>
          <w:lang w:val="en-US" w:eastAsia="zh-CN"/>
        </w:rPr>
        <w:t xml:space="preserve">内，采购人向中标人支付合同价款的30%作为预付款；设备安装调试、验收合格并出具验收报告（或验收单）后，中标人开具等额税务发票，采购人收到发票后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color w:val="000000"/>
          <w:sz w:val="24"/>
          <w:szCs w:val="24"/>
          <w:lang w:val="en-US" w:eastAsia="zh-CN"/>
        </w:rPr>
        <w:t xml:space="preserve">内向中标人支付合同剩余全部价款（签订合同时，中标人如明确表示无需预付款或主动要求降低预付款比例的，采购人可不适用前述规定。）</w:t>
      </w:r>
      <w:r>
        <w:rPr>
          <w:rFonts w:hint="eastAsia" w:ascii="宋体" w:hAnsi="宋体" w:eastAsia="宋体" w:cs="宋体"/>
          <w:color w:val="000000"/>
          <w:sz w:val="24"/>
          <w:szCs w:val="24"/>
          <w:lang w:val="en-US" w:eastAsia="zh-CN"/>
        </w:rPr>
      </w:r>
      <w:r/>
    </w:p>
    <w:p>
      <w:pPr>
        <w:pStyle w:val="71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2.交货期：合同签订后</w:t>
      </w:r>
      <w:r>
        <w:rPr>
          <w:rFonts w:hint="eastAsia" w:ascii="宋体" w:hAnsi="宋体" w:cs="宋体"/>
          <w:color w:val="000000"/>
          <w:sz w:val="24"/>
          <w:szCs w:val="24"/>
          <w:lang w:val="en-US" w:eastAsia="zh-CN"/>
        </w:rPr>
        <w:t xml:space="preserve">30日</w:t>
      </w:r>
      <w:r>
        <w:rPr>
          <w:rFonts w:hint="eastAsia" w:ascii="宋体" w:hAnsi="宋体" w:eastAsia="宋体" w:cs="宋体"/>
          <w:color w:val="000000"/>
          <w:sz w:val="24"/>
          <w:szCs w:val="24"/>
          <w:lang w:val="en-US" w:eastAsia="zh-CN"/>
        </w:rPr>
        <w:t xml:space="preserve">内交付采购人</w:t>
      </w:r>
      <w:r>
        <w:rPr>
          <w:rFonts w:hint="eastAsia" w:ascii="宋体" w:hAnsi="宋体" w:cs="宋体"/>
          <w:color w:val="000000"/>
          <w:sz w:val="24"/>
          <w:szCs w:val="24"/>
          <w:lang w:val="en-US" w:eastAsia="zh-CN"/>
        </w:rPr>
        <w:t xml:space="preserve">使用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18"/>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3.质保期：验收通过之日起，</w:t>
      </w:r>
      <w:r>
        <w:rPr>
          <w:rFonts w:hint="eastAsia" w:ascii="宋体" w:hAnsi="宋体" w:eastAsia="宋体" w:cs="宋体"/>
          <w:b w:val="0"/>
          <w:bCs w:val="0"/>
          <w:sz w:val="24"/>
          <w:szCs w:val="24"/>
          <w:lang w:val="en-US" w:eastAsia="zh-CN"/>
        </w:rPr>
        <w:t xml:space="preserve">提供不少于5年免费原厂质保（全保）</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71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lang w:val="en-US" w:eastAsia="zh-CN"/>
        </w:rPr>
        <w:t xml:space="preserve">交货地点：交付至</w:t>
      </w:r>
      <w:r>
        <w:rPr>
          <w:rFonts w:hint="eastAsia" w:ascii="宋体" w:hAnsi="宋体" w:eastAsia="宋体" w:cs="宋体"/>
          <w:color w:val="000000"/>
          <w:sz w:val="24"/>
          <w:szCs w:val="24"/>
          <w:lang w:val="en-US" w:eastAsia="zh-CN"/>
        </w:rPr>
        <w:t xml:space="preserve">采购人指定地点。</w:t>
      </w:r>
      <w:r>
        <w:rPr>
          <w:rFonts w:hint="eastAsia" w:ascii="宋体" w:hAnsi="宋体" w:eastAsia="宋体" w:cs="宋体"/>
          <w:color w:val="000000"/>
          <w:sz w:val="24"/>
          <w:szCs w:val="24"/>
          <w:lang w:val="en-US" w:eastAsia="zh-CN"/>
        </w:rPr>
      </w:r>
      <w:r/>
    </w:p>
    <w:p>
      <w:pPr>
        <w:pStyle w:val="718"/>
        <w:ind w:firstLine="48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5.负责原设备的拆除搬运及新设备的安装，负责康复原水路和电路的更新。</w:t>
      </w:r>
      <w:r>
        <w:rPr>
          <w:rFonts w:ascii="宋体" w:hAnsi="宋体" w:eastAsia="宋体" w:cs="宋体"/>
          <w:color w:val="000000"/>
          <w:sz w:val="24"/>
          <w:szCs w:val="24"/>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6.伴随服务：</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6.1技术培训：供应商提供设备首检的相关费用，</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向甲方临床医生提供免费初级应用培训1次、免费高级应用培训3次，确保采购人使用科室每位使用人员掌握完成日常工作所需的基本操作方法为止；</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向采购人技师及工程师提供免费维修培训和技术培训，确保采购人工程师掌握基本的维修保养操作技术为止。</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应向采购人免费提供维修手册和操作使用手册。如有专用工具，</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需向采购人提供设备维护的专用工具。</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6.2</w:t>
      </w:r>
      <w:r>
        <w:rPr>
          <w:rFonts w:hint="eastAsia" w:ascii="宋体" w:hAnsi="宋体" w:eastAsia="宋体" w:cs="宋体"/>
          <w:b w:val="0"/>
          <w:bCs w:val="0"/>
          <w:color w:val="000000"/>
          <w:sz w:val="24"/>
          <w:szCs w:val="24"/>
          <w:highlight w:val="none"/>
          <w:lang w:val="en-US" w:eastAsia="zh-CN"/>
        </w:rPr>
        <w:t xml:space="preserve">软件升级：免费开放数据接口，</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可按采购人需求对现有软件免费升级。</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6.3</w:t>
      </w:r>
      <w:r>
        <w:rPr>
          <w:rFonts w:hint="eastAsia" w:ascii="宋体" w:hAnsi="宋体" w:eastAsia="宋体" w:cs="宋体"/>
          <w:b w:val="0"/>
          <w:bCs w:val="0"/>
          <w:color w:val="000000"/>
          <w:sz w:val="24"/>
          <w:szCs w:val="24"/>
          <w:highlight w:val="none"/>
          <w:lang w:val="en-US" w:eastAsia="zh-CN"/>
        </w:rPr>
        <w:t xml:space="preserve">在设备寿命期内，</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须保证维修配件的供应和及时维修，维修价格保持不变（政策调整因素除外）。</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6.4</w:t>
      </w:r>
      <w:r>
        <w:rPr>
          <w:rFonts w:hint="eastAsia" w:ascii="宋体" w:hAnsi="宋体" w:eastAsia="宋体" w:cs="宋体"/>
          <w:b w:val="0"/>
          <w:bCs w:val="0"/>
          <w:color w:val="000000"/>
          <w:sz w:val="24"/>
          <w:szCs w:val="24"/>
          <w:highlight w:val="none"/>
          <w:lang w:val="en-US" w:eastAsia="zh-CN"/>
        </w:rPr>
        <w:t xml:space="preserve">无论在全保期内还是全保期外，</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均承诺免费上门维修，</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工程师至医院维修本设备，必须事先与采购人设备管理部门取得联系，并做相应登记；在维修过程中与采购人工程师共同完成维修工作。否则引起的一切责任由</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负责。为保证设备正常运行，</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承诺在设备的使用寿命周期内保证为采购人更换原厂正品的零部件，确保设备的正常使用。</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lang w:val="en-US" w:eastAsia="zh-CN"/>
        </w:rPr>
        <w:t xml:space="preserve">提供合同货物使用和维护方面的最新技术信息和资料。</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6.6免费链接医院信息化系统，免费开放端口。</w:t>
      </w:r>
      <w:r>
        <w:rPr>
          <w:rFonts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6.7备品备件要求：在全保期内，非人为原因损坏的情况下，采购人实际所需备件超出该清单范围的部分，由供应商无偿提供。自设备售出10年内，供应商应保证零配件的供应。</w:t>
      </w:r>
      <w:r>
        <w:rPr>
          <w:rFonts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7.售后服务要求</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7.1保证设备全保期内开机率高于95%，如设备故障停机率超过5%（一年按365天计算，每年18天），每超过一天，全保期延长两周。</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7.2免费全保期内，应在接到故障通知2小时内作出有效响应，并在24小时内到达现场免费予以排除故障、修复或更换零部件。如3个工作日内不能修复必须提供备用机使用，确保招标人能正常开展工作，设备在设计使用周期内，保证更换到原厂配件。</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7.3所有设备保修服务方式均为供应商上门保修，即由供应商派员到设备使用现场维修，由此产生的一切费用由供应商承担。供应商确保维修后设备符合《医疗器械监督管理条例》和《医疗器械使用质量监督管理办法》等相关规定。</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8.供应商提供的设备性能及质量应按照法律规定符合相应的国家标准、行业标准或企业标准，以其中最高标准为准。</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9.供应商应保证设备是全新、未使用过的原装合格正品，产品出厂日期不得超过6个月，同时应有相应生产企业的合格证或质量检测证明、产品说明书等证件。</w:t>
      </w:r>
      <w:r>
        <w:rPr>
          <w:rFonts w:ascii="宋体" w:hAnsi="宋体" w:eastAsia="宋体" w:cs="宋体"/>
          <w:b w:val="0"/>
          <w:bCs w:val="0"/>
          <w:color w:val="000000"/>
          <w:sz w:val="24"/>
          <w:szCs w:val="24"/>
          <w:highlight w:val="none"/>
          <w:lang w:val="en-US" w:eastAsia="zh-CN"/>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四、验收标准</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由采购人自行组织履约验收，可采用一次性验收和分期（分段）验收等方式开展履约验收。</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履约验收的基本要求：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配合采购人做好项目验收，提供与验收相关的生产、技术、服务、数量、质量、安全等资料，根据实际需要做好技术说明、测试演示或场景应用情况分析等工作，并对所提供资料和材料的真实性负责。</w:t>
      </w:r>
      <w:bookmarkStart w:id="123" w:name="OLE_LINK9"/>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3.验收时间：设备安装调试经采购人临床试用并达到验收标准后，采购人根据合同约定组织验收。</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b w:val="0"/>
          <w:bCs/>
          <w:color w:val="000000"/>
          <w:sz w:val="24"/>
          <w:szCs w:val="24"/>
          <w:highlight w:val="none"/>
          <w:lang w:val="en-US" w:eastAsia="zh-CN"/>
        </w:rPr>
      </w:pPr>
      <w:r/>
      <w:bookmarkEnd w:id="122"/>
      <w:r>
        <w:rPr>
          <w:rFonts w:hint="eastAsia" w:ascii="宋体" w:hAnsi="宋体" w:eastAsia="宋体" w:cs="宋体"/>
          <w:b w:val="0"/>
          <w:bCs/>
          <w:color w:val="000000"/>
          <w:sz w:val="24"/>
          <w:szCs w:val="24"/>
          <w:highlight w:val="none"/>
          <w:lang w:val="en-US" w:eastAsia="zh-CN"/>
        </w:rPr>
        <w:t xml:space="preserve">4.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rPr>
          <w:rFonts w:hint="eastAsia" w:ascii="宋体" w:hAnsi="宋体" w:eastAsia="宋体" w:cs="宋体"/>
          <w:b w:val="0"/>
          <w:bCs/>
          <w:color w:val="000000"/>
          <w:sz w:val="24"/>
          <w:szCs w:val="24"/>
          <w:highlight w:val="none"/>
          <w:lang w:val="en-US" w:eastAsia="zh-CN"/>
        </w:rPr>
      </w:r>
      <w:r/>
    </w:p>
    <w:p>
      <w:pPr>
        <w:pStyle w:val="71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五、其他要求</w:t>
      </w:r>
      <w:r>
        <w:rPr>
          <w:rFonts w:hint="eastAsia" w:ascii="宋体" w:hAnsi="宋体" w:eastAsia="宋体" w:cs="宋体"/>
          <w:color w:val="000000"/>
          <w:sz w:val="24"/>
          <w:szCs w:val="24"/>
          <w:highlight w:val="none"/>
        </w:rPr>
      </w:r>
      <w:r/>
    </w:p>
    <w:p>
      <w:pPr>
        <w:pStyle w:val="1175"/>
        <w:ind w:firstLine="480"/>
        <w:jc w:val="both"/>
        <w:spacing w:before="0" w:beforeAutospacing="0" w:after="0" w:afterAutospacing="0" w:line="360" w:lineRule="auto"/>
        <w:widowControl w:val="off"/>
        <w:rPr>
          <w:rFonts w:ascii="宋体" w:hAnsi="宋体" w:eastAsia="宋体" w:cs="宋体"/>
          <w:color w:val="000000"/>
          <w:highlight w:val="none"/>
          <w:lang w:val="en-US" w:eastAsia="zh-CN"/>
        </w:rPr>
      </w:pPr>
      <w:r/>
      <w:bookmarkEnd w:id="123"/>
      <w:r>
        <w:rPr>
          <w:rFonts w:hint="eastAsia"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项目实施方案</w:t>
      </w:r>
      <w:r>
        <w:rPr>
          <w:rFonts w:ascii="宋体" w:hAnsi="宋体" w:eastAsia="宋体" w:cs="宋体"/>
          <w:color w:val="000000"/>
          <w:highlight w:val="none"/>
          <w:lang w:val="en-US" w:eastAsia="zh-CN"/>
        </w:rPr>
      </w:r>
      <w:r/>
    </w:p>
    <w:p>
      <w:pPr>
        <w:pStyle w:val="1175"/>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该项目提供符合采购人情况的设备交付方案和安装调试方案。根据其完善性、可实施性、有效性等情况进行综合评审。要求：具有明确的交货时间，方案全面，可实施性强，设备交付安装安排合理，时间进度安排合理。</w:t>
      </w:r>
      <w:r>
        <w:rPr>
          <w:rFonts w:hint="eastAsia" w:ascii="宋体" w:hAnsi="宋体" w:eastAsia="宋体" w:cs="宋体"/>
          <w:color w:val="000000"/>
          <w:highlight w:val="none"/>
        </w:rPr>
      </w:r>
      <w:r/>
    </w:p>
    <w:p>
      <w:pPr>
        <w:pStyle w:val="1175"/>
        <w:ind w:firstLine="480"/>
        <w:jc w:val="both"/>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售后服务方案</w:t>
      </w:r>
      <w:r>
        <w:rPr>
          <w:rFonts w:hint="eastAsia" w:ascii="宋体" w:hAnsi="宋体" w:eastAsia="宋体" w:cs="宋体"/>
          <w:color w:val="000000"/>
          <w:highlight w:val="none"/>
          <w:lang w:val="en-US" w:eastAsia="zh-CN"/>
        </w:rPr>
      </w:r>
      <w:r/>
    </w:p>
    <w:p>
      <w:pPr>
        <w:pStyle w:val="1175"/>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lang w:val="en-US" w:eastAsia="zh-CN" w:bidi="ar-SA"/>
        </w:rPr>
        <w:t xml:space="preserve">根据该项目提供符合采购人情况的售后及应急服务方案及售后服务承诺。根据其完善性、可实施性及承诺响应时间、工程到场时间进行综合评审。要求：响应时间满足2小时内电话响应进行线上指导，24小时内</w:t>
      </w:r>
      <w:r>
        <w:rPr>
          <w:rFonts w:hint="eastAsia" w:ascii="宋体" w:hAnsi="宋体" w:eastAsia="宋体" w:cs="宋体"/>
          <w:color w:val="000000"/>
          <w:sz w:val="24"/>
          <w:szCs w:val="24"/>
          <w:lang w:val="en-US" w:eastAsia="zh-CN" w:bidi="ar-SA"/>
        </w:rPr>
        <w:t xml:space="preserve">到</w:t>
      </w:r>
      <w:r>
        <w:rPr>
          <w:rFonts w:hint="eastAsia" w:ascii="宋体" w:hAnsi="宋体" w:eastAsia="宋体" w:cs="宋体"/>
          <w:color w:val="000000"/>
          <w:sz w:val="24"/>
          <w:szCs w:val="24"/>
          <w:lang w:val="en-US" w:eastAsia="zh-CN" w:bidi="ar-SA"/>
        </w:rPr>
        <w:t xml:space="preserve">达现场，并提供备用配件供临时使用。应急售后措施完善</w:t>
      </w:r>
      <w:r>
        <w:rPr>
          <w:rFonts w:hint="eastAsia" w:eastAsia="宋体" w:cs="宋体"/>
          <w:color w:val="000000"/>
          <w:sz w:val="24"/>
          <w:szCs w:val="24"/>
          <w:lang w:val="en-US" w:eastAsia="zh-CN" w:bidi="ar-SA"/>
        </w:rPr>
        <w:t xml:space="preserve">，具</w:t>
      </w:r>
      <w:r>
        <w:rPr>
          <w:rFonts w:hint="eastAsia" w:ascii="宋体" w:hAnsi="宋体" w:eastAsia="宋体" w:cs="宋体"/>
          <w:color w:val="000000"/>
          <w:sz w:val="24"/>
          <w:szCs w:val="24"/>
          <w:lang w:val="en-US" w:eastAsia="zh-CN" w:bidi="ar-SA"/>
        </w:rPr>
        <w:t xml:space="preserve">有预见性，对可能存在的情况有具体应对方案和具体时间节点安排，管理力量雄厚，技术人员专业素养高且有经验，人员配备合理，承诺响应时间、到场时间等方案。</w:t>
      </w:r>
      <w:r>
        <w:rPr>
          <w:rFonts w:hint="eastAsia" w:ascii="宋体" w:hAnsi="宋体" w:eastAsia="宋体" w:cs="宋体"/>
          <w:color w:val="000000"/>
          <w:highlight w:val="none"/>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aps w:val="0"/>
          <w:color w:val="000000"/>
          <w:sz w:val="24"/>
          <w:szCs w:val="24"/>
          <w:highlight w:val="none"/>
          <w:lang w:val="en-US" w:eastAsia="zh-CN" w:bidi="ar-SA"/>
        </w:rPr>
      </w:pPr>
      <w:r>
        <w:rPr>
          <w:rFonts w:hint="eastAsia" w:eastAsia="宋体" w:cs="宋体"/>
          <w:b w:val="0"/>
          <w:bCs/>
          <w:caps w:val="0"/>
          <w:color w:val="000000"/>
          <w:sz w:val="24"/>
          <w:szCs w:val="24"/>
          <w:highlight w:val="none"/>
          <w:lang w:val="en-US" w:eastAsia="zh-CN" w:bidi="ar-SA"/>
        </w:rPr>
        <w:t xml:space="preserve">3.</w:t>
      </w:r>
      <w:r>
        <w:rPr>
          <w:rFonts w:hint="eastAsia" w:ascii="宋体" w:hAnsi="宋体" w:eastAsia="宋体" w:cs="宋体"/>
          <w:b w:val="0"/>
          <w:bCs/>
          <w:caps w:val="0"/>
          <w:color w:val="000000"/>
          <w:sz w:val="24"/>
          <w:szCs w:val="24"/>
          <w:highlight w:val="none"/>
          <w:lang w:val="en-US" w:eastAsia="zh-CN" w:bidi="ar-SA"/>
        </w:rPr>
        <w:t xml:space="preserve">培训及技术支持方案</w:t>
      </w:r>
      <w:r>
        <w:rPr>
          <w:rFonts w:hint="eastAsia" w:ascii="宋体" w:hAnsi="宋体" w:eastAsia="宋体" w:cs="宋体"/>
          <w:b w:val="0"/>
          <w:bCs/>
          <w:caps w:val="0"/>
          <w:color w:val="000000"/>
          <w:sz w:val="24"/>
          <w:szCs w:val="24"/>
          <w:highlight w:val="none"/>
          <w:lang w:val="en-US" w:eastAsia="zh-CN" w:bidi="ar-SA"/>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根据该项目提供符合采购人情况的培训服务方案及技术支持方案。根据其内容完善性、全面性、是否科学规范、可操作</w:t>
      </w:r>
      <w:r>
        <w:rPr>
          <w:rFonts w:hint="eastAsia" w:eastAsia="宋体" w:cs="宋体"/>
          <w:b w:val="0"/>
          <w:bCs/>
          <w:color w:val="000000"/>
          <w:sz w:val="24"/>
          <w:szCs w:val="24"/>
          <w:lang w:val="en-US" w:eastAsia="zh-CN" w:bidi="ar-SA"/>
        </w:rPr>
        <w:t xml:space="preserve">性</w:t>
      </w:r>
      <w:r>
        <w:rPr>
          <w:rFonts w:hint="eastAsia" w:ascii="宋体" w:hAnsi="宋体" w:eastAsia="宋体" w:cs="宋体"/>
          <w:b w:val="0"/>
          <w:bCs/>
          <w:color w:val="000000"/>
          <w:sz w:val="24"/>
          <w:szCs w:val="24"/>
          <w:lang w:val="en-US" w:eastAsia="zh-CN" w:bidi="ar-SA"/>
        </w:rPr>
        <w:t xml:space="preserve">、是否便于实施等具体内容进行综合评审。要求：人员的操作培训和售后培训以及采购人所需的技术和学术支持。承诺完善、具体合理、服务时间长、服务费合理、有明确的、具体可行的培训方案和措施，保证采购人能熟练操作、维护和正常使用、具有技术和学术支持的能力并且有明确、合理、可行的支持方案。</w:t>
      </w:r>
      <w:bookmarkStart w:id="124" w:name="_Toc81575169"/>
      <w:r/>
      <w:bookmarkStart w:id="125" w:name="_Toc31499"/>
      <w:r/>
      <w:bookmarkStart w:id="126" w:name="_Toc81575206"/>
      <w:r/>
      <w:bookmarkStart w:id="127" w:name="_Toc2513"/>
      <w:r/>
      <w:bookmarkStart w:id="128" w:name="_Toc22098"/>
      <w:r>
        <w:rPr>
          <w:rFonts w:hint="eastAsia" w:ascii="宋体" w:hAnsi="宋体" w:eastAsia="宋体" w:cs="宋体"/>
          <w:b w:val="0"/>
          <w:bCs/>
          <w:color w:val="000000"/>
          <w:sz w:val="24"/>
          <w:szCs w:val="24"/>
          <w:lang w:val="en-US" w:eastAsia="zh-CN" w:bidi="ar-SA"/>
        </w:rPr>
      </w:r>
      <w:r/>
    </w:p>
    <w:p>
      <w:pPr>
        <w:pStyle w:val="1175"/>
        <w:numPr>
          <w:ilvl w:val="0"/>
          <w:numId w:val="5"/>
        </w:numPr>
        <w:ind w:firstLine="482"/>
        <w:jc w:val="both"/>
        <w:spacing w:before="0" w:beforeAutospacing="0" w:after="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政府采购中实施本国产品标准及相关政策</w:t>
      </w:r>
      <w:r>
        <w:rPr>
          <w:rFonts w:hint="eastAsia" w:ascii="宋体" w:hAnsi="宋体" w:eastAsia="宋体" w:cs="宋体"/>
          <w:b/>
          <w:color w:val="000000"/>
          <w:sz w:val="24"/>
          <w:szCs w:val="24"/>
          <w:highlight w:val="none"/>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1.本项目对采购本国产品给予政策支持，具体内容见招标文件“第三章 评标方法与评标标准”。</w:t>
      </w:r>
      <w:r>
        <w:rPr>
          <w:rFonts w:hint="eastAsia" w:ascii="宋体" w:hAnsi="宋体" w:eastAsia="宋体" w:cs="宋体"/>
          <w:b w:val="0"/>
          <w:bCs/>
          <w:color w:val="000000"/>
          <w:sz w:val="24"/>
          <w:szCs w:val="24"/>
          <w:lang w:val="en-US" w:eastAsia="zh-CN" w:bidi="ar-SA"/>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lang w:val="en-US" w:eastAsia="zh-CN" w:bidi="ar-SA"/>
        </w:rPr>
      </w:r>
      <w:r/>
    </w:p>
    <w:p>
      <w:pPr>
        <w:pStyle w:val="1175"/>
        <w:numPr>
          <w:ilvl w:val="0"/>
          <w:numId w:val="0"/>
        </w:numPr>
        <w:ind w:firstLine="480"/>
        <w:jc w:val="both"/>
        <w:spacing w:before="0" w:beforeAutospacing="0" w:after="0" w:afterAutospacing="0" w:line="360" w:lineRule="auto"/>
        <w:widowControl w:val="off"/>
        <w:rPr>
          <w:rFonts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color w:val="000000"/>
          <w:sz w:val="24"/>
          <w:szCs w:val="24"/>
          <w:lang w:val="en-US" w:eastAsia="zh-CN" w:bidi="ar-SA"/>
        </w:rPr>
        <w:tab/>
      </w:r>
      <w:r>
        <w:rPr>
          <w:rFonts w:ascii="宋体" w:hAnsi="宋体" w:eastAsia="宋体" w:cs="宋体"/>
          <w:b w:val="0"/>
          <w:bCs/>
          <w:color w:val="000000"/>
          <w:sz w:val="24"/>
          <w:szCs w:val="24"/>
          <w:lang w:val="en-US" w:eastAsia="zh-CN" w:bidi="ar-SA"/>
        </w:rPr>
      </w:r>
      <w:r/>
    </w:p>
    <w:p>
      <w:pPr>
        <w:pStyle w:val="719"/>
        <w:numPr>
          <w:ilvl w:val="0"/>
          <w:numId w:val="0"/>
        </w:numPr>
        <w:jc w:val="center"/>
        <w:spacing w:before="0" w:after="0" w:line="240" w:lineRule="auto"/>
        <w:rPr>
          <w:rFonts w:ascii="宋体" w:hAnsi="宋体" w:eastAsia="宋体" w:cs="宋体"/>
          <w:b/>
          <w:bCs/>
          <w:color w:val="000000"/>
          <w:spacing w:val="-20"/>
          <w:highlight w:val="none"/>
          <w:lang w:eastAsia="zh-CN"/>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4"/>
      <w:r/>
      <w:bookmarkEnd w:id="125"/>
      <w:r/>
      <w:bookmarkEnd w:id="126"/>
      <w:r/>
      <w:bookmarkEnd w:id="127"/>
      <w:r/>
      <w:bookmarkEnd w:id="128"/>
      <w:r/>
      <w:bookmarkStart w:id="129" w:name="_Hlk187856708"/>
      <w:r/>
      <w:bookmarkStart w:id="130" w:name="_Toc20823315"/>
      <w:r/>
      <w:bookmarkStart w:id="131" w:name="_Toc16938559"/>
      <w:r/>
      <w:bookmarkStart w:id="132" w:name="_Toc513029243"/>
      <w:r>
        <w:rPr>
          <w:rFonts w:ascii="宋体" w:hAnsi="宋体" w:eastAsia="宋体" w:cs="宋体"/>
          <w:b/>
          <w:bCs/>
          <w:color w:val="000000"/>
          <w:spacing w:val="-20"/>
          <w:highlight w:val="none"/>
          <w:lang w:eastAsia="zh-CN"/>
        </w:rPr>
      </w:r>
      <w:r/>
    </w:p>
    <w:p>
      <w:pPr>
        <w:pStyle w:val="718"/>
        <w:jc w:val="center"/>
        <w:spacing w:before="120" w:after="120"/>
        <w:rPr>
          <w:rFonts w:hint="eastAsia" w:ascii="Times New Roman" w:hAnsi="Times New Roman"/>
          <w:b/>
          <w:caps w:val="0"/>
          <w:color w:val="000000"/>
          <w:sz w:val="30"/>
          <w:highlight w:val="none"/>
        </w:rPr>
        <w:outlineLvl w:val="0"/>
      </w:pPr>
      <w:r/>
      <w:bookmarkEnd w:id="129"/>
      <w:r/>
      <w:bookmarkStart w:id="133" w:name="_Toc155086567"/>
      <w:r/>
      <w:bookmarkStart w:id="134" w:name="_Toc17049"/>
      <w:r>
        <w:rPr>
          <w:rFonts w:hint="eastAsia" w:ascii="Times New Roman" w:hAnsi="Times New Roman"/>
          <w:b/>
          <w:caps w:val="0"/>
          <w:color w:val="000000"/>
          <w:sz w:val="30"/>
          <w:highlight w:val="none"/>
        </w:rPr>
        <w:t xml:space="preserve">政府采购合同（货物）</w:t>
      </w:r>
      <w:bookmarkEnd w:id="133"/>
      <w:r/>
      <w:bookmarkEnd w:id="134"/>
      <w:r>
        <w:rPr>
          <w:rFonts w:hint="eastAsia" w:ascii="Times New Roman" w:hAnsi="Times New Roman"/>
          <w:b/>
          <w:caps w:val="0"/>
          <w:color w:val="000000"/>
          <w:sz w:val="30"/>
          <w:highlight w:val="none"/>
        </w:rPr>
      </w:r>
      <w:r/>
    </w:p>
    <w:p>
      <w:pPr>
        <w:pStyle w:val="718"/>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rPr>
      </w:r>
      <w:r/>
    </w:p>
    <w:p>
      <w:pPr>
        <w:pStyle w:val="718"/>
        <w:ind w:right="1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718"/>
        <w:ind w:firstLine="480"/>
        <w:spacing w:line="440" w:lineRule="exact"/>
        <w:rPr>
          <w:rFonts w:hint="eastAsia" w:ascii="宋体" w:hAnsi="宋体"/>
          <w:sz w:val="24"/>
          <w:szCs w:val="24"/>
          <w:highlight w:val="none"/>
          <w:u w:val="none"/>
          <w:lang w:eastAsia="zh-CN"/>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甲方</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w:t>
      </w:r>
      <w:r>
        <w:rPr>
          <w:rFonts w:hint="eastAsia" w:ascii="宋体" w:hAnsi="宋体"/>
          <w:sz w:val="24"/>
          <w:szCs w:val="24"/>
          <w:highlight w:val="none"/>
          <w:u w:val="none"/>
          <w:lang w:eastAsia="zh-CN"/>
        </w:rPr>
        <w:t xml:space="preserve">沭阳县第一人民医院</w:t>
      </w:r>
      <w:r>
        <w:rPr>
          <w:rFonts w:hint="eastAsia" w:ascii="宋体" w:hAnsi="宋体"/>
          <w:sz w:val="24"/>
          <w:szCs w:val="24"/>
          <w:highlight w:val="none"/>
          <w:u w:val="none"/>
          <w:lang w:eastAsia="zh-CN"/>
        </w:rPr>
      </w:r>
      <w:r/>
    </w:p>
    <w:p>
      <w:pPr>
        <w:pStyle w:val="718"/>
        <w:ind w:firstLine="480"/>
        <w:spacing w:line="440" w:lineRule="exact"/>
        <w:rPr>
          <w:rFonts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地址：</w:t>
      </w:r>
      <w:r>
        <w:rPr>
          <w:rFonts w:ascii="宋体" w:hAnsi="宋体"/>
          <w:sz w:val="24"/>
          <w:szCs w:val="24"/>
          <w:highlight w:val="none"/>
          <w:u w:val="none"/>
          <w:lang w:val="en-US" w:eastAsia="zh-CN"/>
        </w:rPr>
      </w:r>
      <w:r/>
    </w:p>
    <w:p>
      <w:pPr>
        <w:pStyle w:val="718"/>
        <w:ind w:firstLine="480"/>
        <w:spacing w:line="440" w:lineRule="exact"/>
        <w:rPr>
          <w:rFonts w:hint="eastAsia" w:ascii="宋体" w:hAnsi="宋体"/>
          <w:sz w:val="24"/>
          <w:szCs w:val="24"/>
          <w:highlight w:val="none"/>
          <w:u w:val="none"/>
        </w:rPr>
      </w:pPr>
      <w:r>
        <w:rPr>
          <w:rFonts w:hint="eastAsia" w:ascii="宋体" w:hAnsi="宋体"/>
          <w:sz w:val="24"/>
          <w:szCs w:val="24"/>
          <w:highlight w:val="none"/>
          <w:u w:val="none"/>
          <w:lang w:val="en-US" w:eastAsia="zh-CN"/>
        </w:rPr>
        <w:t xml:space="preserve">中标</w:t>
      </w:r>
      <w:r>
        <w:rPr>
          <w:rFonts w:hint="eastAsia" w:ascii="宋体" w:hAnsi="宋体"/>
          <w:sz w:val="24"/>
          <w:szCs w:val="24"/>
          <w:highlight w:val="none"/>
          <w:u w:val="none"/>
        </w:rPr>
        <w:t xml:space="preserve">人</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乙方</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rPr>
        <w:t xml:space="preserve">：</w:t>
      </w:r>
      <w:r>
        <w:rPr>
          <w:rFonts w:hint="eastAsia" w:ascii="宋体" w:hAnsi="宋体"/>
          <w:sz w:val="24"/>
          <w:szCs w:val="24"/>
          <w:highlight w:val="none"/>
          <w:u w:val="none"/>
        </w:rPr>
      </w:r>
      <w:r/>
    </w:p>
    <w:p>
      <w:pPr>
        <w:pStyle w:val="718"/>
        <w:ind w:firstLine="480"/>
        <w:spacing w:line="360" w:lineRule="auto"/>
        <w:rPr>
          <w:rFonts w:hint="eastAsia"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地址：</w:t>
      </w:r>
      <w:r>
        <w:rPr>
          <w:rFonts w:hint="eastAsia" w:ascii="宋体" w:hAnsi="宋体"/>
          <w:sz w:val="24"/>
          <w:szCs w:val="24"/>
          <w:highlight w:val="none"/>
          <w:u w:val="none"/>
          <w:lang w:val="en-US" w:eastAsia="zh-CN"/>
        </w:rPr>
      </w:r>
      <w:r/>
    </w:p>
    <w:p>
      <w:pPr>
        <w:pStyle w:val="7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w:t>
      </w:r>
      <w:r>
        <w:rPr>
          <w:rFonts w:hint="eastAsia" w:ascii="宋体" w:hAnsi="宋体" w:eastAsia="宋体" w:cs="宋体"/>
          <w:sz w:val="24"/>
          <w:szCs w:val="24"/>
          <w:highlight w:val="none"/>
          <w:lang w:eastAsia="zh-CN"/>
        </w:rPr>
        <w:t xml:space="preserve">政府采购法</w:t>
      </w:r>
      <w:r>
        <w:rPr>
          <w:rFonts w:hint="eastAsia" w:ascii="宋体" w:hAnsi="宋体" w:eastAsia="宋体" w:cs="宋体"/>
          <w:sz w:val="24"/>
          <w:szCs w:val="24"/>
          <w:highlight w:val="none"/>
        </w:rPr>
        <w:t xml:space="preserve">》《中华人民共和国民法典》及其他有关法律、行政法规，遵循平等、自愿、公平和诚实信用的原则，双方就</w:t>
      </w:r>
      <w:r>
        <w:rPr>
          <w:rFonts w:hint="eastAsia" w:ascii="宋体" w:hAnsi="宋体" w:eastAsia="宋体" w:cs="宋体"/>
          <w:sz w:val="24"/>
          <w:szCs w:val="24"/>
          <w:highlight w:val="none"/>
          <w:lang w:val="en-US" w:eastAsia="zh-CN"/>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项目名称为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采购项目</w:t>
      </w:r>
      <w:r>
        <w:rPr>
          <w:rFonts w:hint="eastAsia" w:ascii="宋体" w:hAnsi="宋体" w:eastAsia="宋体" w:cs="宋体"/>
          <w:sz w:val="24"/>
          <w:szCs w:val="24"/>
          <w:highlight w:val="none"/>
        </w:rPr>
        <w:t xml:space="preserve">的采购</w:t>
      </w:r>
      <w:r>
        <w:rPr>
          <w:rFonts w:hint="eastAsia" w:ascii="宋体" w:hAnsi="宋体" w:eastAsia="宋体" w:cs="宋体"/>
          <w:bCs/>
          <w:sz w:val="24"/>
          <w:szCs w:val="24"/>
          <w:highlight w:val="none"/>
        </w:rPr>
        <w:t xml:space="preserve">相关</w:t>
      </w:r>
      <w:r>
        <w:rPr>
          <w:rFonts w:hint="eastAsia" w:ascii="宋体" w:hAnsi="宋体" w:eastAsia="宋体" w:cs="宋体"/>
          <w:sz w:val="24"/>
          <w:szCs w:val="24"/>
          <w:highlight w:val="none"/>
        </w:rPr>
        <w:t xml:space="preserve">事项协商一致，达成如下合同条款：</w:t>
      </w:r>
      <w:r>
        <w:rPr>
          <w:rFonts w:hint="eastAsia" w:ascii="宋体" w:hAnsi="宋体" w:eastAsia="宋体" w:cs="宋体"/>
          <w:sz w:val="24"/>
          <w:szCs w:val="24"/>
          <w:highlight w:val="none"/>
        </w:rPr>
      </w:r>
      <w:r/>
    </w:p>
    <w:p>
      <w:pPr>
        <w:pStyle w:val="718"/>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第一条  合同组成</w:t>
      </w:r>
      <w:r>
        <w:rPr>
          <w:rFonts w:hint="eastAsia" w:ascii="宋体" w:hAnsi="宋体" w:eastAsia="宋体" w:cs="宋体"/>
          <w:b/>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1.本合同条款；</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000000"/>
          <w:sz w:val="24"/>
          <w:lang w:val="en-US" w:eastAsia="zh-CN" w:bidi="ar-SA"/>
        </w:rPr>
        <w:t xml:space="preserve">招标文件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color w:val="000000"/>
          <w:sz w:val="24"/>
          <w:lang w:val="en-US" w:eastAsia="zh-CN" w:bidi="ar-SA"/>
        </w:rPr>
        <w:t xml:space="preserve">乙方投标文件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color w:val="000000"/>
          <w:sz w:val="24"/>
          <w:lang w:val="en-US" w:eastAsia="zh-CN" w:bidi="ar-SA"/>
        </w:rPr>
        <w:t xml:space="preserve">中标</w:t>
      </w:r>
      <w:r>
        <w:rPr>
          <w:rFonts w:hint="eastAsia" w:ascii="宋体" w:hAnsi="宋体" w:eastAsia="宋体" w:cs="宋体"/>
          <w:sz w:val="24"/>
          <w:szCs w:val="24"/>
          <w:highlight w:val="none"/>
          <w:lang w:val="en-US" w:eastAsia="zh-CN" w:bidi="ar-SA"/>
        </w:rPr>
        <w:t xml:space="preserve">（成交）通知书。</w:t>
      </w:r>
      <w:r>
        <w:rPr>
          <w:rFonts w:hint="eastAsia" w:ascii="宋体" w:hAnsi="宋体" w:eastAsia="宋体" w:cs="宋体"/>
          <w:sz w:val="24"/>
          <w:szCs w:val="24"/>
          <w:highlight w:val="none"/>
          <w:lang w:val="en-US" w:eastAsia="zh-CN" w:bidi="ar-SA"/>
        </w:rPr>
      </w:r>
      <w:r/>
    </w:p>
    <w:p>
      <w:pPr>
        <w:pStyle w:val="718"/>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第二条合同标的</w:t>
      </w:r>
      <w:r>
        <w:rPr>
          <w:rFonts w:hint="eastAsia" w:ascii="宋体" w:hAnsi="宋体" w:eastAsia="宋体" w:cs="宋体"/>
          <w:b/>
          <w:sz w:val="24"/>
          <w:szCs w:val="24"/>
          <w:highlight w:val="none"/>
          <w:lang w:val="en-US" w:eastAsia="zh-CN" w:bidi="ar-SA"/>
        </w:rPr>
      </w:r>
      <w:r/>
    </w:p>
    <w:p>
      <w:pPr>
        <w:pStyle w:val="718"/>
        <w:ind w:left="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乙方根据甲方需求提供下列设备</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具体配置详见附页《配置清单》。</w:t>
      </w:r>
      <w:r>
        <w:rPr>
          <w:rFonts w:hint="eastAsia" w:ascii="宋体" w:hAnsi="宋体" w:eastAsia="宋体" w:cs="宋体"/>
          <w:sz w:val="24"/>
          <w:szCs w:val="24"/>
          <w:highlight w:val="none"/>
          <w:lang w:val="en-US" w:eastAsia="zh-CN" w:bidi="ar-SA"/>
        </w:rPr>
      </w:r>
      <w:r/>
    </w:p>
    <w:tbl>
      <w:tblPr>
        <w:tblW w:w="91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8"/>
        <w:gridCol w:w="1725"/>
        <w:gridCol w:w="1276"/>
        <w:gridCol w:w="1519"/>
        <w:gridCol w:w="1230"/>
        <w:gridCol w:w="708"/>
        <w:gridCol w:w="743"/>
        <w:gridCol w:w="1186"/>
      </w:tblGrid>
      <w:tr>
        <w:trPr>
          <w:trHeight w:val="51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名称</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产地品牌</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规格型号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单价（元）</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数量</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单位</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总价（元）</w:t>
            </w:r>
            <w:r>
              <w:rPr>
                <w:rFonts w:hint="eastAsia" w:ascii="宋体" w:hAnsi="宋体" w:eastAsia="宋体" w:cs="宋体"/>
                <w:sz w:val="24"/>
                <w:szCs w:val="24"/>
                <w:highlight w:val="none"/>
                <w:lang w:val="en-US"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合计：人民币（大写）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元整（¥</w:t>
      </w:r>
      <w:r>
        <w:rPr>
          <w:rFonts w:hint="eastAsia" w:ascii="宋体" w:hAnsi="宋体" w:eastAsia="宋体" w:cs="宋体"/>
          <w:sz w:val="24"/>
          <w:szCs w:val="24"/>
          <w:highlight w:val="none"/>
          <w:u w:val="single"/>
          <w:lang w:val="en-US" w:eastAsia="zh-CN" w:bidi="ar-SA"/>
        </w:rPr>
        <w:t xml:space="preserve">   .00</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本合同总价款包括设备设计、制造、包装、仓储、运输、安装、验收合格之前和质保期内备品备件发生的所有含税费用以及乙方应当提供的售后服务费用。</w:t>
      </w:r>
      <w:r>
        <w:rPr>
          <w:rFonts w:hint="eastAsia" w:ascii="宋体" w:hAnsi="宋体" w:eastAsia="宋体" w:cs="宋体"/>
          <w:sz w:val="24"/>
          <w:szCs w:val="24"/>
          <w:highlight w:val="none"/>
          <w:lang w:val="en-US" w:eastAsia="zh-CN" w:bidi="ar-SA"/>
        </w:rPr>
      </w:r>
      <w:r/>
    </w:p>
    <w:p>
      <w:pPr>
        <w:pStyle w:val="718"/>
        <w:ind w:left="42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第三条   质量技术标准</w:t>
      </w:r>
      <w:r>
        <w:rPr>
          <w:rFonts w:hint="eastAsia" w:ascii="宋体" w:hAnsi="宋体" w:eastAsia="宋体" w:cs="宋体"/>
          <w:b/>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乙方提供的设备性能及质量应按照法律规定符合相应的国家标准、行业标准或企业标准，以其中最高标准为准。</w:t>
      </w:r>
      <w:r>
        <w:rPr>
          <w:rFonts w:hint="eastAsia" w:ascii="宋体" w:hAnsi="宋体" w:eastAsia="宋体" w:cs="宋体"/>
          <w:color w:val="000000"/>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2.乙方所提供设备的技术规格应与采购文件规定的技术规格以及响应文件的技术规格响应表相一致。</w:t>
      </w:r>
      <w:r>
        <w:rPr>
          <w:rFonts w:hint="eastAsia" w:ascii="宋体" w:hAnsi="宋体" w:eastAsia="宋体" w:cs="宋体"/>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3.乙方应保证设备是全新、未使用过的原装合格正品，产品出厂日期不得超过6个月，同时应有相应生产企业的合格证或质量检测证明、产品说明书等证件。</w:t>
      </w:r>
      <w:r>
        <w:rPr>
          <w:rFonts w:hint="eastAsia" w:ascii="宋体" w:hAnsi="宋体" w:eastAsia="宋体" w:cs="宋体"/>
          <w:sz w:val="24"/>
          <w:szCs w:val="24"/>
          <w:highlight w:val="none"/>
          <w:lang w:val="en-US" w:eastAsia="zh-CN" w:bidi="ar-SA"/>
        </w:rPr>
      </w:r>
      <w:r/>
    </w:p>
    <w:p>
      <w:pPr>
        <w:pStyle w:val="718"/>
        <w:ind w:right="-73"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第四条  售后服务</w:t>
      </w:r>
      <w:r>
        <w:rPr>
          <w:rFonts w:hint="eastAsia" w:ascii="宋体" w:hAnsi="宋体" w:eastAsia="宋体" w:cs="宋体"/>
          <w:color w:val="000000"/>
          <w:sz w:val="24"/>
          <w:szCs w:val="24"/>
          <w:highlight w:val="none"/>
          <w:lang w:val="en-US" w:eastAsia="zh-CN" w:bidi="ar-SA"/>
        </w:rPr>
      </w:r>
      <w:r/>
    </w:p>
    <w:p>
      <w:pPr>
        <w:pStyle w:val="718"/>
        <w:ind w:right="-73"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验收通过之日起乙方为本合同硬件提供</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年免费全保。</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2.乙方须保证标的设备质保期内开机率高于95%，如设备故障停机率超过5%（一年按365天计算，每年18天），每超过一天，质保期延长两周。</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3.免费质保期内，乙方应在接到故障通知2小时内作出有效响应，并在</w:t>
      </w:r>
      <w:r>
        <w:rPr>
          <w:rFonts w:hint="eastAsia" w:ascii="宋体" w:hAnsi="宋体" w:eastAsia="宋体" w:cs="宋体"/>
          <w:sz w:val="24"/>
          <w:szCs w:val="24"/>
          <w:highlight w:val="none"/>
          <w:u w:val="single"/>
          <w:lang w:val="en-US" w:eastAsia="zh-CN" w:bidi="ar-SA"/>
        </w:rPr>
        <w:t xml:space="preserve">24</w:t>
      </w:r>
      <w:r>
        <w:rPr>
          <w:rFonts w:hint="eastAsia" w:ascii="宋体" w:hAnsi="宋体" w:eastAsia="宋体" w:cs="宋体"/>
          <w:sz w:val="24"/>
          <w:szCs w:val="24"/>
          <w:highlight w:val="none"/>
          <w:lang w:val="en-US" w:eastAsia="zh-CN" w:bidi="ar-SA"/>
        </w:rPr>
        <w:t xml:space="preserve">小时内到达现场免费予以排除故障、修复或更换零部件。如3个工作日内不能修复须提供备用机使用确保甲方能正常开展工作；乙方须保证设备在设计使用周期内能更换到原厂配件。</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所有设备保修服务方式均为乙方上门保修，即由乙方派员到设备使用现场维修，由此产生的一切费用由乙方承担。乙方确保维修后设备符合《医疗器械监督管理条例》和《医疗器械使用质量监督管理办法》等相关规定。</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6.伴随服务：</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6.1技术培训：供应商提供设备首检的相关费用，供应商向甲方临床医生提供免费初级应用培训1次、免费高级应用培训3次，确保采购人使用科室每位使用人员掌握完成日常工作所需的基本操作方法为止；供应商向采购人技师及工程师提供免费维修培训和技术培训，确保采购人工程师掌握基本的维修保养操作技术为止。供应商应向采购人免费提供维修手册和操作使用手册。如有专用工具，供应商需向采购人提供设备维护的专用工具。</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6.2软件升级：免费开放数据接口，供应商可按采购人需求对现有软件免费升级。</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6.3在设备寿命期内，供应商须保证维修配件的供应和及时维修，维修价格保持不变（政策调整因素除外）。</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6.4无论在全保期内还是全保期外，供应商均承诺免费上门维修，供应商工程师至医院维修本设备，必须事先与采购人设备管理部门取得联系，并做相应登记；在维修过程中与采购人工程师共同完成维修工作。否则引起的一切责任由供应商负责。为保证设备正常运行，供应商承诺在设备的使用寿命周期内保证为采购人更换原厂正品的零部件，确保设备的正常使用。</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6.5提供合同货物使用和维护方面的最新技术信息和资料。</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6.6免费链接医院信息化系统，免费开放端口。</w:t>
      </w:r>
      <w:r>
        <w:rPr>
          <w:rFonts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6.7备品备件要求：在全保期内，非人为原因损坏的情况下，采购人实际所需备件超出该清单范围的部分，由供应商无偿提供。自设备售出10年内，供应商应保证零配件的供应。</w:t>
      </w:r>
      <w:r>
        <w:rPr>
          <w:rFonts w:ascii="宋体" w:hAnsi="宋体" w:eastAsia="宋体" w:cs="宋体"/>
          <w:b w:val="0"/>
          <w:bCs w:val="0"/>
          <w:color w:val="000000"/>
          <w:sz w:val="24"/>
          <w:szCs w:val="24"/>
          <w:highlight w:val="none"/>
          <w:lang w:val="en-US" w:eastAsia="zh-CN"/>
        </w:rPr>
      </w:r>
      <w:r/>
    </w:p>
    <w:p>
      <w:pPr>
        <w:pStyle w:val="718"/>
        <w:numPr>
          <w:ilvl w:val="0"/>
          <w:numId w:val="6"/>
        </w:numPr>
        <w:ind w:left="1247" w:hanging="765"/>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  交付</w:t>
      </w:r>
      <w:r>
        <w:rPr>
          <w:rFonts w:hint="eastAsia" w:ascii="宋体" w:hAnsi="宋体" w:eastAsia="宋体" w:cs="宋体"/>
          <w:b/>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1.交付时间：合同签订后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日内乙方将设备交付甲方。</w:t>
      </w:r>
      <w:r>
        <w:rPr>
          <w:rFonts w:hint="eastAsia" w:ascii="宋体" w:hAnsi="宋体" w:eastAsia="宋体" w:cs="宋体"/>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2.交付地点：甲方指定地点</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3.交付约定：交付前乙方至少提前三天通知甲方，以便甲方安排好相关收货工作。设备到达甲方时，乙方代表须同时到达，由乙方负责将设备运送至甲方指定的地点，甲乙双方办理交接手续。</w:t>
      </w:r>
      <w:r>
        <w:rPr>
          <w:rFonts w:hint="eastAsia" w:ascii="宋体" w:hAnsi="宋体" w:eastAsia="宋体" w:cs="宋体"/>
          <w:sz w:val="24"/>
          <w:szCs w:val="24"/>
          <w:highlight w:val="none"/>
          <w:lang w:val="en-US" w:eastAsia="zh-CN" w:bidi="ar-SA"/>
        </w:rPr>
      </w:r>
      <w:r/>
    </w:p>
    <w:p>
      <w:pPr>
        <w:pStyle w:val="718"/>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第六条  验收</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1.验收时间：设备安装调试经甲方临床</w:t>
      </w:r>
      <w:r>
        <w:rPr>
          <w:rFonts w:hint="eastAsia" w:ascii="宋体" w:hAnsi="宋体" w:eastAsia="宋体" w:cs="宋体"/>
          <w:sz w:val="24"/>
          <w:szCs w:val="24"/>
          <w:highlight w:val="none"/>
          <w:lang w:val="en-US" w:eastAsia="zh-CN"/>
        </w:rPr>
        <w:t xml:space="preserve">试</w:t>
      </w:r>
      <w:r>
        <w:rPr>
          <w:rFonts w:hint="eastAsia" w:ascii="宋体" w:hAnsi="宋体" w:eastAsia="宋体" w:cs="宋体"/>
          <w:sz w:val="24"/>
          <w:szCs w:val="24"/>
          <w:highlight w:val="none"/>
        </w:rPr>
        <w:t xml:space="preserve">用并</w:t>
      </w:r>
      <w:r>
        <w:rPr>
          <w:rFonts w:hint="eastAsia" w:ascii="宋体" w:hAnsi="宋体" w:eastAsia="宋体" w:cs="宋体"/>
          <w:sz w:val="24"/>
          <w:szCs w:val="24"/>
          <w:highlight w:val="none"/>
          <w:u w:val="single"/>
        </w:rPr>
        <w:t xml:space="preserve">达到验收标准后</w:t>
      </w:r>
      <w:r>
        <w:rPr>
          <w:rFonts w:hint="eastAsia" w:ascii="宋体" w:hAnsi="宋体" w:eastAsia="宋体" w:cs="宋体"/>
          <w:sz w:val="24"/>
          <w:szCs w:val="24"/>
          <w:highlight w:val="none"/>
        </w:rPr>
        <w:t xml:space="preserve">，甲方根据合同约定组织验收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2.验收内容：包括设备品牌、型号、规格、数量</w:t>
      </w:r>
      <w:r>
        <w:rPr>
          <w:rFonts w:hint="eastAsia" w:ascii="宋体" w:hAnsi="宋体" w:eastAsia="宋体" w:cs="宋体"/>
          <w:sz w:val="24"/>
          <w:szCs w:val="24"/>
          <w:highlight w:val="none"/>
          <w:lang w:eastAsia="zh-CN"/>
        </w:rPr>
        <w:t xml:space="preserve">、出厂日期</w:t>
      </w:r>
      <w:r>
        <w:rPr>
          <w:rFonts w:hint="eastAsia" w:ascii="宋体" w:hAnsi="宋体" w:eastAsia="宋体" w:cs="宋体"/>
          <w:sz w:val="24"/>
          <w:szCs w:val="24"/>
          <w:highlight w:val="none"/>
        </w:rPr>
        <w:t xml:space="preserve">是否符合合同规定，外观质量、产品包装是否完好（隐藏部件除外）、安装调试是否合格，所提供设备的装箱清单、</w:t>
      </w:r>
      <w:r>
        <w:rPr>
          <w:rFonts w:hint="eastAsia" w:ascii="宋体" w:hAnsi="宋体" w:eastAsia="宋体" w:cs="宋体"/>
          <w:sz w:val="24"/>
          <w:szCs w:val="24"/>
          <w:highlight w:val="none"/>
        </w:rPr>
        <w:t xml:space="preserve">操作说明书、维修手册、</w:t>
      </w:r>
      <w:r>
        <w:rPr>
          <w:rFonts w:hint="eastAsia" w:ascii="宋体" w:hAnsi="宋体" w:eastAsia="宋体" w:cs="宋体"/>
          <w:sz w:val="24"/>
          <w:szCs w:val="24"/>
          <w:highlight w:val="none"/>
          <w:lang w:eastAsia="zh-CN"/>
        </w:rPr>
        <w:t xml:space="preserve">电路图</w:t>
      </w:r>
      <w:r>
        <w:rPr>
          <w:rFonts w:hint="eastAsia" w:ascii="宋体" w:hAnsi="宋体" w:eastAsia="宋体" w:cs="宋体"/>
          <w:sz w:val="24"/>
          <w:szCs w:val="24"/>
          <w:highlight w:val="none"/>
        </w:rPr>
        <w:t xml:space="preserve">、电气说明书、包括外构件的详细资料</w:t>
      </w:r>
      <w:r>
        <w:rPr>
          <w:rFonts w:hint="eastAsia" w:ascii="宋体" w:hAnsi="宋体" w:eastAsia="宋体" w:cs="宋体"/>
          <w:sz w:val="24"/>
          <w:szCs w:val="24"/>
          <w:highlight w:val="none"/>
        </w:rPr>
        <w:t xml:space="preserve">、原厂保修卡、随机工具等是否齐全。</w:t>
      </w:r>
      <w:r>
        <w:rPr>
          <w:rFonts w:hint="eastAsia" w:ascii="宋体" w:hAnsi="宋体" w:eastAsia="宋体" w:cs="宋体"/>
          <w:sz w:val="24"/>
          <w:szCs w:val="24"/>
          <w:highlight w:val="none"/>
        </w:rPr>
      </w:r>
      <w:r/>
    </w:p>
    <w:p>
      <w:pPr>
        <w:pStyle w:val="718"/>
        <w:contextualSpacing/>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甲方在验收中，如发现有与合同规定不符的，应在</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天内向乙方提出书面意见，不签发验收单。</w:t>
      </w:r>
      <w:r>
        <w:rPr>
          <w:rFonts w:hint="eastAsia" w:ascii="宋体" w:hAnsi="宋体" w:eastAsia="宋体" w:cs="宋体"/>
          <w:sz w:val="24"/>
          <w:szCs w:val="24"/>
          <w:highlight w:val="none"/>
        </w:rPr>
        <w:t xml:space="preserve">乙方在接到甲方书面意见后，应在3天内予以处理</w:t>
      </w:r>
      <w:r>
        <w:rPr>
          <w:rFonts w:hint="eastAsia" w:ascii="宋体" w:hAnsi="宋体" w:eastAsia="宋体" w:cs="宋体"/>
          <w:sz w:val="24"/>
          <w:szCs w:val="24"/>
          <w:highlight w:val="none"/>
          <w:lang w:eastAsia="zh-CN"/>
        </w:rPr>
        <w:t xml:space="preserve">；如乙方</w:t>
      </w:r>
      <w:r>
        <w:rPr>
          <w:rFonts w:hint="eastAsia" w:ascii="宋体" w:hAnsi="宋体" w:eastAsia="宋体" w:cs="宋体"/>
          <w:sz w:val="24"/>
          <w:szCs w:val="24"/>
          <w:highlight w:val="none"/>
          <w:lang w:val="en-US" w:eastAsia="zh-CN"/>
        </w:rPr>
        <w:t xml:space="preserve">3天内未作处理或处理不到位的，甲方有权根据实际情况作验收不合格或违约处理。</w:t>
      </w:r>
      <w:r>
        <w:rPr>
          <w:rFonts w:hint="eastAsia" w:ascii="宋体" w:hAnsi="宋体" w:eastAsia="宋体" w:cs="宋体"/>
          <w:sz w:val="24"/>
          <w:szCs w:val="24"/>
          <w:highlight w:val="none"/>
        </w:rPr>
      </w:r>
      <w:r/>
    </w:p>
    <w:p>
      <w:pPr>
        <w:pStyle w:val="718"/>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第七条  付款</w:t>
      </w:r>
      <w:r>
        <w:rPr>
          <w:rFonts w:hint="eastAsia" w:ascii="宋体" w:hAnsi="宋体" w:eastAsia="宋体" w:cs="宋体"/>
          <w:sz w:val="24"/>
          <w:szCs w:val="24"/>
          <w:highlight w:val="none"/>
          <w:lang w:val="en-US" w:eastAsia="zh-CN" w:bidi="ar-SA"/>
        </w:rPr>
      </w:r>
      <w:r/>
    </w:p>
    <w:p>
      <w:pPr>
        <w:pStyle w:val="718"/>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预付款：</w:t>
      </w:r>
      <w:r>
        <w:rPr>
          <w:rFonts w:hint="eastAsia" w:ascii="宋体" w:hAnsi="宋体" w:eastAsia="宋体" w:cs="宋体"/>
          <w:color w:val="000000"/>
          <w:sz w:val="24"/>
          <w:szCs w:val="24"/>
          <w:lang w:val="en-US" w:eastAsia="zh-CN"/>
        </w:rPr>
        <w:t xml:space="preserve">合同签订后，甲方在收到乙方发票后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color w:val="000000"/>
          <w:sz w:val="24"/>
          <w:szCs w:val="24"/>
          <w:lang w:val="en-US" w:eastAsia="zh-CN"/>
        </w:rPr>
        <w:t xml:space="preserve">内，向乙方支付合同价款的30%作为预付款；</w:t>
      </w:r>
      <w:r>
        <w:rPr>
          <w:rFonts w:hint="eastAsia" w:ascii="宋体" w:hAnsi="宋体" w:eastAsia="宋体" w:cs="宋体"/>
          <w:b w:val="0"/>
          <w:bCs w:val="0"/>
          <w:caps w:val="0"/>
          <w:color w:val="000000"/>
          <w:sz w:val="24"/>
          <w:szCs w:val="24"/>
          <w:highlight w:val="none"/>
          <w:lang w:val="en-US" w:eastAsia="zh-CN"/>
        </w:rPr>
      </w:r>
      <w:r/>
    </w:p>
    <w:p>
      <w:pPr>
        <w:pStyle w:val="718"/>
        <w:ind w:firstLine="480"/>
        <w:pageBreakBefore w:val="0"/>
        <w:spacing w:line="360" w:lineRule="auto"/>
        <w:rPr>
          <w:rFonts w:hint="eastAsia" w:ascii="宋体" w:hAnsi="宋体" w:eastAsia="宋体" w:cs="宋体"/>
          <w:b w:val="0"/>
          <w:bCs w:val="0"/>
          <w:caps w:val="0"/>
          <w:color w:val="000000"/>
          <w:sz w:val="24"/>
          <w:szCs w:val="24"/>
          <w:highlight w:val="none"/>
          <w:u w:val="none"/>
          <w:lang w:val="en-US" w:eastAsia="zh-CN"/>
        </w:rPr>
      </w:pPr>
      <w:r>
        <w:rPr>
          <w:rFonts w:hint="eastAsia" w:ascii="宋体" w:hAnsi="宋体" w:eastAsia="宋体" w:cs="宋体"/>
          <w:b w:val="0"/>
          <w:bCs w:val="0"/>
          <w:caps w:val="0"/>
          <w:color w:val="000000"/>
          <w:sz w:val="24"/>
          <w:szCs w:val="24"/>
          <w:highlight w:val="none"/>
          <w:lang w:val="en-US" w:eastAsia="zh-CN"/>
        </w:rPr>
        <w:t xml:space="preserve">进度款：</w:t>
      </w:r>
      <w:r>
        <w:rPr>
          <w:rFonts w:hint="eastAsia" w:ascii="宋体" w:hAnsi="宋体" w:eastAsia="宋体" w:cs="宋体"/>
          <w:b w:val="0"/>
          <w:bCs w:val="0"/>
          <w:caps w:val="0"/>
          <w:color w:val="000000"/>
          <w:sz w:val="24"/>
          <w:szCs w:val="24"/>
          <w:highlight w:val="none"/>
          <w:u w:val="none"/>
          <w:lang w:val="en-US" w:eastAsia="zh-CN"/>
        </w:rPr>
        <w:t xml:space="preserve">经验收合格后，出具验收报告，乙方开具等额税务发票，甲方收到发票后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b w:val="0"/>
          <w:bCs w:val="0"/>
          <w:caps w:val="0"/>
          <w:color w:val="000000"/>
          <w:sz w:val="24"/>
          <w:szCs w:val="24"/>
          <w:highlight w:val="none"/>
          <w:u w:val="none"/>
          <w:lang w:val="en-US" w:eastAsia="zh-CN"/>
        </w:rPr>
        <w:t xml:space="preserve">内向乙方支付合同剩余货款。</w:t>
      </w:r>
      <w:r>
        <w:rPr>
          <w:rFonts w:hint="eastAsia" w:ascii="宋体" w:hAnsi="宋体" w:eastAsia="宋体" w:cs="宋体"/>
          <w:b w:val="0"/>
          <w:bCs w:val="0"/>
          <w:caps w:val="0"/>
          <w:color w:val="000000"/>
          <w:sz w:val="24"/>
          <w:szCs w:val="24"/>
          <w:highlight w:val="none"/>
          <w:u w:val="none"/>
          <w:lang w:val="en-US" w:eastAsia="zh-CN"/>
        </w:rPr>
      </w:r>
      <w:r/>
    </w:p>
    <w:p>
      <w:pPr>
        <w:pStyle w:val="718"/>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注：在签订合同时，乙方明确表示无需预付款或者主动要求降低预付款比例的金额，甲方可不适用预付款规定。</w:t>
      </w:r>
      <w:r>
        <w:rPr>
          <w:rFonts w:hint="eastAsia" w:ascii="宋体" w:hAnsi="宋体" w:eastAsia="宋体" w:cs="宋体"/>
          <w:b w:val="0"/>
          <w:bCs w:val="0"/>
          <w:caps w:val="0"/>
          <w:color w:val="000000"/>
          <w:sz w:val="24"/>
          <w:szCs w:val="24"/>
          <w:highlight w:val="none"/>
          <w:lang w:val="en-US" w:eastAsia="zh-CN"/>
        </w:rPr>
      </w:r>
      <w:r/>
    </w:p>
    <w:p>
      <w:pPr>
        <w:pStyle w:val="71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第八条  违约条款</w:t>
      </w:r>
      <w:r>
        <w:rPr>
          <w:rFonts w:hint="eastAsia" w:ascii="宋体" w:hAnsi="宋体" w:eastAsia="宋体" w:cs="宋体"/>
          <w:b/>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w:t>
      </w:r>
      <w:r>
        <w:rPr>
          <w:rFonts w:hint="eastAsia" w:ascii="宋体" w:hAnsi="宋体" w:eastAsia="宋体" w:cs="宋体"/>
          <w:sz w:val="24"/>
          <w:szCs w:val="24"/>
          <w:highlight w:val="none"/>
          <w:lang w:val="en-US" w:eastAsia="zh-CN" w:bidi="ar-SA"/>
        </w:rPr>
        <w:t xml:space="preserve">未按照合同规定的时间交货和提供服务的，</w:t>
      </w:r>
      <w:r>
        <w:rPr>
          <w:rFonts w:hint="eastAsia" w:ascii="宋体" w:hAnsi="宋体" w:eastAsia="宋体" w:cs="宋体"/>
          <w:color w:val="000000"/>
          <w:sz w:val="24"/>
          <w:szCs w:val="24"/>
          <w:highlight w:val="none"/>
          <w:lang w:val="en-US" w:eastAsia="zh-CN" w:bidi="ar-SA"/>
        </w:rPr>
        <w:t xml:space="preserve">应向甲方支付违约金。除甲方或不可抗力造成的原因外，每延迟交付或提供服务一天，按合同总价款的2‰支付违约金，直至交货或提供服务为止； 延期超过10 日，甲方有权解除合同；如乙方逾期交货或提供服务给甲方造成损失的，包括但不限于工期延误的违约赔偿金等，由乙方承担赔偿责任。</w:t>
      </w:r>
      <w:r>
        <w:rPr>
          <w:rFonts w:hint="eastAsia" w:ascii="宋体" w:hAnsi="宋体" w:eastAsia="宋体" w:cs="宋体"/>
          <w:color w:val="000000"/>
          <w:sz w:val="24"/>
          <w:szCs w:val="24"/>
          <w:highlight w:val="none"/>
          <w:lang w:val="en-US" w:eastAsia="zh-CN" w:bidi="ar-SA"/>
        </w:rPr>
      </w:r>
      <w:r/>
    </w:p>
    <w:p>
      <w:pPr>
        <w:pStyle w:val="71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3.设备验收后，在免费质保期内，乙方应对由于所供设备设计、工艺或材料的缺陷及安装等而发生的任何不足或故障负责，并承担由此引起的一切后果，</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4.在乙方承诺的质保期内，如经乙方两次维修或更换，设备仍不能达到合同约定的质量标准，甲方有权退货，乙方须退回全部货款，并等额赔偿由此造成的一切损失</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5.在乙方承诺的质保期内，如乙方售后服务不能按承诺时效响应，</w:t>
      </w:r>
      <w:r>
        <w:rPr>
          <w:rFonts w:hint="eastAsia" w:ascii="宋体" w:hAnsi="宋体" w:eastAsia="宋体" w:cs="宋体"/>
          <w:color w:val="000000"/>
          <w:sz w:val="24"/>
          <w:szCs w:val="24"/>
          <w:highlight w:val="none"/>
        </w:rPr>
        <w:t xml:space="preserve">响应迟延或不响应的，每次承担1000元违约金，因此导致甲方产生额外维修费用的，由乙方承担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由此引起的维修时间按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第四条第</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项约定处理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6.本项目不得转包、分包，如有发生，甲方有权解除合同，所造成的一切损失由乙方负责</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7.非因乙方原因，甲方未按约定期限付款的，除向乙方支付货款外，须按中国人民银行有关规定向乙方支付</w:t>
      </w:r>
      <w:r>
        <w:rPr>
          <w:rFonts w:hint="eastAsia" w:ascii="宋体" w:hAnsi="宋体" w:eastAsia="宋体" w:cs="宋体"/>
          <w:color w:val="000000"/>
          <w:sz w:val="24"/>
          <w:szCs w:val="24"/>
          <w:highlight w:val="none"/>
          <w:lang w:eastAsia="zh-CN"/>
        </w:rPr>
        <w:t xml:space="preserve">超期利息</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第九条  知识产权</w:t>
      </w:r>
      <w:r>
        <w:rPr>
          <w:rFonts w:hint="eastAsia" w:ascii="宋体" w:hAnsi="宋体" w:eastAsia="宋体" w:cs="宋体"/>
          <w:b/>
          <w:color w:val="000000"/>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rFonts w:hint="eastAsia" w:ascii="宋体" w:hAnsi="宋体" w:eastAsia="宋体" w:cs="宋体"/>
          <w:sz w:val="24"/>
          <w:szCs w:val="24"/>
          <w:highlight w:val="none"/>
          <w:lang w:val="en-US" w:eastAsia="zh-CN" w:bidi="ar-SA"/>
        </w:rPr>
      </w:r>
      <w:r/>
    </w:p>
    <w:p>
      <w:pPr>
        <w:pStyle w:val="1108"/>
        <w:numPr>
          <w:ilvl w:val="0"/>
          <w:numId w:val="0"/>
        </w:numPr>
        <w:contextualSpacing/>
        <w:ind w:firstLine="482"/>
        <w:spacing w:line="360" w:lineRule="auto"/>
        <w:rPr>
          <w:rStyle w:val="728"/>
          <w:rFonts w:hint="eastAsia" w:ascii="宋体" w:hAnsi="宋体" w:eastAsia="宋体" w:cs="宋体"/>
          <w:b/>
          <w:sz w:val="24"/>
          <w:lang w:val="en-US" w:eastAsia="zh-CN"/>
        </w:rPr>
      </w:pPr>
      <w:r>
        <w:rPr>
          <w:rStyle w:val="728"/>
          <w:rFonts w:hint="eastAsia" w:ascii="宋体" w:hAnsi="宋体" w:cs="宋体"/>
          <w:b/>
          <w:sz w:val="24"/>
          <w:lang w:val="en-US" w:eastAsia="zh-CN"/>
        </w:rPr>
        <w:t xml:space="preserve">第十条</w:t>
      </w:r>
      <w:r>
        <w:rPr>
          <w:rStyle w:val="728"/>
          <w:rFonts w:hint="eastAsia" w:ascii="宋体" w:hAnsi="宋体" w:eastAsia="宋体" w:cs="宋体"/>
          <w:b/>
          <w:sz w:val="24"/>
        </w:rPr>
        <w:t xml:space="preserve"> </w:t>
      </w:r>
      <w:r>
        <w:rPr>
          <w:rStyle w:val="728"/>
          <w:rFonts w:hint="eastAsia" w:ascii="宋体" w:hAnsi="宋体" w:eastAsia="宋体" w:cs="宋体"/>
          <w:b/>
          <w:sz w:val="24"/>
          <w:lang w:val="en-US" w:eastAsia="zh-CN"/>
        </w:rPr>
        <w:t xml:space="preserve"> 乙方合法权益补偿机制</w:t>
      </w:r>
      <w:r>
        <w:rPr>
          <w:rStyle w:val="728"/>
          <w:rFonts w:hint="eastAsia" w:ascii="宋体" w:hAnsi="宋体" w:eastAsia="宋体" w:cs="宋体"/>
          <w:b/>
          <w:sz w:val="24"/>
          <w:lang w:val="en-US" w:eastAsia="zh-CN"/>
        </w:rPr>
      </w:r>
      <w:r/>
    </w:p>
    <w:p>
      <w:pPr>
        <w:pStyle w:val="718"/>
        <w:ind w:firstLine="480"/>
        <w:jc w:val="both"/>
        <w:spacing w:line="360" w:lineRule="auto"/>
        <w:widowControl w:val="off"/>
        <w:rPr>
          <w:rFonts w:hint="eastAsia" w:ascii="宋体" w:hAnsi="宋体" w:eastAsia="宋体" w:cs="宋体"/>
          <w:b/>
          <w:color w:val="000000"/>
          <w:sz w:val="24"/>
          <w:szCs w:val="24"/>
          <w:highlight w:val="none"/>
          <w:lang w:val="en-US" w:eastAsia="zh-CN" w:bidi="ar-SA"/>
        </w:rPr>
      </w:pPr>
      <w:r>
        <w:rPr>
          <w:rStyle w:val="728"/>
          <w:rFonts w:hint="eastAsia" w:ascii="宋体" w:hAnsi="宋体" w:eastAsia="宋体" w:cs="宋体"/>
          <w:b w:val="0"/>
          <w:bCs/>
          <w:sz w:val="24"/>
          <w:lang w:val="en-US" w:eastAsia="zh-CN"/>
        </w:rPr>
        <w:t xml:space="preserve">乙方合法权益补偿救济机制。在履约过程中因政策变化、规划调整而无法履行合同约定，造成企业合法权益受损的，甲方依据实际情况对乙方进行补偿救济。</w:t>
      </w:r>
      <w:r>
        <w:rPr>
          <w:rFonts w:hint="eastAsia" w:ascii="宋体" w:hAnsi="宋体" w:eastAsia="宋体" w:cs="宋体"/>
          <w:b/>
          <w:color w:val="000000"/>
          <w:sz w:val="24"/>
          <w:szCs w:val="24"/>
          <w:highlight w:val="none"/>
          <w:lang w:val="en-US" w:eastAsia="zh-CN" w:bidi="ar-SA"/>
        </w:rPr>
      </w:r>
      <w:r/>
    </w:p>
    <w:p>
      <w:pPr>
        <w:pStyle w:val="71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第十一条  合同生效</w:t>
      </w:r>
      <w:r>
        <w:rPr>
          <w:rFonts w:hint="eastAsia" w:ascii="宋体" w:hAnsi="宋体" w:eastAsia="宋体" w:cs="宋体"/>
          <w:b/>
          <w:color w:val="000000"/>
          <w:sz w:val="24"/>
          <w:szCs w:val="24"/>
          <w:highlight w:val="none"/>
          <w:lang w:val="en-US" w:eastAsia="zh-CN" w:bidi="ar-SA"/>
        </w:rPr>
      </w:r>
      <w:r/>
    </w:p>
    <w:p>
      <w:pPr>
        <w:pStyle w:val="7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本合同经甲方、乙方签字盖章后生效。本合同一式四份，以中文书写，甲方执三份，乙方执一份，具有同等法律效力。</w:t>
      </w:r>
      <w:r>
        <w:rPr>
          <w:rFonts w:hint="eastAsia" w:ascii="宋体" w:hAnsi="宋体" w:eastAsia="宋体" w:cs="宋体"/>
          <w:color w:val="000000"/>
          <w:sz w:val="24"/>
          <w:szCs w:val="24"/>
          <w:highlight w:val="none"/>
          <w:lang w:val="en-US" w:eastAsia="zh-CN" w:bidi="ar-SA"/>
        </w:rPr>
      </w:r>
      <w:r/>
    </w:p>
    <w:p>
      <w:pPr>
        <w:pStyle w:val="718"/>
        <w:numPr>
          <w:ilvl w:val="0"/>
          <w:numId w:val="0"/>
        </w:numPr>
        <w:ind w:firstLine="420"/>
        <w:jc w:val="both"/>
        <w:keepLines w:val="0"/>
        <w:keepNext w:val="0"/>
        <w:pageBreakBefore w:val="0"/>
        <w:spacing w:line="360" w:lineRule="auto"/>
        <w:widowControl w:val="off"/>
        <w:rPr>
          <w:rFonts w:hint="eastAsia" w:ascii="宋体" w:hAnsi="宋体" w:eastAsia="宋体" w:cs="宋体"/>
          <w:b/>
          <w:color w:val="000000"/>
          <w:sz w:val="24"/>
          <w:lang w:val="en-US" w:eastAsia="zh-CN" w:bidi="ar-SA"/>
        </w:rPr>
      </w:pPr>
      <w:r>
        <w:rPr>
          <w:rFonts w:hint="eastAsia" w:ascii="宋体" w:hAnsi="宋体" w:eastAsia="宋体" w:cs="宋体"/>
          <w:b/>
          <w:color w:val="000000"/>
          <w:sz w:val="24"/>
          <w:szCs w:val="24"/>
          <w:highlight w:val="none"/>
          <w:lang w:val="en-US" w:eastAsia="zh-CN" w:bidi="ar-SA"/>
        </w:rPr>
        <w:t xml:space="preserve">第十二条</w:t>
      </w:r>
      <w:r>
        <w:rPr>
          <w:rFonts w:hint="eastAsia" w:ascii="宋体" w:hAnsi="宋体" w:eastAsia="宋体" w:cs="宋体"/>
          <w:b/>
          <w:sz w:val="24"/>
          <w:szCs w:val="24"/>
          <w:highlight w:val="none"/>
          <w:lang w:val="en-US" w:eastAsia="zh-CN" w:bidi="ar-SA"/>
        </w:rPr>
        <w:t xml:space="preserve"> </w:t>
      </w:r>
      <w:bookmarkStart w:id="135" w:name="_Toc15159"/>
      <w:r>
        <w:rPr>
          <w:rFonts w:hint="eastAsia" w:ascii="宋体" w:hAnsi="宋体" w:eastAsia="宋体" w:cs="宋体"/>
          <w:b/>
          <w:color w:val="000000"/>
          <w:sz w:val="24"/>
          <w:szCs w:val="22"/>
          <w:lang w:val="en-US" w:eastAsia="zh-CN" w:bidi="ar-SA"/>
        </w:rPr>
        <w:t xml:space="preserve">落实政府采购政策功能</w:t>
      </w:r>
      <w:bookmarkEnd w:id="135"/>
      <w:r>
        <w:rPr>
          <w:rFonts w:hint="eastAsia" w:ascii="宋体" w:hAnsi="宋体" w:eastAsia="宋体" w:cs="宋体"/>
          <w:b/>
          <w:color w:val="000000"/>
          <w:sz w:val="24"/>
          <w:lang w:val="en-US" w:eastAsia="zh-CN" w:bidi="ar-SA"/>
        </w:rPr>
      </w:r>
      <w:r/>
    </w:p>
    <w:p>
      <w:pPr>
        <w:pStyle w:val="718"/>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4"/>
          <w:lang w:val="en-US" w:eastAsia="zh-CN" w:bidi="ar-SA"/>
        </w:rPr>
      </w:pPr>
      <w:r>
        <w:rPr>
          <w:rFonts w:hint="eastAsia" w:ascii="宋体" w:hAnsi="宋体" w:eastAsia="宋体" w:cs="宋体"/>
          <w:b w:val="0"/>
          <w:bCs/>
          <w:color w:val="000000"/>
          <w:sz w:val="24"/>
          <w:szCs w:val="22"/>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宋体" w:hAnsi="宋体" w:eastAsia="宋体" w:cs="宋体"/>
          <w:b w:val="0"/>
          <w:bCs/>
          <w:color w:val="000000"/>
          <w:sz w:val="24"/>
          <w:lang w:val="en-US" w:eastAsia="zh-CN" w:bidi="ar-SA"/>
        </w:rPr>
      </w:r>
      <w:r/>
    </w:p>
    <w:p>
      <w:pPr>
        <w:pStyle w:val="718"/>
        <w:ind w:firstLine="482"/>
        <w:spacing w:line="360" w:lineRule="auto"/>
        <w:rPr>
          <w:rFonts w:hint="eastAsia" w:ascii="宋体" w:hAnsi="宋体" w:eastAsia="宋体" w:cs="宋体"/>
          <w:b/>
          <w:sz w:val="24"/>
          <w:szCs w:val="24"/>
          <w:highlight w:val="none"/>
          <w:lang w:val="en-US" w:eastAsia="zh-CN" w:bidi="ar-SA"/>
        </w:rPr>
      </w:pPr>
      <w:r/>
      <w:bookmarkStart w:id="136" w:name="_Toc394939153"/>
      <w:r/>
      <w:bookmarkStart w:id="137" w:name="_Toc394939096"/>
      <w:r/>
      <w:bookmarkStart w:id="138" w:name="_Toc24359478"/>
      <w:r/>
      <w:bookmarkStart w:id="139" w:name="_Toc34404618"/>
      <w:r/>
      <w:bookmarkStart w:id="140" w:name="_Toc513667608"/>
      <w:r/>
      <w:bookmarkStart w:id="141" w:name="_Toc427919851"/>
      <w:r>
        <w:rPr>
          <w:rFonts w:hint="eastAsia" w:ascii="宋体" w:hAnsi="宋体" w:eastAsia="宋体" w:cs="宋体"/>
          <w:b/>
          <w:sz w:val="24"/>
          <w:szCs w:val="24"/>
          <w:highlight w:val="none"/>
          <w:lang w:val="en-US" w:eastAsia="zh-CN" w:bidi="ar-SA"/>
        </w:rPr>
        <w:t xml:space="preserve">第十三条  其他约定</w:t>
      </w:r>
      <w:r>
        <w:rPr>
          <w:rFonts w:hint="eastAsia" w:ascii="宋体" w:hAnsi="宋体" w:eastAsia="宋体" w:cs="宋体"/>
          <w:b/>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1.甲方指定由甲方设备管理处负责本合同设备验收、付款、售后服务管理、退还履约保证金等合同履约管理事宜，联系电话：</w:t>
      </w:r>
      <w:r>
        <w:rPr>
          <w:rFonts w:hint="eastAsia" w:ascii="宋体" w:hAnsi="宋体" w:eastAsia="宋体" w:cs="宋体"/>
          <w:caps w:val="0"/>
          <w:color w:val="000000"/>
          <w:sz w:val="24"/>
          <w:szCs w:val="24"/>
          <w:highlight w:val="none"/>
          <w:u w:val="none"/>
        </w:rPr>
        <w:t xml:space="preserve">0527-80</w:t>
      </w:r>
      <w:r>
        <w:rPr>
          <w:rFonts w:hint="eastAsia" w:ascii="宋体" w:hAnsi="宋体" w:cs="宋体"/>
          <w:caps w:val="0"/>
          <w:color w:val="000000"/>
          <w:sz w:val="24"/>
          <w:szCs w:val="24"/>
          <w:highlight w:val="none"/>
          <w:u w:val="none"/>
          <w:lang w:val="en-US" w:eastAsia="zh-CN"/>
        </w:rPr>
        <w:t xml:space="preserve">635129</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2.本合同在沭阳县签署。</w:t>
      </w:r>
      <w:r>
        <w:rPr>
          <w:rFonts w:hint="eastAsia" w:ascii="宋体" w:hAnsi="宋体" w:eastAsia="宋体" w:cs="宋体"/>
          <w:sz w:val="24"/>
          <w:szCs w:val="24"/>
          <w:highlight w:val="none"/>
          <w:lang w:val="en-US" w:eastAsia="zh-CN" w:bidi="ar-SA"/>
        </w:rPr>
      </w:r>
      <w:r/>
    </w:p>
    <w:p>
      <w:pPr>
        <w:pStyle w:val="7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r>
        <w:rPr>
          <w:rFonts w:hint="eastAsia" w:ascii="宋体" w:hAnsi="宋体" w:eastAsia="宋体" w:cs="宋体"/>
          <w:color w:val="000000"/>
          <w:sz w:val="24"/>
          <w:szCs w:val="24"/>
          <w:highlight w:val="none"/>
          <w:lang w:val="en-US" w:eastAsia="zh-CN" w:bidi="ar-SA"/>
        </w:rPr>
      </w:r>
      <w:r/>
    </w:p>
    <w:tbl>
      <w:tblPr>
        <w:tblW w:w="95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bookmarkEnd w:id="136"/>
            <w:r/>
            <w:bookmarkEnd w:id="137"/>
            <w:r/>
            <w:bookmarkEnd w:id="138"/>
            <w:r/>
            <w:bookmarkEnd w:id="139"/>
            <w:r/>
            <w:bookmarkEnd w:id="140"/>
            <w:r/>
            <w:bookmarkEnd w:id="141"/>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沭阳县第一人民医院</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w:t>
            </w: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r>
      <w:tr>
        <w:trP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r>
        <w:trP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hint="eastAsia" w:eastAsia="黑体"/>
          <w:color w:val="000000"/>
          <w:sz w:val="44"/>
          <w:szCs w:val="44"/>
          <w:highlight w:val="none"/>
        </w:rPr>
      </w:pPr>
      <w:r>
        <w:rPr>
          <w:rFonts w:hint="eastAsia" w:eastAsia="黑体"/>
          <w:color w:val="000000"/>
          <w:sz w:val="44"/>
          <w:szCs w:val="44"/>
          <w:highlight w:val="none"/>
        </w:rPr>
      </w:r>
      <w:r/>
    </w:p>
    <w:p>
      <w:pPr>
        <w:pStyle w:val="718"/>
        <w:spacing w:line="360" w:lineRule="auto"/>
        <w:rPr>
          <w:rFonts w:ascii="宋体" w:hAnsi="宋体" w:cs="仿宋_GB2312"/>
          <w:color w:val="000000"/>
          <w:sz w:val="28"/>
          <w:szCs w:val="28"/>
          <w:highlight w:val="none"/>
        </w:rPr>
      </w:pPr>
      <w:r>
        <w:rPr>
          <w:rFonts w:ascii="宋体" w:hAnsi="宋体" w:cs="仿宋_GB2312"/>
          <w:color w:val="000000"/>
          <w:sz w:val="28"/>
          <w:szCs w:val="28"/>
          <w:highlight w:val="none"/>
        </w:rPr>
      </w:r>
      <w:r/>
    </w:p>
    <w:p>
      <w:pPr>
        <w:pStyle w:val="718"/>
        <w:jc w:val="center"/>
        <w:keepLines/>
        <w:keepNext/>
        <w:pageBreakBefore/>
        <w:spacing w:line="240" w:lineRule="auto"/>
        <w:rPr>
          <w:b/>
          <w:color w:val="000000"/>
          <w:sz w:val="44"/>
          <w:szCs w:val="44"/>
          <w:highlight w:val="none"/>
        </w:rPr>
        <w:outlineLvl w:val="0"/>
      </w:pPr>
      <w:r/>
      <w:bookmarkEnd w:id="130"/>
      <w:r/>
      <w:bookmarkEnd w:id="131"/>
      <w:r/>
      <w:bookmarkEnd w:id="132"/>
      <w:r/>
      <w:bookmarkStart w:id="142" w:name="_Toc81575170"/>
      <w:r/>
      <w:bookmarkStart w:id="143" w:name="_Toc22853"/>
      <w:r/>
      <w:bookmarkStart w:id="144" w:name="_Toc81575207"/>
      <w:r/>
      <w:bookmarkStart w:id="145" w:name="_Toc19649"/>
      <w:r/>
      <w:bookmarkStart w:id="146" w:name="_Toc12937"/>
      <w:r/>
      <w:bookmarkStart w:id="147" w:name="_Toc9003"/>
      <w:r>
        <w:rPr>
          <w:rFonts w:hint="eastAsia"/>
          <w:b/>
          <w:color w:val="000000"/>
          <w:sz w:val="44"/>
          <w:szCs w:val="44"/>
          <w:highlight w:val="none"/>
        </w:rPr>
        <w:t xml:space="preserve">第六章  投标文件格式</w:t>
      </w:r>
      <w:bookmarkEnd w:id="142"/>
      <w:r/>
      <w:bookmarkEnd w:id="143"/>
      <w:r/>
      <w:bookmarkEnd w:id="144"/>
      <w:r/>
      <w:bookmarkEnd w:id="145"/>
      <w:r/>
      <w:bookmarkEnd w:id="146"/>
      <w:r/>
      <w:bookmarkEnd w:id="147"/>
      <w:r>
        <w:rPr>
          <w:b/>
          <w:color w:val="000000"/>
          <w:sz w:val="44"/>
          <w:szCs w:val="44"/>
          <w:highlight w:val="none"/>
        </w:rPr>
      </w:r>
      <w:r/>
    </w:p>
    <w:p>
      <w:pPr>
        <w:pStyle w:val="718"/>
        <w:spacing w:line="360" w:lineRule="auto"/>
        <w:rPr>
          <w:rFonts w:ascii="Times New Roman" w:hAnsi="Times New Roman"/>
          <w:b/>
          <w:color w:val="000000"/>
          <w:sz w:val="72"/>
          <w:highlight w:val="none"/>
        </w:rPr>
      </w:pPr>
      <w:r/>
      <w:bookmarkStart w:id="148" w:name="_Toc15716"/>
      <w:r/>
      <w:bookmarkStart w:id="149" w:name="EB819316f773b24a75aef829f9b72900c0"/>
      <w:r>
        <w:rPr>
          <w:rFonts w:ascii="Times New Roman" w:hAnsi="Times New Roman"/>
          <w:b/>
          <w:color w:val="000000"/>
          <w:sz w:val="72"/>
          <w:highlight w:val="none"/>
        </w:rPr>
      </w:r>
      <w:r/>
    </w:p>
    <w:p>
      <w:pPr>
        <w:pStyle w:val="718"/>
        <w:spacing w:line="360" w:lineRule="auto"/>
        <w:rPr>
          <w:rFonts w:ascii="Times New Roman" w:hAnsi="Times New Roman"/>
          <w:b/>
          <w:color w:val="000000"/>
          <w:sz w:val="72"/>
          <w:highlight w:val="none"/>
        </w:rPr>
      </w:pPr>
      <w:r>
        <w:rPr>
          <w:rFonts w:ascii="Times New Roman" w:hAnsi="Times New Roman"/>
          <w:b/>
          <w:color w:val="000000"/>
          <w:sz w:val="72"/>
          <w:highlight w:val="none"/>
        </w:rPr>
      </w:r>
      <w:r/>
    </w:p>
    <w:p>
      <w:pPr>
        <w:pStyle w:val="718"/>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18"/>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18"/>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18"/>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18"/>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18"/>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18"/>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lang w:eastAsia="zh-CN"/>
        </w:rPr>
        <w:t xml:space="preserve">供应商</w:t>
      </w:r>
      <w:r>
        <w:rPr>
          <w:rFonts w:hint="eastAsia" w:ascii="宋体" w:hAnsi="宋体" w:eastAsia="宋体" w:cs="宋体"/>
          <w:b/>
          <w:color w:val="000000"/>
          <w:sz w:val="36"/>
          <w:highlight w:val="none"/>
        </w:rPr>
        <w:t xml:space="preserve">名称 ：</w:t>
      </w:r>
      <w:r>
        <w:rPr>
          <w:rFonts w:hint="eastAsia" w:ascii="宋体" w:hAnsi="宋体" w:eastAsia="宋体" w:cs="宋体"/>
          <w:b/>
          <w:color w:val="000000"/>
          <w:sz w:val="36"/>
          <w:highlight w:val="none"/>
          <w:u w:val="single"/>
        </w:rPr>
        <w:t xml:space="preserve">（盖CA电子公章）</w:t>
      </w:r>
      <w:r>
        <w:rPr>
          <w:rFonts w:hint="eastAsia" w:ascii="宋体" w:hAnsi="宋体" w:eastAsia="宋体" w:cs="宋体"/>
          <w:b/>
          <w:color w:val="000000"/>
          <w:sz w:val="36"/>
          <w:highlight w:val="none"/>
          <w:u w:val="single"/>
        </w:rPr>
      </w:r>
      <w:r/>
    </w:p>
    <w:p>
      <w:pPr>
        <w:pStyle w:val="718"/>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bookmarkEnd w:id="148"/>
      <w:r>
        <w:rPr>
          <w:rFonts w:hint="eastAsia" w:ascii="宋体" w:hAnsi="宋体" w:eastAsia="宋体" w:cs="宋体"/>
          <w:b/>
          <w:color w:val="000000"/>
          <w:sz w:val="36"/>
          <w:highlight w:val="none"/>
          <w:u w:val="singl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bookmarkEnd w:id="149"/>
      <w:r>
        <w:rPr>
          <w:rFonts w:hint="eastAsia" w:ascii="宋体" w:hAnsi="宋体" w:eastAsia="宋体" w:cs="宋体"/>
          <w:color w:val="000000"/>
          <w:highlight w:val="none"/>
        </w:rPr>
      </w:r>
      <w:r/>
    </w:p>
    <w:p>
      <w:pPr>
        <w:pStyle w:val="100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0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10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bookmarkStart w:id="150" w:name="_Toc20577"/>
      <w:r/>
      <w:bookmarkStart w:id="151" w:name="_Toc26005"/>
      <w:r>
        <w:rPr>
          <w:rFonts w:hint="eastAsia" w:ascii="宋体" w:hAnsi="宋体" w:eastAsia="宋体" w:cs="宋体"/>
          <w:b w:val="0"/>
          <w:bCs w:val="0"/>
          <w:color w:val="000000"/>
          <w:sz w:val="28"/>
          <w:szCs w:val="28"/>
          <w:highlight w:val="none"/>
        </w:rPr>
        <w:t xml:space="preserve">一、</w:t>
      </w:r>
      <w:r>
        <w:rPr>
          <w:rFonts w:hint="eastAsia" w:ascii="宋体" w:hAnsi="宋体" w:eastAsia="宋体" w:cs="宋体"/>
          <w:b w:val="0"/>
          <w:bCs w:val="0"/>
          <w:caps w:val="0"/>
          <w:color w:val="000000"/>
          <w:sz w:val="28"/>
          <w:szCs w:val="28"/>
          <w:lang w:val="en-US" w:eastAsia="zh-CN" w:bidi="ar-SA"/>
        </w:rPr>
        <w:t xml:space="preserve">投标人基本情况</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二、</w:t>
      </w:r>
      <w:r>
        <w:rPr>
          <w:rFonts w:hint="eastAsia" w:ascii="宋体" w:hAnsi="宋体" w:eastAsia="宋体" w:cs="宋体"/>
          <w:b w:val="0"/>
          <w:bCs w:val="0"/>
          <w:color w:val="000000"/>
          <w:sz w:val="28"/>
          <w:szCs w:val="28"/>
          <w:highlight w:val="none"/>
          <w:lang w:val="en-US" w:eastAsia="zh-CN"/>
        </w:rPr>
        <w:t xml:space="preserve">满足资格要求的证明文件</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三、</w:t>
      </w:r>
      <w:r>
        <w:rPr>
          <w:rFonts w:hint="eastAsia" w:ascii="宋体" w:hAnsi="宋体" w:eastAsia="宋体" w:cs="宋体"/>
          <w:b w:val="0"/>
          <w:bCs w:val="0"/>
          <w:color w:val="000000"/>
          <w:sz w:val="28"/>
          <w:szCs w:val="28"/>
          <w:highlight w:val="none"/>
          <w:lang w:val="en-US" w:eastAsia="zh-CN"/>
        </w:rPr>
        <w:t xml:space="preserve">满足符合性要求的证明文件</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四、</w:t>
      </w:r>
      <w:r>
        <w:rPr>
          <w:rFonts w:hint="eastAsia" w:ascii="宋体" w:hAnsi="宋体" w:eastAsia="宋体" w:cs="宋体"/>
          <w:b w:val="0"/>
          <w:bCs w:val="0"/>
          <w:color w:val="000000"/>
          <w:sz w:val="28"/>
          <w:szCs w:val="28"/>
          <w:highlight w:val="none"/>
          <w:lang w:val="en-US" w:eastAsia="zh-CN"/>
        </w:rPr>
        <w:t xml:space="preserve">开标（报价）一览表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五、</w:t>
      </w:r>
      <w:r>
        <w:rPr>
          <w:rFonts w:hint="eastAsia" w:ascii="宋体" w:hAnsi="宋体" w:eastAsia="宋体" w:cs="宋体"/>
          <w:b w:val="0"/>
          <w:bCs w:val="0"/>
          <w:color w:val="000000"/>
          <w:sz w:val="28"/>
          <w:szCs w:val="28"/>
          <w:highlight w:val="none"/>
          <w:lang w:val="en-US" w:eastAsia="zh-CN"/>
        </w:rPr>
        <w:t xml:space="preserve">投标报价明细表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六、</w:t>
      </w:r>
      <w:r>
        <w:rPr>
          <w:rFonts w:hint="eastAsia" w:ascii="宋体" w:hAnsi="宋体" w:eastAsia="宋体" w:cs="宋体"/>
          <w:b w:val="0"/>
          <w:bCs w:val="0"/>
          <w:color w:val="000000"/>
          <w:sz w:val="28"/>
          <w:szCs w:val="28"/>
          <w:highlight w:val="none"/>
          <w:lang w:val="zh-CN"/>
        </w:rPr>
        <w:t xml:space="preserve">技术要求响应及偏离表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七、</w:t>
      </w:r>
      <w:r>
        <w:rPr>
          <w:rFonts w:hint="eastAsia" w:ascii="宋体" w:hAnsi="宋体" w:eastAsia="宋体" w:cs="宋体"/>
          <w:b w:val="0"/>
          <w:bCs w:val="0"/>
          <w:color w:val="000000"/>
          <w:sz w:val="28"/>
          <w:szCs w:val="28"/>
          <w:highlight w:val="none"/>
          <w:lang w:val="zh-CN"/>
        </w:rPr>
        <w:t xml:space="preserve">商务要求响应及偏离表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rPr>
        <w:t xml:space="preserve">八、</w:t>
      </w:r>
      <w:r>
        <w:rPr>
          <w:rFonts w:hint="eastAsia" w:ascii="宋体" w:hAnsi="宋体" w:eastAsia="宋体" w:cs="宋体"/>
          <w:b w:val="0"/>
          <w:bCs w:val="0"/>
          <w:color w:val="000000"/>
          <w:sz w:val="28"/>
          <w:szCs w:val="28"/>
          <w:highlight w:val="none"/>
          <w:lang w:val="zh-CN" w:eastAsia="zh-CN"/>
        </w:rPr>
        <w:t xml:space="preserve">项目组人员</w:t>
      </w:r>
      <w:r>
        <w:rPr>
          <w:rFonts w:hint="eastAsia" w:ascii="宋体" w:hAnsi="宋体" w:eastAsia="宋体" w:cs="宋体"/>
          <w:b w:val="0"/>
          <w:bCs w:val="0"/>
          <w:color w:val="000000"/>
          <w:sz w:val="28"/>
          <w:szCs w:val="28"/>
          <w:highlight w:val="none"/>
          <w:lang w:val="zh-CN" w:eastAsia="zh-CN"/>
        </w:rPr>
      </w:r>
      <w:r/>
    </w:p>
    <w:p>
      <w:pPr>
        <w:pStyle w:val="809"/>
        <w:ind w:left="0" w:firstLine="0"/>
        <w:rPr>
          <w:rFonts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九、企业业绩</w:t>
      </w:r>
      <w:r>
        <w:rPr>
          <w:rFonts w:ascii="宋体" w:hAnsi="宋体" w:eastAsia="宋体" w:cs="宋体"/>
          <w:b w:val="0"/>
          <w:bCs w:val="0"/>
          <w:color w:val="000000"/>
          <w:sz w:val="28"/>
          <w:szCs w:val="28"/>
          <w:highlight w:val="none"/>
          <w:lang w:val="en-US" w:eastAsia="zh-CN"/>
        </w:rPr>
      </w:r>
      <w:r/>
    </w:p>
    <w:p>
      <w:pPr>
        <w:pStyle w:val="809"/>
        <w:ind w:left="0" w:firstLine="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十、项目实施方案</w:t>
      </w:r>
      <w:r>
        <w:rPr>
          <w:rFonts w:hint="eastAsia" w:ascii="宋体" w:hAnsi="宋体" w:eastAsia="宋体" w:cs="宋体"/>
          <w:b w:val="0"/>
          <w:bCs w:val="0"/>
          <w:color w:val="000000"/>
          <w:sz w:val="28"/>
          <w:szCs w:val="28"/>
          <w:highlight w:val="none"/>
          <w:lang w:val="en-US" w:eastAsia="zh-CN"/>
        </w:rPr>
      </w:r>
      <w:r/>
    </w:p>
    <w:p>
      <w:pPr>
        <w:pStyle w:val="809"/>
        <w:ind w:left="0" w:firstLine="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十一、售后服务方案</w:t>
      </w:r>
      <w:r>
        <w:rPr>
          <w:rFonts w:hint="eastAsia" w:ascii="宋体" w:hAnsi="宋体" w:eastAsia="宋体" w:cs="宋体"/>
          <w:b w:val="0"/>
          <w:bCs w:val="0"/>
          <w:color w:val="000000"/>
          <w:sz w:val="28"/>
          <w:szCs w:val="28"/>
          <w:highlight w:val="none"/>
          <w:lang w:val="en-US" w:eastAsia="zh-CN"/>
        </w:rPr>
      </w:r>
      <w:r/>
    </w:p>
    <w:p>
      <w:pPr>
        <w:pStyle w:val="809"/>
        <w:ind w:left="0" w:firstLine="0"/>
        <w:rPr>
          <w:rFonts w:hint="eastAsia" w:ascii="宋体" w:hAnsi="宋体" w:eastAsia="宋体" w:cs="宋体"/>
          <w:b w:val="0"/>
          <w:bCs w:val="0"/>
          <w:color w:val="000000"/>
          <w:sz w:val="28"/>
          <w:szCs w:val="28"/>
          <w:highlight w:val="none"/>
          <w:rtl w:val="0"/>
          <w:lang w:val="en-US" w:eastAsia="zh-CN"/>
        </w:rPr>
      </w:pPr>
      <w:r>
        <w:rPr>
          <w:rFonts w:hint="eastAsia" w:ascii="宋体" w:hAnsi="宋体" w:eastAsia="宋体" w:cs="宋体"/>
          <w:b w:val="0"/>
          <w:bCs w:val="0"/>
          <w:color w:val="000000"/>
          <w:sz w:val="28"/>
          <w:szCs w:val="28"/>
          <w:highlight w:val="none"/>
          <w:lang w:val="en-US" w:eastAsia="zh-CN"/>
        </w:rPr>
        <w:t xml:space="preserve">十二、</w:t>
      </w:r>
      <w:r>
        <w:rPr>
          <w:rFonts w:hint="eastAsia" w:ascii="宋体" w:hAnsi="宋体" w:eastAsia="宋体" w:cs="宋体"/>
          <w:b w:val="0"/>
          <w:bCs w:val="0"/>
          <w:color w:val="000000"/>
          <w:sz w:val="28"/>
          <w:szCs w:val="28"/>
          <w:highlight w:val="none"/>
          <w:rtl w:val="0"/>
          <w:lang w:val="en-US" w:eastAsia="zh-CN"/>
        </w:rPr>
        <w:t xml:space="preserve">培训及技术支持方案</w:t>
      </w:r>
      <w:r>
        <w:rPr>
          <w:rFonts w:hint="eastAsia" w:ascii="宋体" w:hAnsi="宋体" w:eastAsia="宋体" w:cs="宋体"/>
          <w:b w:val="0"/>
          <w:bCs w:val="0"/>
          <w:color w:val="000000"/>
          <w:sz w:val="28"/>
          <w:szCs w:val="28"/>
          <w:highlight w:val="none"/>
          <w:rtl w:val="0"/>
          <w:lang w:val="en-US" w:eastAsia="zh-CN"/>
        </w:rPr>
      </w:r>
      <w:r/>
    </w:p>
    <w:p>
      <w:pPr>
        <w:pStyle w:val="809"/>
        <w:ind w:left="0" w:firstLine="0"/>
        <w:rPr>
          <w:rFonts w:ascii="宋体" w:hAnsi="宋体" w:eastAsia="宋体" w:cs="宋体"/>
          <w:b w:val="0"/>
          <w:bCs w:val="0"/>
          <w:color w:val="000000"/>
          <w:sz w:val="28"/>
          <w:szCs w:val="28"/>
          <w:highlight w:val="none"/>
          <w:rtl w:val="0"/>
          <w:lang w:val="en-US" w:eastAsia="zh-CN"/>
        </w:rPr>
      </w:pPr>
      <w:r>
        <w:rPr>
          <w:rFonts w:hint="eastAsia" w:ascii="宋体" w:hAnsi="宋体" w:eastAsia="宋体" w:cs="宋体"/>
          <w:b w:val="0"/>
          <w:bCs w:val="0"/>
          <w:color w:val="000000"/>
          <w:sz w:val="28"/>
          <w:szCs w:val="28"/>
          <w:highlight w:val="none"/>
          <w:rtl w:val="0"/>
          <w:lang w:val="en-US" w:eastAsia="zh-CN"/>
        </w:rPr>
        <w:t xml:space="preserve">十三、投标所需其他材料</w:t>
      </w:r>
      <w:r>
        <w:rPr>
          <w:rFonts w:ascii="宋体" w:hAnsi="宋体" w:eastAsia="宋体" w:cs="宋体"/>
          <w:b w:val="0"/>
          <w:bCs w:val="0"/>
          <w:color w:val="000000"/>
          <w:sz w:val="28"/>
          <w:szCs w:val="28"/>
          <w:highlight w:val="none"/>
          <w:rtl w:val="0"/>
          <w:lang w:val="en-US" w:eastAsia="zh-CN"/>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0"/>
        <w:numPr>
          <w:ilvl w:val="0"/>
          <w:numId w:val="0"/>
        </w:numPr>
        <w:spacing w:line="360" w:lineRule="auto"/>
        <w:rPr>
          <w:rFonts w:hint="eastAsia" w:ascii="宋体" w:hAnsi="宋体" w:eastAsia="宋体" w:cs="宋体"/>
          <w:b w:val="0"/>
          <w:bCs w:val="0"/>
          <w:caps w:val="0"/>
          <w:color w:val="000000"/>
          <w:sz w:val="32"/>
          <w:szCs w:val="32"/>
          <w:lang w:val="en-US" w:eastAsia="zh-CN" w:bidi="ar-SA"/>
        </w:rPr>
        <w:outlineLvl w:val="1"/>
      </w:pPr>
      <w:r/>
      <w:bookmarkStart w:id="152" w:name="_Toc8978"/>
      <w:r>
        <w:rPr>
          <w:rFonts w:hint="eastAsia" w:ascii="宋体" w:hAnsi="宋体" w:eastAsia="宋体" w:cs="宋体"/>
          <w:b/>
          <w:bCs w:val="0"/>
          <w:color w:val="000000"/>
          <w:sz w:val="32"/>
          <w:szCs w:val="32"/>
          <w:highlight w:val="none"/>
          <w:lang w:val="en-US" w:eastAsia="zh-CN"/>
        </w:rPr>
        <w:t xml:space="preserve">一、</w:t>
      </w:r>
      <w:r>
        <w:rPr>
          <w:rFonts w:hint="eastAsia" w:ascii="宋体" w:hAnsi="宋体" w:eastAsia="宋体" w:cs="宋体"/>
          <w:b/>
          <w:bCs w:val="0"/>
          <w:caps w:val="0"/>
          <w:color w:val="000000"/>
          <w:sz w:val="32"/>
          <w:szCs w:val="32"/>
          <w:lang w:val="en-US" w:eastAsia="zh-CN" w:bidi="ar-SA"/>
        </w:rPr>
        <w:t xml:space="preserve">供应商基本情况</w:t>
      </w:r>
      <w:r>
        <w:rPr>
          <w:rFonts w:hint="eastAsia" w:ascii="宋体" w:hAnsi="宋体" w:eastAsia="宋体" w:cs="宋体"/>
          <w:b w:val="0"/>
          <w:bCs w:val="0"/>
          <w:caps w:val="0"/>
          <w:color w:val="000000"/>
          <w:sz w:val="32"/>
          <w:szCs w:val="32"/>
          <w:lang w:val="en-US" w:eastAsia="zh-CN" w:bidi="ar-SA"/>
        </w:rPr>
      </w:r>
      <w:r/>
    </w:p>
    <w:p>
      <w:pPr>
        <w:pStyle w:val="1171"/>
        <w:jc w:val="center"/>
        <w:rPr>
          <w:rFonts w:hint="eastAsia" w:ascii="宋体" w:hAnsi="宋体" w:eastAsia="宋体" w:cs="宋体"/>
          <w:sz w:val="24"/>
          <w:szCs w:val="24"/>
          <w:highlight w:val="none"/>
        </w:rPr>
      </w:pPr>
      <w:r>
        <w:rPr>
          <w:rFonts w:hint="eastAsia" w:ascii="宋体" w:hAnsi="宋体" w:eastAsia="宋体" w:cs="宋体"/>
          <w:sz w:val="28"/>
          <w:szCs w:val="28"/>
          <w:highlight w:val="none"/>
          <w:lang w:val="en-US" w:eastAsia="zh-CN"/>
        </w:rPr>
        <w:t xml:space="preserve">供应商</w:t>
      </w:r>
      <w:r>
        <w:rPr>
          <w:rFonts w:hint="eastAsia" w:ascii="宋体" w:hAnsi="宋体" w:eastAsia="宋体" w:cs="宋体"/>
          <w:sz w:val="28"/>
          <w:szCs w:val="28"/>
          <w:highlight w:val="none"/>
        </w:rPr>
        <w:t xml:space="preserve">基本情况表</w:t>
      </w:r>
      <w:r>
        <w:rPr>
          <w:rFonts w:hint="eastAsia" w:ascii="宋体" w:hAnsi="宋体" w:eastAsia="宋体" w:cs="宋体"/>
          <w:sz w:val="24"/>
          <w:szCs w:val="24"/>
          <w:highlight w:val="none"/>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r>
            <w:r/>
          </w:p>
        </w:tc>
        <w:tc>
          <w:tcPr>
            <w:gridSpan w:val="3"/>
            <w:tcW w:w="8080"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rPr>
            </w:r>
            <w:r/>
          </w:p>
        </w:tc>
      </w:tr>
      <w:tr>
        <w:trPr>
          <w:trHeight w:val="470"/>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国有、民营等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社会信用代码</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供应商类别</w:t>
            </w:r>
            <w:r>
              <w:rPr>
                <w:rFonts w:hint="eastAsia" w:ascii="宋体" w:hAnsi="宋体" w:eastAsia="宋体" w:cs="宋体"/>
                <w:color w:val="000000"/>
                <w:sz w:val="24"/>
                <w:szCs w:val="24"/>
                <w:highlight w:val="none"/>
              </w:rPr>
            </w:r>
            <w:r/>
          </w:p>
        </w:tc>
        <w:tc>
          <w:tcPr>
            <w:gridSpan w:val="3"/>
            <w:tcW w:w="8080"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大型、中型、小型、微型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665" w:type="dxa"/>
            <w:vAlign w:val="center"/>
            <w:textDirection w:val="lrTb"/>
            <w:noWrap w:val="false"/>
          </w:tcPr>
          <w:p>
            <w:pPr>
              <w:pStyle w:val="1171"/>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8080" w:type="dxa"/>
            <w:vAlign w:val="top"/>
            <w:textDirection w:val="lrTb"/>
            <w:noWrap w:val="false"/>
          </w:tcPr>
          <w:p>
            <w:pPr>
              <w:pStyle w:val="1171"/>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665" w:type="dxa"/>
            <w:vAlign w:val="center"/>
            <w:textDirection w:val="lrTb"/>
            <w:noWrap w:val="false"/>
          </w:tcPr>
          <w:p>
            <w:pPr>
              <w:pStyle w:val="1171"/>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3"/>
            <w:tcW w:w="8080" w:type="dxa"/>
            <w:vAlign w:val="center"/>
            <w:textDirection w:val="lrTb"/>
            <w:noWrap w:val="false"/>
          </w:tcPr>
          <w:p>
            <w:pPr>
              <w:pStyle w:val="1171"/>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0"/>
        <w:numPr>
          <w:ilvl w:val="0"/>
          <w:numId w:val="0"/>
        </w:numPr>
        <w:spacing w:line="360" w:lineRule="auto"/>
        <w:rPr>
          <w:rFonts w:hint="eastAsia" w:ascii="宋体" w:hAnsi="宋体" w:eastAsia="宋体" w:cs="宋体"/>
          <w:b w:val="0"/>
          <w:bCs/>
          <w:color w:val="000000"/>
          <w:highlight w:val="none"/>
        </w:rPr>
        <w:outlineLvl w:val="1"/>
      </w:pPr>
      <w:r>
        <w:rPr>
          <w:rFonts w:hint="eastAsia" w:ascii="宋体" w:hAnsi="宋体" w:eastAsia="宋体" w:cs="宋体"/>
          <w:b w:val="0"/>
          <w:bCs/>
          <w:color w:val="000000"/>
          <w:sz w:val="24"/>
          <w:szCs w:val="24"/>
          <w:highlight w:val="none"/>
          <w:lang w:val="en-US" w:eastAsia="zh-CN"/>
        </w:rPr>
        <w:br w:type="page" w:clear="all"/>
      </w:r>
      <w:r>
        <w:rPr>
          <w:rFonts w:hint="eastAsia" w:ascii="宋体" w:hAnsi="宋体" w:eastAsia="宋体" w:cs="宋体"/>
          <w:b w:val="0"/>
          <w:bCs/>
          <w:color w:val="000000"/>
          <w:highlight w:val="none"/>
          <w:lang w:val="en-US" w:eastAsia="zh-CN"/>
        </w:rPr>
        <w:t xml:space="preserve">二</w:t>
      </w:r>
      <w:r>
        <w:rPr>
          <w:rFonts w:hint="eastAsia" w:ascii="宋体" w:hAnsi="宋体" w:eastAsia="宋体" w:cs="宋体"/>
          <w:b w:val="0"/>
          <w:bCs/>
          <w:color w:val="000000"/>
          <w:highlight w:val="none"/>
        </w:rPr>
        <w:t xml:space="preserve">、</w:t>
      </w:r>
      <w:bookmarkEnd w:id="150"/>
      <w:r/>
      <w:bookmarkEnd w:id="151"/>
      <w:r/>
      <w:bookmarkEnd w:id="152"/>
      <w:r>
        <w:rPr>
          <w:rFonts w:hint="eastAsia" w:ascii="宋体" w:hAnsi="宋体" w:eastAsia="宋体" w:cs="宋体"/>
          <w:b w:val="0"/>
          <w:bCs/>
          <w:color w:val="000000"/>
          <w:highlight w:val="none"/>
          <w:lang w:val="en-US" w:eastAsia="zh-CN"/>
        </w:rPr>
        <w:t xml:space="preserve">满足资格要求的证明文件</w:t>
      </w:r>
      <w:r>
        <w:rPr>
          <w:rFonts w:hint="eastAsia" w:ascii="宋体" w:hAnsi="宋体" w:eastAsia="宋体" w:cs="宋体"/>
          <w:b w:val="0"/>
          <w:bCs/>
          <w:color w:val="000000"/>
          <w:highlight w:val="none"/>
        </w:rPr>
      </w:r>
      <w:r/>
    </w:p>
    <w:p>
      <w:pPr>
        <w:pStyle w:val="1011"/>
        <w:jc w:val="center"/>
        <w:spacing w:line="360" w:lineRule="auto"/>
        <w:rPr>
          <w:rFonts w:ascii="宋体" w:hAnsi="宋体" w:eastAsia="宋体" w:cs="宋体"/>
          <w:bCs/>
          <w:color w:val="000000"/>
          <w:sz w:val="28"/>
          <w:szCs w:val="28"/>
          <w:highlight w:val="none"/>
          <w:lang w:val="en-US"/>
        </w:rPr>
      </w:pPr>
      <w:r>
        <w:rPr>
          <w:rFonts w:hint="eastAsia" w:ascii="宋体" w:hAnsi="宋体" w:eastAsia="宋体" w:cs="宋体"/>
          <w:caps w:val="0"/>
          <w:color w:val="000000"/>
          <w:sz w:val="24"/>
          <w:szCs w:val="24"/>
          <w:lang w:val="en-US" w:eastAsia="zh-CN"/>
        </w:rPr>
        <w:t xml:space="preserve">注：按照</w:t>
      </w:r>
      <w:r>
        <w:rPr>
          <w:rFonts w:hint="eastAsia" w:ascii="宋体" w:hAnsi="宋体" w:eastAsia="宋体" w:cs="宋体"/>
          <w:caps w:val="0"/>
          <w:color w:val="000000"/>
          <w:sz w:val="24"/>
          <w:szCs w:val="24"/>
          <w:lang w:val="en-US" w:eastAsia="zh-CN"/>
        </w:rPr>
        <w:t xml:space="preserve">本项目申请人的</w:t>
      </w:r>
      <w:r>
        <w:rPr>
          <w:rFonts w:hint="eastAsia" w:ascii="宋体" w:hAnsi="宋体" w:eastAsia="宋体" w:cs="宋体"/>
          <w:caps w:val="0"/>
          <w:color w:val="000000"/>
          <w:sz w:val="24"/>
          <w:szCs w:val="24"/>
          <w:lang w:val="en-US" w:eastAsia="zh-CN"/>
        </w:rPr>
        <w:t xml:space="preserve">资格要求提供，后附相关模板，如无模板，请格式自拟。</w:t>
      </w:r>
      <w:r>
        <w:rPr>
          <w:rFonts w:ascii="宋体" w:hAnsi="宋体" w:eastAsia="宋体" w:cs="宋体"/>
          <w:bCs/>
          <w:color w:val="000000"/>
          <w:sz w:val="28"/>
          <w:szCs w:val="28"/>
          <w:highlight w:val="none"/>
          <w:lang w:val="en-US"/>
        </w:rPr>
      </w:r>
      <w:r/>
    </w:p>
    <w:p>
      <w:pPr>
        <w:pStyle w:val="1011"/>
        <w:jc w:val="both"/>
        <w:spacing w:line="360" w:lineRule="auto"/>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特定资格要求请按照品目顺序依次提供相关资格证明文件，并标注好品目名称。</w:t>
      </w:r>
      <w:r>
        <w:rPr>
          <w:rFonts w:hint="eastAsia" w:ascii="宋体" w:hAnsi="宋体" w:eastAsia="宋体" w:cs="宋体"/>
          <w:caps w:val="0"/>
          <w:color w:val="000000"/>
          <w:sz w:val="24"/>
          <w:szCs w:val="24"/>
          <w:lang w:val="en-US" w:eastAsia="zh-CN"/>
        </w:rPr>
      </w:r>
      <w:r/>
    </w:p>
    <w:p>
      <w:pPr>
        <w:pStyle w:val="1011"/>
        <w:jc w:val="both"/>
        <w:spacing w:line="360" w:lineRule="auto"/>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如：品目一：XXX设备（医疗器械注册证、经营许可证、备案凭证等）</w:t>
      </w:r>
      <w:r>
        <w:rPr>
          <w:rFonts w:hint="eastAsia" w:ascii="宋体" w:hAnsi="宋体" w:eastAsia="宋体" w:cs="宋体"/>
          <w:caps w:val="0"/>
          <w:color w:val="000000"/>
          <w:sz w:val="24"/>
          <w:szCs w:val="24"/>
          <w:lang w:val="en-US" w:eastAsia="zh-CN"/>
        </w:rPr>
      </w:r>
      <w:r/>
    </w:p>
    <w:p>
      <w:pPr>
        <w:pStyle w:val="1011"/>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caps w:val="0"/>
          <w:color w:val="000000"/>
          <w:sz w:val="24"/>
          <w:szCs w:val="24"/>
          <w:lang w:val="en-US" w:eastAsia="zh-CN"/>
        </w:rPr>
        <w:br w:type="page" w:clear="all"/>
      </w:r>
      <w:r>
        <w:rPr>
          <w:rFonts w:hint="eastAsia" w:ascii="宋体" w:hAnsi="宋体" w:eastAsia="宋体" w:cs="宋体"/>
          <w:bCs/>
          <w:color w:val="000000"/>
          <w:sz w:val="32"/>
          <w:szCs w:val="32"/>
          <w:highlight w:val="none"/>
        </w:rPr>
        <w:t xml:space="preserve">投标函</w:t>
      </w:r>
      <w:r>
        <w:rPr>
          <w:rFonts w:hint="eastAsia" w:ascii="宋体" w:hAnsi="宋体" w:eastAsia="宋体" w:cs="宋体"/>
          <w:bCs/>
          <w:color w:val="000000"/>
          <w:sz w:val="32"/>
          <w:szCs w:val="32"/>
          <w:highlight w:val="none"/>
        </w:rPr>
      </w:r>
      <w:r/>
    </w:p>
    <w:p>
      <w:pPr>
        <w:pStyle w:val="1011"/>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（采购单位名称）：</w:t>
      </w:r>
      <w:r>
        <w:rPr>
          <w:rFonts w:hint="eastAsia" w:ascii="宋体" w:hAnsi="宋体" w:eastAsia="宋体" w:cs="宋体"/>
          <w:color w:val="000000"/>
          <w:sz w:val="24"/>
          <w:szCs w:val="24"/>
          <w:highlight w:val="none"/>
          <w:u w:val="singl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的招标文件，我方在参加本项目招投标活动中，特作出如下承诺：</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四、如果我方的投标文件被接受，我方将按《中华人民共和国民法典（第三编合同）》及其他有关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的规定，按期、按质、按量交付采购单位，全面做到履约守信；</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w:t>
      </w:r>
      <w:r>
        <w:rPr>
          <w:rFonts w:hint="eastAsia" w:ascii="宋体" w:hAnsi="宋体" w:eastAsia="宋体" w:cs="宋体"/>
          <w:color w:val="000000"/>
          <w:sz w:val="24"/>
          <w:szCs w:val="24"/>
          <w:highlight w:val="none"/>
          <w:lang w:val="en-US" w:eastAsia="zh-CN"/>
        </w:rPr>
        <w:t xml:space="preserve">函</w:t>
      </w:r>
      <w:r>
        <w:rPr>
          <w:rFonts w:hint="eastAsia" w:ascii="宋体" w:hAnsi="宋体" w:eastAsia="宋体" w:cs="宋体"/>
          <w:color w:val="000000"/>
          <w:sz w:val="24"/>
          <w:szCs w:val="24"/>
          <w:highlight w:val="none"/>
        </w:rPr>
        <w:t xml:space="preserve">上网公开。</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Style w:val="728"/>
          <w:rFonts w:ascii="Times New Roman" w:hAnsi="Times New Roman" w:eastAsia="宋体" w:cs="Times New Roman"/>
          <w:b/>
          <w:caps w:val="0"/>
          <w:color w:val="000000"/>
          <w:sz w:val="36"/>
          <w:szCs w:val="36"/>
          <w:lang w:val="en-US" w:eastAsia="zh-CN" w:bidi="ar-SA"/>
        </w:rPr>
      </w:pPr>
      <w:r>
        <w:rPr>
          <w:rStyle w:val="728"/>
          <w:rFonts w:hint="eastAsia" w:ascii="Times New Roman" w:hAnsi="Times New Roman" w:eastAsia="宋体" w:cs="Times New Roman"/>
          <w:b/>
          <w:caps w:val="0"/>
          <w:color w:val="000000"/>
          <w:sz w:val="36"/>
          <w:szCs w:val="36"/>
          <w:lang w:val="en-US" w:eastAsia="zh-CN" w:bidi="ar-SA"/>
        </w:rPr>
        <w:br w:type="page" w:clear="all"/>
      </w:r>
      <w:r>
        <w:rPr>
          <w:rStyle w:val="728"/>
          <w:rFonts w:hint="eastAsia" w:ascii="Times New Roman" w:hAnsi="Times New Roman" w:eastAsia="宋体" w:cs="Times New Roman"/>
          <w:b/>
          <w:caps w:val="0"/>
          <w:color w:val="000000"/>
          <w:sz w:val="36"/>
          <w:szCs w:val="36"/>
          <w:lang w:val="en-US" w:eastAsia="zh-CN" w:bidi="ar-SA"/>
        </w:rPr>
        <w:t xml:space="preserve">中小（微）企业声明函（货物）</w:t>
      </w:r>
      <w:r>
        <w:rPr>
          <w:rStyle w:val="728"/>
          <w:rFonts w:ascii="Times New Roman" w:hAnsi="Times New Roman" w:eastAsia="宋体" w:cs="Times New Roman"/>
          <w:b/>
          <w:caps w:val="0"/>
          <w:color w:val="000000"/>
          <w:sz w:val="36"/>
          <w:szCs w:val="36"/>
          <w:lang w:val="en-US" w:eastAsia="zh-CN" w:bidi="ar-SA"/>
        </w:rPr>
      </w:r>
      <w:r/>
    </w:p>
    <w:p>
      <w:pPr>
        <w:pStyle w:val="1027"/>
        <w:jc w:val="left"/>
        <w:rPr>
          <w:rStyle w:val="728"/>
          <w:rFonts w:hint="eastAsia" w:ascii="宋体" w:hAnsi="宋体" w:eastAsia="宋体" w:cs="宋体"/>
          <w:b/>
          <w:caps w:val="0"/>
          <w:color w:val="000000"/>
          <w:sz w:val="32"/>
          <w:szCs w:val="32"/>
          <w:lang w:val="en-US" w:eastAsia="zh-CN" w:bidi="ar-SA"/>
        </w:rPr>
      </w:pPr>
      <w:r>
        <w:rPr>
          <w:rStyle w:val="728"/>
          <w:rFonts w:hint="eastAsia" w:ascii="宋体" w:hAnsi="宋体" w:eastAsia="宋体" w:cs="宋体"/>
          <w:b/>
          <w:caps w:val="0"/>
          <w:color w:val="000000"/>
          <w:sz w:val="32"/>
          <w:szCs w:val="32"/>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728"/>
          <w:rFonts w:hint="eastAsia" w:ascii="宋体" w:hAnsi="宋体" w:eastAsia="宋体" w:cs="宋体"/>
          <w:caps w:val="0"/>
          <w:color w:val="000000"/>
          <w:sz w:val="24"/>
          <w:szCs w:val="24"/>
          <w:u w:val="single"/>
          <w:lang w:val="en-US" w:eastAsia="zh-CN" w:bidi="ar-SA"/>
        </w:rPr>
        <w:t xml:space="preserve"> 采购单位名称  </w:t>
      </w:r>
      <w:r>
        <w:rPr>
          <w:rStyle w:val="728"/>
          <w:rFonts w:hint="eastAsia" w:ascii="宋体" w:hAnsi="宋体" w:eastAsia="宋体" w:cs="宋体"/>
          <w:caps w:val="0"/>
          <w:color w:val="000000"/>
          <w:sz w:val="24"/>
          <w:szCs w:val="24"/>
          <w:lang w:val="en-US" w:eastAsia="zh-CN" w:bidi="ar-SA"/>
        </w:rPr>
        <w:t xml:space="preserve">的（</w:t>
      </w:r>
      <w:r>
        <w:rPr>
          <w:rStyle w:val="728"/>
          <w:rFonts w:hint="eastAsia" w:ascii="宋体" w:hAnsi="宋体" w:eastAsia="宋体" w:cs="宋体"/>
          <w:caps w:val="0"/>
          <w:color w:val="000000"/>
          <w:sz w:val="24"/>
          <w:szCs w:val="24"/>
          <w:u w:val="single"/>
          <w:lang w:val="en-US" w:eastAsia="zh-CN" w:bidi="ar-SA"/>
        </w:rPr>
        <w:t xml:space="preserve">项目名称）</w:t>
      </w:r>
      <w:r>
        <w:rPr>
          <w:rStyle w:val="728"/>
          <w:rFonts w:hint="eastAsia" w:ascii="宋体" w:hAnsi="宋体"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728"/>
          <w:rFonts w:hint="eastAsia" w:ascii="宋体" w:hAnsi="宋体" w:eastAsia="宋体" w:cs="宋体"/>
          <w:caps w:val="0"/>
          <w:color w:val="000000"/>
          <w:sz w:val="24"/>
          <w:szCs w:val="24"/>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u w:val="single"/>
          <w:lang w:val="en-US" w:eastAsia="zh-CN" w:bidi="ar-SA"/>
        </w:rPr>
      </w:pPr>
      <w:r>
        <w:rPr>
          <w:rStyle w:val="728"/>
          <w:rFonts w:hint="eastAsia" w:ascii="宋体" w:hAnsi="宋体" w:eastAsia="宋体" w:cs="宋体"/>
          <w:caps w:val="0"/>
          <w:color w:val="000000"/>
          <w:sz w:val="24"/>
          <w:szCs w:val="24"/>
          <w:lang w:val="en-US" w:eastAsia="zh-CN" w:bidi="ar-SA"/>
        </w:rPr>
        <w:t xml:space="preserve">1.</w:t>
      </w:r>
      <w:r>
        <w:rPr>
          <w:rStyle w:val="728"/>
          <w:rFonts w:hint="eastAsia" w:ascii="宋体" w:hAnsi="宋体" w:eastAsia="宋体" w:cs="宋体"/>
          <w:caps w:val="0"/>
          <w:color w:val="000000"/>
          <w:sz w:val="24"/>
          <w:szCs w:val="24"/>
          <w:u w:val="single"/>
          <w:lang w:val="en-US" w:eastAsia="zh-CN" w:bidi="ar-SA"/>
        </w:rPr>
        <w:t xml:space="preserve">标的名称（货物名称）</w:t>
      </w:r>
      <w:r>
        <w:rPr>
          <w:rStyle w:val="728"/>
          <w:rFonts w:hint="eastAsia" w:ascii="宋体" w:hAnsi="宋体" w:eastAsia="宋体" w:cs="宋体"/>
          <w:caps w:val="0"/>
          <w:color w:val="000000"/>
          <w:sz w:val="24"/>
          <w:szCs w:val="24"/>
          <w:lang w:val="en-US" w:eastAsia="zh-CN" w:bidi="ar-SA"/>
        </w:rPr>
        <w:t xml:space="preserve">，属于（</w:t>
      </w:r>
      <w:r>
        <w:rPr>
          <w:rStyle w:val="728"/>
          <w:rFonts w:hint="eastAsia" w:ascii="宋体" w:hAnsi="宋体" w:eastAsia="宋体" w:cs="宋体"/>
          <w:i/>
          <w:caps w:val="0"/>
          <w:color w:val="000000"/>
          <w:sz w:val="24"/>
          <w:szCs w:val="24"/>
          <w:u w:val="single"/>
          <w:lang w:val="en-US" w:eastAsia="zh-CN" w:bidi="ar-SA"/>
        </w:rPr>
        <w:t xml:space="preserve">供应商须知表中明确的所属行业）</w:t>
      </w:r>
      <w:r>
        <w:rPr>
          <w:rStyle w:val="728"/>
          <w:rFonts w:hint="eastAsia" w:ascii="宋体" w:hAnsi="宋体" w:eastAsia="宋体" w:cs="宋体"/>
          <w:caps w:val="0"/>
          <w:color w:val="000000"/>
          <w:sz w:val="24"/>
          <w:szCs w:val="24"/>
          <w:u w:val="single"/>
          <w:lang w:val="en-US" w:eastAsia="zh-CN" w:bidi="ar-SA"/>
        </w:rPr>
        <w:t xml:space="preserve">行业</w:t>
      </w:r>
      <w:r>
        <w:rPr>
          <w:rStyle w:val="728"/>
          <w:rFonts w:hint="eastAsia" w:ascii="宋体" w:hAnsi="宋体" w:eastAsia="宋体" w:cs="宋体"/>
          <w:caps w:val="0"/>
          <w:color w:val="000000"/>
          <w:sz w:val="24"/>
          <w:szCs w:val="24"/>
          <w:lang w:val="en-US" w:eastAsia="zh-CN" w:bidi="ar-SA"/>
        </w:rPr>
        <w:t xml:space="preserve">；制造商为</w:t>
      </w:r>
      <w:r>
        <w:rPr>
          <w:rStyle w:val="728"/>
          <w:rFonts w:hint="eastAsia" w:ascii="宋体" w:hAnsi="宋体" w:eastAsia="宋体" w:cs="宋体"/>
          <w:caps w:val="0"/>
          <w:color w:val="000000"/>
          <w:sz w:val="24"/>
          <w:szCs w:val="24"/>
          <w:u w:val="single"/>
          <w:lang w:val="en-US" w:eastAsia="zh-CN" w:bidi="ar-SA"/>
        </w:rPr>
        <w:t xml:space="preserve">（企业名称）</w:t>
      </w:r>
      <w:r>
        <w:rPr>
          <w:rStyle w:val="728"/>
          <w:rFonts w:hint="eastAsia" w:ascii="宋体" w:hAnsi="宋体" w:eastAsia="宋体" w:cs="宋体"/>
          <w:caps w:val="0"/>
          <w:color w:val="000000"/>
          <w:sz w:val="24"/>
          <w:szCs w:val="24"/>
          <w:lang w:val="en-US" w:eastAsia="zh-CN" w:bidi="ar-SA"/>
        </w:rPr>
        <w:t xml:space="preserve">，从业人员</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人，营业收入为 </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万元，资产总额为</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w:t>
      </w:r>
      <w:r>
        <w:rPr>
          <w:rStyle w:val="728"/>
          <w:rFonts w:hint="eastAsia" w:ascii="宋体" w:hAnsi="宋体" w:eastAsia="宋体" w:cs="宋体"/>
          <w:caps w:val="0"/>
          <w:color w:val="000000"/>
          <w:sz w:val="24"/>
          <w:szCs w:val="24"/>
          <w:vertAlign w:val="superscript"/>
          <w:lang w:val="en-US" w:eastAsia="zh-CN" w:bidi="ar-SA"/>
        </w:rPr>
        <w:t xml:space="preserve">1</w:t>
      </w:r>
      <w:r>
        <w:rPr>
          <w:rStyle w:val="728"/>
          <w:rFonts w:hint="eastAsia" w:ascii="宋体" w:hAnsi="宋体" w:eastAsia="宋体" w:cs="宋体"/>
          <w:caps w:val="0"/>
          <w:color w:val="000000"/>
          <w:sz w:val="24"/>
          <w:szCs w:val="24"/>
          <w:lang w:val="en-US" w:eastAsia="zh-CN" w:bidi="ar-SA"/>
        </w:rPr>
        <w:t xml:space="preserve">，属于</w:t>
      </w:r>
      <w:r>
        <w:rPr>
          <w:rStyle w:val="728"/>
          <w:rFonts w:hint="eastAsia" w:ascii="宋体" w:hAnsi="宋体" w:eastAsia="宋体" w:cs="宋体"/>
          <w:caps w:val="0"/>
          <w:color w:val="000000"/>
          <w:sz w:val="24"/>
          <w:szCs w:val="24"/>
          <w:u w:val="single"/>
          <w:lang w:val="en-US" w:eastAsia="zh-CN" w:bidi="ar-SA"/>
        </w:rPr>
        <w:t xml:space="preserve">（中型企业、小型企业、微型企业）；</w:t>
      </w:r>
      <w:r>
        <w:rPr>
          <w:rStyle w:val="728"/>
          <w:rFonts w:hint="eastAsia" w:ascii="宋体" w:hAnsi="宋体" w:eastAsia="宋体" w:cs="宋体"/>
          <w:caps w:val="0"/>
          <w:color w:val="000000"/>
          <w:sz w:val="24"/>
          <w:szCs w:val="24"/>
          <w:u w:val="single"/>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u w:val="single"/>
          <w:lang w:val="en-US" w:eastAsia="zh-CN" w:bidi="ar-SA"/>
        </w:rPr>
      </w:pPr>
      <w:r>
        <w:rPr>
          <w:rStyle w:val="728"/>
          <w:rFonts w:hint="eastAsia" w:ascii="宋体" w:hAnsi="宋体" w:eastAsia="宋体" w:cs="宋体"/>
          <w:caps w:val="0"/>
          <w:color w:val="000000"/>
          <w:sz w:val="24"/>
          <w:szCs w:val="24"/>
          <w:lang w:val="en-US" w:eastAsia="zh-CN" w:bidi="ar-SA"/>
        </w:rPr>
        <w:t xml:space="preserve">2.</w:t>
      </w:r>
      <w:r>
        <w:rPr>
          <w:rStyle w:val="728"/>
          <w:rFonts w:hint="eastAsia" w:ascii="宋体" w:hAnsi="宋体" w:eastAsia="宋体" w:cs="宋体"/>
          <w:caps w:val="0"/>
          <w:color w:val="000000"/>
          <w:sz w:val="24"/>
          <w:szCs w:val="24"/>
          <w:u w:val="single"/>
          <w:lang w:val="en-US" w:eastAsia="zh-CN" w:bidi="ar-SA"/>
        </w:rPr>
        <w:t xml:space="preserve">标的名称</w:t>
      </w:r>
      <w:r>
        <w:rPr>
          <w:rStyle w:val="728"/>
          <w:rFonts w:hint="eastAsia" w:ascii="宋体" w:hAnsi="宋体" w:eastAsia="宋体" w:cs="宋体"/>
          <w:caps w:val="0"/>
          <w:color w:val="000000"/>
          <w:sz w:val="24"/>
          <w:szCs w:val="24"/>
          <w:u w:val="single"/>
          <w:lang w:val="en-US" w:eastAsia="zh-CN" w:bidi="ar-SA"/>
        </w:rPr>
        <w:t xml:space="preserve">（货物名称）</w:t>
      </w:r>
      <w:r>
        <w:rPr>
          <w:rStyle w:val="728"/>
          <w:rFonts w:hint="eastAsia" w:ascii="宋体" w:hAnsi="宋体" w:eastAsia="宋体" w:cs="宋体"/>
          <w:caps w:val="0"/>
          <w:color w:val="000000"/>
          <w:sz w:val="24"/>
          <w:szCs w:val="24"/>
          <w:lang w:val="en-US" w:eastAsia="zh-CN" w:bidi="ar-SA"/>
        </w:rPr>
        <w:t xml:space="preserve">，属于（</w:t>
      </w:r>
      <w:r>
        <w:rPr>
          <w:rStyle w:val="728"/>
          <w:rFonts w:hint="eastAsia" w:ascii="宋体" w:hAnsi="宋体" w:eastAsia="宋体" w:cs="宋体"/>
          <w:i/>
          <w:caps w:val="0"/>
          <w:color w:val="000000"/>
          <w:sz w:val="24"/>
          <w:szCs w:val="24"/>
          <w:u w:val="single"/>
          <w:lang w:val="en-US" w:eastAsia="zh-CN" w:bidi="ar-SA"/>
        </w:rPr>
        <w:t xml:space="preserve">供应商须知表</w:t>
      </w:r>
      <w:r>
        <w:rPr>
          <w:rStyle w:val="728"/>
          <w:rFonts w:hint="eastAsia" w:ascii="宋体" w:hAnsi="宋体" w:eastAsia="宋体" w:cs="宋体"/>
          <w:i/>
          <w:caps w:val="0"/>
          <w:color w:val="000000"/>
          <w:sz w:val="24"/>
          <w:szCs w:val="24"/>
          <w:u w:val="single"/>
          <w:lang w:val="en-US" w:eastAsia="zh-CN" w:bidi="ar-SA"/>
        </w:rPr>
        <w:t xml:space="preserve">明确的所属行业）</w:t>
      </w:r>
      <w:r>
        <w:rPr>
          <w:rStyle w:val="728"/>
          <w:rFonts w:hint="eastAsia" w:ascii="宋体" w:hAnsi="宋体" w:eastAsia="宋体" w:cs="宋体"/>
          <w:caps w:val="0"/>
          <w:color w:val="000000"/>
          <w:sz w:val="24"/>
          <w:szCs w:val="24"/>
          <w:u w:val="single"/>
          <w:lang w:val="en-US" w:eastAsia="zh-CN" w:bidi="ar-SA"/>
        </w:rPr>
        <w:t xml:space="preserve">行业</w:t>
      </w:r>
      <w:r>
        <w:rPr>
          <w:rStyle w:val="728"/>
          <w:rFonts w:hint="eastAsia" w:ascii="宋体" w:hAnsi="宋体" w:eastAsia="宋体" w:cs="宋体"/>
          <w:caps w:val="0"/>
          <w:color w:val="000000"/>
          <w:sz w:val="24"/>
          <w:szCs w:val="24"/>
          <w:lang w:val="en-US" w:eastAsia="zh-CN" w:bidi="ar-SA"/>
        </w:rPr>
        <w:t xml:space="preserve">；制造商为</w:t>
      </w:r>
      <w:r>
        <w:rPr>
          <w:rStyle w:val="728"/>
          <w:rFonts w:hint="eastAsia" w:ascii="宋体" w:hAnsi="宋体" w:eastAsia="宋体" w:cs="宋体"/>
          <w:caps w:val="0"/>
          <w:color w:val="000000"/>
          <w:sz w:val="24"/>
          <w:szCs w:val="24"/>
          <w:u w:val="single"/>
          <w:lang w:val="en-US" w:eastAsia="zh-CN" w:bidi="ar-SA"/>
        </w:rPr>
        <w:t xml:space="preserve">（企业名称）        </w:t>
      </w:r>
      <w:r>
        <w:rPr>
          <w:rStyle w:val="728"/>
          <w:rFonts w:hint="eastAsia" w:ascii="宋体" w:hAnsi="宋体" w:eastAsia="宋体" w:cs="宋体"/>
          <w:caps w:val="0"/>
          <w:color w:val="000000"/>
          <w:sz w:val="24"/>
          <w:szCs w:val="24"/>
          <w:lang w:val="en-US" w:eastAsia="zh-CN" w:bidi="ar-SA"/>
        </w:rPr>
        <w:t xml:space="preserve">，从业人员</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人，营业收入为 </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万元，资产总额为</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万元，属于</w:t>
      </w:r>
      <w:r>
        <w:rPr>
          <w:rStyle w:val="728"/>
          <w:rFonts w:hint="eastAsia" w:ascii="宋体" w:hAnsi="宋体" w:eastAsia="宋体" w:cs="宋体"/>
          <w:caps w:val="0"/>
          <w:color w:val="000000"/>
          <w:sz w:val="24"/>
          <w:szCs w:val="24"/>
          <w:u w:val="single"/>
          <w:lang w:val="en-US" w:eastAsia="zh-CN" w:bidi="ar-SA"/>
        </w:rPr>
        <w:t xml:space="preserve">（中型企业、小型企业、微型企业）；</w:t>
      </w:r>
      <w:r>
        <w:rPr>
          <w:rStyle w:val="728"/>
          <w:rFonts w:hint="eastAsia" w:ascii="宋体" w:hAnsi="宋体" w:eastAsia="宋体" w:cs="宋体"/>
          <w:caps w:val="0"/>
          <w:color w:val="000000"/>
          <w:sz w:val="24"/>
          <w:szCs w:val="24"/>
          <w:u w:val="single"/>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w:t>
      </w:r>
      <w:r>
        <w:rPr>
          <w:rStyle w:val="728"/>
          <w:rFonts w:hint="eastAsia" w:ascii="宋体" w:hAnsi="宋体" w:eastAsia="宋体" w:cs="宋体"/>
          <w:caps w:val="0"/>
          <w:color w:val="000000"/>
          <w:sz w:val="24"/>
          <w:szCs w:val="24"/>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728"/>
          <w:rFonts w:hint="eastAsia" w:ascii="宋体" w:hAnsi="宋体" w:eastAsia="宋体" w:cs="宋体"/>
          <w:caps w:val="0"/>
          <w:color w:val="000000"/>
          <w:sz w:val="24"/>
          <w:szCs w:val="24"/>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本企业对上述声明内容的真实性负责。如有虚假，将依法承担相应责任。</w:t>
      </w:r>
      <w:r>
        <w:rPr>
          <w:rStyle w:val="728"/>
          <w:rFonts w:hint="eastAsia" w:ascii="宋体" w:hAnsi="宋体" w:eastAsia="宋体" w:cs="宋体"/>
          <w:caps w:val="0"/>
          <w:color w:val="000000"/>
          <w:sz w:val="24"/>
          <w:szCs w:val="24"/>
          <w:lang w:val="en-US" w:eastAsia="zh-CN" w:bidi="ar-SA"/>
        </w:rPr>
      </w:r>
      <w:r/>
    </w:p>
    <w:p>
      <w:pPr>
        <w:pStyle w:val="718"/>
        <w:ind w:right="720"/>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供应商</w:t>
      </w:r>
      <w:r>
        <w:rPr>
          <w:rFonts w:hint="eastAsia" w:ascii="宋体" w:hAnsi="宋体" w:eastAsia="宋体" w:cs="宋体"/>
          <w:caps w:val="0"/>
          <w:color w:val="000000"/>
          <w:sz w:val="24"/>
          <w:szCs w:val="24"/>
        </w:rPr>
        <w:t xml:space="preserve">名称</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（加盖CA电子公章）</w:t>
      </w:r>
      <w:r>
        <w:rPr>
          <w:rFonts w:hint="eastAsia" w:ascii="宋体" w:hAnsi="宋体" w:eastAsia="宋体" w:cs="宋体"/>
          <w:caps w:val="0"/>
          <w:color w:val="000000"/>
          <w:sz w:val="24"/>
          <w:szCs w:val="24"/>
        </w:rPr>
      </w:r>
      <w:r/>
    </w:p>
    <w:p>
      <w:pPr>
        <w:pStyle w:val="718"/>
        <w:ind w:firstLine="5760"/>
        <w:jc w:val="center"/>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日  期：</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年___月___日</w:t>
      </w:r>
      <w:r>
        <w:rPr>
          <w:rFonts w:hint="eastAsia" w:ascii="宋体" w:hAnsi="宋体" w:eastAsia="宋体" w:cs="宋体"/>
          <w:caps w:val="0"/>
          <w:color w:val="000000"/>
          <w:sz w:val="24"/>
          <w:szCs w:val="24"/>
        </w:rPr>
      </w:r>
      <w:r/>
    </w:p>
    <w:p>
      <w:pPr>
        <w:pStyle w:val="1027"/>
        <w:ind w:firstLine="360"/>
        <w:spacing w:line="560" w:lineRule="exact"/>
        <w:rPr>
          <w:rStyle w:val="728"/>
          <w:rFonts w:hint="eastAsia" w:ascii="宋体" w:hAnsi="宋体" w:eastAsia="宋体" w:cs="宋体"/>
          <w:caps w:val="0"/>
          <w:color w:val="000000"/>
          <w:sz w:val="18"/>
          <w:szCs w:val="18"/>
          <w:lang w:val="en-US" w:eastAsia="zh-CN" w:bidi="ar-SA"/>
        </w:rPr>
      </w:pPr>
      <w:r>
        <w:rPr>
          <w:rStyle w:val="728"/>
          <w:rFonts w:hint="eastAsia" w:ascii="宋体" w:hAnsi="宋体" w:eastAsia="宋体" w:cs="宋体"/>
          <w:caps w:val="0"/>
          <w:color w:val="000000"/>
          <w:sz w:val="18"/>
          <w:szCs w:val="18"/>
          <w:vertAlign w:val="superscript"/>
          <w:lang w:val="en-US" w:eastAsia="zh-CN" w:bidi="ar-SA"/>
        </w:rPr>
        <w:t xml:space="preserve">1</w:t>
      </w:r>
      <w:r>
        <w:rPr>
          <w:rStyle w:val="728"/>
          <w:rFonts w:hint="eastAsia" w:ascii="宋体" w:hAnsi="宋体" w:eastAsia="宋体" w:cs="宋体"/>
          <w:caps w:val="0"/>
          <w:color w:val="000000"/>
          <w:sz w:val="18"/>
          <w:szCs w:val="18"/>
          <w:lang w:val="en-US" w:eastAsia="zh-CN" w:bidi="ar-SA"/>
        </w:rPr>
        <w:t xml:space="preserve">从业人员、营业收入、资产总额填报上一年数据，无上一年数据的新成立企业可不填报。</w:t>
      </w:r>
      <w:r>
        <w:rPr>
          <w:rStyle w:val="728"/>
          <w:rFonts w:hint="eastAsia" w:ascii="宋体" w:hAnsi="宋体" w:eastAsia="宋体" w:cs="宋体"/>
          <w:caps w:val="0"/>
          <w:color w:val="000000"/>
          <w:sz w:val="18"/>
          <w:szCs w:val="18"/>
          <w:lang w:val="en-US" w:eastAsia="zh-CN" w:bidi="ar-SA"/>
        </w:rPr>
      </w:r>
      <w:r/>
    </w:p>
    <w:p>
      <w:pPr>
        <w:pStyle w:val="718"/>
        <w:jc w:val="both"/>
        <w:spacing w:line="460" w:lineRule="exact"/>
        <w:rPr>
          <w:rFonts w:hint="eastAsia" w:ascii="Times New Roman" w:hAnsi="Times New Roman" w:eastAsia="黑体" w:cs="Times New Roman"/>
          <w:b/>
          <w:bCs/>
          <w:caps w:val="0"/>
          <w:color w:val="000000"/>
          <w:sz w:val="32"/>
          <w:szCs w:val="32"/>
          <w:lang w:val="en-US" w:eastAsia="zh-CN" w:bidi="ar-SA"/>
        </w:rPr>
      </w:pPr>
      <w:r>
        <w:rPr>
          <w:rFonts w:hint="eastAsia" w:ascii="Times New Roman" w:hAnsi="Times New Roman" w:eastAsia="黑体" w:cs="Times New Roman"/>
          <w:b/>
          <w:bCs/>
          <w:caps w:val="0"/>
          <w:color w:val="000000"/>
          <w:sz w:val="32"/>
          <w:szCs w:val="32"/>
          <w:lang w:val="en-US" w:eastAsia="zh-CN" w:bidi="ar-SA"/>
        </w:rPr>
      </w:r>
      <w:r/>
    </w:p>
    <w:p>
      <w:pPr>
        <w:pStyle w:val="1028"/>
        <w:jc w:val="center"/>
        <w:spacing w:before="151" w:after="151" w:line="600" w:lineRule="exact"/>
        <w:rPr>
          <w:rStyle w:val="728"/>
          <w:rFonts w:ascii="Times New Roman" w:hAnsi="Times New Roman" w:eastAsia="宋体" w:cs="Times New Roman"/>
          <w:b/>
          <w:bCs/>
          <w:caps w:val="0"/>
          <w:color w:val="000000"/>
          <w:sz w:val="32"/>
          <w:szCs w:val="32"/>
          <w:lang w:val="en-US" w:eastAsia="zh-CN" w:bidi="ar-SA"/>
        </w:rPr>
      </w:pPr>
      <w:r>
        <w:rPr>
          <w:rStyle w:val="728"/>
          <w:rFonts w:hint="eastAsia" w:ascii="Times New Roman" w:hAnsi="Times New Roman" w:eastAsia="宋体" w:cs="Times New Roman"/>
          <w:b/>
          <w:bCs/>
          <w:caps w:val="0"/>
          <w:color w:val="000000"/>
          <w:sz w:val="32"/>
          <w:szCs w:val="32"/>
          <w:lang w:val="en-US" w:eastAsia="zh-CN" w:bidi="ar-SA"/>
        </w:rPr>
        <w:br w:type="page" w:clear="all"/>
      </w:r>
      <w:r>
        <w:rPr>
          <w:rStyle w:val="728"/>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728"/>
          <w:rFonts w:ascii="Times New Roman" w:hAnsi="Times New Roman" w:eastAsia="宋体" w:cs="Times New Roman"/>
          <w:b/>
          <w:bCs/>
          <w:caps w:val="0"/>
          <w:color w:val="000000"/>
          <w:sz w:val="32"/>
          <w:szCs w:val="32"/>
          <w:lang w:val="en-US" w:eastAsia="zh-CN" w:bidi="ar-SA"/>
        </w:rPr>
      </w:r>
      <w:r/>
    </w:p>
    <w:p>
      <w:pPr>
        <w:pStyle w:val="1029"/>
        <w:spacing w:line="588" w:lineRule="exact"/>
        <w:rPr>
          <w:rStyle w:val="728"/>
          <w:rFonts w:ascii="Times New Roman" w:hAnsi="Times New Roman" w:eastAsia="仿宋_GB2312" w:cs="Times New Roman"/>
          <w:b/>
          <w:caps w:val="0"/>
          <w:color w:val="000000"/>
          <w:spacing w:val="6"/>
          <w:sz w:val="30"/>
          <w:szCs w:val="30"/>
          <w:lang w:val="en-US" w:eastAsia="zh-CN" w:bidi="ar-SA"/>
        </w:rPr>
      </w:pPr>
      <w:r>
        <w:rPr>
          <w:rStyle w:val="728"/>
          <w:rFonts w:ascii="Times New Roman" w:hAnsi="Times New Roman" w:eastAsia="仿宋_GB2312" w:cs="Times New Roman"/>
          <w:b/>
          <w:caps w:val="0"/>
          <w:color w:val="000000"/>
          <w:spacing w:val="6"/>
          <w:sz w:val="30"/>
          <w:szCs w:val="30"/>
          <w:lang w:val="en-US" w:eastAsia="zh-CN" w:bidi="ar-SA"/>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lang w:val="en-US" w:eastAsia="zh-CN"/>
        </w:rPr>
      </w:pPr>
      <w:r>
        <w:rPr>
          <w:rFonts w:hint="eastAsia" w:ascii="宋体" w:hAnsi="宋体" w:eastAsia="宋体" w:cs="宋体"/>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aps w:val="0"/>
          <w:color w:val="000000"/>
          <w:sz w:val="24"/>
          <w:u w:val="single"/>
          <w:lang w:val="en-US" w:eastAsia="zh-CN"/>
        </w:rPr>
        <w:t xml:space="preserve">（采购单位名称）</w:t>
      </w:r>
      <w:r>
        <w:rPr>
          <w:rFonts w:hint="eastAsia" w:ascii="宋体" w:hAnsi="宋体" w:eastAsia="宋体" w:cs="宋体"/>
          <w:caps w:val="0"/>
          <w:color w:val="000000"/>
          <w:sz w:val="24"/>
          <w:lang w:val="en-US" w:eastAsia="zh-CN"/>
        </w:rPr>
        <w:t xml:space="preserve">的</w:t>
      </w:r>
      <w:r>
        <w:rPr>
          <w:rFonts w:hint="eastAsia" w:ascii="宋体" w:hAnsi="宋体" w:eastAsia="宋体" w:cs="宋体"/>
          <w:caps w:val="0"/>
          <w:color w:val="000000"/>
          <w:sz w:val="24"/>
          <w:u w:val="single"/>
          <w:lang w:val="en-US" w:eastAsia="zh-CN"/>
        </w:rPr>
        <w:t xml:space="preserve">（项目名称）</w:t>
      </w:r>
      <w:r>
        <w:rPr>
          <w:rFonts w:hint="eastAsia" w:ascii="宋体" w:hAnsi="宋体" w:eastAsia="宋体" w:cs="宋体"/>
          <w:caps w:val="0"/>
          <w:color w:val="000000"/>
          <w:sz w:val="24"/>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aps w:val="0"/>
          <w:color w:val="000000"/>
          <w:sz w:val="24"/>
          <w:lang w:val="en-US" w:eastAsia="zh-CN"/>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rPr>
      </w:pPr>
      <w:r>
        <w:rPr>
          <w:rFonts w:hint="eastAsia" w:ascii="宋体" w:hAnsi="宋体" w:eastAsia="宋体" w:cs="宋体"/>
          <w:caps w:val="0"/>
          <w:color w:val="000000"/>
          <w:sz w:val="24"/>
        </w:rPr>
        <w:t xml:space="preserve">本单位对上述声明的真实性负责。如有虚假，将依法承担相应责任。</w:t>
      </w:r>
      <w:r>
        <w:rPr>
          <w:rFonts w:hint="eastAsia" w:ascii="宋体" w:hAnsi="宋体" w:eastAsia="宋体" w:cs="宋体"/>
          <w:caps w:val="0"/>
          <w:color w:val="000000"/>
          <w:sz w:val="24"/>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rPr>
      </w:pPr>
      <w:r>
        <w:rPr>
          <w:rFonts w:hint="eastAsia" w:ascii="宋体" w:hAnsi="宋体" w:eastAsia="宋体" w:cs="宋体"/>
          <w:caps w:val="0"/>
          <w:color w:val="000000"/>
          <w:sz w:val="24"/>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rPr>
      </w:pPr>
      <w:r>
        <w:rPr>
          <w:rFonts w:hint="eastAsia" w:ascii="宋体" w:hAnsi="宋体" w:eastAsia="宋体" w:cs="宋体"/>
          <w:caps w:val="0"/>
          <w:color w:val="000000"/>
          <w:sz w:val="24"/>
        </w:rPr>
        <w:t xml:space="preserve">（备注：1、</w:t>
      </w:r>
      <w:r>
        <w:rPr>
          <w:rFonts w:hint="eastAsia" w:ascii="宋体" w:hAnsi="宋体" w:eastAsia="宋体" w:cs="宋体"/>
          <w:caps w:val="0"/>
          <w:color w:val="000000"/>
          <w:sz w:val="24"/>
          <w:lang w:eastAsia="zh-CN"/>
        </w:rPr>
        <w:t xml:space="preserve">投标人</w:t>
      </w:r>
      <w:r>
        <w:rPr>
          <w:rFonts w:hint="eastAsia" w:ascii="宋体" w:hAnsi="宋体" w:eastAsia="宋体" w:cs="宋体"/>
          <w:caps w:val="0"/>
          <w:color w:val="000000"/>
          <w:sz w:val="24"/>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000000"/>
          <w:sz w:val="24"/>
          <w:lang w:eastAsia="zh-CN"/>
        </w:rPr>
        <w:t xml:space="preserve">。</w:t>
      </w:r>
      <w:r>
        <w:rPr>
          <w:rFonts w:hint="eastAsia" w:ascii="宋体" w:hAnsi="宋体" w:eastAsia="宋体" w:cs="宋体"/>
          <w:caps w:val="0"/>
          <w:color w:val="000000"/>
          <w:sz w:val="24"/>
        </w:rPr>
        <w:t xml:space="preserve">）</w:t>
      </w:r>
      <w:r>
        <w:rPr>
          <w:rFonts w:hint="eastAsia" w:ascii="宋体" w:hAnsi="宋体" w:eastAsia="宋体" w:cs="宋体"/>
          <w:caps w:val="0"/>
          <w:color w:val="000000"/>
          <w:sz w:val="24"/>
        </w:rPr>
      </w:r>
      <w:r/>
    </w:p>
    <w:p>
      <w:pPr>
        <w:pStyle w:val="718"/>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157"/>
        <w:keepLines w:val="0"/>
        <w:keepNext w:val="0"/>
        <w:pageBreakBefore w:val="0"/>
        <w:spacing w:line="360" w:lineRule="auto"/>
        <w:widowControl w:val="off"/>
        <w:rPr>
          <w:rFonts w:hint="eastAsia" w:ascii="宋体" w:hAnsi="宋体" w:eastAsia="宋体" w:cs="宋体"/>
          <w:caps w:val="0"/>
          <w:color w:val="000000"/>
        </w:rPr>
      </w:pPr>
      <w:r>
        <w:rPr>
          <w:rFonts w:hint="eastAsia" w:ascii="宋体" w:hAnsi="宋体" w:eastAsia="宋体" w:cs="宋体"/>
          <w:caps w:val="0"/>
          <w:color w:val="000000"/>
        </w:rPr>
      </w:r>
      <w:r/>
    </w:p>
    <w:p>
      <w:pPr>
        <w:pStyle w:val="718"/>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供应商</w:t>
      </w:r>
      <w:r>
        <w:rPr>
          <w:rFonts w:hint="eastAsia" w:ascii="宋体" w:hAnsi="宋体" w:eastAsia="宋体" w:cs="宋体"/>
          <w:caps w:val="0"/>
          <w:color w:val="000000"/>
          <w:sz w:val="24"/>
          <w:szCs w:val="24"/>
        </w:rPr>
        <w:t xml:space="preserve">名称</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（加盖CA电子公章）</w:t>
      </w:r>
      <w:r>
        <w:rPr>
          <w:rFonts w:hint="eastAsia" w:ascii="宋体" w:hAnsi="宋体" w:eastAsia="宋体" w:cs="宋体"/>
          <w:caps w:val="0"/>
          <w:color w:val="000000"/>
          <w:sz w:val="24"/>
          <w:szCs w:val="24"/>
        </w:rPr>
      </w:r>
      <w:r/>
    </w:p>
    <w:p>
      <w:pPr>
        <w:pStyle w:val="718"/>
        <w:jc w:val="right"/>
        <w:spacing w:line="360" w:lineRule="auto"/>
        <w:rPr>
          <w:rFonts w:hint="eastAsia" w:ascii="宋体" w:hAnsi="宋体" w:eastAsia="宋体" w:cs="宋体"/>
          <w:color w:val="000000"/>
          <w:highlight w:val="none"/>
        </w:rPr>
      </w:pPr>
      <w:r>
        <w:rPr>
          <w:rFonts w:hint="eastAsia" w:ascii="宋体" w:hAnsi="宋体" w:eastAsia="宋体" w:cs="宋体"/>
          <w:caps w:val="0"/>
          <w:color w:val="000000"/>
          <w:sz w:val="24"/>
          <w:szCs w:val="24"/>
        </w:rPr>
        <w:t xml:space="preserve">日  期：</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年___月___日</w:t>
      </w: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0"/>
        <w:jc w:val="center"/>
        <w:spacing w:line="360" w:lineRule="auto"/>
        <w:rPr>
          <w:rFonts w:hint="eastAsia" w:ascii="宋体" w:hAnsi="宋体" w:eastAsia="宋体" w:cs="宋体"/>
          <w:b w:val="0"/>
          <w:bCs/>
          <w:color w:val="000000"/>
          <w:highlight w:val="none"/>
        </w:rPr>
        <w:outlineLvl w:val="1"/>
      </w:pPr>
      <w:r/>
      <w:bookmarkStart w:id="153" w:name="_Toc15099"/>
      <w:r>
        <w:rPr>
          <w:rFonts w:hint="eastAsia" w:ascii="宋体" w:hAnsi="宋体" w:eastAsia="宋体" w:cs="宋体"/>
          <w:b w:val="0"/>
          <w:bCs/>
          <w:color w:val="000000"/>
          <w:highlight w:val="none"/>
        </w:rPr>
        <w:br w:type="page" w:clear="all"/>
      </w:r>
      <w:r>
        <w:rPr>
          <w:rFonts w:hint="eastAsia" w:ascii="宋体" w:hAnsi="宋体" w:eastAsia="宋体" w:cs="宋体"/>
          <w:b w:val="0"/>
          <w:bCs/>
          <w:color w:val="000000"/>
          <w:highlight w:val="none"/>
          <w:lang w:val="en-US" w:eastAsia="zh-CN"/>
        </w:rPr>
        <w:t xml:space="preserve">承诺</w:t>
      </w:r>
      <w:r>
        <w:rPr>
          <w:rFonts w:hint="eastAsia" w:ascii="宋体" w:hAnsi="宋体" w:eastAsia="宋体" w:cs="宋体"/>
          <w:b w:val="0"/>
          <w:bCs/>
          <w:color w:val="000000"/>
          <w:highlight w:val="none"/>
        </w:rPr>
        <w:t xml:space="preserve">函</w:t>
      </w:r>
      <w:r>
        <w:rPr>
          <w:rFonts w:hint="eastAsia" w:ascii="宋体" w:hAnsi="宋体" w:eastAsia="宋体" w:cs="宋体"/>
          <w:b w:val="0"/>
          <w:bCs/>
          <w:color w:val="000000"/>
          <w:highlight w:val="none"/>
        </w:rPr>
      </w:r>
      <w:r/>
    </w:p>
    <w:p>
      <w:pPr>
        <w:pStyle w:val="101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根据已收到的项目编号为</w:t>
      </w:r>
      <w:r>
        <w:rPr>
          <w:rFonts w:hint="eastAsia" w:ascii="宋体" w:hAnsi="宋体" w:eastAsia="宋体" w:cs="宋体"/>
          <w:b w:val="0"/>
          <w:bCs/>
          <w:color w:val="000000"/>
          <w:sz w:val="24"/>
          <w:szCs w:val="21"/>
          <w:highlight w:val="none"/>
          <w:u w:val="single"/>
        </w:rPr>
        <w:t xml:space="preserve">（项目编号）的（项目名称）</w:t>
      </w:r>
      <w:r>
        <w:rPr>
          <w:rFonts w:hint="eastAsia" w:ascii="宋体" w:hAnsi="宋体" w:eastAsia="宋体" w:cs="宋体"/>
          <w:b w:val="0"/>
          <w:bCs/>
          <w:color w:val="000000"/>
          <w:sz w:val="24"/>
          <w:szCs w:val="21"/>
          <w:highlight w:val="none"/>
        </w:rPr>
        <w:t xml:space="preserve">的招标文件，我方在参加本项目招投标活动中，特作出如下承诺：</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lang w:val="en-US" w:eastAsia="zh-CN"/>
        </w:rPr>
        <w:t xml:space="preserve">1</w:t>
      </w:r>
      <w:r>
        <w:rPr>
          <w:rFonts w:hint="eastAsia" w:ascii="宋体" w:hAnsi="宋体" w:eastAsia="宋体" w:cs="宋体"/>
          <w:b w:val="0"/>
          <w:bCs/>
          <w:color w:val="000000"/>
          <w:sz w:val="24"/>
          <w:szCs w:val="21"/>
          <w:highlight w:val="none"/>
          <w:lang w:val="en-US" w:eastAsia="zh-CN"/>
        </w:rPr>
        <w:t xml:space="preserve">.</w:t>
      </w:r>
      <w:r>
        <w:rPr>
          <w:rFonts w:hint="eastAsia" w:ascii="宋体" w:hAnsi="宋体" w:eastAsia="宋体" w:cs="宋体"/>
          <w:b w:val="0"/>
          <w:bCs/>
          <w:color w:val="000000"/>
          <w:sz w:val="24"/>
          <w:szCs w:val="21"/>
          <w:highlight w:val="none"/>
        </w:rPr>
        <w:t xml:space="preserve">本单位与其他参与本项目采购活动的供应商之间，不存在单位负责人为同一人的情况，也不存在直接控股、管理关系。</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lang w:val="en-US" w:eastAsia="zh-CN"/>
        </w:rPr>
        <w:t xml:space="preserve">2</w:t>
      </w:r>
      <w:r>
        <w:rPr>
          <w:rFonts w:hint="eastAsia" w:ascii="宋体" w:hAnsi="宋体" w:eastAsia="宋体" w:cs="宋体"/>
          <w:b w:val="0"/>
          <w:bCs/>
          <w:color w:val="000000"/>
          <w:sz w:val="24"/>
          <w:szCs w:val="21"/>
          <w:highlight w:val="none"/>
          <w:lang w:val="en-US" w:eastAsia="zh-CN"/>
        </w:rPr>
        <w:t xml:space="preserve">.</w:t>
      </w:r>
      <w:r>
        <w:rPr>
          <w:rFonts w:hint="eastAsia" w:ascii="宋体" w:hAnsi="宋体" w:eastAsia="宋体" w:cs="宋体"/>
          <w:b w:val="0"/>
          <w:bCs/>
          <w:color w:val="000000"/>
          <w:sz w:val="24"/>
          <w:szCs w:val="21"/>
          <w:highlight w:val="none"/>
        </w:rPr>
        <w:t xml:space="preserve">除本项目为单一来源采购项目的情况外，本单位未为本采购项目提供整体设计、规范编制或者项目管理、监理、检测等服务，且不会在本项目中参与上述服务之外的其他采购活动。</w:t>
      </w:r>
      <w:r>
        <w:rPr>
          <w:rFonts w:hint="eastAsia" w:ascii="宋体" w:hAnsi="宋体" w:eastAsia="宋体" w:cs="宋体"/>
          <w:b w:val="0"/>
          <w:bCs/>
          <w:color w:val="000000"/>
          <w:sz w:val="24"/>
          <w:szCs w:val="21"/>
          <w:highlight w:val="none"/>
        </w:rPr>
      </w:r>
      <w:r/>
    </w:p>
    <w:p>
      <w:pPr>
        <w:pStyle w:val="101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 </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本单位承诺以上内容真实有效，若经查实存在虚假陈述，愿意承担由此产生的一切法律责任和后果，包括但不限于取消参与资格、中标（成交）无效等。</w:t>
      </w:r>
      <w:r>
        <w:rPr>
          <w:rFonts w:hint="eastAsia" w:ascii="宋体" w:hAnsi="宋体" w:eastAsia="宋体" w:cs="宋体"/>
          <w:b w:val="0"/>
          <w:bCs/>
          <w:color w:val="000000"/>
          <w:sz w:val="24"/>
          <w:szCs w:val="21"/>
          <w:highlight w:val="none"/>
        </w:rPr>
      </w:r>
      <w:r/>
    </w:p>
    <w:p>
      <w:pPr>
        <w:pStyle w:val="101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 </w:t>
      </w:r>
      <w:r>
        <w:rPr>
          <w:rFonts w:hint="eastAsia" w:ascii="宋体" w:hAnsi="宋体" w:eastAsia="宋体" w:cs="宋体"/>
          <w:b w:val="0"/>
          <w:bCs/>
          <w:color w:val="000000"/>
          <w:sz w:val="24"/>
          <w:szCs w:val="21"/>
          <w:highlight w:val="none"/>
        </w:rPr>
      </w:r>
      <w:r/>
    </w:p>
    <w:p>
      <w:pPr>
        <w:pStyle w:val="1011"/>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10"/>
        <w:spacing w:line="360" w:lineRule="auto"/>
        <w:rPr>
          <w:rFonts w:hint="eastAsia" w:ascii="宋体" w:hAnsi="宋体" w:eastAsia="宋体" w:cs="宋体"/>
          <w:b w:val="0"/>
          <w:bCs/>
          <w:color w:val="000000"/>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highlight w:val="none"/>
          <w:lang w:val="en-US" w:eastAsia="zh-CN"/>
        </w:rPr>
        <w:t xml:space="preserve">三、</w:t>
      </w:r>
      <w:bookmarkEnd w:id="153"/>
      <w:r>
        <w:rPr>
          <w:rFonts w:hint="eastAsia" w:ascii="宋体" w:hAnsi="宋体" w:eastAsia="宋体" w:cs="宋体"/>
          <w:b/>
          <w:bCs/>
          <w:color w:val="000000"/>
          <w:highlight w:val="none"/>
          <w:lang w:val="en-US" w:eastAsia="zh-CN"/>
        </w:rPr>
        <w:t xml:space="preserve">满足符合性要求的证明文件</w:t>
      </w:r>
      <w:r>
        <w:rPr>
          <w:rFonts w:hint="eastAsia" w:ascii="宋体" w:hAnsi="宋体" w:eastAsia="宋体" w:cs="宋体"/>
          <w:b w:val="0"/>
          <w:bCs/>
          <w:color w:val="000000"/>
          <w:highlight w:val="none"/>
        </w:rPr>
      </w:r>
      <w:r/>
    </w:p>
    <w:p>
      <w:pPr>
        <w:pStyle w:val="718"/>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注：按照本项目符合性要求提供，后附相关模板，如无模板，请格式自拟。</w:t>
      </w:r>
      <w:r>
        <w:rPr>
          <w:rFonts w:hint="eastAsia" w:ascii="宋体" w:hAnsi="宋体" w:eastAsia="宋体" w:cs="宋体"/>
          <w:color w:val="000000"/>
          <w:sz w:val="24"/>
          <w:szCs w:val="28"/>
          <w:highlight w:val="none"/>
        </w:rPr>
      </w:r>
      <w:r/>
    </w:p>
    <w:p>
      <w:pPr>
        <w:pStyle w:val="1008"/>
        <w:rPr>
          <w:rFonts w:hint="eastAsia" w:ascii="宋体" w:hAnsi="宋体" w:eastAsia="宋体" w:cs="宋体"/>
          <w:b/>
          <w:sz w:val="32"/>
          <w:szCs w:val="24"/>
          <w:highlight w:val="none"/>
          <w:lang w:val="en-US" w:eastAsia="zh-CN" w:bidi="ar-SA"/>
        </w:rPr>
        <w:outlineLvl w:val="1"/>
      </w:pPr>
      <w:r>
        <w:rPr>
          <w:rFonts w:hint="eastAsia" w:ascii="宋体" w:hAnsi="宋体" w:eastAsia="宋体" w:cs="宋体"/>
          <w:color w:val="000000"/>
          <w:highlight w:val="none"/>
        </w:rPr>
        <w:br w:type="page" w:clear="all"/>
      </w:r>
      <w:bookmarkStart w:id="154" w:name="_Toc3680"/>
      <w:r/>
      <w:bookmarkStart w:id="155" w:name="_Toc27409"/>
      <w:r/>
      <w:bookmarkStart w:id="156" w:name="_Toc29506"/>
      <w:r>
        <w:rPr>
          <w:rFonts w:hint="eastAsia" w:ascii="宋体" w:hAnsi="宋体" w:eastAsia="宋体" w:cs="宋体"/>
          <w:b/>
          <w:sz w:val="32"/>
          <w:szCs w:val="24"/>
          <w:highlight w:val="none"/>
          <w:lang w:val="en-US" w:eastAsia="zh-CN" w:bidi="ar-SA"/>
        </w:rPr>
        <w:t xml:space="preserve">法定代表人身份证明或法定代表人授权委托书</w:t>
      </w:r>
      <w:r>
        <w:rPr>
          <w:rFonts w:hint="eastAsia" w:ascii="宋体" w:hAnsi="宋体" w:eastAsia="宋体" w:cs="宋体"/>
          <w:b/>
          <w:sz w:val="32"/>
          <w:szCs w:val="24"/>
          <w:highlight w:val="none"/>
          <w:lang w:val="en-US" w:eastAsia="zh-CN" w:bidi="ar-SA"/>
        </w:rPr>
      </w:r>
      <w:r/>
    </w:p>
    <w:p>
      <w:pPr>
        <w:pStyle w:val="1013"/>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法定代表人身份证明</w:t>
      </w:r>
      <w:r>
        <w:rPr>
          <w:rFonts w:hint="eastAsia" w:ascii="宋体" w:hAnsi="宋体" w:eastAsia="宋体" w:cs="宋体"/>
          <w:b/>
          <w:bCs/>
          <w:sz w:val="32"/>
          <w:szCs w:val="32"/>
          <w:highlight w:val="none"/>
        </w:rPr>
      </w:r>
      <w:r/>
    </w:p>
    <w:p>
      <w:pPr>
        <w:pStyle w:val="1013"/>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14"/>
        <w:spacing w:line="480" w:lineRule="exac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供应商名称：</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rPr>
      </w:r>
      <w:r/>
    </w:p>
    <w:p>
      <w:pPr>
        <w:pStyle w:val="1014"/>
        <w:spacing w:line="480" w:lineRule="exac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单位性质：</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注册地址：</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成立时间：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w:t>
      </w: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姓名：</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性别：</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年龄：</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职务：</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系</w:t>
      </w: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（供应商名称）的法定代表人。</w:t>
      </w:r>
      <w:r>
        <w:rPr>
          <w:rFonts w:hint="eastAsia" w:ascii="宋体" w:hAnsi="宋体" w:eastAsia="宋体" w:cs="宋体"/>
          <w:sz w:val="24"/>
          <w:szCs w:val="20"/>
          <w:highlight w:val="none"/>
        </w:rPr>
      </w:r>
      <w:r/>
    </w:p>
    <w:p>
      <w:pPr>
        <w:pStyle w:val="1014"/>
        <w:ind w:firstLine="480"/>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特此证明。</w:t>
      </w:r>
      <w:r>
        <w:rPr>
          <w:rFonts w:hint="eastAsia" w:ascii="宋体" w:hAnsi="宋体" w:eastAsia="宋体" w:cs="宋体"/>
          <w:sz w:val="24"/>
          <w:szCs w:val="20"/>
          <w:highlight w:val="none"/>
        </w:rPr>
      </w:r>
      <w:r/>
    </w:p>
    <w:p>
      <w:pPr>
        <w:pStyle w:val="1014"/>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80"/>
        <w:spacing w:line="600" w:lineRule="exact"/>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（法定代表人</w:t>
      </w:r>
      <w:r>
        <w:rPr>
          <w:rFonts w:hint="eastAsia" w:ascii="宋体" w:hAnsi="宋体" w:eastAsia="宋体" w:cs="宋体"/>
          <w:b w:val="0"/>
          <w:bCs w:val="0"/>
          <w:sz w:val="24"/>
          <w:szCs w:val="20"/>
          <w:highlight w:val="none"/>
          <w:lang w:val="en-US" w:eastAsia="zh-CN"/>
        </w:rPr>
        <w:t xml:space="preserve">直接参与</w:t>
      </w:r>
      <w:r>
        <w:rPr>
          <w:rFonts w:hint="eastAsia" w:ascii="宋体" w:hAnsi="宋体" w:eastAsia="宋体" w:cs="宋体"/>
          <w:b w:val="0"/>
          <w:bCs w:val="0"/>
          <w:sz w:val="24"/>
          <w:szCs w:val="20"/>
          <w:highlight w:val="none"/>
        </w:rPr>
        <w:t xml:space="preserve">的提供，</w:t>
      </w:r>
      <w:r>
        <w:rPr>
          <w:rFonts w:hint="eastAsia" w:ascii="宋体" w:hAnsi="宋体" w:eastAsia="宋体" w:cs="宋体"/>
          <w:b w:val="0"/>
          <w:bCs w:val="0"/>
          <w:sz w:val="24"/>
          <w:szCs w:val="20"/>
          <w:highlight w:val="none"/>
          <w:lang w:val="en-US" w:eastAsia="zh-CN"/>
        </w:rPr>
        <w:t xml:space="preserve">未直接参与</w:t>
      </w:r>
      <w:r>
        <w:rPr>
          <w:rFonts w:hint="eastAsia" w:ascii="宋体" w:hAnsi="宋体" w:eastAsia="宋体" w:cs="宋体"/>
          <w:b w:val="0"/>
          <w:bCs w:val="0"/>
          <w:sz w:val="24"/>
          <w:szCs w:val="20"/>
          <w:highlight w:val="none"/>
        </w:rPr>
        <w:t xml:space="preserve">可不提供。附法定代表人身份证</w:t>
      </w:r>
      <w:r>
        <w:rPr>
          <w:rFonts w:hint="eastAsia" w:ascii="宋体" w:hAnsi="宋体" w:eastAsia="宋体" w:cs="宋体"/>
          <w:b w:val="0"/>
          <w:bCs w:val="0"/>
          <w:sz w:val="24"/>
          <w:szCs w:val="20"/>
          <w:highlight w:val="none"/>
          <w:lang w:eastAsia="zh-CN"/>
        </w:rPr>
        <w:t xml:space="preserve">复印件</w:t>
      </w:r>
      <w:r>
        <w:rPr>
          <w:rFonts w:hint="eastAsia" w:ascii="宋体" w:hAnsi="宋体" w:eastAsia="宋体" w:cs="宋体"/>
          <w:b w:val="0"/>
          <w:bCs w:val="0"/>
          <w:sz w:val="24"/>
          <w:szCs w:val="20"/>
          <w:highlight w:val="none"/>
        </w:rPr>
        <w:t xml:space="preserve">）</w:t>
      </w:r>
      <w:r>
        <w:rPr>
          <w:rFonts w:hint="eastAsia" w:ascii="宋体" w:hAnsi="宋体" w:eastAsia="宋体" w:cs="宋体"/>
          <w:b w:val="0"/>
          <w:bCs w:val="0"/>
          <w:sz w:val="24"/>
          <w:szCs w:val="20"/>
          <w:highlight w:val="none"/>
        </w:rPr>
      </w:r>
      <w:r/>
    </w:p>
    <w:p>
      <w:pPr>
        <w:pStyle w:val="858"/>
        <w:ind w:firstLine="629"/>
        <w:spacing w:line="700" w:lineRule="exact"/>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r>
      <w:r/>
    </w:p>
    <w:p>
      <w:pPr>
        <w:pStyle w:val="858"/>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供应商</w:t>
      </w:r>
      <w:r>
        <w:rPr>
          <w:rFonts w:hint="eastAsia" w:ascii="宋体" w:hAnsi="宋体" w:eastAsia="宋体" w:cs="宋体"/>
          <w:b w:val="0"/>
          <w:bCs w:val="0"/>
          <w:sz w:val="24"/>
          <w:szCs w:val="20"/>
          <w:highlight w:val="none"/>
        </w:rPr>
        <w:t xml:space="preserve">名称：</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（盖CA电子公章）                    </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法定代表人：</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（签字</w:t>
      </w:r>
      <w:r>
        <w:rPr>
          <w:rFonts w:hint="eastAsia" w:ascii="宋体" w:hAnsi="宋体" w:eastAsia="宋体" w:cs="宋体"/>
          <w:b w:val="0"/>
          <w:bCs w:val="0"/>
          <w:sz w:val="24"/>
          <w:szCs w:val="20"/>
          <w:highlight w:val="none"/>
          <w:lang w:val="en-US" w:eastAsia="zh-CN"/>
        </w:rPr>
        <w:t xml:space="preserve">/签章</w:t>
      </w:r>
      <w:r>
        <w:rPr>
          <w:rFonts w:hint="eastAsia" w:ascii="宋体" w:hAnsi="宋体" w:eastAsia="宋体" w:cs="宋体"/>
          <w:b w:val="0"/>
          <w:bCs w:val="0"/>
          <w:sz w:val="24"/>
          <w:szCs w:val="20"/>
          <w:highlight w:val="none"/>
        </w:rPr>
        <w:t xml:space="preserve">）                    </w:t>
      </w:r>
      <w:r>
        <w:rPr>
          <w:rFonts w:hint="eastAsia" w:ascii="宋体" w:hAnsi="宋体" w:eastAsia="宋体" w:cs="宋体"/>
          <w:b w:val="0"/>
          <w:bCs w:val="0"/>
          <w:sz w:val="24"/>
          <w:szCs w:val="20"/>
          <w:highlight w:val="none"/>
        </w:rPr>
      </w:r>
      <w:r/>
    </w:p>
    <w:p>
      <w:pPr>
        <w:pStyle w:val="858"/>
        <w:ind w:firstLine="0"/>
        <w:spacing w:line="520" w:lineRule="exact"/>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日期：</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年</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月</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日</w:t>
      </w:r>
      <w:r>
        <w:rPr>
          <w:rFonts w:hint="eastAsia" w:ascii="宋体" w:hAnsi="宋体" w:eastAsia="宋体" w:cs="宋体"/>
          <w:b w:val="0"/>
          <w:bCs w:val="0"/>
          <w:sz w:val="24"/>
          <w:szCs w:val="20"/>
          <w:highlight w:val="none"/>
        </w:rPr>
      </w:r>
      <w:r/>
    </w:p>
    <w:p>
      <w:pPr>
        <w:pStyle w:val="1013"/>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 xml:space="preserve">法定代表人授权委托书</w:t>
      </w:r>
      <w:r>
        <w:rPr>
          <w:rFonts w:hint="eastAsia" w:ascii="宋体" w:hAnsi="宋体" w:eastAsia="宋体" w:cs="宋体"/>
          <w:b/>
          <w:bCs/>
          <w:sz w:val="32"/>
          <w:szCs w:val="32"/>
          <w:highlight w:val="none"/>
        </w:rPr>
      </w:r>
      <w:r/>
    </w:p>
    <w:p>
      <w:pPr>
        <w:pStyle w:val="858"/>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pStyle w:val="858"/>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pStyle w:val="8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8"/>
        <w:ind w:firstLine="480"/>
        <w:spacing w:line="360" w:lineRule="auto"/>
        <w:rPr>
          <w:rFonts w:hint="eastAsia" w:ascii="宋体" w:hAnsi="宋体" w:eastAsia="宋体" w:cs="宋体"/>
          <w:sz w:val="32"/>
          <w:szCs w:val="32"/>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供应商</w:t>
      </w:r>
      <w:r>
        <w:rPr>
          <w:rFonts w:hint="eastAsia" w:ascii="宋体" w:hAnsi="宋体" w:eastAsia="宋体" w:cs="宋体"/>
          <w:sz w:val="24"/>
          <w:szCs w:val="24"/>
          <w:highlight w:val="none"/>
          <w:u w:val="single"/>
        </w:rPr>
        <w:t xml:space="preserve">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（姓名）</w:t>
      </w:r>
      <w:r>
        <w:rPr>
          <w:rFonts w:hint="eastAsia" w:ascii="宋体" w:hAnsi="宋体" w:eastAsia="宋体" w:cs="宋体"/>
          <w:sz w:val="24"/>
          <w:szCs w:val="24"/>
          <w:highlight w:val="none"/>
        </w:rPr>
        <w:t xml:space="preserve">，法定代表人身份证号：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，授权我单位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（职务或职称）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，为我单位本次授权委托人，全权处理此次</w:t>
      </w:r>
      <w:r>
        <w:rPr>
          <w:rFonts w:hint="eastAsia" w:ascii="宋体" w:hAnsi="宋体" w:eastAsia="宋体" w:cs="宋体"/>
          <w:sz w:val="24"/>
          <w:szCs w:val="24"/>
          <w:highlight w:val="none"/>
          <w:u w:val="single"/>
        </w:rPr>
        <w:t xml:space="preserve">        （项目名称）</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活动的一切事宜。</w:t>
      </w:r>
      <w:r>
        <w:rPr>
          <w:rFonts w:hint="eastAsia" w:ascii="宋体" w:hAnsi="宋体" w:eastAsia="宋体" w:cs="宋体"/>
          <w:sz w:val="32"/>
          <w:szCs w:val="32"/>
          <w:highlight w:val="none"/>
          <w:u w:val="single"/>
        </w:rPr>
      </w:r>
      <w:r/>
    </w:p>
    <w:p>
      <w:pPr>
        <w:pStyle w:val="858"/>
        <w:ind w:firstLine="63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特此授权。</w:t>
      </w:r>
      <w:r>
        <w:rPr>
          <w:rFonts w:hint="eastAsia" w:ascii="宋体" w:hAnsi="宋体" w:eastAsia="宋体" w:cs="宋体"/>
          <w:sz w:val="24"/>
          <w:szCs w:val="20"/>
          <w:highlight w:val="none"/>
        </w:rPr>
      </w:r>
      <w:r/>
    </w:p>
    <w:p>
      <w:pPr>
        <w:pStyle w:val="85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8"/>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858"/>
        <w:ind w:firstLine="482"/>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（授权委托人</w:t>
      </w:r>
      <w:r>
        <w:rPr>
          <w:rFonts w:hint="eastAsia" w:ascii="宋体" w:hAnsi="宋体" w:eastAsia="宋体" w:cs="宋体"/>
          <w:b w:val="0"/>
          <w:bCs w:val="0"/>
          <w:sz w:val="24"/>
          <w:szCs w:val="20"/>
          <w:highlight w:val="none"/>
          <w:lang w:val="en-US" w:eastAsia="zh-CN"/>
        </w:rPr>
        <w:t xml:space="preserve">参与</w:t>
      </w:r>
      <w:r>
        <w:rPr>
          <w:rFonts w:hint="eastAsia" w:ascii="宋体" w:hAnsi="宋体" w:eastAsia="宋体" w:cs="宋体"/>
          <w:b w:val="0"/>
          <w:bCs w:val="0"/>
          <w:sz w:val="24"/>
          <w:szCs w:val="20"/>
          <w:highlight w:val="none"/>
        </w:rPr>
        <w:t xml:space="preserve">的</w:t>
      </w:r>
      <w:r>
        <w:rPr>
          <w:rFonts w:hint="eastAsia" w:ascii="宋体" w:hAnsi="宋体" w:eastAsia="宋体" w:cs="宋体"/>
          <w:b w:val="0"/>
          <w:bCs w:val="0"/>
          <w:sz w:val="24"/>
          <w:szCs w:val="24"/>
          <w:highlight w:val="none"/>
        </w:rPr>
        <w:t xml:space="preserve">提供，附法定代表人及被授权人身份证</w:t>
      </w:r>
      <w:r>
        <w:rPr>
          <w:rFonts w:hint="eastAsia" w:ascii="宋体" w:hAnsi="宋体" w:eastAsia="宋体" w:cs="宋体"/>
          <w:b w:val="0"/>
          <w:bCs w:val="0"/>
          <w:sz w:val="24"/>
          <w:szCs w:val="24"/>
          <w:highlight w:val="none"/>
          <w:lang w:eastAsia="zh-CN"/>
        </w:rPr>
        <w:t xml:space="preserve">复印件</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858"/>
        <w:ind w:firstLine="630"/>
        <w:spacing w:line="6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858"/>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供应商</w:t>
      </w:r>
      <w:r>
        <w:rPr>
          <w:rFonts w:hint="eastAsia" w:ascii="宋体" w:hAnsi="宋体" w:eastAsia="宋体" w:cs="宋体"/>
          <w:b w:val="0"/>
          <w:bCs w:val="0"/>
          <w:sz w:val="24"/>
          <w:szCs w:val="20"/>
          <w:highlight w:val="none"/>
        </w:rPr>
        <w:t xml:space="preserve">名称：</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（盖CA电子公章）                    </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法定代表人：</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（签字</w:t>
      </w:r>
      <w:r>
        <w:rPr>
          <w:rFonts w:hint="eastAsia" w:ascii="宋体" w:hAnsi="宋体" w:eastAsia="宋体" w:cs="宋体"/>
          <w:b w:val="0"/>
          <w:bCs w:val="0"/>
          <w:sz w:val="24"/>
          <w:szCs w:val="20"/>
          <w:highlight w:val="none"/>
          <w:lang w:val="en-US" w:eastAsia="zh-CN"/>
        </w:rPr>
        <w:t xml:space="preserve">/签章</w:t>
      </w:r>
      <w:r>
        <w:rPr>
          <w:rFonts w:hint="eastAsia" w:ascii="宋体" w:hAnsi="宋体" w:eastAsia="宋体" w:cs="宋体"/>
          <w:b w:val="0"/>
          <w:bCs w:val="0"/>
          <w:sz w:val="24"/>
          <w:szCs w:val="20"/>
          <w:highlight w:val="none"/>
        </w:rPr>
        <w:t xml:space="preserve">）</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授权委托人：</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（签字</w:t>
      </w:r>
      <w:r>
        <w:rPr>
          <w:rFonts w:hint="eastAsia" w:ascii="宋体" w:hAnsi="宋体" w:eastAsia="宋体" w:cs="宋体"/>
          <w:b w:val="0"/>
          <w:bCs w:val="0"/>
          <w:sz w:val="24"/>
          <w:szCs w:val="20"/>
          <w:highlight w:val="none"/>
          <w:lang w:val="en-US" w:eastAsia="zh-CN"/>
        </w:rPr>
        <w:t xml:space="preserve">/签章</w:t>
      </w:r>
      <w:r>
        <w:rPr>
          <w:rFonts w:hint="eastAsia" w:ascii="宋体" w:hAnsi="宋体" w:eastAsia="宋体" w:cs="宋体"/>
          <w:b w:val="0"/>
          <w:bCs w:val="0"/>
          <w:sz w:val="24"/>
          <w:szCs w:val="20"/>
          <w:highlight w:val="none"/>
        </w:rPr>
        <w:t xml:space="preserve">）                 </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sz w:val="32"/>
          <w:szCs w:val="24"/>
          <w:highlight w:val="none"/>
          <w:lang w:val="en-US" w:eastAsia="zh-CN"/>
        </w:rPr>
      </w:pPr>
      <w:r>
        <w:rPr>
          <w:rFonts w:hint="eastAsia" w:ascii="宋体" w:hAnsi="宋体" w:eastAsia="宋体" w:cs="宋体"/>
          <w:b w:val="0"/>
          <w:bCs w:val="0"/>
          <w:sz w:val="24"/>
          <w:szCs w:val="20"/>
          <w:highlight w:val="none"/>
          <w:lang w:val="en-US" w:eastAsia="zh-CN"/>
        </w:rPr>
        <w:t xml:space="preserve">日期：</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年</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月</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日</w:t>
      </w:r>
      <w:r>
        <w:rPr>
          <w:rFonts w:hint="eastAsia" w:ascii="宋体" w:hAnsi="宋体" w:eastAsia="宋体" w:cs="宋体"/>
          <w:color w:val="000000"/>
          <w:highlight w:val="none"/>
        </w:rPr>
        <w:br w:type="page" w:clear="all"/>
      </w:r>
      <w:r>
        <w:rPr>
          <w:rFonts w:hint="eastAsia"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val="en-US" w:eastAsia="zh-CN"/>
        </w:rPr>
        <w:t xml:space="preserve">文件签署、盖章齐全完整</w:t>
      </w:r>
      <w:r>
        <w:rPr>
          <w:rFonts w:hint="eastAsia" w:ascii="宋体" w:hAnsi="宋体" w:eastAsia="宋体" w:cs="宋体"/>
          <w:b/>
          <w:sz w:val="32"/>
          <w:szCs w:val="24"/>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eastAsia="zh-CN"/>
        </w:rPr>
        <w:t xml:space="preserve">文件</w:t>
      </w:r>
      <w:r>
        <w:rPr>
          <w:rFonts w:hint="eastAsia" w:ascii="宋体" w:hAnsi="宋体" w:eastAsia="宋体" w:cs="宋体"/>
          <w:b/>
          <w:sz w:val="32"/>
          <w:szCs w:val="24"/>
          <w:highlight w:val="none"/>
        </w:rPr>
        <w:t xml:space="preserve">签署、盖章的声明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我司投标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签署、盖章符合</w:t>
      </w:r>
      <w:r>
        <w:rPr>
          <w:rFonts w:hint="eastAsia" w:ascii="宋体" w:hAnsi="宋体" w:eastAsia="宋体" w:cs="宋体"/>
          <w:bCs/>
          <w:sz w:val="24"/>
          <w:szCs w:val="20"/>
          <w:highlight w:val="none"/>
          <w:lang w:val="en-US" w:eastAsia="zh-CN"/>
        </w:rPr>
        <w:t xml:space="preserve">招标文</w:t>
      </w:r>
      <w:r>
        <w:rPr>
          <w:rFonts w:hint="eastAsia" w:ascii="宋体" w:hAnsi="宋体" w:eastAsia="宋体" w:cs="宋体"/>
          <w:bCs/>
          <w:sz w:val="24"/>
          <w:szCs w:val="20"/>
          <w:highlight w:val="none"/>
          <w:lang w:eastAsia="zh-CN"/>
        </w:rPr>
        <w:t xml:space="preserve">件</w:t>
      </w:r>
      <w:r>
        <w:rPr>
          <w:rFonts w:hint="eastAsia" w:ascii="宋体" w:hAnsi="宋体" w:eastAsia="宋体" w:cs="宋体"/>
          <w:bCs/>
          <w:sz w:val="24"/>
          <w:szCs w:val="20"/>
          <w:highlight w:val="none"/>
        </w:rPr>
        <w:t xml:space="preserve">规定</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具体报价内容详见投标文件。</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w:t>
      </w:r>
      <w:r>
        <w:rPr>
          <w:rFonts w:hint="eastAsia" w:ascii="宋体" w:hAnsi="宋体" w:eastAsia="宋体" w:cs="宋体"/>
          <w:bCs/>
          <w:sz w:val="24"/>
          <w:szCs w:val="20"/>
          <w:highlight w:val="none"/>
          <w:lang w:val="en-US" w:eastAsia="zh-CN"/>
        </w:rPr>
        <w:t xml:space="preserve">投标</w:t>
      </w:r>
      <w:r>
        <w:rPr>
          <w:rFonts w:hint="eastAsia" w:ascii="宋体" w:hAnsi="宋体" w:eastAsia="宋体" w:cs="宋体"/>
          <w:bCs/>
          <w:sz w:val="24"/>
          <w:szCs w:val="20"/>
          <w:highlight w:val="none"/>
          <w:lang w:val="en-US" w:eastAsia="zh-CN"/>
        </w:rPr>
        <w:t xml:space="preserve">文件中</w:t>
      </w:r>
      <w:r>
        <w:rPr>
          <w:rFonts w:hint="eastAsia" w:ascii="宋体" w:hAnsi="宋体" w:eastAsia="宋体" w:cs="宋体"/>
          <w:bCs/>
          <w:sz w:val="24"/>
          <w:szCs w:val="20"/>
          <w:highlight w:val="none"/>
        </w:rPr>
        <w:t xml:space="preserve">签署、盖章</w:t>
      </w:r>
      <w:r>
        <w:rPr>
          <w:rFonts w:hint="eastAsia" w:ascii="宋体" w:hAnsi="宋体" w:eastAsia="宋体" w:cs="宋体"/>
          <w:bCs/>
          <w:sz w:val="24"/>
          <w:szCs w:val="20"/>
          <w:highlight w:val="none"/>
          <w:lang w:val="en-US" w:eastAsia="zh-CN"/>
        </w:rPr>
        <w:t xml:space="preserve">不符合招标文件规定的，本声明无效，并可能做不符性处理。）</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034"/>
        <w:keepLines w:val="0"/>
        <w:keepNext w:val="0"/>
        <w:pageBreakBefore w:val="0"/>
        <w:spacing w:line="520" w:lineRule="exact"/>
        <w:widowControl w:val="off"/>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bCs w:val="0"/>
          <w:color w:val="000000"/>
          <w:sz w:val="32"/>
          <w:szCs w:val="32"/>
          <w:highlight w:val="none"/>
          <w:lang w:val="en-US" w:eastAsia="zh-CN"/>
        </w:rPr>
      </w:r>
      <w:r/>
    </w:p>
    <w:p>
      <w:pPr>
        <w:pStyle w:val="718"/>
        <w:rPr>
          <w:rFonts w:hint="eastAsia" w:ascii="宋体" w:hAnsi="宋体" w:eastAsia="宋体" w:cs="宋体"/>
          <w:highlight w:val="none"/>
          <w:lang w:val="en-US" w:eastAsia="zh-CN"/>
        </w:rPr>
        <w:outlineLvl w:val="1"/>
      </w:pPr>
      <w:r>
        <w:rPr>
          <w:rFonts w:hint="eastAsia" w:ascii="宋体" w:hAnsi="宋体" w:eastAsia="宋体" w:cs="宋体"/>
          <w:b/>
          <w:sz w:val="32"/>
          <w:szCs w:val="24"/>
          <w:highlight w:val="none"/>
          <w:lang w:val="en-US" w:eastAsia="zh-CN"/>
        </w:rPr>
        <w:br w:type="page" w:clear="all"/>
      </w:r>
      <w:r>
        <w:rPr>
          <w:rFonts w:hint="eastAsia" w:ascii="宋体" w:hAnsi="宋体" w:eastAsia="宋体" w:cs="宋体"/>
          <w:b/>
          <w:sz w:val="32"/>
          <w:szCs w:val="24"/>
          <w:highlight w:val="none"/>
          <w:lang w:val="en-US" w:eastAsia="zh-CN"/>
        </w:rPr>
        <w:t xml:space="preserve">投标有效期</w:t>
      </w: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投标有效期</w:t>
      </w:r>
      <w:r>
        <w:rPr>
          <w:rFonts w:hint="eastAsia" w:ascii="宋体" w:hAnsi="宋体" w:eastAsia="宋体" w:cs="宋体"/>
          <w:b/>
          <w:sz w:val="32"/>
          <w:szCs w:val="24"/>
          <w:highlight w:val="none"/>
        </w:rPr>
        <w:t xml:space="preserve">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 </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我司承诺我司投标文件的投标有效期为</w:t>
      </w:r>
      <w:r>
        <w:rPr>
          <w:rFonts w:hint="eastAsia" w:ascii="宋体" w:hAnsi="宋体" w:eastAsia="宋体" w:cs="宋体"/>
          <w:bCs/>
          <w:sz w:val="24"/>
          <w:szCs w:val="20"/>
          <w:highlight w:val="none"/>
          <w:u w:val="single"/>
          <w:lang w:val="en-US" w:eastAsia="zh-CN"/>
        </w:rPr>
        <w:t xml:space="preserve">       </w:t>
      </w:r>
      <w:r>
        <w:rPr>
          <w:rFonts w:hint="eastAsia" w:ascii="宋体" w:hAnsi="宋体" w:eastAsia="宋体" w:cs="宋体"/>
          <w:bCs/>
          <w:sz w:val="24"/>
          <w:szCs w:val="20"/>
          <w:highlight w:val="none"/>
          <w:lang w:val="en-US" w:eastAsia="zh-CN"/>
        </w:rPr>
        <w:t xml:space="preserve">日（从提交响应文件截止之日起算）。</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color w:val="000000"/>
          <w:sz w:val="32"/>
          <w:szCs w:val="32"/>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val="0"/>
          <w:bCs/>
          <w:sz w:val="24"/>
          <w:szCs w:val="20"/>
          <w:highlight w:val="none"/>
        </w:rPr>
        <w:t xml:space="preserve"> </w:t>
      </w:r>
      <w:r>
        <w:rPr>
          <w:rFonts w:hint="eastAsia" w:ascii="宋体" w:hAnsi="宋体" w:eastAsia="宋体" w:cs="宋体"/>
          <w:b w:val="0"/>
          <w:bCs/>
          <w:color w:val="000000"/>
          <w:sz w:val="32"/>
          <w:szCs w:val="32"/>
          <w:highlight w:val="none"/>
          <w:lang w:val="en-US" w:eastAsia="zh-CN"/>
        </w:rPr>
      </w:r>
      <w:r/>
    </w:p>
    <w:p>
      <w:pPr>
        <w:pStyle w:val="1025"/>
        <w:rPr>
          <w:rFonts w:hint="eastAsia" w:ascii="宋体" w:hAnsi="宋体" w:eastAsia="宋体" w:cs="宋体"/>
          <w:b/>
          <w:sz w:val="32"/>
          <w:szCs w:val="24"/>
          <w:highlight w:val="none"/>
          <w:lang w:val="en-US" w:eastAsia="zh-CN"/>
        </w:rPr>
        <w:outlineLvl w:val="1"/>
      </w:pPr>
      <w:r>
        <w:rPr>
          <w:rFonts w:hint="eastAsia" w:ascii="宋体" w:hAnsi="宋体" w:eastAsia="宋体" w:cs="宋体"/>
          <w:b/>
          <w:sz w:val="32"/>
          <w:szCs w:val="24"/>
          <w:highlight w:val="none"/>
          <w:lang w:val="en-US" w:eastAsia="zh-CN"/>
        </w:rPr>
        <w:br w:type="page" w:clear="all"/>
      </w:r>
      <w:r>
        <w:rPr>
          <w:rFonts w:hint="eastAsia" w:ascii="宋体" w:hAnsi="宋体" w:eastAsia="宋体" w:cs="宋体"/>
          <w:b/>
          <w:sz w:val="32"/>
          <w:szCs w:val="24"/>
          <w:highlight w:val="none"/>
          <w:lang w:val="en-US" w:eastAsia="zh-CN"/>
        </w:rPr>
        <w:t xml:space="preserve">对实质性条款的响应性</w:t>
      </w:r>
      <w:r>
        <w:rPr>
          <w:rFonts w:hint="eastAsia" w:ascii="宋体" w:hAnsi="宋体" w:eastAsia="宋体" w:cs="宋体"/>
          <w:b/>
          <w:sz w:val="32"/>
          <w:szCs w:val="24"/>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对实质性条款的响应</w:t>
      </w:r>
      <w:r>
        <w:rPr>
          <w:rFonts w:hint="eastAsia" w:ascii="宋体" w:hAnsi="宋体" w:eastAsia="宋体" w:cs="宋体"/>
          <w:b/>
          <w:sz w:val="32"/>
          <w:szCs w:val="24"/>
          <w:highlight w:val="none"/>
          <w:lang w:eastAsia="zh-CN"/>
        </w:rPr>
        <w:t xml:space="preserve">的</w:t>
      </w:r>
      <w:r>
        <w:rPr>
          <w:rFonts w:hint="eastAsia" w:ascii="宋体" w:hAnsi="宋体" w:eastAsia="宋体" w:cs="宋体"/>
          <w:b/>
          <w:sz w:val="32"/>
          <w:szCs w:val="24"/>
          <w:highlight w:val="none"/>
        </w:rPr>
        <w:t xml:space="preserve">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我司投标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要求，对实质性条款</w:t>
      </w:r>
      <w:r>
        <w:rPr>
          <w:rFonts w:hint="eastAsia" w:ascii="宋体" w:hAnsi="宋体" w:eastAsia="宋体" w:cs="宋体"/>
          <w:bCs/>
          <w:sz w:val="24"/>
          <w:szCs w:val="20"/>
          <w:highlight w:val="none"/>
          <w:lang w:val="en-US" w:eastAsia="zh-CN"/>
        </w:rPr>
        <w:t xml:space="preserve">完全响应</w:t>
      </w:r>
      <w:r>
        <w:rPr>
          <w:rFonts w:hint="eastAsia" w:ascii="宋体" w:hAnsi="宋体" w:eastAsia="宋体" w:cs="宋体"/>
          <w:bCs/>
          <w:sz w:val="24"/>
          <w:szCs w:val="20"/>
          <w:highlight w:val="none"/>
        </w:rPr>
        <w:t xml:space="preserve">并且不存在重大偏离，</w:t>
      </w:r>
      <w:r>
        <w:rPr>
          <w:rFonts w:hint="eastAsia" w:ascii="宋体" w:hAnsi="宋体" w:eastAsia="宋体" w:cs="宋体"/>
          <w:bCs/>
          <w:sz w:val="24"/>
          <w:szCs w:val="20"/>
          <w:highlight w:val="none"/>
          <w:lang w:val="en-US" w:eastAsia="zh-CN"/>
        </w:rPr>
        <w:t xml:space="preserve">具体内容详见投标文件。</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（我司知晓下列处理原则：已提供本声明但投标文件不</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w:t>
      </w:r>
      <w:r>
        <w:rPr>
          <w:rFonts w:hint="eastAsia" w:ascii="宋体" w:hAnsi="宋体" w:eastAsia="宋体" w:cs="宋体"/>
          <w:bCs/>
          <w:sz w:val="24"/>
          <w:szCs w:val="20"/>
          <w:highlight w:val="none"/>
          <w:lang w:val="en-US" w:eastAsia="zh-CN"/>
        </w:rPr>
        <w:t xml:space="preserve">或</w:t>
      </w:r>
      <w:r>
        <w:rPr>
          <w:rFonts w:hint="eastAsia" w:ascii="宋体" w:hAnsi="宋体" w:eastAsia="宋体" w:cs="宋体"/>
          <w:bCs/>
          <w:sz w:val="24"/>
          <w:szCs w:val="20"/>
          <w:highlight w:val="none"/>
        </w:rPr>
        <w:t xml:space="preserve">存在重大偏离</w:t>
      </w:r>
      <w:r>
        <w:rPr>
          <w:rFonts w:hint="eastAsia" w:ascii="宋体" w:hAnsi="宋体" w:eastAsia="宋体" w:cs="宋体"/>
          <w:bCs/>
          <w:sz w:val="24"/>
          <w:szCs w:val="20"/>
          <w:highlight w:val="none"/>
          <w:lang w:val="en-US" w:eastAsia="zh-CN"/>
        </w:rPr>
        <w:t xml:space="preserve">的，本声明无效，并可能做不符性处理。）</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034"/>
        <w:keepLines w:val="0"/>
        <w:keepNext w:val="0"/>
        <w:pageBreakBefore w:val="0"/>
        <w:spacing w:line="520" w:lineRule="exact"/>
        <w:widowControl w:val="off"/>
        <w:rPr>
          <w:rFonts w:hint="eastAsia" w:ascii="宋体" w:hAnsi="宋体" w:eastAsia="宋体" w:cs="宋体"/>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bCs w:val="0"/>
          <w:color w:val="000000"/>
          <w:sz w:val="32"/>
          <w:szCs w:val="32"/>
          <w:highlight w:val="none"/>
          <w:lang w:val="en-US" w:eastAsia="zh-CN"/>
        </w:rPr>
        <w:br w:type="page" w:clear="all"/>
      </w:r>
      <w:r>
        <w:rPr>
          <w:rFonts w:hint="eastAsia" w:ascii="宋体" w:hAnsi="宋体" w:eastAsia="宋体" w:cs="宋体"/>
          <w:b/>
          <w:sz w:val="32"/>
          <w:szCs w:val="24"/>
          <w:highlight w:val="none"/>
          <w:lang w:val="en-US" w:eastAsia="zh-CN"/>
        </w:rPr>
        <w:t xml:space="preserve">联合体投标</w:t>
      </w:r>
      <w:r>
        <w:rPr>
          <w:rFonts w:hint="eastAsia" w:ascii="宋体" w:hAnsi="宋体" w:eastAsia="宋体" w:cs="宋体"/>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非联合体</w:t>
      </w:r>
      <w:r>
        <w:rPr>
          <w:rFonts w:hint="eastAsia" w:ascii="宋体" w:hAnsi="宋体" w:eastAsia="宋体" w:cs="宋体"/>
          <w:b/>
          <w:sz w:val="32"/>
          <w:szCs w:val="24"/>
          <w:highlight w:val="none"/>
        </w:rPr>
        <w:t xml:space="preserve">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我司参与本项目不存在联合体投标。</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181"/>
        <w:spacing w:line="520" w:lineRule="exact"/>
        <w:rPr>
          <w:rFonts w:hint="eastAsia" w:ascii="宋体" w:hAnsi="宋体" w:eastAsia="宋体" w:cs="宋体"/>
          <w:b w:val="0"/>
          <w:bCs/>
          <w:highlight w:val="none"/>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val="0"/>
          <w:bCs/>
          <w:highlight w:val="none"/>
        </w:rPr>
      </w:r>
      <w:r/>
    </w:p>
    <w:p>
      <w:pPr>
        <w:pStyle w:val="718"/>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bCs w:val="0"/>
          <w:color w:val="000000"/>
          <w:sz w:val="32"/>
          <w:szCs w:val="24"/>
          <w:highlight w:val="none"/>
          <w:lang w:val="en-US" w:eastAsia="zh-CN"/>
        </w:rPr>
        <w:t xml:space="preserve">四</w:t>
      </w:r>
      <w:r>
        <w:rPr>
          <w:rFonts w:hint="eastAsia" w:ascii="宋体" w:hAnsi="宋体" w:eastAsia="宋体" w:cs="宋体"/>
          <w:b/>
          <w:bCs w:val="0"/>
          <w:color w:val="000000"/>
          <w:sz w:val="32"/>
          <w:szCs w:val="24"/>
          <w:highlight w:val="none"/>
        </w:rPr>
        <w:t xml:space="preserve">、</w:t>
      </w:r>
      <w:bookmarkEnd w:id="154"/>
      <w:r/>
      <w:bookmarkEnd w:id="155"/>
      <w:r/>
      <w:bookmarkEnd w:id="156"/>
      <w:r>
        <w:rPr>
          <w:rFonts w:hint="eastAsia" w:ascii="宋体" w:hAnsi="宋体" w:eastAsia="宋体" w:cs="宋体"/>
          <w:b/>
          <w:bCs w:val="0"/>
          <w:color w:val="000000"/>
          <w:sz w:val="32"/>
          <w:szCs w:val="24"/>
          <w:highlight w:val="none"/>
          <w:lang w:val="en-US" w:eastAsia="zh-CN"/>
        </w:rPr>
        <w:t xml:space="preserve">开标（报价）一览表</w:t>
      </w:r>
      <w:r>
        <w:rPr>
          <w:rFonts w:hint="eastAsia" w:ascii="宋体" w:hAnsi="宋体" w:eastAsia="宋体" w:cs="宋体"/>
          <w:color w:val="000000"/>
          <w:highlight w:val="none"/>
        </w:rPr>
      </w:r>
      <w:r/>
    </w:p>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项目名称：</w:t>
      </w:r>
      <w:r>
        <w:rPr>
          <w:rFonts w:hint="eastAsia" w:ascii="宋体" w:hAnsi="宋体" w:eastAsia="宋体" w:cs="宋体"/>
          <w:caps w:val="0"/>
          <w:color w:val="000000"/>
          <w:sz w:val="24"/>
          <w:szCs w:val="24"/>
        </w:rPr>
      </w:r>
      <w:r/>
    </w:p>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项目</w:t>
      </w:r>
      <w:r>
        <w:rPr>
          <w:rFonts w:hint="eastAsia" w:ascii="宋体" w:hAnsi="宋体" w:eastAsia="宋体" w:cs="宋体"/>
          <w:caps w:val="0"/>
          <w:color w:val="000000"/>
          <w:sz w:val="24"/>
          <w:szCs w:val="24"/>
        </w:rPr>
        <w:t xml:space="preserve">编号：      </w:t>
      </w:r>
      <w:r>
        <w:rPr>
          <w:rFonts w:hint="eastAsia" w:ascii="宋体" w:hAnsi="宋体" w:eastAsia="宋体" w:cs="宋体"/>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099"/>
              <w:ind w:firstLine="0"/>
              <w:jc w:val="center"/>
              <w:spacing w:before="0" w:after="0" w:line="5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投标总价</w:t>
            </w:r>
            <w:r>
              <w:rPr>
                <w:rFonts w:hint="eastAsia" w:ascii="宋体" w:hAnsi="宋体" w:eastAsia="宋体" w:cs="宋体"/>
                <w:caps w:val="0"/>
                <w:color w:val="000000"/>
                <w:sz w:val="24"/>
                <w:szCs w:val="24"/>
              </w:rPr>
            </w:r>
            <w:r/>
          </w:p>
        </w:tc>
        <w:tc>
          <w:tcPr>
            <w:tcW w:w="7278" w:type="dxa"/>
            <w:vAlign w:val="center"/>
            <w:textDirection w:val="lrTb"/>
            <w:noWrap w:val="false"/>
          </w:tcPr>
          <w:p>
            <w:pPr>
              <w:pStyle w:val="1099"/>
              <w:ind w:firstLine="0"/>
              <w:spacing w:before="0" w:after="0" w:line="5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人民币（大写）：              </w:t>
            </w:r>
            <w:r>
              <w:rPr>
                <w:rFonts w:hint="eastAsia" w:ascii="宋体" w:hAnsi="宋体" w:eastAsia="宋体" w:cs="宋体"/>
                <w:caps w:val="0"/>
                <w:color w:val="000000"/>
                <w:sz w:val="24"/>
                <w:szCs w:val="24"/>
                <w:lang w:val="en-US" w:eastAsia="zh-CN"/>
              </w:rPr>
            </w:r>
            <w:r/>
          </w:p>
          <w:p>
            <w:pPr>
              <w:pStyle w:val="1099"/>
              <w:ind w:firstLine="0"/>
              <w:spacing w:before="0" w:after="0" w:line="5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人民币（小写）：              </w:t>
            </w:r>
            <w:r>
              <w:rPr>
                <w:rFonts w:hint="eastAsia" w:ascii="宋体" w:hAnsi="宋体" w:eastAsia="宋体" w:cs="宋体"/>
                <w:caps w:val="0"/>
                <w:color w:val="000000"/>
                <w:sz w:val="24"/>
                <w:szCs w:val="24"/>
                <w:lang w:val="en-US" w:eastAsia="zh-CN"/>
              </w:rPr>
            </w:r>
            <w:r/>
          </w:p>
        </w:tc>
      </w:tr>
      <w:tr>
        <w:trPr>
          <w:cantSplit/>
          <w:trHeight w:val="2376"/>
        </w:trPr>
        <w:tc>
          <w:tcPr>
            <w:tcW w:w="2440" w:type="dxa"/>
            <w:vAlign w:val="center"/>
            <w:textDirection w:val="lrTb"/>
            <w:noWrap w:val="false"/>
          </w:tcPr>
          <w:p>
            <w:pPr>
              <w:pStyle w:val="1099"/>
              <w:ind w:firstLine="0"/>
              <w:jc w:val="center"/>
              <w:spacing w:before="0" w:after="0" w:line="5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备注</w:t>
            </w:r>
            <w:r>
              <w:rPr>
                <w:rFonts w:hint="eastAsia" w:ascii="宋体" w:hAnsi="宋体" w:eastAsia="宋体" w:cs="宋体"/>
                <w:caps w:val="0"/>
                <w:color w:val="000000"/>
                <w:sz w:val="24"/>
                <w:szCs w:val="24"/>
                <w:lang w:val="en-US" w:eastAsia="zh-CN"/>
              </w:rPr>
            </w:r>
            <w:r/>
          </w:p>
        </w:tc>
        <w:tc>
          <w:tcPr>
            <w:tcW w:w="7278"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是否属于小微型企业</w:t>
            </w:r>
            <w:r>
              <w:rPr>
                <w:rFonts w:hint="eastAsia" w:ascii="宋体" w:hAnsi="宋体" w:eastAsia="宋体" w:cs="宋体"/>
                <w:color w:val="000000"/>
                <w:sz w:val="24"/>
                <w:szCs w:val="24"/>
                <w:highlight w:val="none"/>
                <w:lang w:val="en-US" w:eastAsia="zh-CN"/>
              </w:rPr>
              <w:t xml:space="preserve">提供的产品</w:t>
            </w:r>
            <w:r>
              <w:rPr>
                <w:rFonts w:hint="eastAsia" w:ascii="宋体" w:hAnsi="宋体" w:eastAsia="宋体" w:cs="宋体"/>
                <w:color w:val="000000"/>
                <w:sz w:val="24"/>
                <w:szCs w:val="24"/>
                <w:highlight w:val="none"/>
              </w:rPr>
              <w:t xml:space="preserve">：（请打√）是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否</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99"/>
              <w:ind w:firstLine="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“是否属于小微型企业”栏内请勾选“是”或“否”。</w:t>
            </w:r>
            <w:r>
              <w:rPr>
                <w:rFonts w:hint="eastAsia" w:ascii="宋体" w:hAnsi="宋体" w:eastAsia="宋体" w:cs="宋体"/>
                <w:color w:val="000000"/>
                <w:sz w:val="24"/>
                <w:szCs w:val="24"/>
                <w:highlight w:val="none"/>
              </w:rPr>
            </w:r>
            <w:r/>
          </w:p>
          <w:p>
            <w:pPr>
              <w:pStyle w:val="1099"/>
              <w:ind w:firstLine="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如勾选“是”，供应商需按照《政府采购促进中小企业发展管理办法》（财库</w:t>
            </w:r>
            <w:r>
              <w:rPr>
                <w:rFonts w:hint="eastAsia" w:ascii="宋体" w:hAnsi="宋体" w:eastAsia="宋体" w:cs="宋体"/>
                <w:color w:val="000000"/>
                <w:sz w:val="24"/>
                <w:szCs w:val="24"/>
                <w:highlight w:val="none"/>
                <w:lang w:eastAsia="zh-CN"/>
              </w:rPr>
              <w:t xml:space="preserve">〔2020〕46号</w:t>
            </w:r>
            <w:r>
              <w:rPr>
                <w:rFonts w:hint="eastAsia" w:ascii="宋体" w:hAnsi="宋体" w:eastAsia="宋体" w:cs="宋体"/>
                <w:color w:val="000000"/>
                <w:sz w:val="24"/>
                <w:szCs w:val="24"/>
                <w:highlight w:val="none"/>
              </w:rPr>
              <w:t xml:space="preserve">文件）要求提供《中小企业声明函》。</w:t>
            </w:r>
            <w:r>
              <w:rPr>
                <w:rFonts w:hint="eastAsia" w:ascii="宋体" w:hAnsi="宋体" w:eastAsia="宋体" w:cs="宋体"/>
                <w:color w:val="000000"/>
                <w:sz w:val="24"/>
                <w:szCs w:val="24"/>
                <w:highlight w:val="none"/>
              </w:rPr>
            </w:r>
            <w:r/>
          </w:p>
          <w:p>
            <w:pPr>
              <w:pStyle w:val="1099"/>
              <w:ind w:firstLine="0"/>
              <w:spacing w:before="0" w:after="0" w:line="500" w:lineRule="exact"/>
              <w:rPr>
                <w:rFonts w:hint="eastAsia" w:ascii="宋体" w:hAnsi="宋体" w:eastAsia="宋体" w:cs="宋体"/>
                <w:caps w:val="0"/>
                <w:color w:val="000000"/>
                <w:sz w:val="24"/>
                <w:szCs w:val="24"/>
              </w:rPr>
            </w:pPr>
            <w:r>
              <w:rPr>
                <w:rFonts w:hint="eastAsia" w:ascii="宋体" w:hAnsi="宋体" w:eastAsia="宋体" w:cs="宋体"/>
                <w:sz w:val="24"/>
                <w:szCs w:val="24"/>
                <w:highlight w:val="none"/>
              </w:rPr>
              <w:t xml:space="preserve">本项目采购的标的对应的中小企业划分标准所属行业为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工业</w:t>
            </w:r>
            <w:r>
              <w:rPr>
                <w:rFonts w:hint="eastAsia" w:ascii="宋体" w:hAnsi="宋体" w:eastAsia="宋体" w:cs="宋体"/>
                <w:sz w:val="24"/>
                <w:szCs w:val="24"/>
                <w:highlight w:val="none"/>
              </w:rPr>
              <w:t xml:space="preserve">。</w:t>
            </w:r>
            <w:r>
              <w:rPr>
                <w:rFonts w:hint="eastAsia" w:ascii="宋体" w:hAnsi="宋体" w:eastAsia="宋体" w:cs="宋体"/>
                <w:caps w:val="0"/>
                <w:color w:val="000000"/>
                <w:sz w:val="24"/>
                <w:szCs w:val="24"/>
              </w:rPr>
            </w:r>
            <w:r/>
          </w:p>
        </w:tc>
      </w:tr>
    </w:tbl>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spacing w:line="360" w:lineRule="auto"/>
        <w:rPr>
          <w:rFonts w:hint="eastAsia" w:ascii="宋体" w:hAnsi="宋体" w:eastAsia="宋体" w:cs="宋体"/>
          <w:b/>
          <w:bCs/>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说明：</w:t>
      </w:r>
      <w:r>
        <w:rPr>
          <w:rFonts w:hint="eastAsia" w:ascii="宋体" w:hAnsi="宋体" w:eastAsia="宋体" w:cs="宋体"/>
          <w:b/>
          <w:bCs/>
          <w:color w:val="000000"/>
          <w:sz w:val="24"/>
          <w:szCs w:val="24"/>
          <w:highlight w:val="none"/>
          <w:lang w:val="zh-CN" w:bidi="ar"/>
        </w:rPr>
      </w:r>
      <w:r/>
    </w:p>
    <w:p>
      <w:pPr>
        <w:pStyle w:val="718"/>
        <w:numPr>
          <w:ilvl w:val="0"/>
          <w:numId w:val="0"/>
        </w:numPr>
        <w:spacing w:line="360" w:lineRule="auto"/>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bidi="ar"/>
        </w:rPr>
        <w:t xml:space="preserve">此表的投标总价中已包含投标人完成本项目的一切费用包括税费</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eastAsia="zh-CN" w:bidi="ar"/>
        </w:rPr>
      </w:r>
      <w:r/>
    </w:p>
    <w:p>
      <w:pPr>
        <w:pStyle w:val="718"/>
        <w:numPr>
          <w:ilvl w:val="0"/>
          <w:numId w:val="0"/>
        </w:numPr>
        <w:spacing w:line="36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sz w:val="24"/>
          <w:szCs w:val="24"/>
        </w:rPr>
        <w:t xml:space="preserve">本项目仅接受一个价格，不得填报有选择性报价方案。若有优惠条款须注明，但不得影响报价，影响产品整体功能</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color w:val="000000"/>
          <w:sz w:val="24"/>
          <w:szCs w:val="24"/>
          <w:highlight w:val="none"/>
          <w:lang w:val="en-US" w:eastAsia="zh-CN" w:bidi="ar"/>
        </w:rPr>
      </w:r>
      <w:r/>
    </w:p>
    <w:p>
      <w:pPr>
        <w:pStyle w:val="718"/>
        <w:numPr>
          <w:ilvl w:val="0"/>
          <w:numId w:val="0"/>
        </w:numPr>
        <w:spacing w:line="360" w:lineRule="auto"/>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en-US" w:eastAsia="zh-CN" w:bidi="ar"/>
        </w:rPr>
        <w:t xml:space="preserve">3.在</w:t>
      </w:r>
      <w:r>
        <w:rPr>
          <w:rFonts w:hint="eastAsia" w:ascii="宋体" w:hAnsi="宋体" w:eastAsia="宋体" w:cs="宋体"/>
          <w:b w:val="0"/>
          <w:bCs w:val="0"/>
          <w:color w:val="000000"/>
          <w:sz w:val="24"/>
          <w:szCs w:val="24"/>
          <w:highlight w:val="none"/>
          <w:lang w:val="zh-CN" w:bidi="ar"/>
        </w:rPr>
        <w:t xml:space="preserve">“是否为小微企业或其他享受政府采购扶持政策的企业”栏内填写“是”或“否”。如填写“是”，供应商应按</w:t>
      </w:r>
      <w:r>
        <w:rPr>
          <w:rFonts w:hint="eastAsia" w:ascii="宋体" w:hAnsi="宋体" w:eastAsia="宋体" w:cs="宋体"/>
          <w:b w:val="0"/>
          <w:bCs w:val="0"/>
          <w:color w:val="000000"/>
          <w:sz w:val="24"/>
          <w:szCs w:val="24"/>
          <w:highlight w:val="none"/>
          <w:lang w:val="en-US" w:eastAsia="zh-CN" w:bidi="ar"/>
        </w:rPr>
        <w:t xml:space="preserve">招标</w:t>
      </w:r>
      <w:r>
        <w:rPr>
          <w:rFonts w:hint="eastAsia" w:ascii="宋体" w:hAnsi="宋体" w:eastAsia="宋体" w:cs="宋体"/>
          <w:b w:val="0"/>
          <w:bCs w:val="0"/>
          <w:color w:val="000000"/>
          <w:sz w:val="24"/>
          <w:szCs w:val="24"/>
          <w:highlight w:val="none"/>
          <w:lang w:val="zh-CN" w:bidi="ar"/>
        </w:rPr>
        <w:t xml:space="preserve">文件要求提供《中小企业声明函》《残疾人福利性单位声明函》《属于监狱企业的证明文件》。如未按要求提供、填写，或相关内容表述不清前后矛盾的，不享受价格扣除。</w:t>
      </w:r>
      <w:r>
        <w:rPr>
          <w:rFonts w:hint="eastAsia" w:ascii="宋体" w:hAnsi="宋体" w:eastAsia="宋体" w:cs="宋体"/>
          <w:b w:val="0"/>
          <w:bCs w:val="0"/>
          <w:color w:val="000000"/>
          <w:sz w:val="24"/>
          <w:szCs w:val="24"/>
          <w:highlight w:val="none"/>
          <w:lang w:val="zh-CN" w:bidi="ar"/>
        </w:rPr>
      </w:r>
      <w:r/>
    </w:p>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bidi="ar"/>
        </w:rPr>
        <w:t xml:space="preserve">供应商名称：</w:t>
      </w:r>
      <w:r>
        <w:rPr>
          <w:rFonts w:hint="eastAsia" w:ascii="宋体" w:hAnsi="宋体" w:eastAsia="宋体" w:cs="宋体"/>
          <w:color w:val="000000"/>
          <w:sz w:val="24"/>
          <w:szCs w:val="24"/>
          <w:highlight w:val="none"/>
          <w:u w:val="single"/>
          <w:lang w:val="zh-CN" w:bidi="ar"/>
        </w:rPr>
        <w:t xml:space="preserve">                              </w:t>
      </w:r>
      <w:r>
        <w:rPr>
          <w:rFonts w:hint="eastAsia" w:ascii="宋体" w:hAnsi="宋体" w:eastAsia="宋体" w:cs="宋体"/>
          <w:color w:val="000000"/>
          <w:sz w:val="24"/>
          <w:szCs w:val="24"/>
          <w:highlight w:val="none"/>
          <w:lang w:val="zh-CN" w:bidi="ar"/>
        </w:rPr>
        <w:t xml:space="preserve">（加盖CA电子公章）</w:t>
      </w:r>
      <w:r>
        <w:rPr>
          <w:rFonts w:hint="eastAsia" w:ascii="宋体" w:hAnsi="宋体" w:eastAsia="宋体" w:cs="宋体"/>
          <w:color w:val="000000"/>
          <w:sz w:val="24"/>
          <w:szCs w:val="24"/>
          <w:highlight w:val="none"/>
          <w:lang w:val="zh-CN"/>
        </w:rPr>
      </w:r>
      <w:r/>
    </w:p>
    <w:p>
      <w:pPr>
        <w:pStyle w:val="718"/>
        <w:spacing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718"/>
        <w:ind w:firstLine="480"/>
        <w:spacing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1016"/>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157" w:name="_Toc13550"/>
      <w:r/>
      <w:bookmarkStart w:id="158" w:name="_Toc30543"/>
      <w:r/>
      <w:bookmarkStart w:id="159" w:name="_Toc27199"/>
      <w:r>
        <w:rPr>
          <w:rFonts w:hint="eastAsia" w:ascii="宋体" w:hAnsi="宋体" w:eastAsia="宋体" w:cs="宋体"/>
          <w:b/>
          <w:bCs w:val="0"/>
          <w:color w:val="000000"/>
          <w:highlight w:val="none"/>
          <w:lang w:val="en-US" w:eastAsia="zh-CN"/>
        </w:rPr>
        <w:t xml:space="preserve">五</w:t>
      </w:r>
      <w:r>
        <w:rPr>
          <w:rFonts w:hint="eastAsia" w:ascii="宋体" w:hAnsi="宋体" w:eastAsia="宋体" w:cs="宋体"/>
          <w:b/>
          <w:bCs w:val="0"/>
          <w:color w:val="000000"/>
          <w:highlight w:val="none"/>
        </w:rPr>
        <w:t xml:space="preserve">、</w:t>
      </w:r>
      <w:bookmarkEnd w:id="157"/>
      <w:r/>
      <w:bookmarkEnd w:id="158"/>
      <w:r/>
      <w:bookmarkEnd w:id="159"/>
      <w:r>
        <w:rPr>
          <w:rFonts w:hint="eastAsia" w:ascii="宋体" w:hAnsi="宋体" w:eastAsia="宋体" w:cs="宋体"/>
          <w:b/>
          <w:bCs w:val="0"/>
          <w:color w:val="000000"/>
          <w:highlight w:val="none"/>
          <w:lang w:val="en-US" w:eastAsia="zh-CN"/>
        </w:rPr>
        <w:t xml:space="preserve">投标报价明细表（分包号：采购包**）</w:t>
      </w:r>
      <w:r>
        <w:rPr>
          <w:rFonts w:hint="eastAsia" w:ascii="宋体" w:hAnsi="宋体" w:eastAsia="宋体" w:cs="宋体"/>
          <w:color w:val="000000"/>
          <w:highlight w:val="none"/>
        </w:rPr>
      </w: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rPr>
                <w:rFonts w:hint="eastAsia" w:ascii="宋体" w:hAnsi="宋体" w:eastAsia="宋体" w:cs="宋体"/>
                <w:b/>
                <w:bCs/>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型号</w:t>
            </w:r>
            <w:r>
              <w:rPr>
                <w:rFonts w:hint="eastAsia" w:ascii="宋体" w:hAnsi="宋体" w:eastAsia="宋体" w:cs="宋体"/>
                <w:b/>
                <w:bCs/>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制造商名称</w:t>
            </w:r>
            <w:r>
              <w:rPr>
                <w:rFonts w:hint="eastAsia" w:ascii="宋体" w:hAnsi="宋体" w:eastAsia="宋体" w:cs="宋体"/>
                <w:b/>
                <w:bCs/>
                <w:color w:val="000000"/>
                <w:sz w:val="24"/>
                <w:szCs w:val="24"/>
                <w:highlight w:val="none"/>
              </w:rPr>
            </w:r>
            <w:r/>
          </w:p>
        </w:tc>
        <w:tc>
          <w:tcPr>
            <w:tcW w:w="114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产地</w:t>
            </w:r>
            <w:r>
              <w:rPr>
                <w:rFonts w:hint="eastAsia" w:ascii="宋体" w:hAnsi="宋体" w:eastAsia="宋体" w:cs="宋体"/>
                <w:b/>
                <w:bCs/>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分项</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bCs/>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分项</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rPr>
                <w:rFonts w:hint="eastAsia" w:ascii="宋体" w:hAnsi="宋体" w:eastAsia="宋体" w:cs="宋体"/>
                <w:b/>
                <w:bCs/>
                <w:color w:val="000000"/>
                <w:sz w:val="24"/>
                <w:szCs w:val="24"/>
                <w:highlight w:val="none"/>
              </w:rPr>
            </w:r>
            <w:r/>
          </w:p>
        </w:tc>
      </w:tr>
      <w:tr>
        <w:trPr>
          <w:cantSplit/>
          <w:trHeight w:val="688"/>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96"/>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77"/>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77"/>
        </w:trPr>
        <w:tc>
          <w:tcPr>
            <w:gridSpan w:val="3"/>
            <w:tcW w:w="2571" w:type="dxa"/>
            <w:vAlign w:val="center"/>
            <w:textDirection w:val="lrTb"/>
            <w:noWrap w:val="false"/>
          </w:tcPr>
          <w:p>
            <w:pPr>
              <w:pStyle w:val="1108"/>
              <w:jc w:val="cente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t xml:space="preserve">投标总报价</w:t>
            </w:r>
            <w:r>
              <w:rPr>
                <w:rFonts w:hint="eastAsia" w:ascii="宋体" w:hAnsi="宋体" w:eastAsia="宋体" w:cs="宋体"/>
                <w:b/>
                <w:bCs/>
                <w:color w:val="000000"/>
                <w:sz w:val="24"/>
                <w:highlight w:val="none"/>
              </w:rPr>
            </w:r>
            <w:r/>
          </w:p>
        </w:tc>
        <w:tc>
          <w:tcPr>
            <w:gridSpan w:val="6"/>
            <w:tcW w:w="7290" w:type="dxa"/>
            <w:vAlign w:val="center"/>
            <w:textDirection w:val="lrTb"/>
            <w:noWrap w:val="false"/>
          </w:tcPr>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r>
            <w:r/>
          </w:p>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人民币（大写）：</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仟     </w:t>
            </w:r>
            <w:r>
              <w:rPr>
                <w:rFonts w:hint="eastAsia" w:ascii="宋体" w:hAnsi="宋体" w:eastAsia="宋体" w:cs="宋体"/>
                <w:bCs/>
                <w:color w:val="000000"/>
                <w:sz w:val="24"/>
                <w:highlight w:val="none"/>
              </w:rPr>
              <w:t xml:space="preserve">佰</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拾</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 万</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仟</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佰</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拾</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元</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角</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分</w:t>
            </w:r>
            <w:r>
              <w:rPr>
                <w:rFonts w:hint="eastAsia" w:ascii="宋体" w:hAnsi="宋体" w:eastAsia="宋体" w:cs="宋体"/>
                <w:b/>
                <w:bCs/>
                <w:color w:val="000000"/>
                <w:sz w:val="24"/>
                <w:highlight w:val="none"/>
              </w:rPr>
            </w:r>
            <w:r/>
          </w:p>
        </w:tc>
      </w:tr>
      <w:tr>
        <w:trPr>
          <w:cantSplit/>
          <w:trHeight w:val="816"/>
        </w:trPr>
        <w:tc>
          <w:tcPr>
            <w:gridSpan w:val="9"/>
            <w:tcW w:w="9861" w:type="dxa"/>
            <w:vAlign w:val="center"/>
            <w:textDirection w:val="lrTb"/>
            <w:noWrap w:val="false"/>
          </w:tcPr>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8"/>
                <w:szCs w:val="28"/>
                <w:highlight w:val="none"/>
                <w:u w:val="single"/>
              </w:rPr>
              <w:t xml:space="preserve">***%</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4"/>
                <w:highlight w:val="none"/>
              </w:rPr>
            </w:r>
            <w:r/>
          </w:p>
        </w:tc>
      </w:tr>
    </w:tbl>
    <w:p>
      <w:pPr>
        <w:pStyle w:val="718"/>
        <w:spacing w:line="360" w:lineRule="auto"/>
        <w:rPr>
          <w:rFonts w:hint="eastAsia" w:ascii="宋体" w:hAnsi="宋体"/>
          <w:b/>
          <w:bCs/>
          <w:color w:val="000000"/>
          <w:sz w:val="24"/>
          <w:szCs w:val="24"/>
        </w:rPr>
      </w:pPr>
      <w:r>
        <w:rPr>
          <w:rFonts w:hint="eastAsia" w:ascii="宋体" w:hAnsi="宋体"/>
          <w:b/>
          <w:bCs/>
          <w:color w:val="000000"/>
          <w:sz w:val="24"/>
          <w:szCs w:val="24"/>
        </w:rPr>
        <w:t xml:space="preserve">备注：</w:t>
      </w:r>
      <w:r>
        <w:rPr>
          <w:rFonts w:hint="eastAsia" w:ascii="宋体" w:hAnsi="宋体"/>
          <w:b/>
          <w:bCs/>
          <w:color w:val="000000"/>
          <w:sz w:val="24"/>
          <w:szCs w:val="24"/>
        </w:rPr>
      </w:r>
      <w:r/>
    </w:p>
    <w:p>
      <w:pPr>
        <w:pStyle w:val="718"/>
        <w:spacing w:line="360" w:lineRule="auto"/>
        <w:rPr>
          <w:rFonts w:hint="eastAsia"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718"/>
        <w:spacing w:line="360" w:lineRule="auto"/>
        <w:rPr>
          <w:rFonts w:hint="eastAsia" w:ascii="宋体" w:hAnsi="宋体" w:eastAsia="宋体" w:cs="Times New Roman"/>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lang w:val="en-US" w:eastAsia="zh-CN"/>
        </w:rPr>
        <w:t xml:space="preserve">投标报价明细表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w:t>
      </w:r>
      <w:r>
        <w:rPr>
          <w:rFonts w:hint="eastAsia" w:ascii="宋体" w:hAnsi="宋体" w:eastAsia="宋体" w:cs="Times New Roman"/>
          <w:color w:val="000000"/>
          <w:sz w:val="24"/>
          <w:szCs w:val="21"/>
        </w:rPr>
        <w:t xml:space="preserve">一致。</w:t>
      </w:r>
      <w:r>
        <w:rPr>
          <w:rFonts w:hint="eastAsia" w:ascii="宋体" w:hAnsi="宋体" w:eastAsia="宋体" w:cs="Times New Roman"/>
          <w:color w:val="000000"/>
          <w:sz w:val="24"/>
          <w:szCs w:val="21"/>
        </w:rPr>
      </w:r>
      <w:r/>
    </w:p>
    <w:p>
      <w:pPr>
        <w:pStyle w:val="718"/>
        <w:spacing w:line="360" w:lineRule="auto"/>
        <w:rPr>
          <w:rFonts w:hint="eastAsia" w:ascii="宋体" w:hAnsi="宋体" w:eastAsia="宋体" w:cs="宋体"/>
          <w:b w:val="0"/>
          <w:bCs w:val="0"/>
          <w:color w:val="000000"/>
          <w:sz w:val="24"/>
          <w:szCs w:val="24"/>
          <w:highlight w:val="none"/>
          <w:lang w:val="zh-CN" w:bidi="ar"/>
        </w:rPr>
      </w:pP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val="0"/>
          <w:bCs w:val="0"/>
          <w:color w:val="000000"/>
          <w:sz w:val="24"/>
          <w:szCs w:val="24"/>
          <w:highlight w:val="none"/>
          <w:lang w:val="zh-CN" w:bidi="ar"/>
        </w:rPr>
      </w:r>
      <w:r/>
    </w:p>
    <w:p>
      <w:pPr>
        <w:pStyle w:val="718"/>
        <w:jc w:val="left"/>
        <w:spacing w:line="360" w:lineRule="auto"/>
        <w:widowControl/>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bidi="ar"/>
        </w:rPr>
      </w:r>
      <w:r/>
    </w:p>
    <w:p>
      <w:pPr>
        <w:pStyle w:val="718"/>
        <w:jc w:val="left"/>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bidi="ar"/>
        </w:rPr>
        <w:t xml:space="preserve">供应商名称：</w:t>
      </w:r>
      <w:r>
        <w:rPr>
          <w:rFonts w:hint="eastAsia" w:ascii="宋体" w:hAnsi="宋体" w:eastAsia="宋体" w:cs="宋体"/>
          <w:b w:val="0"/>
          <w:bCs w:val="0"/>
          <w:color w:val="000000"/>
          <w:sz w:val="24"/>
          <w:szCs w:val="24"/>
          <w:highlight w:val="none"/>
          <w:u w:val="single"/>
          <w:lang w:val="zh-CN" w:bidi="ar"/>
        </w:rPr>
        <w:t xml:space="preserve">                              </w:t>
      </w:r>
      <w:r>
        <w:rPr>
          <w:rFonts w:hint="eastAsia" w:ascii="宋体" w:hAnsi="宋体" w:eastAsia="宋体" w:cs="宋体"/>
          <w:b w:val="0"/>
          <w:bCs w:val="0"/>
          <w:color w:val="000000"/>
          <w:sz w:val="24"/>
          <w:szCs w:val="24"/>
          <w:highlight w:val="none"/>
          <w:lang w:val="zh-CN" w:bidi="ar"/>
        </w:rPr>
        <w:t xml:space="preserve">（加盖CA电子公章）</w:t>
      </w:r>
      <w:r>
        <w:rPr>
          <w:rFonts w:hint="eastAsia" w:ascii="宋体" w:hAnsi="宋体" w:eastAsia="宋体" w:cs="宋体"/>
          <w:b w:val="0"/>
          <w:bCs w:val="0"/>
          <w:color w:val="000000"/>
          <w:sz w:val="24"/>
          <w:szCs w:val="24"/>
          <w:highlight w:val="none"/>
          <w:lang w:val="zh-CN"/>
        </w:rPr>
      </w:r>
      <w:r/>
    </w:p>
    <w:p>
      <w:pPr>
        <w:pStyle w:val="718"/>
        <w:spacing w:line="360" w:lineRule="auto"/>
        <w:rPr>
          <w:rFonts w:hint="eastAsia" w:ascii="宋体" w:hAnsi="宋体" w:eastAsia="宋体" w:cs="宋体"/>
          <w:b/>
          <w:bCs w:val="0"/>
          <w:color w:val="000000"/>
          <w:sz w:val="32"/>
          <w:szCs w:val="32"/>
          <w:highlight w:val="none"/>
          <w:lang w:val="zh-CN"/>
        </w:rPr>
      </w:pPr>
      <w:r>
        <w:rPr>
          <w:rFonts w:hint="eastAsia" w:ascii="宋体" w:hAnsi="宋体" w:eastAsia="宋体" w:cs="宋体"/>
          <w:b w:val="0"/>
          <w:bCs w:val="0"/>
          <w:caps w:val="0"/>
          <w:color w:val="000000"/>
          <w:sz w:val="24"/>
          <w:szCs w:val="24"/>
        </w:rPr>
        <w:t xml:space="preserve">日期：  </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年</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月</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日</w:t>
      </w: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lang w:val="zh-CN"/>
        </w:rPr>
        <w:t xml:space="preserve">技术要求响应及偏离表</w:t>
      </w:r>
      <w:r>
        <w:rPr>
          <w:rFonts w:hint="eastAsia" w:ascii="宋体" w:hAnsi="宋体" w:eastAsia="宋体" w:cs="宋体"/>
          <w:b/>
          <w:bCs w:val="0"/>
          <w:color w:val="000000"/>
          <w:sz w:val="32"/>
          <w:szCs w:val="32"/>
          <w:highlight w:val="none"/>
          <w:lang w:val="zh-CN"/>
        </w:rPr>
      </w:r>
      <w:r/>
    </w:p>
    <w:p>
      <w:pPr>
        <w:pStyle w:val="718"/>
        <w:jc w:val="center"/>
        <w:spacing w:line="360" w:lineRule="auto"/>
        <w:rPr>
          <w:rFonts w:hint="eastAsia" w:ascii="宋体" w:hAnsi="宋体" w:eastAsia="宋体" w:cs="宋体"/>
          <w:b/>
          <w:bCs w:val="0"/>
          <w:color w:val="000000"/>
          <w:sz w:val="32"/>
          <w:szCs w:val="32"/>
          <w:highlight w:val="none"/>
          <w:lang w:val="zh-CN"/>
        </w:rPr>
      </w:pPr>
      <w:r>
        <w:rPr>
          <w:rFonts w:hint="eastAsia" w:ascii="宋体" w:hAnsi="宋体" w:eastAsia="宋体" w:cs="宋体"/>
          <w:color w:val="000000"/>
          <w:sz w:val="28"/>
          <w:szCs w:val="28"/>
          <w:highlight w:val="none"/>
          <w:lang w:val="en-US" w:eastAsia="zh-CN"/>
        </w:rPr>
        <w:t xml:space="preserve">技术要求及偏离表</w:t>
      </w:r>
      <w:r>
        <w:rPr>
          <w:rFonts w:hint="eastAsia" w:ascii="宋体" w:hAnsi="宋体" w:eastAsia="宋体" w:cs="宋体"/>
          <w:b/>
          <w:bCs w:val="0"/>
          <w:color w:val="000000"/>
          <w:sz w:val="32"/>
          <w:szCs w:val="32"/>
          <w:highlight w:val="none"/>
          <w:lang w:val="zh-CN"/>
        </w:rPr>
      </w:r>
      <w:r/>
    </w:p>
    <w:tbl>
      <w:tblPr>
        <w:tblW w:w="10015" w:type="dxa"/>
        <w:jc w:val="center"/>
        <w:tblInd w:w="1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552"/>
        <w:gridCol w:w="1690"/>
      </w:tblGrid>
      <w:tr>
        <w:trPr>
          <w:trHeight w:val="1151"/>
        </w:trPr>
        <w:tc>
          <w:tcPr>
            <w:tcW w:w="813" w:type="dxa"/>
            <w:vAlign w:val="center"/>
            <w:textDirection w:val="lrTb"/>
            <w:noWrap w:val="false"/>
          </w:tcPr>
          <w:p>
            <w:pPr>
              <w:pStyle w:val="1182"/>
              <w:jc w:val="center"/>
              <w:spacing w:before="100" w:beforeAutospacing="1" w:line="240" w:lineRule="auto"/>
              <w:widowControl/>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序号</w:t>
            </w:r>
            <w:r>
              <w:rPr>
                <w:rFonts w:ascii="宋体" w:hAnsi="宋体" w:eastAsia="宋体" w:cs="宋体"/>
                <w:b w:val="0"/>
                <w:bCs w:val="0"/>
                <w:sz w:val="24"/>
                <w:szCs w:val="24"/>
                <w:highlight w:val="none"/>
                <w:lang w:val="en-US" w:eastAsia="zh-CN"/>
              </w:rPr>
            </w:r>
            <w:r/>
          </w:p>
        </w:tc>
        <w:tc>
          <w:tcPr>
            <w:tcW w:w="2917"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技术要求</w:t>
            </w:r>
            <w:r>
              <w:rPr>
                <w:rFonts w:hint="eastAsia" w:ascii="宋体" w:hAnsi="宋体" w:eastAsia="宋体" w:cs="宋体"/>
                <w:b w:val="0"/>
                <w:bCs w:val="0"/>
                <w:sz w:val="24"/>
                <w:szCs w:val="24"/>
                <w:highlight w:val="none"/>
              </w:rPr>
              <w:t xml:space="preserve">内容</w:t>
            </w:r>
            <w:r>
              <w:rPr>
                <w:rFonts w:hint="eastAsia" w:ascii="宋体" w:hAnsi="宋体" w:eastAsia="宋体" w:cs="宋体"/>
                <w:b w:val="0"/>
                <w:bCs w:val="0"/>
                <w:sz w:val="24"/>
                <w:szCs w:val="24"/>
                <w:highlight w:val="none"/>
              </w:rPr>
            </w:r>
            <w:r/>
          </w:p>
        </w:tc>
        <w:tc>
          <w:tcPr>
            <w:tcW w:w="3043"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投标文件内容</w:t>
            </w:r>
            <w:r>
              <w:rPr>
                <w:rFonts w:hint="eastAsia" w:ascii="宋体" w:hAnsi="宋体" w:eastAsia="宋体" w:cs="宋体"/>
                <w:b w:val="0"/>
                <w:bCs w:val="0"/>
                <w:sz w:val="24"/>
                <w:szCs w:val="24"/>
                <w:highlight w:val="none"/>
              </w:rPr>
            </w:r>
            <w:r/>
          </w:p>
        </w:tc>
        <w:tc>
          <w:tcPr>
            <w:tcW w:w="1552"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偏离内容及说明</w:t>
            </w:r>
            <w:r>
              <w:rPr>
                <w:rFonts w:hint="eastAsia" w:ascii="宋体" w:hAnsi="宋体" w:eastAsia="宋体" w:cs="宋体"/>
                <w:b w:val="0"/>
                <w:bCs w:val="0"/>
                <w:sz w:val="24"/>
                <w:szCs w:val="24"/>
                <w:highlight w:val="none"/>
              </w:rPr>
            </w:r>
            <w:r/>
          </w:p>
        </w:tc>
        <w:tc>
          <w:tcPr>
            <w:tcW w:w="1690"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技术支持资料对应页码</w:t>
            </w:r>
            <w:r>
              <w:rPr>
                <w:rFonts w:hint="eastAsia" w:ascii="宋体" w:hAnsi="宋体" w:eastAsia="宋体" w:cs="宋体"/>
                <w:b w:val="0"/>
                <w:bCs w:val="0"/>
                <w:sz w:val="24"/>
                <w:szCs w:val="24"/>
                <w:highlight w:val="none"/>
              </w:rPr>
            </w:r>
            <w:r/>
          </w:p>
        </w:tc>
      </w:tr>
      <w:tr>
        <w:trPr>
          <w:trHeight w:val="650"/>
        </w:trPr>
        <w:tc>
          <w:tcPr>
            <w:tcW w:w="813"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7" w:type="dxa"/>
            <w:vAlign w:val="center"/>
            <w:textDirection w:val="lrTb"/>
            <w:noWrap w:val="false"/>
          </w:tcPr>
          <w:p>
            <w:pPr>
              <w:pStyle w:val="718"/>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r>
            <w:r/>
          </w:p>
        </w:tc>
        <w:tc>
          <w:tcPr>
            <w:tcW w:w="3043" w:type="dxa"/>
            <w:vAlign w:val="center"/>
            <w:textDirection w:val="lrTb"/>
            <w:noWrap w:val="false"/>
          </w:tcPr>
          <w:p>
            <w:pPr>
              <w:pStyle w:val="718"/>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52" w:type="dxa"/>
            <w:vAlign w:val="center"/>
            <w:textDirection w:val="lrTb"/>
            <w:noWrap w:val="false"/>
          </w:tcPr>
          <w:p>
            <w:pPr>
              <w:pStyle w:val="718"/>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tc>
      </w:tr>
      <w:tr>
        <w:trPr>
          <w:trHeight w:val="567"/>
        </w:trPr>
        <w:tc>
          <w:tcPr>
            <w:tcW w:w="813" w:type="dxa"/>
            <w:vAlign w:val="center"/>
            <w:textDirection w:val="lrTb"/>
            <w:noWrap w:val="false"/>
          </w:tcPr>
          <w:p>
            <w:pPr>
              <w:pStyle w:val="1127"/>
              <w:ind w:left="0" w:firstLine="0"/>
              <w:jc w:val="center"/>
              <w:spacing w:line="24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W w:w="2917" w:type="dxa"/>
            <w:vAlign w:val="center"/>
            <w:textDirection w:val="lrTb"/>
            <w:noWrap w:val="false"/>
          </w:tcPr>
          <w:p>
            <w:pPr>
              <w:pStyle w:val="1127"/>
              <w:ind w:left="0" w:firstLine="0"/>
              <w:spacing w:line="24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r>
            <w:r/>
          </w:p>
        </w:tc>
        <w:tc>
          <w:tcPr>
            <w:tcW w:w="3043" w:type="dxa"/>
            <w:vAlign w:val="center"/>
            <w:textDirection w:val="lrTb"/>
            <w:noWrap w:val="false"/>
          </w:tcPr>
          <w:p>
            <w:pPr>
              <w:pStyle w:val="1127"/>
              <w:ind w:left="0" w:firstLine="0"/>
              <w:spacing w:line="24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tc>
        <w:tc>
          <w:tcPr>
            <w:tcW w:w="1552" w:type="dxa"/>
            <w:vAlign w:val="center"/>
            <w:textDirection w:val="lrTb"/>
            <w:noWrap w:val="false"/>
          </w:tcPr>
          <w:p>
            <w:pPr>
              <w:pStyle w:val="718"/>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tc>
        <w:tc>
          <w:tcPr>
            <w:tcW w:w="1690" w:type="dxa"/>
            <w:vAlign w:val="center"/>
            <w:textDirection w:val="lrTb"/>
            <w:noWrap w:val="false"/>
          </w:tcPr>
          <w:p>
            <w:pPr>
              <w:pStyle w:val="1182"/>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r>
            <w:r/>
          </w:p>
        </w:tc>
        <w:tc>
          <w:tcPr>
            <w:tcW w:w="2917" w:type="dxa"/>
            <w:vAlign w:val="center"/>
            <w:textDirection w:val="lrTb"/>
            <w:noWrap w:val="false"/>
          </w:tcPr>
          <w:p>
            <w:pPr>
              <w:pStyle w:val="718"/>
              <w:jc w:val="center"/>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bl>
    <w:p>
      <w:pPr>
        <w:pStyle w:val="718"/>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18"/>
        <w:jc w:val="righ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（盖CA电子公章）</w:t>
      </w:r>
      <w:r>
        <w:rPr>
          <w:rFonts w:hint="eastAsia" w:ascii="宋体" w:hAnsi="宋体" w:eastAsia="宋体" w:cs="宋体"/>
          <w:color w:val="000000"/>
          <w:highlight w:val="none"/>
        </w:rPr>
      </w:r>
      <w:r/>
    </w:p>
    <w:p>
      <w:pPr>
        <w:pStyle w:val="793"/>
        <w:ind w:firstLine="482"/>
        <w:jc w:val="both"/>
        <w:spacing w:before="0" w:beforeAutospacing="0" w:after="0" w:afterAutospacing="0" w:line="360" w:lineRule="auto"/>
        <w:widowControl w:val="off"/>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793"/>
        <w:jc w:val="both"/>
        <w:spacing w:before="0" w:beforeAutospacing="0" w:after="0" w:afterAutospacing="0" w:line="360" w:lineRule="auto"/>
        <w:widowControl w:val="off"/>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备注：</w:t>
      </w:r>
      <w:r>
        <w:rPr>
          <w:rFonts w:hint="eastAsia" w:ascii="宋体" w:hAnsi="宋体" w:eastAsia="宋体" w:cs="宋体"/>
          <w:b/>
          <w:bCs/>
          <w:color w:val="000000"/>
          <w:szCs w:val="28"/>
          <w:highlight w:val="none"/>
        </w:rPr>
      </w:r>
      <w:r/>
    </w:p>
    <w:p>
      <w:pPr>
        <w:pStyle w:val="793"/>
        <w:jc w:val="both"/>
        <w:spacing w:before="0" w:beforeAutospacing="0" w:after="0" w:afterAutospacing="0" w:line="360" w:lineRule="auto"/>
        <w:widowControl w:val="off"/>
        <w:rPr>
          <w:rFonts w:hint="eastAsia" w:ascii="宋体" w:hAnsi="宋体" w:eastAsia="宋体" w:cs="宋体"/>
          <w:b/>
          <w:bCs/>
          <w:color w:val="000000"/>
          <w:szCs w:val="20"/>
          <w:highlight w:val="none"/>
        </w:rPr>
      </w:pPr>
      <w:r>
        <w:rPr>
          <w:rFonts w:hint="eastAsia" w:ascii="宋体" w:hAnsi="宋体" w:eastAsia="宋体" w:cs="宋体"/>
          <w:color w:val="000000"/>
          <w:szCs w:val="28"/>
          <w:highlight w:val="none"/>
        </w:rPr>
        <w:t xml:space="preserve">1</w:t>
      </w:r>
      <w:bookmarkStart w:id="160" w:name="_Hlk187934629"/>
      <w:r>
        <w:rPr>
          <w:rFonts w:hint="eastAsia" w:ascii="宋体" w:hAnsi="宋体" w:eastAsia="宋体" w:cs="宋体"/>
          <w:color w:val="000000"/>
          <w:szCs w:val="28"/>
          <w:highlight w:val="none"/>
        </w:rPr>
        <w:t xml:space="preserve">.</w:t>
      </w:r>
      <w:r>
        <w:rPr>
          <w:rFonts w:hint="eastAsia" w:ascii="宋体" w:hAnsi="宋体" w:eastAsia="宋体" w:cs="宋体"/>
          <w:color w:val="000000"/>
          <w:szCs w:val="20"/>
          <w:highlight w:val="none"/>
        </w:rPr>
        <w:t xml:space="preserve">针对采购需求</w:t>
      </w:r>
      <w:r>
        <w:rPr>
          <w:rFonts w:hint="eastAsia" w:eastAsia="宋体" w:cs="宋体"/>
          <w:color w:val="000000"/>
          <w:szCs w:val="20"/>
          <w:highlight w:val="none"/>
          <w:lang w:eastAsia="zh-CN"/>
        </w:rPr>
        <w:t xml:space="preserve">－</w:t>
      </w:r>
      <w:r>
        <w:rPr>
          <w:rFonts w:hint="eastAsia" w:eastAsia="宋体" w:cs="宋体"/>
          <w:color w:val="000000"/>
          <w:szCs w:val="20"/>
          <w:highlight w:val="none"/>
          <w:lang w:val="en-US" w:eastAsia="zh-CN"/>
        </w:rPr>
        <w:t xml:space="preserve">技术要求中的</w:t>
      </w:r>
      <w:r>
        <w:rPr>
          <w:rFonts w:hint="eastAsia" w:ascii="宋体" w:hAnsi="宋体" w:eastAsia="宋体" w:cs="宋体"/>
          <w:color w:val="000000"/>
          <w:szCs w:val="20"/>
          <w:highlight w:val="none"/>
        </w:rPr>
        <w:t xml:space="preserve">实质性要求（“★”内容），</w:t>
      </w:r>
      <w:r>
        <w:rPr>
          <w:rFonts w:hint="eastAsia" w:ascii="宋体" w:hAnsi="宋体" w:eastAsia="宋体" w:cs="宋体"/>
          <w:color w:val="000000"/>
          <w:szCs w:val="20"/>
          <w:highlight w:val="none"/>
          <w:lang w:eastAsia="zh-CN"/>
        </w:rPr>
        <w:t xml:space="preserve">供应商</w:t>
      </w:r>
      <w:r>
        <w:rPr>
          <w:rFonts w:hint="eastAsia" w:ascii="宋体" w:hAnsi="宋体" w:eastAsia="宋体" w:cs="宋体"/>
          <w:color w:val="000000"/>
          <w:szCs w:val="20"/>
          <w:highlight w:val="none"/>
        </w:rPr>
        <w:t xml:space="preserve">须做出明确响应。采购需求中要求提供证明材料的，以证明材料为准；若《技术</w:t>
      </w:r>
      <w:r>
        <w:rPr>
          <w:rFonts w:hint="eastAsia" w:eastAsia="宋体" w:cs="宋体"/>
          <w:color w:val="000000"/>
          <w:szCs w:val="20"/>
          <w:highlight w:val="none"/>
          <w:lang w:val="en-US" w:eastAsia="zh-CN"/>
        </w:rPr>
        <w:t xml:space="preserve">要求</w:t>
      </w:r>
      <w:r>
        <w:rPr>
          <w:rFonts w:hint="eastAsia" w:ascii="宋体" w:hAnsi="宋体" w:eastAsia="宋体" w:cs="宋体"/>
          <w:color w:val="000000"/>
          <w:szCs w:val="20"/>
          <w:highlight w:val="none"/>
        </w:rPr>
        <w:t xml:space="preserve">响应偏离表》填写情况与提供证明材料的内容不一致，以证明材料为准；采购需求中未要求提供证明材料的，以《技术</w:t>
      </w:r>
      <w:r>
        <w:rPr>
          <w:rFonts w:hint="eastAsia" w:eastAsia="宋体" w:cs="宋体"/>
          <w:color w:val="000000"/>
          <w:szCs w:val="20"/>
          <w:highlight w:val="none"/>
          <w:lang w:val="en-US" w:eastAsia="zh-CN"/>
        </w:rPr>
        <w:t xml:space="preserve">要求</w:t>
      </w:r>
      <w:r>
        <w:rPr>
          <w:rFonts w:hint="eastAsia" w:ascii="宋体" w:hAnsi="宋体" w:eastAsia="宋体" w:cs="宋体"/>
          <w:color w:val="000000"/>
          <w:szCs w:val="20"/>
          <w:highlight w:val="none"/>
        </w:rPr>
        <w:t xml:space="preserve">响应偏离表》为准，《技术</w:t>
      </w:r>
      <w:r>
        <w:rPr>
          <w:rFonts w:hint="eastAsia" w:eastAsia="宋体" w:cs="宋体"/>
          <w:color w:val="000000"/>
          <w:szCs w:val="20"/>
          <w:highlight w:val="none"/>
          <w:lang w:val="en-US" w:eastAsia="zh-CN"/>
        </w:rPr>
        <w:t xml:space="preserve">要求</w:t>
      </w:r>
      <w:r>
        <w:rPr>
          <w:rFonts w:hint="eastAsia" w:ascii="宋体" w:hAnsi="宋体" w:eastAsia="宋体" w:cs="宋体"/>
          <w:color w:val="000000"/>
          <w:szCs w:val="20"/>
          <w:highlight w:val="none"/>
        </w:rPr>
        <w:t xml:space="preserve">响应偏离表》中未列明的，</w:t>
      </w:r>
      <w:r>
        <w:rPr>
          <w:rFonts w:hint="eastAsia" w:ascii="宋体" w:hAnsi="宋体" w:eastAsia="宋体" w:cs="宋体"/>
          <w:b/>
          <w:bCs/>
          <w:color w:val="000000"/>
          <w:szCs w:val="20"/>
          <w:highlight w:val="none"/>
        </w:rPr>
        <w:t xml:space="preserve">作无效响应处理。</w:t>
      </w:r>
      <w:r>
        <w:rPr>
          <w:rFonts w:hint="eastAsia" w:ascii="宋体" w:hAnsi="宋体" w:eastAsia="宋体" w:cs="宋体"/>
          <w:b/>
          <w:bCs/>
          <w:color w:val="000000"/>
          <w:szCs w:val="20"/>
          <w:highlight w:val="none"/>
        </w:rPr>
      </w:r>
      <w:r/>
    </w:p>
    <w:p>
      <w:pPr>
        <w:pStyle w:val="793"/>
        <w:jc w:val="both"/>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8"/>
          <w:highlight w:val="none"/>
        </w:rPr>
        <w:t xml:space="preserve">2.对采购需求的</w:t>
      </w:r>
      <w:r>
        <w:rPr>
          <w:rFonts w:hint="eastAsia" w:eastAsia="宋体" w:cs="宋体"/>
          <w:color w:val="000000"/>
          <w:szCs w:val="28"/>
          <w:highlight w:val="none"/>
          <w:lang w:eastAsia="zh-CN"/>
        </w:rPr>
        <w:t xml:space="preserve">其他</w:t>
      </w:r>
      <w:r>
        <w:rPr>
          <w:rFonts w:hint="eastAsia" w:ascii="宋体" w:hAnsi="宋体" w:eastAsia="宋体" w:cs="宋体"/>
          <w:color w:val="000000"/>
          <w:szCs w:val="28"/>
          <w:highlight w:val="none"/>
        </w:rPr>
        <w:t xml:space="preserve">非实质性要求，</w:t>
      </w:r>
      <w:r>
        <w:rPr>
          <w:rFonts w:hint="eastAsia" w:ascii="宋体" w:hAnsi="宋体" w:eastAsia="宋体" w:cs="宋体"/>
          <w:color w:val="000000"/>
          <w:szCs w:val="28"/>
          <w:highlight w:val="none"/>
          <w:lang w:eastAsia="zh-CN"/>
        </w:rPr>
        <w:t xml:space="preserve">供应商</w:t>
      </w:r>
      <w:r>
        <w:rPr>
          <w:rFonts w:hint="eastAsia" w:ascii="宋体" w:hAnsi="宋体" w:eastAsia="宋体" w:cs="宋体"/>
          <w:color w:val="000000"/>
          <w:szCs w:val="28"/>
          <w:highlight w:val="none"/>
        </w:rPr>
        <w:t xml:space="preserve">按所投产品情况在此表中详细列出偏离情况（包括正偏离、负偏离、无偏离）并说明理由；未列明的均视为未响应招标文件要求。</w:t>
      </w:r>
      <w:r>
        <w:rPr>
          <w:rFonts w:hint="eastAsia" w:ascii="宋体" w:hAnsi="宋体" w:eastAsia="宋体" w:cs="宋体"/>
          <w:color w:val="000000"/>
          <w:szCs w:val="20"/>
          <w:highlight w:val="none"/>
        </w:rPr>
      </w:r>
      <w:r/>
    </w:p>
    <w:p>
      <w:pPr>
        <w:pStyle w:val="718"/>
        <w:spacing w:line="360" w:lineRule="auto"/>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r>
      <w:r/>
    </w:p>
    <w:p>
      <w:pPr>
        <w:pStyle w:val="720"/>
        <w:numPr>
          <w:ilvl w:val="0"/>
          <w:numId w:val="7"/>
        </w:numPr>
        <w:spacing w:line="360" w:lineRule="auto"/>
        <w:rPr>
          <w:rFonts w:hint="eastAsia" w:ascii="宋体" w:hAnsi="宋体" w:eastAsia="宋体" w:cs="宋体"/>
          <w:b/>
          <w:bCs w:val="0"/>
          <w:color w:val="000000"/>
          <w:sz w:val="32"/>
          <w:szCs w:val="32"/>
          <w:highlight w:val="none"/>
          <w:lang w:val="zh-CN"/>
        </w:rPr>
      </w:pPr>
      <w:r/>
      <w:bookmarkEnd w:id="160"/>
      <w:r/>
      <w:bookmarkStart w:id="161" w:name="_Toc25337"/>
      <w:r/>
      <w:bookmarkStart w:id="162" w:name="_Toc15871"/>
      <w:r>
        <w:rPr>
          <w:rFonts w:hint="eastAsia" w:ascii="宋体" w:hAnsi="宋体" w:eastAsia="宋体" w:cs="宋体"/>
          <w:b/>
          <w:color w:val="000000"/>
          <w:sz w:val="32"/>
          <w:szCs w:val="32"/>
          <w:highlight w:val="none"/>
          <w:lang w:val="zh-CN"/>
        </w:rPr>
        <w:t xml:space="preserve">商务</w:t>
      </w:r>
      <w:r>
        <w:rPr>
          <w:rFonts w:hint="eastAsia" w:ascii="宋体" w:hAnsi="宋体" w:eastAsia="宋体" w:cs="宋体"/>
          <w:b/>
          <w:bCs w:val="0"/>
          <w:color w:val="000000"/>
          <w:sz w:val="32"/>
          <w:szCs w:val="32"/>
          <w:highlight w:val="none"/>
          <w:lang w:val="zh-CN"/>
        </w:rPr>
        <w:t xml:space="preserve">要求响应及偏离表</w:t>
      </w:r>
      <w:r>
        <w:rPr>
          <w:rFonts w:hint="eastAsia" w:ascii="宋体" w:hAnsi="宋体" w:eastAsia="宋体" w:cs="宋体"/>
          <w:b/>
          <w:bCs w:val="0"/>
          <w:color w:val="000000"/>
          <w:sz w:val="32"/>
          <w:szCs w:val="32"/>
          <w:highlight w:val="none"/>
          <w:lang w:val="zh-CN"/>
        </w:rPr>
      </w:r>
      <w:r/>
    </w:p>
    <w:p>
      <w:pPr>
        <w:pStyle w:val="718"/>
        <w:ind w:left="420"/>
        <w:jc w:val="center"/>
        <w:spacing w:line="360" w:lineRule="auto"/>
        <w:widowControl/>
        <w:rPr>
          <w:rFonts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8"/>
          <w:szCs w:val="28"/>
          <w:highlight w:val="none"/>
          <w:lang w:val="en-US" w:eastAsia="zh-CN"/>
        </w:rPr>
        <w:t xml:space="preserve">商务要求及偏离表</w:t>
      </w:r>
      <w:r>
        <w:rPr>
          <w:rFonts w:ascii="宋体" w:hAnsi="宋体" w:eastAsia="宋体" w:cs="宋体"/>
          <w:color w:val="000000"/>
          <w:sz w:val="24"/>
          <w:szCs w:val="24"/>
          <w:highlight w:val="none"/>
          <w:lang w:val="en-US" w:eastAsia="zh-CN"/>
        </w:rPr>
      </w: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655"/>
        </w:trPr>
        <w:tc>
          <w:tcPr>
            <w:tcW w:w="1112"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序号</w:t>
            </w:r>
            <w:r>
              <w:rPr>
                <w:rFonts w:hint="eastAsia" w:ascii="宋体" w:hAnsi="宋体" w:eastAsia="宋体" w:cs="宋体"/>
                <w:b w:val="0"/>
                <w:bCs w:val="0"/>
                <w:sz w:val="24"/>
                <w:szCs w:val="24"/>
                <w:highlight w:val="none"/>
                <w:lang w:val="en-US" w:eastAsia="zh-CN"/>
              </w:rPr>
            </w:r>
            <w:r/>
          </w:p>
        </w:tc>
        <w:tc>
          <w:tcPr>
            <w:tcW w:w="3410"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商务</w:t>
            </w:r>
            <w:r>
              <w:rPr>
                <w:rFonts w:hint="eastAsia" w:ascii="宋体" w:hAnsi="宋体" w:eastAsia="宋体" w:cs="宋体"/>
                <w:b w:val="0"/>
                <w:bCs w:val="0"/>
                <w:color w:val="000000"/>
                <w:sz w:val="24"/>
                <w:szCs w:val="24"/>
              </w:rPr>
              <w:t xml:space="preserve">要求</w:t>
            </w:r>
            <w:r>
              <w:rPr>
                <w:rFonts w:hint="eastAsia" w:ascii="宋体" w:hAnsi="宋体" w:eastAsia="宋体" w:cs="宋体"/>
                <w:b w:val="0"/>
                <w:bCs w:val="0"/>
                <w:color w:val="000000"/>
                <w:sz w:val="24"/>
                <w:szCs w:val="24"/>
                <w:lang w:val="en-US" w:eastAsia="zh-CN"/>
              </w:rPr>
              <w:t xml:space="preserve">及内容</w:t>
            </w:r>
            <w:r>
              <w:rPr>
                <w:rFonts w:hint="eastAsia" w:ascii="宋体" w:hAnsi="宋体" w:eastAsia="宋体" w:cs="宋体"/>
                <w:b w:val="0"/>
                <w:bCs w:val="0"/>
                <w:sz w:val="24"/>
                <w:szCs w:val="24"/>
                <w:highlight w:val="none"/>
                <w:lang w:val="en-US" w:eastAsia="zh-CN" w:bidi="ar-SA"/>
              </w:rPr>
            </w:r>
            <w:r/>
          </w:p>
        </w:tc>
        <w:tc>
          <w:tcPr>
            <w:tcW w:w="3100"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响应情况</w:t>
            </w:r>
            <w:r>
              <w:rPr>
                <w:rFonts w:hint="eastAsia" w:ascii="宋体" w:hAnsi="宋体" w:eastAsia="宋体" w:cs="宋体"/>
                <w:b w:val="0"/>
                <w:bCs w:val="0"/>
                <w:sz w:val="24"/>
                <w:szCs w:val="24"/>
                <w:highlight w:val="none"/>
                <w:lang w:val="en-US" w:eastAsia="zh-CN" w:bidi="ar-SA"/>
              </w:rPr>
            </w:r>
            <w:r/>
          </w:p>
        </w:tc>
        <w:tc>
          <w:tcPr>
            <w:tcW w:w="2172"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 xml:space="preserve">偏离内容及说明</w:t>
            </w:r>
            <w:r>
              <w:rPr>
                <w:rFonts w:hint="eastAsia" w:ascii="宋体" w:hAnsi="宋体" w:eastAsia="宋体" w:cs="宋体"/>
                <w:b w:val="0"/>
                <w:bCs w:val="0"/>
                <w:sz w:val="24"/>
                <w:szCs w:val="24"/>
                <w:highlight w:val="none"/>
                <w:lang w:val="en-US" w:eastAsia="zh-CN" w:bidi="ar-SA"/>
              </w:rPr>
            </w:r>
            <w:r/>
          </w:p>
        </w:tc>
      </w:tr>
      <w:tr>
        <w:trPr>
          <w:trHeight w:val="650"/>
        </w:trPr>
        <w:tc>
          <w:tcPr>
            <w:tcW w:w="1112"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10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7"/>
        </w:trPr>
        <w:tc>
          <w:tcPr>
            <w:tcW w:w="1112" w:type="dxa"/>
            <w:vAlign w:val="center"/>
            <w:textDirection w:val="lrTb"/>
            <w:noWrap w:val="false"/>
          </w:tcPr>
          <w:p>
            <w:pPr>
              <w:pStyle w:val="1127"/>
              <w:ind w:left="0" w:firstLine="0"/>
              <w:jc w:val="center"/>
              <w:spacing w:line="24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W w:w="3410" w:type="dxa"/>
            <w:vAlign w:val="center"/>
            <w:textDirection w:val="lrTb"/>
            <w:noWrap w:val="false"/>
          </w:tcPr>
          <w:p>
            <w:pPr>
              <w:pStyle w:val="1127"/>
              <w:ind w:left="0"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100"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1112"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112"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112"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112" w:type="dxa"/>
            <w:vAlign w:val="center"/>
            <w:textDirection w:val="lrTb"/>
            <w:noWrap w:val="false"/>
          </w:tcPr>
          <w:p>
            <w:pPr>
              <w:pStyle w:val="718"/>
              <w:jc w:val="center"/>
              <w:spacing w:line="24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lang w:val="zh-CN"/>
        </w:rPr>
      </w:r>
      <w:r/>
    </w:p>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供应商名称：</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（加盖CA电子公章）</w:t>
      </w:r>
      <w:r>
        <w:rPr>
          <w:rFonts w:hint="eastAsia" w:ascii="宋体" w:hAnsi="宋体" w:eastAsia="宋体" w:cs="宋体"/>
          <w:color w:val="000000"/>
          <w:sz w:val="24"/>
          <w:szCs w:val="24"/>
          <w:highlight w:val="none"/>
          <w:lang w:val="zh-CN"/>
        </w:rPr>
      </w:r>
      <w:r/>
    </w:p>
    <w:p>
      <w:pPr>
        <w:pStyle w:val="718"/>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18"/>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 </w:t>
      </w:r>
      <w:r>
        <w:rPr>
          <w:rFonts w:hint="eastAsia" w:ascii="宋体" w:hAnsi="宋体" w:eastAsia="宋体" w:cs="宋体"/>
          <w:b/>
          <w:color w:val="000000"/>
          <w:sz w:val="24"/>
          <w:szCs w:val="24"/>
          <w:highlight w:val="none"/>
          <w:lang w:val="en-US" w:eastAsia="zh-CN"/>
        </w:rPr>
      </w:r>
      <w:r/>
    </w:p>
    <w:p>
      <w:pPr>
        <w:pStyle w:val="718"/>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1.供应商须对采购需求－商务要求中的全部内容做出明确响应，否则视为无效响应。</w:t>
      </w:r>
      <w:r>
        <w:rPr>
          <w:rFonts w:hint="eastAsia" w:ascii="宋体" w:hAnsi="宋体" w:eastAsia="宋体" w:cs="宋体"/>
          <w:b w:val="0"/>
          <w:bCs/>
          <w:color w:val="000000"/>
          <w:sz w:val="24"/>
          <w:szCs w:val="24"/>
          <w:highlight w:val="none"/>
          <w:lang w:val="en-US" w:eastAsia="zh-CN"/>
        </w:rPr>
      </w:r>
      <w:r/>
    </w:p>
    <w:p>
      <w:pPr>
        <w:pStyle w:val="718"/>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针对采购需求－商务要求中的所有内容，供应商</w:t>
      </w:r>
      <w:r>
        <w:rPr>
          <w:rFonts w:hint="eastAsia" w:ascii="宋体" w:hAnsi="宋体" w:eastAsia="宋体" w:cs="宋体"/>
          <w:b w:val="0"/>
          <w:bCs/>
          <w:sz w:val="24"/>
          <w:szCs w:val="24"/>
          <w:highlight w:val="none"/>
        </w:rPr>
        <w:t xml:space="preserve">应当逐条在此表中列明并由供应商逐条响应</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r>
      <w:r/>
    </w:p>
    <w:p>
      <w:pPr>
        <w:pStyle w:val="718"/>
        <w:spacing w:line="360" w:lineRule="auto"/>
        <w:rPr>
          <w:rFonts w:hint="eastAsia" w:ascii="宋体" w:hAnsi="宋体" w:eastAsia="宋体" w:cs="宋体"/>
          <w:bCs/>
          <w:color w:val="000000"/>
          <w:highlight w:val="none"/>
        </w:rPr>
      </w:pPr>
      <w:r>
        <w:rPr>
          <w:rFonts w:hint="eastAsia" w:ascii="宋体" w:hAnsi="宋体" w:eastAsia="宋体" w:cs="宋体"/>
          <w:b w:val="0"/>
          <w:bCs/>
          <w:color w:val="000000"/>
          <w:sz w:val="24"/>
          <w:szCs w:val="24"/>
          <w:highlight w:val="none"/>
          <w:lang w:val="en-US" w:eastAsia="zh-CN"/>
        </w:rPr>
        <w:t xml:space="preserve">3.行数不够，可自行添加。</w:t>
      </w:r>
      <w:r>
        <w:rPr>
          <w:rFonts w:hint="eastAsia" w:ascii="宋体" w:hAnsi="宋体" w:eastAsia="宋体" w:cs="宋体"/>
          <w:bCs/>
          <w:color w:val="000000"/>
          <w:sz w:val="24"/>
          <w:szCs w:val="24"/>
          <w:highlight w:val="none"/>
        </w:rPr>
        <w:br w:type="page" w:clear="all"/>
      </w:r>
      <w:r>
        <w:rPr>
          <w:rFonts w:hint="eastAsia" w:ascii="宋体" w:hAnsi="宋体" w:eastAsia="宋体" w:cs="宋体"/>
          <w:b/>
          <w:bCs w:val="0"/>
          <w:color w:val="000000"/>
          <w:sz w:val="32"/>
          <w:szCs w:val="32"/>
          <w:highlight w:val="none"/>
          <w:lang w:val="zh-CN" w:eastAsia="zh-CN" w:bidi="ar-SA"/>
        </w:rPr>
        <w:t xml:space="preserve">八、项目组人员</w:t>
      </w:r>
      <w:r>
        <w:rPr>
          <w:rFonts w:hint="eastAsia" w:ascii="宋体" w:hAnsi="宋体" w:eastAsia="宋体" w:cs="宋体"/>
          <w:bCs/>
          <w:color w:val="000000"/>
          <w:highlight w:val="none"/>
        </w:rPr>
      </w:r>
      <w:r/>
    </w:p>
    <w:tbl>
      <w:tblPr>
        <w:tblpPr w:horzAnchor="margin" w:tblpXSpec="center" w:vertAnchor="text" w:tblpY="74" w:leftFromText="180" w:topFromText="0" w:rightFromText="180" w:bottomFromText="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836"/>
        </w:trPr>
        <w:tc>
          <w:tcPr>
            <w:tcW w:w="1180"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姓名</w:t>
            </w: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职务</w:t>
            </w:r>
            <w:r>
              <w:rPr>
                <w:rFonts w:hint="eastAsia" w:ascii="宋体" w:hAnsi="宋体" w:eastAsia="宋体" w:cs="宋体"/>
                <w:caps w:val="0"/>
                <w:color w:val="000000"/>
                <w:sz w:val="24"/>
                <w:szCs w:val="24"/>
              </w:rPr>
            </w:r>
            <w:r/>
          </w:p>
        </w:tc>
        <w:tc>
          <w:tcPr>
            <w:tcW w:w="992"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学历</w:t>
            </w: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280"/>
              <w:jc w:val="both"/>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身份证号</w:t>
            </w: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相关证书</w:t>
            </w: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备注</w:t>
            </w: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lang w:bidi="ar"/>
              </w:rPr>
              <w:t xml:space="preserve">项目经理</w:t>
            </w: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jc w:val="both"/>
              <w:spacing w:line="240" w:lineRule="auto"/>
              <w:rPr>
                <w:rFonts w:hint="eastAsia" w:ascii="宋体" w:hAnsi="宋体" w:eastAsia="宋体" w:cs="宋体"/>
                <w:caps w:val="0"/>
                <w:color w:val="000000"/>
                <w:sz w:val="24"/>
                <w:szCs w:val="24"/>
                <w:lang w:eastAsia="zh-CN"/>
              </w:rPr>
              <w:framePr w:vAnchor="page" w:hAnchor="page" w:xAlign="center" w:y="74"/>
            </w:pPr>
            <w:r>
              <w:rPr>
                <w:rFonts w:hint="eastAsia" w:eastAsia="宋体" w:cs="宋体"/>
                <w:caps w:val="0"/>
                <w:color w:val="000000"/>
                <w:sz w:val="24"/>
                <w:szCs w:val="24"/>
                <w:lang w:eastAsia="zh-CN" w:bidi="ar"/>
              </w:rPr>
              <w:t xml:space="preserve">……</w:t>
            </w:r>
            <w:r>
              <w:rPr>
                <w:rFonts w:hint="eastAsia" w:ascii="宋体" w:hAnsi="宋体" w:eastAsia="宋体" w:cs="宋体"/>
                <w:caps w:val="0"/>
                <w:color w:val="000000"/>
                <w:sz w:val="24"/>
                <w:szCs w:val="24"/>
                <w:lang w:eastAsia="zh-CN"/>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spacing w:line="240" w:lineRule="auto"/>
              <w:rPr>
                <w:rFonts w:hint="eastAsia" w:ascii="宋体" w:hAnsi="宋体" w:eastAsia="宋体" w:cs="宋体"/>
                <w:caps w:val="0"/>
                <w:color w:val="000000"/>
                <w:sz w:val="24"/>
                <w:szCs w:val="24"/>
              </w:rPr>
              <w:framePr w:vAnchor="page" w:hAnchor="page" w:xAlign="center" w:y="74"/>
            </w:pPr>
            <w:r>
              <w:rPr>
                <w:rFonts w:hint="eastAsia" w:eastAsia="宋体" w:cs="宋体"/>
                <w:caps w:val="0"/>
                <w:color w:val="000000"/>
                <w:sz w:val="24"/>
                <w:szCs w:val="24"/>
                <w:lang w:eastAsia="zh-CN" w:bidi="ar"/>
              </w:rPr>
              <w:t xml:space="preserve">……</w:t>
            </w: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spacing w:line="240" w:lineRule="auto"/>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spacing w:line="240" w:lineRule="auto"/>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bl>
    <w:p>
      <w:pPr>
        <w:pStyle w:val="718"/>
        <w:ind w:firstLine="21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注：如</w:t>
      </w:r>
      <w:r>
        <w:rPr>
          <w:rFonts w:hint="eastAsia" w:ascii="宋体" w:hAnsi="宋体" w:eastAsia="宋体" w:cs="宋体"/>
          <w:color w:val="000000"/>
          <w:sz w:val="24"/>
          <w:szCs w:val="20"/>
          <w:highlight w:val="none"/>
          <w:lang w:eastAsia="zh-CN"/>
        </w:rPr>
        <w:t xml:space="preserve">供应商</w:t>
      </w:r>
      <w:r>
        <w:rPr>
          <w:rFonts w:hint="eastAsia" w:ascii="宋体" w:hAnsi="宋体" w:eastAsia="宋体" w:cs="宋体"/>
          <w:color w:val="000000"/>
          <w:sz w:val="24"/>
          <w:szCs w:val="20"/>
          <w:highlight w:val="none"/>
        </w:rPr>
        <w:t xml:space="preserve">中标，项目组成员按本表承诺人员操作，不得随意更换。按采购文件要求附相关人员证书。</w:t>
      </w:r>
      <w:bookmarkStart w:id="163" w:name="_格式2__法定代表人授权书"/>
      <w:r/>
      <w:bookmarkEnd w:id="163"/>
      <w:r>
        <w:rPr>
          <w:rFonts w:hint="eastAsia" w:ascii="宋体" w:hAnsi="宋体" w:eastAsia="宋体" w:cs="宋体"/>
          <w:color w:val="000000"/>
          <w:sz w:val="24"/>
          <w:szCs w:val="20"/>
          <w:highlight w:val="none"/>
        </w:rPr>
      </w:r>
      <w:r/>
    </w:p>
    <w:p>
      <w:pPr>
        <w:pStyle w:val="718"/>
        <w:ind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18"/>
        <w:ind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5"/>
        <w:spacing w:line="360" w:lineRule="auto"/>
        <w:rPr>
          <w:rFonts w:hint="eastAsia" w:ascii="宋体" w:hAnsi="宋体" w:eastAsia="宋体" w:cs="宋体"/>
          <w:b w:val="0"/>
          <w:color w:val="000000"/>
          <w:szCs w:val="32"/>
          <w:highlight w:val="none"/>
        </w:rPr>
        <w:outlineLvl w:val="1"/>
      </w:pPr>
      <w:r>
        <w:rPr>
          <w:rFonts w:hint="eastAsia" w:ascii="宋体" w:hAnsi="宋体" w:eastAsia="宋体" w:cs="宋体"/>
          <w:b w:val="0"/>
          <w:color w:val="000000"/>
          <w:szCs w:val="32"/>
          <w:highlight w:val="none"/>
        </w:rPr>
        <w:br w:type="page" w:clear="all"/>
      </w:r>
      <w:r>
        <w:rPr>
          <w:rFonts w:hint="eastAsia" w:ascii="宋体" w:hAnsi="宋体" w:eastAsia="宋体" w:cs="宋体"/>
          <w:b/>
          <w:bCs w:val="0"/>
          <w:color w:val="000000"/>
          <w:sz w:val="32"/>
          <w:szCs w:val="32"/>
          <w:highlight w:val="none"/>
          <w:lang w:val="zh-CN" w:eastAsia="zh-CN" w:bidi="ar-SA"/>
        </w:rPr>
        <w:t xml:space="preserve">九、企业业绩</w:t>
      </w:r>
      <w:bookmarkEnd w:id="161"/>
      <w:r/>
      <w:bookmarkEnd w:id="162"/>
      <w:r>
        <w:rPr>
          <w:rFonts w:hint="eastAsia" w:ascii="宋体" w:hAnsi="宋体" w:eastAsia="宋体" w:cs="宋体"/>
          <w:b w:val="0"/>
          <w:color w:val="000000"/>
          <w:szCs w:val="32"/>
          <w:highlight w:val="none"/>
        </w:rPr>
      </w:r>
      <w:r/>
    </w:p>
    <w:p>
      <w:pPr>
        <w:pStyle w:val="1053"/>
        <w:jc w:val="center"/>
        <w:rPr>
          <w:rFonts w:ascii="Times New Roman" w:hAnsi="Times New Roman"/>
          <w:b/>
          <w:caps w:val="0"/>
          <w:color w:val="000000"/>
          <w:sz w:val="32"/>
          <w:szCs w:val="32"/>
        </w:rPr>
      </w:pPr>
      <w:r>
        <w:rPr>
          <w:rFonts w:hint="eastAsia" w:ascii="Times New Roman" w:hAnsi="Times New Roman"/>
          <w:b/>
          <w:caps w:val="0"/>
          <w:color w:val="000000"/>
          <w:sz w:val="32"/>
          <w:szCs w:val="32"/>
          <w:lang w:val="en-US" w:eastAsia="zh-CN"/>
        </w:rPr>
        <w:t xml:space="preserve">供应商</w:t>
      </w:r>
      <w:r>
        <w:rPr>
          <w:rFonts w:hint="eastAsia" w:ascii="Times New Roman" w:hAnsi="Times New Roman"/>
          <w:b/>
          <w:caps w:val="0"/>
          <w:color w:val="000000"/>
          <w:sz w:val="32"/>
          <w:szCs w:val="32"/>
        </w:rPr>
        <w:t xml:space="preserve">承担类似项目业绩一览表</w:t>
      </w:r>
      <w:r>
        <w:rPr>
          <w:rFonts w:ascii="Times New Roman" w:hAnsi="Times New Roman"/>
          <w:b/>
          <w:caps w:val="0"/>
          <w:color w:val="000000"/>
          <w:sz w:val="32"/>
          <w:szCs w:val="32"/>
        </w:rPr>
      </w:r>
      <w:r/>
    </w:p>
    <w:tbl>
      <w:tblPr>
        <w:tblW w:w="97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242"/>
      </w:tblGrid>
      <w:tr>
        <w:trPr>
          <w:trHeight w:val="753"/>
        </w:trPr>
        <w:tc>
          <w:tcPr>
            <w:tcW w:w="1229"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序号</w:t>
            </w:r>
            <w:r>
              <w:rPr>
                <w:rFonts w:hint="eastAsia" w:ascii="宋体" w:hAnsi="宋体" w:eastAsia="宋体" w:cs="宋体"/>
                <w:caps w:val="0"/>
                <w:color w:val="000000"/>
                <w:sz w:val="28"/>
                <w:szCs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项目名称</w:t>
            </w:r>
            <w:r>
              <w:rPr>
                <w:rFonts w:hint="eastAsia" w:ascii="宋体" w:hAnsi="宋体" w:eastAsia="宋体" w:cs="宋体"/>
                <w:caps w:val="0"/>
                <w:color w:val="000000"/>
                <w:sz w:val="28"/>
                <w:szCs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采购单位</w:t>
            </w:r>
            <w:r>
              <w:rPr>
                <w:rFonts w:hint="eastAsia" w:ascii="宋体" w:hAnsi="宋体" w:eastAsia="宋体" w:cs="宋体"/>
                <w:caps w:val="0"/>
                <w:color w:val="000000"/>
                <w:sz w:val="28"/>
                <w:szCs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合同金额</w:t>
            </w:r>
            <w:r>
              <w:rPr>
                <w:rFonts w:hint="eastAsia" w:ascii="宋体" w:hAnsi="宋体" w:eastAsia="宋体" w:cs="宋体"/>
                <w:caps w:val="0"/>
                <w:color w:val="000000"/>
                <w:sz w:val="28"/>
                <w:szCs w:val="28"/>
              </w:rPr>
            </w:r>
            <w:r/>
          </w:p>
        </w:tc>
      </w:tr>
      <w:tr>
        <w:trPr>
          <w:trHeight w:val="1510"/>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r>
        <w:trPr>
          <w:trHeight w:val="1510"/>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r>
        <w:trPr>
          <w:trHeight w:val="1510"/>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r>
        <w:trPr>
          <w:trHeight w:val="1525"/>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bl>
    <w:p>
      <w:pPr>
        <w:pStyle w:val="1053"/>
        <w:spacing w:line="360" w:lineRule="auto"/>
        <w:rPr>
          <w:rFonts w:hint="eastAsia" w:ascii="宋体" w:hAnsi="宋体" w:eastAsia="宋体" w:cs="宋体"/>
          <w:b/>
          <w:caps w:val="0"/>
          <w:color w:val="000000"/>
          <w:sz w:val="24"/>
        </w:rPr>
      </w:pPr>
      <w:r>
        <w:rPr>
          <w:rFonts w:hint="eastAsia" w:ascii="宋体" w:hAnsi="宋体" w:eastAsia="宋体" w:cs="宋体"/>
          <w:b/>
          <w:caps w:val="0"/>
          <w:color w:val="000000"/>
          <w:sz w:val="24"/>
        </w:rPr>
      </w:r>
      <w:r/>
    </w:p>
    <w:p>
      <w:pPr>
        <w:pStyle w:val="1053"/>
        <w:spacing w:line="360" w:lineRule="auto"/>
        <w:rPr>
          <w:rFonts w:hint="eastAsia" w:ascii="宋体" w:hAnsi="宋体" w:eastAsia="宋体" w:cs="宋体"/>
          <w:bCs/>
          <w:color w:val="000000"/>
          <w:highlight w:val="none"/>
        </w:rPr>
      </w:pPr>
      <w:r>
        <w:rPr>
          <w:rFonts w:hint="eastAsia" w:ascii="宋体" w:hAnsi="宋体" w:eastAsia="宋体" w:cs="宋体"/>
          <w:b/>
          <w:caps w:val="0"/>
          <w:color w:val="000000"/>
          <w:sz w:val="24"/>
        </w:rPr>
        <w:t xml:space="preserve">注：请填写此表，并按要求上传业绩资料电子件。</w:t>
      </w:r>
      <w:r>
        <w:rPr>
          <w:rFonts w:hint="eastAsia" w:ascii="宋体" w:hAnsi="宋体" w:eastAsia="宋体" w:cs="宋体"/>
          <w:bCs/>
          <w:color w:val="000000"/>
          <w:highlight w:val="none"/>
        </w:rPr>
      </w:r>
      <w:r/>
    </w:p>
    <w:p>
      <w:pPr>
        <w:pStyle w:val="718"/>
        <w:spacing w:line="360" w:lineRule="auto"/>
        <w:rPr>
          <w:rFonts w:hint="eastAsia" w:ascii="宋体" w:hAnsi="宋体" w:eastAsia="宋体" w:cs="宋体"/>
          <w:b/>
          <w:bCs/>
          <w:color w:val="000000"/>
          <w:szCs w:val="32"/>
          <w:highlight w:val="none"/>
        </w:rPr>
        <w:outlineLvl w:val="1"/>
      </w:pPr>
      <w:r>
        <w:rPr>
          <w:rFonts w:hint="eastAsia" w:ascii="宋体" w:hAnsi="宋体" w:eastAsia="宋体" w:cs="宋体"/>
          <w:bCs/>
          <w:color w:val="000000"/>
          <w:highlight w:val="none"/>
        </w:rPr>
        <w:br w:type="page" w:clear="all"/>
      </w:r>
      <w:bookmarkStart w:id="164" w:name="_Toc9275"/>
      <w:r/>
      <w:bookmarkStart w:id="165" w:name="_Toc26048"/>
      <w:r>
        <w:rPr>
          <w:rFonts w:hint="eastAsia" w:ascii="宋体" w:hAnsi="宋体" w:eastAsia="宋体" w:cs="宋体"/>
          <w:b/>
          <w:bCs w:val="0"/>
          <w:color w:val="000000"/>
          <w:sz w:val="32"/>
          <w:szCs w:val="32"/>
          <w:highlight w:val="none"/>
          <w:lang w:val="en-US" w:eastAsia="zh-CN" w:bidi="ar-SA"/>
        </w:rPr>
        <w:t xml:space="preserve">十</w:t>
      </w:r>
      <w:r>
        <w:rPr>
          <w:rFonts w:hint="eastAsia" w:ascii="宋体" w:hAnsi="宋体" w:eastAsia="宋体" w:cs="宋体"/>
          <w:b/>
          <w:bCs w:val="0"/>
          <w:color w:val="000000"/>
          <w:sz w:val="32"/>
          <w:szCs w:val="32"/>
          <w:highlight w:val="none"/>
          <w:lang w:val="zh-CN" w:eastAsia="zh-CN" w:bidi="ar-SA"/>
        </w:rPr>
        <w:t xml:space="preserve">、项目实施方案（格式自拟）</w:t>
      </w:r>
      <w:r>
        <w:rPr>
          <w:rFonts w:hint="eastAsia" w:ascii="宋体" w:hAnsi="宋体" w:eastAsia="宋体" w:cs="宋体"/>
          <w:b/>
          <w:bCs w:val="0"/>
          <w:color w:val="000000"/>
          <w:sz w:val="32"/>
          <w:szCs w:val="32"/>
          <w:highlight w:val="none"/>
          <w:lang w:val="en-US" w:eastAsia="zh-CN" w:bidi="ar-SA"/>
        </w:rPr>
        <w:t xml:space="preserve">十一</w:t>
      </w:r>
      <w:r>
        <w:rPr>
          <w:rFonts w:hint="eastAsia" w:ascii="宋体" w:hAnsi="宋体" w:eastAsia="宋体" w:cs="宋体"/>
          <w:b/>
          <w:bCs w:val="0"/>
          <w:color w:val="000000"/>
          <w:sz w:val="32"/>
          <w:szCs w:val="32"/>
          <w:highlight w:val="none"/>
          <w:lang w:val="zh-CN" w:eastAsia="zh-CN" w:bidi="ar-SA"/>
        </w:rPr>
        <w:t xml:space="preserve">、售后服务方案（格式自拟）</w:t>
      </w:r>
      <w:r>
        <w:rPr>
          <w:rFonts w:hint="eastAsia" w:ascii="宋体" w:hAnsi="宋体" w:eastAsia="宋体" w:cs="宋体"/>
          <w:b/>
          <w:bCs w:val="0"/>
          <w:color w:val="000000"/>
          <w:sz w:val="32"/>
          <w:szCs w:val="32"/>
          <w:highlight w:val="none"/>
          <w:lang w:val="en-US" w:eastAsia="zh-CN" w:bidi="ar-SA"/>
        </w:rPr>
        <w:t xml:space="preserve">十二</w:t>
      </w:r>
      <w:r>
        <w:rPr>
          <w:rFonts w:hint="eastAsia" w:ascii="宋体" w:hAnsi="宋体" w:eastAsia="宋体" w:cs="宋体"/>
          <w:b/>
          <w:bCs w:val="0"/>
          <w:color w:val="000000"/>
          <w:sz w:val="32"/>
          <w:szCs w:val="32"/>
          <w:highlight w:val="none"/>
          <w:lang w:val="zh-CN" w:eastAsia="zh-CN" w:bidi="ar-SA"/>
        </w:rPr>
        <w:t xml:space="preserve">、</w:t>
      </w:r>
      <w:r>
        <w:rPr>
          <w:rFonts w:hint="eastAsia" w:ascii="宋体" w:hAnsi="宋体" w:eastAsia="宋体" w:cs="宋体"/>
          <w:b/>
          <w:bCs w:val="0"/>
          <w:color w:val="000000"/>
          <w:sz w:val="32"/>
          <w:szCs w:val="32"/>
          <w:highlight w:val="none"/>
          <w:rtl w:val="0"/>
          <w:lang w:val="zh-CN" w:eastAsia="zh-CN" w:bidi="ar-SA"/>
        </w:rPr>
        <w:t xml:space="preserve">培训及技术支持方案</w:t>
      </w:r>
      <w:r>
        <w:rPr>
          <w:rFonts w:hint="eastAsia" w:ascii="宋体" w:hAnsi="宋体" w:eastAsia="宋体" w:cs="宋体"/>
          <w:b/>
          <w:bCs w:val="0"/>
          <w:color w:val="000000"/>
          <w:sz w:val="32"/>
          <w:szCs w:val="32"/>
          <w:highlight w:val="none"/>
          <w:lang w:val="zh-CN" w:eastAsia="zh-CN" w:bidi="ar-SA"/>
        </w:rPr>
        <w:t xml:space="preserve">（格式自拟）</w:t>
      </w: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三</w:t>
      </w:r>
      <w:r>
        <w:rPr>
          <w:rFonts w:hint="eastAsia" w:ascii="宋体" w:hAnsi="宋体" w:eastAsia="宋体" w:cs="宋体"/>
          <w:b/>
          <w:bCs/>
          <w:color w:val="000000"/>
          <w:sz w:val="32"/>
          <w:szCs w:val="32"/>
          <w:highlight w:val="none"/>
        </w:rPr>
        <w:t xml:space="preserve">、投标所需其他材料</w:t>
      </w:r>
      <w:bookmarkEnd w:id="164"/>
      <w:r/>
      <w:bookmarkEnd w:id="165"/>
      <w:r>
        <w:rPr>
          <w:rFonts w:hint="eastAsia" w:ascii="宋体" w:hAnsi="宋体" w:eastAsia="宋体" w:cs="宋体"/>
          <w:b/>
          <w:bCs/>
          <w:color w:val="000000"/>
          <w:szCs w:val="32"/>
          <w:highlight w:val="none"/>
        </w:rPr>
      </w:r>
      <w:r/>
    </w:p>
    <w:p>
      <w:pPr>
        <w:pStyle w:val="105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请在此文档中增加投标所需其他相关内容（包括评分办法、采购需求中涉及的证件证明及其它</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认为有必要提供的资料），如没有请将此空文档上传。</w:t>
      </w:r>
      <w:r>
        <w:rPr>
          <w:rFonts w:hint="eastAsia" w:ascii="宋体" w:hAnsi="宋体" w:eastAsia="宋体" w:cs="宋体"/>
          <w:color w:val="000000"/>
          <w:sz w:val="24"/>
          <w:szCs w:val="24"/>
          <w:highlight w:val="none"/>
        </w:rPr>
      </w:r>
      <w:r/>
    </w:p>
    <w:p>
      <w:pPr>
        <w:pStyle w:val="718"/>
        <w:numPr>
          <w:ilvl w:val="0"/>
          <w:numId w:val="0"/>
        </w:numPr>
        <w:jc w:val="both"/>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2"/>
          <w:szCs w:val="32"/>
          <w:highlight w:val="none"/>
          <w:lang w:val="en-US" w:eastAsia="zh-CN"/>
        </w:rPr>
        <w:t xml:space="preserve">附件：</w:t>
      </w:r>
      <w:r>
        <w:rPr>
          <w:rFonts w:hint="eastAsia" w:ascii="宋体" w:hAnsi="宋体" w:eastAsia="宋体" w:cs="宋体"/>
          <w:b/>
          <w:bCs/>
          <w:color w:val="000000"/>
          <w:sz w:val="32"/>
          <w:szCs w:val="32"/>
          <w:highlight w:val="none"/>
        </w:rPr>
        <w:t xml:space="preserve">关于符合本国产品标准的声明函</w:t>
      </w:r>
      <w:r>
        <w:rPr>
          <w:rFonts w:hint="eastAsia" w:ascii="宋体" w:hAnsi="宋体" w:eastAsia="宋体" w:cs="宋体"/>
          <w:b/>
          <w:bCs/>
          <w:color w:val="000000"/>
          <w:sz w:val="32"/>
          <w:szCs w:val="32"/>
          <w:highlight w:val="none"/>
        </w:rPr>
      </w:r>
      <w:r/>
    </w:p>
    <w:p>
      <w:pPr>
        <w:pStyle w:val="718"/>
        <w:numPr>
          <w:ilvl w:val="0"/>
          <w:numId w:val="0"/>
        </w:num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718"/>
        <w:jc w:val="center"/>
        <w:spacing w:line="360" w:lineRule="auto"/>
        <w:rPr>
          <w:rFonts w:hint="eastAsia" w:ascii="宋体" w:hAnsi="宋体" w:eastAsia="宋体" w:cs="宋体"/>
          <w:sz w:val="24"/>
          <w:szCs w:val="24"/>
        </w:rPr>
      </w:pPr>
      <w:r>
        <w:rPr>
          <w:rFonts w:hint="eastAsia" w:ascii="宋体" w:hAnsi="宋体" w:eastAsia="宋体" w:cs="宋体"/>
          <w:b/>
          <w:bCs/>
          <w:sz w:val="32"/>
          <w:szCs w:val="32"/>
        </w:rPr>
        <w:t xml:space="preserve">关于符合本国产品标准的声明函</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本公司 </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郑重声明，根据《国务院办公厅关于在政府采购中实施本国产品标准及相关政策的通知》</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国办发〔2025〕34号</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的规定，本公司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提供的以下产品属于本国产品。具体情况如下：</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u w:val="single"/>
          <w:lang w:val="en-US" w:eastAsia="zh-CN"/>
        </w:rPr>
        <w:t xml:space="preserve">（产品名称1）¹</w:t>
      </w:r>
      <w:r>
        <w:rPr>
          <w:rFonts w:hint="eastAsia" w:ascii="宋体" w:hAnsi="宋体" w:eastAsia="宋体" w:cs="宋体"/>
          <w:sz w:val="24"/>
          <w:szCs w:val="24"/>
          <w:lang w:val="en-US" w:eastAsia="zh-CN"/>
        </w:rPr>
        <w:t xml:space="preserve">，生产厂为</w:t>
      </w:r>
      <w:r>
        <w:rPr>
          <w:rFonts w:hint="eastAsia" w:ascii="宋体" w:hAnsi="宋体" w:eastAsia="宋体" w:cs="宋体"/>
          <w:sz w:val="24"/>
          <w:szCs w:val="24"/>
          <w:u w:val="single"/>
          <w:lang w:val="en-US" w:eastAsia="zh-CN"/>
        </w:rPr>
        <w:t xml:space="preserve">（厂名）</w:t>
      </w:r>
      <w:r>
        <w:rPr>
          <w:rFonts w:hint="eastAsia" w:ascii="宋体" w:hAnsi="宋体" w:eastAsia="宋体" w:cs="宋体"/>
          <w:sz w:val="24"/>
          <w:szCs w:val="24"/>
          <w:lang w:val="en-US" w:eastAsia="zh-CN"/>
        </w:rPr>
        <w:t xml:space="preserve">²，厂址为</w:t>
      </w:r>
      <w:r>
        <w:rPr>
          <w:rFonts w:hint="eastAsia" w:ascii="宋体" w:hAnsi="宋体" w:eastAsia="宋体" w:cs="宋体"/>
          <w:sz w:val="24"/>
          <w:szCs w:val="24"/>
          <w:u w:val="single"/>
          <w:lang w:val="en-US" w:eastAsia="zh-CN"/>
        </w:rPr>
        <w:t xml:space="preserve">（生产厂址）</w:t>
      </w:r>
      <w:r>
        <w:rPr>
          <w:rFonts w:hint="eastAsia" w:ascii="宋体" w:hAnsi="宋体" w:eastAsia="宋体" w:cs="宋体"/>
          <w:sz w:val="24"/>
          <w:szCs w:val="24"/>
          <w:lang w:val="en-US" w:eastAsia="zh-CN"/>
        </w:rPr>
        <w:t xml:space="preserve">。</w:t>
      </w:r>
      <w:r>
        <w:rPr>
          <w:rFonts w:hint="eastAsia" w:ascii="宋体" w:hAnsi="宋体" w:eastAsia="宋体" w:cs="宋体"/>
          <w:i w:val="0"/>
          <w:iCs w:val="0"/>
          <w:strike/>
          <w:sz w:val="24"/>
          <w:szCs w:val="24"/>
          <w:highlight w:val="yellow"/>
          <w:lang w:val="en-US" w:eastAsia="zh-CN"/>
        </w:rPr>
        <w:t xml:space="preserve">（产品名称1）</w:t>
      </w:r>
      <w:r>
        <w:rPr>
          <w:rFonts w:hint="eastAsia" w:ascii="宋体" w:hAnsi="宋体" w:eastAsia="宋体" w:cs="宋体"/>
          <w:sz w:val="24"/>
          <w:szCs w:val="24"/>
          <w:lang w:val="en-US" w:eastAsia="zh-CN"/>
        </w:rPr>
        <w:t xml:space="preserve">的中国境内生产的组件成本占比</w:t>
      </w:r>
      <w:r>
        <w:rPr>
          <w:rFonts w:hint="eastAsia" w:ascii="宋体" w:hAnsi="宋体" w:eastAsia="宋体" w:cs="宋体"/>
          <w:strike/>
          <w:sz w:val="24"/>
          <w:szCs w:val="24"/>
          <w:highlight w:val="yellow"/>
          <w:lang w:val="en-US" w:eastAsia="zh-CN"/>
        </w:rPr>
        <w:t xml:space="preserve">（规定比例）</w:t>
      </w:r>
      <w:r>
        <w:rPr>
          <w:rFonts w:hint="eastAsia" w:ascii="宋体" w:hAnsi="宋体" w:eastAsia="宋体" w:cs="宋体"/>
          <w:sz w:val="24"/>
          <w:szCs w:val="24"/>
          <w:lang w:val="en-US" w:eastAsia="zh-CN"/>
        </w:rPr>
        <w:t xml:space="preserve">³。</w:t>
      </w:r>
      <w:r>
        <w:rPr>
          <w:rFonts w:hint="eastAsia" w:ascii="宋体" w:hAnsi="宋体" w:eastAsia="宋体" w:cs="宋体"/>
          <w:strike/>
          <w:sz w:val="24"/>
          <w:szCs w:val="24"/>
          <w:highlight w:val="yellow"/>
          <w:lang w:val="en-US" w:eastAsia="zh-CN"/>
        </w:rPr>
        <w:t xml:space="preserve">（产品名称1）</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（关键组件）</w:t>
      </w:r>
      <w:r>
        <w:rPr>
          <w:rFonts w:hint="eastAsia" w:ascii="宋体" w:hAnsi="宋体" w:eastAsia="宋体" w:cs="宋体"/>
          <w:b w:val="0"/>
          <w:bCs w:val="0"/>
          <w:sz w:val="24"/>
          <w:szCs w:val="24"/>
          <w:lang w:val="en-US" w:eastAsia="zh-CN"/>
        </w:rPr>
        <w:t xml:space="preserve">⁴</w:t>
      </w:r>
      <w:r>
        <w:rPr>
          <w:rFonts w:hint="eastAsia" w:ascii="宋体" w:hAnsi="宋体" w:eastAsia="宋体" w:cs="宋体"/>
          <w:sz w:val="24"/>
          <w:szCs w:val="24"/>
          <w:lang w:val="en-US" w:eastAsia="zh-CN"/>
        </w:rPr>
        <w:t xml:space="preserve">在中国境内生产。</w:t>
      </w:r>
      <w:r>
        <w:rPr>
          <w:rFonts w:hint="eastAsia" w:ascii="宋体" w:hAnsi="宋体" w:eastAsia="宋体" w:cs="宋体"/>
          <w:strike/>
          <w:sz w:val="24"/>
          <w:szCs w:val="24"/>
          <w:highlight w:val="yellow"/>
          <w:lang w:val="en-US" w:eastAsia="zh-CN"/>
        </w:rPr>
        <w:t xml:space="preserve">（产品名称1）</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（关键工序）</w:t>
      </w:r>
      <w:r>
        <w:rPr>
          <w:rFonts w:hint="eastAsia" w:ascii="宋体" w:hAnsi="宋体" w:eastAsia="宋体" w:cs="宋体"/>
          <w:b w:val="0"/>
          <w:bCs w:val="0"/>
          <w:sz w:val="24"/>
          <w:szCs w:val="24"/>
          <w:lang w:val="en-US" w:eastAsia="zh-CN"/>
        </w:rPr>
        <w:t xml:space="preserve">⁵</w:t>
      </w:r>
      <w:r>
        <w:rPr>
          <w:rFonts w:hint="eastAsia" w:ascii="宋体" w:hAnsi="宋体" w:eastAsia="宋体" w:cs="宋体"/>
          <w:sz w:val="24"/>
          <w:szCs w:val="24"/>
          <w:lang w:val="en-US" w:eastAsia="zh-CN"/>
        </w:rPr>
        <w:t xml:space="preserve">在中国境内完成。</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u w:val="single"/>
          <w:lang w:val="en-US" w:eastAsia="zh-CN"/>
        </w:rPr>
        <w:t xml:space="preserve">（产品名称2）</w:t>
      </w:r>
      <w:r>
        <w:rPr>
          <w:rFonts w:hint="eastAsia" w:ascii="宋体" w:hAnsi="宋体" w:eastAsia="宋体" w:cs="宋体"/>
          <w:sz w:val="24"/>
          <w:szCs w:val="24"/>
          <w:lang w:val="en-US" w:eastAsia="zh-CN"/>
        </w:rPr>
        <w:t xml:space="preserve">，生产厂为</w:t>
      </w:r>
      <w:r>
        <w:rPr>
          <w:rFonts w:hint="eastAsia" w:ascii="宋体" w:hAnsi="宋体" w:eastAsia="宋体" w:cs="宋体"/>
          <w:sz w:val="24"/>
          <w:szCs w:val="24"/>
          <w:u w:val="single"/>
          <w:lang w:val="en-US" w:eastAsia="zh-CN"/>
        </w:rPr>
        <w:t xml:space="preserve">（厂名）</w:t>
      </w:r>
      <w:r>
        <w:rPr>
          <w:rFonts w:hint="eastAsia" w:ascii="宋体" w:hAnsi="宋体" w:eastAsia="宋体" w:cs="宋体"/>
          <w:sz w:val="24"/>
          <w:szCs w:val="24"/>
          <w:lang w:val="en-US" w:eastAsia="zh-CN"/>
        </w:rPr>
        <w:t xml:space="preserve">，厂址为</w:t>
      </w:r>
      <w:r>
        <w:rPr>
          <w:rFonts w:hint="eastAsia" w:ascii="宋体" w:hAnsi="宋体" w:eastAsia="宋体" w:cs="宋体"/>
          <w:sz w:val="24"/>
          <w:szCs w:val="24"/>
          <w:u w:val="single"/>
          <w:lang w:val="en-US" w:eastAsia="zh-CN"/>
        </w:rPr>
        <w:t xml:space="preserve">（生产厂址）</w:t>
      </w:r>
      <w:r>
        <w:rPr>
          <w:rFonts w:hint="eastAsia" w:ascii="宋体" w:hAnsi="宋体" w:eastAsia="宋体" w:cs="宋体"/>
          <w:sz w:val="24"/>
          <w:szCs w:val="24"/>
          <w:lang w:val="en-US" w:eastAsia="zh-CN"/>
        </w:rPr>
        <w:t xml:space="preserve">。</w:t>
      </w:r>
      <w:r>
        <w:rPr>
          <w:rFonts w:hint="eastAsia" w:ascii="宋体" w:hAnsi="宋体" w:eastAsia="宋体" w:cs="宋体"/>
          <w:strike/>
          <w:sz w:val="24"/>
          <w:szCs w:val="24"/>
          <w:highlight w:val="yellow"/>
          <w:lang w:val="en-US" w:eastAsia="zh-CN"/>
        </w:rPr>
        <w:t xml:space="preserve">（产品名称2）</w:t>
      </w:r>
      <w:r>
        <w:rPr>
          <w:rFonts w:hint="eastAsia" w:ascii="宋体" w:hAnsi="宋体" w:eastAsia="宋体" w:cs="宋体"/>
          <w:sz w:val="24"/>
          <w:szCs w:val="24"/>
          <w:lang w:val="en-US" w:eastAsia="zh-CN"/>
        </w:rPr>
        <w:t xml:space="preserve">的中国境内生产的组件成本占比≥</w:t>
      </w:r>
      <w:r>
        <w:rPr>
          <w:rFonts w:hint="eastAsia" w:ascii="宋体" w:hAnsi="宋体" w:eastAsia="宋体" w:cs="宋体"/>
          <w:strike/>
          <w:sz w:val="24"/>
          <w:szCs w:val="24"/>
          <w:highlight w:val="yellow"/>
          <w:lang w:val="en-US" w:eastAsia="zh-CN"/>
        </w:rPr>
        <w:t xml:space="preserve">（规定比例）</w:t>
      </w:r>
      <w:r>
        <w:rPr>
          <w:rFonts w:hint="eastAsia" w:ascii="宋体" w:hAnsi="宋体" w:eastAsia="宋体" w:cs="宋体"/>
          <w:sz w:val="24"/>
          <w:szCs w:val="24"/>
          <w:lang w:val="en-US" w:eastAsia="zh-CN"/>
        </w:rPr>
        <w:t xml:space="preserve">。</w:t>
      </w:r>
      <w:r>
        <w:rPr>
          <w:rFonts w:hint="eastAsia" w:ascii="宋体" w:hAnsi="宋体" w:eastAsia="宋体" w:cs="宋体"/>
          <w:strike/>
          <w:sz w:val="24"/>
          <w:szCs w:val="24"/>
          <w:highlight w:val="yellow"/>
          <w:lang w:val="en-US" w:eastAsia="zh-CN"/>
        </w:rPr>
        <w:t xml:space="preserve">（产品名称2）</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（关键组件）</w:t>
      </w:r>
      <w:r>
        <w:rPr>
          <w:rFonts w:hint="eastAsia" w:ascii="宋体" w:hAnsi="宋体" w:eastAsia="宋体" w:cs="宋体"/>
          <w:sz w:val="24"/>
          <w:szCs w:val="24"/>
          <w:lang w:val="en-US" w:eastAsia="zh-CN"/>
        </w:rPr>
        <w:t xml:space="preserve">在中国境内生产。</w:t>
      </w:r>
      <w:r>
        <w:rPr>
          <w:rFonts w:hint="eastAsia" w:ascii="宋体" w:hAnsi="宋体" w:eastAsia="宋体" w:cs="宋体"/>
          <w:strike/>
          <w:sz w:val="24"/>
          <w:szCs w:val="24"/>
          <w:highlight w:val="yellow"/>
          <w:lang w:val="en-US" w:eastAsia="zh-CN"/>
        </w:rPr>
        <w:t xml:space="preserve">（产品名称2）</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（关键工序）</w:t>
      </w:r>
      <w:r>
        <w:rPr>
          <w:rFonts w:hint="eastAsia" w:ascii="宋体" w:hAnsi="宋体" w:eastAsia="宋体" w:cs="宋体"/>
          <w:sz w:val="24"/>
          <w:szCs w:val="24"/>
          <w:lang w:val="en-US" w:eastAsia="zh-CN"/>
        </w:rPr>
        <w:t xml:space="preserve">在中国境内完成。</w:t>
      </w:r>
      <w:r>
        <w:rPr>
          <w:rFonts w:hint="eastAsia" w:ascii="宋体" w:hAnsi="宋体" w:eastAsia="宋体" w:cs="宋体"/>
          <w:sz w:val="24"/>
          <w:szCs w:val="24"/>
        </w:rPr>
      </w:r>
      <w:r/>
    </w:p>
    <w:p>
      <w:pPr>
        <w:pStyle w:val="718"/>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（注：若有更多产品，可按上述格式依次增加条目）</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本公司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对上述声明内容的真实性负责。如有虚假，愿承担相应法律责任。</w:t>
      </w:r>
      <w:r>
        <w:rPr>
          <w:rFonts w:hint="eastAsia" w:ascii="宋体" w:hAnsi="宋体" w:eastAsia="宋体" w:cs="宋体"/>
          <w:sz w:val="24"/>
          <w:szCs w:val="24"/>
        </w:rPr>
      </w:r>
      <w:r/>
    </w:p>
    <w:p>
      <w:pPr>
        <w:pStyle w:val="718"/>
        <w:jc w:val="righ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公司 </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名称 </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盖章</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：____________________</w:t>
      </w:r>
      <w:r>
        <w:rPr>
          <w:rFonts w:hint="eastAsia" w:ascii="宋体" w:hAnsi="宋体" w:eastAsia="宋体" w:cs="宋体"/>
          <w:sz w:val="24"/>
          <w:szCs w:val="24"/>
        </w:rPr>
      </w:r>
      <w:r/>
    </w:p>
    <w:p>
      <w:pPr>
        <w:pStyle w:val="718"/>
        <w:jc w:val="righ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日期：______年____月____日</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rPr>
        <w:t xml:space="preserve">填写说明：</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产品如有型号，请在“产品名称”栏一并填写。</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生产厂名与厂址应与生产厂营业执照载明的相关信息保持一致。</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该产品的中国境内生产的组件成本占比相关要求实施前，“规定比例”栏可不填，下同。</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该产品的关键组件要求实施前，“关键组件”栏可不填，下同。</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该产品的关键工序要求实施前，“关键工序”栏可不填，下同。</w:t>
      </w:r>
      <w:r>
        <w:rPr>
          <w:rFonts w:hint="eastAsia" w:ascii="宋体" w:hAnsi="宋体" w:eastAsia="宋体" w:cs="宋体"/>
          <w:sz w:val="24"/>
          <w:szCs w:val="24"/>
        </w:rPr>
      </w:r>
      <w:r/>
    </w:p>
    <w:p>
      <w:pPr>
        <w:pStyle w:val="718"/>
        <w:numPr>
          <w:ilvl w:val="0"/>
          <w:numId w:val="0"/>
        </w:numPr>
        <w:jc w:val="both"/>
        <w:spacing w:line="360" w:lineRule="auto"/>
        <w:rPr>
          <w:rFonts w:hint="eastAsia" w:ascii="宋体" w:hAnsi="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6.</w:t>
      </w:r>
      <w:r>
        <w:rPr>
          <w:rFonts w:hint="eastAsia" w:ascii="宋体" w:hAnsi="宋体" w:cs="宋体"/>
          <w:b/>
          <w:bCs/>
          <w:color w:val="ff0000"/>
          <w:sz w:val="24"/>
          <w:szCs w:val="24"/>
          <w:highlight w:val="yellow"/>
          <w:lang w:val="en-US" w:eastAsia="zh-CN"/>
        </w:rPr>
        <w:t xml:space="preserve">标黄部分</w:t>
      </w:r>
      <w:r>
        <w:rPr>
          <w:rFonts w:hint="eastAsia" w:ascii="宋体" w:hAnsi="宋体" w:cs="宋体"/>
          <w:b/>
          <w:bCs/>
          <w:color w:val="ff0000"/>
          <w:sz w:val="24"/>
          <w:szCs w:val="24"/>
          <w:highlight w:val="none"/>
          <w:lang w:val="en-US" w:eastAsia="zh-CN"/>
        </w:rPr>
        <w:t xml:space="preserve">及用</w:t>
      </w:r>
      <w:r>
        <w:rPr>
          <w:rFonts w:hint="eastAsia" w:ascii="宋体" w:hAnsi="宋体" w:cs="宋体"/>
          <w:b/>
          <w:bCs/>
          <w:color w:val="ff0000"/>
          <w:sz w:val="24"/>
          <w:szCs w:val="24"/>
          <w:lang w:val="en-US" w:eastAsia="zh-CN"/>
        </w:rPr>
        <w:t xml:space="preserve">删除线</w:t>
      </w:r>
      <w:r>
        <w:rPr>
          <w:rFonts w:hint="eastAsia" w:ascii="宋体" w:hAnsi="宋体" w:cs="宋体"/>
          <w:b/>
          <w:bCs/>
          <w:strike/>
          <w:color w:val="ff0000"/>
          <w:sz w:val="24"/>
          <w:szCs w:val="24"/>
          <w:lang w:val="en-US" w:eastAsia="zh-CN"/>
        </w:rPr>
        <w:t xml:space="preserve">（A）</w:t>
      </w:r>
      <w:r>
        <w:rPr>
          <w:rFonts w:hint="eastAsia" w:ascii="宋体" w:hAnsi="宋体" w:eastAsia="宋体" w:cs="宋体"/>
          <w:b/>
          <w:bCs/>
          <w:color w:val="ff0000"/>
          <w:sz w:val="24"/>
          <w:szCs w:val="24"/>
          <w:lang w:val="en-US" w:eastAsia="zh-CN"/>
        </w:rPr>
        <w:t xml:space="preserve">划除的地方无需填写</w:t>
      </w:r>
      <w:r>
        <w:rPr>
          <w:rFonts w:hint="eastAsia" w:ascii="宋体" w:hAnsi="宋体" w:cs="宋体"/>
          <w:b/>
          <w:bCs/>
          <w:color w:val="ff0000"/>
          <w:sz w:val="24"/>
          <w:szCs w:val="24"/>
          <w:lang w:val="en-US" w:eastAsia="zh-CN"/>
        </w:rPr>
        <w:t xml:space="preserve">。</w:t>
      </w:r>
      <w:r>
        <w:rPr>
          <w:rFonts w:hint="eastAsia" w:ascii="宋体" w:hAnsi="宋体" w:cs="宋体"/>
          <w:b/>
          <w:bCs/>
          <w:color w:val="ff0000"/>
          <w:sz w:val="24"/>
          <w:szCs w:val="24"/>
          <w:lang w:val="en-US" w:eastAsia="zh-CN"/>
        </w:rPr>
      </w:r>
      <w:r/>
    </w:p>
    <w:p>
      <w:pPr>
        <w:pStyle w:val="718"/>
        <w:numPr>
          <w:ilvl w:val="0"/>
          <w:numId w:val="0"/>
        </w:num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7.《关于符合本国产品标准的声明函》作为企业报价折扣证明使用。</w:t>
      </w:r>
      <w:r>
        <w:rPr>
          <w:rFonts w:hint="eastAsia" w:ascii="宋体" w:hAnsi="宋体" w:eastAsia="宋体" w:cs="宋体"/>
          <w:sz w:val="24"/>
          <w:szCs w:val="24"/>
          <w:lang w:val="en-US" w:eastAsia="zh-CN"/>
        </w:rPr>
      </w:r>
      <w:r/>
    </w:p>
    <w:p>
      <w:pPr>
        <w:pStyle w:val="718"/>
        <w:numPr>
          <w:ilvl w:val="0"/>
          <w:numId w:val="0"/>
        </w:numPr>
        <w:jc w:val="center"/>
        <w:spacing w:line="360" w:lineRule="auto"/>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718"/>
        <w:numPr>
          <w:ilvl w:val="0"/>
          <w:numId w:val="0"/>
        </w:numPr>
        <w:jc w:val="center"/>
        <w:spacing w:line="360" w:lineRule="auto"/>
        <w:rPr>
          <w:rFonts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718"/>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718"/>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签章</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                   公章：                      </w:t>
      </w:r>
      <w:r>
        <w:rPr>
          <w:rFonts w:ascii="Times New Roman" w:hAnsi="Times New Roman"/>
          <w:caps w:val="0"/>
          <w:color w:val="000000"/>
          <w:sz w:val="24"/>
          <w:szCs w:val="24"/>
        </w:rPr>
      </w:r>
      <w:r/>
    </w:p>
    <w:p>
      <w:pPr>
        <w:pStyle w:val="718"/>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718"/>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br w:type="page" w:clear="all"/>
      </w: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提出质疑时，应提交质疑函和必要的证明材料。</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若委托代理人进行质疑的，质疑函应按要求列明“授权代表”的有关内容，并在附件中提交由质疑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3.质疑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若对项目的某一分包进行质疑，质疑函中应列明具体分包号。</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4.质疑函的质疑事项应具体、明确，并有必要的事实依据和法律依据。</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5.质疑函的质疑请求应与质疑事项相关。</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6.质疑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为自然人的，质疑函应由本人签字；质疑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tabs>
        <w:tab w:val="center" w:pos="4153" w:leader="none"/>
        <w:tab w:val="right" w:pos="8306" w:leader="none"/>
      </w:tabs>
    </w:pPr>
    <w:r/>
    <w:r/>
  </w:p>
  <w:p>
    <w:pPr>
      <w:pStyle w:val="7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5017770</wp:posOffset>
              </wp:positionH>
              <wp:positionV relativeFrom="paragraph">
                <wp:posOffset>-123189</wp:posOffset>
              </wp:positionV>
              <wp:extent cx="1043305" cy="2082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772"/>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1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395.1pt;mso-position-horizontal:absolute;mso-position-vertical-relative:text;margin-top:-9.7pt;mso-position-vertical:absolute;width:82.1pt;height:16.4pt;mso-wrap-distance-left:9.0pt;mso-wrap-distance-top:0.0pt;mso-wrap-distance-right:9.0pt;mso-wrap-distance-bottom:0.0pt;visibility:visible;" filled="f" stroked="f">
              <v:textbox inset="0,0,0,0">
                <w:txbxContent>
                  <w:p>
                    <w:pPr>
                      <w:pStyle w:val="772"/>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18"/>
                    </w:pPr>
                    <w:r/>
                    <w:r/>
                  </w:p>
                </w:txbxContent>
              </v:textbox>
            </v:shape>
          </w:pict>
        </mc:Fallback>
      </mc:AlternateContent>
    </w:r>
    <w:r/>
  </w:p>
  <w:p>
    <w:pPr>
      <w:pStyle w:val="77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3">
    <w:multiLevelType w:val="hybridMultilevel"/>
    <w:lvl w:ilvl="0">
      <w:start w:val="1"/>
      <w:numFmt w:val="decimal"/>
      <w:pStyle w:val="1125"/>
      <w:isLgl w:val="false"/>
      <w:suff w:val="nothing"/>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4">
    <w:multiLevelType w:val="hybridMultilevel"/>
    <w:lvl w:ilvl="0">
      <w:start w:val="1"/>
      <w:numFmt w:val="chineseCounting"/>
      <w:pStyle w:val="1140"/>
      <w:isLgl w:val="false"/>
      <w:suff w:val="nothing"/>
      <w:lvlText w:val="%1、"/>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5">
    <w:multiLevelType w:val="hybridMultilevel"/>
    <w:lvl w:ilvl="0">
      <w:start w:val="5"/>
      <w:numFmt w:val="japaneseCounting"/>
      <w:isLgl w:val="false"/>
      <w:suff w:val="tab"/>
      <w:lvlText w:val="第%1条"/>
      <w:lvlJc w:val="left"/>
      <w:pPr>
        <w:pStyle w:val="718"/>
        <w:ind w:left="1247" w:hanging="765"/>
      </w:pPr>
    </w:lvl>
    <w:lvl w:ilvl="1">
      <w:start w:val="1"/>
      <w:numFmt w:val="lowerLetter"/>
      <w:isLgl w:val="false"/>
      <w:suff w:val="tab"/>
      <w:lvlText w:val="%2)"/>
      <w:lvlJc w:val="left"/>
      <w:pPr>
        <w:pStyle w:val="718"/>
        <w:ind w:left="1322" w:hanging="420"/>
      </w:pPr>
    </w:lvl>
    <w:lvl w:ilvl="2">
      <w:start w:val="1"/>
      <w:numFmt w:val="lowerRoman"/>
      <w:isLgl w:val="false"/>
      <w:suff w:val="tab"/>
      <w:lvlText w:val="%3."/>
      <w:lvlJc w:val="right"/>
      <w:pPr>
        <w:pStyle w:val="718"/>
        <w:ind w:left="1742" w:hanging="420"/>
      </w:pPr>
    </w:lvl>
    <w:lvl w:ilvl="3">
      <w:start w:val="1"/>
      <w:numFmt w:val="decimal"/>
      <w:isLgl w:val="false"/>
      <w:suff w:val="tab"/>
      <w:lvlText w:val="%4."/>
      <w:lvlJc w:val="left"/>
      <w:pPr>
        <w:pStyle w:val="718"/>
        <w:ind w:left="2162" w:hanging="420"/>
      </w:pPr>
    </w:lvl>
    <w:lvl w:ilvl="4">
      <w:start w:val="1"/>
      <w:numFmt w:val="lowerLetter"/>
      <w:isLgl w:val="false"/>
      <w:suff w:val="tab"/>
      <w:lvlText w:val="%5)"/>
      <w:lvlJc w:val="left"/>
      <w:pPr>
        <w:pStyle w:val="718"/>
        <w:ind w:left="2582" w:hanging="420"/>
      </w:pPr>
    </w:lvl>
    <w:lvl w:ilvl="5">
      <w:start w:val="1"/>
      <w:numFmt w:val="lowerRoman"/>
      <w:isLgl w:val="false"/>
      <w:suff w:val="tab"/>
      <w:lvlText w:val="%6."/>
      <w:lvlJc w:val="right"/>
      <w:pPr>
        <w:pStyle w:val="718"/>
        <w:ind w:left="3002" w:hanging="420"/>
      </w:pPr>
    </w:lvl>
    <w:lvl w:ilvl="6">
      <w:start w:val="1"/>
      <w:numFmt w:val="decimal"/>
      <w:isLgl w:val="false"/>
      <w:suff w:val="tab"/>
      <w:lvlText w:val="%7."/>
      <w:lvlJc w:val="left"/>
      <w:pPr>
        <w:pStyle w:val="718"/>
        <w:ind w:left="3422" w:hanging="420"/>
      </w:pPr>
    </w:lvl>
    <w:lvl w:ilvl="7">
      <w:start w:val="1"/>
      <w:numFmt w:val="lowerLetter"/>
      <w:isLgl w:val="false"/>
      <w:suff w:val="tab"/>
      <w:lvlText w:val="%8)"/>
      <w:lvlJc w:val="left"/>
      <w:pPr>
        <w:pStyle w:val="718"/>
        <w:ind w:left="3842" w:hanging="420"/>
      </w:pPr>
    </w:lvl>
    <w:lvl w:ilvl="8">
      <w:start w:val="1"/>
      <w:numFmt w:val="lowerRoman"/>
      <w:isLgl w:val="false"/>
      <w:suff w:val="tab"/>
      <w:lvlText w:val="%9."/>
      <w:lvlJc w:val="right"/>
      <w:pPr>
        <w:pStyle w:val="718"/>
        <w:ind w:left="4262" w:hanging="420"/>
      </w:pPr>
    </w:lvl>
  </w:abstractNum>
  <w:abstractNum w:abstractNumId="6">
    <w:multiLevelType w:val="hybridMultilevel"/>
    <w:lvl w:ilvl="0">
      <w:start w:val="7"/>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2"/>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8"/>
    <w:next w:val="718"/>
    <w:link w:val="861"/>
    <w:uiPriority w:val="9"/>
    <w:qFormat/>
    <w:pPr>
      <w:keepLines/>
      <w:keepNext/>
      <w:spacing w:before="480" w:after="200"/>
      <w:outlineLvl w:val="0"/>
    </w:pPr>
    <w:rPr>
      <w:rFonts w:ascii="Arial" w:hAnsi="Arial" w:eastAsia="Arial" w:cs="Arial"/>
      <w:sz w:val="40"/>
      <w:szCs w:val="40"/>
    </w:rPr>
  </w:style>
  <w:style w:type="paragraph" w:styleId="14">
    <w:name w:val="Heading 2"/>
    <w:basedOn w:val="718"/>
    <w:next w:val="718"/>
    <w:link w:val="862"/>
    <w:uiPriority w:val="9"/>
    <w:unhideWhenUsed/>
    <w:qFormat/>
    <w:pPr>
      <w:keepLines/>
      <w:keepNext/>
      <w:spacing w:before="360" w:after="200"/>
      <w:outlineLvl w:val="1"/>
    </w:pPr>
    <w:rPr>
      <w:rFonts w:ascii="Arial" w:hAnsi="Arial" w:eastAsia="Arial" w:cs="Arial"/>
      <w:sz w:val="34"/>
    </w:rPr>
  </w:style>
  <w:style w:type="paragraph" w:styleId="16">
    <w:name w:val="Heading 3"/>
    <w:basedOn w:val="718"/>
    <w:next w:val="718"/>
    <w:link w:val="86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8"/>
    <w:next w:val="718"/>
    <w:link w:val="86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8"/>
    <w:next w:val="718"/>
    <w:link w:val="86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8"/>
    <w:next w:val="718"/>
    <w:link w:val="86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8"/>
    <w:next w:val="718"/>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8"/>
    <w:next w:val="718"/>
    <w:link w:val="86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8"/>
    <w:next w:val="718"/>
    <w:link w:val="86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8"/>
    <w:next w:val="718"/>
    <w:link w:val="870"/>
    <w:uiPriority w:val="10"/>
    <w:qFormat/>
    <w:pPr>
      <w:contextualSpacing/>
      <w:spacing w:before="300" w:after="200"/>
    </w:pPr>
    <w:rPr>
      <w:sz w:val="48"/>
      <w:szCs w:val="48"/>
    </w:rPr>
  </w:style>
  <w:style w:type="paragraph" w:styleId="35">
    <w:name w:val="Subtitle"/>
    <w:basedOn w:val="718"/>
    <w:next w:val="718"/>
    <w:link w:val="871"/>
    <w:uiPriority w:val="11"/>
    <w:qFormat/>
    <w:pPr>
      <w:spacing w:before="200" w:after="200"/>
    </w:pPr>
    <w:rPr>
      <w:sz w:val="24"/>
      <w:szCs w:val="24"/>
    </w:rPr>
  </w:style>
  <w:style w:type="paragraph" w:styleId="37">
    <w:name w:val="Quote"/>
    <w:basedOn w:val="718"/>
    <w:next w:val="718"/>
    <w:link w:val="872"/>
    <w:uiPriority w:val="29"/>
    <w:qFormat/>
    <w:pPr>
      <w:ind w:left="720" w:right="720"/>
    </w:pPr>
    <w:rPr>
      <w:i/>
    </w:rPr>
  </w:style>
  <w:style w:type="paragraph" w:styleId="39">
    <w:name w:val="Intense Quote"/>
    <w:basedOn w:val="718"/>
    <w:next w:val="71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8"/>
    <w:link w:val="883"/>
    <w:uiPriority w:val="99"/>
    <w:unhideWhenUsed/>
    <w:pPr>
      <w:spacing w:after="0" w:line="240" w:lineRule="auto"/>
      <w:tabs>
        <w:tab w:val="center" w:pos="7143" w:leader="none"/>
        <w:tab w:val="right" w:pos="14287" w:leader="none"/>
      </w:tabs>
    </w:pPr>
  </w:style>
  <w:style w:type="paragraph" w:styleId="43">
    <w:name w:val="Footer"/>
    <w:basedOn w:val="718"/>
    <w:link w:val="874"/>
    <w:uiPriority w:val="99"/>
    <w:unhideWhenUsed/>
    <w:pPr>
      <w:spacing w:after="0" w:line="240" w:lineRule="auto"/>
      <w:tabs>
        <w:tab w:val="center" w:pos="7143" w:leader="none"/>
        <w:tab w:val="right" w:pos="14287" w:leader="none"/>
      </w:tabs>
    </w:pPr>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8"/>
    <w:link w:val="8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8"/>
    <w:link w:val="87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8"/>
    <w:next w:val="718"/>
    <w:uiPriority w:val="39"/>
    <w:unhideWhenUsed/>
    <w:pPr>
      <w:ind w:left="0" w:right="0" w:firstLine="0"/>
      <w:spacing w:after="57"/>
    </w:p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6">
    <w:name w:val="toc 7"/>
    <w:basedOn w:val="718"/>
    <w:next w:val="718"/>
    <w:uiPriority w:val="39"/>
    <w:unhideWhenUsed/>
    <w:pPr>
      <w:ind w:left="1701"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90">
    <w:name w:val="table of figures"/>
    <w:basedOn w:val="718"/>
    <w:next w:val="718"/>
    <w:uiPriority w:val="99"/>
    <w:unhideWhenUsed/>
    <w:pPr>
      <w:spacing w:after="0" w:afterAutospacing="0"/>
    </w:pPr>
  </w:style>
  <w:style w:type="paragraph" w:styleId="718" w:default="1">
    <w:name w:val="Normal"/>
    <w:next w:val="718"/>
    <w:link w:val="718"/>
    <w:qFormat/>
    <w:pPr>
      <w:jc w:val="both"/>
      <w:widowControl w:val="off"/>
    </w:pPr>
    <w:rPr>
      <w:rFonts w:ascii="Calibri" w:hAnsi="Calibri"/>
      <w:sz w:val="21"/>
      <w:szCs w:val="22"/>
      <w:lang w:val="en-US" w:eastAsia="zh-CN" w:bidi="ar-SA"/>
    </w:rPr>
  </w:style>
  <w:style w:type="paragraph" w:styleId="719">
    <w:name w:val="标题 1"/>
    <w:basedOn w:val="718"/>
    <w:next w:val="718"/>
    <w:link w:val="730"/>
    <w:qFormat/>
    <w:pPr>
      <w:keepLines/>
      <w:keepNext/>
      <w:spacing w:before="480" w:after="200"/>
      <w:outlineLvl w:val="0"/>
    </w:pPr>
    <w:rPr>
      <w:rFonts w:ascii="Arial" w:hAnsi="Arial" w:eastAsia="Arial" w:cs="Arial"/>
      <w:sz w:val="40"/>
      <w:szCs w:val="40"/>
    </w:rPr>
  </w:style>
  <w:style w:type="paragraph" w:styleId="720">
    <w:name w:val="标题 2"/>
    <w:basedOn w:val="718"/>
    <w:next w:val="732"/>
    <w:link w:val="731"/>
    <w:qFormat/>
    <w:pPr>
      <w:keepLines/>
      <w:keepNext/>
      <w:spacing w:before="260" w:after="260" w:line="413" w:lineRule="auto"/>
      <w:outlineLvl w:val="1"/>
    </w:pPr>
    <w:rPr>
      <w:rFonts w:ascii="Arial" w:hAnsi="Arial" w:eastAsia="黑体"/>
      <w:b/>
      <w:sz w:val="32"/>
      <w:szCs w:val="20"/>
    </w:rPr>
  </w:style>
  <w:style w:type="paragraph" w:styleId="721">
    <w:name w:val="标题 3"/>
    <w:basedOn w:val="734"/>
    <w:next w:val="736"/>
    <w:link w:val="735"/>
    <w:qFormat/>
    <w:pPr>
      <w:keepLines/>
      <w:keepNext/>
      <w:spacing w:before="320" w:after="200"/>
      <w:outlineLvl w:val="2"/>
    </w:pPr>
    <w:rPr>
      <w:rFonts w:ascii="Arial" w:hAnsi="Arial" w:eastAsia="Arial" w:cs="Arial"/>
      <w:sz w:val="30"/>
      <w:szCs w:val="30"/>
    </w:rPr>
  </w:style>
  <w:style w:type="paragraph" w:styleId="722">
    <w:name w:val="标题 4"/>
    <w:basedOn w:val="718"/>
    <w:next w:val="718"/>
    <w:link w:val="740"/>
    <w:qFormat/>
    <w:pPr>
      <w:jc w:val="center"/>
      <w:keepNext/>
      <w:outlineLvl w:val="3"/>
    </w:pPr>
    <w:rPr>
      <w:rFonts w:eastAsia="新宋体"/>
      <w:sz w:val="30"/>
      <w:szCs w:val="21"/>
    </w:rPr>
  </w:style>
  <w:style w:type="paragraph" w:styleId="723">
    <w:name w:val="标题 5"/>
    <w:basedOn w:val="718"/>
    <w:next w:val="718"/>
    <w:link w:val="741"/>
    <w:qFormat/>
    <w:pPr>
      <w:keepLines/>
      <w:keepNext/>
      <w:spacing w:before="320" w:after="200"/>
      <w:outlineLvl w:val="4"/>
    </w:pPr>
    <w:rPr>
      <w:rFonts w:ascii="Arial" w:hAnsi="Arial" w:eastAsia="Arial" w:cs="Arial"/>
      <w:b/>
      <w:bCs/>
      <w:sz w:val="24"/>
      <w:szCs w:val="24"/>
    </w:rPr>
  </w:style>
  <w:style w:type="paragraph" w:styleId="724">
    <w:name w:val="标题 6"/>
    <w:basedOn w:val="718"/>
    <w:next w:val="718"/>
    <w:link w:val="742"/>
    <w:qFormat/>
    <w:pPr>
      <w:keepLines/>
      <w:keepNext/>
      <w:spacing w:before="320" w:after="200"/>
      <w:outlineLvl w:val="5"/>
    </w:pPr>
    <w:rPr>
      <w:rFonts w:ascii="Arial" w:hAnsi="Arial" w:eastAsia="Arial" w:cs="Arial"/>
      <w:b/>
      <w:bCs/>
      <w:sz w:val="22"/>
    </w:rPr>
  </w:style>
  <w:style w:type="paragraph" w:styleId="725">
    <w:name w:val="标题 7"/>
    <w:basedOn w:val="718"/>
    <w:next w:val="718"/>
    <w:link w:val="743"/>
    <w:qFormat/>
    <w:pPr>
      <w:keepLines/>
      <w:keepNext/>
      <w:spacing w:before="320" w:after="200"/>
      <w:outlineLvl w:val="6"/>
    </w:pPr>
    <w:rPr>
      <w:rFonts w:ascii="Arial" w:hAnsi="Arial" w:eastAsia="Arial" w:cs="Arial"/>
      <w:b/>
      <w:bCs/>
      <w:i/>
      <w:iCs/>
      <w:sz w:val="22"/>
    </w:rPr>
  </w:style>
  <w:style w:type="paragraph" w:styleId="726">
    <w:name w:val="标题 8"/>
    <w:basedOn w:val="718"/>
    <w:next w:val="718"/>
    <w:link w:val="744"/>
    <w:qFormat/>
    <w:pPr>
      <w:keepLines/>
      <w:keepNext/>
      <w:spacing w:before="320" w:after="200"/>
      <w:outlineLvl w:val="7"/>
    </w:pPr>
    <w:rPr>
      <w:rFonts w:ascii="Arial" w:hAnsi="Arial" w:eastAsia="Arial" w:cs="Arial"/>
      <w:i/>
      <w:iCs/>
      <w:sz w:val="22"/>
    </w:rPr>
  </w:style>
  <w:style w:type="paragraph" w:styleId="727">
    <w:name w:val="标题 9"/>
    <w:basedOn w:val="718"/>
    <w:next w:val="718"/>
    <w:link w:val="745"/>
    <w:qFormat/>
    <w:pPr>
      <w:keepLines/>
      <w:keepNext/>
      <w:spacing w:before="320" w:after="200"/>
      <w:outlineLvl w:val="8"/>
    </w:pPr>
    <w:rPr>
      <w:rFonts w:ascii="Arial" w:hAnsi="Arial" w:eastAsia="Arial" w:cs="Arial"/>
      <w:i/>
      <w:iCs/>
      <w:szCs w:val="21"/>
    </w:rPr>
  </w:style>
  <w:style w:type="character" w:styleId="728">
    <w:name w:val="默认段落字体"/>
    <w:next w:val="728"/>
    <w:link w:val="718"/>
    <w:uiPriority w:val="1"/>
    <w:unhideWhenUsed/>
    <w:qFormat/>
  </w:style>
  <w:style w:type="table" w:styleId="729">
    <w:name w:val="普通表格"/>
    <w:next w:val="729"/>
    <w:link w:val="718"/>
    <w:uiPriority w:val="99"/>
    <w:unhideWhenUsed/>
    <w:qFormat/>
    <w:tblPr/>
  </w:style>
  <w:style w:type="character" w:styleId="730">
    <w:name w:val="标题 1 字符"/>
    <w:next w:val="730"/>
    <w:link w:val="719"/>
    <w:qFormat/>
    <w:rPr>
      <w:rFonts w:ascii="Arial" w:hAnsi="Arial" w:eastAsia="Arial" w:cs="Arial"/>
      <w:sz w:val="40"/>
      <w:szCs w:val="40"/>
    </w:rPr>
  </w:style>
  <w:style w:type="character" w:styleId="731">
    <w:name w:val="标题 2 字符"/>
    <w:next w:val="731"/>
    <w:link w:val="720"/>
    <w:qFormat/>
    <w:rPr>
      <w:rFonts w:ascii="Arial" w:hAnsi="Arial" w:eastAsia="Arial" w:cs="Arial"/>
      <w:sz w:val="34"/>
    </w:rPr>
  </w:style>
  <w:style w:type="paragraph" w:styleId="732">
    <w:name w:val="正文缩进"/>
    <w:basedOn w:val="718"/>
    <w:next w:val="732"/>
    <w:link w:val="733"/>
    <w:qFormat/>
    <w:pPr>
      <w:ind w:firstLine="420"/>
    </w:pPr>
    <w:rPr>
      <w:rFonts w:ascii="宋体"/>
      <w:color w:val="000000"/>
      <w:sz w:val="24"/>
      <w:szCs w:val="20"/>
    </w:rPr>
  </w:style>
  <w:style w:type="character" w:styleId="733">
    <w:name w:val="正文缩进 字符"/>
    <w:next w:val="733"/>
    <w:link w:val="732"/>
    <w:qFormat/>
    <w:rPr>
      <w:rFonts w:ascii="宋体" w:hAnsi="Calibri"/>
      <w:color w:val="000000"/>
      <w:sz w:val="24"/>
    </w:rPr>
  </w:style>
  <w:style w:type="paragraph" w:styleId="734">
    <w:name w:val="Normal1"/>
    <w:next w:val="721"/>
    <w:link w:val="718"/>
    <w:qFormat/>
    <w:pPr>
      <w:jc w:val="both"/>
      <w:widowControl w:val="off"/>
    </w:pPr>
    <w:rPr>
      <w:rFonts w:ascii="Calibri" w:hAnsi="Calibri"/>
      <w:sz w:val="21"/>
      <w:szCs w:val="22"/>
      <w:lang w:val="en-US" w:eastAsia="zh-CN" w:bidi="ar-SA"/>
    </w:rPr>
  </w:style>
  <w:style w:type="character" w:styleId="735">
    <w:name w:val="标题 3 字符"/>
    <w:next w:val="735"/>
    <w:link w:val="721"/>
    <w:qFormat/>
    <w:rPr>
      <w:rFonts w:ascii="Arial" w:hAnsi="Arial" w:eastAsia="Arial" w:cs="Arial"/>
      <w:sz w:val="30"/>
      <w:szCs w:val="30"/>
    </w:rPr>
  </w:style>
  <w:style w:type="paragraph" w:styleId="736">
    <w:name w:val="Normal_19"/>
    <w:next w:val="737"/>
    <w:link w:val="718"/>
    <w:qFormat/>
    <w:rPr>
      <w:rFonts w:ascii="黑体" w:hAnsi="黑体" w:eastAsia="黑体" w:cs="黑体"/>
      <w:b/>
      <w:sz w:val="32"/>
      <w:szCs w:val="24"/>
      <w:lang w:val="en-US" w:eastAsia="zh-CN" w:bidi="ar-SA"/>
    </w:rPr>
  </w:style>
  <w:style w:type="paragraph" w:styleId="737">
    <w:name w:val="Normal1"/>
    <w:next w:val="738"/>
    <w:link w:val="718"/>
    <w:qFormat/>
    <w:pPr>
      <w:jc w:val="both"/>
      <w:widowControl w:val="off"/>
    </w:pPr>
    <w:rPr>
      <w:szCs w:val="21"/>
      <w:lang w:val="en-US" w:eastAsia="zh-CN" w:bidi="ar-SA"/>
    </w:rPr>
  </w:style>
  <w:style w:type="paragraph" w:styleId="738">
    <w:name w:val="Body Text First Indent1"/>
    <w:basedOn w:val="739"/>
    <w:next w:val="738"/>
    <w:link w:val="718"/>
    <w:uiPriority w:val="99"/>
    <w:unhideWhenUsed/>
    <w:qFormat/>
    <w:pPr>
      <w:ind w:firstLine="420"/>
    </w:pPr>
  </w:style>
  <w:style w:type="paragraph" w:styleId="739">
    <w:name w:val="Body Text1"/>
    <w:basedOn w:val="737"/>
    <w:next w:val="739"/>
    <w:link w:val="718"/>
    <w:uiPriority w:val="99"/>
    <w:unhideWhenUsed/>
    <w:qFormat/>
    <w:pPr>
      <w:spacing w:after="120"/>
    </w:pPr>
  </w:style>
  <w:style w:type="character" w:styleId="740">
    <w:name w:val="标题 4 字符"/>
    <w:next w:val="740"/>
    <w:link w:val="722"/>
    <w:qFormat/>
    <w:rPr>
      <w:rFonts w:ascii="Arial" w:hAnsi="Arial" w:eastAsia="Arial" w:cs="Arial"/>
      <w:b/>
      <w:bCs/>
      <w:sz w:val="26"/>
      <w:szCs w:val="26"/>
    </w:rPr>
  </w:style>
  <w:style w:type="character" w:styleId="741">
    <w:name w:val="标题 5 字符"/>
    <w:next w:val="741"/>
    <w:link w:val="723"/>
    <w:qFormat/>
    <w:rPr>
      <w:rFonts w:ascii="Arial" w:hAnsi="Arial" w:eastAsia="Arial" w:cs="Arial"/>
      <w:b/>
      <w:bCs/>
      <w:sz w:val="24"/>
      <w:szCs w:val="24"/>
    </w:rPr>
  </w:style>
  <w:style w:type="character" w:styleId="742">
    <w:name w:val="标题 6 字符"/>
    <w:next w:val="742"/>
    <w:link w:val="724"/>
    <w:qFormat/>
    <w:rPr>
      <w:rFonts w:ascii="Arial" w:hAnsi="Arial" w:eastAsia="Arial" w:cs="Arial"/>
      <w:b/>
      <w:bCs/>
      <w:sz w:val="22"/>
      <w:szCs w:val="22"/>
    </w:rPr>
  </w:style>
  <w:style w:type="character" w:styleId="743">
    <w:name w:val="标题 7 字符"/>
    <w:next w:val="743"/>
    <w:link w:val="725"/>
    <w:qFormat/>
    <w:rPr>
      <w:rFonts w:ascii="Arial" w:hAnsi="Arial" w:eastAsia="Arial" w:cs="Arial"/>
      <w:b/>
      <w:bCs/>
      <w:i/>
      <w:iCs/>
      <w:sz w:val="22"/>
      <w:szCs w:val="22"/>
    </w:rPr>
  </w:style>
  <w:style w:type="character" w:styleId="744">
    <w:name w:val="标题 8 字符"/>
    <w:next w:val="744"/>
    <w:link w:val="726"/>
    <w:qFormat/>
    <w:rPr>
      <w:rFonts w:ascii="Arial" w:hAnsi="Arial" w:eastAsia="Arial" w:cs="Arial"/>
      <w:i/>
      <w:iCs/>
      <w:sz w:val="22"/>
      <w:szCs w:val="22"/>
    </w:rPr>
  </w:style>
  <w:style w:type="character" w:styleId="745">
    <w:name w:val="标题 9 字符"/>
    <w:next w:val="745"/>
    <w:link w:val="727"/>
    <w:qFormat/>
    <w:rPr>
      <w:rFonts w:ascii="Arial" w:hAnsi="Arial" w:eastAsia="Arial" w:cs="Arial"/>
      <w:i/>
      <w:iCs/>
      <w:sz w:val="21"/>
      <w:szCs w:val="21"/>
    </w:rPr>
  </w:style>
  <w:style w:type="paragraph" w:styleId="746">
    <w:name w:val="列表 3"/>
    <w:basedOn w:val="718"/>
    <w:next w:val="746"/>
    <w:link w:val="718"/>
    <w:qFormat/>
    <w:pPr>
      <w:ind w:left="100" w:hanging="200"/>
    </w:pPr>
    <w:rPr>
      <w:rFonts w:ascii="Times New Roman" w:hAnsi="Times New Roman"/>
      <w:szCs w:val="21"/>
    </w:rPr>
  </w:style>
  <w:style w:type="paragraph" w:styleId="747">
    <w:name w:val="目录 7"/>
    <w:basedOn w:val="718"/>
    <w:next w:val="718"/>
    <w:link w:val="718"/>
    <w:unhideWhenUsed/>
    <w:qFormat/>
    <w:pPr>
      <w:ind w:left="1701"/>
      <w:spacing w:after="57"/>
    </w:pPr>
  </w:style>
  <w:style w:type="paragraph" w:styleId="748">
    <w:name w:val="题注"/>
    <w:basedOn w:val="718"/>
    <w:next w:val="718"/>
    <w:link w:val="718"/>
    <w:uiPriority w:val="35"/>
    <w:qFormat/>
    <w:pPr>
      <w:spacing w:line="276" w:lineRule="auto"/>
    </w:pPr>
    <w:rPr>
      <w:b/>
      <w:bCs/>
      <w:color w:val="5b9bd5"/>
      <w:sz w:val="18"/>
      <w:szCs w:val="18"/>
    </w:rPr>
  </w:style>
  <w:style w:type="paragraph" w:styleId="749">
    <w:name w:val="文档结构图"/>
    <w:basedOn w:val="718"/>
    <w:next w:val="749"/>
    <w:link w:val="750"/>
    <w:semiHidden/>
    <w:qFormat/>
    <w:pPr>
      <w:shd w:val="clear" w:color="auto" w:fill="000080"/>
    </w:pPr>
    <w:rPr>
      <w:rFonts w:ascii="Times New Roman" w:hAnsi="Times New Roman"/>
      <w:szCs w:val="21"/>
    </w:rPr>
  </w:style>
  <w:style w:type="character" w:styleId="750">
    <w:name w:val="文档结构图 字符"/>
    <w:next w:val="750"/>
    <w:link w:val="749"/>
    <w:semiHidden/>
    <w:qFormat/>
    <w:rPr>
      <w:sz w:val="21"/>
      <w:szCs w:val="21"/>
      <w:shd w:val="clear" w:color="auto" w:fill="000080"/>
    </w:rPr>
  </w:style>
  <w:style w:type="paragraph" w:styleId="751">
    <w:name w:val="批注文字"/>
    <w:basedOn w:val="718"/>
    <w:next w:val="751"/>
    <w:link w:val="752"/>
    <w:semiHidden/>
    <w:qFormat/>
    <w:pPr>
      <w:jc w:val="left"/>
    </w:pPr>
    <w:rPr>
      <w:rFonts w:ascii="Times New Roman" w:hAnsi="Times New Roman"/>
      <w:szCs w:val="21"/>
    </w:rPr>
  </w:style>
  <w:style w:type="character" w:styleId="752">
    <w:name w:val="批注文字 字符"/>
    <w:next w:val="752"/>
    <w:link w:val="751"/>
    <w:semiHidden/>
    <w:qFormat/>
    <w:rPr>
      <w:sz w:val="21"/>
      <w:szCs w:val="21"/>
    </w:rPr>
  </w:style>
  <w:style w:type="paragraph" w:styleId="753">
    <w:name w:val="正文文本 3"/>
    <w:basedOn w:val="718"/>
    <w:next w:val="753"/>
    <w:link w:val="754"/>
    <w:qFormat/>
    <w:rPr>
      <w:rFonts w:ascii="仿宋_GB2312" w:hAnsi="Arial" w:eastAsia="仿宋_GB2312"/>
      <w:sz w:val="32"/>
      <w:szCs w:val="32"/>
    </w:rPr>
  </w:style>
  <w:style w:type="character" w:styleId="754">
    <w:name w:val="正文文本 3 字符"/>
    <w:next w:val="754"/>
    <w:link w:val="753"/>
    <w:qFormat/>
    <w:rPr>
      <w:rFonts w:ascii="仿宋_GB2312" w:hAnsi="Arial" w:eastAsia="仿宋_GB2312"/>
      <w:sz w:val="32"/>
      <w:szCs w:val="32"/>
    </w:rPr>
  </w:style>
  <w:style w:type="paragraph" w:styleId="755">
    <w:name w:val="正文文本"/>
    <w:basedOn w:val="718"/>
    <w:next w:val="755"/>
    <w:link w:val="718"/>
    <w:semiHidden/>
    <w:qFormat/>
    <w:rPr>
      <w:rFonts w:ascii="仿宋" w:hAnsi="仿宋" w:eastAsia="仿宋" w:cs="仿宋"/>
      <w:sz w:val="32"/>
      <w:szCs w:val="32"/>
      <w:lang w:val="en-US" w:eastAsia="en-US" w:bidi="ar-SA"/>
    </w:rPr>
  </w:style>
  <w:style w:type="paragraph" w:styleId="756">
    <w:name w:val="正文文本缩进"/>
    <w:basedOn w:val="718"/>
    <w:next w:val="756"/>
    <w:link w:val="757"/>
    <w:qFormat/>
    <w:pPr>
      <w:ind w:firstLine="225"/>
    </w:pPr>
    <w:rPr>
      <w:rFonts w:ascii="仿宋_GB2312" w:eastAsia="仿宋_GB2312"/>
      <w:sz w:val="32"/>
    </w:rPr>
  </w:style>
  <w:style w:type="character" w:styleId="757">
    <w:name w:val="正文文本缩进 字符1"/>
    <w:next w:val="757"/>
    <w:link w:val="756"/>
    <w:qFormat/>
    <w:rPr>
      <w:rFonts w:ascii="仿宋_GB2312" w:hAnsi="Calibri" w:eastAsia="仿宋_GB2312"/>
      <w:sz w:val="32"/>
      <w:szCs w:val="22"/>
    </w:rPr>
  </w:style>
  <w:style w:type="paragraph" w:styleId="758">
    <w:name w:val="列表 2"/>
    <w:basedOn w:val="718"/>
    <w:next w:val="758"/>
    <w:link w:val="718"/>
    <w:qFormat/>
    <w:pPr>
      <w:ind w:left="100" w:hanging="200"/>
    </w:pPr>
    <w:rPr>
      <w:rFonts w:ascii="Times New Roman" w:hAnsi="Times New Roman"/>
      <w:szCs w:val="21"/>
    </w:rPr>
  </w:style>
  <w:style w:type="paragraph" w:styleId="759">
    <w:name w:val="目录 5"/>
    <w:basedOn w:val="718"/>
    <w:next w:val="718"/>
    <w:link w:val="718"/>
    <w:unhideWhenUsed/>
    <w:qFormat/>
    <w:pPr>
      <w:ind w:left="1134"/>
      <w:spacing w:after="57"/>
    </w:pPr>
  </w:style>
  <w:style w:type="paragraph" w:styleId="760">
    <w:name w:val="目录 3"/>
    <w:basedOn w:val="718"/>
    <w:next w:val="718"/>
    <w:link w:val="718"/>
    <w:unhideWhenUsed/>
    <w:qFormat/>
    <w:pPr>
      <w:ind w:left="567"/>
      <w:spacing w:after="57"/>
    </w:pPr>
  </w:style>
  <w:style w:type="paragraph" w:styleId="761">
    <w:name w:val="纯文本"/>
    <w:basedOn w:val="718"/>
    <w:next w:val="761"/>
    <w:link w:val="762"/>
    <w:qFormat/>
    <w:rPr>
      <w:rFonts w:ascii="宋体" w:hAnsi="Courier New" w:cs="Courier New"/>
      <w:szCs w:val="21"/>
    </w:rPr>
  </w:style>
  <w:style w:type="character" w:styleId="762">
    <w:name w:val="纯文本 字符"/>
    <w:next w:val="762"/>
    <w:link w:val="761"/>
    <w:qFormat/>
    <w:rPr>
      <w:rFonts w:ascii="宋体" w:hAnsi="Courier New" w:cs="Courier New"/>
      <w:sz w:val="21"/>
      <w:szCs w:val="21"/>
    </w:rPr>
  </w:style>
  <w:style w:type="paragraph" w:styleId="763">
    <w:name w:val="目录 8"/>
    <w:basedOn w:val="718"/>
    <w:next w:val="718"/>
    <w:link w:val="718"/>
    <w:unhideWhenUsed/>
    <w:qFormat/>
    <w:pPr>
      <w:ind w:left="1984"/>
      <w:spacing w:after="57"/>
    </w:pPr>
  </w:style>
  <w:style w:type="paragraph" w:styleId="764">
    <w:name w:val="日期"/>
    <w:basedOn w:val="718"/>
    <w:next w:val="718"/>
    <w:link w:val="765"/>
    <w:qFormat/>
    <w:rPr>
      <w:rFonts w:ascii="Times New Roman" w:hAnsi="Times New Roman"/>
      <w:sz w:val="24"/>
      <w:szCs w:val="24"/>
    </w:rPr>
  </w:style>
  <w:style w:type="character" w:styleId="765">
    <w:name w:val="日期 字符"/>
    <w:next w:val="765"/>
    <w:link w:val="764"/>
    <w:qFormat/>
    <w:rPr>
      <w:sz w:val="24"/>
      <w:szCs w:val="24"/>
    </w:rPr>
  </w:style>
  <w:style w:type="paragraph" w:styleId="766">
    <w:name w:val="正文文本缩进 2"/>
    <w:basedOn w:val="718"/>
    <w:next w:val="766"/>
    <w:link w:val="767"/>
    <w:qFormat/>
    <w:pPr>
      <w:ind w:left="630" w:firstLine="645"/>
    </w:pPr>
    <w:rPr>
      <w:rFonts w:ascii="Arial" w:hAnsi="Arial" w:eastAsia="仿宋_GB2312" w:cs="Arial"/>
      <w:sz w:val="32"/>
      <w:szCs w:val="32"/>
    </w:rPr>
  </w:style>
  <w:style w:type="character" w:styleId="767">
    <w:name w:val="正文文本缩进 2 字符"/>
    <w:next w:val="767"/>
    <w:link w:val="766"/>
    <w:qFormat/>
    <w:rPr>
      <w:rFonts w:ascii="Arial" w:hAnsi="Arial" w:eastAsia="仿宋_GB2312" w:cs="Arial"/>
      <w:sz w:val="32"/>
      <w:szCs w:val="32"/>
    </w:rPr>
  </w:style>
  <w:style w:type="paragraph" w:styleId="768">
    <w:name w:val="尾注文本"/>
    <w:basedOn w:val="718"/>
    <w:next w:val="768"/>
    <w:link w:val="769"/>
    <w:uiPriority w:val="99"/>
    <w:unhideWhenUsed/>
    <w:qFormat/>
    <w:rPr>
      <w:sz w:val="20"/>
    </w:rPr>
  </w:style>
  <w:style w:type="character" w:styleId="769">
    <w:name w:val="尾注文本 字符"/>
    <w:next w:val="769"/>
    <w:link w:val="768"/>
    <w:uiPriority w:val="99"/>
    <w:qFormat/>
    <w:rPr>
      <w:sz w:val="20"/>
    </w:rPr>
  </w:style>
  <w:style w:type="paragraph" w:styleId="770">
    <w:name w:val="批注框文本"/>
    <w:basedOn w:val="718"/>
    <w:next w:val="770"/>
    <w:link w:val="771"/>
    <w:qFormat/>
    <w:rPr>
      <w:rFonts w:ascii="Times New Roman" w:hAnsi="Times New Roman"/>
      <w:sz w:val="18"/>
      <w:szCs w:val="18"/>
    </w:rPr>
  </w:style>
  <w:style w:type="character" w:styleId="771">
    <w:name w:val="批注框文本 字符"/>
    <w:next w:val="771"/>
    <w:link w:val="770"/>
    <w:qFormat/>
    <w:rPr>
      <w:sz w:val="18"/>
      <w:szCs w:val="18"/>
    </w:rPr>
  </w:style>
  <w:style w:type="paragraph" w:styleId="772">
    <w:name w:val="页脚"/>
    <w:basedOn w:val="718"/>
    <w:next w:val="772"/>
    <w:link w:val="773"/>
    <w:uiPriority w:val="99"/>
    <w:qFormat/>
    <w:pPr>
      <w:jc w:val="left"/>
      <w:tabs>
        <w:tab w:val="center" w:pos="4153" w:leader="none"/>
        <w:tab w:val="right" w:pos="8306" w:leader="none"/>
      </w:tabs>
    </w:pPr>
    <w:rPr>
      <w:sz w:val="18"/>
      <w:szCs w:val="18"/>
    </w:rPr>
  </w:style>
  <w:style w:type="character" w:styleId="773">
    <w:name w:val="页脚 字符"/>
    <w:next w:val="773"/>
    <w:link w:val="772"/>
    <w:uiPriority w:val="99"/>
    <w:qFormat/>
  </w:style>
  <w:style w:type="paragraph" w:styleId="774">
    <w:name w:val="页眉"/>
    <w:basedOn w:val="718"/>
    <w:next w:val="774"/>
    <w:link w:val="775"/>
    <w:qFormat/>
    <w:pPr>
      <w:jc w:val="center"/>
      <w:tabs>
        <w:tab w:val="center" w:pos="4153" w:leader="none"/>
        <w:tab w:val="right" w:pos="8306" w:leader="none"/>
      </w:tabs>
    </w:pPr>
    <w:rPr>
      <w:sz w:val="18"/>
      <w:szCs w:val="18"/>
    </w:rPr>
  </w:style>
  <w:style w:type="character" w:styleId="775">
    <w:name w:val="页眉 字符"/>
    <w:next w:val="775"/>
    <w:link w:val="774"/>
    <w:qFormat/>
    <w:rPr>
      <w:rFonts w:ascii="Calibri" w:hAnsi="Calibri"/>
      <w:sz w:val="18"/>
      <w:szCs w:val="18"/>
    </w:rPr>
  </w:style>
  <w:style w:type="paragraph" w:styleId="776">
    <w:name w:val="目录 1"/>
    <w:basedOn w:val="718"/>
    <w:next w:val="718"/>
    <w:link w:val="718"/>
    <w:qFormat/>
    <w:pPr>
      <w:jc w:val="left"/>
      <w:spacing w:before="120" w:after="120"/>
    </w:pPr>
    <w:rPr>
      <w:rFonts w:cs="Calibri"/>
      <w:b/>
      <w:bCs/>
      <w:caps/>
      <w:sz w:val="20"/>
      <w:szCs w:val="20"/>
    </w:rPr>
  </w:style>
  <w:style w:type="paragraph" w:styleId="777">
    <w:name w:val="目录 4"/>
    <w:basedOn w:val="718"/>
    <w:next w:val="718"/>
    <w:link w:val="718"/>
    <w:unhideWhenUsed/>
    <w:qFormat/>
    <w:pPr>
      <w:ind w:left="850"/>
      <w:spacing w:after="57"/>
    </w:pPr>
  </w:style>
  <w:style w:type="paragraph" w:styleId="778">
    <w:name w:val="副标题"/>
    <w:basedOn w:val="718"/>
    <w:next w:val="718"/>
    <w:link w:val="779"/>
    <w:uiPriority w:val="11"/>
    <w:qFormat/>
    <w:pPr>
      <w:spacing w:before="200" w:after="200"/>
    </w:pPr>
    <w:rPr>
      <w:sz w:val="24"/>
      <w:szCs w:val="24"/>
    </w:rPr>
  </w:style>
  <w:style w:type="character" w:styleId="779">
    <w:name w:val="副标题 字符"/>
    <w:next w:val="779"/>
    <w:link w:val="778"/>
    <w:uiPriority w:val="11"/>
    <w:qFormat/>
    <w:rPr>
      <w:sz w:val="24"/>
      <w:szCs w:val="24"/>
    </w:rPr>
  </w:style>
  <w:style w:type="paragraph" w:styleId="780">
    <w:name w:val="列表"/>
    <w:basedOn w:val="718"/>
    <w:next w:val="780"/>
    <w:link w:val="718"/>
    <w:qFormat/>
    <w:pPr>
      <w:ind w:left="200" w:hanging="200"/>
    </w:pPr>
    <w:rPr>
      <w:rFonts w:ascii="Times New Roman" w:hAnsi="Times New Roman"/>
      <w:szCs w:val="21"/>
    </w:rPr>
  </w:style>
  <w:style w:type="paragraph" w:styleId="781">
    <w:name w:val="脚注文本"/>
    <w:basedOn w:val="718"/>
    <w:next w:val="781"/>
    <w:link w:val="782"/>
    <w:uiPriority w:val="99"/>
    <w:unhideWhenUsed/>
    <w:qFormat/>
    <w:pPr>
      <w:spacing w:after="40"/>
    </w:pPr>
    <w:rPr>
      <w:sz w:val="18"/>
    </w:rPr>
  </w:style>
  <w:style w:type="character" w:styleId="782">
    <w:name w:val="脚注文本 字符"/>
    <w:next w:val="782"/>
    <w:link w:val="781"/>
    <w:uiPriority w:val="99"/>
    <w:qFormat/>
    <w:rPr>
      <w:sz w:val="18"/>
    </w:rPr>
  </w:style>
  <w:style w:type="paragraph" w:styleId="783">
    <w:name w:val="目录 6"/>
    <w:basedOn w:val="718"/>
    <w:next w:val="718"/>
    <w:link w:val="718"/>
    <w:unhideWhenUsed/>
    <w:qFormat/>
    <w:pPr>
      <w:ind w:left="1417"/>
      <w:spacing w:after="57"/>
    </w:pPr>
  </w:style>
  <w:style w:type="paragraph" w:styleId="784">
    <w:name w:val="正文文本缩进 3"/>
    <w:basedOn w:val="718"/>
    <w:next w:val="784"/>
    <w:link w:val="785"/>
    <w:qFormat/>
    <w:pPr>
      <w:ind w:left="645" w:firstLine="645"/>
    </w:pPr>
    <w:rPr>
      <w:rFonts w:ascii="Arial" w:hAnsi="Arial" w:eastAsia="仿宋_GB2312" w:cs="Arial"/>
      <w:color w:val="ffff00"/>
      <w:sz w:val="32"/>
      <w:szCs w:val="32"/>
    </w:rPr>
  </w:style>
  <w:style w:type="character" w:styleId="785">
    <w:name w:val="正文文本缩进 3 字符"/>
    <w:next w:val="785"/>
    <w:link w:val="784"/>
    <w:qFormat/>
    <w:rPr>
      <w:rFonts w:ascii="Arial" w:hAnsi="Arial" w:eastAsia="仿宋_GB2312" w:cs="Arial"/>
      <w:color w:val="ffff00"/>
      <w:sz w:val="32"/>
      <w:szCs w:val="32"/>
    </w:rPr>
  </w:style>
  <w:style w:type="paragraph" w:styleId="786">
    <w:name w:val="图表目录"/>
    <w:basedOn w:val="718"/>
    <w:next w:val="718"/>
    <w:link w:val="718"/>
    <w:unhideWhenUsed/>
    <w:qFormat/>
  </w:style>
  <w:style w:type="paragraph" w:styleId="787">
    <w:name w:val="目录 2"/>
    <w:basedOn w:val="718"/>
    <w:next w:val="718"/>
    <w:link w:val="718"/>
    <w:qFormat/>
    <w:pPr>
      <w:ind w:left="210"/>
      <w:jc w:val="left"/>
    </w:pPr>
    <w:rPr>
      <w:rFonts w:cs="Calibri"/>
      <w:smallCaps/>
      <w:sz w:val="20"/>
      <w:szCs w:val="20"/>
    </w:rPr>
  </w:style>
  <w:style w:type="paragraph" w:styleId="788">
    <w:name w:val="目录 9"/>
    <w:basedOn w:val="718"/>
    <w:next w:val="718"/>
    <w:link w:val="718"/>
    <w:unhideWhenUsed/>
    <w:qFormat/>
    <w:pPr>
      <w:ind w:left="2268"/>
      <w:spacing w:after="57"/>
    </w:pPr>
  </w:style>
  <w:style w:type="paragraph" w:styleId="789">
    <w:name w:val="正文文本 2"/>
    <w:basedOn w:val="718"/>
    <w:next w:val="789"/>
    <w:link w:val="790"/>
    <w:qFormat/>
    <w:pPr>
      <w:jc w:val="center"/>
      <w:widowControl/>
    </w:pPr>
    <w:rPr>
      <w:rFonts w:ascii="楷体_GB2312" w:hAnsi="Times New Roman" w:eastAsia="楷体_GB2312"/>
      <w:sz w:val="28"/>
      <w:szCs w:val="28"/>
    </w:rPr>
  </w:style>
  <w:style w:type="character" w:styleId="790">
    <w:name w:val="正文文本 2 字符"/>
    <w:next w:val="790"/>
    <w:link w:val="789"/>
    <w:qFormat/>
    <w:rPr>
      <w:rFonts w:ascii="楷体_GB2312" w:eastAsia="楷体_GB2312"/>
      <w:sz w:val="28"/>
      <w:szCs w:val="28"/>
    </w:rPr>
  </w:style>
  <w:style w:type="paragraph" w:styleId="791">
    <w:name w:val="HTML 预设格式"/>
    <w:basedOn w:val="718"/>
    <w:next w:val="791"/>
    <w:link w:val="79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2">
    <w:name w:val="HTML 预设格式 字符"/>
    <w:next w:val="792"/>
    <w:link w:val="791"/>
    <w:uiPriority w:val="99"/>
    <w:qFormat/>
    <w:rPr>
      <w:rFonts w:ascii="宋体" w:hAnsi="宋体"/>
      <w:sz w:val="24"/>
      <w:szCs w:val="24"/>
    </w:rPr>
  </w:style>
  <w:style w:type="paragraph" w:styleId="793">
    <w:name w:val="普通(网站)"/>
    <w:basedOn w:val="718"/>
    <w:next w:val="793"/>
    <w:link w:val="718"/>
    <w:uiPriority w:val="99"/>
    <w:qFormat/>
    <w:pPr>
      <w:jc w:val="left"/>
      <w:spacing w:before="100" w:beforeAutospacing="1" w:after="100" w:afterAutospacing="1"/>
      <w:widowControl/>
    </w:pPr>
    <w:rPr>
      <w:rFonts w:ascii="宋体" w:hAnsi="宋体" w:cs="宋体"/>
      <w:sz w:val="24"/>
      <w:szCs w:val="24"/>
    </w:rPr>
  </w:style>
  <w:style w:type="paragraph" w:styleId="794">
    <w:name w:val="索引 1"/>
    <w:basedOn w:val="718"/>
    <w:next w:val="718"/>
    <w:link w:val="718"/>
    <w:semiHidden/>
    <w:qFormat/>
    <w:pPr>
      <w:spacing w:line="240" w:lineRule="atLeast"/>
    </w:pPr>
    <w:rPr>
      <w:rFonts w:ascii="Times New Roman" w:hAnsi="Times New Roman"/>
      <w:b/>
      <w:bCs/>
      <w:szCs w:val="21"/>
    </w:rPr>
  </w:style>
  <w:style w:type="paragraph" w:styleId="795">
    <w:name w:val="标题"/>
    <w:basedOn w:val="718"/>
    <w:next w:val="718"/>
    <w:link w:val="796"/>
    <w:uiPriority w:val="10"/>
    <w:qFormat/>
    <w:pPr>
      <w:contextualSpacing/>
      <w:spacing w:before="300" w:after="200"/>
    </w:pPr>
    <w:rPr>
      <w:sz w:val="48"/>
      <w:szCs w:val="48"/>
    </w:rPr>
  </w:style>
  <w:style w:type="character" w:styleId="796">
    <w:name w:val="标题 字符"/>
    <w:next w:val="796"/>
    <w:link w:val="795"/>
    <w:uiPriority w:val="10"/>
    <w:qFormat/>
    <w:rPr>
      <w:sz w:val="48"/>
      <w:szCs w:val="48"/>
    </w:rPr>
  </w:style>
  <w:style w:type="paragraph" w:styleId="797">
    <w:name w:val="批注主题"/>
    <w:basedOn w:val="751"/>
    <w:next w:val="751"/>
    <w:link w:val="798"/>
    <w:semiHidden/>
    <w:qFormat/>
    <w:rPr>
      <w:b/>
      <w:bCs/>
    </w:rPr>
  </w:style>
  <w:style w:type="character" w:styleId="798">
    <w:name w:val="批注主题 字符"/>
    <w:next w:val="798"/>
    <w:link w:val="797"/>
    <w:semiHidden/>
    <w:qFormat/>
    <w:rPr>
      <w:b/>
      <w:bCs/>
      <w:sz w:val="21"/>
      <w:szCs w:val="21"/>
    </w:rPr>
  </w:style>
  <w:style w:type="paragraph" w:styleId="799">
    <w:name w:val="正文首行缩进 2"/>
    <w:basedOn w:val="756"/>
    <w:next w:val="799"/>
    <w:link w:val="800"/>
    <w:qFormat/>
    <w:pPr>
      <w:ind w:firstLine="420"/>
      <w:spacing w:line="360" w:lineRule="auto"/>
    </w:pPr>
    <w:rPr>
      <w:rFonts w:ascii="宋体" w:hAnsi="宋体" w:eastAsia="宋体"/>
      <w:sz w:val="21"/>
      <w:szCs w:val="20"/>
    </w:rPr>
  </w:style>
  <w:style w:type="character" w:styleId="800">
    <w:name w:val="正文文本首行缩进 2 字符"/>
    <w:next w:val="800"/>
    <w:link w:val="799"/>
    <w:qFormat/>
    <w:rPr>
      <w:rFonts w:ascii="宋体" w:hAnsi="宋体" w:eastAsia="仿宋_GB2312"/>
      <w:sz w:val="21"/>
      <w:szCs w:val="22"/>
    </w:rPr>
  </w:style>
  <w:style w:type="table" w:styleId="801">
    <w:name w:val="网格型"/>
    <w:basedOn w:val="729"/>
    <w:next w:val="801"/>
    <w:link w:val="718"/>
    <w:qFormat/>
    <w:pPr>
      <w:jc w:val="both"/>
      <w:widowControl w:val="off"/>
    </w:pPr>
    <w:tblPr/>
  </w:style>
  <w:style w:type="character" w:styleId="802">
    <w:name w:val="要点"/>
    <w:next w:val="802"/>
    <w:link w:val="718"/>
    <w:qFormat/>
    <w:rPr>
      <w:b/>
      <w:bCs/>
    </w:rPr>
  </w:style>
  <w:style w:type="character" w:styleId="803">
    <w:name w:val="尾注引用"/>
    <w:next w:val="803"/>
    <w:link w:val="718"/>
    <w:uiPriority w:val="99"/>
    <w:unhideWhenUsed/>
    <w:qFormat/>
    <w:rPr>
      <w:vertAlign w:val="superscript"/>
    </w:rPr>
  </w:style>
  <w:style w:type="character" w:styleId="804">
    <w:name w:val="页码"/>
    <w:next w:val="804"/>
    <w:link w:val="718"/>
    <w:qFormat/>
  </w:style>
  <w:style w:type="character" w:styleId="805">
    <w:name w:val="已访问的超链接"/>
    <w:next w:val="805"/>
    <w:link w:val="718"/>
    <w:qFormat/>
    <w:rPr>
      <w:color w:val="800080"/>
      <w:u w:val="single"/>
    </w:rPr>
  </w:style>
  <w:style w:type="character" w:styleId="806">
    <w:name w:val="超链接"/>
    <w:next w:val="806"/>
    <w:link w:val="718"/>
    <w:qFormat/>
    <w:rPr>
      <w:color w:val="0000ff"/>
      <w:u w:val="single"/>
    </w:rPr>
  </w:style>
  <w:style w:type="character" w:styleId="807">
    <w:name w:val="批注引用"/>
    <w:next w:val="807"/>
    <w:link w:val="718"/>
    <w:semiHidden/>
    <w:qFormat/>
    <w:rPr>
      <w:sz w:val="21"/>
      <w:szCs w:val="21"/>
    </w:rPr>
  </w:style>
  <w:style w:type="character" w:styleId="808">
    <w:name w:val="脚注引用"/>
    <w:next w:val="808"/>
    <w:link w:val="718"/>
    <w:uiPriority w:val="99"/>
    <w:unhideWhenUsed/>
    <w:qFormat/>
    <w:rPr>
      <w:vertAlign w:val="superscript"/>
    </w:rPr>
  </w:style>
  <w:style w:type="paragraph" w:styleId="809">
    <w:name w:val="标题二、"/>
    <w:basedOn w:val="718"/>
    <w:next w:val="809"/>
    <w:link w:val="718"/>
    <w:uiPriority w:val="99"/>
    <w:qFormat/>
    <w:pPr>
      <w:ind w:firstLine="200"/>
      <w:spacing w:line="360" w:lineRule="auto"/>
      <w:outlineLvl w:val="2"/>
    </w:pPr>
    <w:rPr>
      <w:rFonts w:ascii="宋体" w:hAnsi="宋体"/>
      <w:b/>
      <w:szCs w:val="21"/>
    </w:rPr>
  </w:style>
  <w:style w:type="paragraph" w:styleId="810">
    <w:name w:val="正文首行缩进 21"/>
    <w:basedOn w:val="811"/>
    <w:next w:val="718"/>
    <w:link w:val="718"/>
    <w:qFormat/>
    <w:pPr>
      <w:ind w:firstLine="420"/>
      <w:spacing w:line="360" w:lineRule="auto"/>
    </w:pPr>
    <w:rPr>
      <w:rFonts w:ascii="宋体" w:hAnsi="宋体" w:eastAsia="宋体"/>
      <w:sz w:val="21"/>
      <w:szCs w:val="20"/>
    </w:rPr>
  </w:style>
  <w:style w:type="paragraph" w:styleId="811">
    <w:name w:val="正文文本缩进1"/>
    <w:basedOn w:val="718"/>
    <w:next w:val="811"/>
    <w:link w:val="718"/>
    <w:qFormat/>
    <w:pPr>
      <w:ind w:firstLine="645"/>
    </w:pPr>
    <w:rPr>
      <w:rFonts w:ascii="楷体_GB2312" w:eastAsia="楷体_GB2312"/>
      <w:sz w:val="32"/>
      <w:szCs w:val="32"/>
    </w:rPr>
  </w:style>
  <w:style w:type="paragraph" w:styleId="812">
    <w:name w:val="寄信人地址1"/>
    <w:basedOn w:val="718"/>
    <w:next w:val="812"/>
    <w:link w:val="718"/>
    <w:qFormat/>
    <w:rPr>
      <w:rFonts w:ascii="Arial" w:hAnsi="Arial"/>
    </w:rPr>
  </w:style>
  <w:style w:type="paragraph" w:styleId="813">
    <w:name w:val="标题 41"/>
    <w:basedOn w:val="814"/>
    <w:next w:val="718"/>
    <w:link w:val="71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14">
    <w:name w:val="Normal_20"/>
    <w:next w:val="815"/>
    <w:link w:val="718"/>
    <w:qFormat/>
    <w:rPr>
      <w:rFonts w:ascii="黑体" w:hAnsi="黑体" w:eastAsia="黑体" w:cs="黑体"/>
      <w:b/>
      <w:sz w:val="32"/>
      <w:szCs w:val="24"/>
      <w:lang w:val="en-US" w:eastAsia="zh-CN" w:bidi="ar-SA"/>
    </w:rPr>
  </w:style>
  <w:style w:type="paragraph" w:styleId="815">
    <w:name w:val="Body Text First Indent_2"/>
    <w:basedOn w:val="814"/>
    <w:next w:val="815"/>
    <w:link w:val="718"/>
    <w:qFormat/>
    <w:pPr>
      <w:ind w:firstLine="100"/>
      <w:spacing w:after="120"/>
    </w:pPr>
  </w:style>
  <w:style w:type="paragraph" w:styleId="816">
    <w:name w:val="脚注文本1"/>
    <w:basedOn w:val="718"/>
    <w:next w:val="816"/>
    <w:link w:val="718"/>
    <w:qFormat/>
    <w:pPr>
      <w:jc w:val="left"/>
    </w:pPr>
    <w:rPr>
      <w:rFonts w:eastAsia="Times New Roman"/>
      <w:sz w:val="18"/>
      <w:szCs w:val="24"/>
    </w:rPr>
  </w:style>
  <w:style w:type="table" w:styleId="817">
    <w:name w:val="Plain Table 1"/>
    <w:basedOn w:val="729"/>
    <w:next w:val="817"/>
    <w:link w:val="718"/>
    <w:uiPriority w:val="59"/>
    <w:qFormat/>
    <w:pPr>
      <w:spacing w:after="0" w:line="240" w:lineRule="auto"/>
    </w:pPr>
    <w:tblPr/>
  </w:style>
  <w:style w:type="table" w:styleId="818">
    <w:name w:val="Plain Table 2"/>
    <w:basedOn w:val="729"/>
    <w:next w:val="818"/>
    <w:link w:val="718"/>
    <w:uiPriority w:val="59"/>
    <w:qFormat/>
    <w:pPr>
      <w:spacing w:after="0" w:line="240" w:lineRule="auto"/>
    </w:pPr>
    <w:tblPr/>
  </w:style>
  <w:style w:type="table" w:styleId="819">
    <w:name w:val="Plain Table 3"/>
    <w:basedOn w:val="729"/>
    <w:next w:val="819"/>
    <w:link w:val="718"/>
    <w:uiPriority w:val="99"/>
    <w:qFormat/>
    <w:pPr>
      <w:spacing w:after="0" w:line="240" w:lineRule="auto"/>
    </w:pPr>
    <w:tblPr/>
  </w:style>
  <w:style w:type="table" w:styleId="820">
    <w:name w:val="Plain Table 4"/>
    <w:basedOn w:val="729"/>
    <w:next w:val="820"/>
    <w:link w:val="718"/>
    <w:uiPriority w:val="99"/>
    <w:qFormat/>
    <w:pPr>
      <w:spacing w:after="0" w:line="240" w:lineRule="auto"/>
    </w:pPr>
    <w:tblPr/>
  </w:style>
  <w:style w:type="table" w:styleId="821">
    <w:name w:val="Plain Table 5"/>
    <w:basedOn w:val="729"/>
    <w:next w:val="821"/>
    <w:link w:val="718"/>
    <w:uiPriority w:val="99"/>
    <w:qFormat/>
    <w:pPr>
      <w:spacing w:after="0" w:line="240" w:lineRule="auto"/>
    </w:pPr>
    <w:tblPr/>
  </w:style>
  <w:style w:type="table" w:styleId="822">
    <w:name w:val="Grid Table 1 Light"/>
    <w:basedOn w:val="729"/>
    <w:next w:val="822"/>
    <w:link w:val="718"/>
    <w:uiPriority w:val="99"/>
    <w:qFormat/>
    <w:pPr>
      <w:spacing w:after="0" w:line="240" w:lineRule="auto"/>
    </w:pPr>
    <w:tblPr/>
  </w:style>
  <w:style w:type="table" w:styleId="823">
    <w:name w:val="Grid Table 2"/>
    <w:basedOn w:val="729"/>
    <w:next w:val="823"/>
    <w:link w:val="718"/>
    <w:uiPriority w:val="99"/>
    <w:qFormat/>
    <w:pPr>
      <w:spacing w:after="0" w:line="240" w:lineRule="auto"/>
    </w:pPr>
    <w:tblPr/>
  </w:style>
  <w:style w:type="table" w:styleId="824">
    <w:name w:val="Grid Table 3"/>
    <w:basedOn w:val="729"/>
    <w:next w:val="824"/>
    <w:link w:val="718"/>
    <w:uiPriority w:val="99"/>
    <w:qFormat/>
    <w:pPr>
      <w:spacing w:after="0" w:line="240" w:lineRule="auto"/>
    </w:pPr>
    <w:tblPr/>
  </w:style>
  <w:style w:type="table" w:styleId="825">
    <w:name w:val="Grid Table 4"/>
    <w:basedOn w:val="729"/>
    <w:next w:val="825"/>
    <w:link w:val="718"/>
    <w:uiPriority w:val="59"/>
    <w:qFormat/>
    <w:pPr>
      <w:spacing w:after="0" w:line="240" w:lineRule="auto"/>
    </w:pPr>
    <w:tblPr/>
  </w:style>
  <w:style w:type="table" w:styleId="826">
    <w:name w:val="Grid Table 5 Dark"/>
    <w:basedOn w:val="729"/>
    <w:next w:val="826"/>
    <w:link w:val="718"/>
    <w:uiPriority w:val="99"/>
    <w:qFormat/>
    <w:pPr>
      <w:spacing w:after="0" w:line="240" w:lineRule="auto"/>
    </w:pPr>
    <w:tblPr/>
  </w:style>
  <w:style w:type="table" w:styleId="827">
    <w:name w:val="Grid Table 6 Colorful"/>
    <w:basedOn w:val="729"/>
    <w:next w:val="827"/>
    <w:link w:val="718"/>
    <w:uiPriority w:val="99"/>
    <w:qFormat/>
    <w:pPr>
      <w:spacing w:after="0" w:line="240" w:lineRule="auto"/>
    </w:pPr>
    <w:tblPr/>
  </w:style>
  <w:style w:type="table" w:styleId="828">
    <w:name w:val="Grid Table 7 Colorful"/>
    <w:basedOn w:val="729"/>
    <w:next w:val="828"/>
    <w:link w:val="718"/>
    <w:uiPriority w:val="99"/>
    <w:qFormat/>
    <w:pPr>
      <w:spacing w:after="0" w:line="240" w:lineRule="auto"/>
    </w:pPr>
    <w:tblPr/>
  </w:style>
  <w:style w:type="table" w:styleId="829">
    <w:name w:val="List Table 1 Light"/>
    <w:basedOn w:val="729"/>
    <w:next w:val="829"/>
    <w:link w:val="718"/>
    <w:uiPriority w:val="99"/>
    <w:qFormat/>
    <w:pPr>
      <w:spacing w:after="0" w:line="240" w:lineRule="auto"/>
    </w:pPr>
    <w:tblPr/>
  </w:style>
  <w:style w:type="table" w:styleId="830">
    <w:name w:val="List Table 2"/>
    <w:basedOn w:val="729"/>
    <w:next w:val="830"/>
    <w:link w:val="718"/>
    <w:uiPriority w:val="99"/>
    <w:qFormat/>
    <w:pPr>
      <w:spacing w:after="0" w:line="240" w:lineRule="auto"/>
    </w:pPr>
    <w:tblPr/>
  </w:style>
  <w:style w:type="table" w:styleId="831">
    <w:name w:val="List Table 3"/>
    <w:basedOn w:val="729"/>
    <w:next w:val="831"/>
    <w:link w:val="718"/>
    <w:uiPriority w:val="99"/>
    <w:qFormat/>
    <w:pPr>
      <w:spacing w:after="0" w:line="240" w:lineRule="auto"/>
    </w:pPr>
    <w:tblPr/>
  </w:style>
  <w:style w:type="table" w:styleId="832">
    <w:name w:val="List Table 4"/>
    <w:basedOn w:val="729"/>
    <w:next w:val="832"/>
    <w:link w:val="718"/>
    <w:uiPriority w:val="99"/>
    <w:qFormat/>
    <w:pPr>
      <w:spacing w:after="0" w:line="240" w:lineRule="auto"/>
    </w:pPr>
    <w:tblPr/>
  </w:style>
  <w:style w:type="table" w:styleId="833">
    <w:name w:val="List Table 5 Dark"/>
    <w:basedOn w:val="729"/>
    <w:next w:val="833"/>
    <w:link w:val="718"/>
    <w:uiPriority w:val="99"/>
    <w:qFormat/>
    <w:pPr>
      <w:spacing w:after="0" w:line="240" w:lineRule="auto"/>
    </w:pPr>
    <w:tblPr/>
  </w:style>
  <w:style w:type="table" w:styleId="834">
    <w:name w:val="List Table 6 Colorful"/>
    <w:basedOn w:val="729"/>
    <w:next w:val="834"/>
    <w:link w:val="718"/>
    <w:uiPriority w:val="99"/>
    <w:qFormat/>
    <w:pPr>
      <w:spacing w:after="0" w:line="240" w:lineRule="auto"/>
    </w:pPr>
    <w:tblPr/>
  </w:style>
  <w:style w:type="table" w:styleId="835">
    <w:name w:val="List Table 7 Colorful"/>
    <w:basedOn w:val="729"/>
    <w:next w:val="835"/>
    <w:link w:val="718"/>
    <w:uiPriority w:val="99"/>
    <w:qFormat/>
    <w:pPr>
      <w:spacing w:after="0" w:line="240" w:lineRule="auto"/>
    </w:pPr>
    <w:tblPr/>
  </w:style>
  <w:style w:type="paragraph" w:styleId="836">
    <w:name w:val="TOC Heading"/>
    <w:next w:val="836"/>
    <w:link w:val="718"/>
    <w:uiPriority w:val="39"/>
    <w:unhideWhenUsed/>
    <w:qFormat/>
    <w:rPr>
      <w:lang w:val="en-US" w:eastAsia="zh-CN" w:bidi="ar-SA"/>
    </w:rPr>
  </w:style>
  <w:style w:type="table" w:styleId="837">
    <w:name w:val="无格式表格 11"/>
    <w:basedOn w:val="729"/>
    <w:next w:val="837"/>
    <w:link w:val="718"/>
    <w:uiPriority w:val="59"/>
    <w:qFormat/>
    <w:tblPr/>
  </w:style>
  <w:style w:type="table" w:styleId="838">
    <w:name w:val="无格式表格 21"/>
    <w:basedOn w:val="729"/>
    <w:next w:val="838"/>
    <w:link w:val="718"/>
    <w:uiPriority w:val="59"/>
    <w:qFormat/>
    <w:tblPr/>
  </w:style>
  <w:style w:type="table" w:styleId="839">
    <w:name w:val="无格式表格 31"/>
    <w:basedOn w:val="729"/>
    <w:next w:val="839"/>
    <w:link w:val="718"/>
    <w:uiPriority w:val="99"/>
    <w:qFormat/>
    <w:tblPr/>
  </w:style>
  <w:style w:type="table" w:styleId="840">
    <w:name w:val="无格式表格 41"/>
    <w:basedOn w:val="729"/>
    <w:next w:val="840"/>
    <w:link w:val="718"/>
    <w:uiPriority w:val="99"/>
    <w:qFormat/>
    <w:tblPr/>
  </w:style>
  <w:style w:type="table" w:styleId="841">
    <w:name w:val="无格式表格 51"/>
    <w:basedOn w:val="729"/>
    <w:next w:val="841"/>
    <w:link w:val="718"/>
    <w:uiPriority w:val="99"/>
    <w:qFormat/>
    <w:tblPr/>
  </w:style>
  <w:style w:type="table" w:styleId="842">
    <w:name w:val="网格表 1 浅色1"/>
    <w:basedOn w:val="729"/>
    <w:next w:val="842"/>
    <w:link w:val="718"/>
    <w:uiPriority w:val="99"/>
    <w:qFormat/>
    <w:tblPr/>
  </w:style>
  <w:style w:type="table" w:styleId="843">
    <w:name w:val="网格表 21"/>
    <w:basedOn w:val="729"/>
    <w:next w:val="843"/>
    <w:link w:val="718"/>
    <w:uiPriority w:val="99"/>
    <w:qFormat/>
    <w:tblPr/>
  </w:style>
  <w:style w:type="table" w:styleId="844">
    <w:name w:val="网格表 31"/>
    <w:basedOn w:val="729"/>
    <w:next w:val="844"/>
    <w:link w:val="718"/>
    <w:uiPriority w:val="99"/>
    <w:qFormat/>
    <w:tblPr/>
  </w:style>
  <w:style w:type="table" w:styleId="845">
    <w:name w:val="网格表 41"/>
    <w:basedOn w:val="729"/>
    <w:next w:val="845"/>
    <w:link w:val="718"/>
    <w:uiPriority w:val="59"/>
    <w:qFormat/>
    <w:tblPr/>
  </w:style>
  <w:style w:type="table" w:styleId="846">
    <w:name w:val="网格表 5 深色1"/>
    <w:basedOn w:val="729"/>
    <w:next w:val="846"/>
    <w:link w:val="718"/>
    <w:uiPriority w:val="99"/>
    <w:qFormat/>
    <w:tblPr/>
  </w:style>
  <w:style w:type="table" w:styleId="847">
    <w:name w:val="网格表 6 彩色1"/>
    <w:basedOn w:val="729"/>
    <w:next w:val="847"/>
    <w:link w:val="718"/>
    <w:uiPriority w:val="99"/>
    <w:qFormat/>
    <w:tblPr/>
  </w:style>
  <w:style w:type="table" w:styleId="848">
    <w:name w:val="网格表 7 彩色1"/>
    <w:basedOn w:val="729"/>
    <w:next w:val="848"/>
    <w:link w:val="718"/>
    <w:uiPriority w:val="99"/>
    <w:qFormat/>
    <w:tblPr/>
  </w:style>
  <w:style w:type="table" w:styleId="849">
    <w:name w:val="清单表 1 浅色1"/>
    <w:basedOn w:val="729"/>
    <w:next w:val="849"/>
    <w:link w:val="718"/>
    <w:uiPriority w:val="99"/>
    <w:qFormat/>
    <w:tblPr/>
  </w:style>
  <w:style w:type="table" w:styleId="850">
    <w:name w:val="清单表 21"/>
    <w:basedOn w:val="729"/>
    <w:next w:val="850"/>
    <w:link w:val="718"/>
    <w:uiPriority w:val="99"/>
    <w:qFormat/>
    <w:tblPr/>
  </w:style>
  <w:style w:type="table" w:styleId="851">
    <w:name w:val="清单表 31"/>
    <w:basedOn w:val="729"/>
    <w:next w:val="851"/>
    <w:link w:val="718"/>
    <w:uiPriority w:val="99"/>
    <w:qFormat/>
    <w:tblPr/>
  </w:style>
  <w:style w:type="table" w:styleId="852">
    <w:name w:val="清单表 41"/>
    <w:basedOn w:val="729"/>
    <w:next w:val="852"/>
    <w:link w:val="718"/>
    <w:uiPriority w:val="99"/>
    <w:qFormat/>
    <w:tblPr/>
  </w:style>
  <w:style w:type="table" w:styleId="853">
    <w:name w:val="清单表 5 深色1"/>
    <w:basedOn w:val="729"/>
    <w:next w:val="853"/>
    <w:link w:val="718"/>
    <w:uiPriority w:val="99"/>
    <w:qFormat/>
    <w:tblPr/>
  </w:style>
  <w:style w:type="table" w:styleId="854">
    <w:name w:val="清单表 6 彩色1"/>
    <w:basedOn w:val="729"/>
    <w:next w:val="854"/>
    <w:link w:val="718"/>
    <w:uiPriority w:val="99"/>
    <w:qFormat/>
    <w:tblPr/>
  </w:style>
  <w:style w:type="table" w:styleId="855">
    <w:name w:val="清单表 7 彩色1"/>
    <w:basedOn w:val="729"/>
    <w:next w:val="855"/>
    <w:link w:val="718"/>
    <w:uiPriority w:val="99"/>
    <w:qFormat/>
    <w:tblPr/>
  </w:style>
  <w:style w:type="paragraph" w:styleId="856">
    <w:name w:val="TOC 标题1"/>
    <w:next w:val="856"/>
    <w:link w:val="718"/>
    <w:uiPriority w:val="39"/>
    <w:unhideWhenUsed/>
    <w:qFormat/>
    <w:rPr>
      <w:lang w:val="en-US" w:eastAsia="zh-CN" w:bidi="ar-SA"/>
    </w:rPr>
  </w:style>
  <w:style w:type="paragraph" w:styleId="857">
    <w:name w:val="Normal_21"/>
    <w:basedOn w:val="858"/>
    <w:next w:val="858"/>
    <w:link w:val="718"/>
    <w:qFormat/>
    <w:pPr>
      <w:jc w:val="both"/>
      <w:widowControl w:val="off"/>
    </w:pPr>
    <w:rPr>
      <w:rFonts w:ascii="Times New Roman" w:hAnsi="Times New Roman" w:eastAsia="宋体" w:cs="Times New Roman"/>
      <w:sz w:val="21"/>
      <w:szCs w:val="24"/>
      <w:lang w:val="en-US" w:eastAsia="zh-CN" w:bidi="ar-SA"/>
    </w:rPr>
  </w:style>
  <w:style w:type="paragraph" w:styleId="858">
    <w:name w:val="正文_16"/>
    <w:next w:val="858"/>
    <w:link w:val="718"/>
    <w:qFormat/>
    <w:pPr>
      <w:jc w:val="both"/>
      <w:widowControl w:val="off"/>
    </w:pPr>
    <w:rPr>
      <w:rFonts w:ascii="Calibri" w:hAnsi="Calibri"/>
      <w:sz w:val="21"/>
      <w:szCs w:val="22"/>
      <w:lang w:val="en-US" w:eastAsia="zh-CN" w:bidi="ar-SA"/>
    </w:rPr>
  </w:style>
  <w:style w:type="paragraph" w:styleId="859">
    <w:name w:val="正文_17"/>
    <w:next w:val="860"/>
    <w:link w:val="718"/>
    <w:qFormat/>
    <w:pPr>
      <w:jc w:val="both"/>
      <w:widowControl w:val="off"/>
    </w:pPr>
    <w:rPr>
      <w:sz w:val="21"/>
      <w:szCs w:val="22"/>
      <w:lang w:val="en-US" w:eastAsia="zh-CN" w:bidi="ar-SA"/>
    </w:rPr>
  </w:style>
  <w:style w:type="paragraph" w:styleId="860">
    <w:name w:val="标题 4_1"/>
    <w:basedOn w:val="859"/>
    <w:next w:val="859"/>
    <w:link w:val="71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61">
    <w:name w:val="Heading 1 Char"/>
    <w:next w:val="861"/>
    <w:link w:val="718"/>
    <w:uiPriority w:val="9"/>
    <w:qFormat/>
    <w:rPr>
      <w:rFonts w:ascii="Arial" w:hAnsi="Arial" w:eastAsia="Arial" w:cs="Arial"/>
      <w:sz w:val="40"/>
      <w:szCs w:val="40"/>
    </w:rPr>
  </w:style>
  <w:style w:type="character" w:styleId="862">
    <w:name w:val="Heading 2 Char"/>
    <w:next w:val="862"/>
    <w:link w:val="718"/>
    <w:uiPriority w:val="9"/>
    <w:qFormat/>
    <w:rPr>
      <w:rFonts w:ascii="Arial" w:hAnsi="Arial" w:eastAsia="Arial" w:cs="Arial"/>
      <w:sz w:val="34"/>
    </w:rPr>
  </w:style>
  <w:style w:type="character" w:styleId="863">
    <w:name w:val="Heading 3 Char"/>
    <w:next w:val="863"/>
    <w:link w:val="718"/>
    <w:uiPriority w:val="9"/>
    <w:qFormat/>
    <w:rPr>
      <w:rFonts w:ascii="Arial" w:hAnsi="Arial" w:eastAsia="Arial" w:cs="Arial"/>
      <w:sz w:val="30"/>
      <w:szCs w:val="30"/>
    </w:rPr>
  </w:style>
  <w:style w:type="character" w:styleId="864">
    <w:name w:val="Heading 4 Char"/>
    <w:next w:val="864"/>
    <w:link w:val="718"/>
    <w:uiPriority w:val="9"/>
    <w:qFormat/>
    <w:rPr>
      <w:rFonts w:ascii="Arial" w:hAnsi="Arial" w:eastAsia="Arial" w:cs="Arial"/>
      <w:b/>
      <w:bCs/>
      <w:sz w:val="26"/>
      <w:szCs w:val="26"/>
    </w:rPr>
  </w:style>
  <w:style w:type="character" w:styleId="865">
    <w:name w:val="Heading 5 Char"/>
    <w:next w:val="865"/>
    <w:link w:val="718"/>
    <w:uiPriority w:val="9"/>
    <w:qFormat/>
    <w:rPr>
      <w:rFonts w:ascii="Arial" w:hAnsi="Arial" w:eastAsia="Arial" w:cs="Arial"/>
      <w:b/>
      <w:bCs/>
      <w:sz w:val="24"/>
      <w:szCs w:val="24"/>
    </w:rPr>
  </w:style>
  <w:style w:type="character" w:styleId="866">
    <w:name w:val="Heading 6 Char"/>
    <w:next w:val="866"/>
    <w:link w:val="718"/>
    <w:uiPriority w:val="9"/>
    <w:qFormat/>
    <w:rPr>
      <w:rFonts w:ascii="Arial" w:hAnsi="Arial" w:eastAsia="Arial" w:cs="Arial"/>
      <w:b/>
      <w:bCs/>
      <w:sz w:val="22"/>
      <w:szCs w:val="22"/>
    </w:rPr>
  </w:style>
  <w:style w:type="character" w:styleId="867">
    <w:name w:val="Heading 7 Char"/>
    <w:next w:val="867"/>
    <w:link w:val="718"/>
    <w:uiPriority w:val="9"/>
    <w:qFormat/>
    <w:rPr>
      <w:rFonts w:ascii="Arial" w:hAnsi="Arial" w:eastAsia="Arial" w:cs="Arial"/>
      <w:b/>
      <w:bCs/>
      <w:i/>
      <w:iCs/>
      <w:sz w:val="22"/>
      <w:szCs w:val="22"/>
    </w:rPr>
  </w:style>
  <w:style w:type="character" w:styleId="868">
    <w:name w:val="Heading 8 Char"/>
    <w:next w:val="868"/>
    <w:link w:val="718"/>
    <w:uiPriority w:val="9"/>
    <w:qFormat/>
    <w:rPr>
      <w:rFonts w:ascii="Arial" w:hAnsi="Arial" w:eastAsia="Arial" w:cs="Arial"/>
      <w:i/>
      <w:iCs/>
      <w:sz w:val="22"/>
      <w:szCs w:val="22"/>
    </w:rPr>
  </w:style>
  <w:style w:type="character" w:styleId="869">
    <w:name w:val="Heading 9 Char"/>
    <w:next w:val="869"/>
    <w:link w:val="718"/>
    <w:uiPriority w:val="9"/>
    <w:qFormat/>
    <w:rPr>
      <w:rFonts w:ascii="Arial" w:hAnsi="Arial" w:eastAsia="Arial" w:cs="Arial"/>
      <w:i/>
      <w:iCs/>
      <w:sz w:val="21"/>
      <w:szCs w:val="21"/>
    </w:rPr>
  </w:style>
  <w:style w:type="character" w:styleId="870">
    <w:name w:val="Title Char"/>
    <w:next w:val="870"/>
    <w:link w:val="718"/>
    <w:uiPriority w:val="10"/>
    <w:qFormat/>
    <w:rPr>
      <w:sz w:val="48"/>
      <w:szCs w:val="48"/>
    </w:rPr>
  </w:style>
  <w:style w:type="character" w:styleId="871">
    <w:name w:val="Subtitle Char"/>
    <w:next w:val="871"/>
    <w:link w:val="718"/>
    <w:uiPriority w:val="11"/>
    <w:qFormat/>
    <w:rPr>
      <w:sz w:val="24"/>
      <w:szCs w:val="24"/>
    </w:rPr>
  </w:style>
  <w:style w:type="character" w:styleId="872">
    <w:name w:val="Quote Char"/>
    <w:next w:val="872"/>
    <w:link w:val="718"/>
    <w:uiPriority w:val="29"/>
    <w:qFormat/>
    <w:rPr>
      <w:i/>
    </w:rPr>
  </w:style>
  <w:style w:type="character" w:styleId="873">
    <w:name w:val="Intense Quote Char"/>
    <w:next w:val="873"/>
    <w:link w:val="718"/>
    <w:uiPriority w:val="30"/>
    <w:qFormat/>
    <w:rPr>
      <w:i/>
    </w:rPr>
  </w:style>
  <w:style w:type="character" w:styleId="874">
    <w:name w:val="Caption Char"/>
    <w:next w:val="874"/>
    <w:link w:val="718"/>
    <w:uiPriority w:val="99"/>
    <w:qFormat/>
  </w:style>
  <w:style w:type="character" w:styleId="875">
    <w:name w:val="Footnote Text Char"/>
    <w:next w:val="875"/>
    <w:link w:val="718"/>
    <w:uiPriority w:val="99"/>
    <w:qFormat/>
    <w:rPr>
      <w:sz w:val="18"/>
    </w:rPr>
  </w:style>
  <w:style w:type="character" w:styleId="876">
    <w:name w:val="Endnote Text Char"/>
    <w:next w:val="876"/>
    <w:link w:val="718"/>
    <w:uiPriority w:val="99"/>
    <w:qFormat/>
    <w:rPr>
      <w:sz w:val="20"/>
    </w:rPr>
  </w:style>
  <w:style w:type="paragraph" w:styleId="877">
    <w:name w:val="列表段落"/>
    <w:basedOn w:val="718"/>
    <w:next w:val="877"/>
    <w:link w:val="718"/>
    <w:qFormat/>
    <w:pPr>
      <w:contextualSpacing/>
      <w:ind w:left="720"/>
    </w:pPr>
  </w:style>
  <w:style w:type="paragraph" w:styleId="878">
    <w:name w:val="无间隔"/>
    <w:next w:val="878"/>
    <w:link w:val="718"/>
    <w:uiPriority w:val="99"/>
    <w:qFormat/>
    <w:rPr>
      <w:lang w:val="en-US" w:eastAsia="zh-CN" w:bidi="ar-SA"/>
    </w:rPr>
  </w:style>
  <w:style w:type="paragraph" w:styleId="879">
    <w:name w:val="引用"/>
    <w:basedOn w:val="718"/>
    <w:next w:val="718"/>
    <w:link w:val="880"/>
    <w:uiPriority w:val="29"/>
    <w:qFormat/>
    <w:pPr>
      <w:ind w:left="720" w:right="720"/>
    </w:pPr>
    <w:rPr>
      <w:i/>
    </w:rPr>
  </w:style>
  <w:style w:type="character" w:styleId="880">
    <w:name w:val="引用 字符"/>
    <w:next w:val="880"/>
    <w:link w:val="879"/>
    <w:uiPriority w:val="29"/>
    <w:qFormat/>
    <w:rPr>
      <w:i/>
    </w:rPr>
  </w:style>
  <w:style w:type="paragraph" w:styleId="881">
    <w:name w:val="明显引用"/>
    <w:basedOn w:val="718"/>
    <w:next w:val="718"/>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明显引用 字符"/>
    <w:next w:val="882"/>
    <w:link w:val="881"/>
    <w:uiPriority w:val="30"/>
    <w:qFormat/>
    <w:rPr>
      <w:i/>
    </w:rPr>
  </w:style>
  <w:style w:type="character" w:styleId="883">
    <w:name w:val="Header Char"/>
    <w:next w:val="883"/>
    <w:link w:val="718"/>
    <w:uiPriority w:val="99"/>
    <w:qFormat/>
  </w:style>
  <w:style w:type="character" w:styleId="884">
    <w:name w:val="Footer Char"/>
    <w:next w:val="884"/>
    <w:link w:val="718"/>
    <w:uiPriority w:val="99"/>
    <w:qFormat/>
  </w:style>
  <w:style w:type="table" w:styleId="885">
    <w:name w:val="Table Grid Light"/>
    <w:basedOn w:val="729"/>
    <w:next w:val="885"/>
    <w:link w:val="718"/>
    <w:uiPriority w:val="59"/>
    <w:qFormat/>
    <w:tblPr/>
  </w:style>
  <w:style w:type="table" w:styleId="886">
    <w:name w:val="Grid Table 1 Light - Accent 1"/>
    <w:basedOn w:val="729"/>
    <w:next w:val="886"/>
    <w:link w:val="718"/>
    <w:uiPriority w:val="99"/>
    <w:qFormat/>
    <w:tblPr/>
  </w:style>
  <w:style w:type="table" w:styleId="887">
    <w:name w:val="Grid Table 1 Light - Accent 2"/>
    <w:basedOn w:val="729"/>
    <w:next w:val="887"/>
    <w:link w:val="718"/>
    <w:uiPriority w:val="99"/>
    <w:qFormat/>
    <w:tblPr/>
  </w:style>
  <w:style w:type="table" w:styleId="888">
    <w:name w:val="Grid Table 1 Light - Accent 3"/>
    <w:basedOn w:val="729"/>
    <w:next w:val="888"/>
    <w:link w:val="718"/>
    <w:uiPriority w:val="99"/>
    <w:qFormat/>
    <w:tblPr/>
  </w:style>
  <w:style w:type="table" w:styleId="889">
    <w:name w:val="Grid Table 1 Light - Accent 4"/>
    <w:basedOn w:val="729"/>
    <w:next w:val="889"/>
    <w:link w:val="718"/>
    <w:uiPriority w:val="99"/>
    <w:qFormat/>
    <w:tblPr/>
  </w:style>
  <w:style w:type="table" w:styleId="890">
    <w:name w:val="Grid Table 1 Light - Accent 5"/>
    <w:basedOn w:val="729"/>
    <w:next w:val="890"/>
    <w:link w:val="718"/>
    <w:uiPriority w:val="99"/>
    <w:qFormat/>
    <w:tblPr/>
  </w:style>
  <w:style w:type="table" w:styleId="891">
    <w:name w:val="Grid Table 1 Light - Accent 6"/>
    <w:basedOn w:val="729"/>
    <w:next w:val="891"/>
    <w:link w:val="718"/>
    <w:uiPriority w:val="99"/>
    <w:qFormat/>
    <w:tblPr/>
  </w:style>
  <w:style w:type="table" w:styleId="892">
    <w:name w:val="Grid Table 2 - Accent 1"/>
    <w:basedOn w:val="729"/>
    <w:next w:val="892"/>
    <w:link w:val="718"/>
    <w:uiPriority w:val="99"/>
    <w:qFormat/>
    <w:tblPr/>
  </w:style>
  <w:style w:type="table" w:styleId="893">
    <w:name w:val="Grid Table 2 - Accent 2"/>
    <w:basedOn w:val="729"/>
    <w:next w:val="893"/>
    <w:link w:val="718"/>
    <w:uiPriority w:val="99"/>
    <w:qFormat/>
    <w:tblPr/>
  </w:style>
  <w:style w:type="table" w:styleId="894">
    <w:name w:val="Grid Table 2 - Accent 3"/>
    <w:basedOn w:val="729"/>
    <w:next w:val="894"/>
    <w:link w:val="718"/>
    <w:uiPriority w:val="99"/>
    <w:qFormat/>
    <w:tblPr/>
  </w:style>
  <w:style w:type="table" w:styleId="895">
    <w:name w:val="Grid Table 2 - Accent 4"/>
    <w:basedOn w:val="729"/>
    <w:next w:val="895"/>
    <w:link w:val="718"/>
    <w:uiPriority w:val="99"/>
    <w:qFormat/>
    <w:tblPr/>
  </w:style>
  <w:style w:type="table" w:styleId="896">
    <w:name w:val="Grid Table 2 - Accent 5"/>
    <w:basedOn w:val="729"/>
    <w:next w:val="896"/>
    <w:link w:val="718"/>
    <w:uiPriority w:val="99"/>
    <w:qFormat/>
    <w:tblPr/>
  </w:style>
  <w:style w:type="table" w:styleId="897">
    <w:name w:val="Grid Table 2 - Accent 6"/>
    <w:basedOn w:val="729"/>
    <w:next w:val="897"/>
    <w:link w:val="718"/>
    <w:uiPriority w:val="99"/>
    <w:qFormat/>
    <w:tblPr/>
  </w:style>
  <w:style w:type="table" w:styleId="898">
    <w:name w:val="Grid Table 3 - Accent 1"/>
    <w:basedOn w:val="729"/>
    <w:next w:val="898"/>
    <w:link w:val="718"/>
    <w:uiPriority w:val="99"/>
    <w:qFormat/>
    <w:tblPr/>
  </w:style>
  <w:style w:type="table" w:styleId="899">
    <w:name w:val="Grid Table 3 - Accent 2"/>
    <w:basedOn w:val="729"/>
    <w:next w:val="899"/>
    <w:link w:val="718"/>
    <w:uiPriority w:val="99"/>
    <w:qFormat/>
    <w:tblPr/>
  </w:style>
  <w:style w:type="table" w:styleId="900">
    <w:name w:val="Grid Table 3 - Accent 3"/>
    <w:basedOn w:val="729"/>
    <w:next w:val="900"/>
    <w:link w:val="718"/>
    <w:uiPriority w:val="99"/>
    <w:qFormat/>
    <w:tblPr/>
  </w:style>
  <w:style w:type="table" w:styleId="901">
    <w:name w:val="Grid Table 3 - Accent 4"/>
    <w:basedOn w:val="729"/>
    <w:next w:val="901"/>
    <w:link w:val="718"/>
    <w:uiPriority w:val="99"/>
    <w:qFormat/>
    <w:tblPr/>
  </w:style>
  <w:style w:type="table" w:styleId="902">
    <w:name w:val="Grid Table 3 - Accent 5"/>
    <w:basedOn w:val="729"/>
    <w:next w:val="902"/>
    <w:link w:val="718"/>
    <w:uiPriority w:val="99"/>
    <w:qFormat/>
    <w:tblPr/>
  </w:style>
  <w:style w:type="table" w:styleId="903">
    <w:name w:val="Grid Table 3 - Accent 6"/>
    <w:basedOn w:val="729"/>
    <w:next w:val="903"/>
    <w:link w:val="718"/>
    <w:uiPriority w:val="99"/>
    <w:qFormat/>
    <w:tblPr/>
  </w:style>
  <w:style w:type="table" w:styleId="904">
    <w:name w:val="Grid Table 4 - Accent 1"/>
    <w:basedOn w:val="729"/>
    <w:next w:val="904"/>
    <w:link w:val="718"/>
    <w:uiPriority w:val="59"/>
    <w:qFormat/>
    <w:tblPr/>
  </w:style>
  <w:style w:type="table" w:styleId="905">
    <w:name w:val="Grid Table 4 - Accent 2"/>
    <w:basedOn w:val="729"/>
    <w:next w:val="905"/>
    <w:link w:val="718"/>
    <w:uiPriority w:val="59"/>
    <w:qFormat/>
    <w:tblPr/>
  </w:style>
  <w:style w:type="table" w:styleId="906">
    <w:name w:val="Grid Table 4 - Accent 3"/>
    <w:basedOn w:val="729"/>
    <w:next w:val="906"/>
    <w:link w:val="718"/>
    <w:uiPriority w:val="59"/>
    <w:qFormat/>
    <w:tblPr/>
  </w:style>
  <w:style w:type="table" w:styleId="907">
    <w:name w:val="Grid Table 4 - Accent 4"/>
    <w:basedOn w:val="729"/>
    <w:next w:val="907"/>
    <w:link w:val="718"/>
    <w:uiPriority w:val="59"/>
    <w:qFormat/>
    <w:tblPr/>
  </w:style>
  <w:style w:type="table" w:styleId="908">
    <w:name w:val="Grid Table 4 - Accent 5"/>
    <w:basedOn w:val="729"/>
    <w:next w:val="908"/>
    <w:link w:val="718"/>
    <w:uiPriority w:val="59"/>
    <w:qFormat/>
    <w:tblPr/>
  </w:style>
  <w:style w:type="table" w:styleId="909">
    <w:name w:val="Grid Table 4 - Accent 6"/>
    <w:basedOn w:val="729"/>
    <w:next w:val="909"/>
    <w:link w:val="718"/>
    <w:uiPriority w:val="59"/>
    <w:qFormat/>
    <w:tblPr/>
  </w:style>
  <w:style w:type="table" w:styleId="910">
    <w:name w:val="Grid Table 5 Dark- Accent 1"/>
    <w:basedOn w:val="729"/>
    <w:next w:val="910"/>
    <w:link w:val="718"/>
    <w:uiPriority w:val="99"/>
    <w:qFormat/>
    <w:tblPr/>
  </w:style>
  <w:style w:type="table" w:styleId="911">
    <w:name w:val="Grid Table 5 Dark - Accent 2"/>
    <w:basedOn w:val="729"/>
    <w:next w:val="911"/>
    <w:link w:val="718"/>
    <w:uiPriority w:val="99"/>
    <w:qFormat/>
    <w:tblPr/>
  </w:style>
  <w:style w:type="table" w:styleId="912">
    <w:name w:val="Grid Table 5 Dark - Accent 3"/>
    <w:basedOn w:val="729"/>
    <w:next w:val="912"/>
    <w:link w:val="718"/>
    <w:uiPriority w:val="99"/>
    <w:qFormat/>
    <w:tblPr/>
  </w:style>
  <w:style w:type="table" w:styleId="913">
    <w:name w:val="Grid Table 5 Dark- Accent 4"/>
    <w:basedOn w:val="729"/>
    <w:next w:val="913"/>
    <w:link w:val="718"/>
    <w:uiPriority w:val="99"/>
    <w:qFormat/>
    <w:tblPr/>
  </w:style>
  <w:style w:type="table" w:styleId="914">
    <w:name w:val="Grid Table 5 Dark - Accent 5"/>
    <w:basedOn w:val="729"/>
    <w:next w:val="914"/>
    <w:link w:val="718"/>
    <w:uiPriority w:val="99"/>
    <w:qFormat/>
    <w:tblPr/>
  </w:style>
  <w:style w:type="table" w:styleId="915">
    <w:name w:val="Grid Table 5 Dark - Accent 6"/>
    <w:basedOn w:val="729"/>
    <w:next w:val="915"/>
    <w:link w:val="718"/>
    <w:uiPriority w:val="99"/>
    <w:qFormat/>
    <w:tblPr/>
  </w:style>
  <w:style w:type="table" w:styleId="916">
    <w:name w:val="Grid Table 6 Colorful - Accent 1"/>
    <w:basedOn w:val="729"/>
    <w:next w:val="916"/>
    <w:link w:val="718"/>
    <w:uiPriority w:val="99"/>
    <w:qFormat/>
    <w:tblPr/>
  </w:style>
  <w:style w:type="table" w:styleId="917">
    <w:name w:val="Grid Table 6 Colorful - Accent 2"/>
    <w:basedOn w:val="729"/>
    <w:next w:val="917"/>
    <w:link w:val="718"/>
    <w:uiPriority w:val="99"/>
    <w:qFormat/>
    <w:tblPr/>
  </w:style>
  <w:style w:type="table" w:styleId="918">
    <w:name w:val="Grid Table 6 Colorful - Accent 3"/>
    <w:basedOn w:val="729"/>
    <w:next w:val="918"/>
    <w:link w:val="718"/>
    <w:uiPriority w:val="99"/>
    <w:qFormat/>
    <w:tblPr/>
  </w:style>
  <w:style w:type="table" w:styleId="919">
    <w:name w:val="Grid Table 6 Colorful - Accent 4"/>
    <w:basedOn w:val="729"/>
    <w:next w:val="919"/>
    <w:link w:val="718"/>
    <w:uiPriority w:val="99"/>
    <w:qFormat/>
    <w:tblPr/>
  </w:style>
  <w:style w:type="table" w:styleId="920">
    <w:name w:val="Grid Table 6 Colorful - Accent 5"/>
    <w:basedOn w:val="729"/>
    <w:next w:val="920"/>
    <w:link w:val="718"/>
    <w:uiPriority w:val="99"/>
    <w:qFormat/>
    <w:tblPr/>
  </w:style>
  <w:style w:type="table" w:styleId="921">
    <w:name w:val="Grid Table 6 Colorful - Accent 6"/>
    <w:basedOn w:val="729"/>
    <w:next w:val="921"/>
    <w:link w:val="718"/>
    <w:uiPriority w:val="99"/>
    <w:qFormat/>
    <w:tblPr/>
  </w:style>
  <w:style w:type="table" w:styleId="922">
    <w:name w:val="Grid Table 7 Colorful - Accent 1"/>
    <w:basedOn w:val="729"/>
    <w:next w:val="922"/>
    <w:link w:val="718"/>
    <w:uiPriority w:val="99"/>
    <w:qFormat/>
    <w:tblPr/>
  </w:style>
  <w:style w:type="table" w:styleId="923">
    <w:name w:val="Grid Table 7 Colorful - Accent 2"/>
    <w:basedOn w:val="729"/>
    <w:next w:val="923"/>
    <w:link w:val="718"/>
    <w:uiPriority w:val="99"/>
    <w:qFormat/>
    <w:tblPr/>
  </w:style>
  <w:style w:type="table" w:styleId="924">
    <w:name w:val="Grid Table 7 Colorful - Accent 3"/>
    <w:basedOn w:val="729"/>
    <w:next w:val="924"/>
    <w:link w:val="718"/>
    <w:uiPriority w:val="99"/>
    <w:qFormat/>
    <w:tblPr/>
  </w:style>
  <w:style w:type="table" w:styleId="925">
    <w:name w:val="Grid Table 7 Colorful - Accent 4"/>
    <w:basedOn w:val="729"/>
    <w:next w:val="925"/>
    <w:link w:val="718"/>
    <w:uiPriority w:val="99"/>
    <w:qFormat/>
    <w:tblPr/>
  </w:style>
  <w:style w:type="table" w:styleId="926">
    <w:name w:val="Grid Table 7 Colorful - Accent 5"/>
    <w:basedOn w:val="729"/>
    <w:next w:val="926"/>
    <w:link w:val="718"/>
    <w:uiPriority w:val="99"/>
    <w:qFormat/>
    <w:tblPr/>
  </w:style>
  <w:style w:type="table" w:styleId="927">
    <w:name w:val="Grid Table 7 Colorful - Accent 6"/>
    <w:basedOn w:val="729"/>
    <w:next w:val="927"/>
    <w:link w:val="718"/>
    <w:uiPriority w:val="99"/>
    <w:qFormat/>
    <w:tblPr/>
  </w:style>
  <w:style w:type="table" w:styleId="928">
    <w:name w:val="List Table 1 Light - Accent 1"/>
    <w:basedOn w:val="729"/>
    <w:next w:val="928"/>
    <w:link w:val="718"/>
    <w:uiPriority w:val="99"/>
    <w:qFormat/>
    <w:tblPr/>
  </w:style>
  <w:style w:type="table" w:styleId="929">
    <w:name w:val="List Table 1 Light - Accent 2"/>
    <w:basedOn w:val="729"/>
    <w:next w:val="929"/>
    <w:link w:val="718"/>
    <w:uiPriority w:val="99"/>
    <w:qFormat/>
    <w:tblPr/>
  </w:style>
  <w:style w:type="table" w:styleId="930">
    <w:name w:val="List Table 1 Light - Accent 3"/>
    <w:basedOn w:val="729"/>
    <w:next w:val="930"/>
    <w:link w:val="718"/>
    <w:uiPriority w:val="99"/>
    <w:qFormat/>
    <w:tblPr/>
  </w:style>
  <w:style w:type="table" w:styleId="931">
    <w:name w:val="List Table 1 Light - Accent 4"/>
    <w:basedOn w:val="729"/>
    <w:next w:val="931"/>
    <w:link w:val="718"/>
    <w:uiPriority w:val="99"/>
    <w:qFormat/>
    <w:tblPr/>
  </w:style>
  <w:style w:type="table" w:styleId="932">
    <w:name w:val="List Table 1 Light - Accent 5"/>
    <w:basedOn w:val="729"/>
    <w:next w:val="932"/>
    <w:link w:val="718"/>
    <w:uiPriority w:val="99"/>
    <w:qFormat/>
    <w:tblPr/>
  </w:style>
  <w:style w:type="table" w:styleId="933">
    <w:name w:val="List Table 1 Light - Accent 6"/>
    <w:basedOn w:val="729"/>
    <w:next w:val="933"/>
    <w:link w:val="718"/>
    <w:uiPriority w:val="99"/>
    <w:qFormat/>
    <w:tblPr/>
  </w:style>
  <w:style w:type="table" w:styleId="934">
    <w:name w:val="List Table 2 - Accent 1"/>
    <w:basedOn w:val="729"/>
    <w:next w:val="934"/>
    <w:link w:val="718"/>
    <w:uiPriority w:val="99"/>
    <w:qFormat/>
    <w:tblPr/>
  </w:style>
  <w:style w:type="table" w:styleId="935">
    <w:name w:val="List Table 2 - Accent 2"/>
    <w:basedOn w:val="729"/>
    <w:next w:val="935"/>
    <w:link w:val="718"/>
    <w:uiPriority w:val="99"/>
    <w:qFormat/>
    <w:tblPr/>
  </w:style>
  <w:style w:type="table" w:styleId="936">
    <w:name w:val="List Table 2 - Accent 3"/>
    <w:basedOn w:val="729"/>
    <w:next w:val="936"/>
    <w:link w:val="718"/>
    <w:uiPriority w:val="99"/>
    <w:qFormat/>
    <w:tblPr/>
  </w:style>
  <w:style w:type="table" w:styleId="937">
    <w:name w:val="List Table 2 - Accent 4"/>
    <w:basedOn w:val="729"/>
    <w:next w:val="937"/>
    <w:link w:val="718"/>
    <w:uiPriority w:val="99"/>
    <w:qFormat/>
    <w:tblPr/>
  </w:style>
  <w:style w:type="table" w:styleId="938">
    <w:name w:val="List Table 2 - Accent 5"/>
    <w:basedOn w:val="729"/>
    <w:next w:val="938"/>
    <w:link w:val="718"/>
    <w:uiPriority w:val="99"/>
    <w:qFormat/>
    <w:tblPr/>
  </w:style>
  <w:style w:type="table" w:styleId="939">
    <w:name w:val="List Table 2 - Accent 6"/>
    <w:basedOn w:val="729"/>
    <w:next w:val="939"/>
    <w:link w:val="718"/>
    <w:uiPriority w:val="99"/>
    <w:qFormat/>
    <w:tblPr/>
  </w:style>
  <w:style w:type="table" w:styleId="940">
    <w:name w:val="List Table 3 - Accent 1"/>
    <w:basedOn w:val="729"/>
    <w:next w:val="940"/>
    <w:link w:val="718"/>
    <w:uiPriority w:val="99"/>
    <w:qFormat/>
    <w:tblPr/>
  </w:style>
  <w:style w:type="table" w:styleId="941">
    <w:name w:val="List Table 3 - Accent 2"/>
    <w:basedOn w:val="729"/>
    <w:next w:val="941"/>
    <w:link w:val="718"/>
    <w:uiPriority w:val="99"/>
    <w:qFormat/>
    <w:tblPr/>
  </w:style>
  <w:style w:type="table" w:styleId="942">
    <w:name w:val="List Table 3 - Accent 3"/>
    <w:basedOn w:val="729"/>
    <w:next w:val="942"/>
    <w:link w:val="718"/>
    <w:uiPriority w:val="99"/>
    <w:qFormat/>
    <w:tblPr/>
  </w:style>
  <w:style w:type="table" w:styleId="943">
    <w:name w:val="List Table 3 - Accent 4"/>
    <w:basedOn w:val="729"/>
    <w:next w:val="943"/>
    <w:link w:val="718"/>
    <w:uiPriority w:val="99"/>
    <w:qFormat/>
    <w:tblPr/>
  </w:style>
  <w:style w:type="table" w:styleId="944">
    <w:name w:val="List Table 3 - Accent 5"/>
    <w:basedOn w:val="729"/>
    <w:next w:val="944"/>
    <w:link w:val="718"/>
    <w:uiPriority w:val="99"/>
    <w:qFormat/>
    <w:tblPr/>
  </w:style>
  <w:style w:type="table" w:styleId="945">
    <w:name w:val="List Table 3 - Accent 6"/>
    <w:basedOn w:val="729"/>
    <w:next w:val="945"/>
    <w:link w:val="718"/>
    <w:uiPriority w:val="99"/>
    <w:qFormat/>
    <w:tblPr/>
  </w:style>
  <w:style w:type="table" w:styleId="946">
    <w:name w:val="List Table 4 - Accent 1"/>
    <w:basedOn w:val="729"/>
    <w:next w:val="946"/>
    <w:link w:val="718"/>
    <w:uiPriority w:val="99"/>
    <w:qFormat/>
    <w:tblPr/>
  </w:style>
  <w:style w:type="table" w:styleId="947">
    <w:name w:val="List Table 4 - Accent 2"/>
    <w:basedOn w:val="729"/>
    <w:next w:val="947"/>
    <w:link w:val="718"/>
    <w:uiPriority w:val="99"/>
    <w:qFormat/>
    <w:tblPr/>
  </w:style>
  <w:style w:type="table" w:styleId="948">
    <w:name w:val="List Table 4 - Accent 3"/>
    <w:basedOn w:val="729"/>
    <w:next w:val="948"/>
    <w:link w:val="718"/>
    <w:uiPriority w:val="99"/>
    <w:qFormat/>
    <w:tblPr/>
  </w:style>
  <w:style w:type="table" w:styleId="949">
    <w:name w:val="List Table 4 - Accent 4"/>
    <w:basedOn w:val="729"/>
    <w:next w:val="949"/>
    <w:link w:val="718"/>
    <w:uiPriority w:val="99"/>
    <w:qFormat/>
    <w:tblPr/>
  </w:style>
  <w:style w:type="table" w:styleId="950">
    <w:name w:val="List Table 4 - Accent 5"/>
    <w:basedOn w:val="729"/>
    <w:next w:val="950"/>
    <w:link w:val="718"/>
    <w:uiPriority w:val="99"/>
    <w:qFormat/>
    <w:tblPr/>
  </w:style>
  <w:style w:type="table" w:styleId="951">
    <w:name w:val="List Table 4 - Accent 6"/>
    <w:basedOn w:val="729"/>
    <w:next w:val="951"/>
    <w:link w:val="718"/>
    <w:uiPriority w:val="99"/>
    <w:qFormat/>
    <w:tblPr/>
  </w:style>
  <w:style w:type="table" w:styleId="952">
    <w:name w:val="List Table 5 Dark - Accent 1"/>
    <w:basedOn w:val="729"/>
    <w:next w:val="952"/>
    <w:link w:val="718"/>
    <w:uiPriority w:val="99"/>
    <w:qFormat/>
    <w:tblPr/>
  </w:style>
  <w:style w:type="table" w:styleId="953">
    <w:name w:val="List Table 5 Dark - Accent 2"/>
    <w:basedOn w:val="729"/>
    <w:next w:val="953"/>
    <w:link w:val="718"/>
    <w:uiPriority w:val="99"/>
    <w:qFormat/>
    <w:tblPr/>
  </w:style>
  <w:style w:type="table" w:styleId="954">
    <w:name w:val="List Table 5 Dark - Accent 3"/>
    <w:basedOn w:val="729"/>
    <w:next w:val="954"/>
    <w:link w:val="718"/>
    <w:uiPriority w:val="99"/>
    <w:qFormat/>
    <w:tblPr/>
  </w:style>
  <w:style w:type="table" w:styleId="955">
    <w:name w:val="List Table 5 Dark - Accent 4"/>
    <w:basedOn w:val="729"/>
    <w:next w:val="955"/>
    <w:link w:val="718"/>
    <w:uiPriority w:val="99"/>
    <w:qFormat/>
    <w:tblPr/>
  </w:style>
  <w:style w:type="table" w:styleId="956">
    <w:name w:val="List Table 5 Dark - Accent 5"/>
    <w:basedOn w:val="729"/>
    <w:next w:val="956"/>
    <w:link w:val="718"/>
    <w:uiPriority w:val="99"/>
    <w:qFormat/>
    <w:tblPr/>
  </w:style>
  <w:style w:type="table" w:styleId="957">
    <w:name w:val="List Table 5 Dark - Accent 6"/>
    <w:basedOn w:val="729"/>
    <w:next w:val="957"/>
    <w:link w:val="718"/>
    <w:uiPriority w:val="99"/>
    <w:qFormat/>
    <w:tblPr/>
  </w:style>
  <w:style w:type="table" w:styleId="958">
    <w:name w:val="List Table 6 Colorful - Accent 1"/>
    <w:basedOn w:val="729"/>
    <w:next w:val="958"/>
    <w:link w:val="718"/>
    <w:uiPriority w:val="99"/>
    <w:qFormat/>
    <w:tblPr/>
  </w:style>
  <w:style w:type="table" w:styleId="959">
    <w:name w:val="List Table 6 Colorful - Accent 2"/>
    <w:basedOn w:val="729"/>
    <w:next w:val="959"/>
    <w:link w:val="718"/>
    <w:uiPriority w:val="99"/>
    <w:qFormat/>
    <w:tblPr/>
  </w:style>
  <w:style w:type="table" w:styleId="960">
    <w:name w:val="List Table 6 Colorful - Accent 3"/>
    <w:basedOn w:val="729"/>
    <w:next w:val="960"/>
    <w:link w:val="718"/>
    <w:uiPriority w:val="99"/>
    <w:qFormat/>
    <w:tblPr/>
  </w:style>
  <w:style w:type="table" w:styleId="961">
    <w:name w:val="List Table 6 Colorful - Accent 4"/>
    <w:basedOn w:val="729"/>
    <w:next w:val="961"/>
    <w:link w:val="718"/>
    <w:uiPriority w:val="99"/>
    <w:qFormat/>
    <w:tblPr/>
  </w:style>
  <w:style w:type="table" w:styleId="962">
    <w:name w:val="List Table 6 Colorful - Accent 5"/>
    <w:basedOn w:val="729"/>
    <w:next w:val="962"/>
    <w:link w:val="718"/>
    <w:uiPriority w:val="99"/>
    <w:qFormat/>
    <w:tblPr/>
  </w:style>
  <w:style w:type="table" w:styleId="963">
    <w:name w:val="List Table 6 Colorful - Accent 6"/>
    <w:basedOn w:val="729"/>
    <w:next w:val="963"/>
    <w:link w:val="718"/>
    <w:uiPriority w:val="99"/>
    <w:qFormat/>
    <w:tblPr/>
  </w:style>
  <w:style w:type="table" w:styleId="964">
    <w:name w:val="List Table 7 Colorful - Accent 1"/>
    <w:basedOn w:val="729"/>
    <w:next w:val="964"/>
    <w:link w:val="718"/>
    <w:uiPriority w:val="99"/>
    <w:qFormat/>
    <w:tblPr/>
  </w:style>
  <w:style w:type="table" w:styleId="965">
    <w:name w:val="List Table 7 Colorful - Accent 2"/>
    <w:basedOn w:val="729"/>
    <w:next w:val="965"/>
    <w:link w:val="718"/>
    <w:uiPriority w:val="99"/>
    <w:qFormat/>
    <w:tblPr/>
  </w:style>
  <w:style w:type="table" w:styleId="966">
    <w:name w:val="List Table 7 Colorful - Accent 3"/>
    <w:basedOn w:val="729"/>
    <w:next w:val="966"/>
    <w:link w:val="718"/>
    <w:uiPriority w:val="99"/>
    <w:qFormat/>
    <w:tblPr/>
  </w:style>
  <w:style w:type="table" w:styleId="967">
    <w:name w:val="List Table 7 Colorful - Accent 4"/>
    <w:basedOn w:val="729"/>
    <w:next w:val="967"/>
    <w:link w:val="718"/>
    <w:uiPriority w:val="99"/>
    <w:qFormat/>
    <w:tblPr/>
  </w:style>
  <w:style w:type="table" w:styleId="968">
    <w:name w:val="List Table 7 Colorful - Accent 5"/>
    <w:basedOn w:val="729"/>
    <w:next w:val="968"/>
    <w:link w:val="718"/>
    <w:uiPriority w:val="99"/>
    <w:qFormat/>
    <w:tblPr/>
  </w:style>
  <w:style w:type="table" w:styleId="969">
    <w:name w:val="List Table 7 Colorful - Accent 6"/>
    <w:basedOn w:val="729"/>
    <w:next w:val="969"/>
    <w:link w:val="718"/>
    <w:uiPriority w:val="99"/>
    <w:qFormat/>
    <w:tblPr/>
  </w:style>
  <w:style w:type="table" w:styleId="970">
    <w:name w:val="Lined - Accent"/>
    <w:basedOn w:val="729"/>
    <w:next w:val="970"/>
    <w:link w:val="718"/>
    <w:uiPriority w:val="99"/>
    <w:qFormat/>
    <w:rPr>
      <w:color w:val="404040"/>
    </w:rPr>
    <w:tblPr/>
  </w:style>
  <w:style w:type="table" w:styleId="971">
    <w:name w:val="Lined - Accent 1"/>
    <w:basedOn w:val="729"/>
    <w:next w:val="971"/>
    <w:link w:val="718"/>
    <w:uiPriority w:val="99"/>
    <w:qFormat/>
    <w:rPr>
      <w:color w:val="404040"/>
    </w:rPr>
    <w:tblPr/>
  </w:style>
  <w:style w:type="table" w:styleId="972">
    <w:name w:val="Lined - Accent 2"/>
    <w:basedOn w:val="729"/>
    <w:next w:val="972"/>
    <w:link w:val="718"/>
    <w:uiPriority w:val="99"/>
    <w:qFormat/>
    <w:rPr>
      <w:color w:val="404040"/>
    </w:rPr>
    <w:tblPr/>
  </w:style>
  <w:style w:type="table" w:styleId="973">
    <w:name w:val="Lined - Accent 3"/>
    <w:basedOn w:val="729"/>
    <w:next w:val="973"/>
    <w:link w:val="718"/>
    <w:uiPriority w:val="99"/>
    <w:qFormat/>
    <w:rPr>
      <w:color w:val="404040"/>
    </w:rPr>
    <w:tblPr/>
  </w:style>
  <w:style w:type="table" w:styleId="974">
    <w:name w:val="Lined - Accent 4"/>
    <w:basedOn w:val="729"/>
    <w:next w:val="974"/>
    <w:link w:val="718"/>
    <w:uiPriority w:val="99"/>
    <w:qFormat/>
    <w:rPr>
      <w:color w:val="404040"/>
    </w:rPr>
    <w:tblPr/>
  </w:style>
  <w:style w:type="table" w:styleId="975">
    <w:name w:val="Lined - Accent 5"/>
    <w:basedOn w:val="729"/>
    <w:next w:val="975"/>
    <w:link w:val="718"/>
    <w:uiPriority w:val="99"/>
    <w:qFormat/>
    <w:rPr>
      <w:color w:val="404040"/>
    </w:rPr>
    <w:tblPr/>
  </w:style>
  <w:style w:type="table" w:styleId="976">
    <w:name w:val="Lined - Accent 6"/>
    <w:basedOn w:val="729"/>
    <w:next w:val="976"/>
    <w:link w:val="718"/>
    <w:uiPriority w:val="99"/>
    <w:qFormat/>
    <w:rPr>
      <w:color w:val="404040"/>
    </w:rPr>
    <w:tblPr/>
  </w:style>
  <w:style w:type="table" w:styleId="977">
    <w:name w:val="Bordered &amp; Lined - Accent"/>
    <w:basedOn w:val="729"/>
    <w:next w:val="977"/>
    <w:link w:val="718"/>
    <w:uiPriority w:val="99"/>
    <w:qFormat/>
    <w:rPr>
      <w:color w:val="404040"/>
    </w:rPr>
    <w:tblPr/>
  </w:style>
  <w:style w:type="table" w:styleId="978">
    <w:name w:val="Bordered &amp; Lined - Accent 1"/>
    <w:basedOn w:val="729"/>
    <w:next w:val="978"/>
    <w:link w:val="718"/>
    <w:uiPriority w:val="99"/>
    <w:qFormat/>
    <w:rPr>
      <w:color w:val="404040"/>
    </w:rPr>
    <w:tblPr/>
  </w:style>
  <w:style w:type="table" w:styleId="979">
    <w:name w:val="Bordered &amp; Lined - Accent 2"/>
    <w:basedOn w:val="729"/>
    <w:next w:val="979"/>
    <w:link w:val="718"/>
    <w:uiPriority w:val="99"/>
    <w:qFormat/>
    <w:rPr>
      <w:color w:val="404040"/>
    </w:rPr>
    <w:tblPr/>
  </w:style>
  <w:style w:type="table" w:styleId="980">
    <w:name w:val="Bordered &amp; Lined - Accent 3"/>
    <w:basedOn w:val="729"/>
    <w:next w:val="980"/>
    <w:link w:val="718"/>
    <w:uiPriority w:val="99"/>
    <w:qFormat/>
    <w:rPr>
      <w:color w:val="404040"/>
    </w:rPr>
    <w:tblPr/>
  </w:style>
  <w:style w:type="table" w:styleId="981">
    <w:name w:val="Bordered &amp; Lined - Accent 4"/>
    <w:basedOn w:val="729"/>
    <w:next w:val="981"/>
    <w:link w:val="718"/>
    <w:uiPriority w:val="99"/>
    <w:qFormat/>
    <w:rPr>
      <w:color w:val="404040"/>
    </w:rPr>
    <w:tblPr/>
  </w:style>
  <w:style w:type="table" w:styleId="982">
    <w:name w:val="Bordered &amp; Lined - Accent 5"/>
    <w:basedOn w:val="729"/>
    <w:next w:val="982"/>
    <w:link w:val="718"/>
    <w:uiPriority w:val="99"/>
    <w:qFormat/>
    <w:rPr>
      <w:color w:val="404040"/>
    </w:rPr>
    <w:tblPr/>
  </w:style>
  <w:style w:type="table" w:styleId="983">
    <w:name w:val="Bordered &amp; Lined - Accent 6"/>
    <w:basedOn w:val="729"/>
    <w:next w:val="983"/>
    <w:link w:val="718"/>
    <w:uiPriority w:val="99"/>
    <w:qFormat/>
    <w:rPr>
      <w:color w:val="404040"/>
    </w:rPr>
    <w:tblPr/>
  </w:style>
  <w:style w:type="table" w:styleId="984">
    <w:name w:val="Bordered"/>
    <w:basedOn w:val="729"/>
    <w:next w:val="984"/>
    <w:link w:val="718"/>
    <w:uiPriority w:val="99"/>
    <w:qFormat/>
    <w:tblPr/>
  </w:style>
  <w:style w:type="table" w:styleId="985">
    <w:name w:val="Bordered - Accent 1"/>
    <w:basedOn w:val="729"/>
    <w:next w:val="985"/>
    <w:link w:val="718"/>
    <w:uiPriority w:val="99"/>
    <w:qFormat/>
    <w:tblPr/>
  </w:style>
  <w:style w:type="table" w:styleId="986">
    <w:name w:val="Bordered - Accent 2"/>
    <w:basedOn w:val="729"/>
    <w:next w:val="986"/>
    <w:link w:val="718"/>
    <w:uiPriority w:val="99"/>
    <w:qFormat/>
    <w:tblPr/>
  </w:style>
  <w:style w:type="table" w:styleId="987">
    <w:name w:val="Bordered - Accent 3"/>
    <w:basedOn w:val="729"/>
    <w:next w:val="987"/>
    <w:link w:val="718"/>
    <w:uiPriority w:val="99"/>
    <w:qFormat/>
    <w:tblPr/>
  </w:style>
  <w:style w:type="table" w:styleId="988">
    <w:name w:val="Bordered - Accent 4"/>
    <w:basedOn w:val="729"/>
    <w:next w:val="988"/>
    <w:link w:val="718"/>
    <w:uiPriority w:val="99"/>
    <w:qFormat/>
    <w:tblPr/>
  </w:style>
  <w:style w:type="table" w:styleId="989">
    <w:name w:val="Bordered - Accent 5"/>
    <w:basedOn w:val="729"/>
    <w:next w:val="989"/>
    <w:link w:val="718"/>
    <w:uiPriority w:val="99"/>
    <w:qFormat/>
    <w:tblPr/>
  </w:style>
  <w:style w:type="table" w:styleId="990">
    <w:name w:val="Bordered - Accent 6"/>
    <w:basedOn w:val="729"/>
    <w:next w:val="990"/>
    <w:link w:val="718"/>
    <w:uiPriority w:val="99"/>
    <w:qFormat/>
    <w:tblPr/>
  </w:style>
  <w:style w:type="paragraph" w:styleId="991">
    <w:name w:val="TOC 标题11"/>
    <w:next w:val="991"/>
    <w:link w:val="718"/>
    <w:uiPriority w:val="39"/>
    <w:unhideWhenUsed/>
    <w:qFormat/>
    <w:rPr>
      <w:lang w:val="en-US" w:eastAsia="zh-CN" w:bidi="ar-SA"/>
    </w:rPr>
  </w:style>
  <w:style w:type="paragraph" w:styleId="992">
    <w:name w:val="Normal_0"/>
    <w:next w:val="992"/>
    <w:link w:val="718"/>
    <w:qFormat/>
    <w:rPr>
      <w:rFonts w:ascii="黑体" w:hAnsi="黑体" w:eastAsia="黑体"/>
      <w:b/>
      <w:sz w:val="32"/>
      <w:szCs w:val="24"/>
      <w:lang w:val="en-US" w:eastAsia="zh-CN" w:bidi="ar-SA"/>
    </w:rPr>
  </w:style>
  <w:style w:type="paragraph" w:styleId="993">
    <w:name w:val="正文1"/>
    <w:next w:val="738"/>
    <w:link w:val="718"/>
    <w:qFormat/>
    <w:rPr>
      <w:rFonts w:eastAsia="Times New Roman"/>
      <w:sz w:val="24"/>
      <w:szCs w:val="24"/>
      <w:lang w:val="en-US" w:eastAsia="zh-CN" w:bidi="ar-SA"/>
    </w:rPr>
  </w:style>
  <w:style w:type="paragraph" w:styleId="994">
    <w:name w:val="Normal_0_3"/>
    <w:next w:val="994"/>
    <w:link w:val="718"/>
    <w:qFormat/>
    <w:rPr>
      <w:rFonts w:ascii="黑体" w:hAnsi="黑体" w:eastAsia="黑体" w:cs="黑体"/>
      <w:b/>
      <w:sz w:val="32"/>
      <w:szCs w:val="24"/>
      <w:lang w:val="en-US" w:eastAsia="zh-CN" w:bidi="ar-SA"/>
    </w:rPr>
  </w:style>
  <w:style w:type="paragraph" w:styleId="995">
    <w:name w:val="正文首行缩进 2_0"/>
    <w:basedOn w:val="996"/>
    <w:next w:val="995"/>
    <w:link w:val="718"/>
    <w:qFormat/>
    <w:pPr>
      <w:ind w:left="200" w:firstLine="200"/>
      <w:spacing w:after="120"/>
    </w:pPr>
    <w:rPr>
      <w:rFonts w:ascii="Times New Roman" w:hAnsi="Times New Roman"/>
      <w:sz w:val="24"/>
      <w:szCs w:val="24"/>
    </w:rPr>
  </w:style>
  <w:style w:type="paragraph" w:styleId="996">
    <w:name w:val="正文文本缩进_0"/>
    <w:basedOn w:val="997"/>
    <w:next w:val="996"/>
    <w:link w:val="718"/>
    <w:qFormat/>
    <w:pPr>
      <w:ind w:firstLine="225"/>
    </w:pPr>
    <w:rPr>
      <w:rFonts w:ascii="仿宋_GB2312" w:eastAsia="仿宋_GB2312"/>
      <w:sz w:val="32"/>
    </w:rPr>
  </w:style>
  <w:style w:type="paragraph" w:styleId="997">
    <w:name w:val="正文_2"/>
    <w:next w:val="996"/>
    <w:link w:val="718"/>
    <w:qFormat/>
    <w:pPr>
      <w:jc w:val="both"/>
      <w:widowControl w:val="off"/>
    </w:pPr>
    <w:rPr>
      <w:rFonts w:ascii="Calibri" w:hAnsi="Calibri"/>
      <w:sz w:val="21"/>
      <w:szCs w:val="22"/>
      <w:lang w:val="en-US" w:eastAsia="zh-CN" w:bidi="ar-SA"/>
    </w:rPr>
  </w:style>
  <w:style w:type="paragraph" w:styleId="998">
    <w:name w:val="Normal_0_2"/>
    <w:next w:val="999"/>
    <w:link w:val="718"/>
    <w:qFormat/>
    <w:rPr>
      <w:rFonts w:ascii="黑体" w:hAnsi="黑体" w:eastAsia="黑体" w:cs="黑体"/>
      <w:b/>
      <w:sz w:val="32"/>
      <w:szCs w:val="24"/>
      <w:lang w:val="en-US" w:eastAsia="zh-CN" w:bidi="ar-SA"/>
    </w:rPr>
  </w:style>
  <w:style w:type="paragraph" w:styleId="999">
    <w:name w:val="Body Text First Indent_1"/>
    <w:basedOn w:val="737"/>
    <w:next w:val="999"/>
    <w:link w:val="718"/>
    <w:uiPriority w:val="99"/>
    <w:unhideWhenUsed/>
    <w:qFormat/>
    <w:pPr>
      <w:ind w:firstLine="420"/>
      <w:spacing w:after="120"/>
    </w:pPr>
    <w:rPr>
      <w:rFonts w:eastAsia="Times New Roman"/>
      <w:sz w:val="20"/>
    </w:rPr>
  </w:style>
  <w:style w:type="paragraph" w:styleId="1000">
    <w:name w:val="Normal_1_2"/>
    <w:next w:val="1000"/>
    <w:link w:val="718"/>
    <w:qFormat/>
    <w:rPr>
      <w:rFonts w:eastAsia="Times New Roman"/>
      <w:sz w:val="24"/>
      <w:szCs w:val="24"/>
      <w:lang w:val="en-US" w:eastAsia="zh-CN" w:bidi="ar-SA"/>
    </w:rPr>
  </w:style>
  <w:style w:type="paragraph" w:styleId="1001">
    <w:name w:val="Normal_0_1"/>
    <w:next w:val="1002"/>
    <w:link w:val="718"/>
    <w:qFormat/>
    <w:rPr>
      <w:rFonts w:ascii="黑体" w:hAnsi="黑体" w:eastAsia="黑体" w:cs="黑体"/>
      <w:b/>
      <w:sz w:val="32"/>
      <w:szCs w:val="24"/>
      <w:lang w:val="en-US" w:eastAsia="zh-CN" w:bidi="ar-SA"/>
    </w:rPr>
  </w:style>
  <w:style w:type="paragraph" w:styleId="1002">
    <w:name w:val="Body Text First Indent_0"/>
    <w:basedOn w:val="1003"/>
    <w:next w:val="1002"/>
    <w:link w:val="718"/>
    <w:uiPriority w:val="99"/>
    <w:unhideWhenUsed/>
    <w:qFormat/>
    <w:pPr>
      <w:ind w:firstLine="420"/>
      <w:spacing w:after="120"/>
    </w:pPr>
    <w:rPr>
      <w:rFonts w:eastAsia="Times New Roman"/>
    </w:rPr>
  </w:style>
  <w:style w:type="paragraph" w:styleId="1003">
    <w:name w:val="正文3"/>
    <w:next w:val="1004"/>
    <w:link w:val="718"/>
    <w:qFormat/>
    <w:rPr>
      <w:rFonts w:eastAsia="Times New Roman"/>
      <w:sz w:val="24"/>
      <w:szCs w:val="24"/>
      <w:lang w:val="en-US" w:eastAsia="zh-CN" w:bidi="ar-SA"/>
    </w:rPr>
  </w:style>
  <w:style w:type="paragraph" w:styleId="1004">
    <w:name w:val="正文首行缩进3"/>
    <w:basedOn w:val="993"/>
    <w:next w:val="1004"/>
    <w:link w:val="718"/>
    <w:uiPriority w:val="99"/>
    <w:unhideWhenUsed/>
    <w:qFormat/>
    <w:pPr>
      <w:ind w:firstLine="420"/>
      <w:spacing w:after="120"/>
    </w:pPr>
    <w:rPr>
      <w:sz w:val="20"/>
    </w:rPr>
  </w:style>
  <w:style w:type="paragraph" w:styleId="1005">
    <w:name w:val="Normal_1_1"/>
    <w:next w:val="1005"/>
    <w:link w:val="718"/>
    <w:qFormat/>
    <w:rPr>
      <w:rFonts w:ascii="黑体" w:hAnsi="黑体" w:eastAsia="黑体" w:cs="黑体"/>
      <w:b/>
      <w:sz w:val="32"/>
      <w:szCs w:val="24"/>
      <w:lang w:val="en-US" w:eastAsia="zh-CN" w:bidi="ar-SA"/>
    </w:rPr>
  </w:style>
  <w:style w:type="paragraph" w:styleId="1006">
    <w:name w:val="正文_0_1"/>
    <w:next w:val="1006"/>
    <w:link w:val="718"/>
    <w:qFormat/>
    <w:pPr>
      <w:jc w:val="both"/>
      <w:widowControl w:val="off"/>
    </w:pPr>
    <w:rPr>
      <w:rFonts w:ascii="Calibri" w:hAnsi="Calibri"/>
      <w:sz w:val="21"/>
      <w:szCs w:val="22"/>
      <w:lang w:val="en-US" w:eastAsia="zh-CN" w:bidi="ar-SA"/>
    </w:rPr>
  </w:style>
  <w:style w:type="paragraph" w:styleId="1007">
    <w:name w:val="正文_1_1"/>
    <w:next w:val="1007"/>
    <w:link w:val="718"/>
    <w:qFormat/>
    <w:pPr>
      <w:jc w:val="both"/>
      <w:widowControl w:val="off"/>
    </w:pPr>
    <w:rPr>
      <w:rFonts w:ascii="Calibri" w:hAnsi="Calibri"/>
      <w:sz w:val="21"/>
      <w:szCs w:val="22"/>
      <w:lang w:val="en-US" w:eastAsia="zh-CN" w:bidi="ar-SA"/>
    </w:rPr>
  </w:style>
  <w:style w:type="paragraph" w:styleId="1008">
    <w:name w:val="Normal_2_0"/>
    <w:next w:val="1008"/>
    <w:link w:val="718"/>
    <w:qFormat/>
    <w:rPr>
      <w:rFonts w:ascii="黑体" w:hAnsi="黑体" w:eastAsia="黑体" w:cs="黑体"/>
      <w:b/>
      <w:sz w:val="32"/>
      <w:szCs w:val="24"/>
      <w:lang w:val="en-US" w:eastAsia="zh-CN" w:bidi="ar-SA"/>
    </w:rPr>
  </w:style>
  <w:style w:type="paragraph" w:styleId="1009">
    <w:name w:val="Normal_3_0"/>
    <w:next w:val="1009"/>
    <w:link w:val="718"/>
    <w:qFormat/>
    <w:pPr>
      <w:jc w:val="both"/>
      <w:widowControl w:val="off"/>
    </w:pPr>
    <w:rPr>
      <w:rFonts w:ascii="Calibri" w:hAnsi="Calibri"/>
      <w:sz w:val="21"/>
      <w:szCs w:val="22"/>
      <w:lang w:val="en-US" w:eastAsia="zh-CN" w:bidi="ar-SA"/>
    </w:rPr>
  </w:style>
  <w:style w:type="paragraph" w:styleId="1010">
    <w:name w:val="Normal_4_0"/>
    <w:next w:val="1010"/>
    <w:link w:val="718"/>
    <w:qFormat/>
    <w:rPr>
      <w:rFonts w:ascii="黑体" w:hAnsi="黑体" w:eastAsia="黑体" w:cs="黑体"/>
      <w:b/>
      <w:sz w:val="32"/>
      <w:szCs w:val="24"/>
      <w:lang w:val="en-US" w:eastAsia="zh-CN" w:bidi="ar-SA"/>
    </w:rPr>
  </w:style>
  <w:style w:type="paragraph" w:styleId="1011">
    <w:name w:val="Normal_5_0"/>
    <w:next w:val="1011"/>
    <w:link w:val="718"/>
    <w:qFormat/>
    <w:pPr>
      <w:jc w:val="both"/>
      <w:widowControl w:val="off"/>
    </w:pPr>
    <w:rPr>
      <w:rFonts w:ascii="Calibri" w:hAnsi="Calibri"/>
      <w:sz w:val="21"/>
      <w:szCs w:val="22"/>
      <w:lang w:val="en-US" w:eastAsia="zh-CN" w:bidi="ar-SA"/>
    </w:rPr>
  </w:style>
  <w:style w:type="paragraph" w:styleId="1012">
    <w:name w:val="Normal_6_0"/>
    <w:next w:val="1012"/>
    <w:link w:val="718"/>
    <w:qFormat/>
    <w:rPr>
      <w:rFonts w:ascii="黑体" w:hAnsi="黑体" w:eastAsia="黑体" w:cs="黑体"/>
      <w:b/>
      <w:sz w:val="32"/>
      <w:szCs w:val="24"/>
      <w:lang w:val="en-US" w:eastAsia="zh-CN" w:bidi="ar-SA"/>
    </w:rPr>
  </w:style>
  <w:style w:type="paragraph" w:styleId="1013">
    <w:name w:val="正文_1_0_0"/>
    <w:next w:val="1013"/>
    <w:link w:val="718"/>
    <w:qFormat/>
    <w:pPr>
      <w:jc w:val="both"/>
      <w:widowControl w:val="off"/>
    </w:pPr>
    <w:rPr>
      <w:sz w:val="21"/>
      <w:lang w:val="en-US" w:eastAsia="zh-CN" w:bidi="ar-SA"/>
    </w:rPr>
  </w:style>
  <w:style w:type="paragraph" w:styleId="1014">
    <w:name w:val="正文_0_0_0_0"/>
    <w:next w:val="1014"/>
    <w:link w:val="718"/>
    <w:qFormat/>
    <w:pPr>
      <w:jc w:val="both"/>
      <w:widowControl w:val="off"/>
    </w:pPr>
    <w:rPr>
      <w:sz w:val="21"/>
      <w:szCs w:val="24"/>
      <w:lang w:val="en-US" w:eastAsia="zh-CN" w:bidi="ar-SA"/>
    </w:rPr>
  </w:style>
  <w:style w:type="paragraph" w:styleId="1015">
    <w:name w:val="正文_1_0_0_0"/>
    <w:next w:val="1015"/>
    <w:link w:val="718"/>
    <w:qFormat/>
    <w:pPr>
      <w:jc w:val="both"/>
      <w:widowControl w:val="off"/>
    </w:pPr>
    <w:rPr>
      <w:sz w:val="21"/>
      <w:lang w:val="en-US" w:eastAsia="zh-CN" w:bidi="ar-SA"/>
    </w:rPr>
  </w:style>
  <w:style w:type="paragraph" w:styleId="1016">
    <w:name w:val="Normal_7_0"/>
    <w:next w:val="1016"/>
    <w:link w:val="718"/>
    <w:qFormat/>
    <w:rPr>
      <w:rFonts w:ascii="黑体" w:hAnsi="黑体" w:eastAsia="黑体" w:cs="黑体"/>
      <w:b/>
      <w:sz w:val="32"/>
      <w:szCs w:val="24"/>
      <w:lang w:val="en-US" w:eastAsia="zh-CN" w:bidi="ar-SA"/>
    </w:rPr>
  </w:style>
  <w:style w:type="paragraph" w:styleId="1017">
    <w:name w:val="Normal_8_0"/>
    <w:next w:val="1017"/>
    <w:link w:val="718"/>
    <w:qFormat/>
    <w:rPr>
      <w:rFonts w:eastAsia="Times New Roman"/>
      <w:sz w:val="24"/>
      <w:szCs w:val="24"/>
      <w:lang w:val="en-US" w:eastAsia="zh-CN" w:bidi="ar-SA"/>
    </w:rPr>
  </w:style>
  <w:style w:type="paragraph" w:styleId="1018">
    <w:name w:val="Normal_9_0"/>
    <w:next w:val="1018"/>
    <w:link w:val="718"/>
    <w:qFormat/>
    <w:rPr>
      <w:rFonts w:eastAsia="Times New Roman"/>
      <w:sz w:val="24"/>
      <w:szCs w:val="24"/>
      <w:lang w:val="en-US" w:eastAsia="zh-CN" w:bidi="ar-SA"/>
    </w:rPr>
  </w:style>
  <w:style w:type="paragraph" w:styleId="1019">
    <w:name w:val="Normal_10_0"/>
    <w:next w:val="1019"/>
    <w:link w:val="718"/>
    <w:qFormat/>
    <w:rPr>
      <w:rFonts w:ascii="黑体" w:hAnsi="黑体" w:eastAsia="黑体" w:cs="黑体"/>
      <w:b/>
      <w:sz w:val="32"/>
      <w:szCs w:val="24"/>
      <w:lang w:val="en-US" w:eastAsia="zh-CN" w:bidi="ar-SA"/>
    </w:rPr>
  </w:style>
  <w:style w:type="paragraph" w:styleId="1020">
    <w:name w:val="正文_3"/>
    <w:next w:val="1021"/>
    <w:link w:val="718"/>
    <w:qFormat/>
    <w:pPr>
      <w:jc w:val="both"/>
      <w:widowControl w:val="off"/>
    </w:pPr>
    <w:rPr>
      <w:rFonts w:ascii="Calibri" w:hAnsi="Calibri"/>
      <w:sz w:val="21"/>
      <w:szCs w:val="22"/>
      <w:lang w:val="en-US" w:eastAsia="zh-CN" w:bidi="ar-SA"/>
    </w:rPr>
  </w:style>
  <w:style w:type="paragraph" w:styleId="1021">
    <w:name w:val="正文首行缩进 2_1"/>
    <w:basedOn w:val="1022"/>
    <w:next w:val="1024"/>
    <w:link w:val="718"/>
    <w:qFormat/>
    <w:pPr>
      <w:ind w:left="200" w:firstLine="200"/>
      <w:spacing w:after="120"/>
    </w:pPr>
    <w:rPr>
      <w:rFonts w:ascii="Times New Roman"/>
      <w:szCs w:val="24"/>
    </w:rPr>
  </w:style>
  <w:style w:type="paragraph" w:styleId="1022">
    <w:name w:val="正文文本缩进_1"/>
    <w:basedOn w:val="1023"/>
    <w:next w:val="1021"/>
    <w:link w:val="718"/>
    <w:qFormat/>
    <w:pPr>
      <w:ind w:firstLine="225"/>
    </w:pPr>
    <w:rPr>
      <w:rFonts w:ascii="仿宋_GB2312" w:eastAsia="仿宋_GB2312"/>
      <w:sz w:val="32"/>
    </w:rPr>
  </w:style>
  <w:style w:type="paragraph" w:styleId="1023">
    <w:name w:val="正文_18"/>
    <w:next w:val="1022"/>
    <w:link w:val="718"/>
    <w:qFormat/>
    <w:pPr>
      <w:jc w:val="both"/>
      <w:widowControl w:val="off"/>
    </w:pPr>
    <w:rPr>
      <w:rFonts w:ascii="Calibri" w:hAnsi="Calibri"/>
      <w:sz w:val="21"/>
      <w:szCs w:val="22"/>
      <w:lang w:val="en-US" w:eastAsia="zh-CN" w:bidi="ar-SA"/>
    </w:rPr>
  </w:style>
  <w:style w:type="paragraph" w:styleId="1024">
    <w:name w:val="xl53_0"/>
    <w:next w:val="1020"/>
    <w:link w:val="71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25">
    <w:name w:val="正文_4_0"/>
    <w:next w:val="1025"/>
    <w:link w:val="718"/>
    <w:qFormat/>
    <w:pPr>
      <w:jc w:val="both"/>
      <w:widowControl w:val="off"/>
    </w:pPr>
    <w:rPr>
      <w:rFonts w:ascii="Calibri" w:hAnsi="Calibri"/>
      <w:sz w:val="21"/>
      <w:szCs w:val="22"/>
      <w:lang w:val="en-US" w:eastAsia="zh-CN" w:bidi="ar-SA"/>
    </w:rPr>
  </w:style>
  <w:style w:type="paragraph" w:styleId="1026">
    <w:name w:val="Normal_11_0"/>
    <w:next w:val="1026"/>
    <w:link w:val="718"/>
    <w:qFormat/>
    <w:rPr>
      <w:rFonts w:ascii="黑体" w:hAnsi="黑体" w:eastAsia="黑体" w:cs="黑体"/>
      <w:b/>
      <w:sz w:val="32"/>
      <w:szCs w:val="24"/>
      <w:lang w:val="en-US" w:eastAsia="zh-CN" w:bidi="ar-SA"/>
    </w:rPr>
  </w:style>
  <w:style w:type="paragraph" w:styleId="1027">
    <w:name w:val="Normal_12_0"/>
    <w:next w:val="1027"/>
    <w:link w:val="718"/>
    <w:qFormat/>
    <w:pPr>
      <w:jc w:val="both"/>
      <w:widowControl w:val="off"/>
    </w:pPr>
    <w:rPr>
      <w:rFonts w:ascii="Calibri" w:hAnsi="Calibri"/>
      <w:sz w:val="21"/>
      <w:szCs w:val="22"/>
      <w:lang w:val="en-US" w:eastAsia="zh-CN" w:bidi="ar-SA"/>
    </w:rPr>
  </w:style>
  <w:style w:type="paragraph" w:styleId="1028">
    <w:name w:val="正文_9_0"/>
    <w:next w:val="1028"/>
    <w:link w:val="718"/>
    <w:qFormat/>
    <w:pPr>
      <w:jc w:val="both"/>
      <w:widowControl w:val="off"/>
    </w:pPr>
    <w:rPr>
      <w:rFonts w:ascii="Calibri" w:hAnsi="Calibri"/>
      <w:sz w:val="21"/>
      <w:szCs w:val="22"/>
      <w:lang w:val="en-US" w:eastAsia="zh-CN" w:bidi="ar-SA"/>
    </w:rPr>
  </w:style>
  <w:style w:type="paragraph" w:styleId="1029">
    <w:name w:val="正文_8_1"/>
    <w:next w:val="1029"/>
    <w:link w:val="718"/>
    <w:qFormat/>
    <w:pPr>
      <w:jc w:val="both"/>
      <w:widowControl w:val="off"/>
    </w:pPr>
    <w:rPr>
      <w:rFonts w:ascii="Calibri" w:hAnsi="Calibri"/>
      <w:sz w:val="21"/>
      <w:szCs w:val="22"/>
      <w:lang w:val="en-US" w:eastAsia="zh-CN" w:bidi="ar-SA"/>
    </w:rPr>
  </w:style>
  <w:style w:type="paragraph" w:styleId="1030">
    <w:name w:val="正文_1_0_0_0_0"/>
    <w:next w:val="1030"/>
    <w:link w:val="718"/>
    <w:qFormat/>
    <w:pPr>
      <w:jc w:val="both"/>
      <w:widowControl w:val="off"/>
    </w:pPr>
    <w:rPr>
      <w:sz w:val="21"/>
      <w:lang w:val="en-US" w:eastAsia="zh-CN" w:bidi="ar-SA"/>
    </w:rPr>
  </w:style>
  <w:style w:type="paragraph" w:styleId="1031">
    <w:name w:val="列出段落_2"/>
    <w:basedOn w:val="1029"/>
    <w:next w:val="1031"/>
    <w:link w:val="718"/>
    <w:uiPriority w:val="34"/>
    <w:qFormat/>
    <w:pPr>
      <w:ind w:firstLine="420"/>
    </w:pPr>
  </w:style>
  <w:style w:type="paragraph" w:styleId="1032">
    <w:name w:val="Normal_13_0"/>
    <w:next w:val="1032"/>
    <w:link w:val="718"/>
    <w:qFormat/>
    <w:rPr>
      <w:rFonts w:ascii="黑体" w:hAnsi="黑体" w:eastAsia="黑体" w:cs="黑体"/>
      <w:b/>
      <w:sz w:val="32"/>
      <w:szCs w:val="24"/>
      <w:lang w:val="en-US" w:eastAsia="zh-CN" w:bidi="ar-SA"/>
    </w:rPr>
  </w:style>
  <w:style w:type="paragraph" w:styleId="1033">
    <w:name w:val="正文_7_1_0"/>
    <w:next w:val="1033"/>
    <w:link w:val="718"/>
    <w:qFormat/>
    <w:pPr>
      <w:jc w:val="both"/>
      <w:widowControl w:val="off"/>
    </w:pPr>
    <w:rPr>
      <w:rFonts w:ascii="Calibri" w:hAnsi="Calibri"/>
      <w:sz w:val="21"/>
      <w:szCs w:val="22"/>
      <w:lang w:val="en-US" w:eastAsia="zh-CN" w:bidi="ar-SA"/>
    </w:rPr>
  </w:style>
  <w:style w:type="paragraph" w:styleId="1034">
    <w:name w:val="纯文本_0_0"/>
    <w:basedOn w:val="1033"/>
    <w:next w:val="1034"/>
    <w:link w:val="718"/>
    <w:unhideWhenUsed/>
    <w:qFormat/>
    <w:rPr>
      <w:rFonts w:ascii="宋体" w:hAnsi="Courier New"/>
      <w:szCs w:val="21"/>
    </w:rPr>
  </w:style>
  <w:style w:type="paragraph" w:styleId="1035">
    <w:name w:val="正文_8_0"/>
    <w:next w:val="1035"/>
    <w:link w:val="718"/>
    <w:qFormat/>
    <w:pPr>
      <w:jc w:val="both"/>
      <w:widowControl w:val="off"/>
    </w:pPr>
    <w:rPr>
      <w:rFonts w:ascii="Calibri" w:hAnsi="Calibri"/>
      <w:sz w:val="21"/>
      <w:szCs w:val="22"/>
      <w:lang w:val="en-US" w:eastAsia="zh-CN" w:bidi="ar-SA"/>
    </w:rPr>
  </w:style>
  <w:style w:type="paragraph" w:styleId="1036">
    <w:name w:val="Normal_14_0"/>
    <w:next w:val="1036"/>
    <w:link w:val="718"/>
    <w:qFormat/>
    <w:rPr>
      <w:rFonts w:ascii="黑体" w:hAnsi="黑体" w:eastAsia="黑体" w:cs="黑体"/>
      <w:b/>
      <w:sz w:val="32"/>
      <w:szCs w:val="24"/>
      <w:lang w:val="en-US" w:eastAsia="zh-CN" w:bidi="ar-SA"/>
    </w:rPr>
  </w:style>
  <w:style w:type="paragraph" w:styleId="1037">
    <w:name w:val="正文_6_0"/>
    <w:next w:val="1037"/>
    <w:link w:val="718"/>
    <w:qFormat/>
    <w:pPr>
      <w:jc w:val="both"/>
      <w:widowControl w:val="off"/>
    </w:pPr>
    <w:rPr>
      <w:rFonts w:ascii="Calibri" w:hAnsi="Calibri"/>
      <w:sz w:val="21"/>
      <w:szCs w:val="22"/>
      <w:lang w:val="en-US" w:eastAsia="zh-CN" w:bidi="ar-SA"/>
    </w:rPr>
  </w:style>
  <w:style w:type="paragraph" w:styleId="1038">
    <w:name w:val="Normal_15_0"/>
    <w:next w:val="1038"/>
    <w:link w:val="718"/>
    <w:qFormat/>
    <w:rPr>
      <w:rFonts w:ascii="黑体" w:hAnsi="黑体" w:eastAsia="黑体" w:cs="黑体"/>
      <w:b/>
      <w:sz w:val="32"/>
      <w:szCs w:val="24"/>
      <w:lang w:val="en-US" w:eastAsia="zh-CN" w:bidi="ar-SA"/>
    </w:rPr>
  </w:style>
  <w:style w:type="paragraph" w:styleId="1039">
    <w:name w:val="正文_7_0"/>
    <w:next w:val="1039"/>
    <w:link w:val="718"/>
    <w:qFormat/>
    <w:pPr>
      <w:jc w:val="both"/>
      <w:widowControl w:val="off"/>
    </w:pPr>
    <w:rPr>
      <w:rFonts w:ascii="Calibri" w:hAnsi="Calibri"/>
      <w:sz w:val="21"/>
      <w:szCs w:val="22"/>
      <w:lang w:val="en-US" w:eastAsia="zh-CN" w:bidi="ar-SA"/>
    </w:rPr>
  </w:style>
  <w:style w:type="paragraph" w:styleId="1040">
    <w:name w:val="正文_9_1"/>
    <w:next w:val="1040"/>
    <w:link w:val="718"/>
    <w:qFormat/>
    <w:pPr>
      <w:jc w:val="both"/>
      <w:widowControl w:val="off"/>
    </w:pPr>
    <w:rPr>
      <w:sz w:val="21"/>
      <w:szCs w:val="24"/>
      <w:lang w:val="en-US" w:eastAsia="zh-CN" w:bidi="ar-SA"/>
    </w:rPr>
  </w:style>
  <w:style w:type="paragraph" w:styleId="1041">
    <w:name w:val="Normal_16_0"/>
    <w:next w:val="1041"/>
    <w:link w:val="718"/>
    <w:qFormat/>
    <w:rPr>
      <w:rFonts w:ascii="黑体" w:hAnsi="黑体" w:eastAsia="黑体" w:cs="黑体"/>
      <w:b/>
      <w:sz w:val="32"/>
      <w:szCs w:val="24"/>
      <w:lang w:val="en-US" w:eastAsia="zh-CN" w:bidi="ar-SA"/>
    </w:rPr>
  </w:style>
  <w:style w:type="paragraph" w:styleId="1042">
    <w:name w:val="正文_10_0"/>
    <w:next w:val="1042"/>
    <w:link w:val="718"/>
    <w:qFormat/>
    <w:pPr>
      <w:jc w:val="both"/>
      <w:widowControl w:val="off"/>
    </w:pPr>
    <w:rPr>
      <w:sz w:val="21"/>
      <w:szCs w:val="24"/>
      <w:lang w:val="en-US" w:eastAsia="zh-CN" w:bidi="ar-SA"/>
    </w:rPr>
  </w:style>
  <w:style w:type="paragraph" w:styleId="1043">
    <w:name w:val="Normal_17_0"/>
    <w:next w:val="1043"/>
    <w:link w:val="718"/>
    <w:qFormat/>
    <w:rPr>
      <w:rFonts w:ascii="黑体" w:hAnsi="黑体" w:eastAsia="黑体" w:cs="黑体"/>
      <w:b/>
      <w:sz w:val="32"/>
      <w:szCs w:val="24"/>
      <w:lang w:val="en-US" w:eastAsia="zh-CN" w:bidi="ar-SA"/>
    </w:rPr>
  </w:style>
  <w:style w:type="paragraph" w:styleId="1044">
    <w:name w:val="正文_10_0_0"/>
    <w:next w:val="1044"/>
    <w:link w:val="718"/>
    <w:qFormat/>
    <w:pPr>
      <w:jc w:val="both"/>
      <w:widowControl w:val="off"/>
    </w:pPr>
    <w:rPr>
      <w:sz w:val="21"/>
      <w:szCs w:val="24"/>
      <w:lang w:val="en-US" w:eastAsia="zh-CN" w:bidi="ar-SA"/>
    </w:rPr>
  </w:style>
  <w:style w:type="paragraph" w:styleId="1045">
    <w:name w:val="Normal_18_0"/>
    <w:next w:val="1045"/>
    <w:link w:val="718"/>
    <w:qFormat/>
    <w:rPr>
      <w:rFonts w:ascii="黑体" w:hAnsi="黑体" w:eastAsia="黑体" w:cs="黑体"/>
      <w:b/>
      <w:sz w:val="32"/>
      <w:szCs w:val="24"/>
      <w:lang w:val="en-US" w:eastAsia="zh-CN" w:bidi="ar-SA"/>
    </w:rPr>
  </w:style>
  <w:style w:type="paragraph" w:styleId="1046">
    <w:name w:val="正文_12_0"/>
    <w:next w:val="1046"/>
    <w:link w:val="718"/>
    <w:qFormat/>
    <w:pPr>
      <w:jc w:val="both"/>
      <w:widowControl w:val="off"/>
    </w:pPr>
    <w:rPr>
      <w:rFonts w:ascii="Calibri" w:hAnsi="Calibri"/>
      <w:sz w:val="21"/>
      <w:szCs w:val="22"/>
      <w:lang w:val="en-US" w:eastAsia="zh-CN" w:bidi="ar-SA"/>
    </w:rPr>
  </w:style>
  <w:style w:type="paragraph" w:styleId="1047">
    <w:name w:val="正文_9_1_0"/>
    <w:next w:val="1047"/>
    <w:link w:val="718"/>
    <w:qFormat/>
    <w:pPr>
      <w:jc w:val="both"/>
      <w:widowControl w:val="off"/>
    </w:pPr>
    <w:rPr>
      <w:sz w:val="21"/>
      <w:szCs w:val="24"/>
      <w:lang w:val="en-US" w:eastAsia="zh-CN" w:bidi="ar-SA"/>
    </w:rPr>
  </w:style>
  <w:style w:type="paragraph" w:styleId="1048">
    <w:name w:val="Normal_14_0_0"/>
    <w:next w:val="1048"/>
    <w:link w:val="718"/>
    <w:qFormat/>
    <w:rPr>
      <w:rFonts w:ascii="黑体" w:hAnsi="黑体" w:eastAsia="黑体"/>
      <w:b/>
      <w:sz w:val="32"/>
      <w:szCs w:val="24"/>
      <w:lang w:val="en-US" w:eastAsia="zh-CN" w:bidi="ar-SA"/>
    </w:rPr>
  </w:style>
  <w:style w:type="paragraph" w:styleId="1049">
    <w:name w:val="正文_12_0_0"/>
    <w:next w:val="1049"/>
    <w:link w:val="718"/>
    <w:qFormat/>
    <w:pPr>
      <w:jc w:val="both"/>
      <w:widowControl w:val="off"/>
    </w:pPr>
    <w:rPr>
      <w:sz w:val="21"/>
      <w:szCs w:val="24"/>
      <w:lang w:val="en-US" w:eastAsia="zh-CN" w:bidi="ar-SA"/>
    </w:rPr>
  </w:style>
  <w:style w:type="paragraph" w:styleId="1050">
    <w:name w:val="正文_12_0_0_0"/>
    <w:next w:val="1050"/>
    <w:link w:val="718"/>
    <w:qFormat/>
    <w:pPr>
      <w:jc w:val="both"/>
      <w:widowControl w:val="off"/>
    </w:pPr>
    <w:rPr>
      <w:sz w:val="21"/>
      <w:szCs w:val="24"/>
      <w:lang w:val="en-US" w:eastAsia="zh-CN" w:bidi="ar-SA"/>
    </w:rPr>
  </w:style>
  <w:style w:type="paragraph" w:styleId="1051">
    <w:name w:val="正文_13_0"/>
    <w:next w:val="1051"/>
    <w:link w:val="718"/>
    <w:qFormat/>
    <w:pPr>
      <w:jc w:val="both"/>
      <w:widowControl w:val="off"/>
    </w:pPr>
    <w:rPr>
      <w:rFonts w:ascii="Calibri" w:hAnsi="Calibri"/>
      <w:sz w:val="21"/>
      <w:szCs w:val="22"/>
      <w:lang w:val="en-US" w:eastAsia="zh-CN" w:bidi="ar-SA"/>
    </w:rPr>
  </w:style>
  <w:style w:type="paragraph" w:styleId="1052">
    <w:name w:val="正文_13_0_0"/>
    <w:next w:val="1052"/>
    <w:link w:val="718"/>
    <w:qFormat/>
    <w:pPr>
      <w:jc w:val="both"/>
      <w:widowControl w:val="off"/>
    </w:pPr>
    <w:rPr>
      <w:sz w:val="21"/>
      <w:szCs w:val="24"/>
      <w:lang w:val="en-US" w:eastAsia="zh-CN" w:bidi="ar-SA"/>
    </w:rPr>
  </w:style>
  <w:style w:type="paragraph" w:styleId="1053">
    <w:name w:val="正文_14_0"/>
    <w:next w:val="1053"/>
    <w:link w:val="718"/>
    <w:qFormat/>
    <w:pPr>
      <w:jc w:val="both"/>
      <w:widowControl w:val="off"/>
    </w:pPr>
    <w:rPr>
      <w:rFonts w:ascii="Calibri" w:hAnsi="Calibri"/>
      <w:sz w:val="21"/>
      <w:szCs w:val="22"/>
      <w:lang w:val="en-US" w:eastAsia="zh-CN" w:bidi="ar-SA"/>
    </w:rPr>
  </w:style>
  <w:style w:type="paragraph" w:styleId="1054">
    <w:name w:val="正文_14_0_0"/>
    <w:next w:val="1054"/>
    <w:link w:val="718"/>
    <w:qFormat/>
    <w:pPr>
      <w:jc w:val="both"/>
      <w:widowControl w:val="off"/>
    </w:pPr>
    <w:rPr>
      <w:sz w:val="21"/>
      <w:szCs w:val="24"/>
      <w:lang w:val="en-US" w:eastAsia="zh-CN" w:bidi="ar-SA"/>
    </w:rPr>
  </w:style>
  <w:style w:type="paragraph" w:styleId="1055">
    <w:name w:val="Normal Indent_0"/>
    <w:basedOn w:val="814"/>
    <w:next w:val="1055"/>
    <w:link w:val="718"/>
    <w:qFormat/>
    <w:pPr>
      <w:ind w:firstLine="420"/>
    </w:pPr>
    <w:rPr>
      <w:rFonts w:ascii="宋体" w:eastAsia="Times New Roman"/>
      <w:color w:val="000000"/>
      <w:sz w:val="24"/>
      <w:szCs w:val="20"/>
    </w:rPr>
  </w:style>
  <w:style w:type="paragraph" w:styleId="1056">
    <w:name w:val="Heading 3_0"/>
    <w:basedOn w:val="814"/>
    <w:next w:val="814"/>
    <w:link w:val="718"/>
    <w:qFormat/>
    <w:pPr>
      <w:keepLines/>
      <w:keepNext/>
      <w:spacing w:before="260" w:after="260" w:line="413" w:lineRule="auto"/>
      <w:outlineLvl w:val="2"/>
    </w:pPr>
    <w:rPr>
      <w:rFonts w:ascii="Times New Roman" w:hAnsi="Times New Roman" w:eastAsia="Times New Roman"/>
      <w:szCs w:val="20"/>
    </w:rPr>
  </w:style>
  <w:style w:type="paragraph" w:styleId="1057">
    <w:name w:val="正文_15_0"/>
    <w:next w:val="1057"/>
    <w:link w:val="718"/>
    <w:qFormat/>
    <w:pPr>
      <w:jc w:val="both"/>
      <w:widowControl w:val="off"/>
    </w:pPr>
    <w:rPr>
      <w:rFonts w:ascii="Calibri" w:hAnsi="Calibri"/>
      <w:sz w:val="21"/>
      <w:szCs w:val="22"/>
      <w:lang w:val="en-US" w:eastAsia="zh-CN" w:bidi="ar-SA"/>
    </w:rPr>
  </w:style>
  <w:style w:type="paragraph" w:styleId="1058">
    <w:name w:val="正文2"/>
    <w:basedOn w:val="718"/>
    <w:next w:val="1058"/>
    <w:link w:val="718"/>
    <w:qFormat/>
    <w:pPr>
      <w:ind w:firstLine="510"/>
      <w:spacing w:before="156" w:line="360" w:lineRule="auto"/>
    </w:pPr>
    <w:rPr>
      <w:sz w:val="24"/>
      <w:szCs w:val="20"/>
    </w:rPr>
  </w:style>
  <w:style w:type="paragraph" w:styleId="1059">
    <w:name w:val="Default"/>
    <w:next w:val="1059"/>
    <w:link w:val="718"/>
    <w:qFormat/>
    <w:pPr>
      <w:widowControl w:val="off"/>
    </w:pPr>
    <w:rPr>
      <w:rFonts w:ascii="宋体" w:cs="宋体"/>
      <w:color w:val="000000"/>
      <w:sz w:val="24"/>
      <w:szCs w:val="24"/>
      <w:lang w:val="en-US" w:eastAsia="zh-CN" w:bidi="ar-SA"/>
    </w:rPr>
  </w:style>
  <w:style w:type="paragraph" w:styleId="1060">
    <w:name w:val="正文_0_2_0"/>
    <w:next w:val="1060"/>
    <w:link w:val="718"/>
    <w:qFormat/>
    <w:pPr>
      <w:jc w:val="both"/>
      <w:widowControl w:val="off"/>
    </w:pPr>
    <w:rPr>
      <w:szCs w:val="24"/>
      <w:lang w:val="en-US" w:eastAsia="zh-CN" w:bidi="ar-SA"/>
    </w:rPr>
  </w:style>
  <w:style w:type="paragraph" w:styleId="1061">
    <w:name w:val="Normal_19_1_0"/>
    <w:next w:val="1062"/>
    <w:link w:val="718"/>
    <w:qFormat/>
    <w:pPr>
      <w:jc w:val="both"/>
      <w:widowControl w:val="off"/>
    </w:pPr>
    <w:rPr>
      <w:rFonts w:ascii="Calibri" w:hAnsi="Calibri"/>
      <w:szCs w:val="24"/>
      <w:lang w:val="en-US" w:eastAsia="zh-CN" w:bidi="ar-SA"/>
    </w:rPr>
  </w:style>
  <w:style w:type="paragraph" w:styleId="1062">
    <w:name w:val="正文_16_0"/>
    <w:basedOn w:val="1023"/>
    <w:next w:val="1021"/>
    <w:link w:val="718"/>
    <w:qFormat/>
    <w:rPr>
      <w:rFonts w:ascii="Times New Roman" w:hAnsi="Times New Roman"/>
    </w:rPr>
  </w:style>
  <w:style w:type="paragraph" w:styleId="1063">
    <w:name w:val="Normal_19_0"/>
    <w:basedOn w:val="734"/>
    <w:next w:val="1064"/>
    <w:link w:val="718"/>
    <w:qFormat/>
    <w:rPr>
      <w:szCs w:val="24"/>
    </w:rPr>
  </w:style>
  <w:style w:type="paragraph" w:styleId="1064">
    <w:name w:val="Body Text First Indent_1_0"/>
    <w:basedOn w:val="1063"/>
    <w:next w:val="1064"/>
    <w:link w:val="718"/>
    <w:qFormat/>
    <w:pPr>
      <w:ind w:firstLine="100"/>
      <w:spacing w:after="120"/>
    </w:pPr>
  </w:style>
  <w:style w:type="paragraph" w:styleId="1065">
    <w:name w:val="Body Text_0"/>
    <w:basedOn w:val="1063"/>
    <w:next w:val="1065"/>
    <w:link w:val="718"/>
    <w:qFormat/>
    <w:pPr>
      <w:spacing w:line="60" w:lineRule="auto"/>
    </w:pPr>
    <w:rPr>
      <w:rFonts w:ascii="仿宋_GB2312" w:eastAsia="仿宋_GB2312"/>
      <w:sz w:val="32"/>
    </w:rPr>
  </w:style>
  <w:style w:type="paragraph" w:styleId="1066">
    <w:name w:val="Normal_19_1"/>
    <w:next w:val="814"/>
    <w:link w:val="718"/>
    <w:qFormat/>
    <w:pPr>
      <w:jc w:val="both"/>
      <w:widowControl w:val="off"/>
    </w:pPr>
    <w:rPr>
      <w:rFonts w:ascii="Calibri" w:hAnsi="Calibri"/>
      <w:szCs w:val="24"/>
      <w:lang w:val="en-US" w:eastAsia="zh-CN" w:bidi="ar-SA"/>
    </w:rPr>
  </w:style>
  <w:style w:type="paragraph" w:styleId="1067">
    <w:name w:val="正文_6_0_0"/>
    <w:next w:val="1067"/>
    <w:link w:val="718"/>
    <w:qFormat/>
    <w:pPr>
      <w:jc w:val="both"/>
      <w:widowControl w:val="off"/>
    </w:pPr>
    <w:rPr>
      <w:rFonts w:ascii="Calibri" w:hAnsi="Calibri"/>
      <w:lang w:val="en-US" w:eastAsia="zh-CN" w:bidi="ar-SA"/>
    </w:rPr>
  </w:style>
  <w:style w:type="paragraph" w:styleId="1068">
    <w:name w:val="正文_7_1"/>
    <w:next w:val="1068"/>
    <w:link w:val="718"/>
    <w:qFormat/>
    <w:pPr>
      <w:jc w:val="both"/>
      <w:widowControl w:val="off"/>
    </w:pPr>
    <w:rPr>
      <w:rFonts w:ascii="Calibri" w:hAnsi="Calibri"/>
      <w:lang w:val="en-US" w:eastAsia="zh-CN" w:bidi="ar-SA"/>
    </w:rPr>
  </w:style>
  <w:style w:type="paragraph" w:styleId="1069">
    <w:name w:val="正文1_1"/>
    <w:basedOn w:val="1017"/>
    <w:next w:val="1069"/>
    <w:link w:val="718"/>
    <w:qFormat/>
    <w:pPr>
      <w:jc w:val="both"/>
      <w:widowControl w:val="off"/>
    </w:pPr>
    <w:rPr>
      <w:sz w:val="20"/>
      <w:szCs w:val="20"/>
    </w:rPr>
  </w:style>
  <w:style w:type="paragraph" w:styleId="1070">
    <w:name w:val="Normal_8_0_0"/>
    <w:next w:val="1070"/>
    <w:link w:val="718"/>
    <w:qFormat/>
    <w:rPr>
      <w:rFonts w:eastAsia="Times New Roman"/>
      <w:sz w:val="24"/>
      <w:szCs w:val="24"/>
      <w:lang w:val="en-US" w:eastAsia="zh-CN" w:bidi="ar-SA"/>
    </w:rPr>
  </w:style>
  <w:style w:type="paragraph" w:styleId="1071">
    <w:name w:val="Normal_8_0_0_0"/>
    <w:next w:val="1071"/>
    <w:link w:val="718"/>
    <w:qFormat/>
    <w:pPr>
      <w:jc w:val="both"/>
      <w:widowControl w:val="off"/>
    </w:pPr>
    <w:rPr>
      <w:rFonts w:ascii="Calibri" w:hAnsi="Calibri"/>
      <w:lang w:val="en-US" w:eastAsia="zh-CN" w:bidi="ar-SA"/>
    </w:rPr>
  </w:style>
  <w:style w:type="paragraph" w:styleId="1072">
    <w:name w:val="Normal_16_1"/>
    <w:next w:val="1072"/>
    <w:link w:val="718"/>
    <w:qFormat/>
    <w:rPr>
      <w:rFonts w:ascii="黑体" w:hAnsi="黑体" w:eastAsia="黑体"/>
      <w:b/>
      <w:sz w:val="32"/>
      <w:szCs w:val="24"/>
      <w:lang w:val="en-US" w:eastAsia="zh-CN" w:bidi="ar-SA"/>
    </w:rPr>
  </w:style>
  <w:style w:type="paragraph" w:styleId="1073">
    <w:name w:val="Normal_19_0_1"/>
    <w:next w:val="1073"/>
    <w:link w:val="718"/>
    <w:qFormat/>
    <w:rPr>
      <w:rFonts w:ascii="Tahoma" w:hAnsi="Tahoma" w:eastAsia="微软雅黑"/>
      <w:lang w:val="en-US" w:eastAsia="zh-CN" w:bidi="ar-SA"/>
    </w:rPr>
  </w:style>
  <w:style w:type="paragraph" w:styleId="1074">
    <w:name w:val="Normal_16_0_0"/>
    <w:next w:val="1074"/>
    <w:link w:val="718"/>
    <w:qFormat/>
    <w:pPr>
      <w:jc w:val="both"/>
      <w:widowControl w:val="off"/>
    </w:pPr>
    <w:rPr>
      <w:rFonts w:ascii="Calibri" w:hAnsi="Calibri"/>
      <w:lang w:val="en-US" w:eastAsia="zh-CN" w:bidi="ar-SA"/>
    </w:rPr>
  </w:style>
  <w:style w:type="paragraph" w:styleId="1075">
    <w:name w:val="Normal_22_0"/>
    <w:next w:val="1075"/>
    <w:link w:val="718"/>
    <w:qFormat/>
    <w:pPr>
      <w:jc w:val="both"/>
      <w:widowControl w:val="off"/>
    </w:pPr>
    <w:rPr>
      <w:rFonts w:ascii="Calibri" w:hAnsi="Calibri"/>
      <w:szCs w:val="24"/>
      <w:lang w:val="en-US" w:eastAsia="zh-CN" w:bidi="ar-SA"/>
    </w:rPr>
  </w:style>
  <w:style w:type="paragraph" w:styleId="1076">
    <w:name w:val="Normal_17_0_0"/>
    <w:next w:val="1076"/>
    <w:link w:val="718"/>
    <w:qFormat/>
    <w:rPr>
      <w:rFonts w:ascii="黑体" w:hAnsi="黑体" w:eastAsia="黑体"/>
      <w:b/>
      <w:sz w:val="32"/>
      <w:szCs w:val="24"/>
      <w:lang w:val="en-US" w:eastAsia="zh-CN" w:bidi="ar-SA"/>
    </w:rPr>
  </w:style>
  <w:style w:type="paragraph" w:styleId="1077">
    <w:name w:val="Normal_19_0_1_0"/>
    <w:next w:val="1077"/>
    <w:link w:val="718"/>
    <w:qFormat/>
    <w:rPr>
      <w:rFonts w:ascii="Tahoma" w:hAnsi="Tahoma" w:eastAsia="微软雅黑"/>
      <w:lang w:val="en-US" w:eastAsia="zh-CN" w:bidi="ar-SA"/>
    </w:rPr>
  </w:style>
  <w:style w:type="paragraph" w:styleId="1078">
    <w:name w:val="Normal_19_3"/>
    <w:next w:val="1079"/>
    <w:link w:val="718"/>
    <w:qFormat/>
    <w:pPr>
      <w:jc w:val="both"/>
      <w:widowControl w:val="off"/>
    </w:pPr>
    <w:rPr>
      <w:rFonts w:ascii="Calibri" w:hAnsi="Calibri" w:eastAsia="Times New Roman"/>
      <w:szCs w:val="24"/>
      <w:lang w:val="en-US" w:eastAsia="zh-CN" w:bidi="ar-SA"/>
    </w:rPr>
  </w:style>
  <w:style w:type="paragraph" w:styleId="1079">
    <w:name w:val="正文_17_0"/>
    <w:next w:val="1079"/>
    <w:link w:val="718"/>
    <w:qFormat/>
    <w:pPr>
      <w:jc w:val="both"/>
      <w:widowControl w:val="off"/>
    </w:pPr>
    <w:rPr>
      <w:rFonts w:ascii="Calibri" w:hAnsi="Calibri"/>
      <w:sz w:val="21"/>
      <w:szCs w:val="22"/>
      <w:lang w:val="en-US" w:eastAsia="zh-CN" w:bidi="ar-SA"/>
    </w:rPr>
  </w:style>
  <w:style w:type="paragraph" w:styleId="1080">
    <w:name w:val="Normal_22_0_0"/>
    <w:next w:val="1080"/>
    <w:link w:val="718"/>
    <w:qFormat/>
    <w:pPr>
      <w:jc w:val="both"/>
      <w:widowControl w:val="off"/>
    </w:pPr>
    <w:rPr>
      <w:rFonts w:ascii="Calibri" w:hAnsi="Calibri"/>
      <w:szCs w:val="24"/>
      <w:lang w:val="en-US" w:eastAsia="zh-CN" w:bidi="ar-SA"/>
    </w:rPr>
  </w:style>
  <w:style w:type="character" w:styleId="1081">
    <w:name w:val="custom-tag-placeholder-class"/>
    <w:next w:val="1081"/>
    <w:link w:val="718"/>
    <w:qFormat/>
  </w:style>
  <w:style w:type="paragraph" w:styleId="1082">
    <w:name w:val="Normal_19_0_0"/>
    <w:basedOn w:val="814"/>
    <w:next w:val="1083"/>
    <w:link w:val="718"/>
    <w:qFormat/>
    <w:rPr>
      <w:rFonts w:ascii="Calibri" w:hAnsi="Calibri" w:eastAsia="Times New Roman"/>
      <w:sz w:val="24"/>
    </w:rPr>
  </w:style>
  <w:style w:type="paragraph" w:styleId="1083">
    <w:name w:val="Body Text First Indent_1_0_0"/>
    <w:basedOn w:val="1082"/>
    <w:next w:val="1083"/>
    <w:link w:val="718"/>
    <w:pPr>
      <w:ind w:firstLine="100"/>
      <w:spacing w:after="120"/>
    </w:pPr>
    <w:rPr>
      <w:rFonts w:eastAsia="Times New Roman"/>
    </w:rPr>
  </w:style>
  <w:style w:type="paragraph" w:styleId="1084">
    <w:name w:val="正文首行缩进1"/>
    <w:basedOn w:val="1085"/>
    <w:next w:val="1084"/>
    <w:link w:val="718"/>
    <w:qFormat/>
    <w:pPr>
      <w:ind w:firstLine="100"/>
      <w:spacing w:after="120" w:line="240" w:lineRule="auto"/>
    </w:pPr>
    <w:rPr>
      <w:rFonts w:ascii="Times New Roman" w:hAnsi="Times New Roman" w:eastAsia="宋体"/>
      <w:sz w:val="21"/>
    </w:rPr>
  </w:style>
  <w:style w:type="paragraph" w:styleId="1085">
    <w:name w:val="正文文本1"/>
    <w:basedOn w:val="718"/>
    <w:next w:val="1085"/>
    <w:link w:val="718"/>
    <w:qFormat/>
    <w:pPr>
      <w:spacing w:line="60" w:lineRule="auto"/>
    </w:pPr>
    <w:rPr>
      <w:rFonts w:ascii="仿宋_GB2312" w:eastAsia="仿宋_GB2312"/>
      <w:sz w:val="32"/>
    </w:rPr>
  </w:style>
  <w:style w:type="paragraph" w:styleId="1086">
    <w:name w:val="正文_2_0"/>
    <w:next w:val="1086"/>
    <w:link w:val="718"/>
    <w:qFormat/>
    <w:pPr>
      <w:jc w:val="both"/>
      <w:widowControl w:val="off"/>
    </w:pPr>
    <w:rPr>
      <w:rFonts w:ascii="Calibri" w:hAnsi="Calibri"/>
      <w:sz w:val="21"/>
      <w:szCs w:val="22"/>
      <w:lang w:val="en-US" w:eastAsia="zh-CN" w:bidi="ar-SA"/>
    </w:rPr>
  </w:style>
  <w:style w:type="paragraph" w:styleId="1087">
    <w:name w:val="List Paragraph_0"/>
    <w:basedOn w:val="997"/>
    <w:next w:val="1087"/>
    <w:link w:val="718"/>
    <w:qFormat/>
    <w:pPr>
      <w:ind w:firstLine="420"/>
    </w:pPr>
  </w:style>
  <w:style w:type="paragraph" w:styleId="1088">
    <w:name w:val="纯文本_1"/>
    <w:basedOn w:val="1086"/>
    <w:next w:val="1088"/>
    <w:link w:val="718"/>
    <w:qFormat/>
    <w:rPr>
      <w:rFonts w:ascii="宋体" w:hAnsi="Times New Roman"/>
      <w:sz w:val="20"/>
      <w:szCs w:val="21"/>
    </w:rPr>
  </w:style>
  <w:style w:type="paragraph" w:styleId="1089">
    <w:name w:val="正文_16_0_0"/>
    <w:next w:val="859"/>
    <w:link w:val="718"/>
    <w:qFormat/>
    <w:pPr>
      <w:jc w:val="both"/>
      <w:widowControl w:val="off"/>
    </w:pPr>
    <w:rPr>
      <w:rFonts w:ascii="Calibri" w:hAnsi="Calibri"/>
      <w:sz w:val="21"/>
      <w:szCs w:val="22"/>
      <w:lang w:val="en-US" w:eastAsia="zh-CN" w:bidi="ar-SA"/>
    </w:rPr>
  </w:style>
  <w:style w:type="paragraph" w:styleId="1090">
    <w:name w:val="正文_11_0"/>
    <w:basedOn w:val="859"/>
    <w:next w:val="1090"/>
    <w:link w:val="718"/>
    <w:qFormat/>
    <w:rPr>
      <w:rFonts w:ascii="Calibri" w:hAnsi="Calibri"/>
      <w:szCs w:val="20"/>
    </w:rPr>
  </w:style>
  <w:style w:type="paragraph" w:styleId="1091">
    <w:name w:val="Normal_19_0_0_0"/>
    <w:basedOn w:val="734"/>
    <w:next w:val="1091"/>
    <w:link w:val="718"/>
    <w:qFormat/>
    <w:rPr>
      <w:rFonts w:cs="黑体"/>
      <w:szCs w:val="24"/>
    </w:rPr>
  </w:style>
  <w:style w:type="paragraph" w:styleId="1092">
    <w:name w:val="无间隔1"/>
    <w:basedOn w:val="1003"/>
    <w:next w:val="1092"/>
    <w:link w:val="718"/>
    <w:qFormat/>
    <w:rPr>
      <w:rFonts w:ascii="Calibri" w:hAnsi="Calibri" w:cs="Calibri"/>
    </w:rPr>
  </w:style>
  <w:style w:type="paragraph" w:styleId="1093">
    <w:name w:val="标题 31"/>
    <w:basedOn w:val="1003"/>
    <w:next w:val="1003"/>
    <w:link w:val="718"/>
    <w:qFormat/>
    <w:pPr>
      <w:keepLines/>
      <w:keepNext/>
      <w:spacing w:before="260" w:after="260" w:line="413" w:lineRule="auto"/>
      <w:outlineLvl w:val="2"/>
    </w:pPr>
    <w:rPr>
      <w:b/>
      <w:sz w:val="32"/>
      <w:szCs w:val="20"/>
    </w:rPr>
  </w:style>
  <w:style w:type="character" w:styleId="1094">
    <w:name w:val="标题 2 Char_0"/>
    <w:next w:val="1094"/>
    <w:link w:val="1095"/>
    <w:qFormat/>
    <w:rPr>
      <w:rFonts w:ascii="Arial" w:hAnsi="Arial" w:eastAsia="黑体"/>
      <w:b/>
      <w:sz w:val="32"/>
      <w:szCs w:val="22"/>
    </w:rPr>
  </w:style>
  <w:style w:type="paragraph" w:styleId="1095">
    <w:name w:val="标题 21"/>
    <w:basedOn w:val="736"/>
    <w:next w:val="736"/>
    <w:link w:val="1094"/>
    <w:unhideWhenUsed/>
    <w:qFormat/>
    <w:pPr>
      <w:keepLines/>
      <w:keepNext/>
      <w:spacing w:before="260" w:after="260" w:line="413" w:lineRule="auto"/>
      <w:outlineLvl w:val="1"/>
    </w:pPr>
    <w:rPr>
      <w:rFonts w:ascii="Arial" w:hAnsi="Arial"/>
      <w:szCs w:val="22"/>
    </w:rPr>
  </w:style>
  <w:style w:type="paragraph" w:styleId="1096">
    <w:name w:val="Normal_19_1_0_0"/>
    <w:next w:val="1097"/>
    <w:link w:val="718"/>
    <w:qFormat/>
    <w:pPr>
      <w:jc w:val="both"/>
      <w:widowControl w:val="off"/>
    </w:pPr>
    <w:rPr>
      <w:rFonts w:ascii="Calibri" w:hAnsi="Calibri"/>
      <w:sz w:val="21"/>
      <w:szCs w:val="24"/>
      <w:lang w:val="en-US" w:eastAsia="zh-CN" w:bidi="ar-SA"/>
    </w:rPr>
  </w:style>
  <w:style w:type="paragraph" w:styleId="1097">
    <w:name w:val="正文_16_0_1"/>
    <w:next w:val="1097"/>
    <w:link w:val="718"/>
    <w:qFormat/>
    <w:pPr>
      <w:jc w:val="both"/>
      <w:widowControl w:val="off"/>
    </w:pPr>
    <w:rPr>
      <w:sz w:val="21"/>
      <w:szCs w:val="22"/>
      <w:lang w:val="en-US" w:eastAsia="zh-CN" w:bidi="ar-SA"/>
    </w:rPr>
  </w:style>
  <w:style w:type="paragraph" w:styleId="1098">
    <w:name w:val="正文1_0_0"/>
    <w:basedOn w:val="736"/>
    <w:next w:val="1098"/>
    <w:link w:val="718"/>
    <w:qFormat/>
    <w:pPr>
      <w:ind w:left="357" w:firstLine="420"/>
      <w:spacing w:line="360" w:lineRule="auto"/>
    </w:pPr>
    <w:rPr>
      <w:rFonts w:eastAsia="Times New Roman" w:cs="Arial"/>
    </w:rPr>
  </w:style>
  <w:style w:type="paragraph" w:styleId="1099">
    <w:name w:val="普通正文"/>
    <w:basedOn w:val="718"/>
    <w:next w:val="1099"/>
    <w:link w:val="718"/>
    <w:qFormat/>
    <w:pPr>
      <w:ind w:firstLine="480"/>
      <w:jc w:val="left"/>
      <w:spacing w:before="120" w:after="120" w:line="360" w:lineRule="auto"/>
    </w:pPr>
    <w:rPr>
      <w:rFonts w:ascii="Arial" w:hAnsi="Arial"/>
      <w:sz w:val="24"/>
      <w:szCs w:val="24"/>
    </w:rPr>
  </w:style>
  <w:style w:type="paragraph" w:styleId="1100">
    <w:name w:val="正文空2字"/>
    <w:basedOn w:val="1101"/>
    <w:next w:val="1100"/>
    <w:link w:val="718"/>
    <w:uiPriority w:val="99"/>
    <w:qFormat/>
    <w:pPr>
      <w:ind w:firstLine="640"/>
      <w:spacing w:line="560" w:lineRule="exact"/>
      <w:widowControl w:val="off"/>
    </w:pPr>
    <w:rPr>
      <w:rFonts w:ascii="仿宋_GB2312" w:hAnsi="仿宋_GB2312" w:cs="仿宋_GB2312"/>
      <w:lang w:val="zh-TW"/>
    </w:rPr>
  </w:style>
  <w:style w:type="paragraph" w:styleId="1101">
    <w:name w:val="左对齐正文"/>
    <w:next w:val="1101"/>
    <w:link w:val="718"/>
    <w:uiPriority w:val="99"/>
    <w:qFormat/>
    <w:rPr>
      <w:rFonts w:ascii="Calibri" w:hAnsi="Calibri" w:eastAsia="仿宋_GB2312" w:cs="Calibri"/>
      <w:sz w:val="32"/>
      <w:szCs w:val="32"/>
      <w:lang w:val="en-US" w:eastAsia="zh-CN" w:bidi="ar-SA"/>
    </w:rPr>
  </w:style>
  <w:style w:type="paragraph" w:styleId="1102">
    <w:name w:val="普通(网站)1"/>
    <w:basedOn w:val="718"/>
    <w:next w:val="1102"/>
    <w:link w:val="718"/>
    <w:qFormat/>
    <w:rPr>
      <w:sz w:val="24"/>
    </w:rPr>
  </w:style>
  <w:style w:type="character" w:styleId="1103">
    <w:name w:val="16"/>
    <w:next w:val="1103"/>
    <w:link w:val="718"/>
    <w:qFormat/>
    <w:rPr>
      <w:rFonts w:ascii="Times New Roman" w:hAnsi="Times New Roman"/>
      <w:sz w:val="21"/>
      <w:szCs w:val="21"/>
      <w:lang w:val="en-US" w:eastAsia="zh-CN" w:bidi="ar-SA"/>
    </w:rPr>
  </w:style>
  <w:style w:type="paragraph" w:styleId="1104">
    <w:name w:val="正文文本_0"/>
    <w:basedOn w:val="997"/>
    <w:next w:val="1105"/>
    <w:link w:val="718"/>
    <w:qFormat/>
    <w:pPr>
      <w:spacing w:line="60" w:lineRule="auto"/>
    </w:pPr>
    <w:rPr>
      <w:rFonts w:ascii="仿宋_GB2312" w:eastAsia="仿宋_GB2312"/>
      <w:sz w:val="32"/>
    </w:rPr>
  </w:style>
  <w:style w:type="paragraph" w:styleId="1105">
    <w:name w:val="正文缩进_1"/>
    <w:basedOn w:val="997"/>
    <w:next w:val="997"/>
    <w:link w:val="718"/>
    <w:qFormat/>
    <w:pPr>
      <w:ind w:firstLine="420"/>
    </w:pPr>
    <w:rPr>
      <w:rFonts w:ascii="宋体"/>
      <w:color w:val="000000"/>
      <w:sz w:val="24"/>
      <w:szCs w:val="20"/>
    </w:rPr>
  </w:style>
  <w:style w:type="paragraph" w:styleId="1106">
    <w:name w:val="Table Paragraph"/>
    <w:basedOn w:val="814"/>
    <w:next w:val="1106"/>
    <w:link w:val="718"/>
    <w:uiPriority w:val="1"/>
    <w:qFormat/>
    <w:rPr>
      <w:rFonts w:ascii="宋体" w:hAnsi="宋体" w:cs="宋体"/>
      <w:sz w:val="22"/>
      <w:lang w:val="zh-CN" w:bidi="zh-CN"/>
    </w:rPr>
  </w:style>
  <w:style w:type="paragraph" w:styleId="1107">
    <w:name w:val="Normal_19_2"/>
    <w:basedOn w:val="1108"/>
    <w:next w:val="1107"/>
    <w:link w:val="718"/>
    <w:qFormat/>
    <w:rPr>
      <w:rFonts w:ascii="Times New Roman" w:hAnsi="Times New Roman"/>
      <w:szCs w:val="21"/>
    </w:rPr>
  </w:style>
  <w:style w:type="paragraph" w:styleId="1108">
    <w:name w:val="正文_3_0"/>
    <w:next w:val="1108"/>
    <w:link w:val="718"/>
    <w:qFormat/>
    <w:pPr>
      <w:jc w:val="both"/>
      <w:widowControl w:val="off"/>
    </w:pPr>
    <w:rPr>
      <w:rFonts w:ascii="Calibri" w:hAnsi="Calibri"/>
      <w:sz w:val="21"/>
      <w:szCs w:val="22"/>
      <w:lang w:val="en-US" w:eastAsia="zh-CN" w:bidi="ar-SA"/>
    </w:rPr>
  </w:style>
  <w:style w:type="paragraph" w:styleId="1109">
    <w:name w:val="正文文本2"/>
    <w:basedOn w:val="857"/>
    <w:next w:val="1109"/>
    <w:link w:val="718"/>
    <w:qFormat/>
    <w:pPr>
      <w:spacing w:line="60" w:lineRule="auto"/>
    </w:pPr>
    <w:rPr>
      <w:rFonts w:ascii="仿宋_GB2312" w:eastAsia="仿宋_GB2312"/>
      <w:sz w:val="32"/>
      <w:szCs w:val="22"/>
    </w:rPr>
  </w:style>
  <w:style w:type="paragraph" w:styleId="1110">
    <w:name w:val="正文1_0"/>
    <w:basedOn w:val="1086"/>
    <w:next w:val="1110"/>
    <w:link w:val="718"/>
    <w:qFormat/>
    <w:pPr>
      <w:ind w:left="357" w:firstLine="420"/>
      <w:jc w:val="left"/>
      <w:spacing w:line="360" w:lineRule="auto"/>
      <w:widowControl/>
    </w:pPr>
    <w:rPr>
      <w:rFonts w:cs="Arial"/>
      <w:szCs w:val="20"/>
    </w:rPr>
  </w:style>
  <w:style w:type="paragraph" w:styleId="1111">
    <w:name w:val="Normal_19_2_0"/>
    <w:basedOn w:val="1112"/>
    <w:next w:val="1111"/>
    <w:link w:val="718"/>
    <w:qFormat/>
    <w:rPr>
      <w:rFonts w:ascii="Times New Roman" w:hAnsi="Times New Roman"/>
      <w:szCs w:val="21"/>
    </w:rPr>
  </w:style>
  <w:style w:type="paragraph" w:styleId="1112">
    <w:name w:val="正文_3_1"/>
    <w:next w:val="1112"/>
    <w:link w:val="718"/>
    <w:qFormat/>
    <w:pPr>
      <w:jc w:val="both"/>
      <w:widowControl w:val="off"/>
    </w:pPr>
    <w:rPr>
      <w:rFonts w:ascii="Calibri" w:hAnsi="Calibri"/>
      <w:sz w:val="21"/>
      <w:szCs w:val="22"/>
      <w:lang w:val="en-US" w:eastAsia="zh-CN" w:bidi="ar-SA"/>
    </w:rPr>
  </w:style>
  <w:style w:type="paragraph" w:styleId="1113">
    <w:name w:val="正文缩进1"/>
    <w:basedOn w:val="718"/>
    <w:next w:val="1113"/>
    <w:link w:val="718"/>
    <w:qFormat/>
    <w:pPr>
      <w:ind w:firstLine="420"/>
      <w:jc w:val="left"/>
    </w:pPr>
    <w:rPr>
      <w:rFonts w:ascii="宋体" w:hAnsi="Calibri" w:eastAsia="宋体" w:cs="Times New Roman"/>
      <w:sz w:val="24"/>
    </w:rPr>
  </w:style>
  <w:style w:type="paragraph" w:styleId="1114">
    <w:name w:val="纯文本1"/>
    <w:basedOn w:val="858"/>
    <w:next w:val="1114"/>
    <w:link w:val="718"/>
    <w:qFormat/>
    <w:rPr>
      <w:rFonts w:ascii="宋体" w:hAnsi="Courier New" w:eastAsia="宋体" w:cs="Times New Roman"/>
    </w:rPr>
  </w:style>
  <w:style w:type="paragraph" w:styleId="1115">
    <w:name w:val="Normal_21_0"/>
    <w:next w:val="1116"/>
    <w:link w:val="718"/>
    <w:qFormat/>
    <w:pPr>
      <w:jc w:val="both"/>
      <w:widowControl w:val="off"/>
    </w:pPr>
    <w:rPr>
      <w:sz w:val="21"/>
      <w:szCs w:val="24"/>
      <w:lang w:val="en-US" w:eastAsia="zh-CN" w:bidi="ar-SA"/>
    </w:rPr>
  </w:style>
  <w:style w:type="paragraph" w:styleId="1116">
    <w:name w:val="Heading 1_0"/>
    <w:basedOn w:val="1115"/>
    <w:next w:val="1115"/>
    <w:link w:val="718"/>
    <w:qFormat/>
    <w:pPr>
      <w:jc w:val="center"/>
      <w:keepLines/>
      <w:keepNext/>
      <w:spacing w:before="240" w:after="120" w:line="300" w:lineRule="auto"/>
      <w:outlineLvl w:val="0"/>
    </w:pPr>
    <w:rPr>
      <w:rFonts w:ascii="宋体"/>
      <w:b/>
      <w:sz w:val="32"/>
      <w:szCs w:val="20"/>
    </w:rPr>
  </w:style>
  <w:style w:type="paragraph" w:styleId="1117">
    <w:name w:val="正文_12_0_0_0_0"/>
    <w:next w:val="1117"/>
    <w:link w:val="718"/>
    <w:qFormat/>
    <w:pPr>
      <w:jc w:val="both"/>
      <w:widowControl w:val="off"/>
    </w:pPr>
    <w:rPr>
      <w:sz w:val="21"/>
      <w:szCs w:val="24"/>
      <w:lang w:val="en-US" w:eastAsia="zh-CN" w:bidi="ar-SA"/>
    </w:rPr>
  </w:style>
  <w:style w:type="character" w:styleId="1118">
    <w:name w:val="正文文本 字符"/>
    <w:next w:val="1118"/>
    <w:link w:val="718"/>
    <w:qFormat/>
    <w:rPr>
      <w:rFonts w:ascii="楷体_GB2312" w:hAnsi="Arial" w:eastAsia="楷体_GB2312" w:cs="Times New Roman"/>
      <w:sz w:val="28"/>
      <w:szCs w:val="28"/>
    </w:rPr>
  </w:style>
  <w:style w:type="character" w:styleId="1119">
    <w:name w:val="正文文本缩进 字符"/>
    <w:next w:val="1119"/>
    <w:link w:val="718"/>
    <w:qFormat/>
    <w:rPr>
      <w:rFonts w:ascii="楷体_GB2312" w:hAnsi="Times New Roman" w:eastAsia="楷体_GB2312" w:cs="Times New Roman"/>
      <w:sz w:val="32"/>
      <w:szCs w:val="32"/>
    </w:rPr>
  </w:style>
  <w:style w:type="character" w:styleId="1120">
    <w:name w:val="正文文本 字符1"/>
    <w:next w:val="1120"/>
    <w:link w:val="718"/>
    <w:qFormat/>
    <w:rPr>
      <w:rFonts w:ascii="Calibri" w:hAnsi="Calibri"/>
      <w:sz w:val="28"/>
      <w:szCs w:val="24"/>
    </w:rPr>
  </w:style>
  <w:style w:type="character" w:styleId="1121">
    <w:name w:val="正文文本首行缩进 字符"/>
    <w:next w:val="1121"/>
    <w:link w:val="718"/>
    <w:qFormat/>
    <w:rPr>
      <w:rFonts w:ascii="仿宋_GB2312" w:hAnsi="Calibri" w:eastAsia="仿宋_GB2312"/>
      <w:sz w:val="30"/>
      <w:szCs w:val="30"/>
    </w:rPr>
  </w:style>
  <w:style w:type="paragraph" w:styleId="1122">
    <w:name w:val="索引 41"/>
    <w:basedOn w:val="718"/>
    <w:next w:val="718"/>
    <w:link w:val="718"/>
    <w:semiHidden/>
    <w:qFormat/>
    <w:pPr>
      <w:ind w:left="1260"/>
    </w:pPr>
    <w:rPr>
      <w:rFonts w:eastAsia="Calibri" w:cs="宋体"/>
      <w:sz w:val="20"/>
      <w:szCs w:val="21"/>
      <w:lang w:val="zh-CN"/>
    </w:rPr>
  </w:style>
  <w:style w:type="character" w:styleId="1123">
    <w:name w:val="font5 Char"/>
    <w:next w:val="1123"/>
    <w:link w:val="718"/>
    <w:qFormat/>
    <w:rPr>
      <w:rFonts w:ascii="宋体" w:hAnsi="宋体" w:eastAsia="宋体"/>
      <w:sz w:val="28"/>
      <w:szCs w:val="28"/>
      <w:lang w:val="en-US" w:eastAsia="zh-CN" w:bidi="ar-SA"/>
    </w:rPr>
  </w:style>
  <w:style w:type="character" w:styleId="1124">
    <w:name w:val="二级目录 Char"/>
    <w:next w:val="1124"/>
    <w:link w:val="1125"/>
    <w:qFormat/>
    <w:rPr>
      <w:b/>
      <w:sz w:val="30"/>
      <w:szCs w:val="28"/>
    </w:rPr>
  </w:style>
  <w:style w:type="paragraph" w:styleId="1125">
    <w:name w:val="二级目录"/>
    <w:next w:val="718"/>
    <w:link w:val="1124"/>
    <w:qFormat/>
    <w:pPr>
      <w:numPr>
        <w:ilvl w:val="0"/>
        <w:numId w:val="1"/>
      </w:numPr>
      <w:tabs>
        <w:tab w:val="left" w:pos="907" w:leader="none"/>
        <w:tab w:val="left" w:pos="1145" w:leader="none"/>
      </w:tabs>
      <w:outlineLvl w:val="1"/>
    </w:pPr>
    <w:rPr>
      <w:b/>
      <w:sz w:val="30"/>
      <w:szCs w:val="28"/>
      <w:lang w:val="en-US" w:eastAsia="zh-CN" w:bidi="ar-SA"/>
    </w:rPr>
  </w:style>
  <w:style w:type="character" w:styleId="1126">
    <w:name w:val="列出段落 Char"/>
    <w:next w:val="1126"/>
    <w:link w:val="1127"/>
    <w:qFormat/>
    <w:rPr>
      <w:rFonts w:ascii="Calibri" w:hAnsi="Calibri"/>
      <w:sz w:val="24"/>
      <w:szCs w:val="24"/>
      <w:lang w:eastAsia="en-US" w:bidi="en-US"/>
    </w:rPr>
  </w:style>
  <w:style w:type="paragraph" w:styleId="1127">
    <w:name w:val="列出段落1"/>
    <w:basedOn w:val="718"/>
    <w:next w:val="1127"/>
    <w:link w:val="1126"/>
    <w:qFormat/>
    <w:pPr>
      <w:contextualSpacing/>
      <w:ind w:left="720"/>
      <w:jc w:val="left"/>
      <w:widowControl/>
    </w:pPr>
    <w:rPr>
      <w:sz w:val="24"/>
      <w:szCs w:val="24"/>
      <w:lang w:eastAsia="en-US" w:bidi="en-US"/>
    </w:rPr>
  </w:style>
  <w:style w:type="paragraph" w:styleId="1128">
    <w:name w:val="Body Text(ch)"/>
    <w:basedOn w:val="718"/>
    <w:next w:val="1128"/>
    <w:link w:val="718"/>
    <w:qFormat/>
    <w:pPr>
      <w:spacing w:after="120"/>
    </w:pPr>
    <w:rPr>
      <w:rFonts w:ascii="宋体" w:hAnsi="Arial"/>
      <w:bCs/>
      <w:iCs/>
      <w:szCs w:val="24"/>
    </w:rPr>
  </w:style>
  <w:style w:type="paragraph" w:styleId="1129">
    <w:name w:val="xl27"/>
    <w:basedOn w:val="718"/>
    <w:next w:val="1129"/>
    <w:link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0">
    <w:name w:val="xl26"/>
    <w:basedOn w:val="718"/>
    <w:next w:val="1130"/>
    <w:link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1">
    <w:name w:val="Char"/>
    <w:basedOn w:val="718"/>
    <w:next w:val="1131"/>
    <w:link w:val="718"/>
    <w:qFormat/>
    <w:pPr>
      <w:ind w:firstLine="200"/>
      <w:tabs>
        <w:tab w:val="left" w:pos="360" w:leader="none"/>
      </w:tabs>
    </w:pPr>
    <w:rPr>
      <w:rFonts w:ascii="Times New Roman" w:hAnsi="Times New Roman"/>
      <w:sz w:val="28"/>
      <w:szCs w:val="30"/>
    </w:rPr>
  </w:style>
  <w:style w:type="paragraph" w:styleId="1132">
    <w:name w:val="Char1"/>
    <w:basedOn w:val="749"/>
    <w:next w:val="1132"/>
    <w:link w:val="718"/>
    <w:qFormat/>
    <w:rPr>
      <w:rFonts w:ascii="Tahoma" w:hAnsi="Tahoma"/>
      <w:sz w:val="24"/>
      <w:szCs w:val="24"/>
    </w:rPr>
  </w:style>
  <w:style w:type="paragraph" w:styleId="1133">
    <w:name w:val="table_lines"/>
    <w:basedOn w:val="718"/>
    <w:next w:val="1133"/>
    <w:link w:val="718"/>
    <w:qFormat/>
    <w:pPr>
      <w:jc w:val="left"/>
      <w:widowControl/>
    </w:pPr>
    <w:rPr>
      <w:rFonts w:ascii="Times New Roman" w:hAnsi="Times New Roman"/>
      <w:sz w:val="20"/>
      <w:szCs w:val="20"/>
      <w:lang w:val="de-DE" w:eastAsia="de-DE"/>
    </w:rPr>
  </w:style>
  <w:style w:type="paragraph" w:styleId="1134">
    <w:name w:val="附录1"/>
    <w:next w:val="1134"/>
    <w:link w:val="718"/>
    <w:qFormat/>
    <w:pPr>
      <w:spacing w:before="240" w:line="600" w:lineRule="atLeast"/>
      <w:tabs>
        <w:tab w:val="left" w:pos="907" w:leader="none"/>
      </w:tabs>
    </w:pPr>
    <w:rPr>
      <w:b/>
      <w:i/>
      <w:sz w:val="28"/>
      <w:lang w:val="en-US" w:eastAsia="zh-CN" w:bidi="ar-SA"/>
    </w:rPr>
  </w:style>
  <w:style w:type="paragraph" w:styleId="1135">
    <w:name w:val="font7"/>
    <w:basedOn w:val="718"/>
    <w:next w:val="1135"/>
    <w:link w:val="718"/>
    <w:qFormat/>
    <w:pPr>
      <w:jc w:val="left"/>
      <w:spacing w:before="100" w:beforeAutospacing="1" w:after="100" w:afterAutospacing="1"/>
      <w:widowControl/>
    </w:pPr>
    <w:rPr>
      <w:rFonts w:hint="eastAsia" w:ascii="宋体" w:hAnsi="宋体"/>
      <w:sz w:val="18"/>
      <w:szCs w:val="18"/>
    </w:rPr>
  </w:style>
  <w:style w:type="paragraph" w:styleId="1136">
    <w:name w:val="Char Char Char Char"/>
    <w:basedOn w:val="749"/>
    <w:next w:val="1136"/>
    <w:link w:val="718"/>
    <w:qFormat/>
    <w:pPr>
      <w:spacing w:line="360" w:lineRule="auto"/>
    </w:pPr>
    <w:rPr>
      <w:rFonts w:ascii="Tahoma" w:hAnsi="Tahoma"/>
      <w:sz w:val="24"/>
      <w:szCs w:val="24"/>
    </w:rPr>
  </w:style>
  <w:style w:type="paragraph" w:styleId="1137">
    <w:name w:val="4"/>
    <w:basedOn w:val="718"/>
    <w:next w:val="784"/>
    <w:link w:val="718"/>
    <w:qFormat/>
    <w:pPr>
      <w:ind w:firstLine="420"/>
      <w:spacing w:line="360" w:lineRule="auto"/>
    </w:pPr>
    <w:rPr>
      <w:rFonts w:ascii="Times New Roman" w:hAnsi="Times New Roman"/>
      <w:color w:val="ff0000"/>
      <w:sz w:val="24"/>
      <w:szCs w:val="24"/>
    </w:rPr>
  </w:style>
  <w:style w:type="paragraph" w:styleId="1138">
    <w:name w:val="普通 (Web)"/>
    <w:basedOn w:val="718"/>
    <w:next w:val="1138"/>
    <w:link w:val="718"/>
    <w:qFormat/>
    <w:pPr>
      <w:jc w:val="left"/>
      <w:spacing w:before="100" w:beforeAutospacing="1" w:after="100" w:afterAutospacing="1"/>
      <w:widowControl/>
    </w:pPr>
    <w:rPr>
      <w:rFonts w:ascii="宋体" w:hAnsi="宋体"/>
      <w:sz w:val="24"/>
      <w:szCs w:val="24"/>
    </w:rPr>
  </w:style>
  <w:style w:type="paragraph" w:styleId="1139">
    <w:name w:val="Char Char Char Char Char Char Char Char Char Char"/>
    <w:basedOn w:val="718"/>
    <w:next w:val="1139"/>
    <w:link w:val="718"/>
    <w:qFormat/>
    <w:pPr>
      <w:spacing w:line="360" w:lineRule="auto"/>
    </w:pPr>
    <w:rPr>
      <w:rFonts w:ascii="Times New Roman" w:hAnsi="Times New Roman"/>
      <w:sz w:val="24"/>
      <w:szCs w:val="20"/>
    </w:rPr>
  </w:style>
  <w:style w:type="paragraph" w:styleId="1140">
    <w:name w:val="样式1"/>
    <w:basedOn w:val="718"/>
    <w:next w:val="1140"/>
    <w:link w:val="718"/>
    <w:qFormat/>
    <w:pPr>
      <w:numPr>
        <w:ilvl w:val="0"/>
        <w:numId w:val="2"/>
      </w:numPr>
      <w:tabs>
        <w:tab w:val="left" w:pos="709" w:leader="none"/>
      </w:tabs>
    </w:pPr>
    <w:rPr>
      <w:rFonts w:ascii="宋体" w:hAnsi="宋体"/>
      <w:szCs w:val="21"/>
    </w:rPr>
  </w:style>
  <w:style w:type="paragraph" w:styleId="1141">
    <w:name w:val="font6"/>
    <w:basedOn w:val="718"/>
    <w:next w:val="1141"/>
    <w:link w:val="718"/>
    <w:qFormat/>
    <w:pPr>
      <w:jc w:val="left"/>
      <w:spacing w:before="100" w:beforeAutospacing="1" w:after="100" w:afterAutospacing="1"/>
      <w:widowControl/>
    </w:pPr>
    <w:rPr>
      <w:rFonts w:hint="eastAsia" w:ascii="宋体" w:hAnsi="宋体"/>
      <w:sz w:val="28"/>
      <w:szCs w:val="28"/>
      <w:u w:val="single"/>
    </w:rPr>
  </w:style>
  <w:style w:type="paragraph" w:styleId="1142">
    <w:name w:val="xl25"/>
    <w:basedOn w:val="718"/>
    <w:next w:val="1142"/>
    <w:link w:val="7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3">
    <w:name w:val="图标"/>
    <w:basedOn w:val="718"/>
    <w:next w:val="718"/>
    <w:link w:val="71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4">
    <w:name w:val="标题3"/>
    <w:basedOn w:val="718"/>
    <w:next w:val="718"/>
    <w:link w:val="718"/>
    <w:qFormat/>
    <w:pPr>
      <w:ind w:firstLine="624"/>
      <w:spacing w:line="590" w:lineRule="atLeast"/>
    </w:pPr>
    <w:rPr>
      <w:rFonts w:ascii="方正黑体_GBK" w:hAnsi="Times New Roman" w:eastAsia="方正黑体_GBK"/>
      <w:sz w:val="32"/>
      <w:szCs w:val="32"/>
    </w:rPr>
  </w:style>
  <w:style w:type="paragraph" w:styleId="1145">
    <w:name w:val="xl24"/>
    <w:basedOn w:val="718"/>
    <w:next w:val="1145"/>
    <w:link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6">
    <w:name w:val="xl29"/>
    <w:basedOn w:val="718"/>
    <w:next w:val="1146"/>
    <w:link w:val="7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name w:val="Char Char Char Char Char Char Char Char"/>
    <w:basedOn w:val="718"/>
    <w:next w:val="1147"/>
    <w:link w:val="718"/>
    <w:qFormat/>
    <w:pPr>
      <w:jc w:val="left"/>
      <w:spacing w:after="160" w:line="240" w:lineRule="exact"/>
      <w:widowControl/>
    </w:pPr>
    <w:rPr>
      <w:rFonts w:ascii="Verdana" w:hAnsi="Verdana"/>
      <w:sz w:val="20"/>
      <w:szCs w:val="20"/>
      <w:lang w:eastAsia="en-US"/>
    </w:rPr>
  </w:style>
  <w:style w:type="paragraph" w:styleId="1148">
    <w:name w:val="xl28"/>
    <w:basedOn w:val="718"/>
    <w:next w:val="1148"/>
    <w:link w:val="7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9">
    <w:name w:val="Char Char Char Char Char Char Char Char1"/>
    <w:basedOn w:val="718"/>
    <w:next w:val="1149"/>
    <w:link w:val="718"/>
    <w:qFormat/>
    <w:pPr>
      <w:jc w:val="left"/>
      <w:spacing w:after="160" w:line="240" w:lineRule="exact"/>
      <w:widowControl/>
    </w:pPr>
    <w:rPr>
      <w:rFonts w:ascii="Verdana" w:hAnsi="Verdana"/>
      <w:sz w:val="20"/>
      <w:szCs w:val="20"/>
      <w:lang w:eastAsia="en-US"/>
    </w:rPr>
  </w:style>
  <w:style w:type="paragraph" w:styleId="1150">
    <w:name w:val="xl30"/>
    <w:basedOn w:val="718"/>
    <w:next w:val="1150"/>
    <w:link w:val="718"/>
    <w:qFormat/>
    <w:pPr>
      <w:jc w:val="center"/>
      <w:spacing w:before="100" w:beforeAutospacing="1" w:after="100" w:afterAutospacing="1"/>
      <w:widowControl/>
    </w:pPr>
    <w:rPr>
      <w:rFonts w:ascii="宋体" w:hAnsi="宋体"/>
      <w:b/>
      <w:bCs/>
      <w:sz w:val="36"/>
      <w:szCs w:val="36"/>
    </w:rPr>
  </w:style>
  <w:style w:type="paragraph" w:styleId="1151">
    <w:name w:val="Char Char Char Char1"/>
    <w:basedOn w:val="749"/>
    <w:next w:val="1151"/>
    <w:link w:val="718"/>
    <w:qFormat/>
    <w:pPr>
      <w:spacing w:line="360" w:lineRule="auto"/>
    </w:pPr>
    <w:rPr>
      <w:rFonts w:ascii="Tahoma" w:hAnsi="Tahoma"/>
      <w:sz w:val="24"/>
      <w:szCs w:val="24"/>
    </w:rPr>
  </w:style>
  <w:style w:type="paragraph" w:styleId="1152">
    <w:name w:val="table_1stline"/>
    <w:basedOn w:val="718"/>
    <w:next w:val="1152"/>
    <w:link w:val="718"/>
    <w:qFormat/>
    <w:pPr>
      <w:jc w:val="left"/>
      <w:spacing w:before="120"/>
      <w:widowControl/>
    </w:pPr>
    <w:rPr>
      <w:rFonts w:ascii="Times New Roman" w:hAnsi="Times New Roman"/>
      <w:bCs/>
      <w:sz w:val="20"/>
      <w:szCs w:val="20"/>
      <w:lang w:val="de-DE" w:eastAsia="de-DE"/>
    </w:rPr>
  </w:style>
  <w:style w:type="paragraph" w:styleId="1153">
    <w:name w:val="font5"/>
    <w:basedOn w:val="718"/>
    <w:next w:val="1153"/>
    <w:link w:val="718"/>
    <w:qFormat/>
    <w:pPr>
      <w:jc w:val="left"/>
      <w:spacing w:before="100" w:beforeAutospacing="1" w:after="100" w:afterAutospacing="1"/>
      <w:widowControl/>
    </w:pPr>
    <w:rPr>
      <w:rFonts w:hint="eastAsia" w:ascii="宋体" w:hAnsi="宋体"/>
      <w:sz w:val="28"/>
      <w:szCs w:val="28"/>
    </w:rPr>
  </w:style>
  <w:style w:type="paragraph" w:styleId="1154">
    <w:name w:val="标题1"/>
    <w:basedOn w:val="718"/>
    <w:next w:val="718"/>
    <w:link w:val="71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5">
    <w:name w:val="修订1"/>
    <w:next w:val="1155"/>
    <w:link w:val="718"/>
    <w:uiPriority w:val="99"/>
    <w:semiHidden/>
    <w:qFormat/>
    <w:rPr>
      <w:sz w:val="21"/>
      <w:szCs w:val="21"/>
      <w:lang w:val="en-US" w:eastAsia="zh-CN" w:bidi="ar-SA"/>
    </w:rPr>
  </w:style>
  <w:style w:type="table" w:styleId="1156">
    <w:name w:val="Table Normal"/>
    <w:next w:val="1156"/>
    <w:link w:val="718"/>
    <w:qFormat/>
    <w:rPr>
      <w:lang w:val="en-US" w:eastAsia="zh-CN" w:bidi="ar-SA"/>
    </w:rPr>
    <w:tblPr/>
  </w:style>
  <w:style w:type="paragraph" w:styleId="1157">
    <w:name w:val="正文文本12"/>
    <w:basedOn w:val="718"/>
    <w:next w:val="1157"/>
    <w:link w:val="718"/>
    <w:uiPriority w:val="1"/>
    <w:qFormat/>
    <w:pPr>
      <w:ind w:left="120"/>
    </w:pPr>
    <w:rPr>
      <w:rFonts w:ascii="宋体" w:hAnsi="宋体" w:cs="宋体"/>
      <w:szCs w:val="21"/>
      <w:lang w:val="zh-CN" w:bidi="zh-CN"/>
    </w:rPr>
  </w:style>
  <w:style w:type="paragraph" w:styleId="1158">
    <w:name w:val="首行缩进"/>
    <w:basedOn w:val="718"/>
    <w:next w:val="1158"/>
    <w:link w:val="718"/>
    <w:qFormat/>
    <w:pPr>
      <w:ind w:firstLine="480"/>
    </w:pPr>
    <w:rPr>
      <w:rFonts w:ascii="Times New Roman" w:hAnsi="Times New Roman"/>
      <w:szCs w:val="21"/>
      <w:lang w:val="zh-CN"/>
    </w:rPr>
  </w:style>
  <w:style w:type="paragraph" w:styleId="1159">
    <w:name w:val="部分1"/>
    <w:basedOn w:val="718"/>
    <w:next w:val="1159"/>
    <w:link w:val="71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60">
    <w:name w:val="15"/>
    <w:next w:val="1160"/>
    <w:link w:val="718"/>
    <w:qFormat/>
    <w:rPr>
      <w:rFonts w:ascii="Times New Roman" w:hAnsi="Times New Roman" w:cs="Times New Roman"/>
    </w:rPr>
  </w:style>
  <w:style w:type="paragraph" w:styleId="1161">
    <w:name w:val="正文文本缩进 2_0"/>
    <w:basedOn w:val="997"/>
    <w:next w:val="1161"/>
    <w:link w:val="718"/>
    <w:qFormat/>
    <w:pPr>
      <w:ind w:firstLine="720"/>
      <w:jc w:val="left"/>
      <w:spacing w:line="540" w:lineRule="exact"/>
    </w:pPr>
    <w:rPr>
      <w:rFonts w:ascii="仿宋_GB2312" w:hAnsi="仿宋_GB2312" w:cs="宋体"/>
      <w:sz w:val="32"/>
      <w:szCs w:val="32"/>
    </w:rPr>
  </w:style>
  <w:style w:type="character" w:styleId="1162">
    <w:name w:val="10"/>
    <w:next w:val="1162"/>
    <w:link w:val="718"/>
    <w:qFormat/>
    <w:rPr>
      <w:rFonts w:ascii="Times New Roman" w:hAnsi="Times New Roman" w:cs="Times New Roman"/>
    </w:rPr>
  </w:style>
  <w:style w:type="paragraph" w:styleId="1163">
    <w:name w:val="正文_16_1"/>
    <w:basedOn w:val="718"/>
    <w:next w:val="1163"/>
    <w:link w:val="718"/>
    <w:qFormat/>
    <w:rPr>
      <w:rFonts w:ascii="Times New Roman" w:hAnsi="Times New Roman"/>
      <w:szCs w:val="21"/>
    </w:rPr>
  </w:style>
  <w:style w:type="paragraph" w:styleId="1164">
    <w:name w:val="页脚1"/>
    <w:basedOn w:val="718"/>
    <w:next w:val="1164"/>
    <w:link w:val="718"/>
    <w:qFormat/>
    <w:pPr>
      <w:jc w:val="left"/>
      <w:tabs>
        <w:tab w:val="center" w:pos="4153" w:leader="none"/>
        <w:tab w:val="right" w:pos="8306" w:leader="none"/>
      </w:tabs>
    </w:pPr>
    <w:rPr>
      <w:sz w:val="18"/>
      <w:szCs w:val="18"/>
    </w:rPr>
  </w:style>
  <w:style w:type="character" w:styleId="1165">
    <w:name w:val="页码1"/>
    <w:next w:val="1165"/>
    <w:link w:val="718"/>
    <w:qFormat/>
  </w:style>
  <w:style w:type="paragraph" w:styleId="1166">
    <w:name w:val="*正文"/>
    <w:basedOn w:val="732"/>
    <w:next w:val="1166"/>
    <w:link w:val="718"/>
    <w:qFormat/>
    <w:pPr>
      <w:ind w:firstLine="200"/>
    </w:pPr>
    <w:rPr>
      <w:rFonts w:ascii="宋体" w:hAnsi="宋体"/>
      <w:color w:val="000000"/>
      <w:sz w:val="24"/>
      <w:szCs w:val="24"/>
    </w:rPr>
  </w:style>
  <w:style w:type="paragraph" w:styleId="1167">
    <w:name w:val="*正文_0"/>
    <w:basedOn w:val="1168"/>
    <w:next w:val="1167"/>
    <w:link w:val="718"/>
    <w:qFormat/>
    <w:pPr>
      <w:ind w:firstLine="200"/>
      <w:spacing w:line="360" w:lineRule="auto"/>
    </w:pPr>
    <w:rPr>
      <w:rFonts w:ascii="宋体" w:hAnsi="宋体" w:eastAsia="Arial" w:cs="Arial"/>
      <w:color w:val="000000"/>
      <w:sz w:val="24"/>
    </w:rPr>
  </w:style>
  <w:style w:type="paragraph" w:styleId="1168">
    <w:name w:val="正文缩进_2"/>
    <w:basedOn w:val="1020"/>
    <w:next w:val="1168"/>
    <w:link w:val="718"/>
    <w:unhideWhenUsed/>
    <w:qFormat/>
    <w:pPr>
      <w:ind w:firstLine="420"/>
      <w:jc w:val="left"/>
      <w:widowControl/>
    </w:pPr>
    <w:rPr>
      <w:rFonts w:ascii="Times New Roman" w:hAnsi="Times New Roman"/>
      <w:sz w:val="20"/>
      <w:szCs w:val="24"/>
    </w:rPr>
  </w:style>
  <w:style w:type="paragraph" w:styleId="1169">
    <w:name w:val="*正文_0_0"/>
    <w:basedOn w:val="1020"/>
    <w:next w:val="1169"/>
    <w:link w:val="718"/>
    <w:qFormat/>
    <w:pPr>
      <w:ind w:firstLine="200"/>
      <w:jc w:val="left"/>
      <w:spacing w:line="360" w:lineRule="auto"/>
      <w:widowControl/>
    </w:pPr>
    <w:rPr>
      <w:rFonts w:ascii="宋体" w:hAnsi="宋体" w:eastAsia="Arial" w:cs="Arial"/>
      <w:color w:val="000000"/>
      <w:sz w:val="24"/>
      <w:szCs w:val="24"/>
    </w:rPr>
  </w:style>
  <w:style w:type="paragraph" w:styleId="1170">
    <w:name w:val="无间隔1_0_0"/>
    <w:basedOn w:val="1020"/>
    <w:next w:val="1170"/>
    <w:link w:val="718"/>
    <w:qFormat/>
    <w:rPr>
      <w:rFonts w:ascii="Times New Roman" w:hAnsi="Times New Roman"/>
      <w:szCs w:val="21"/>
    </w:rPr>
  </w:style>
  <w:style w:type="paragraph" w:styleId="1171">
    <w:name w:val="正文_0_2"/>
    <w:next w:val="1171"/>
    <w:link w:val="718"/>
    <w:qFormat/>
    <w:pPr>
      <w:jc w:val="both"/>
      <w:widowControl w:val="off"/>
    </w:pPr>
    <w:rPr>
      <w:szCs w:val="24"/>
      <w:lang w:val="en-US" w:eastAsia="zh-CN" w:bidi="ar-SA"/>
    </w:rPr>
  </w:style>
  <w:style w:type="paragraph" w:styleId="1172">
    <w:name w:val="标题 4_0"/>
    <w:basedOn w:val="1173"/>
    <w:next w:val="1173"/>
    <w:link w:val="718"/>
    <w:uiPriority w:val="9"/>
    <w:unhideWhenUsed/>
    <w:qFormat/>
    <w:pPr>
      <w:keepLines/>
      <w:keepNext/>
      <w:spacing w:before="280" w:after="290" w:line="372" w:lineRule="auto"/>
      <w:outlineLvl w:val="3"/>
    </w:pPr>
    <w:rPr>
      <w:rFonts w:ascii="Arial" w:hAnsi="Arial" w:eastAsia="黑体"/>
      <w:b/>
      <w:sz w:val="28"/>
    </w:rPr>
  </w:style>
  <w:style w:type="paragraph" w:styleId="1173">
    <w:name w:val="正文4"/>
    <w:next w:val="1173"/>
    <w:link w:val="718"/>
    <w:qFormat/>
    <w:pPr>
      <w:jc w:val="both"/>
      <w:widowControl w:val="off"/>
    </w:pPr>
    <w:rPr>
      <w:rFonts w:ascii="Calibri" w:hAnsi="Calibri"/>
      <w:lang w:val="en-US" w:eastAsia="zh-CN" w:bidi="ar-SA"/>
    </w:rPr>
  </w:style>
  <w:style w:type="paragraph" w:styleId="1174">
    <w:name w:val="正文_3_0_0"/>
    <w:next w:val="1174"/>
    <w:link w:val="718"/>
    <w:qFormat/>
    <w:pPr>
      <w:jc w:val="both"/>
      <w:widowControl w:val="off"/>
    </w:pPr>
    <w:rPr>
      <w:lang w:val="en-US" w:eastAsia="zh-CN" w:bidi="ar-SA"/>
    </w:rPr>
  </w:style>
  <w:style w:type="paragraph" w:styleId="1175">
    <w:name w:val="p17_0_0"/>
    <w:basedOn w:val="1063"/>
    <w:next w:val="1175"/>
    <w:link w:val="718"/>
    <w:qFormat/>
    <w:pPr>
      <w:jc w:val="left"/>
      <w:spacing w:before="100" w:beforeAutospacing="1" w:after="100" w:afterAutospacing="1"/>
      <w:widowControl/>
    </w:pPr>
    <w:rPr>
      <w:rFonts w:ascii="宋体" w:hAnsi="宋体" w:eastAsia="Times New Roman" w:cs="宋体"/>
      <w:sz w:val="24"/>
      <w:szCs w:val="24"/>
    </w:rPr>
  </w:style>
  <w:style w:type="paragraph" w:styleId="1176">
    <w:name w:val="p17_0"/>
    <w:basedOn w:val="736"/>
    <w:next w:val="1176"/>
    <w:link w:val="718"/>
    <w:qFormat/>
    <w:pPr>
      <w:jc w:val="left"/>
      <w:spacing w:before="100" w:beforeAutospacing="1" w:after="100" w:afterAutospacing="1"/>
      <w:widowControl/>
    </w:pPr>
    <w:rPr>
      <w:rFonts w:ascii="宋体" w:hAnsi="宋体" w:eastAsia="Times New Roman" w:cs="宋体"/>
      <w:sz w:val="24"/>
      <w:szCs w:val="24"/>
    </w:rPr>
  </w:style>
  <w:style w:type="paragraph" w:styleId="1177">
    <w:name w:val="普通(网站)11"/>
    <w:basedOn w:val="718"/>
    <w:next w:val="1177"/>
    <w:link w:val="718"/>
    <w:uiPriority w:val="99"/>
    <w:qFormat/>
    <w:rPr>
      <w:sz w:val="24"/>
    </w:rPr>
  </w:style>
  <w:style w:type="paragraph" w:styleId="1178">
    <w:name w:val="AONormal"/>
    <w:next w:val="1178"/>
    <w:link w:val="718"/>
    <w:qFormat/>
    <w:pPr>
      <w:ind w:firstLine="440"/>
      <w:spacing w:line="400" w:lineRule="exact"/>
    </w:pPr>
    <w:rPr>
      <w:rFonts w:ascii="华文楷体" w:hAnsi="华文楷体" w:eastAsia="华文楷体" w:cs="华文楷体"/>
      <w:sz w:val="22"/>
      <w:szCs w:val="21"/>
      <w:lang w:val="en-US" w:eastAsia="zh-CN" w:bidi="ar-SA"/>
    </w:rPr>
  </w:style>
  <w:style w:type="paragraph" w:styleId="1179">
    <w:name w:val="批注文字1"/>
    <w:basedOn w:val="718"/>
    <w:next w:val="1179"/>
    <w:link w:val="718"/>
    <w:qFormat/>
    <w:pPr>
      <w:jc w:val="left"/>
    </w:pPr>
    <w:rPr>
      <w:rFonts w:eastAsia="宋体"/>
      <w:szCs w:val="20"/>
    </w:rPr>
  </w:style>
  <w:style w:type="paragraph" w:styleId="1180">
    <w:name w:val="正文_0_0_0_0_0"/>
    <w:next w:val="1180"/>
    <w:link w:val="718"/>
    <w:qFormat/>
    <w:pPr>
      <w:jc w:val="both"/>
      <w:widowControl w:val="off"/>
    </w:pPr>
    <w:rPr>
      <w:rFonts w:ascii="Times New Roman" w:hAnsi="Times New Roman" w:eastAsia="宋体" w:cs="Times New Roman"/>
      <w:sz w:val="21"/>
      <w:szCs w:val="22"/>
      <w:lang w:val="en-US" w:eastAsia="zh-CN" w:bidi="ar-SA"/>
    </w:rPr>
  </w:style>
  <w:style w:type="paragraph" w:styleId="1181">
    <w:name w:val="Normal_3_0_0"/>
    <w:next w:val="1181"/>
    <w:link w:val="718"/>
    <w:qFormat/>
    <w:rPr>
      <w:rFonts w:ascii="黑体" w:hAnsi="黑体" w:eastAsia="黑体" w:cs="Times New Roman"/>
      <w:b/>
      <w:sz w:val="32"/>
      <w:szCs w:val="24"/>
      <w:lang w:val="en-US" w:eastAsia="zh-CN" w:bidi="ar-SA"/>
    </w:rPr>
  </w:style>
  <w:style w:type="paragraph" w:styleId="1182">
    <w:name w:val="正文_7_0_0"/>
    <w:next w:val="1182"/>
    <w:link w:val="718"/>
    <w:qFormat/>
    <w:pPr>
      <w:jc w:val="both"/>
      <w:widowControl w:val="off"/>
    </w:pPr>
    <w:rPr>
      <w:rFonts w:ascii="Times New Roman" w:hAnsi="Times New Roman" w:eastAsia="宋体" w:cs="Times New Roman"/>
      <w:sz w:val="21"/>
      <w:szCs w:val="24"/>
      <w:lang w:val="en-US" w:eastAsia="zh-CN" w:bidi="ar-SA"/>
    </w:rPr>
  </w:style>
  <w:style w:type="character" w:styleId="1183">
    <w:name w:val="font11"/>
    <w:basedOn w:val="728"/>
    <w:next w:val="1183"/>
    <w:link w:val="718"/>
    <w:qFormat/>
    <w:rPr>
      <w:rFonts w:hint="eastAsia" w:ascii="宋体" w:hAnsi="宋体" w:eastAsia="宋体" w:cs="宋体"/>
      <w:color w:val="c00000"/>
      <w:sz w:val="22"/>
      <w:szCs w:val="22"/>
      <w:u w:val="none"/>
    </w:rPr>
  </w:style>
  <w:style w:type="character" w:styleId="27099" w:default="1">
    <w:name w:val="Default Paragraph Font"/>
    <w:uiPriority w:val="1"/>
    <w:semiHidden/>
    <w:unhideWhenUsed/>
  </w:style>
  <w:style w:type="numbering" w:styleId="27100" w:default="1">
    <w:name w:val="No List"/>
    <w:uiPriority w:val="99"/>
    <w:semiHidden/>
    <w:unhideWhenUsed/>
  </w:style>
  <w:style w:type="table" w:styleId="27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苗健</cp:lastModifiedBy>
  <cp:revision>2</cp:revision>
  <dcterms:created xsi:type="dcterms:W3CDTF">2023-07-23T13:07:00Z</dcterms:created>
  <dcterms:modified xsi:type="dcterms:W3CDTF">2026-01-26T02:33:03Z</dcterms:modified>
</cp:coreProperties>
</file>