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1025"/>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1025"/>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t xml:space="preserve">（暗标）</w:t>
      </w:r>
      <w:r>
        <w:rPr>
          <w:rFonts w:ascii="黑体" w:hAnsi="华文中宋" w:eastAsia="黑体"/>
          <w:bCs/>
          <w:color w:val="000000"/>
          <w:spacing w:val="20"/>
          <w:sz w:val="52"/>
          <w:szCs w:val="52"/>
        </w:rPr>
      </w:r>
      <w:r/>
    </w:p>
    <w:p>
      <w:pPr>
        <w:pStyle w:val="102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102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1025"/>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37"/>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JSZC-320200-JZCG-G2024-0152</w:t>
      </w:r>
      <w:r>
        <w:rPr>
          <w:rFonts w:ascii="黑体" w:hAnsi="华文中宋" w:eastAsia="黑体"/>
          <w:bCs/>
          <w:color w:val="000000"/>
          <w:sz w:val="32"/>
          <w:szCs w:val="32"/>
        </w:rPr>
      </w:r>
      <w:r/>
    </w:p>
    <w:p>
      <w:pPr>
        <w:pStyle w:val="937"/>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医院智慧综合运营管理系统</w:t>
      </w:r>
      <w:r>
        <w:rPr>
          <w:rFonts w:hint="eastAsia" w:ascii="黑体" w:hAnsi="华文中宋" w:eastAsia="黑体"/>
          <w:bCs/>
          <w:color w:val="000000"/>
          <w:sz w:val="32"/>
          <w:szCs w:val="32"/>
        </w:rPr>
      </w:r>
      <w:r/>
    </w:p>
    <w:p>
      <w:pPr>
        <w:pStyle w:val="937"/>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无锡市人民医院</w:t>
      </w:r>
      <w:r>
        <w:rPr>
          <w:rFonts w:hint="eastAsia" w:ascii="黑体" w:hAnsi="华文中宋" w:eastAsia="黑体"/>
          <w:bCs/>
          <w:color w:val="000000"/>
          <w:sz w:val="32"/>
          <w:szCs w:val="32"/>
        </w:rPr>
      </w:r>
      <w:r/>
    </w:p>
    <w:p>
      <w:pPr>
        <w:pStyle w:val="93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2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2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2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25"/>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102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七</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1025"/>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937"/>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93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937"/>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93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无锡市人民医院</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医院智慧综合运营管理系统</w:t>
      </w:r>
      <w:r>
        <w:rPr>
          <w:rFonts w:hint="eastAsia" w:ascii="宋体" w:hAnsi="宋体"/>
          <w:color w:val="000000"/>
          <w:sz w:val="24"/>
          <w:szCs w:val="24"/>
        </w:rPr>
        <w:t xml:space="preserve">（</w:t>
      </w:r>
      <w:r>
        <w:rPr>
          <w:rFonts w:hint="eastAsia" w:ascii="宋体" w:hAnsi="宋体"/>
          <w:color w:val="000000"/>
          <w:sz w:val="24"/>
          <w:szCs w:val="24"/>
        </w:rPr>
        <w:t xml:space="preserve">JSZC-320200-JZCG-G2024-0152</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3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3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医院智慧综合运营管理系统</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8</w:t>
      </w:r>
      <w:r>
        <w:rPr>
          <w:rFonts w:hint="eastAsia" w:ascii="宋体" w:hAnsi="宋体"/>
          <w:color w:val="000000"/>
          <w:sz w:val="24"/>
          <w:szCs w:val="24"/>
        </w:rPr>
        <w:t xml:space="preserve">月</w:t>
      </w:r>
      <w:r>
        <w:rPr>
          <w:rFonts w:hint="eastAsia" w:ascii="宋体" w:hAnsi="宋体"/>
          <w:color w:val="000000"/>
          <w:sz w:val="24"/>
          <w:szCs w:val="24"/>
        </w:rPr>
        <w:t xml:space="preserve">16</w:t>
      </w:r>
      <w:r>
        <w:rPr>
          <w:rFonts w:hint="eastAsia" w:ascii="宋体" w:hAnsi="宋体"/>
          <w:color w:val="000000"/>
          <w:sz w:val="24"/>
          <w:szCs w:val="24"/>
        </w:rPr>
        <w:t xml:space="preserve">日</w:t>
      </w:r>
      <w:r>
        <w:rPr>
          <w:rFonts w:hint="eastAsia" w:ascii="宋体" w:hAnsi="宋体"/>
          <w:color w:val="000000"/>
          <w:sz w:val="24"/>
          <w:szCs w:val="24"/>
        </w:rPr>
        <w:t xml:space="preserve">09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940"/>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JSZC-320200-JZCG-G2024-0152</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医院智慧综合运营管理系统</w:t>
      </w:r>
      <w:r>
        <w:rPr>
          <w:rFonts w:ascii="宋体" w:hAnsi="宋体"/>
          <w:color w:val="000000"/>
          <w:sz w:val="24"/>
          <w:szCs w:val="24"/>
        </w:rPr>
      </w:r>
      <w:r/>
    </w:p>
    <w:p>
      <w:pPr>
        <w:pStyle w:val="93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425.707</w:t>
      </w:r>
      <w:r>
        <w:rPr>
          <w:rFonts w:hint="eastAsia" w:ascii="宋体" w:hAnsi="宋体"/>
          <w:color w:val="000000"/>
          <w:sz w:val="24"/>
          <w:szCs w:val="24"/>
        </w:rPr>
        <w:t xml:space="preserve">万元</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425.707</w:t>
      </w:r>
      <w:r>
        <w:rPr>
          <w:rFonts w:hint="eastAsia" w:ascii="宋体" w:hAnsi="宋体"/>
          <w:color w:val="000000"/>
          <w:sz w:val="24"/>
          <w:szCs w:val="24"/>
        </w:rPr>
        <w:t xml:space="preserve">万元</w:t>
      </w:r>
      <w:r>
        <w:rPr>
          <w:rFonts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采购方式：公开招标（暗标）</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937"/>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940"/>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37"/>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w:t>
      </w:r>
      <w:r>
        <w:rPr>
          <w:rFonts w:hint="eastAsia" w:ascii="宋体" w:hAnsi="宋体"/>
          <w:color w:val="000000"/>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3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940"/>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937"/>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s="宋体"/>
          <w:color w:val="000000"/>
          <w:sz w:val="24"/>
          <w:szCs w:val="24"/>
        </w:rPr>
      </w:r>
      <w:r/>
    </w:p>
    <w:p>
      <w:pPr>
        <w:pStyle w:val="937"/>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937"/>
        <w:ind w:firstLine="540"/>
        <w:spacing w:line="500" w:lineRule="exact"/>
        <w:rPr>
          <w:rStyle w:val="1014"/>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1014"/>
          <w:color w:val="000000"/>
        </w:rPr>
      </w:r>
      <w:r/>
    </w:p>
    <w:p>
      <w:pPr>
        <w:pStyle w:val="937"/>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940"/>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8</w:t>
      </w:r>
      <w:r>
        <w:rPr>
          <w:rFonts w:hint="eastAsia" w:ascii="宋体" w:hAnsi="宋体"/>
          <w:bCs/>
          <w:color w:val="000000"/>
          <w:sz w:val="24"/>
          <w:szCs w:val="24"/>
        </w:rPr>
        <w:t xml:space="preserve">月</w:t>
      </w:r>
      <w:r>
        <w:rPr>
          <w:rFonts w:hint="eastAsia" w:ascii="宋体" w:hAnsi="宋体"/>
          <w:bCs/>
          <w:color w:val="000000"/>
          <w:sz w:val="24"/>
          <w:szCs w:val="24"/>
        </w:rPr>
        <w:t xml:space="preserve">16</w:t>
      </w:r>
      <w:r>
        <w:rPr>
          <w:rFonts w:hint="eastAsia" w:ascii="宋体" w:hAnsi="宋体"/>
          <w:bCs/>
          <w:color w:val="000000"/>
          <w:sz w:val="24"/>
          <w:szCs w:val="24"/>
        </w:rPr>
        <w:t xml:space="preserve">日09点30分（北京时间）</w:t>
      </w:r>
      <w:r/>
    </w:p>
    <w:p>
      <w:pPr>
        <w:pStyle w:val="937"/>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940"/>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937"/>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940"/>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40"/>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无锡市人民医院</w:t>
      </w:r>
      <w:r>
        <w:rPr>
          <w:rFonts w:ascii="宋体" w:hAnsi="宋体" w:cs="宋体"/>
          <w:color w:val="000000"/>
          <w:sz w:val="24"/>
          <w:szCs w:val="24"/>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无锡市梁溪区清扬路299号</w:t>
      </w:r>
      <w:r>
        <w:rPr>
          <w:rFonts w:ascii="宋体" w:hAnsi="宋体" w:cs="宋体"/>
          <w:color w:val="000000"/>
          <w:sz w:val="24"/>
          <w:szCs w:val="24"/>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93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张骏</w:t>
      </w:r>
      <w:r>
        <w:rPr>
          <w:rFonts w:hint="eastAsia" w:ascii="宋体" w:hAnsi="宋体" w:cs="宋体"/>
          <w:color w:val="000000"/>
          <w:sz w:val="24"/>
          <w:szCs w:val="24"/>
        </w:rPr>
        <w:t xml:space="preserve">；电话：</w:t>
      </w:r>
      <w:r>
        <w:rPr>
          <w:rFonts w:ascii="宋体" w:hAnsi="宋体" w:cs="宋体"/>
          <w:color w:val="000000"/>
          <w:sz w:val="24"/>
          <w:szCs w:val="24"/>
        </w:rPr>
        <w:t xml:space="preserve">0510-85351862</w:t>
      </w:r>
      <w:r>
        <w:rPr>
          <w:rFonts w:hint="eastAsia" w:ascii="宋体" w:hAnsi="宋体" w:cs="宋体"/>
          <w:color w:val="000000"/>
          <w:sz w:val="24"/>
          <w:szCs w:val="24"/>
        </w:rPr>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张骏</w:t>
      </w:r>
      <w:r>
        <w:rPr>
          <w:rFonts w:hint="eastAsia" w:ascii="宋体" w:hAnsi="宋体" w:cs="宋体"/>
          <w:color w:val="000000"/>
          <w:sz w:val="24"/>
          <w:szCs w:val="24"/>
        </w:rPr>
        <w:t xml:space="preserve">；电话：</w:t>
      </w:r>
      <w:r>
        <w:rPr>
          <w:rFonts w:ascii="宋体" w:hAnsi="宋体" w:cs="宋体"/>
          <w:color w:val="000000"/>
          <w:sz w:val="24"/>
          <w:szCs w:val="24"/>
        </w:rPr>
        <w:t xml:space="preserve">0510-85351862</w:t>
      </w:r>
      <w:r>
        <w:rPr>
          <w:rFonts w:hint="eastAsia" w:ascii="宋体" w:hAnsi="宋体" w:cs="宋体"/>
          <w:color w:val="000000"/>
          <w:sz w:val="24"/>
          <w:szCs w:val="24"/>
        </w:rPr>
      </w:r>
      <w:r/>
    </w:p>
    <w:p>
      <w:pPr>
        <w:pStyle w:val="93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940"/>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937"/>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93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3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93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3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37"/>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937"/>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93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37"/>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937"/>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937"/>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940"/>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41"/>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1"/>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w:t>
      </w:r>
      <w:r>
        <w:rPr>
          <w:rFonts w:hint="eastAsia" w:ascii="宋体" w:hAnsi="宋体"/>
          <w:color w:val="000000"/>
          <w:sz w:val="24"/>
        </w:rPr>
        <w:t xml:space="preserve">中华人民共和国法律</w:t>
      </w:r>
      <w:r>
        <w:rPr>
          <w:rFonts w:hint="eastAsia" w:ascii="宋体" w:hAnsi="宋体"/>
          <w:color w:val="000000"/>
          <w:sz w:val="24"/>
        </w:rPr>
        <w:t xml:space="preserve">法规制约和保护</w:t>
      </w:r>
      <w:r>
        <w:rPr>
          <w:rFonts w:ascii="宋体" w:hAnsi="宋体"/>
          <w:color w:val="000000"/>
          <w:sz w:val="24"/>
        </w:rPr>
        <w:t xml:space="preserve">。</w:t>
      </w:r>
      <w:r>
        <w:rPr>
          <w:rFonts w:hint="eastAsia" w:ascii="宋体" w:hAnsi="宋体"/>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93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40"/>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37"/>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940"/>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937"/>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941"/>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937"/>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937"/>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w:t>
      </w:r>
      <w:r>
        <w:rPr>
          <w:rFonts w:hint="eastAsia" w:ascii="宋体" w:hAnsi="宋体"/>
          <w:b/>
          <w:color w:val="000000"/>
          <w:sz w:val="24"/>
          <w:u w:val="single"/>
        </w:rPr>
        <w:t xml:space="preserve">相关</w:t>
      </w:r>
      <w:r>
        <w:rPr>
          <w:rFonts w:hint="eastAsia" w:ascii="宋体" w:hAnsi="宋体"/>
          <w:b/>
          <w:color w:val="000000"/>
          <w:sz w:val="24"/>
          <w:u w:val="single"/>
        </w:rPr>
        <w:t xml:space="preserve">要求对商务</w:t>
      </w:r>
      <w:r>
        <w:rPr>
          <w:rFonts w:hint="eastAsia" w:ascii="宋体" w:hAnsi="宋体"/>
          <w:b/>
          <w:color w:val="000000"/>
          <w:sz w:val="24"/>
          <w:u w:val="single"/>
        </w:rPr>
        <w:t xml:space="preserve">部</w:t>
      </w:r>
      <w:r>
        <w:rPr>
          <w:rFonts w:hint="eastAsia" w:ascii="宋体" w:hAnsi="宋体"/>
          <w:b/>
          <w:color w:val="000000"/>
          <w:sz w:val="24"/>
          <w:u w:val="single"/>
        </w:rPr>
        <w:t xml:space="preserve">分</w:t>
      </w:r>
      <w:r>
        <w:rPr>
          <w:rFonts w:hint="eastAsia" w:ascii="宋体" w:hAnsi="宋体"/>
          <w:b/>
          <w:color w:val="000000"/>
          <w:sz w:val="24"/>
          <w:u w:val="single"/>
        </w:rPr>
        <w:t xml:space="preserve">和技术</w:t>
      </w:r>
      <w:r>
        <w:rPr>
          <w:rFonts w:hint="eastAsia" w:ascii="宋体" w:hAnsi="宋体"/>
          <w:b/>
          <w:color w:val="000000"/>
          <w:sz w:val="24"/>
          <w:u w:val="single"/>
        </w:rPr>
        <w:t xml:space="preserve">部分</w:t>
      </w:r>
      <w:r>
        <w:rPr>
          <w:rFonts w:hint="eastAsia" w:ascii="宋体" w:hAnsi="宋体"/>
          <w:b/>
          <w:color w:val="000000"/>
          <w:sz w:val="24"/>
          <w:u w:val="single"/>
        </w:rPr>
        <w:t xml:space="preserve">分别进行制作。其中</w:t>
      </w:r>
      <w:r>
        <w:rPr>
          <w:rFonts w:hint="eastAsia" w:ascii="宋体" w:hAnsi="宋体"/>
          <w:b/>
          <w:color w:val="000000"/>
          <w:sz w:val="24"/>
          <w:u w:val="single"/>
        </w:rPr>
        <w:t xml:space="preserve">技术部分</w:t>
      </w:r>
      <w:r>
        <w:rPr>
          <w:rFonts w:hint="eastAsia" w:ascii="宋体" w:hAnsi="宋体"/>
          <w:b/>
          <w:color w:val="000000"/>
          <w:sz w:val="24"/>
          <w:u w:val="single"/>
        </w:rPr>
        <w:t xml:space="preserve">属于暗标，</w:t>
      </w:r>
      <w:r>
        <w:rPr>
          <w:rFonts w:hint="eastAsia" w:ascii="宋体" w:hAnsi="宋体"/>
          <w:b/>
          <w:color w:val="000000"/>
          <w:sz w:val="24"/>
          <w:u w:val="single"/>
        </w:rPr>
        <w:t xml:space="preserve">投标人在制作</w:t>
      </w:r>
      <w:r>
        <w:rPr>
          <w:rFonts w:hint="eastAsia" w:ascii="宋体" w:hAnsi="宋体"/>
          <w:b/>
          <w:color w:val="000000"/>
          <w:sz w:val="24"/>
          <w:u w:val="single"/>
        </w:rPr>
        <w:t xml:space="preserve">技术部分</w:t>
      </w:r>
      <w:r>
        <w:rPr>
          <w:rFonts w:hint="eastAsia" w:ascii="宋体" w:hAnsi="宋体"/>
          <w:b/>
          <w:color w:val="000000"/>
          <w:sz w:val="24"/>
          <w:u w:val="single"/>
        </w:rPr>
        <w:t xml:space="preserve">相关内容时</w:t>
      </w:r>
      <w:r>
        <w:rPr>
          <w:rFonts w:hint="eastAsia" w:ascii="宋体" w:hAnsi="宋体"/>
          <w:b/>
          <w:color w:val="000000"/>
          <w:sz w:val="24"/>
          <w:u w:val="single"/>
        </w:rPr>
        <w:t xml:space="preserve">不得有体现投标人身份的内容，否则投标无效。</w:t>
      </w:r>
      <w:r>
        <w:rPr>
          <w:rFonts w:hint="eastAsia" w:ascii="宋体" w:hAnsi="宋体"/>
          <w:b/>
          <w:color w:val="000000"/>
          <w:sz w:val="24"/>
          <w:u w:val="single"/>
        </w:rPr>
      </w:r>
      <w:r/>
    </w:p>
    <w:p>
      <w:pPr>
        <w:pStyle w:val="937"/>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w:t>
      </w:r>
      <w:r>
        <w:rPr>
          <w:rFonts w:hint="eastAsia" w:ascii="宋体" w:hAnsi="宋体"/>
          <w:b/>
          <w:color w:val="000000"/>
          <w:sz w:val="24"/>
        </w:rPr>
        <w:t xml:space="preserve">不得有体现投标人身份的内容是指：</w:t>
      </w:r>
      <w:r>
        <w:rPr>
          <w:rFonts w:hint="eastAsia" w:ascii="宋体" w:hAnsi="宋体"/>
          <w:b/>
          <w:color w:val="000000"/>
          <w:sz w:val="24"/>
          <w:u w:val="single"/>
        </w:rPr>
      </w:r>
      <w:r/>
    </w:p>
    <w:p>
      <w:pPr>
        <w:pStyle w:val="937"/>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937"/>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p>
    <w:p>
      <w:pPr>
        <w:pStyle w:val="937"/>
        <w:ind w:firstLine="482"/>
        <w:spacing w:line="500" w:lineRule="exact"/>
        <w:rPr>
          <w:rFonts w:hint="eastAsia" w:ascii="宋体" w:hAnsi="宋体"/>
          <w:b/>
          <w:color w:val="000000"/>
          <w:sz w:val="24"/>
        </w:rPr>
      </w:pPr>
      <w:r>
        <w:rPr>
          <w:rFonts w:hint="eastAsia" w:ascii="宋体" w:hAnsi="宋体"/>
          <w:b/>
          <w:color w:val="000000"/>
          <w:sz w:val="24"/>
        </w:rPr>
        <w:t xml:space="preserve">10.4.3</w:t>
      </w:r>
      <w:r>
        <w:rPr>
          <w:rFonts w:hint="eastAsia" w:ascii="宋体" w:hAnsi="宋体"/>
          <w:b/>
          <w:color w:val="000000"/>
          <w:sz w:val="24"/>
        </w:rPr>
        <w:t xml:space="preserve">技术部分应当</w:t>
      </w:r>
      <w:r>
        <w:rPr>
          <w:rFonts w:hint="eastAsia" w:ascii="宋体" w:hAnsi="宋体"/>
          <w:b/>
          <w:color w:val="000000"/>
          <w:sz w:val="24"/>
        </w:rPr>
        <w:t xml:space="preserve">版面整洁、字迹清楚、不许批注</w:t>
      </w:r>
      <w:r>
        <w:rPr>
          <w:rFonts w:hint="eastAsia" w:ascii="宋体" w:hAnsi="宋体"/>
          <w:b/>
          <w:color w:val="000000"/>
          <w:sz w:val="24"/>
        </w:rPr>
        <w:t xml:space="preserve">或进行底纹、阴影、水印等特殊设置</w:t>
      </w:r>
      <w:r>
        <w:rPr>
          <w:rFonts w:hint="eastAsia" w:ascii="宋体" w:hAnsi="宋体"/>
          <w:b/>
          <w:color w:val="000000"/>
          <w:sz w:val="24"/>
        </w:rPr>
        <w:t xml:space="preserve">，不得采用任何不符合常规、有别于其他投标人的特殊做法；</w:t>
      </w:r>
      <w:r/>
    </w:p>
    <w:p>
      <w:pPr>
        <w:pStyle w:val="937"/>
        <w:ind w:firstLine="482"/>
        <w:spacing w:line="500" w:lineRule="exact"/>
        <w:rPr>
          <w:rFonts w:hint="eastAsia" w:ascii="宋体" w:hAnsi="宋体"/>
          <w:b/>
          <w:color w:val="000000"/>
          <w:sz w:val="24"/>
        </w:rPr>
      </w:pPr>
      <w:r>
        <w:rPr>
          <w:rFonts w:hint="eastAsia" w:ascii="宋体" w:hAnsi="宋体"/>
          <w:b/>
          <w:color w:val="000000"/>
          <w:sz w:val="24"/>
        </w:rPr>
        <w:t xml:space="preserve">10.4.4</w:t>
      </w:r>
      <w:r>
        <w:rPr>
          <w:rFonts w:hint="eastAsia" w:ascii="宋体" w:hAnsi="宋体"/>
          <w:b/>
          <w:color w:val="000000"/>
          <w:sz w:val="24"/>
        </w:rPr>
        <w:t xml:space="preserve">不得有</w:t>
      </w:r>
      <w:r>
        <w:rPr>
          <w:rFonts w:hint="eastAsia" w:ascii="宋体" w:hAnsi="宋体"/>
          <w:b/>
          <w:color w:val="000000"/>
          <w:sz w:val="24"/>
        </w:rPr>
        <w:t xml:space="preserve">其他体现投标人身份的内容。</w:t>
      </w:r>
      <w:r/>
    </w:p>
    <w:p>
      <w:pPr>
        <w:pStyle w:val="941"/>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937"/>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41"/>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937"/>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937"/>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941"/>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40"/>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50"/>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41"/>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41"/>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40"/>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937"/>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937"/>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941"/>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937"/>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937"/>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937"/>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41"/>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937"/>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941"/>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937"/>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不良信用记录</w:t>
      </w:r>
      <w:r>
        <w:rPr>
          <w:rFonts w:hint="eastAsia" w:ascii="宋体" w:hAnsi="宋体"/>
          <w:bCs/>
          <w:color w:val="000000"/>
          <w:sz w:val="24"/>
        </w:rPr>
        <w:t xml:space="preserve">。</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37"/>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7"/>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937"/>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937"/>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37"/>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37"/>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937"/>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937"/>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937"/>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937"/>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w:t>
      </w:r>
      <w:r>
        <w:rPr>
          <w:rFonts w:hint="eastAsia" w:ascii="宋体" w:hAnsi="宋体"/>
          <w:bCs/>
          <w:color w:val="000000"/>
          <w:sz w:val="24"/>
          <w:szCs w:val="24"/>
        </w:rPr>
        <w:t xml:space="preserve">）投标总价超过本项目（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93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937"/>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937"/>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937"/>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937"/>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937"/>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937"/>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37"/>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937"/>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937"/>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40"/>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937"/>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93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37"/>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37"/>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937"/>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937"/>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0"/>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941"/>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937"/>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937"/>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1"/>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52"/>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937"/>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937"/>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76"/>
        <w:spacing w:line="400" w:lineRule="exact"/>
        <w:rPr>
          <w:rFonts w:hAnsi="宋体"/>
          <w:color w:val="000000"/>
          <w:sz w:val="24"/>
          <w:szCs w:val="24"/>
        </w:rPr>
      </w:pPr>
      <w:r>
        <w:rPr>
          <w:rFonts w:hAnsi="宋体"/>
          <w:color w:val="000000"/>
          <w:sz w:val="24"/>
          <w:szCs w:val="24"/>
        </w:rPr>
        <w:t xml:space="preserve">项目名称：                                       项目编号：</w:t>
      </w:r>
      <w:r/>
    </w:p>
    <w:p>
      <w:pPr>
        <w:pStyle w:val="976"/>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976"/>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976"/>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76"/>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76"/>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76"/>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76"/>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976"/>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76"/>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76"/>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76"/>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76"/>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76"/>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6"/>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976"/>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76"/>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76"/>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76"/>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76"/>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93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3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3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937"/>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76"/>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76"/>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尾款支付时间：服务结束并验收合格,采购人收到发票后15日内，尾款支付比例：合同金额的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76"/>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93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37"/>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7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97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7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7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76"/>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76"/>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976"/>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76"/>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76"/>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76"/>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76"/>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37"/>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937"/>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937"/>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937"/>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93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37"/>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93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3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项目背景</w:t>
      </w:r>
      <w:r>
        <w:rPr>
          <w:rFonts w:ascii="宋体" w:hAnsi="宋体"/>
          <w:b/>
          <w:bCs/>
          <w:color w:val="000000"/>
          <w:sz w:val="24"/>
        </w:rPr>
      </w:r>
      <w:r/>
    </w:p>
    <w:p>
      <w:pPr>
        <w:pStyle w:val="1053"/>
        <w:ind w:firstLine="480"/>
        <w:rPr>
          <w:color w:val="000000"/>
        </w:rPr>
      </w:pPr>
      <w:r>
        <w:rPr>
          <w:color w:val="000000"/>
        </w:rPr>
        <w:t xml:space="preserve">2020年《关于开展“公立医疗机构经济管理年”活动的通知》（国卫财务函〔2020〕262 号）提出“推进信息化建设，推进实现医院内部运营管理平台系统与业务系统互联互通，数据共享共用。加强数据管理、分析应用， 强化数据资源整合，定期开展数据综合分析研究，为决策提供科学参考。”</w:t>
      </w:r>
      <w:r/>
    </w:p>
    <w:p>
      <w:pPr>
        <w:pStyle w:val="1053"/>
        <w:ind w:firstLine="480"/>
        <w:rPr>
          <w:color w:val="000000"/>
        </w:rPr>
      </w:pPr>
      <w:r>
        <w:rPr>
          <w:color w:val="000000"/>
        </w:rPr>
        <w:t xml:space="preserve">2020年12月，国家卫健委、国家中医药局联合发布《关于加强公立医院运营管理的指导意见》（国卫财务发〔2020〕27 号），提出 “加强医院内部运营管理信息系统建设，促进实物流、资金流、业务流、信息流四流合一”；“建立运营管理系统和数据中心，实现资源全流程管理”；促进互联互通，实现业务系统与运营系统融合”。</w:t>
      </w:r>
      <w:r/>
    </w:p>
    <w:p>
      <w:pPr>
        <w:pStyle w:val="937"/>
        <w:ind w:firstLine="480"/>
        <w:spacing w:line="360" w:lineRule="auto"/>
        <w:widowControl/>
        <w:rPr>
          <w:rFonts w:ascii="宋体" w:hAnsi="宋体"/>
          <w:color w:val="000000"/>
          <w:sz w:val="24"/>
        </w:rPr>
      </w:pPr>
      <w:r>
        <w:rPr>
          <w:rFonts w:ascii="宋体" w:hAnsi="宋体"/>
          <w:color w:val="000000"/>
          <w:sz w:val="24"/>
        </w:rPr>
        <w:t xml:space="preserve">2021年3月15日，国家卫生健康委办公厅发布《关于印发医院智慧管理分级评估标准体系（试行）的通知》</w:t>
      </w:r>
      <w:r>
        <w:rPr>
          <w:rFonts w:hint="eastAsia" w:ascii="宋体" w:hAnsi="宋体"/>
          <w:color w:val="000000"/>
          <w:sz w:val="24"/>
        </w:rPr>
        <w:t xml:space="preserve">（简称“标准体系”）</w:t>
      </w:r>
      <w:r>
        <w:rPr>
          <w:rFonts w:ascii="宋体" w:hAnsi="宋体"/>
          <w:color w:val="000000"/>
          <w:sz w:val="24"/>
        </w:rPr>
        <w:t xml:space="preserve">，指导医疗机构科学、规范开展智慧医院建设，提升医院管理精细化、智能化水平。</w:t>
      </w:r>
      <w:r/>
    </w:p>
    <w:p>
      <w:pPr>
        <w:pStyle w:val="937"/>
        <w:ind w:firstLine="480"/>
        <w:spacing w:line="360" w:lineRule="auto"/>
        <w:widowControl/>
        <w:rPr>
          <w:rFonts w:ascii="宋体" w:hAnsi="宋体"/>
          <w:color w:val="000000"/>
          <w:sz w:val="24"/>
        </w:rPr>
      </w:pPr>
      <w:r>
        <w:rPr>
          <w:rFonts w:hint="eastAsia" w:ascii="宋体" w:hAnsi="宋体"/>
          <w:color w:val="000000"/>
          <w:sz w:val="24"/>
        </w:rPr>
        <w:t xml:space="preserve">2021年6月4日，国务院办公厅发布了</w:t>
      </w:r>
      <w:r>
        <w:rPr>
          <w:rFonts w:ascii="宋体" w:hAnsi="宋体"/>
          <w:color w:val="000000"/>
          <w:sz w:val="24"/>
        </w:rPr>
        <w:t xml:space="preserve">《关于推动公立医院高质量发展的意见》</w:t>
      </w:r>
      <w:r>
        <w:rPr>
          <w:rFonts w:hint="eastAsia" w:ascii="宋体" w:hAnsi="宋体"/>
          <w:color w:val="000000"/>
          <w:sz w:val="24"/>
        </w:rPr>
        <w:t xml:space="preserve">（简称“意见”），对构建医院高质量发展新体系、引领医院高质量发展新趋势、提升医院高质量发展新效能、激活医院高质量发展新动力提出了明确的要求。</w:t>
      </w:r>
      <w:r>
        <w:rPr>
          <w:rFonts w:ascii="宋体" w:hAnsi="宋体"/>
          <w:color w:val="000000"/>
          <w:sz w:val="24"/>
        </w:rPr>
      </w:r>
      <w:r/>
    </w:p>
    <w:p>
      <w:pPr>
        <w:pStyle w:val="937"/>
        <w:ind w:firstLine="480"/>
        <w:spacing w:line="360" w:lineRule="auto"/>
        <w:widowControl/>
        <w:rPr>
          <w:rFonts w:ascii="宋体" w:hAnsi="宋体"/>
          <w:color w:val="000000"/>
          <w:sz w:val="24"/>
        </w:rPr>
      </w:pPr>
      <w:r>
        <w:rPr>
          <w:rFonts w:ascii="宋体" w:hAnsi="宋体"/>
          <w:color w:val="000000"/>
          <w:sz w:val="24"/>
        </w:rPr>
        <w:t xml:space="preserve">2022年4月25日，国家卫生健康委和国家中医药局联合发布了《公立医院运营管理信息化功能指引》（以下简称《功能指引》），该文件作为《关于加强公立医院运营管理的指导意见》的延续与细化，将运营管理决策、数据基础、基础管理与集成作为运营管理信息化建设的3大业务</w:t>
      </w:r>
      <w:r>
        <w:rPr>
          <w:rFonts w:hint="eastAsia" w:ascii="宋体" w:hAnsi="宋体"/>
          <w:color w:val="000000"/>
          <w:sz w:val="24"/>
        </w:rPr>
        <w:t xml:space="preserve">领</w:t>
      </w:r>
      <w:r>
        <w:rPr>
          <w:rFonts w:ascii="宋体" w:hAnsi="宋体"/>
          <w:color w:val="000000"/>
          <w:sz w:val="24"/>
        </w:rPr>
        <w:t xml:space="preserve">域，将数据作为医院运营管理的重要资源，推进数据基础、数据治理与分析应用的体系建设</w:t>
      </w:r>
      <w:r>
        <w:rPr>
          <w:rFonts w:hint="eastAsia" w:ascii="宋体" w:hAnsi="宋体"/>
          <w:color w:val="000000"/>
          <w:sz w:val="24"/>
        </w:rPr>
        <w:t xml:space="preserve">。</w:t>
      </w:r>
      <w:r>
        <w:rPr>
          <w:rFonts w:ascii="宋体" w:hAnsi="宋体"/>
          <w:color w:val="000000"/>
          <w:sz w:val="24"/>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项目建设内容</w:t>
      </w:r>
      <w:r>
        <w:rPr>
          <w:rFonts w:ascii="宋体" w:hAnsi="宋体"/>
          <w:b/>
          <w:bCs/>
          <w:color w:val="000000"/>
          <w:sz w:val="24"/>
        </w:rPr>
      </w:r>
      <w:r/>
    </w:p>
    <w:p>
      <w:pPr>
        <w:pStyle w:val="937"/>
        <w:ind w:firstLine="480"/>
        <w:spacing w:line="360" w:lineRule="auto"/>
        <w:widowControl/>
        <w:rPr>
          <w:rFonts w:ascii="宋体" w:hAnsi="宋体"/>
          <w:color w:val="000000"/>
          <w:sz w:val="24"/>
        </w:rPr>
      </w:pPr>
      <w:r>
        <w:rPr>
          <w:rFonts w:hint="eastAsia" w:ascii="宋体" w:hAnsi="宋体"/>
          <w:color w:val="000000"/>
          <w:sz w:val="24"/>
        </w:rPr>
        <w:t xml:space="preserve">新医改下取消药品加成、耗材加成、支付方式改革等一系列政策“组合拳”让公立医院的运营面临着严峻的挑战，加上常态化</w:t>
      </w:r>
      <w:r>
        <w:rPr>
          <w:rFonts w:hint="eastAsia" w:ascii="宋体" w:hAnsi="宋体"/>
          <w:color w:val="000000"/>
          <w:sz w:val="24"/>
        </w:rPr>
        <w:t xml:space="preserve">新冠感染疫情</w:t>
      </w:r>
      <w:r>
        <w:rPr>
          <w:rFonts w:hint="eastAsia" w:ascii="宋体" w:hAnsi="宋体"/>
          <w:color w:val="000000"/>
          <w:sz w:val="24"/>
        </w:rPr>
        <w:t xml:space="preserve">的影响，又让公立医院的运营压力倍增。一方面，医院医疗服务量下降，收入下降，运营防控成本上升；另一方面，医院本身固定成本占比大，流动性较差，运营管理压力会进一步加剧。</w:t>
      </w:r>
      <w:r>
        <w:rPr>
          <w:rFonts w:ascii="宋体" w:hAnsi="宋体"/>
          <w:color w:val="000000"/>
          <w:sz w:val="24"/>
        </w:rPr>
      </w:r>
      <w:r/>
    </w:p>
    <w:p>
      <w:pPr>
        <w:pStyle w:val="937"/>
        <w:ind w:firstLine="480"/>
        <w:spacing w:line="360" w:lineRule="auto"/>
        <w:widowControl/>
        <w:rPr>
          <w:rFonts w:ascii="宋体" w:hAnsi="宋体"/>
          <w:color w:val="000000"/>
          <w:sz w:val="24"/>
        </w:rPr>
      </w:pPr>
      <w:r>
        <w:rPr>
          <w:rFonts w:hint="eastAsia" w:ascii="宋体" w:hAnsi="宋体"/>
          <w:color w:val="000000"/>
          <w:sz w:val="24"/>
        </w:rPr>
        <w:t xml:space="preserve">我院信息化经过多年的发展，在业务功能支撑上已逐步覆盖。但因过去信息系</w:t>
      </w:r>
      <w:r>
        <w:rPr>
          <w:rFonts w:hint="eastAsia" w:ascii="宋体" w:hAnsi="宋体"/>
          <w:color w:val="000000"/>
          <w:sz w:val="24"/>
        </w:rPr>
        <w:t xml:space="preserve">统建设往往更加关注特定业务的内部职能，对跨职能协同、全面数据共享关注不足，信息系统中的业务断点较为普遍。国家卫健委组织推进的医院互联互通评级对临床信息化的互联互通提出了明确的要求，但对运营管理的互联互通仅作了接入性要求，接入方式、接入深度、接入规范等尚未明确，医院需要根据自身业务发展实际，推进运营管理体系的互联互通，既要实现人财物等各类资源管理的整合协同，也需要实现业务系统与运营系统融合，通过信息系统应用完成原有工作流程的重新梳理及流程再造，让信息多跑路，实现业务管理与运营管理的充分融合。为此，本次规划中，</w:t>
      </w:r>
      <w:r>
        <w:rPr>
          <w:rFonts w:hint="eastAsia" w:ascii="宋体" w:hAnsi="宋体" w:cs="宋体"/>
          <w:color w:val="000000"/>
          <w:sz w:val="24"/>
        </w:rPr>
        <w:t xml:space="preserve">智慧综合运营管理系统各模块建设内容如下：</w:t>
      </w:r>
      <w:r>
        <w:rPr>
          <w:rFonts w:ascii="宋体" w:hAnsi="宋体"/>
          <w:color w:val="000000"/>
          <w:sz w:val="24"/>
        </w:rPr>
      </w:r>
      <w:r/>
    </w:p>
    <w:p>
      <w:pPr>
        <w:pStyle w:val="1053"/>
        <w:ind w:firstLine="482"/>
        <w:rPr>
          <w:b/>
          <w:bCs/>
          <w:color w:val="000000"/>
        </w:rPr>
      </w:pPr>
      <w:r>
        <w:rPr>
          <w:rFonts w:hint="eastAsia"/>
          <w:b/>
          <w:bCs/>
          <w:color w:val="000000"/>
        </w:rPr>
        <w:t xml:space="preserve">（1）系统管理平台的建设内容：</w:t>
      </w:r>
      <w:r>
        <w:rPr>
          <w:b/>
          <w:bCs/>
          <w:color w:val="000000"/>
        </w:rPr>
      </w:r>
      <w:r/>
    </w:p>
    <w:p>
      <w:pPr>
        <w:pStyle w:val="1053"/>
        <w:ind w:firstLine="480"/>
        <w:rPr>
          <w:b/>
          <w:bCs/>
          <w:color w:val="000000"/>
        </w:rPr>
      </w:pPr>
      <w:r>
        <w:rPr>
          <w:rFonts w:hint="eastAsia"/>
          <w:color w:val="000000"/>
        </w:rPr>
        <w:t xml:space="preserve">作为智慧综合运营管理系统运行的底层平台，实现系统设置、用户及权限管理、基础数据字典管理等应用。</w:t>
      </w:r>
      <w:r>
        <w:rPr>
          <w:b/>
          <w:bCs/>
          <w:color w:val="000000"/>
        </w:rPr>
      </w:r>
      <w:r/>
    </w:p>
    <w:p>
      <w:pPr>
        <w:pStyle w:val="1053"/>
        <w:ind w:firstLine="482"/>
        <w:rPr>
          <w:b/>
          <w:bCs/>
          <w:color w:val="000000"/>
        </w:rPr>
      </w:pPr>
      <w:r>
        <w:rPr>
          <w:rFonts w:hint="eastAsia"/>
          <w:b/>
          <w:bCs/>
          <w:color w:val="000000"/>
        </w:rPr>
        <w:t xml:space="preserve">（2）全面预算管理系统的建设内容：</w:t>
      </w:r>
      <w:r>
        <w:rPr>
          <w:b/>
          <w:bCs/>
          <w:color w:val="000000"/>
        </w:rPr>
      </w:r>
      <w:r/>
    </w:p>
    <w:p>
      <w:pPr>
        <w:pStyle w:val="1053"/>
        <w:ind w:firstLine="480"/>
        <w:rPr>
          <w:color w:val="000000"/>
        </w:rPr>
      </w:pPr>
      <w:r>
        <w:rPr>
          <w:rFonts w:hint="eastAsia"/>
          <w:color w:val="000000"/>
        </w:rPr>
        <w:t xml:space="preserve">实现预算编制和执行控制，以便医院管理层更好地掌握预算执行情况，从而</w:t>
      </w:r>
      <w:r>
        <w:rPr>
          <w:rFonts w:hint="eastAsia"/>
          <w:color w:val="000000"/>
        </w:rPr>
        <w:t xml:space="preserve">更好地控制</w:t>
      </w:r>
      <w:r>
        <w:rPr>
          <w:rFonts w:hint="eastAsia"/>
          <w:color w:val="000000"/>
        </w:rPr>
        <w:t xml:space="preserve">成本，优化资源分配，确保医院的财务健康。</w:t>
      </w:r>
      <w:r>
        <w:rPr>
          <w:color w:val="000000"/>
        </w:rPr>
      </w:r>
      <w:r/>
    </w:p>
    <w:p>
      <w:pPr>
        <w:pStyle w:val="1053"/>
        <w:ind w:firstLine="482"/>
        <w:rPr>
          <w:b/>
          <w:bCs/>
          <w:color w:val="000000"/>
        </w:rPr>
      </w:pPr>
      <w:r>
        <w:rPr>
          <w:rFonts w:hint="eastAsia"/>
          <w:b/>
          <w:bCs/>
          <w:color w:val="000000"/>
        </w:rPr>
        <w:t xml:space="preserve">（3）智能报账管理系统的建设内容：</w:t>
      </w:r>
      <w:r>
        <w:rPr>
          <w:b/>
          <w:bCs/>
          <w:color w:val="000000"/>
        </w:rPr>
      </w:r>
      <w:r/>
    </w:p>
    <w:p>
      <w:pPr>
        <w:pStyle w:val="1053"/>
        <w:ind w:firstLine="480"/>
        <w:rPr>
          <w:color w:val="000000"/>
        </w:rPr>
      </w:pPr>
      <w:r>
        <w:rPr>
          <w:rFonts w:hint="eastAsia"/>
          <w:color w:val="000000"/>
        </w:rPr>
        <w:t xml:space="preserve">简化报账流程，减少繁琐的手工工作，提高报账效率。提供准确的报账审核和审批，以确保合规性和预算控制。提高员工和供应商的满意度，提升医院资金流转效率。</w:t>
      </w:r>
      <w:r>
        <w:rPr>
          <w:color w:val="000000"/>
        </w:rPr>
      </w:r>
      <w:r/>
    </w:p>
    <w:p>
      <w:pPr>
        <w:pStyle w:val="1053"/>
        <w:ind w:firstLine="482"/>
        <w:rPr>
          <w:b/>
          <w:bCs/>
          <w:color w:val="000000"/>
        </w:rPr>
      </w:pPr>
      <w:r>
        <w:rPr>
          <w:rFonts w:hint="eastAsia"/>
          <w:b/>
          <w:bCs/>
          <w:color w:val="000000"/>
        </w:rPr>
        <w:t xml:space="preserve">（4）合同管理系统的建设内容：</w:t>
      </w:r>
      <w:r>
        <w:rPr>
          <w:b/>
          <w:bCs/>
          <w:color w:val="000000"/>
        </w:rPr>
      </w:r>
      <w:r/>
    </w:p>
    <w:p>
      <w:pPr>
        <w:pStyle w:val="1053"/>
        <w:ind w:firstLine="480"/>
        <w:rPr>
          <w:color w:val="000000"/>
        </w:rPr>
      </w:pPr>
      <w:r>
        <w:rPr>
          <w:rFonts w:hint="eastAsia"/>
          <w:color w:val="000000"/>
        </w:rPr>
        <w:t xml:space="preserve">管理和监控全院所有合同的生命周期，包括合同创建、审批、履行、付款和终止。提高合同管理的透明度，以降低合同风险和合规性问题的发生。</w:t>
      </w:r>
      <w:r>
        <w:rPr>
          <w:color w:val="000000"/>
        </w:rPr>
      </w:r>
      <w:r/>
    </w:p>
    <w:p>
      <w:pPr>
        <w:pStyle w:val="1053"/>
        <w:ind w:firstLine="482"/>
        <w:rPr>
          <w:b/>
          <w:bCs/>
          <w:color w:val="000000"/>
        </w:rPr>
      </w:pPr>
      <w:r>
        <w:rPr>
          <w:rFonts w:hint="eastAsia"/>
          <w:b/>
          <w:bCs/>
          <w:color w:val="000000"/>
        </w:rPr>
        <w:t xml:space="preserve">（5）人力资源管理系统的建设内容：</w:t>
      </w:r>
      <w:r>
        <w:rPr>
          <w:b/>
          <w:bCs/>
          <w:color w:val="000000"/>
        </w:rPr>
      </w:r>
      <w:r/>
    </w:p>
    <w:p>
      <w:pPr>
        <w:pStyle w:val="1053"/>
        <w:ind w:firstLine="480"/>
        <w:rPr>
          <w:color w:val="000000"/>
        </w:rPr>
      </w:pPr>
      <w:r>
        <w:rPr>
          <w:rFonts w:hint="eastAsia"/>
          <w:color w:val="000000"/>
        </w:rPr>
        <w:t xml:space="preserve">支持员工培训和考核管理，以提高员工的能力。管理员工信息，包括档案、合同、考勤等，确保人力资源合规性。建立</w:t>
      </w:r>
      <w:r>
        <w:rPr>
          <w:color w:val="000000"/>
        </w:rPr>
        <w:t xml:space="preserve">全员参与的</w:t>
      </w:r>
      <w:r>
        <w:rPr>
          <w:rFonts w:hint="eastAsia"/>
          <w:color w:val="000000"/>
        </w:rPr>
        <w:t xml:space="preserve">人力资源</w:t>
      </w:r>
      <w:r>
        <w:rPr>
          <w:color w:val="000000"/>
        </w:rPr>
        <w:t xml:space="preserve">管理</w:t>
      </w:r>
      <w:r>
        <w:rPr>
          <w:rFonts w:hint="eastAsia"/>
          <w:color w:val="000000"/>
        </w:rPr>
        <w:t xml:space="preserve">体系</w:t>
      </w:r>
      <w:r>
        <w:rPr>
          <w:color w:val="000000"/>
        </w:rPr>
        <w:t xml:space="preserve">，基于院长、科主任、人事、医护等全角色设计，助力医院降本增效，提高员工满意度</w:t>
      </w:r>
      <w:r>
        <w:rPr>
          <w:rFonts w:hint="eastAsia"/>
          <w:color w:val="000000"/>
        </w:rPr>
        <w:t xml:space="preserve">。</w:t>
      </w:r>
      <w:r>
        <w:rPr>
          <w:color w:val="000000"/>
        </w:rPr>
      </w:r>
      <w:r/>
    </w:p>
    <w:p>
      <w:pPr>
        <w:pStyle w:val="1053"/>
        <w:ind w:firstLine="482"/>
        <w:rPr>
          <w:b/>
          <w:bCs/>
          <w:color w:val="000000"/>
        </w:rPr>
      </w:pPr>
      <w:r>
        <w:rPr>
          <w:rFonts w:hint="eastAsia"/>
          <w:b/>
          <w:bCs/>
          <w:color w:val="000000"/>
        </w:rPr>
        <w:t xml:space="preserve">（6）固定资产管理系统的建设内容：</w:t>
      </w:r>
      <w:r>
        <w:rPr>
          <w:b/>
          <w:bCs/>
          <w:color w:val="000000"/>
        </w:rPr>
      </w:r>
      <w:r/>
    </w:p>
    <w:p>
      <w:pPr>
        <w:pStyle w:val="1053"/>
        <w:ind w:firstLine="480"/>
        <w:rPr>
          <w:color w:val="000000"/>
        </w:rPr>
      </w:pPr>
      <w:r>
        <w:rPr>
          <w:rFonts w:hint="eastAsia"/>
          <w:color w:val="000000"/>
        </w:rPr>
        <w:t xml:space="preserve">跟踪和管理医院的固定资产，包括设备、房屋和无形资产等。保证资产清查和折旧计算的准确性。与其他系统（预算管理、设备管理、单机效能）协同，共同实现资产从申请、审批、采购、验收、入出库、维修、维保（检测、计量等）、使用分析、报废等的全生命周期管理。</w:t>
      </w:r>
      <w:r>
        <w:rPr>
          <w:color w:val="000000"/>
        </w:rPr>
      </w:r>
      <w:r/>
    </w:p>
    <w:p>
      <w:pPr>
        <w:pStyle w:val="1053"/>
        <w:ind w:firstLine="482"/>
        <w:rPr>
          <w:b/>
          <w:bCs/>
          <w:color w:val="000000"/>
        </w:rPr>
      </w:pPr>
      <w:r>
        <w:rPr>
          <w:rFonts w:hint="eastAsia"/>
          <w:b/>
          <w:bCs/>
          <w:color w:val="000000"/>
        </w:rPr>
        <w:t xml:space="preserve">（7）物流管理系统的建设内容：</w:t>
      </w:r>
      <w:r>
        <w:rPr>
          <w:b/>
          <w:bCs/>
          <w:color w:val="000000"/>
        </w:rPr>
      </w:r>
      <w:r/>
    </w:p>
    <w:p>
      <w:pPr>
        <w:pStyle w:val="1053"/>
        <w:ind w:firstLine="480"/>
        <w:rPr>
          <w:color w:val="000000"/>
        </w:rPr>
      </w:pPr>
      <w:r>
        <w:rPr>
          <w:rFonts w:hint="eastAsia"/>
          <w:color w:val="000000"/>
        </w:rPr>
        <w:t xml:space="preserve">管理医院的物资材料申领、采购、入库、出库、消耗，确保物资供应和消耗的平衡。减少废损和过期物资，降低库存成本。支持物资采购和供应商管理，以确保物资供应的及时性和质量。</w:t>
      </w:r>
      <w:r>
        <w:rPr>
          <w:color w:val="000000"/>
        </w:rPr>
      </w:r>
      <w:r/>
    </w:p>
    <w:p>
      <w:pPr>
        <w:pStyle w:val="1053"/>
        <w:ind w:firstLine="482"/>
        <w:rPr>
          <w:b/>
          <w:bCs/>
          <w:color w:val="000000"/>
        </w:rPr>
      </w:pPr>
      <w:r>
        <w:rPr>
          <w:rFonts w:hint="eastAsia"/>
          <w:b/>
          <w:bCs/>
          <w:color w:val="000000"/>
        </w:rPr>
        <w:t xml:space="preserve">（8）综合运营分析平台的建设内容：</w:t>
      </w:r>
      <w:r>
        <w:rPr>
          <w:b/>
          <w:bCs/>
          <w:color w:val="000000"/>
        </w:rPr>
      </w:r>
      <w:r/>
    </w:p>
    <w:p>
      <w:pPr>
        <w:pStyle w:val="1053"/>
        <w:ind w:firstLine="440"/>
        <w:rPr>
          <w:color w:val="000000"/>
        </w:rPr>
      </w:pPr>
      <w:r>
        <w:rPr>
          <w:rStyle w:val="1054"/>
          <w:rFonts w:hint="eastAsia"/>
          <w:color w:val="000000"/>
        </w:rPr>
        <w:t xml:space="preserve">运营分析指标涵盖运营管理关键指标、日常运营监控指标，在定制化院级驾驶舱上进行展示分析。通过接口获取最新数据进行汇总计算，保障数据实时性。</w:t>
      </w:r>
      <w:r>
        <w:rPr>
          <w:color w:val="000000"/>
        </w:rPr>
      </w:r>
      <w:r/>
    </w:p>
    <w:p>
      <w:pPr>
        <w:pStyle w:val="1053"/>
        <w:ind w:firstLine="480"/>
        <w:rPr>
          <w:color w:val="000000"/>
        </w:rPr>
      </w:pPr>
      <w:r>
        <w:rPr>
          <w:rFonts w:hint="eastAsia"/>
          <w:color w:val="000000"/>
        </w:rPr>
        <w:t xml:space="preserve">总之，通过智慧综合运营管理系统的建设，优化医院的管理流程，提高效率，降低成本，确保合规性，提高员工和患者满意度，从而提升医院精细化管理水平、助力公立医院高质量发展。</w:t>
      </w:r>
      <w:r>
        <w:rPr>
          <w:color w:val="000000"/>
        </w:rPr>
      </w:r>
      <w:r/>
    </w:p>
    <w:p>
      <w:pPr>
        <w:pStyle w:val="940"/>
        <w:numPr>
          <w:ilvl w:val="1"/>
          <w:numId w:val="33"/>
        </w:numPr>
        <w:jc w:val="left"/>
        <w:spacing w:line="360" w:lineRule="auto"/>
        <w:tabs>
          <w:tab w:val="left" w:pos="360" w:leader="none"/>
        </w:tabs>
        <w:rPr>
          <w:rFonts w:ascii="宋体" w:hAnsi="宋体"/>
          <w:color w:val="000000"/>
          <w:sz w:val="24"/>
        </w:rPr>
      </w:pPr>
      <w:r>
        <w:rPr>
          <w:rFonts w:hint="eastAsia" w:ascii="宋体" w:hAnsi="宋体"/>
          <w:color w:val="000000"/>
          <w:sz w:val="24"/>
        </w:rPr>
        <w:t xml:space="preserve">软件功能清单表</w:t>
      </w:r>
      <w:r>
        <w:rPr>
          <w:rFonts w:ascii="宋体" w:hAnsi="宋体"/>
          <w:color w:val="000000"/>
          <w:sz w:val="24"/>
        </w:rPr>
      </w:r>
      <w:r/>
    </w:p>
    <w:p>
      <w:pPr>
        <w:pStyle w:val="937"/>
        <w:ind w:firstLine="480"/>
        <w:jc w:val="center"/>
        <w:spacing w:line="360" w:lineRule="auto"/>
        <w:widowControl/>
        <w:rPr>
          <w:rFonts w:ascii="黑体" w:hAnsi="黑体" w:eastAsia="黑体"/>
          <w:color w:val="000000"/>
          <w:sz w:val="24"/>
        </w:rPr>
      </w:pPr>
      <w:r>
        <w:rPr>
          <w:rFonts w:hint="eastAsia" w:ascii="黑体" w:hAnsi="黑体" w:eastAsia="黑体"/>
          <w:color w:val="000000"/>
          <w:sz w:val="24"/>
        </w:rPr>
        <w:t xml:space="preserve">软件功能清单表</w:t>
      </w:r>
      <w:r>
        <w:rPr>
          <w:rFonts w:ascii="黑体" w:hAnsi="黑体" w:eastAsia="黑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2249"/>
        <w:gridCol w:w="2232"/>
        <w:gridCol w:w="1297"/>
        <w:gridCol w:w="1372"/>
      </w:tblGrid>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系统名称</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系统管理平台</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全面预算管理系统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智能报账管理系统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合同管理系统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人力资源管理系统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固定资产管理系统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物流管理系统</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r>
        <w:trPr/>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8</w:t>
            </w:r>
            <w:r>
              <w:rPr>
                <w:rFonts w:ascii="宋体" w:hAnsi="宋体"/>
                <w:color w:val="000000"/>
                <w:sz w:val="24"/>
              </w:rPr>
            </w:r>
            <w:r/>
          </w:p>
        </w:tc>
        <w:tc>
          <w:tcPr>
            <w:tcW w:w="2249"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综合运营分析平台</w:t>
            </w:r>
            <w:r>
              <w:rPr>
                <w:rFonts w:ascii="宋体" w:hAnsi="宋体"/>
                <w:color w:val="000000"/>
                <w:sz w:val="24"/>
              </w:rPr>
            </w:r>
            <w:r/>
          </w:p>
        </w:tc>
        <w:tc>
          <w:tcPr>
            <w:tcW w:w="223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详见技术参数要求</w:t>
            </w:r>
            <w:r>
              <w:rPr>
                <w:rFonts w:ascii="宋体" w:hAnsi="宋体"/>
                <w:color w:val="000000"/>
                <w:sz w:val="24"/>
              </w:rPr>
            </w:r>
            <w:r/>
          </w:p>
        </w:tc>
        <w:tc>
          <w:tcPr>
            <w:tcW w:w="1297"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1372" w:type="dxa"/>
            <w:vAlign w:val="top"/>
            <w:textDirection w:val="lrTb"/>
            <w:noWrap w:val="false"/>
          </w:tcPr>
          <w:p>
            <w:pPr>
              <w:pStyle w:val="937"/>
              <w:jc w:val="left"/>
              <w:spacing w:line="360" w:lineRule="auto"/>
              <w:widowControl/>
              <w:rPr>
                <w:rFonts w:ascii="宋体" w:hAnsi="宋体"/>
                <w:color w:val="000000"/>
                <w:sz w:val="24"/>
              </w:rPr>
            </w:pPr>
            <w:r>
              <w:rPr>
                <w:rFonts w:hint="eastAsia" w:ascii="宋体" w:hAnsi="宋体"/>
                <w:color w:val="000000"/>
                <w:sz w:val="24"/>
              </w:rPr>
              <w:t xml:space="preserve">套</w:t>
            </w:r>
            <w:r>
              <w:rPr>
                <w:rFonts w:ascii="宋体" w:hAnsi="宋体"/>
                <w:color w:val="000000"/>
                <w:sz w:val="24"/>
              </w:rPr>
            </w:r>
            <w:r/>
          </w:p>
        </w:tc>
      </w:tr>
    </w:tbl>
    <w:p>
      <w:pPr>
        <w:pStyle w:val="1053"/>
        <w:ind w:firstLine="0"/>
        <w:rPr>
          <w:color w:val="000000"/>
        </w:rPr>
      </w:pPr>
      <w:r>
        <w:rPr>
          <w:color w:val="000000"/>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技术参数要求</w:t>
      </w:r>
      <w:r>
        <w:rPr>
          <w:rFonts w:ascii="宋体" w:hAnsi="宋体"/>
          <w:b/>
          <w:bCs/>
          <w:color w:val="000000"/>
          <w:sz w:val="24"/>
        </w:rPr>
      </w:r>
      <w:r/>
    </w:p>
    <w:p>
      <w:pPr>
        <w:pStyle w:val="1030"/>
        <w:numPr>
          <w:ilvl w:val="0"/>
          <w:numId w:val="34"/>
        </w:numPr>
        <w:contextualSpacing w:val="0"/>
        <w:keepNext/>
        <w:spacing w:line="360" w:lineRule="auto"/>
        <w:widowControl w:val="off"/>
        <w:rPr>
          <w:rFonts w:ascii="宋体" w:hAnsi="宋体"/>
          <w:b/>
          <w:bCs/>
          <w:vanish/>
          <w:color w:val="000000"/>
        </w:rPr>
        <w:outlineLvl w:val="2"/>
      </w:pPr>
      <w:r/>
      <w:bookmarkStart w:id="193" w:name="_Toc150521646"/>
      <w:r>
        <w:rPr>
          <w:rFonts w:ascii="宋体" w:hAnsi="宋体"/>
          <w:b/>
          <w:bCs/>
          <w:vanish/>
          <w:color w:val="000000"/>
        </w:rPr>
      </w:r>
      <w:r/>
    </w:p>
    <w:p>
      <w:pPr>
        <w:pStyle w:val="1030"/>
        <w:numPr>
          <w:ilvl w:val="0"/>
          <w:numId w:val="34"/>
        </w:numPr>
        <w:contextualSpacing w:val="0"/>
        <w:keepNext/>
        <w:spacing w:line="360" w:lineRule="auto"/>
        <w:widowControl w:val="off"/>
        <w:rPr>
          <w:rFonts w:ascii="宋体" w:hAnsi="宋体"/>
          <w:b/>
          <w:bCs/>
          <w:vanish/>
          <w:color w:val="000000"/>
        </w:rPr>
        <w:outlineLvl w:val="2"/>
      </w:pPr>
      <w:r>
        <w:rPr>
          <w:rFonts w:ascii="宋体" w:hAnsi="宋体"/>
          <w:b/>
          <w:bCs/>
          <w:vanish/>
          <w:color w:val="000000"/>
        </w:rPr>
      </w:r>
      <w:r/>
    </w:p>
    <w:p>
      <w:pPr>
        <w:pStyle w:val="1030"/>
        <w:numPr>
          <w:ilvl w:val="0"/>
          <w:numId w:val="34"/>
        </w:numPr>
        <w:contextualSpacing w:val="0"/>
        <w:keepNext/>
        <w:spacing w:line="360" w:lineRule="auto"/>
        <w:widowControl w:val="off"/>
        <w:rPr>
          <w:rFonts w:ascii="宋体" w:hAnsi="宋体"/>
          <w:b/>
          <w:bCs/>
          <w:vanish/>
          <w:color w:val="000000"/>
        </w:rPr>
        <w:outlineLvl w:val="2"/>
      </w:pPr>
      <w:r>
        <w:rPr>
          <w:rFonts w:ascii="宋体" w:hAnsi="宋体"/>
          <w:b/>
          <w:bCs/>
          <w:vanish/>
          <w:color w:val="000000"/>
        </w:rPr>
      </w:r>
      <w:r/>
    </w:p>
    <w:p>
      <w:pPr>
        <w:pStyle w:val="940"/>
        <w:numPr>
          <w:ilvl w:val="1"/>
          <w:numId w:val="34"/>
        </w:numPr>
        <w:jc w:val="left"/>
        <w:keepLines w:val="0"/>
        <w:spacing w:before="0" w:after="0" w:line="360" w:lineRule="auto"/>
        <w:rPr>
          <w:rFonts w:ascii="宋体" w:hAnsi="宋体"/>
          <w:color w:val="000000"/>
          <w:sz w:val="24"/>
        </w:rPr>
      </w:pPr>
      <w:r>
        <w:rPr>
          <w:rFonts w:hint="eastAsia" w:ascii="宋体" w:hAnsi="宋体"/>
          <w:color w:val="000000"/>
          <w:sz w:val="24"/>
        </w:rPr>
        <w:t xml:space="preserve">系统管理平台</w:t>
      </w:r>
      <w:bookmarkEnd w:id="193"/>
      <w:r>
        <w:rPr>
          <w:rFonts w:ascii="宋体" w:hAnsi="宋体"/>
          <w:color w:val="000000"/>
          <w:sz w:val="24"/>
        </w:rPr>
      </w:r>
      <w:r/>
    </w:p>
    <w:p>
      <w:pPr>
        <w:pStyle w:val="937"/>
        <w:ind w:firstLine="480"/>
        <w:jc w:val="left"/>
        <w:spacing w:line="360" w:lineRule="auto"/>
        <w:rPr>
          <w:rFonts w:ascii="宋体" w:hAnsi="宋体"/>
          <w:color w:val="000000"/>
          <w:sz w:val="24"/>
        </w:rPr>
      </w:pPr>
      <w:r>
        <w:rPr>
          <w:rFonts w:hint="eastAsia" w:ascii="宋体" w:hAnsi="宋体"/>
          <w:color w:val="000000"/>
          <w:sz w:val="24"/>
        </w:rPr>
        <w:t xml:space="preserve">作为智慧综合运营管理系统运行的底层平台，实现系统设置、用户及权限管理、基础数据字典管理等应用。</w:t>
      </w:r>
      <w:r>
        <w:rPr>
          <w:rFonts w:ascii="宋体" w:hAnsi="宋体"/>
          <w:color w:val="000000"/>
          <w:sz w:val="24"/>
        </w:rPr>
      </w:r>
      <w:r/>
    </w:p>
    <w:p>
      <w:pPr>
        <w:pStyle w:val="941"/>
        <w:jc w:val="left"/>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.1.1</w:t>
      </w:r>
      <w:r>
        <w:rPr>
          <w:rFonts w:hint="eastAsia" w:ascii="宋体" w:hAnsi="宋体" w:eastAsia="宋体"/>
          <w:color w:val="000000"/>
          <w:sz w:val="24"/>
        </w:rPr>
        <w:t xml:space="preserve">业务基础平台</w:t>
      </w:r>
      <w:r>
        <w:rPr>
          <w:rFonts w:ascii="宋体" w:hAnsi="宋体" w:eastAsia="宋体"/>
          <w:color w:val="000000"/>
          <w:sz w:val="24"/>
        </w:rPr>
      </w:r>
      <w:r/>
    </w:p>
    <w:p>
      <w:pPr>
        <w:pStyle w:val="942"/>
        <w:spacing w:line="360" w:lineRule="auto"/>
        <w:tabs>
          <w:tab w:val="left" w:pos="360" w:leader="none"/>
        </w:tabs>
        <w:rPr>
          <w:rFonts w:hAnsi="宋体"/>
        </w:rPr>
      </w:pPr>
      <w:r>
        <w:rPr>
          <w:rFonts w:hint="eastAsia" w:hAnsi="宋体"/>
        </w:rPr>
        <w:t xml:space="preserve">3</w:t>
      </w:r>
      <w:r>
        <w:rPr>
          <w:rFonts w:hAnsi="宋体"/>
        </w:rPr>
        <w:t xml:space="preserve">.1.1.</w:t>
      </w:r>
      <w:r>
        <w:rPr>
          <w:rFonts w:hint="eastAsia" w:hAnsi="宋体"/>
        </w:rPr>
        <w:t xml:space="preserve">1系统设置</w:t>
      </w:r>
      <w:r>
        <w:rPr>
          <w:rFonts w:hAnsi="宋体"/>
        </w:rPr>
      </w:r>
      <w:r/>
    </w:p>
    <w:p>
      <w:pPr>
        <w:pStyle w:val="937"/>
        <w:ind w:firstLine="480"/>
        <w:jc w:val="left"/>
        <w:spacing w:line="360" w:lineRule="auto"/>
        <w:rPr>
          <w:rFonts w:ascii="宋体" w:hAnsi="宋体"/>
          <w:color w:val="000000"/>
          <w:sz w:val="24"/>
        </w:rPr>
      </w:pPr>
      <w:r>
        <w:rPr>
          <w:rFonts w:hint="eastAsia" w:ascii="宋体" w:hAnsi="宋体"/>
          <w:color w:val="000000"/>
          <w:sz w:val="24"/>
        </w:rPr>
        <w:t xml:space="preserve">对系统内各编码规则进行设置、说明、查询及修改。对各系统间是否联用进行设置，便于系统间集成和控制。设置系统内各字典验证规则的启用和禁用。对单位参数、单据号、自动编码规则等进行设置。</w:t>
      </w:r>
      <w:r>
        <w:rPr>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.1.1.2</w:t>
      </w:r>
      <w:r>
        <w:rPr>
          <w:rFonts w:hint="eastAsia" w:hAnsi="宋体"/>
        </w:rPr>
        <w:t xml:space="preserve">系统字典</w:t>
      </w:r>
      <w:r>
        <w:rPr>
          <w:rFonts w:hAnsi="宋体"/>
        </w:rPr>
      </w:r>
      <w:r/>
    </w:p>
    <w:p>
      <w:pPr>
        <w:pStyle w:val="937"/>
        <w:ind w:firstLine="480"/>
        <w:jc w:val="left"/>
        <w:spacing w:line="360" w:lineRule="auto"/>
        <w:rPr>
          <w:rFonts w:ascii="宋体" w:hAnsi="宋体"/>
          <w:color w:val="000000"/>
          <w:sz w:val="24"/>
        </w:rPr>
      </w:pPr>
      <w:r>
        <w:rPr>
          <w:rFonts w:hint="eastAsia" w:ascii="宋体" w:hAnsi="宋体"/>
          <w:color w:val="000000"/>
          <w:sz w:val="24"/>
        </w:rPr>
        <w:t xml:space="preserve">支持多种会计科目体系。对职工的各类属性字典进行维护，包括：学历、学位、政治面貌、职称、职级等。内置国家标准科室字典，以便后续上报数据对照使用。内置支出功能分类字典和支出经济分类字典。</w:t>
      </w:r>
      <w:r>
        <w:rPr>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.1.1.3</w:t>
      </w:r>
      <w:r>
        <w:rPr>
          <w:rFonts w:hint="eastAsia" w:hAnsi="宋体"/>
        </w:rPr>
        <w:t xml:space="preserve">医院字典管理</w:t>
      </w:r>
      <w:r>
        <w:rPr>
          <w:rFonts w:hAnsi="宋体"/>
        </w:rPr>
      </w:r>
      <w:r/>
    </w:p>
    <w:p>
      <w:pPr>
        <w:pStyle w:val="937"/>
        <w:ind w:firstLine="480"/>
        <w:jc w:val="left"/>
        <w:spacing w:line="360" w:lineRule="auto"/>
        <w:rPr>
          <w:rFonts w:ascii="宋体" w:hAnsi="宋体"/>
          <w:color w:val="000000"/>
          <w:sz w:val="24"/>
        </w:rPr>
      </w:pPr>
      <w:r>
        <w:rPr>
          <w:rFonts w:hint="eastAsia" w:ascii="宋体" w:hAnsi="宋体"/>
          <w:color w:val="000000"/>
          <w:sz w:val="24"/>
        </w:rPr>
        <w:t xml:space="preserve">支持医院账套和会计期间的维护。支持包括部门类型、部门、院区、诊疗组、虚拟部门业务关系等的维护。支持医院内职工类别和职工信息的维护。支持收入项目、收费类别、收费项目等的维护。支持对成本项目、成本要素的维护。支持对物资字典、物资分类、物资财务分类、物资卫健委分类、局端分类、装备协会分类等的维护。支持对资产分类、资产财务分类、资产字典的维护。支持对供应商分类、供应商字典、供应商名称变更、证件分类、变更审核等的维护。支持对银行信息、客户信息、仓库信息、资金来源、结算信息、送货地址等的维护。</w:t>
      </w:r>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.1.2</w:t>
      </w:r>
      <w:r>
        <w:rPr>
          <w:rFonts w:hint="eastAsia" w:ascii="宋体" w:hAnsi="宋体" w:eastAsia="宋体"/>
          <w:color w:val="000000"/>
          <w:sz w:val="24"/>
        </w:rPr>
        <w:t xml:space="preserve">管理基础平台</w:t>
      </w:r>
      <w:r>
        <w:rPr>
          <w:rFonts w:ascii="宋体" w:hAnsi="宋体" w:eastAsia="宋体"/>
          <w:color w:val="000000"/>
          <w:sz w:val="24"/>
        </w:rPr>
      </w:r>
      <w:r/>
    </w:p>
    <w:p>
      <w:pPr>
        <w:pStyle w:val="937"/>
        <w:ind w:firstLine="480"/>
        <w:jc w:val="left"/>
        <w:spacing w:line="360" w:lineRule="auto"/>
        <w:rPr>
          <w:rFonts w:ascii="宋体" w:hAnsi="宋体"/>
          <w:color w:val="000000"/>
          <w:sz w:val="24"/>
        </w:rPr>
      </w:pPr>
      <w:r>
        <w:rPr>
          <w:rFonts w:hint="eastAsia" w:ascii="宋体" w:hAnsi="宋体"/>
          <w:color w:val="000000"/>
          <w:sz w:val="24"/>
        </w:rPr>
        <w:t xml:space="preserve">支持对用户、角色、按钮权限、用户权限、角色权限、数据权限等的维护。提供用户操作日志的自动记录和查询功能。支持对系统自动任务的定时设置及查看追踪。</w:t>
      </w:r>
      <w:r>
        <w:rPr>
          <w:rFonts w:ascii="宋体" w:hAnsi="宋体"/>
          <w:color w:val="000000"/>
          <w:sz w:val="24"/>
        </w:rPr>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194" w:name="_Toc150521647"/>
      <w:r>
        <w:rPr>
          <w:rFonts w:hint="eastAsia" w:ascii="宋体" w:hAnsi="宋体"/>
          <w:color w:val="000000"/>
          <w:sz w:val="24"/>
        </w:rPr>
        <w:t xml:space="preserve">全面预算管理系统</w:t>
      </w:r>
      <w:bookmarkEnd w:id="194"/>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.2.1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rFonts w:hint="eastAsia"/>
          <w:color w:val="000000"/>
        </w:rPr>
        <w:t xml:space="preserve">全面预算管理系统</w:t>
      </w:r>
      <w:r>
        <w:rPr>
          <w:color w:val="000000"/>
        </w:rPr>
        <w:t xml:space="preserve">以战略发展规划和年度计划目标为导向，</w:t>
      </w:r>
      <w:r>
        <w:rPr>
          <w:rFonts w:hint="eastAsia"/>
          <w:color w:val="000000"/>
        </w:rPr>
        <w:t xml:space="preserve">能够帮</w:t>
      </w:r>
      <w:r>
        <w:rPr>
          <w:color w:val="000000"/>
        </w:rPr>
        <w:t xml:space="preserve">助医院建立“全口径、全方位、全员</w:t>
      </w:r>
      <w:r>
        <w:rPr>
          <w:rFonts w:hint="eastAsia"/>
          <w:color w:val="000000"/>
        </w:rPr>
        <w:t xml:space="preserve">性</w:t>
      </w:r>
      <w:r>
        <w:rPr>
          <w:color w:val="000000"/>
        </w:rPr>
        <w:t xml:space="preserve">、全过程”的全面预算管理体系，包括预算编制、预算执行与控制、预算分析的全过程管理；建</w:t>
      </w:r>
      <w:r>
        <w:rPr>
          <w:rFonts w:hint="eastAsia"/>
          <w:color w:val="000000"/>
        </w:rPr>
        <w:t xml:space="preserve">立起</w:t>
      </w:r>
      <w:r>
        <w:rPr>
          <w:color w:val="000000"/>
        </w:rPr>
        <w:t xml:space="preserve">医院级、归口管理级、业务科室级三级预算管控体系，确保全员参与；涵盖收入预算、支出预算、项目预算以及资本性支出预算的全</w:t>
      </w:r>
      <w:r>
        <w:rPr>
          <w:rFonts w:hint="eastAsia"/>
          <w:color w:val="000000"/>
        </w:rPr>
        <w:t xml:space="preserve">面</w:t>
      </w:r>
      <w:r>
        <w:rPr>
          <w:color w:val="000000"/>
        </w:rPr>
        <w:t xml:space="preserve">预算管理体系。</w:t>
      </w:r>
      <w:r/>
    </w:p>
    <w:p>
      <w:pPr>
        <w:pStyle w:val="1053"/>
        <w:ind w:firstLine="480"/>
        <w:rPr>
          <w:color w:val="000000"/>
        </w:rPr>
      </w:pPr>
      <w:r>
        <w:rPr>
          <w:rFonts w:hint="eastAsia"/>
          <w:color w:val="000000"/>
        </w:rPr>
        <w:t xml:space="preserve">系统全面</w:t>
      </w:r>
      <w:r>
        <w:rPr>
          <w:color w:val="000000"/>
        </w:rPr>
        <w:t xml:space="preserve">支持《公立医院全面预算管理制度实施办法》，</w:t>
      </w:r>
      <w:r>
        <w:rPr>
          <w:rFonts w:hint="eastAsia"/>
          <w:color w:val="000000"/>
        </w:rPr>
        <w:t xml:space="preserve">支持</w:t>
      </w:r>
      <w:r>
        <w:rPr>
          <w:color w:val="000000"/>
        </w:rPr>
        <w:t xml:space="preserve">预置编制表、试算平衡表、报送表等多类预算表样，</w:t>
      </w:r>
      <w:r>
        <w:rPr>
          <w:rFonts w:hint="eastAsia"/>
          <w:color w:val="000000"/>
        </w:rPr>
        <w:t xml:space="preserve">能够帮</w:t>
      </w:r>
      <w:r>
        <w:rPr>
          <w:color w:val="000000"/>
        </w:rPr>
        <w:t xml:space="preserve">助医院快速按制度要求实施全面预算管理；</w:t>
      </w:r>
      <w:r>
        <w:rPr>
          <w:rFonts w:hint="eastAsia"/>
          <w:color w:val="000000"/>
        </w:rPr>
        <w:t xml:space="preserve">系统</w:t>
      </w:r>
      <w:r>
        <w:rPr>
          <w:color w:val="000000"/>
        </w:rPr>
        <w:t xml:space="preserve">支持按收付实现制进行部门预决算报表编制，并</w:t>
      </w:r>
      <w:r>
        <w:rPr>
          <w:rFonts w:hint="eastAsia"/>
          <w:color w:val="000000"/>
        </w:rPr>
        <w:t xml:space="preserve">能够</w:t>
      </w:r>
      <w:r>
        <w:rPr>
          <w:color w:val="000000"/>
        </w:rPr>
        <w:t xml:space="preserve">与院内权责发生制预算进行试算平衡，可以统一生成主管部门要求的上报报表</w:t>
      </w:r>
      <w:r>
        <w:rPr>
          <w:rFonts w:hint="eastAsia"/>
          <w:color w:val="000000"/>
        </w:rPr>
        <w:t xml:space="preserve">。</w:t>
      </w:r>
      <w:r>
        <w:rPr>
          <w:color w:val="000000"/>
        </w:rPr>
      </w:r>
      <w:r/>
    </w:p>
    <w:p>
      <w:pPr>
        <w:pStyle w:val="1053"/>
        <w:ind w:firstLine="480"/>
        <w:rPr>
          <w:color w:val="000000"/>
        </w:rPr>
      </w:pPr>
      <w:r>
        <w:rPr>
          <w:rFonts w:hint="eastAsia"/>
          <w:color w:val="000000"/>
        </w:rPr>
        <w:t xml:space="preserve">系统要覆盖预算编制、预算执行、预算控制、预算分析、预算调整各个环节，实现闭环式管理，支持按照医院预算管理办法进行预算方案建设，如预算期间、业务计划、预算指标、预算项目、相关报表等。</w:t>
      </w:r>
      <w:r>
        <w:rPr>
          <w:color w:val="000000"/>
        </w:rPr>
      </w:r>
      <w:r/>
    </w:p>
    <w:p>
      <w:pPr>
        <w:pStyle w:val="1053"/>
        <w:ind w:firstLine="480"/>
        <w:rPr>
          <w:color w:val="000000"/>
        </w:rPr>
      </w:pPr>
      <w:r>
        <w:rPr>
          <w:rFonts w:hint="eastAsia"/>
          <w:color w:val="000000"/>
        </w:rPr>
        <w:t xml:space="preserve">系统应支持全口径预算管理，预算类型涵盖收入预算、支出预算、项目预算、采购预算、资本性支出预算，真正实现全面预算管理，支持自定义是否进行预算预警与控制，灵活提供超预算业务处理方式，如：选择通过、不通过、增加预算等。能够反映各业务单元预算执行情况。</w:t>
      </w:r>
      <w:r>
        <w:rPr>
          <w:color w:val="000000"/>
        </w:rPr>
      </w:r>
      <w:r/>
    </w:p>
    <w:p>
      <w:pPr>
        <w:pStyle w:val="1053"/>
        <w:ind w:firstLine="480"/>
        <w:rPr>
          <w:color w:val="000000"/>
        </w:rPr>
      </w:pPr>
      <w:r>
        <w:rPr>
          <w:rFonts w:hint="eastAsia"/>
          <w:color w:val="000000"/>
        </w:rPr>
        <w:t xml:space="preserve">提供部门预算（管理部门）、科室预算（各临床科室）、归口代编、科室自编等多种方式的业务预算编制模式，按照管理需求设置均次、药占、耗占等收入结构指标，提供多部门、多医疗组预算编制功能，按月、季度、年度进行预算执行分析，支持以预算项目为预算编制、执行、考核的前台控制抓手，贴近业务，便于业务部门，理解执行。支持项目预算调整功能，根据实际情况进行预算管控，提供各项支出预算执行统计分析。系统具备一上、 二上申报功能。 一上是根据原始预算编制上报， 二上是根据批复情况调整后上报。</w:t>
      </w:r>
      <w:r>
        <w:rPr>
          <w:color w:val="000000"/>
        </w:rPr>
      </w:r>
      <w:r/>
    </w:p>
    <w:p>
      <w:pPr>
        <w:pStyle w:val="941"/>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.2.2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.2.2.1预算编制</w:t>
      </w:r>
      <w:r/>
    </w:p>
    <w:p>
      <w:pPr>
        <w:pStyle w:val="1053"/>
        <w:ind w:firstLine="480"/>
        <w:rPr>
          <w:color w:val="000000"/>
        </w:rPr>
      </w:pPr>
      <w:r>
        <w:rPr>
          <w:color w:val="000000"/>
        </w:rPr>
        <w:t xml:space="preserve">预算编制范围包括收入预算、支出预算、项目预算、采购预算、资本性支出预算等</w:t>
      </w:r>
      <w:r>
        <w:rPr>
          <w:rFonts w:hint="eastAsia"/>
          <w:color w:val="000000"/>
        </w:rPr>
        <w:t xml:space="preserve">。</w:t>
      </w:r>
      <w:r>
        <w:rPr>
          <w:color w:val="000000"/>
        </w:rPr>
        <w:t xml:space="preserve">提供多种预算编制方案，如支出项目+预算主体、支出项目+归口科室、支出项目+归口科室+项目等；预算编制时能看到科室历史预算编制、执行信息，支持自定义编制方法。</w:t>
      </w:r>
      <w:r/>
    </w:p>
    <w:p>
      <w:pPr>
        <w:pStyle w:val="1053"/>
        <w:ind w:firstLine="480"/>
        <w:rPr>
          <w:color w:val="000000"/>
        </w:rPr>
      </w:pPr>
      <w:r>
        <w:rPr>
          <w:color w:val="000000"/>
        </w:rPr>
        <w:t xml:space="preserve">收入预算：实现业务科室或归口科室编制收入预算，预算办公室和预算委员会审核预算的功能。编制处室根据上年预算执行情况编制计划预算，根据计划指标和收入预算的关系自动计算出收入预算（也可由医院成本核算系统中自动按照以往年度数据自动进行测算）。提供收入预算的调整功能。提供计划指标、收入预算的预算执行分析功能。财政收入预算分为财政基本支出补助收入和财政项目补助收入两个部分，财政基本支出补助收入按照预算指标手工编制，财政项目补助收入则按照对应的项目编制年度预算</w:t>
      </w:r>
      <w:r>
        <w:rPr>
          <w:rFonts w:hint="eastAsia"/>
          <w:color w:val="000000"/>
        </w:rPr>
        <w:t xml:space="preserve">。</w:t>
      </w:r>
      <w:r>
        <w:rPr>
          <w:color w:val="000000"/>
        </w:rPr>
        <w:t xml:space="preserve">其他收入由各个业务部门根据自己的具体业务，编制其他收入预算。</w:t>
      </w:r>
      <w:r>
        <w:rPr>
          <w:rFonts w:hint="eastAsia"/>
          <w:color w:val="000000"/>
        </w:rPr>
        <w:t xml:space="preserve">医院的事业计划预算主要包含工作量预算、药占比预算、耗占比预算等各类管控型预算，通过药占比、耗占比等事业计划的预算编制。</w:t>
      </w:r>
      <w:r>
        <w:rPr>
          <w:color w:val="000000"/>
        </w:rPr>
      </w:r>
      <w:r/>
    </w:p>
    <w:p>
      <w:pPr>
        <w:pStyle w:val="1053"/>
        <w:ind w:firstLine="480"/>
        <w:rPr>
          <w:color w:val="000000"/>
        </w:rPr>
      </w:pPr>
      <w:r>
        <w:rPr>
          <w:color w:val="000000"/>
        </w:rPr>
        <w:t xml:space="preserve">支出预算：按照全院、归口科室、业务科室三级次编制预算。医疗业务和管理支出预算可以按照职能科室、或者业务科室进行编制。支持按业务科室编制预算，即由业务科室编制支出预算，然后职能科室审核，预算办公室汇总后由预算委员会批准。支持按照事项需求进行支出预算的编制。</w:t>
      </w:r>
      <w:r/>
    </w:p>
    <w:p>
      <w:pPr>
        <w:pStyle w:val="1053"/>
        <w:ind w:firstLine="480"/>
        <w:rPr>
          <w:color w:val="000000"/>
        </w:rPr>
      </w:pPr>
      <w:r>
        <w:rPr>
          <w:color w:val="000000"/>
        </w:rPr>
        <w:t xml:space="preserve">资本性支出预算：医院的资本性支出预算主要是项目性投资预算，医院的项目投资包括：基建工程、大型修缮、固定资产购置、无形资产购置项目。</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.2.2.2预算</w:t>
      </w:r>
      <w:r>
        <w:rPr>
          <w:rFonts w:hint="eastAsia" w:hAnsi="宋体"/>
        </w:rPr>
        <w:t xml:space="preserve">审核与</w:t>
      </w:r>
      <w:r>
        <w:rPr>
          <w:rFonts w:hAnsi="宋体"/>
        </w:rPr>
        <w:t xml:space="preserve">批复</w:t>
      </w:r>
      <w:r/>
    </w:p>
    <w:p>
      <w:pPr>
        <w:pStyle w:val="1053"/>
        <w:ind w:firstLine="480"/>
        <w:rPr>
          <w:color w:val="000000"/>
        </w:rPr>
      </w:pPr>
      <w:r>
        <w:rPr>
          <w:color w:val="000000"/>
        </w:rPr>
        <w:t xml:space="preserve">预算科室对本科室申报的预算进行内部审批</w:t>
      </w:r>
      <w:r>
        <w:rPr>
          <w:rFonts w:hint="eastAsia"/>
          <w:color w:val="000000"/>
        </w:rPr>
        <w:t xml:space="preserve">，</w:t>
      </w:r>
      <w:r>
        <w:rPr>
          <w:color w:val="000000"/>
        </w:rPr>
        <w:t xml:space="preserve">预算科室内部审批通过后，按照逐级审批的规则</w:t>
      </w:r>
      <w:r>
        <w:rPr>
          <w:rFonts w:hint="eastAsia"/>
          <w:color w:val="000000"/>
        </w:rPr>
        <w:t xml:space="preserve">，支持</w:t>
      </w:r>
      <w:r>
        <w:rPr>
          <w:color w:val="000000"/>
        </w:rPr>
        <w:t xml:space="preserve">归口科室会对所负责的业务进行归口审批</w:t>
      </w:r>
      <w:r>
        <w:rPr>
          <w:rFonts w:hint="eastAsia"/>
          <w:color w:val="000000"/>
        </w:rPr>
        <w:t xml:space="preserve">。</w:t>
      </w:r>
      <w:r>
        <w:rPr>
          <w:color w:val="000000"/>
        </w:rPr>
        <w:t xml:space="preserve">预算管理办公室可以通过预算汇总功能，从收支平衡的角度对全院预算进行审查平衡，确保收支平衡，不编制赤字预算。预算委员会可对预算办公室上报的预算方案进行批复</w:t>
      </w:r>
      <w:r>
        <w:rPr>
          <w:rFonts w:hint="eastAsia"/>
          <w:color w:val="000000"/>
        </w:rPr>
        <w:t xml:space="preserve">。</w:t>
      </w:r>
      <w:r>
        <w:rPr>
          <w:color w:val="000000"/>
        </w:rPr>
      </w:r>
      <w:r/>
    </w:p>
    <w:p>
      <w:pPr>
        <w:pStyle w:val="1053"/>
        <w:ind w:firstLine="480"/>
        <w:rPr>
          <w:color w:val="000000"/>
        </w:rPr>
      </w:pPr>
      <w:r>
        <w:rPr>
          <w:rFonts w:hint="eastAsia"/>
          <w:color w:val="000000"/>
        </w:rPr>
        <w:t xml:space="preserve">预算科室对本科室申报的预算进行内部审批，预算科室内部审批通过后，按照逐级审批的规则，支持归口科室会对所负责的业务进行归口审批。预算管理办公室可以通过预算汇总功能，从收支平衡的角度对全院预算进行审查平衡，确保收支平衡，不编制赤字预算。预算委员会可对预算办公室上报的预算方案进行批复。</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.2.2.3预算调整</w:t>
      </w:r>
      <w:r/>
    </w:p>
    <w:p>
      <w:pPr>
        <w:pStyle w:val="1053"/>
        <w:ind w:firstLine="480"/>
        <w:rPr>
          <w:color w:val="000000"/>
        </w:rPr>
      </w:pPr>
      <w:r>
        <w:rPr>
          <w:color w:val="000000"/>
        </w:rPr>
        <w:t xml:space="preserve">支持调整单线上审批流程，根据流程职能科室（归口科室）、财务、预算管理委员会可对预算调整表进行审批</w:t>
      </w:r>
      <w:r>
        <w:rPr>
          <w:rFonts w:hint="eastAsia"/>
          <w:color w:val="000000"/>
        </w:rPr>
        <w:t xml:space="preserve">。</w:t>
      </w:r>
      <w:r>
        <w:rPr>
          <w:color w:val="000000"/>
        </w:rPr>
      </w:r>
      <w:r/>
    </w:p>
    <w:p>
      <w:pPr>
        <w:pStyle w:val="1053"/>
        <w:ind w:firstLine="480"/>
        <w:rPr>
          <w:color w:val="000000"/>
        </w:rPr>
      </w:pPr>
      <w:r>
        <w:rPr>
          <w:color w:val="000000"/>
        </w:rPr>
        <w:t xml:space="preserve">预算批复后，针对现有预算指标预算数、或者新增指标、新增科室等情况下进行调整，实现“收入预算、支出预算、事项支出预算、资产预算”调整、调剂等功能。支持新增、修护调整申请单、调剂申请单，能够按审批流程进行审批管理。支持多种预算变更调整方式，包括预算外临时追加、预算内部门间调拨，部门内调拨等。系统支持用自定义工作流对预算变更调整的申请及审批进行流程控制。</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.2.2.4</w:t>
      </w:r>
      <w:r>
        <w:rPr>
          <w:rFonts w:hint="eastAsia" w:hAnsi="宋体"/>
        </w:rPr>
        <w:t xml:space="preserve">预算执行与控</w:t>
      </w:r>
      <w:r>
        <w:rPr>
          <w:rFonts w:hAnsi="宋体"/>
        </w:rPr>
        <w:t xml:space="preserve">制</w:t>
      </w:r>
      <w:r/>
    </w:p>
    <w:p>
      <w:pPr>
        <w:pStyle w:val="1053"/>
        <w:ind w:firstLine="480"/>
        <w:rPr>
          <w:color w:val="000000"/>
        </w:rPr>
      </w:pPr>
      <w:r>
        <w:rPr>
          <w:rFonts w:hint="eastAsia"/>
          <w:color w:val="000000"/>
        </w:rPr>
        <w:t xml:space="preserve">系统需要与外部系统联用进行执行控制，如与HIS、人事、统计、财务、成本、物资、资产、合同、OA等系统对接，实现支出控制、成本物资采购计划、设备资产购置计划与预算数据联合控制，以及在财务核算系统中可以实时产生预算执行凭证，并且可查询当期预算编制内容和预算执行情况。</w:t>
      </w:r>
      <w:r>
        <w:rPr>
          <w:color w:val="000000"/>
        </w:rPr>
      </w:r>
      <w:r/>
    </w:p>
    <w:p>
      <w:pPr>
        <w:pStyle w:val="1053"/>
        <w:ind w:firstLine="480"/>
        <w:rPr>
          <w:color w:val="000000"/>
        </w:rPr>
      </w:pPr>
      <w:r>
        <w:rPr>
          <w:rFonts w:hint="eastAsia"/>
          <w:color w:val="000000"/>
        </w:rPr>
        <w:t xml:space="preserve">（</w:t>
      </w:r>
      <w:r>
        <w:rPr>
          <w:color w:val="000000"/>
        </w:rPr>
        <w:t xml:space="preserve">1</w:t>
      </w:r>
      <w:r>
        <w:rPr>
          <w:rFonts w:hint="eastAsia"/>
          <w:color w:val="000000"/>
        </w:rPr>
        <w:t xml:space="preserve">）</w:t>
      </w:r>
      <w:r>
        <w:rPr>
          <w:color w:val="000000"/>
        </w:rPr>
        <w:t xml:space="preserve">预算执行:系统预置了预算指标与项目</w:t>
      </w:r>
      <w:r>
        <w:rPr>
          <w:rFonts w:hint="eastAsia"/>
          <w:color w:val="000000"/>
        </w:rPr>
        <w:t xml:space="preserve">预算</w:t>
      </w:r>
      <w:r>
        <w:rPr>
          <w:color w:val="000000"/>
        </w:rPr>
        <w:t xml:space="preserve">执行表，支持从业务系统采集</w:t>
      </w:r>
      <w:r>
        <w:rPr>
          <w:color w:val="000000"/>
        </w:rPr>
        <w:t xml:space="preserve">执行数据</w:t>
      </w:r>
      <w:r>
        <w:rPr>
          <w:rFonts w:hint="eastAsia" w:ascii="Calibri" w:hAnsi="Calibri" w:cs="Times New Roman"/>
          <w:color w:val="000000"/>
          <w:sz w:val="21"/>
          <w:szCs w:val="22"/>
          <w:lang w:bidi="ar"/>
        </w:rPr>
        <w:t xml:space="preserve">，</w:t>
      </w:r>
      <w:r>
        <w:rPr>
          <w:rFonts w:hint="eastAsia"/>
          <w:color w:val="000000"/>
        </w:rPr>
        <w:t xml:space="preserve">包含从财务会计中提取会计科目的实际</w:t>
      </w:r>
      <w:r>
        <w:rPr>
          <w:rFonts w:hint="eastAsia"/>
          <w:color w:val="000000"/>
        </w:rPr>
        <w:t xml:space="preserve">执行数据</w:t>
      </w:r>
      <w:r>
        <w:rPr>
          <w:rFonts w:hint="eastAsia"/>
          <w:color w:val="000000"/>
        </w:rPr>
        <w:t xml:space="preserve">据。</w:t>
      </w:r>
      <w:r>
        <w:rPr>
          <w:color w:val="000000"/>
        </w:rPr>
      </w:r>
      <w:r/>
    </w:p>
    <w:p>
      <w:pPr>
        <w:pStyle w:val="1053"/>
        <w:ind w:left="480" w:firstLine="0"/>
        <w:rPr>
          <w:color w:val="000000"/>
        </w:rPr>
      </w:pPr>
      <w:r>
        <w:rPr>
          <w:rFonts w:hint="eastAsia"/>
          <w:color w:val="000000"/>
        </w:rPr>
        <w:t xml:space="preserve">（2）</w:t>
      </w:r>
      <w:r>
        <w:rPr>
          <w:color w:val="000000"/>
        </w:rPr>
        <w:t xml:space="preserve">预算控制：支持</w:t>
      </w:r>
      <w:r>
        <w:rPr>
          <w:rFonts w:hint="eastAsia"/>
          <w:color w:val="000000"/>
        </w:rPr>
        <w:t xml:space="preserve">报账、</w:t>
      </w:r>
      <w:r>
        <w:rPr>
          <w:color w:val="000000"/>
        </w:rPr>
        <w:t xml:space="preserve">合同</w:t>
      </w:r>
      <w:r>
        <w:rPr>
          <w:rFonts w:hint="eastAsia"/>
          <w:color w:val="000000"/>
        </w:rPr>
        <w:t xml:space="preserve">等</w:t>
      </w:r>
      <w:r>
        <w:rPr>
          <w:color w:val="000000"/>
        </w:rPr>
        <w:t xml:space="preserve">模块的控制，</w:t>
      </w:r>
      <w:r>
        <w:rPr>
          <w:rFonts w:hint="eastAsia"/>
          <w:color w:val="000000"/>
        </w:rPr>
        <w:t xml:space="preserve">支持刚性控制和柔性控制。</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.2.2.5预算分析</w:t>
      </w:r>
      <w:r/>
    </w:p>
    <w:p>
      <w:pPr>
        <w:pStyle w:val="1053"/>
        <w:ind w:firstLine="480"/>
        <w:rPr>
          <w:color w:val="000000"/>
        </w:rPr>
      </w:pPr>
      <w:r>
        <w:rPr>
          <w:color w:val="000000"/>
        </w:rPr>
        <w:t xml:space="preserve">预算分析提供对医院各种业务预算的编制、执行、控制情况进行统计分析。预制指标分析和项目分析。</w:t>
      </w:r>
      <w:r/>
    </w:p>
    <w:p>
      <w:pPr>
        <w:pStyle w:val="1053"/>
        <w:ind w:firstLine="480"/>
        <w:rPr>
          <w:color w:val="000000"/>
        </w:rPr>
      </w:pPr>
      <w:r>
        <w:rPr>
          <w:color w:val="000000"/>
        </w:rPr>
        <w:t xml:space="preserve">支持通过环比、同比等分析方法对收入预算、支出预算、资本性支出预算的预算数、</w:t>
      </w:r>
      <w:r>
        <w:rPr>
          <w:color w:val="000000"/>
        </w:rPr>
        <w:t xml:space="preserve">执行数据</w:t>
      </w:r>
      <w:r>
        <w:rPr>
          <w:color w:val="000000"/>
        </w:rPr>
        <w:t xml:space="preserve">分析。</w:t>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195" w:name="_Toc150521648"/>
      <w:r>
        <w:rPr>
          <w:rFonts w:hint="eastAsia" w:ascii="宋体" w:hAnsi="宋体"/>
          <w:color w:val="000000"/>
          <w:sz w:val="24"/>
        </w:rPr>
        <w:t xml:space="preserve">智能报账管理系统</w:t>
      </w:r>
      <w:bookmarkEnd w:id="195"/>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.3.1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rFonts w:hint="eastAsia"/>
          <w:color w:val="000000"/>
        </w:rPr>
        <w:t xml:space="preserve">智能报账管理系统应满足医院费用报账管理要求，与预算、合同系统关联，将预算、合同等数据引入借款、报账填单、资金审核控制环节，实现医院资金支出的高效管理，强化预算执行控制机制，规范经费报账业务，有效防范资金支付风险；系统应支持PC端、手机端的一体化智能报账，全</w:t>
      </w:r>
      <w:r>
        <w:rPr>
          <w:rFonts w:hint="eastAsia"/>
          <w:color w:val="000000"/>
        </w:rPr>
        <w:t xml:space="preserve">面支持多场景高效协同办公。智能报账除了支持医院传统借款、报账业务外，还要能够扩展发票验真防重、OCR识别等智能化应用，可智能识别增值税发票、电子发票、飞机票、火车票、出租车票等票据，提取相关票据信息完成自动填单。为一线员工提供更便捷的报账工具，并结合预算强化内控，降低财务人员工作量，提升费用报账效率和员工财务服务满意度。集借款、报账为一体的专业化管理系统，可以实现线上报账审批等一系列操作流程，用户可以直接在线上填报借款单或报账单，审批人可以直观的看到自己的待办任务并进行审批，进一步提高了医院精细化管理水平。</w:t>
      </w:r>
      <w:r>
        <w:rPr>
          <w:color w:val="000000"/>
        </w:rPr>
      </w:r>
      <w:r/>
    </w:p>
    <w:p>
      <w:pPr>
        <w:pStyle w:val="1053"/>
        <w:ind w:firstLine="480"/>
        <w:rPr>
          <w:color w:val="000000"/>
        </w:rPr>
      </w:pPr>
      <w:r>
        <w:rPr>
          <w:rFonts w:hint="eastAsia"/>
          <w:color w:val="000000"/>
        </w:rPr>
        <w:t xml:space="preserve">引入OCR（光学字符识别）技术，可以实现票据的智能采集和票据信息的智能提取；可以实现自动填单、审核功能。</w:t>
      </w:r>
      <w:r>
        <w:rPr>
          <w:color w:val="000000"/>
        </w:rPr>
      </w:r>
      <w:r/>
    </w:p>
    <w:p>
      <w:pPr>
        <w:pStyle w:val="1053"/>
        <w:ind w:firstLine="480"/>
        <w:rPr>
          <w:color w:val="000000"/>
        </w:rPr>
      </w:pPr>
      <w:r>
        <w:rPr>
          <w:rFonts w:hint="eastAsia"/>
          <w:color w:val="000000"/>
        </w:rPr>
        <w:t xml:space="preserve">业务办理：包含日常、差旅、会议、培训、劳务、出国、借款、申请业务的申报；支持事前申请、员工借款、冲销借款及报账，根据申报金额进行预算管控及借款逾期预警提醒等功能。报账范围除支持员工报账外，同时支持对公报账，包括合同付款、资产付款、采购付款等对公报账业务。</w:t>
      </w:r>
      <w:r>
        <w:rPr>
          <w:color w:val="000000"/>
        </w:rPr>
      </w:r>
      <w:r/>
    </w:p>
    <w:p>
      <w:pPr>
        <w:pStyle w:val="1053"/>
        <w:ind w:firstLine="480"/>
        <w:rPr>
          <w:color w:val="000000"/>
        </w:rPr>
      </w:pPr>
      <w:r>
        <w:rPr>
          <w:rFonts w:hint="eastAsia"/>
          <w:color w:val="000000"/>
        </w:rPr>
        <w:t xml:space="preserve">业务审批：包含员工申报各类型单据进行超预算预警提醒及业务审批处理功能。</w:t>
      </w:r>
      <w:r>
        <w:rPr>
          <w:color w:val="000000"/>
        </w:rPr>
      </w:r>
      <w:r/>
    </w:p>
    <w:p>
      <w:pPr>
        <w:pStyle w:val="1053"/>
        <w:ind w:firstLine="480"/>
        <w:rPr>
          <w:color w:val="000000"/>
        </w:rPr>
      </w:pPr>
      <w:r>
        <w:rPr>
          <w:rFonts w:hint="eastAsia"/>
          <w:color w:val="000000"/>
        </w:rPr>
        <w:t xml:space="preserve">财务处理：包含借款初始化、借款支付及查询、报账支付及查询、借款还款、借款逾期预警等功能。</w:t>
      </w:r>
      <w:r>
        <w:rPr>
          <w:color w:val="000000"/>
        </w:rPr>
      </w:r>
      <w:r/>
    </w:p>
    <w:p>
      <w:pPr>
        <w:pStyle w:val="1053"/>
        <w:ind w:firstLine="480"/>
        <w:rPr>
          <w:color w:val="000000"/>
        </w:rPr>
      </w:pPr>
      <w:r>
        <w:rPr>
          <w:rFonts w:hint="eastAsia"/>
          <w:color w:val="000000"/>
        </w:rPr>
        <w:t xml:space="preserve">预算执行：提供以全院、归口科室、业务科室口径的预算执行统计功能。</w:t>
      </w:r>
      <w:r>
        <w:rPr>
          <w:color w:val="000000"/>
        </w:rPr>
      </w:r>
      <w:r/>
    </w:p>
    <w:p>
      <w:pPr>
        <w:pStyle w:val="1053"/>
        <w:ind w:firstLine="480"/>
        <w:rPr>
          <w:color w:val="000000"/>
        </w:rPr>
      </w:pPr>
      <w:r>
        <w:rPr>
          <w:rFonts w:hint="eastAsia"/>
          <w:color w:val="000000"/>
        </w:rPr>
        <w:t xml:space="preserve">基础设置：包含交通工具、国内外差旅补助标准控制、权限分配及分摊规则配置功能。</w:t>
      </w:r>
      <w:r>
        <w:rPr>
          <w:color w:val="000000"/>
        </w:rPr>
      </w:r>
      <w:r/>
    </w:p>
    <w:p>
      <w:pPr>
        <w:pStyle w:val="1053"/>
        <w:ind w:firstLine="480"/>
        <w:rPr>
          <w:color w:val="000000"/>
        </w:rPr>
      </w:pPr>
      <w:r>
        <w:rPr>
          <w:rFonts w:hint="eastAsia"/>
          <w:color w:val="000000"/>
        </w:rPr>
        <w:t xml:space="preserve">审批流程化：支持加签审批、指派审批、指定到审批环节或人，支持审批驳回到任意审批环节；符合内控要求，实现过程可追溯；预算控制能力提升：实现事前、事中控制，实时的管控财务风险。</w:t>
      </w:r>
      <w:r>
        <w:rPr>
          <w:color w:val="000000"/>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.3.2</w:t>
      </w:r>
      <w:r>
        <w:rPr>
          <w:rFonts w:hint="eastAsia" w:ascii="宋体" w:hAnsi="宋体" w:eastAsia="宋体"/>
          <w:color w:val="000000"/>
          <w:sz w:val="24"/>
        </w:rPr>
        <w:t xml:space="preserve">业务需求</w:t>
      </w:r>
      <w:r>
        <w:rPr>
          <w:rFonts w:ascii="宋体" w:hAnsi="宋体" w:eastAsia="宋体"/>
          <w:color w:val="000000"/>
          <w:sz w:val="24"/>
        </w:rPr>
      </w:r>
      <w:r/>
    </w:p>
    <w:p>
      <w:pPr>
        <w:pStyle w:val="1053"/>
        <w:ind w:firstLine="480"/>
        <w:rPr>
          <w:color w:val="000000"/>
        </w:rPr>
      </w:pPr>
      <w:r>
        <w:rPr>
          <w:rFonts w:hint="eastAsia"/>
          <w:color w:val="000000"/>
        </w:rPr>
        <w:t xml:space="preserve">智能报账要求</w:t>
      </w:r>
      <w:r>
        <w:rPr>
          <w:color w:val="000000"/>
        </w:rPr>
        <w:t xml:space="preserve">是一个控制有力的、集借款和</w:t>
      </w:r>
      <w:r>
        <w:rPr>
          <w:rFonts w:hint="eastAsia"/>
          <w:color w:val="000000"/>
        </w:rPr>
        <w:t xml:space="preserve">报账</w:t>
      </w:r>
      <w:r>
        <w:rPr>
          <w:color w:val="000000"/>
        </w:rPr>
        <w:t xml:space="preserve">于一体的专业化、智能化管理系统，可以实现线上</w:t>
      </w:r>
      <w:r>
        <w:rPr>
          <w:rFonts w:hint="eastAsia"/>
          <w:color w:val="000000"/>
        </w:rPr>
        <w:t xml:space="preserve">报账</w:t>
      </w:r>
      <w:r>
        <w:rPr>
          <w:color w:val="000000"/>
        </w:rPr>
        <w:t xml:space="preserve">、审批等一系列操作流程，用户可以直接在线上填报借款单或</w:t>
      </w:r>
      <w:r>
        <w:rPr>
          <w:rFonts w:hint="eastAsia"/>
          <w:color w:val="000000"/>
        </w:rPr>
        <w:t xml:space="preserve">报账</w:t>
      </w:r>
      <w:r>
        <w:rPr>
          <w:color w:val="000000"/>
        </w:rPr>
        <w:t xml:space="preserve">单，审批人可以直观的看到自己的待办任务并进行审批，</w:t>
      </w:r>
      <w:r>
        <w:rPr>
          <w:rFonts w:hint="eastAsia"/>
          <w:color w:val="000000"/>
        </w:rPr>
        <w:t xml:space="preserve">以</w:t>
      </w:r>
      <w:r>
        <w:rPr>
          <w:color w:val="000000"/>
        </w:rPr>
        <w:t xml:space="preserve">提高医院精细化管理水平</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.3.2.1</w:t>
      </w:r>
      <w:r>
        <w:rPr>
          <w:rFonts w:hint="eastAsia" w:hAnsi="宋体"/>
        </w:rPr>
        <w:t xml:space="preserve">个人业务办理</w:t>
      </w:r>
      <w:r>
        <w:rPr>
          <w:rFonts w:hAnsi="宋体"/>
        </w:rPr>
      </w:r>
      <w:r/>
    </w:p>
    <w:p>
      <w:pPr>
        <w:pStyle w:val="1053"/>
        <w:ind w:firstLine="480"/>
        <w:rPr>
          <w:color w:val="000000"/>
        </w:rPr>
      </w:pPr>
      <w:r>
        <w:rPr>
          <w:rFonts w:hint="eastAsia"/>
          <w:color w:val="000000"/>
        </w:rPr>
        <w:t xml:space="preserve">包含发票、票据影像上传、日常、差旅、会议、培训、劳务、借款、申请业务的申报；支持事前申请、员工借款、冲销借款及报账，根据申报金额进行预算管控及借款逾期预警提醒功能。个人业务办理时，支持按系统预置的相关费用标准进行关联控制，如交通工具、国内外差旅补助标准控制等。</w:t>
      </w:r>
      <w:r>
        <w:rPr>
          <w:color w:val="000000"/>
        </w:rPr>
      </w:r>
      <w:r/>
    </w:p>
    <w:p>
      <w:pPr>
        <w:pStyle w:val="1053"/>
        <w:ind w:firstLine="480"/>
        <w:rPr>
          <w:color w:val="000000"/>
        </w:rPr>
      </w:pPr>
      <w:r>
        <w:rPr>
          <w:color w:val="000000"/>
        </w:rPr>
        <w:t xml:space="preserve">我的</w:t>
      </w:r>
      <w:r>
        <w:rPr>
          <w:rFonts w:hint="eastAsia"/>
          <w:color w:val="000000"/>
        </w:rPr>
        <w:t xml:space="preserve">报账：报账</w:t>
      </w:r>
      <w:r>
        <w:rPr>
          <w:color w:val="000000"/>
        </w:rPr>
        <w:t xml:space="preserve">单</w:t>
      </w:r>
      <w:r>
        <w:rPr>
          <w:rFonts w:hint="eastAsia"/>
          <w:color w:val="000000"/>
        </w:rPr>
        <w:t xml:space="preserve">可以</w:t>
      </w:r>
      <w:r>
        <w:rPr>
          <w:color w:val="000000"/>
        </w:rPr>
        <w:t xml:space="preserve">关联申请单</w:t>
      </w:r>
      <w:r>
        <w:rPr>
          <w:rFonts w:hint="eastAsia"/>
          <w:color w:val="000000"/>
        </w:rPr>
        <w:t xml:space="preserve">。</w:t>
      </w:r>
      <w:r>
        <w:rPr>
          <w:color w:val="000000"/>
        </w:rPr>
        <w:t xml:space="preserve">录入</w:t>
      </w:r>
      <w:r>
        <w:rPr>
          <w:rFonts w:hint="eastAsia"/>
          <w:color w:val="000000"/>
        </w:rPr>
        <w:t xml:space="preserve">报账</w:t>
      </w:r>
      <w:r>
        <w:rPr>
          <w:color w:val="000000"/>
        </w:rPr>
        <w:t xml:space="preserve">单，存在相同项目和指标的借款单会在</w:t>
      </w:r>
      <w:r>
        <w:rPr>
          <w:rFonts w:hint="eastAsia"/>
          <w:color w:val="000000"/>
        </w:rPr>
        <w:t xml:space="preserve">报账</w:t>
      </w:r>
      <w:r>
        <w:rPr>
          <w:color w:val="000000"/>
        </w:rPr>
        <w:t xml:space="preserve">单录入界面</w:t>
      </w:r>
      <w:r>
        <w:rPr>
          <w:rFonts w:hint="eastAsia"/>
          <w:color w:val="000000"/>
        </w:rPr>
        <w:t xml:space="preserve">显示</w:t>
      </w:r>
      <w:r>
        <w:rPr>
          <w:color w:val="000000"/>
        </w:rPr>
        <w:t xml:space="preserve">借款明细。</w:t>
      </w:r>
      <w:r/>
    </w:p>
    <w:p>
      <w:pPr>
        <w:pStyle w:val="1053"/>
        <w:ind w:firstLine="480"/>
        <w:rPr>
          <w:color w:val="000000"/>
        </w:rPr>
      </w:pPr>
      <w:r>
        <w:rPr>
          <w:color w:val="000000"/>
        </w:rPr>
        <w:t xml:space="preserve">我的发票</w:t>
      </w:r>
      <w:r>
        <w:rPr>
          <w:rFonts w:hint="eastAsia"/>
          <w:color w:val="000000"/>
        </w:rPr>
        <w:t xml:space="preserve">：通过OCR识别，扫描增值税发票、电子发票、飞机票、火车票、出租车票等，提取相关票据信息，并完成自动填单</w:t>
      </w:r>
      <w:r>
        <w:rPr>
          <w:color w:val="000000"/>
        </w:rPr>
        <w:t xml:space="preserve">。</w:t>
      </w:r>
      <w:r>
        <w:rPr>
          <w:rFonts w:hint="eastAsia"/>
          <w:color w:val="000000"/>
        </w:rPr>
        <w:t xml:space="preserve">对于电子发票，系统支持自动验真防重判断，避免税务风险。</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.3.2.2</w:t>
      </w:r>
      <w:r>
        <w:rPr>
          <w:rFonts w:hint="eastAsia" w:hAnsi="宋体"/>
        </w:rPr>
        <w:t xml:space="preserve">业务审批</w:t>
      </w:r>
      <w:r>
        <w:rPr>
          <w:rFonts w:hAnsi="宋体"/>
        </w:rPr>
      </w:r>
      <w:r/>
    </w:p>
    <w:p>
      <w:pPr>
        <w:pStyle w:val="1053"/>
        <w:ind w:firstLine="480"/>
        <w:rPr>
          <w:color w:val="000000"/>
        </w:rPr>
      </w:pPr>
      <w:r>
        <w:rPr>
          <w:rFonts w:hint="eastAsia"/>
          <w:color w:val="000000"/>
        </w:rPr>
        <w:t xml:space="preserve">包含员工申报各类型单据进行超预算预警提醒及审批处理功能。</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.3.2.3</w:t>
      </w:r>
      <w:r>
        <w:rPr>
          <w:rFonts w:hint="eastAsia" w:hAnsi="宋体"/>
        </w:rPr>
        <w:t xml:space="preserve">财务处理</w:t>
      </w:r>
      <w:r>
        <w:rPr>
          <w:rFonts w:hAnsi="宋体"/>
        </w:rPr>
      </w:r>
      <w:r/>
    </w:p>
    <w:p>
      <w:pPr>
        <w:pStyle w:val="1053"/>
        <w:ind w:firstLine="480"/>
        <w:rPr>
          <w:color w:val="000000"/>
        </w:rPr>
      </w:pPr>
      <w:r>
        <w:rPr>
          <w:rFonts w:hint="eastAsia"/>
          <w:color w:val="000000"/>
        </w:rPr>
        <w:t xml:space="preserve">财</w:t>
      </w:r>
      <w:r>
        <w:rPr>
          <w:color w:val="000000"/>
        </w:rPr>
        <w:t xml:space="preserve">务处理功能是对各业务单据进行财务处理，包括借款初始化、借款支付、借款查询、还款单、到期预警表、借款冲销查询；</w:t>
      </w:r>
      <w:r>
        <w:rPr>
          <w:rFonts w:hint="eastAsia"/>
          <w:color w:val="000000"/>
        </w:rPr>
        <w:t xml:space="preserve">报账</w:t>
      </w:r>
      <w:r>
        <w:rPr>
          <w:color w:val="000000"/>
        </w:rPr>
        <w:t xml:space="preserve">支付、</w:t>
      </w:r>
      <w:r>
        <w:rPr>
          <w:rFonts w:hint="eastAsia"/>
          <w:color w:val="000000"/>
        </w:rPr>
        <w:t xml:space="preserve">报账</w:t>
      </w:r>
      <w:r>
        <w:rPr>
          <w:color w:val="000000"/>
        </w:rPr>
        <w:t xml:space="preserve">查询、内部劳务汇总、外部劳务发放。</w:t>
      </w:r>
      <w:r/>
    </w:p>
    <w:p>
      <w:pPr>
        <w:pStyle w:val="1053"/>
        <w:ind w:firstLine="480"/>
        <w:rPr>
          <w:color w:val="000000"/>
        </w:rPr>
      </w:pPr>
      <w:r>
        <w:rPr>
          <w:rFonts w:hint="eastAsia"/>
          <w:color w:val="000000"/>
        </w:rPr>
        <w:t xml:space="preserve">系统支持与现金、总账等医院现有财务会计、现金管理系统联用。</w:t>
      </w:r>
      <w:r>
        <w:rPr>
          <w:color w:val="000000"/>
        </w:rPr>
        <w:t xml:space="preserve">与现金模块联用时，借款/</w:t>
      </w:r>
      <w:r>
        <w:rPr>
          <w:rFonts w:hint="eastAsia"/>
          <w:color w:val="000000"/>
        </w:rPr>
        <w:t xml:space="preserve">报账</w:t>
      </w:r>
      <w:r>
        <w:rPr>
          <w:color w:val="000000"/>
        </w:rPr>
        <w:t xml:space="preserve">/还款支付后都会生成现金管理的结算单</w:t>
      </w:r>
      <w:r>
        <w:rPr>
          <w:rFonts w:hint="eastAsia"/>
          <w:color w:val="000000"/>
        </w:rPr>
        <w:t xml:space="preserve">。以报账单为例，</w:t>
      </w:r>
      <w:r>
        <w:rPr>
          <w:color w:val="000000"/>
        </w:rPr>
        <w:t xml:space="preserve">当</w:t>
      </w:r>
      <w:r>
        <w:rPr>
          <w:rFonts w:hint="eastAsia"/>
          <w:color w:val="000000"/>
        </w:rPr>
        <w:t xml:space="preserve">报账</w:t>
      </w:r>
      <w:r>
        <w:rPr>
          <w:color w:val="000000"/>
        </w:rPr>
        <w:t xml:space="preserve">单项目明细中存在多条项目明细，系统会自动按</w:t>
      </w:r>
      <w:r>
        <w:rPr>
          <w:rFonts w:hint="eastAsia"/>
          <w:color w:val="000000"/>
        </w:rPr>
        <w:t xml:space="preserve">报账</w:t>
      </w:r>
      <w:r>
        <w:rPr>
          <w:color w:val="000000"/>
        </w:rPr>
        <w:t xml:space="preserve">单中的项目、资金来源、指标对应的经济支出分类组合起来作为拆单条件进行拆单。与总账模块联用，支持日常/项目</w:t>
      </w:r>
      <w:r>
        <w:rPr>
          <w:rFonts w:hint="eastAsia"/>
          <w:color w:val="000000"/>
        </w:rPr>
        <w:t xml:space="preserve">报账</w:t>
      </w:r>
      <w:r>
        <w:rPr>
          <w:color w:val="000000"/>
        </w:rPr>
        <w:t xml:space="preserve">单、借款单、还款单</w:t>
      </w:r>
      <w:r>
        <w:rPr>
          <w:rFonts w:hint="eastAsia"/>
          <w:color w:val="000000"/>
        </w:rPr>
        <w:t xml:space="preserve">自动</w:t>
      </w:r>
      <w:r>
        <w:rPr>
          <w:color w:val="000000"/>
        </w:rPr>
        <w:t xml:space="preserve">生成凭证，形成财务的</w:t>
      </w:r>
      <w:r>
        <w:rPr>
          <w:rFonts w:hint="eastAsia"/>
          <w:color w:val="000000"/>
        </w:rPr>
        <w:t xml:space="preserve">一体化</w:t>
      </w:r>
      <w:r>
        <w:rPr>
          <w:color w:val="000000"/>
        </w:rPr>
        <w:t xml:space="preserve">处理。</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.3.2.4</w:t>
      </w:r>
      <w:r>
        <w:rPr>
          <w:rFonts w:hint="eastAsia" w:hAnsi="宋体"/>
        </w:rPr>
        <w:t xml:space="preserve">移动报账</w:t>
      </w:r>
      <w:r>
        <w:rPr>
          <w:rFonts w:hAnsi="宋体"/>
        </w:rPr>
      </w:r>
      <w:r/>
    </w:p>
    <w:p>
      <w:pPr>
        <w:pStyle w:val="1053"/>
        <w:ind w:firstLine="480"/>
        <w:rPr>
          <w:color w:val="000000"/>
        </w:rPr>
      </w:pPr>
      <w:r>
        <w:rPr>
          <w:rFonts w:hint="eastAsia"/>
          <w:color w:val="000000"/>
        </w:rPr>
        <w:t xml:space="preserve">在医院实现内外网对接的前提下，支持移动报账业务处理，包括报账填单、审批及相关业务查询，打破地域、空间、时间的限制，实现医院报账管理工作的效率最大化。</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.3.2.5 </w:t>
      </w:r>
      <w:r>
        <w:rPr>
          <w:rFonts w:hint="eastAsia" w:hAnsi="宋体"/>
        </w:rPr>
        <w:t xml:space="preserve">OCR智能识别填单</w:t>
      </w:r>
      <w:r>
        <w:rPr>
          <w:rFonts w:hAnsi="宋体"/>
        </w:rPr>
      </w:r>
      <w:r/>
    </w:p>
    <w:p>
      <w:pPr>
        <w:pStyle w:val="1053"/>
        <w:ind w:firstLine="480"/>
        <w:rPr>
          <w:color w:val="000000"/>
        </w:rPr>
      </w:pPr>
      <w:r>
        <w:rPr>
          <w:rFonts w:hint="eastAsia"/>
          <w:color w:val="000000"/>
        </w:rPr>
        <w:t xml:space="preserve">支持原始单据拍照上传</w:t>
      </w:r>
      <w:r>
        <w:rPr>
          <w:color w:val="000000"/>
        </w:rPr>
        <w:t xml:space="preserve">,</w:t>
      </w:r>
      <w:r>
        <w:rPr>
          <w:rFonts w:hint="eastAsia"/>
          <w:color w:val="000000"/>
        </w:rPr>
        <w:t xml:space="preserve">通过OCR识别</w:t>
      </w:r>
      <w:r>
        <w:rPr>
          <w:color w:val="000000"/>
        </w:rPr>
        <w:t xml:space="preserve">技术</w:t>
      </w:r>
      <w:r>
        <w:rPr>
          <w:rFonts w:hint="eastAsia"/>
          <w:color w:val="000000"/>
        </w:rPr>
        <w:t xml:space="preserve">，</w:t>
      </w:r>
      <w:r>
        <w:rPr>
          <w:color w:val="000000"/>
        </w:rPr>
        <w:t xml:space="preserve">自动识别上传</w:t>
      </w:r>
      <w:r>
        <w:rPr>
          <w:rFonts w:hint="eastAsia"/>
          <w:color w:val="000000"/>
        </w:rPr>
        <w:t xml:space="preserve">的发票元素，存储至</w:t>
      </w:r>
      <w:r>
        <w:rPr>
          <w:color w:val="000000"/>
        </w:rPr>
        <w:t xml:space="preserve">发票池</w:t>
      </w:r>
      <w:r>
        <w:rPr>
          <w:rFonts w:hint="eastAsia"/>
          <w:color w:val="000000"/>
        </w:rPr>
        <w:t xml:space="preserve">供职工使用，</w:t>
      </w:r>
      <w:r>
        <w:rPr>
          <w:color w:val="000000"/>
        </w:rPr>
        <w:t xml:space="preserve">同时对发票进行查重和验真</w:t>
      </w:r>
      <w:r>
        <w:rPr>
          <w:rFonts w:hint="eastAsia"/>
          <w:color w:val="000000"/>
        </w:rPr>
        <w:t xml:space="preserve">（验真需要内外网打通为前提）</w:t>
      </w:r>
      <w:r>
        <w:rPr>
          <w:color w:val="000000"/>
        </w:rPr>
        <w:t xml:space="preserve">。</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.3.2.6</w:t>
      </w:r>
      <w:r>
        <w:rPr>
          <w:rFonts w:hint="eastAsia" w:hAnsi="宋体"/>
        </w:rPr>
        <w:t xml:space="preserve">发票验真查重</w:t>
      </w:r>
      <w:r>
        <w:rPr>
          <w:rFonts w:hAnsi="宋体"/>
        </w:rPr>
      </w:r>
      <w:r/>
    </w:p>
    <w:p>
      <w:pPr>
        <w:pStyle w:val="1053"/>
        <w:ind w:firstLine="480"/>
        <w:rPr>
          <w:color w:val="000000"/>
        </w:rPr>
      </w:pPr>
      <w:r>
        <w:rPr>
          <w:rFonts w:hint="eastAsia"/>
          <w:color w:val="000000"/>
        </w:rPr>
        <w:t xml:space="preserve">提供发票验真防重功能。在内外网打通的前提下，通过与国税系统对接，实现发票信息自动验真；实现电子发票信息自动匹配查重，避免重复报账现象发生。</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.3.2.7</w:t>
      </w:r>
      <w:r>
        <w:rPr>
          <w:rFonts w:hint="eastAsia" w:hAnsi="宋体"/>
        </w:rPr>
        <w:t xml:space="preserve">对公报账</w:t>
      </w:r>
      <w:r>
        <w:rPr>
          <w:rFonts w:hAnsi="宋体"/>
        </w:rPr>
      </w:r>
      <w:r/>
    </w:p>
    <w:p>
      <w:pPr>
        <w:pStyle w:val="1053"/>
        <w:ind w:firstLine="480"/>
        <w:rPr>
          <w:color w:val="000000"/>
        </w:rPr>
      </w:pPr>
      <w:r>
        <w:rPr>
          <w:rFonts w:hint="eastAsia"/>
          <w:color w:val="000000"/>
        </w:rPr>
        <w:t xml:space="preserve">支持采购报账、公用经费报账以及审批流程管理，报账结果自动生成会计凭证和成本核算分摊。审批流程可以按金额、职能授权，</w:t>
      </w:r>
      <w:r>
        <w:rPr>
          <w:color w:val="000000"/>
        </w:rPr>
        <w:t xml:space="preserve">这些都可以</w:t>
      </w:r>
      <w:r>
        <w:rPr>
          <w:rFonts w:hint="eastAsia"/>
          <w:color w:val="000000"/>
        </w:rPr>
        <w:t xml:space="preserve">通过系统</w:t>
      </w:r>
      <w:r>
        <w:rPr>
          <w:color w:val="000000"/>
        </w:rPr>
        <w:t xml:space="preserve">工作流配置灵活定义</w:t>
      </w:r>
      <w:r>
        <w:rPr>
          <w:rFonts w:hint="eastAsia"/>
          <w:color w:val="000000"/>
        </w:rPr>
        <w:t xml:space="preserve">。</w:t>
      </w:r>
      <w:r>
        <w:rPr>
          <w:color w:val="000000"/>
        </w:rPr>
      </w:r>
      <w:r/>
    </w:p>
    <w:p>
      <w:pPr>
        <w:pStyle w:val="1053"/>
        <w:ind w:firstLine="480"/>
        <w:rPr>
          <w:color w:val="000000"/>
        </w:rPr>
      </w:pPr>
      <w:r>
        <w:rPr>
          <w:rFonts w:hint="eastAsia"/>
          <w:color w:val="000000"/>
        </w:rPr>
        <w:t xml:space="preserve">对公报账内容：是指除了个人的差旅费、劳务费等报账内容以外、由医院职工代为完成的对公支付业务的报账。</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.3.2.8</w:t>
      </w:r>
      <w:r>
        <w:rPr>
          <w:rFonts w:hint="eastAsia" w:hAnsi="宋体"/>
        </w:rPr>
        <w:t xml:space="preserve">审批流管理与集成</w:t>
      </w:r>
      <w:r>
        <w:rPr>
          <w:rFonts w:hAnsi="宋体"/>
        </w:rPr>
      </w:r>
      <w:r/>
    </w:p>
    <w:p>
      <w:pPr>
        <w:pStyle w:val="1053"/>
        <w:ind w:firstLine="480"/>
        <w:rPr>
          <w:color w:val="000000"/>
        </w:rPr>
      </w:pPr>
      <w:r>
        <w:rPr>
          <w:rFonts w:hint="eastAsia"/>
          <w:color w:val="000000"/>
        </w:rPr>
        <w:t xml:space="preserve">支持按自定义工作流进行报账单据的流转、审批。同时可按照医院要求，在项目建设期内，实现与医院在用的办公系统的接口，如：OA、企业微信等的审批流信息集成。（在报账审批的某节点推送到办公系统进行审批、并将OA审批结果同步回智能报账管理系统）</w:t>
      </w:r>
      <w:r>
        <w:rPr>
          <w:color w:val="000000"/>
        </w:rPr>
      </w:r>
      <w:r/>
    </w:p>
    <w:p>
      <w:pPr>
        <w:pStyle w:val="1053"/>
        <w:ind w:firstLine="480"/>
        <w:rPr>
          <w:color w:val="000000"/>
        </w:rPr>
      </w:pPr>
      <w:r>
        <w:rPr>
          <w:rFonts w:hint="eastAsia"/>
          <w:color w:val="000000"/>
        </w:rPr>
        <w:t xml:space="preserve">实现与医院现有的科研系统，进行项目信息、预算数据、支出数据等领域进行对接，完成审批报账流程。</w:t>
      </w:r>
      <w:r>
        <w:rPr>
          <w:color w:val="000000"/>
        </w:rPr>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196" w:name="_Toc150521649"/>
      <w:r>
        <w:rPr>
          <w:rFonts w:ascii="宋体" w:hAnsi="宋体"/>
          <w:color w:val="000000"/>
          <w:sz w:val="24"/>
        </w:rPr>
        <w:t xml:space="preserve">合同管理系统</w:t>
      </w:r>
      <w:bookmarkEnd w:id="196"/>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.4.1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rFonts w:hint="eastAsia"/>
          <w:color w:val="000000"/>
        </w:rPr>
        <w:t xml:space="preserve">要求能够</w:t>
      </w:r>
      <w:r>
        <w:rPr>
          <w:color w:val="000000"/>
        </w:rPr>
        <w:t xml:space="preserve">满足医院各类经济合同、协议管理需求，</w:t>
      </w:r>
      <w:r>
        <w:rPr>
          <w:rFonts w:hint="eastAsia"/>
          <w:color w:val="000000"/>
        </w:rPr>
        <w:t xml:space="preserve">支持</w:t>
      </w:r>
      <w:r>
        <w:rPr>
          <w:color w:val="000000"/>
        </w:rPr>
        <w:t xml:space="preserve">业务全面覆盖</w:t>
      </w:r>
      <w:r>
        <w:rPr>
          <w:rFonts w:hint="eastAsia"/>
          <w:color w:val="000000"/>
        </w:rPr>
        <w:t xml:space="preserve">。支持</w:t>
      </w:r>
      <w:r>
        <w:rPr>
          <w:color w:val="000000"/>
        </w:rPr>
        <w:t xml:space="preserve">从合同签订、合同履行、合同归档、合同变更、保证金管理、违约索赔管理到合同结束的全生命周期管理</w:t>
      </w:r>
      <w:r>
        <w:rPr>
          <w:rFonts w:hint="eastAsia"/>
          <w:color w:val="000000"/>
        </w:rPr>
        <w:t xml:space="preserve">。同时</w:t>
      </w:r>
      <w:r>
        <w:rPr>
          <w:color w:val="000000"/>
        </w:rPr>
        <w:t xml:space="preserve">通过与预算管理、会计核算、</w:t>
      </w:r>
      <w:r>
        <w:rPr>
          <w:rFonts w:hint="eastAsia"/>
          <w:color w:val="000000"/>
        </w:rPr>
        <w:t xml:space="preserve">报账</w:t>
      </w:r>
      <w:r>
        <w:rPr>
          <w:color w:val="000000"/>
        </w:rPr>
        <w:t xml:space="preserve">管理、采购管理</w:t>
      </w:r>
      <w:r>
        <w:rPr>
          <w:rFonts w:hint="eastAsia"/>
          <w:color w:val="000000"/>
        </w:rPr>
        <w:t xml:space="preserve">、资产管理</w:t>
      </w:r>
      <w:r>
        <w:rPr>
          <w:color w:val="000000"/>
        </w:rPr>
        <w:t xml:space="preserve">等系统联动，</w:t>
      </w:r>
      <w:r>
        <w:rPr>
          <w:rFonts w:hint="eastAsia"/>
          <w:color w:val="000000"/>
        </w:rPr>
        <w:t xml:space="preserve">能够</w:t>
      </w:r>
      <w:r>
        <w:rPr>
          <w:color w:val="000000"/>
        </w:rPr>
        <w:t xml:space="preserve">实现相关业务的便捷智能化管理，并有助于医院内控体系的建立与完善</w:t>
      </w:r>
      <w:r>
        <w:rPr>
          <w:rFonts w:hint="eastAsia"/>
          <w:color w:val="000000"/>
        </w:rPr>
        <w:t xml:space="preserve">。</w:t>
      </w:r>
      <w:r>
        <w:rPr>
          <w:color w:val="000000"/>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.4.2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.4.2.1工作台</w:t>
      </w:r>
      <w:r/>
    </w:p>
    <w:p>
      <w:pPr>
        <w:pStyle w:val="1053"/>
        <w:ind w:firstLine="480"/>
        <w:rPr>
          <w:color w:val="000000"/>
        </w:rPr>
      </w:pPr>
      <w:r>
        <w:rPr>
          <w:rFonts w:hint="eastAsia"/>
          <w:color w:val="000000"/>
        </w:rPr>
        <w:t xml:space="preserve">根据登录人员账户，登录</w:t>
      </w:r>
      <w:r>
        <w:rPr>
          <w:rFonts w:hint="eastAsia"/>
          <w:color w:val="000000"/>
        </w:rPr>
        <w:t xml:space="preserve">后支持</w:t>
      </w:r>
      <w:r>
        <w:rPr>
          <w:color w:val="000000"/>
        </w:rPr>
        <w:t xml:space="preserve">查看员工自身需要处理的合同信息，并可直接进行处理</w:t>
      </w:r>
      <w:r>
        <w:rPr>
          <w:rFonts w:hint="eastAsia"/>
          <w:color w:val="000000"/>
        </w:rPr>
        <w:t xml:space="preserve">；支持</w:t>
      </w:r>
      <w:r>
        <w:rPr>
          <w:color w:val="000000"/>
        </w:rPr>
        <w:t xml:space="preserve">提供便捷入口直接进入到相应操作</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.4.2.2合同起草</w:t>
      </w:r>
      <w:r/>
    </w:p>
    <w:p>
      <w:pPr>
        <w:pStyle w:val="1053"/>
        <w:ind w:firstLine="480"/>
        <w:rPr>
          <w:color w:val="000000"/>
        </w:rPr>
      </w:pPr>
      <w:r>
        <w:rPr>
          <w:rFonts w:hint="eastAsia"/>
          <w:color w:val="000000"/>
        </w:rPr>
        <w:t xml:space="preserve">支持</w:t>
      </w:r>
      <w:r>
        <w:rPr>
          <w:color w:val="000000"/>
        </w:rPr>
        <w:t xml:space="preserve">合同主要信息的录入，可根据医院设置的不同合同类型，选择不同的模板进行信息的录入</w:t>
      </w:r>
      <w:r>
        <w:rPr>
          <w:rFonts w:hint="eastAsia"/>
          <w:color w:val="000000"/>
        </w:rPr>
        <w:t xml:space="preserve">。</w:t>
      </w:r>
      <w:r>
        <w:rPr>
          <w:color w:val="000000"/>
        </w:rPr>
        <w:t xml:space="preserve">合同编号按顺序号自动生成以方便合同查询。内容主要包括合同主信息、标的信息、付款计划、合同模板上传等相关信息，同时根据医院业务需要还可以包括配件信息录入等</w:t>
      </w:r>
      <w:r>
        <w:rPr>
          <w:rFonts w:hint="eastAsia"/>
          <w:color w:val="000000"/>
        </w:rPr>
        <w:t xml:space="preserve">。</w:t>
      </w:r>
      <w:r>
        <w:rPr>
          <w:color w:val="000000"/>
        </w:rPr>
      </w:r>
      <w:r/>
    </w:p>
    <w:p>
      <w:pPr>
        <w:pStyle w:val="1053"/>
        <w:ind w:firstLine="485"/>
        <w:rPr>
          <w:color w:val="000000"/>
        </w:rPr>
      </w:pPr>
      <w:r>
        <w:rPr>
          <w:color w:val="000000"/>
        </w:rPr>
        <w:t xml:space="preserve">添加合同基本信息(具体属性在合同目录中定义)，保存后方可拟定合同、审核流程。</w:t>
      </w:r>
      <w:r/>
    </w:p>
    <w:p>
      <w:pPr>
        <w:pStyle w:val="1053"/>
        <w:ind w:firstLine="480"/>
        <w:rPr>
          <w:color w:val="000000"/>
        </w:rPr>
      </w:pPr>
      <w:r>
        <w:rPr>
          <w:rFonts w:hint="eastAsia"/>
          <w:color w:val="000000"/>
        </w:rPr>
        <w:t xml:space="preserve">可</w:t>
      </w:r>
      <w:r>
        <w:rPr>
          <w:color w:val="000000"/>
        </w:rPr>
        <w:t xml:space="preserve">对于合同的类型和相关属性进行设置。根据收付款合同的不同，可以根据管理需要定制合同类别。被引用的合同类别不可删除、不可修改</w:t>
      </w:r>
      <w:r>
        <w:rPr>
          <w:rFonts w:hint="eastAsia"/>
          <w:color w:val="000000"/>
        </w:rPr>
        <w:t xml:space="preserve">。</w:t>
      </w:r>
      <w:r>
        <w:rPr>
          <w:color w:val="000000"/>
        </w:rPr>
      </w:r>
      <w:r/>
    </w:p>
    <w:p>
      <w:pPr>
        <w:pStyle w:val="1053"/>
        <w:ind w:firstLine="485"/>
        <w:rPr>
          <w:color w:val="000000"/>
        </w:rPr>
      </w:pPr>
      <w:r>
        <w:rPr>
          <w:color w:val="000000"/>
        </w:rPr>
        <w:t xml:space="preserve">根据结构化合同生成自定义模板</w:t>
      </w:r>
      <w:r>
        <w:rPr>
          <w:rFonts w:hint="eastAsia"/>
          <w:color w:val="000000"/>
        </w:rPr>
        <w:t xml:space="preserve">，</w:t>
      </w:r>
      <w:r>
        <w:rPr>
          <w:color w:val="000000"/>
        </w:rPr>
        <w:t xml:space="preserve">对于合同管理中用到的在线编辑的合同文字模板提供编辑功能。支持对不同供应商设置对应类型合同模板。对不同类型合同模板关联对应结构化数据。</w:t>
      </w:r>
      <w:r/>
    </w:p>
    <w:p>
      <w:pPr>
        <w:pStyle w:val="1053"/>
        <w:ind w:firstLine="480"/>
        <w:rPr>
          <w:color w:val="000000"/>
        </w:rPr>
      </w:pPr>
      <w:r>
        <w:rPr>
          <w:color w:val="000000"/>
        </w:rPr>
        <w:t xml:space="preserve">提供合同的签订管理功能。完成录入合同基础信息内容功能，包括合同主体信息</w:t>
      </w:r>
      <w:r>
        <w:rPr>
          <w:rFonts w:hint="eastAsia"/>
          <w:color w:val="000000"/>
        </w:rPr>
        <w:t xml:space="preserve">、标的信息、付款计划，</w:t>
      </w:r>
      <w:r>
        <w:rPr>
          <w:color w:val="000000"/>
        </w:rPr>
        <w:t xml:space="preserve">合同各阶段文档信息：履行、中止、作废、恢复、变更以及期初合同等。草签合同经过审批后可以生成正式合同。</w:t>
      </w:r>
      <w:r/>
    </w:p>
    <w:p>
      <w:pPr>
        <w:pStyle w:val="1053"/>
        <w:ind w:firstLine="485"/>
        <w:rPr>
          <w:color w:val="000000"/>
        </w:rPr>
      </w:pPr>
      <w:r>
        <w:rPr>
          <w:color w:val="000000"/>
        </w:rPr>
        <w:t xml:space="preserve">提供归口合同列表及合同查询功能，满足各类部门对合同信息的查询需求。</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.4.2.3合同审批</w:t>
      </w:r>
      <w:r/>
    </w:p>
    <w:p>
      <w:pPr>
        <w:pStyle w:val="1053"/>
        <w:ind w:firstLine="480"/>
        <w:rPr>
          <w:color w:val="000000"/>
        </w:rPr>
      </w:pPr>
      <w:r>
        <w:rPr>
          <w:rFonts w:hint="eastAsia"/>
          <w:color w:val="000000"/>
        </w:rPr>
        <w:t xml:space="preserve">提供收</w:t>
      </w:r>
      <w:r>
        <w:rPr>
          <w:color w:val="000000"/>
        </w:rPr>
        <w:t xml:space="preserve">付合同在草签、签订、合同变更等各业务环节中的审批提醒以及审批处理功能。系统支持根据医院需求自定义流程，同时支持加签、指派、改签等特殊业务场景的审批设置</w:t>
      </w:r>
      <w:r>
        <w:rPr>
          <w:rFonts w:hint="eastAsia"/>
          <w:color w:val="000000"/>
        </w:rPr>
        <w:t xml:space="preserve">。</w:t>
      </w:r>
      <w:r>
        <w:rPr>
          <w:color w:val="000000"/>
        </w:rPr>
      </w:r>
      <w:r/>
    </w:p>
    <w:p>
      <w:pPr>
        <w:pStyle w:val="1053"/>
        <w:ind w:firstLine="485"/>
        <w:rPr>
          <w:color w:val="000000"/>
        </w:rPr>
      </w:pPr>
      <w:r>
        <w:rPr>
          <w:color w:val="000000"/>
        </w:rPr>
        <w:t xml:space="preserve">根据合同审批流程定义，合同自动提交给下一个审核人员，审核人员可对合同进行同意以及打回；包括待审核和已审核列表。</w:t>
      </w:r>
      <w:r/>
    </w:p>
    <w:p>
      <w:pPr>
        <w:pStyle w:val="1053"/>
        <w:ind w:firstLine="485"/>
        <w:rPr>
          <w:color w:val="000000"/>
        </w:rPr>
      </w:pPr>
      <w:r>
        <w:rPr>
          <w:rFonts w:hint="eastAsia"/>
          <w:color w:val="000000"/>
        </w:rPr>
        <w:t xml:space="preserve">针对正式签订合同的审批。审批人员为通过审批工作流设置的节点审批人员。</w:t>
      </w:r>
      <w:r>
        <w:rPr>
          <w:color w:val="000000"/>
        </w:rPr>
      </w:r>
      <w:r/>
    </w:p>
    <w:p>
      <w:pPr>
        <w:pStyle w:val="1053"/>
        <w:ind w:firstLine="485"/>
        <w:rPr>
          <w:color w:val="000000"/>
        </w:rPr>
      </w:pPr>
      <w:r>
        <w:rPr>
          <w:rFonts w:hint="eastAsia"/>
          <w:color w:val="000000"/>
        </w:rPr>
        <w:t xml:space="preserve">如果需要二级审批，需要在基础设置-参数设置中，是否启用签订工作流为“是”。二级审批人员通常为科室主任或院领导。</w:t>
      </w:r>
      <w:r>
        <w:rPr>
          <w:color w:val="000000"/>
        </w:rPr>
      </w:r>
      <w:r/>
    </w:p>
    <w:p>
      <w:pPr>
        <w:pStyle w:val="1053"/>
        <w:ind w:firstLine="485"/>
        <w:rPr>
          <w:color w:val="000000"/>
        </w:rPr>
      </w:pPr>
      <w:r>
        <w:rPr>
          <w:rFonts w:hint="eastAsia"/>
          <w:color w:val="000000"/>
        </w:rPr>
        <w:t xml:space="preserve">针对正式签订合同后的合同变更的审批。审批人员为通过审批工作流设置的节点审批人员。</w:t>
      </w:r>
      <w:r>
        <w:rPr>
          <w:color w:val="000000"/>
        </w:rPr>
      </w:r>
      <w:r/>
    </w:p>
    <w:p>
      <w:pPr>
        <w:pStyle w:val="1053"/>
        <w:ind w:firstLine="485"/>
        <w:rPr>
          <w:color w:val="000000"/>
        </w:rPr>
      </w:pPr>
      <w:r>
        <w:rPr>
          <w:rFonts w:hint="eastAsia"/>
          <w:color w:val="000000"/>
        </w:rPr>
        <w:t xml:space="preserve">如果需要二级审批，需要在基础设置-参数设置中，是否启用合同变更工作流为“是”。二级审批人员通常为科室主任或院领导。</w:t>
      </w:r>
      <w:r>
        <w:rPr>
          <w:color w:val="000000"/>
        </w:rPr>
      </w:r>
      <w:r/>
    </w:p>
    <w:p>
      <w:pPr>
        <w:pStyle w:val="1053"/>
        <w:ind w:firstLine="485"/>
        <w:rPr>
          <w:color w:val="000000"/>
        </w:rPr>
      </w:pPr>
      <w:r>
        <w:rPr>
          <w:color w:val="000000"/>
        </w:rPr>
        <w:t xml:space="preserve">合同审核完成后，提供合同生成及打印功能。</w:t>
      </w:r>
      <w:r/>
    </w:p>
    <w:p>
      <w:pPr>
        <w:pStyle w:val="1053"/>
        <w:ind w:firstLine="485"/>
        <w:rPr>
          <w:color w:val="000000"/>
        </w:rPr>
      </w:pPr>
      <w:r>
        <w:rPr>
          <w:color w:val="000000"/>
        </w:rPr>
        <w:t xml:space="preserve">对审批完成的合同进行流程查看，以及生成合同并提供生成PDF打印功能。</w:t>
      </w:r>
      <w:r/>
    </w:p>
    <w:p>
      <w:pPr>
        <w:pStyle w:val="1053"/>
        <w:ind w:firstLine="480"/>
        <w:rPr>
          <w:color w:val="000000"/>
        </w:rPr>
      </w:pPr>
      <w:r>
        <w:rPr>
          <w:color w:val="000000"/>
        </w:rPr>
        <w:t xml:space="preserve">合同备案号登记功能，并提供备案资料的上传功能。合同备案对合同备案号等信息提供登记功能，并支持资料上传功能。</w:t>
      </w:r>
      <w:r/>
    </w:p>
    <w:p>
      <w:pPr>
        <w:pStyle w:val="1053"/>
        <w:ind w:firstLine="485"/>
        <w:rPr>
          <w:color w:val="000000"/>
        </w:rPr>
      </w:pPr>
      <w:r>
        <w:rPr>
          <w:rFonts w:hint="eastAsia"/>
          <w:color w:val="000000"/>
        </w:rPr>
        <w:t xml:space="preserve">支持</w:t>
      </w:r>
      <w:r>
        <w:rPr>
          <w:color w:val="000000"/>
        </w:rPr>
        <w:t xml:space="preserve">审计部门查询相关合同信息。</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.4.2.4合同签章</w:t>
      </w:r>
      <w:r/>
    </w:p>
    <w:p>
      <w:pPr>
        <w:pStyle w:val="1053"/>
        <w:ind w:firstLine="480"/>
        <w:rPr>
          <w:color w:val="000000"/>
        </w:rPr>
      </w:pPr>
      <w:r>
        <w:rPr>
          <w:rFonts w:hint="eastAsia"/>
          <w:color w:val="000000"/>
        </w:rPr>
        <w:t xml:space="preserve">支持对</w:t>
      </w:r>
      <w:r>
        <w:rPr>
          <w:color w:val="000000"/>
        </w:rPr>
        <w:t xml:space="preserve">已盖章合同进行标识，以便后续进行查询</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.4.2.5合同打印</w:t>
      </w:r>
      <w:r/>
    </w:p>
    <w:p>
      <w:pPr>
        <w:pStyle w:val="1053"/>
        <w:ind w:firstLine="480"/>
        <w:rPr>
          <w:color w:val="000000"/>
        </w:rPr>
      </w:pPr>
      <w:r>
        <w:rPr>
          <w:rFonts w:hint="eastAsia"/>
          <w:color w:val="000000"/>
        </w:rPr>
        <w:t xml:space="preserve">支持</w:t>
      </w:r>
      <w:r>
        <w:rPr>
          <w:color w:val="000000"/>
        </w:rPr>
        <w:t xml:space="preserve">对已审批完成的合同进行打印</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.4.2.6合同执行</w:t>
      </w:r>
      <w:r/>
    </w:p>
    <w:p>
      <w:pPr>
        <w:pStyle w:val="1053"/>
        <w:ind w:firstLine="480"/>
        <w:rPr>
          <w:color w:val="000000"/>
        </w:rPr>
      </w:pPr>
      <w:r>
        <w:rPr>
          <w:rFonts w:hint="eastAsia"/>
          <w:color w:val="000000"/>
        </w:rPr>
        <w:t xml:space="preserve">支持</w:t>
      </w:r>
      <w:r>
        <w:rPr>
          <w:color w:val="000000"/>
        </w:rPr>
        <w:t xml:space="preserve">对所管合同详细信息的查询、合同的履行、变更、解除、归档、到期处理、保证金、结算等全生命周期的管理</w:t>
      </w:r>
      <w:r>
        <w:rPr>
          <w:rFonts w:hint="eastAsia"/>
          <w:color w:val="000000"/>
        </w:rPr>
        <w:t xml:space="preserve">；支持</w:t>
      </w:r>
      <w:r>
        <w:rPr>
          <w:color w:val="000000"/>
        </w:rPr>
        <w:t xml:space="preserve">合同在付款时关联付款预算、同时生成付款申请单，并可传送到报账系统进行报账流程审批</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.4.2.7合同报表</w:t>
      </w:r>
      <w:r/>
    </w:p>
    <w:p>
      <w:pPr>
        <w:pStyle w:val="1053"/>
        <w:ind w:firstLine="480"/>
        <w:rPr>
          <w:color w:val="000000"/>
        </w:rPr>
      </w:pPr>
      <w:r>
        <w:rPr>
          <w:rFonts w:hint="eastAsia"/>
          <w:color w:val="000000"/>
        </w:rPr>
        <w:t xml:space="preserve">支持</w:t>
      </w:r>
      <w:r>
        <w:rPr>
          <w:color w:val="000000"/>
        </w:rPr>
        <w:t xml:space="preserve">对</w:t>
      </w:r>
      <w:r>
        <w:rPr>
          <w:rFonts w:hint="eastAsia"/>
          <w:color w:val="000000"/>
        </w:rPr>
        <w:t xml:space="preserve">合同</w:t>
      </w:r>
      <w:r>
        <w:rPr>
          <w:color w:val="000000"/>
        </w:rPr>
        <w:t xml:space="preserve">各类报表的展现，包含合同统计表、付款到期预警、合同到期预警、执行情况分析、执行进展分析等</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.4.2.8</w:t>
      </w:r>
      <w:r>
        <w:rPr>
          <w:rFonts w:hint="eastAsia" w:hAnsi="宋体"/>
        </w:rPr>
        <w:t xml:space="preserve">合同预警</w:t>
      </w:r>
      <w:r>
        <w:rPr>
          <w:rFonts w:hAnsi="宋体"/>
        </w:rPr>
      </w:r>
      <w:r/>
    </w:p>
    <w:p>
      <w:pPr>
        <w:pStyle w:val="1053"/>
        <w:ind w:firstLine="480"/>
        <w:rPr>
          <w:color w:val="000000"/>
        </w:rPr>
      </w:pPr>
      <w:r>
        <w:rPr>
          <w:color w:val="000000"/>
        </w:rPr>
        <w:t xml:space="preserve">根据设置的预警条件，对不同类型的合同信息实现近期、到期、过期提醒</w:t>
      </w:r>
      <w:r>
        <w:rPr>
          <w:rFonts w:hint="eastAsia"/>
          <w:color w:val="000000"/>
        </w:rPr>
        <w:t xml:space="preserve">，如：合同会签流转时间提醒、合同截止日提醒、质保金提醒、保质期提醒和应付款提醒等。</w:t>
      </w:r>
      <w:r>
        <w:rPr>
          <w:color w:val="000000"/>
        </w:rPr>
      </w:r>
      <w:r/>
    </w:p>
    <w:p>
      <w:pPr>
        <w:pStyle w:val="1053"/>
        <w:ind w:firstLine="485"/>
        <w:rPr>
          <w:color w:val="000000"/>
        </w:rPr>
      </w:pPr>
      <w:r>
        <w:rPr>
          <w:rFonts w:hint="eastAsia"/>
          <w:color w:val="000000"/>
        </w:rPr>
        <w:t xml:space="preserve">对影响合同管理系统运行的基础档案以及参数数据进行设置。对基础数据的设置是使用合同管理系统的前提，基础数据以及参数设置质量的好坏将直接影响到合同管理系统的使用效果。</w:t>
      </w:r>
      <w:r>
        <w:rPr>
          <w:color w:val="000000"/>
        </w:rPr>
      </w:r>
      <w:r/>
    </w:p>
    <w:p>
      <w:pPr>
        <w:pStyle w:val="1053"/>
        <w:ind w:firstLine="485"/>
        <w:rPr>
          <w:color w:val="000000"/>
        </w:rPr>
      </w:pPr>
      <w:r>
        <w:rPr>
          <w:rFonts w:hint="eastAsia"/>
          <w:color w:val="000000"/>
        </w:rPr>
        <w:t xml:space="preserve">对于运行过程中常用的业务逻辑，系统实现了标准化参数的管理。通过配置参数，医院可根据管理需要进行灵活的配置，满足个性化管理需求。</w:t>
      </w:r>
      <w:r>
        <w:rPr>
          <w:color w:val="000000"/>
        </w:rPr>
      </w:r>
      <w:r/>
    </w:p>
    <w:p>
      <w:pPr>
        <w:pStyle w:val="1053"/>
        <w:ind w:firstLine="485"/>
        <w:rPr>
          <w:color w:val="000000"/>
        </w:rPr>
      </w:pPr>
      <w:r>
        <w:rPr>
          <w:color w:val="000000"/>
        </w:rPr>
        <w:t xml:space="preserve">提供合同信息一览表、合同验收情况统计表、合同付款情况统计表等多维度查询统计功能。</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.4.2.9</w:t>
      </w:r>
      <w:r>
        <w:rPr>
          <w:rFonts w:hint="eastAsia" w:hAnsi="宋体"/>
        </w:rPr>
        <w:t xml:space="preserve">一体化应用要求</w:t>
      </w:r>
      <w:r>
        <w:rPr>
          <w:rFonts w:hAnsi="宋体"/>
        </w:rPr>
      </w:r>
      <w:r/>
    </w:p>
    <w:p>
      <w:pPr>
        <w:pStyle w:val="1053"/>
        <w:ind w:firstLine="480"/>
        <w:rPr>
          <w:color w:val="000000"/>
        </w:rPr>
      </w:pPr>
      <w:r>
        <w:rPr>
          <w:rFonts w:hint="eastAsia"/>
          <w:color w:val="000000"/>
        </w:rPr>
        <w:t xml:space="preserve">（1）</w:t>
      </w:r>
      <w:r>
        <w:rPr>
          <w:color w:val="000000"/>
        </w:rPr>
        <w:t xml:space="preserve">与预算管理的协同</w:t>
      </w:r>
      <w:r/>
    </w:p>
    <w:p>
      <w:pPr>
        <w:pStyle w:val="1053"/>
        <w:ind w:firstLine="480"/>
        <w:rPr>
          <w:color w:val="000000"/>
        </w:rPr>
      </w:pPr>
      <w:r>
        <w:rPr>
          <w:color w:val="000000"/>
        </w:rPr>
        <w:t xml:space="preserve">合同管理系统在数据及业务的协同上，上游实现了与预算管理的一体化应用，即在合同签订时能够引用预算数据，对合同形成预算控制，并根据医院的预算管理要求，是强制控制还是柔性控制。</w:t>
      </w:r>
      <w:r/>
    </w:p>
    <w:p>
      <w:pPr>
        <w:pStyle w:val="1053"/>
        <w:ind w:firstLine="480"/>
        <w:rPr>
          <w:color w:val="000000"/>
        </w:rPr>
      </w:pPr>
      <w:r>
        <w:rPr>
          <w:rFonts w:hint="eastAsia"/>
          <w:color w:val="000000"/>
        </w:rPr>
        <w:t xml:space="preserve">（2）</w:t>
      </w:r>
      <w:r>
        <w:rPr>
          <w:color w:val="000000"/>
        </w:rPr>
        <w:t xml:space="preserve">与采购系统的协同</w:t>
      </w:r>
      <w:r/>
    </w:p>
    <w:p>
      <w:pPr>
        <w:pStyle w:val="1053"/>
        <w:ind w:firstLine="480"/>
        <w:rPr>
          <w:color w:val="000000"/>
        </w:rPr>
      </w:pPr>
      <w:r>
        <w:rPr>
          <w:color w:val="000000"/>
        </w:rPr>
        <w:t xml:space="preserve">合同管理系统在数据及业务的协同上，上游除跟预算的协同外，还</w:t>
      </w:r>
      <w:r>
        <w:rPr>
          <w:rFonts w:hint="eastAsia"/>
          <w:color w:val="000000"/>
        </w:rPr>
        <w:t xml:space="preserve">需要</w:t>
      </w:r>
      <w:r>
        <w:rPr>
          <w:color w:val="000000"/>
        </w:rPr>
        <w:t xml:space="preserve">实现与采购管理的协同，合同签订时能够引用采购管理的采购计划，实现将采购计划数据自动带入合同标的信息，实现业务数据的复用。</w:t>
      </w:r>
      <w:r/>
    </w:p>
    <w:p>
      <w:pPr>
        <w:pStyle w:val="1053"/>
        <w:ind w:firstLine="480"/>
        <w:rPr>
          <w:color w:val="000000"/>
        </w:rPr>
      </w:pPr>
      <w:r>
        <w:rPr>
          <w:rFonts w:hint="eastAsia"/>
          <w:color w:val="000000"/>
        </w:rPr>
        <w:t xml:space="preserve">（3）</w:t>
      </w:r>
      <w:r>
        <w:rPr>
          <w:color w:val="000000"/>
        </w:rPr>
        <w:t xml:space="preserve">与固定资产的协同</w:t>
      </w:r>
      <w:r/>
    </w:p>
    <w:p>
      <w:pPr>
        <w:pStyle w:val="1053"/>
        <w:ind w:firstLine="480"/>
        <w:rPr>
          <w:color w:val="000000"/>
        </w:rPr>
      </w:pPr>
      <w:r>
        <w:rPr>
          <w:color w:val="000000"/>
        </w:rPr>
        <w:t xml:space="preserve">合同管理系统与固定资产的协同主要体现两个方面，对于履行状态的合同，固定资产系统能够在资产安装、验收、入库时予以引用，将合同数据带入到固定资产相应单据，实现数据复用。固定资产系统同时将验收、入库等数据回写合同管理系统，实现从合同</w:t>
      </w:r>
      <w:r>
        <w:rPr>
          <w:color w:val="000000"/>
        </w:rPr>
        <w:t xml:space="preserve">管理系统实时查询</w:t>
      </w:r>
      <w:r>
        <w:rPr>
          <w:color w:val="000000"/>
        </w:rPr>
        <w:t xml:space="preserve">资产验收、入库进度等。</w:t>
      </w:r>
      <w:r/>
    </w:p>
    <w:p>
      <w:pPr>
        <w:pStyle w:val="1053"/>
        <w:ind w:firstLine="480"/>
        <w:rPr>
          <w:color w:val="000000"/>
        </w:rPr>
      </w:pPr>
      <w:r>
        <w:rPr>
          <w:rFonts w:hint="eastAsia"/>
          <w:color w:val="000000"/>
        </w:rPr>
        <w:t xml:space="preserve">（4）</w:t>
      </w:r>
      <w:r>
        <w:rPr>
          <w:color w:val="000000"/>
        </w:rPr>
        <w:t xml:space="preserve">与智能报账的协同</w:t>
      </w:r>
      <w:r/>
    </w:p>
    <w:p>
      <w:pPr>
        <w:pStyle w:val="1053"/>
        <w:ind w:firstLine="480"/>
        <w:rPr>
          <w:color w:val="000000"/>
        </w:rPr>
      </w:pPr>
      <w:r>
        <w:rPr>
          <w:color w:val="000000"/>
        </w:rPr>
        <w:t xml:space="preserve">合同管理系统与报账系统的协同主要是实现合同付款的管理。报账系统的报账单能够引用合同管理的付款计划等相关合同信息，形成支付信息，并根据付款计划进行具体的付款支付等。</w:t>
      </w:r>
      <w:r/>
    </w:p>
    <w:p>
      <w:pPr>
        <w:pStyle w:val="1053"/>
        <w:ind w:firstLine="480"/>
        <w:rPr>
          <w:color w:val="000000"/>
        </w:rPr>
      </w:pPr>
      <w:r>
        <w:rPr>
          <w:rFonts w:hint="eastAsia"/>
          <w:color w:val="000000"/>
        </w:rPr>
        <w:t xml:space="preserve">（5）与财务会计的协同</w:t>
      </w:r>
      <w:r>
        <w:rPr>
          <w:color w:val="000000"/>
        </w:rPr>
      </w:r>
      <w:r/>
    </w:p>
    <w:p>
      <w:pPr>
        <w:pStyle w:val="1053"/>
        <w:ind w:firstLine="480"/>
        <w:rPr>
          <w:color w:val="000000"/>
        </w:rPr>
      </w:pPr>
      <w:r>
        <w:rPr>
          <w:rFonts w:hint="eastAsia"/>
          <w:color w:val="000000"/>
        </w:rPr>
        <w:t xml:space="preserve">合同管理系统与财务会计的协同主要体现在付款信息的同步上。合同付款单能够生成付款申请单，将付款信息同步至付款申请单，进行款项的支付和收取等。</w:t>
      </w:r>
      <w:r>
        <w:rPr>
          <w:color w:val="000000"/>
        </w:rPr>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197" w:name="_Toc150521650"/>
      <w:r>
        <w:rPr>
          <w:rFonts w:hint="eastAsia" w:ascii="宋体" w:hAnsi="宋体"/>
          <w:color w:val="000000"/>
          <w:sz w:val="24"/>
        </w:rPr>
        <w:t xml:space="preserve">人力资源管理系统</w:t>
      </w:r>
      <w:bookmarkEnd w:id="197"/>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.5.1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color w:val="000000"/>
        </w:rPr>
        <w:t xml:space="preserve">通过构建高效的</w:t>
      </w:r>
      <w:r>
        <w:rPr>
          <w:rFonts w:hint="eastAsia"/>
          <w:color w:val="000000"/>
        </w:rPr>
        <w:t xml:space="preserve">人力资源</w:t>
      </w:r>
      <w:r>
        <w:rPr>
          <w:color w:val="000000"/>
        </w:rPr>
        <w:t xml:space="preserve">管理信息系统，一方面解决业务流程问题，满足医院员工</w:t>
      </w:r>
      <w:r>
        <w:rPr>
          <w:rFonts w:hint="eastAsia"/>
          <w:color w:val="000000"/>
        </w:rPr>
        <w:t xml:space="preserve">的</w:t>
      </w:r>
      <w:r>
        <w:rPr>
          <w:color w:val="000000"/>
        </w:rPr>
        <w:t xml:space="preserve">入职、员工档案、合同、考勤等人力资源事务性工作需要，建立健全员工档案，实时掌握员工动态；二是构建覆盖全院的</w:t>
      </w:r>
      <w:r>
        <w:rPr>
          <w:rFonts w:hint="eastAsia"/>
          <w:color w:val="000000"/>
        </w:rPr>
        <w:t xml:space="preserve">人力资源基础数据归口</w:t>
      </w:r>
      <w:r>
        <w:rPr>
          <w:color w:val="000000"/>
        </w:rPr>
        <w:t xml:space="preserve">管理协同平台</w:t>
      </w:r>
      <w:r>
        <w:rPr>
          <w:rFonts w:hint="eastAsia"/>
          <w:color w:val="000000"/>
        </w:rPr>
        <w:t xml:space="preserve">，通过提供公共的人力接口服务，将科室信息、人员基本信息等内容，以接口形式对外发布，供其他业务系统使用，如：HIS系统、OA系统、医务管理系统、消毒供应追溯系统、财务系统、物资领用系统、固定资产管理系统、护理系统等，按需调用接口，取得相应的人力数据。其他系统根据医院制定的系统权限控制规则自动调整人员权限，从而</w:t>
      </w:r>
      <w:r>
        <w:rPr>
          <w:color w:val="000000"/>
        </w:rPr>
        <w:t xml:space="preserve">建立人事与相关业务部门的协同关系，</w:t>
      </w:r>
      <w:r>
        <w:rPr>
          <w:rFonts w:hint="eastAsia"/>
          <w:color w:val="000000"/>
        </w:rPr>
        <w:t xml:space="preserve">更好地</w:t>
      </w:r>
      <w:r>
        <w:rPr>
          <w:color w:val="000000"/>
        </w:rPr>
        <w:t xml:space="preserve">服务于医院</w:t>
      </w:r>
      <w:r>
        <w:rPr>
          <w:rFonts w:hint="eastAsia"/>
          <w:color w:val="000000"/>
        </w:rPr>
        <w:t xml:space="preserve">人事处、财务处、医工处、医务部和护理部等</w:t>
      </w:r>
      <w:r>
        <w:rPr>
          <w:color w:val="000000"/>
        </w:rPr>
        <w:t xml:space="preserve">相关职能管理部门、医疗业务部门和一线员工。</w:t>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.5.2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.5.2.1组织管理</w:t>
      </w:r>
      <w:r/>
    </w:p>
    <w:p>
      <w:pPr>
        <w:pStyle w:val="1053"/>
        <w:ind w:left="-2" w:firstLine="362"/>
        <w:rPr>
          <w:color w:val="000000"/>
        </w:rPr>
      </w:pPr>
      <w:r>
        <w:rPr>
          <w:rFonts w:hint="eastAsia"/>
          <w:color w:val="000000"/>
        </w:rPr>
        <w:t xml:space="preserve">实现多种组织机构设计模式，实现显示权限内的各部门信息，并自动生成组织机构图；实现内部门组织快速复制。</w:t>
      </w:r>
      <w:r>
        <w:rPr>
          <w:color w:val="000000"/>
        </w:rPr>
      </w:r>
      <w:r/>
    </w:p>
    <w:p>
      <w:pPr>
        <w:pStyle w:val="1053"/>
        <w:ind w:left="-2" w:firstLine="362"/>
        <w:rPr>
          <w:color w:val="000000"/>
        </w:rPr>
      </w:pPr>
      <w:r>
        <w:rPr>
          <w:rFonts w:hint="eastAsia"/>
          <w:color w:val="000000"/>
        </w:rPr>
        <w:t xml:space="preserve">支持多维度，多层级，多信息的组织结构图展示设置和呈现。通过系统应用完成对部门各层各级的多种组织机构信息的管理和维护，实现组织快速复制；支持部门新增、更名、合并、转移和撤销、排序等业务。</w:t>
      </w:r>
      <w:r>
        <w:rPr>
          <w:color w:val="000000"/>
        </w:rPr>
      </w:r>
      <w:r/>
    </w:p>
    <w:p>
      <w:pPr>
        <w:pStyle w:val="1053"/>
        <w:ind w:left="-2" w:firstLine="362"/>
        <w:rPr>
          <w:color w:val="000000"/>
        </w:rPr>
      </w:pPr>
      <w:r>
        <w:rPr>
          <w:rFonts w:hint="eastAsia"/>
          <w:color w:val="000000"/>
        </w:rPr>
        <w:t xml:space="preserve">组织机构的管理，支持各种组织结构记录与展示，同时允许通过直观的界面操作，灵活的对机构、科室和岗位信息进行相关操作。</w:t>
      </w:r>
      <w:r>
        <w:rPr>
          <w:color w:val="000000"/>
        </w:rPr>
      </w:r>
      <w:r/>
    </w:p>
    <w:p>
      <w:pPr>
        <w:pStyle w:val="1053"/>
        <w:ind w:left="-2" w:firstLine="362"/>
        <w:rPr>
          <w:color w:val="000000"/>
        </w:rPr>
      </w:pPr>
      <w:r>
        <w:rPr>
          <w:rFonts w:hint="eastAsia"/>
          <w:color w:val="000000"/>
        </w:rPr>
        <w:t xml:space="preserve">提供历史时点，随时可以针对组织变化历史情况进行追溯查询。组织机构变化痕迹留痕保留，自动保存机构变化的历史纪录，支持历史时间点查询输出。</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.5.2.2人事档案</w:t>
      </w:r>
      <w:r/>
    </w:p>
    <w:p>
      <w:pPr>
        <w:pStyle w:val="1053"/>
        <w:ind w:left="-2" w:firstLine="362"/>
        <w:rPr>
          <w:color w:val="000000"/>
        </w:rPr>
      </w:pPr>
      <w:r>
        <w:rPr>
          <w:color w:val="000000"/>
        </w:rPr>
        <w:t xml:space="preserve">包含人员基本信息、附属信息、合同信息的全面管理，同时提供附属信息接口、图表统计、综合查询功能（支持由相关归口管理部门协同完善员工培训、变动、资质等信息并经审核后生效）</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.5.2.3合同管理</w:t>
      </w:r>
      <w:r/>
    </w:p>
    <w:p>
      <w:pPr>
        <w:pStyle w:val="1053"/>
        <w:ind w:left="-2" w:firstLine="362"/>
        <w:rPr>
          <w:color w:val="000000"/>
        </w:rPr>
      </w:pPr>
      <w:r>
        <w:rPr>
          <w:color w:val="000000"/>
        </w:rPr>
        <w:t xml:space="preserve">支持员工劳动合同签订、变更、解除、终止的事务处理记录，并自助进行合同到期提醒</w:t>
      </w:r>
      <w:r>
        <w:rPr>
          <w:rFonts w:hint="eastAsia"/>
          <w:color w:val="000000"/>
        </w:rPr>
        <w:t xml:space="preserve">。</w:t>
      </w:r>
      <w:r>
        <w:rPr>
          <w:color w:val="000000"/>
        </w:rPr>
      </w:r>
      <w:r/>
    </w:p>
    <w:p>
      <w:pPr>
        <w:pStyle w:val="937"/>
        <w:ind w:firstLine="485"/>
        <w:spacing w:line="360" w:lineRule="auto"/>
        <w:rPr>
          <w:rFonts w:ascii="宋体" w:hAnsi="宋体"/>
          <w:color w:val="000000"/>
          <w:sz w:val="24"/>
        </w:rPr>
      </w:pPr>
      <w:r>
        <w:rPr>
          <w:rFonts w:hint="eastAsia" w:ascii="宋体" w:hAnsi="宋体"/>
          <w:color w:val="000000"/>
          <w:sz w:val="24"/>
        </w:rPr>
        <w:t xml:space="preserve">人力资源管理的合同管理功能将员工合同及协议管理业务系统化、规范化进而规范整个医院范围内的劳动用工行为；人事合同及协议（包括兼职合同）全生命周期管理提供：初签、续签、终止、解除、变更等功能。</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人事合同支持初签、续签、终止、解除、变更业务，合同支持到期预警通知。支持合同台账查询</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支持协议记录。方便快捷查询合同协议信息，及时、准确了解员工合同协议状况；</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支持争议记录。</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合同协议与人事事件等业务的紧密协同；</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系统内置常用合同预警，比如合同到期预警</w:t>
      </w:r>
      <w:r>
        <w:rPr>
          <w:rFonts w:ascii="宋体" w:hAnsi="宋体"/>
          <w:color w:val="000000"/>
          <w:sz w:val="24"/>
        </w:rPr>
      </w:r>
      <w:r/>
    </w:p>
    <w:p>
      <w:pPr>
        <w:pStyle w:val="1053"/>
        <w:ind w:left="-2" w:firstLine="362"/>
        <w:rPr>
          <w:color w:val="000000"/>
        </w:rPr>
      </w:pPr>
      <w:r>
        <w:rPr>
          <w:rFonts w:hint="eastAsia"/>
          <w:color w:val="000000"/>
        </w:rPr>
        <w:t xml:space="preserve">根据方案管理的模式，设置合同相关类型、合同项目、合同模板等信息。提供对数据的增删改查等操作。</w:t>
      </w:r>
      <w:r>
        <w:rPr>
          <w:color w:val="000000"/>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支持根据医院劳动合同的要求，自定义劳动合同项目；</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支持设置多种劳动合同方案；</w:t>
      </w:r>
      <w:r>
        <w:rPr>
          <w:rFonts w:ascii="宋体" w:hAnsi="宋体"/>
          <w:color w:val="000000"/>
          <w:sz w:val="24"/>
        </w:rPr>
      </w:r>
      <w:r/>
    </w:p>
    <w:p>
      <w:pPr>
        <w:pStyle w:val="937"/>
        <w:numPr>
          <w:ilvl w:val="0"/>
          <w:numId w:val="35"/>
        </w:numPr>
        <w:ind w:left="0" w:firstLine="485"/>
        <w:spacing w:line="360" w:lineRule="auto"/>
        <w:widowControl/>
        <w:rPr>
          <w:rFonts w:ascii="宋体" w:hAnsi="宋体"/>
          <w:color w:val="000000"/>
          <w:sz w:val="24"/>
        </w:rPr>
      </w:pPr>
      <w:r>
        <w:rPr>
          <w:rFonts w:hint="eastAsia" w:ascii="宋体" w:hAnsi="宋体"/>
          <w:color w:val="000000"/>
          <w:sz w:val="24"/>
        </w:rPr>
        <w:t xml:space="preserve">支持设置劳动合同初签、续签、解除、终止、变更的通知；</w:t>
      </w:r>
      <w:r>
        <w:rPr>
          <w:rFonts w:ascii="宋体" w:hAnsi="宋体"/>
          <w:color w:val="000000"/>
          <w:sz w:val="24"/>
        </w:rPr>
      </w:r>
      <w:r/>
    </w:p>
    <w:p>
      <w:pPr>
        <w:pStyle w:val="1053"/>
        <w:ind w:left="-2" w:firstLine="362"/>
        <w:rPr>
          <w:color w:val="000000"/>
        </w:rPr>
      </w:pPr>
      <w:r>
        <w:rPr>
          <w:rFonts w:hint="eastAsia"/>
          <w:color w:val="000000"/>
        </w:rPr>
        <w:t xml:space="preserve">根据方案管理的模式，设置合同相关信息发生变动的通知业务。提供对数据的增删改查等操作。</w:t>
      </w:r>
      <w:r>
        <w:rPr>
          <w:color w:val="000000"/>
        </w:rPr>
      </w:r>
      <w:r/>
    </w:p>
    <w:p>
      <w:pPr>
        <w:pStyle w:val="1053"/>
        <w:ind w:left="-2" w:firstLine="362"/>
        <w:rPr>
          <w:color w:val="000000"/>
        </w:rPr>
      </w:pPr>
      <w:r>
        <w:rPr>
          <w:rFonts w:hint="eastAsia"/>
          <w:color w:val="000000"/>
        </w:rPr>
        <w:t xml:space="preserve">提供医院各类协议的维护和管理业务，提供对数据的增删改查等操作。支持自定义查询方案，提供使用方案模式进行具有逻辑条件的高级查询。</w:t>
      </w:r>
      <w:r>
        <w:rPr>
          <w:color w:val="000000"/>
        </w:rPr>
      </w:r>
      <w:r/>
    </w:p>
    <w:p>
      <w:pPr>
        <w:pStyle w:val="1053"/>
        <w:ind w:left="-2" w:firstLine="362"/>
        <w:rPr>
          <w:color w:val="000000"/>
        </w:rPr>
      </w:pPr>
      <w:r>
        <w:rPr>
          <w:rFonts w:hint="eastAsia"/>
          <w:color w:val="000000"/>
        </w:rPr>
        <w:t xml:space="preserve">提供医院存在争议的问题进行维护和管理业务，提供对数据的增删改查等操作。支持自定义查询方案，提供使用方案模式进行具有逻辑条件的高级查询。</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.5.2.4考勤</w:t>
      </w:r>
      <w:r>
        <w:rPr>
          <w:rFonts w:hint="eastAsia" w:hAnsi="宋体"/>
        </w:rPr>
        <w:t xml:space="preserve">管理</w:t>
      </w:r>
      <w:r>
        <w:rPr>
          <w:rFonts w:hAnsi="宋体"/>
        </w:rPr>
      </w:r>
      <w:r/>
    </w:p>
    <w:p>
      <w:pPr>
        <w:pStyle w:val="1053"/>
        <w:ind w:left="-2" w:firstLine="362"/>
        <w:rPr>
          <w:color w:val="000000"/>
        </w:rPr>
      </w:pPr>
      <w:r>
        <w:rPr>
          <w:rFonts w:hint="eastAsia"/>
          <w:color w:val="000000"/>
        </w:rPr>
        <w:t xml:space="preserve">实现人员的在线请假、加班出差及审批，如实现人员的在线请假、加班出差及审批，如实现人员的在线请假、加班出差及审批等功能。</w:t>
      </w:r>
      <w:r>
        <w:rPr>
          <w:color w:val="000000"/>
        </w:rPr>
      </w:r>
      <w:r/>
    </w:p>
    <w:p>
      <w:pPr>
        <w:pStyle w:val="1053"/>
        <w:ind w:left="-2" w:firstLine="362"/>
        <w:rPr>
          <w:color w:val="000000"/>
        </w:rPr>
      </w:pPr>
      <w:r>
        <w:rPr>
          <w:rFonts w:hint="eastAsia"/>
          <w:color w:val="000000"/>
        </w:rPr>
        <w:t xml:space="preserve">支持日考勤、月考勤结果自动核算并参与工资计算，支持与企业微信或钉钉进行数据接口，并且实现员工打卡数据的在线查询功能。</w:t>
      </w:r>
      <w:r>
        <w:rPr>
          <w:color w:val="000000"/>
        </w:rPr>
      </w:r>
      <w:r/>
    </w:p>
    <w:p>
      <w:pPr>
        <w:pStyle w:val="1053"/>
        <w:ind w:left="-2" w:firstLine="362"/>
        <w:rPr>
          <w:color w:val="000000"/>
        </w:rPr>
      </w:pPr>
      <w:r>
        <w:rPr>
          <w:rFonts w:hint="eastAsia"/>
          <w:color w:val="000000"/>
        </w:rPr>
        <w:t xml:space="preserve">支持用户自定义假期类别（如事假、病假、婚丧假、年假）、提供员工请假（事假、病假、年休假等）、加班、公差的网上自助与审批功能。</w:t>
      </w:r>
      <w:r>
        <w:rPr>
          <w:color w:val="000000"/>
        </w:rPr>
      </w:r>
      <w:r/>
    </w:p>
    <w:p>
      <w:pPr>
        <w:pStyle w:val="1053"/>
        <w:ind w:left="-2" w:firstLine="362"/>
        <w:rPr>
          <w:color w:val="000000"/>
        </w:rPr>
      </w:pPr>
      <w:r>
        <w:rPr>
          <w:rFonts w:hint="eastAsia"/>
          <w:color w:val="000000"/>
        </w:rPr>
        <w:t xml:space="preserve">采用图形化工作流，支持用户根据自己企业单位审批流程和审批条件设置多级审批、按条件、按部门等条件进行多分支的审批流程。</w:t>
      </w:r>
      <w:r>
        <w:rPr>
          <w:color w:val="000000"/>
        </w:rPr>
      </w:r>
      <w:r/>
    </w:p>
    <w:p>
      <w:pPr>
        <w:pStyle w:val="1053"/>
        <w:ind w:left="-2" w:firstLine="362"/>
        <w:rPr>
          <w:color w:val="000000"/>
        </w:rPr>
      </w:pPr>
      <w:r>
        <w:rPr>
          <w:rFonts w:hint="eastAsia"/>
          <w:color w:val="000000"/>
        </w:rPr>
        <w:t xml:space="preserve">提供企业微信或钉钉的数据导入、读取接口；支持EXCEL、TXT 等格式的数据导入形式，或者直接通过数据接口实时读取的功能。</w:t>
      </w:r>
      <w:r>
        <w:rPr>
          <w:color w:val="000000"/>
        </w:rPr>
      </w:r>
      <w:r/>
    </w:p>
    <w:p>
      <w:pPr>
        <w:pStyle w:val="1053"/>
        <w:ind w:left="-2" w:firstLine="362"/>
        <w:rPr>
          <w:color w:val="000000"/>
        </w:rPr>
      </w:pPr>
      <w:r>
        <w:rPr>
          <w:rFonts w:hint="eastAsia"/>
          <w:color w:val="000000"/>
        </w:rPr>
        <w:t xml:space="preserve">实现对考勤日、月、年考勤结果的统计、汇总及输出成各式报表等功能，如年度缺勤汇总表、跨年份月份的假期统计；考勤的结果与薪资系统链接并进行计算。</w:t>
      </w:r>
      <w:r>
        <w:rPr>
          <w:color w:val="000000"/>
        </w:rPr>
      </w:r>
      <w:r/>
    </w:p>
    <w:p>
      <w:pPr>
        <w:pStyle w:val="1053"/>
        <w:ind w:left="-2" w:firstLine="362"/>
        <w:rPr>
          <w:color w:val="000000"/>
        </w:rPr>
      </w:pPr>
      <w:r>
        <w:rPr>
          <w:rFonts w:hint="eastAsia"/>
          <w:color w:val="000000"/>
        </w:rPr>
        <w:t xml:space="preserve">支持历史时间数据查询统计的功能，提供特定时间内个人出勤累计数据表。</w:t>
      </w:r>
      <w:r>
        <w:rPr>
          <w:color w:val="000000"/>
        </w:rPr>
      </w:r>
      <w:r/>
    </w:p>
    <w:p>
      <w:pPr>
        <w:pStyle w:val="1053"/>
        <w:ind w:left="-2" w:firstLine="362"/>
        <w:rPr>
          <w:color w:val="000000"/>
        </w:rPr>
      </w:pPr>
      <w:r>
        <w:rPr>
          <w:rFonts w:hint="eastAsia"/>
          <w:color w:val="000000"/>
        </w:rPr>
        <w:t xml:space="preserve">实现企业微信或钉钉的移动人员定位的打卡方式。</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.5.2.5业务协同</w:t>
      </w:r>
      <w:r/>
    </w:p>
    <w:p>
      <w:pPr>
        <w:pStyle w:val="1053"/>
        <w:ind w:left="-2" w:firstLine="362"/>
        <w:rPr>
          <w:color w:val="000000"/>
        </w:rPr>
      </w:pPr>
      <w:r>
        <w:rPr>
          <w:color w:val="000000"/>
        </w:rPr>
        <w:t xml:space="preserve">方便相关归口管理部门进行员工管理工作，增加、修改、完善员工信息并经审核后生效</w:t>
      </w:r>
      <w:r>
        <w:rPr>
          <w:rFonts w:hint="eastAsia"/>
          <w:color w:val="000000"/>
        </w:rPr>
        <w:t xml:space="preserve">,对授权岗位开放人事信息查询权限。</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.5.2.6工作提醒</w:t>
      </w:r>
      <w:r/>
    </w:p>
    <w:p>
      <w:pPr>
        <w:pStyle w:val="1053"/>
        <w:ind w:left="-2" w:firstLine="362"/>
        <w:rPr>
          <w:color w:val="000000"/>
        </w:rPr>
      </w:pPr>
      <w:r>
        <w:rPr>
          <w:color w:val="000000"/>
        </w:rPr>
        <w:t xml:space="preserve">定义生日到期提醒、退休到期提醒、合同到期、人员调动提醒等多种日常工作提醒，自动选择提醒数据显示方案，设置查看提醒数据的用户权限，实现日常工作的自动预警</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.5.2.7员工自助</w:t>
      </w:r>
      <w:r/>
    </w:p>
    <w:p>
      <w:pPr>
        <w:pStyle w:val="1053"/>
        <w:ind w:left="-2" w:firstLine="362"/>
      </w:pPr>
      <w:r>
        <w:rPr>
          <w:color w:val="000000"/>
        </w:rPr>
        <w:t xml:space="preserve">建立员工自助平台，员工通过此平台查询、修改并提交个人相关信息经人事科审核后确认</w:t>
      </w:r>
      <w:r>
        <w:rPr>
          <w:rFonts w:hint="eastAsia"/>
          <w:color w:val="000000"/>
        </w:rPr>
        <w:t xml:space="preserve">。</w:t>
      </w:r>
      <w:r>
        <w:rPr>
          <w:color w:val="000000"/>
        </w:rPr>
        <w:t xml:space="preserve">在线事务办理如请假、收入证明申请等</w:t>
      </w:r>
      <w:r>
        <w:rPr>
          <w:rFonts w:hint="eastAsia"/>
          <w:color w:val="000000"/>
        </w:rPr>
        <w:t xml:space="preserve">。</w:t>
      </w:r>
      <w:r>
        <w:rPr>
          <w:color w:val="000000"/>
        </w:rPr>
        <w:t xml:space="preserve">在线浏览各种规章制度、公告、下载办事流程及常用表格</w:t>
      </w:r>
      <w:r>
        <w:rPr>
          <w:rFonts w:hint="eastAsia"/>
          <w:color w:val="000000"/>
        </w:rPr>
        <w:t xml:space="preserve">。</w:t>
      </w:r>
      <w:r>
        <w:rPr>
          <w:color w:val="000000"/>
        </w:rPr>
      </w:r>
      <w:r/>
    </w:p>
    <w:p>
      <w:pPr>
        <w:pStyle w:val="1053"/>
        <w:ind w:left="-2" w:firstLine="362"/>
        <w:rPr>
          <w:color w:val="000000"/>
        </w:rPr>
      </w:pPr>
      <w:r>
        <w:rPr>
          <w:color w:val="000000"/>
        </w:rPr>
        <w:t xml:space="preserve">员工经授权后可查询个人工资、社保等信息；可查看自己的考勤明细、已休假情况、通过审批的请假申请等事项。</w:t>
      </w:r>
      <w:r/>
    </w:p>
    <w:p>
      <w:pPr>
        <w:pStyle w:val="1053"/>
        <w:ind w:left="-2" w:firstLine="362"/>
        <w:rPr>
          <w:color w:val="000000"/>
        </w:rPr>
      </w:pPr>
      <w:r>
        <w:rPr>
          <w:rFonts w:hint="eastAsia"/>
          <w:color w:val="000000"/>
        </w:rPr>
        <w:t xml:space="preserve">自助服务包括为科主任（直线主管）和员工提供基于PC和App端的人力资源管理平台。用户可以随时随地直接参与人力资源管理活动，创造医院人力资源管理及时服务、及时反馈的最佳化，从而增加每个人力资源活动的有效性并降低成本，让医院的人力资源部门能够聚焦到更具战略性的工作领域。</w:t>
      </w:r>
      <w:r>
        <w:rPr>
          <w:color w:val="000000"/>
        </w:rPr>
      </w:r>
      <w:r/>
    </w:p>
    <w:p>
      <w:pPr>
        <w:pStyle w:val="937"/>
        <w:rPr>
          <w:b/>
          <w:bCs/>
          <w:color w:val="000000"/>
          <w:sz w:val="24"/>
        </w:rPr>
      </w:pPr>
      <w:r/>
      <w:bookmarkStart w:id="198" w:name="_Toc35332673"/>
      <w:r/>
      <w:bookmarkStart w:id="199" w:name="_Toc4459"/>
      <w:r/>
      <w:bookmarkStart w:id="200" w:name="_Toc25825"/>
      <w:r/>
      <w:bookmarkStart w:id="201" w:name="_Hlk37040497"/>
      <w:r>
        <w:rPr>
          <w:rFonts w:hint="eastAsia"/>
          <w:b/>
          <w:bCs/>
          <w:color w:val="000000"/>
          <w:sz w:val="24"/>
        </w:rPr>
        <w:t xml:space="preserve">个人信息</w:t>
      </w:r>
      <w:bookmarkEnd w:id="198"/>
      <w:r/>
      <w:bookmarkEnd w:id="199"/>
      <w:r/>
      <w:bookmarkEnd w:id="200"/>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员工可以在此处确认和修改个人信息以及提交部分流程。如果启用了审批，则修改个人信息后即可提交审批；否则修改个人信息后保存即可更新。</w:t>
      </w:r>
      <w:r>
        <w:rPr>
          <w:rFonts w:ascii="宋体" w:hAnsi="宋体"/>
          <w:color w:val="000000"/>
          <w:sz w:val="24"/>
        </w:rPr>
      </w:r>
      <w:r/>
    </w:p>
    <w:p>
      <w:pPr>
        <w:pStyle w:val="937"/>
        <w:rPr>
          <w:b/>
          <w:bCs/>
          <w:color w:val="000000"/>
          <w:sz w:val="24"/>
        </w:rPr>
      </w:pPr>
      <w:r/>
      <w:bookmarkEnd w:id="201"/>
      <w:r/>
      <w:bookmarkStart w:id="202" w:name="_Toc15186"/>
      <w:r/>
      <w:bookmarkStart w:id="203" w:name="_Toc35332674"/>
      <w:r>
        <w:rPr>
          <w:rFonts w:hint="eastAsia"/>
          <w:b/>
          <w:bCs/>
          <w:color w:val="000000"/>
          <w:sz w:val="24"/>
        </w:rPr>
        <w:t xml:space="preserve">员工信息</w:t>
      </w:r>
      <w:bookmarkEnd w:id="202"/>
      <w:r/>
      <w:bookmarkEnd w:id="203"/>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员工可以在此处确认和修改自己的个人信息，包括：基本信息、工作履历、学习培训、执业资格、绩效考核、奖惩记录、科研学术、家庭情况等。</w:t>
      </w:r>
      <w:r>
        <w:rPr>
          <w:rFonts w:ascii="宋体" w:hAnsi="宋体"/>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可以保存或提交审批进行个人信息的更新。</w:t>
      </w:r>
      <w:r>
        <w:rPr>
          <w:rFonts w:ascii="宋体" w:hAnsi="宋体"/>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可以确认和更新的面板、字段，均由人力资源管理系统对应的人员信息模板权限控制</w:t>
      </w:r>
      <w:r>
        <w:rPr>
          <w:rFonts w:ascii="宋体" w:hAnsi="宋体"/>
          <w:color w:val="000000"/>
          <w:sz w:val="24"/>
        </w:rPr>
      </w:r>
      <w:r/>
    </w:p>
    <w:p>
      <w:pPr>
        <w:pStyle w:val="937"/>
        <w:rPr>
          <w:b/>
          <w:bCs/>
          <w:color w:val="000000"/>
          <w:sz w:val="24"/>
        </w:rPr>
      </w:pPr>
      <w:r/>
      <w:bookmarkStart w:id="204" w:name="_Toc35332675"/>
      <w:r/>
      <w:bookmarkStart w:id="205" w:name="_Toc28496"/>
      <w:r>
        <w:rPr>
          <w:rFonts w:hint="eastAsia"/>
          <w:b/>
          <w:bCs/>
          <w:color w:val="000000"/>
          <w:sz w:val="24"/>
        </w:rPr>
        <w:t xml:space="preserve">未入职员工信息</w:t>
      </w:r>
      <w:bookmarkEnd w:id="204"/>
      <w:r/>
      <w:bookmarkEnd w:id="205"/>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通过自助申请入职的员工，以注册账号登录时，会进入此页面，进行员工个人信息的填写。确认信息填写完毕无误后，即可提交审批。</w:t>
      </w:r>
      <w:r>
        <w:rPr>
          <w:rFonts w:ascii="宋体" w:hAnsi="宋体"/>
          <w:color w:val="000000"/>
          <w:sz w:val="24"/>
        </w:rPr>
      </w:r>
      <w:r/>
    </w:p>
    <w:p>
      <w:pPr>
        <w:pStyle w:val="937"/>
        <w:rPr>
          <w:color w:val="000000"/>
          <w:sz w:val="24"/>
        </w:rPr>
      </w:pPr>
      <w:r/>
      <w:bookmarkStart w:id="206" w:name="_Toc35332676"/>
      <w:r/>
      <w:bookmarkStart w:id="207" w:name="_Toc5914"/>
      <w:r>
        <w:rPr>
          <w:rFonts w:hint="eastAsia"/>
          <w:color w:val="000000"/>
          <w:sz w:val="24"/>
        </w:rPr>
        <w:t xml:space="preserve">人事业务办理</w:t>
      </w:r>
      <w:bookmarkEnd w:id="206"/>
      <w:r/>
      <w:bookmarkEnd w:id="207"/>
      <w:r>
        <w:rPr>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w:t>
      </w:r>
      <w:r>
        <w:rPr>
          <w:rFonts w:hint="eastAsia" w:ascii="宋体" w:hAnsi="宋体"/>
          <w:color w:val="000000"/>
          <w:sz w:val="24"/>
        </w:rPr>
        <w:t xml:space="preserve">在</w:t>
      </w:r>
      <w:r>
        <w:rPr>
          <w:rFonts w:hint="eastAsia" w:ascii="宋体" w:hAnsi="宋体"/>
          <w:color w:val="000000"/>
          <w:sz w:val="24"/>
        </w:rPr>
        <w:t xml:space="preserve">此处进行人事业务的提交审批办理。这里可以提交的人事业务，是在人力资源管理系统——人事事件，是否APP提交审批中控制的。</w:t>
      </w:r>
      <w:r>
        <w:rPr>
          <w:rFonts w:ascii="宋体" w:hAnsi="宋体"/>
          <w:color w:val="000000"/>
          <w:sz w:val="24"/>
        </w:rPr>
      </w:r>
      <w:r/>
    </w:p>
    <w:p>
      <w:pPr>
        <w:pStyle w:val="937"/>
        <w:rPr>
          <w:b/>
          <w:bCs/>
          <w:color w:val="000000"/>
          <w:sz w:val="24"/>
        </w:rPr>
      </w:pPr>
      <w:r/>
      <w:bookmarkStart w:id="208" w:name="_Toc27960"/>
      <w:r/>
      <w:bookmarkStart w:id="209" w:name="_Toc35332680"/>
      <w:r/>
      <w:bookmarkStart w:id="210" w:name="_Toc25628"/>
      <w:r>
        <w:rPr>
          <w:rFonts w:hint="eastAsia"/>
          <w:b/>
          <w:bCs/>
          <w:color w:val="000000"/>
          <w:sz w:val="24"/>
        </w:rPr>
        <w:t xml:space="preserve">开证明</w:t>
      </w:r>
      <w:bookmarkEnd w:id="208"/>
      <w:r/>
      <w:bookmarkEnd w:id="209"/>
      <w:r/>
      <w:bookmarkEnd w:id="210"/>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员工本人可以在此页面进行证明开具的申请。每种证明的字段和模板实例以及是否需要审批，均通过人力资源管理系统——维护证明类型</w:t>
      </w:r>
      <w:r>
        <w:rPr>
          <w:rFonts w:hint="eastAsia" w:ascii="宋体" w:hAnsi="宋体"/>
          <w:color w:val="000000"/>
          <w:sz w:val="24"/>
        </w:rPr>
        <w:t xml:space="preserve">处理控制</w:t>
      </w:r>
      <w:r>
        <w:rPr>
          <w:rFonts w:hint="eastAsia" w:ascii="宋体" w:hAnsi="宋体"/>
          <w:color w:val="000000"/>
          <w:sz w:val="24"/>
        </w:rPr>
        <w:t xml:space="preserve">。</w:t>
      </w:r>
      <w:r>
        <w:rPr>
          <w:rFonts w:ascii="宋体" w:hAnsi="宋体"/>
          <w:color w:val="000000"/>
          <w:sz w:val="24"/>
        </w:rPr>
      </w:r>
      <w:r/>
    </w:p>
    <w:p>
      <w:pPr>
        <w:pStyle w:val="937"/>
        <w:rPr>
          <w:b/>
          <w:bCs/>
          <w:color w:val="000000"/>
          <w:sz w:val="24"/>
        </w:rPr>
      </w:pPr>
      <w:r/>
      <w:bookmarkStart w:id="211" w:name="_Toc35332682"/>
      <w:r/>
      <w:bookmarkStart w:id="212" w:name="_Toc18741"/>
      <w:r>
        <w:rPr>
          <w:rFonts w:hint="eastAsia"/>
          <w:b/>
          <w:bCs/>
          <w:color w:val="000000"/>
          <w:sz w:val="24"/>
        </w:rPr>
        <w:t xml:space="preserve">日常申请</w:t>
      </w:r>
      <w:bookmarkEnd w:id="211"/>
      <w:r/>
      <w:bookmarkEnd w:id="212"/>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员工可以在此处进行休假、销假、公出的单据详情查询和发起，表单会根据所选的类型不同动态变化。在所有数据都填写完毕并确认无误后，即可提交审批。</w:t>
      </w:r>
      <w:r>
        <w:rPr>
          <w:rFonts w:ascii="宋体" w:hAnsi="宋体"/>
          <w:color w:val="000000"/>
          <w:sz w:val="24"/>
        </w:rPr>
      </w:r>
      <w:r/>
    </w:p>
    <w:p>
      <w:pPr>
        <w:pStyle w:val="937"/>
        <w:rPr>
          <w:b/>
          <w:bCs/>
          <w:color w:val="000000"/>
          <w:sz w:val="24"/>
        </w:rPr>
      </w:pPr>
      <w:r/>
      <w:bookmarkStart w:id="213" w:name="_Toc8798"/>
      <w:r/>
      <w:bookmarkStart w:id="214" w:name="_Toc35332683"/>
      <w:r>
        <w:rPr>
          <w:rFonts w:hint="eastAsia"/>
          <w:b/>
          <w:bCs/>
          <w:color w:val="000000"/>
          <w:sz w:val="24"/>
        </w:rPr>
        <w:t xml:space="preserve">休假余额查询</w:t>
      </w:r>
      <w:bookmarkEnd w:id="213"/>
      <w:r/>
      <w:bookmarkEnd w:id="214"/>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员工可以在此处，以年、月、假期类型为维度，查询对应假期余额。只有在人力休假管理中，开启了余额控制的假期类型可以在此处进行查询。</w:t>
      </w:r>
      <w:r>
        <w:rPr>
          <w:rFonts w:ascii="宋体" w:hAnsi="宋体"/>
          <w:color w:val="000000"/>
          <w:sz w:val="24"/>
        </w:rPr>
      </w:r>
      <w:r/>
    </w:p>
    <w:p>
      <w:pPr>
        <w:pStyle w:val="937"/>
        <w:rPr>
          <w:color w:val="000000"/>
          <w:sz w:val="24"/>
        </w:rPr>
      </w:pPr>
      <w:r/>
      <w:bookmarkStart w:id="215" w:name="_Toc35332684"/>
      <w:r/>
      <w:bookmarkStart w:id="216" w:name="_Toc5697"/>
      <w:r>
        <w:rPr>
          <w:rFonts w:hint="eastAsia"/>
          <w:color w:val="000000"/>
          <w:sz w:val="24"/>
        </w:rPr>
        <w:t xml:space="preserve">考勤查询</w:t>
      </w:r>
      <w:bookmarkEnd w:id="215"/>
      <w:r/>
      <w:bookmarkEnd w:id="216"/>
      <w:r>
        <w:rPr>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进行考勤的查询，以日历的形式展示。同时，还可以加入休班意向，代表员工本人不希望在什么时间段内进行排班（注：考勤管理员可以查看到这些意向，但不代表他们一定就会在员工期望休息的时间不排班，即实际排班情况从功能上来说与休班意向无关）</w:t>
      </w:r>
      <w:r>
        <w:rPr>
          <w:rFonts w:ascii="宋体" w:hAnsi="宋体"/>
          <w:color w:val="000000"/>
          <w:sz w:val="24"/>
        </w:rPr>
      </w:r>
      <w:r/>
    </w:p>
    <w:p>
      <w:pPr>
        <w:pStyle w:val="937"/>
        <w:rPr>
          <w:b/>
          <w:bCs/>
          <w:color w:val="000000"/>
          <w:sz w:val="24"/>
        </w:rPr>
      </w:pPr>
      <w:r/>
      <w:bookmarkStart w:id="217" w:name="_Toc15500"/>
      <w:r/>
      <w:bookmarkStart w:id="218" w:name="_Toc35332686"/>
      <w:r>
        <w:rPr>
          <w:rFonts w:hint="eastAsia"/>
          <w:b/>
          <w:bCs/>
          <w:color w:val="000000"/>
          <w:sz w:val="24"/>
        </w:rPr>
        <w:t xml:space="preserve">薪酬查询</w:t>
      </w:r>
      <w:bookmarkEnd w:id="217"/>
      <w:r/>
      <w:bookmarkEnd w:id="218"/>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员工可以在此处查询以月为维度的薪酬发放情况。其中，员工本人可以查看到的薪酬项目，在人力资源管理系统——薪酬管理，对应的方案项目中，“本人可查看”复选框进行控制。</w:t>
      </w:r>
      <w:r>
        <w:rPr>
          <w:rFonts w:ascii="宋体" w:hAnsi="宋体"/>
          <w:color w:val="000000"/>
          <w:sz w:val="24"/>
        </w:rPr>
      </w:r>
      <w:r/>
    </w:p>
    <w:p>
      <w:pPr>
        <w:pStyle w:val="937"/>
        <w:rPr>
          <w:b/>
          <w:bCs/>
          <w:color w:val="000000"/>
          <w:sz w:val="24"/>
        </w:rPr>
      </w:pPr>
      <w:r/>
      <w:bookmarkStart w:id="219" w:name="_Toc13677"/>
      <w:r/>
      <w:bookmarkStart w:id="220" w:name="_Toc14303"/>
      <w:r/>
      <w:bookmarkStart w:id="221" w:name="_Toc39767396"/>
      <w:r/>
      <w:bookmarkStart w:id="222" w:name="_Toc35332690"/>
      <w:r>
        <w:rPr>
          <w:rFonts w:hint="eastAsia"/>
          <w:b/>
          <w:bCs/>
          <w:color w:val="000000"/>
          <w:sz w:val="24"/>
        </w:rPr>
        <w:t xml:space="preserve">科主任自助</w:t>
      </w:r>
      <w:bookmarkEnd w:id="219"/>
      <w:r/>
      <w:bookmarkEnd w:id="220"/>
      <w:r/>
      <w:bookmarkEnd w:id="221"/>
      <w:r/>
      <w:bookmarkEnd w:id="222"/>
      <w:r>
        <w:rPr>
          <w:b/>
          <w:bCs/>
          <w:color w:val="000000"/>
          <w:sz w:val="24"/>
        </w:rPr>
      </w:r>
      <w:r/>
    </w:p>
    <w:p>
      <w:pPr>
        <w:pStyle w:val="937"/>
        <w:ind w:firstLine="485"/>
        <w:spacing w:line="360" w:lineRule="auto"/>
        <w:rPr>
          <w:rFonts w:ascii="宋体" w:hAnsi="宋体"/>
          <w:color w:val="000000"/>
          <w:sz w:val="24"/>
        </w:rPr>
      </w:pPr>
      <w:r>
        <w:rPr>
          <w:rFonts w:hint="eastAsia" w:ascii="宋体" w:hAnsi="宋体"/>
          <w:color w:val="000000"/>
          <w:sz w:val="24"/>
        </w:rPr>
        <w:t xml:space="preserve">科主任（即部门负责人，可以在人力资源管理系统的部门管理中对部门负责人进行维护）可以使用的自助模块，如员工本人是部门负责人，可以查询到部门信息和部门下员工信息。如员工是多个部门的负责人则可以查询所有的对应信息。</w:t>
      </w:r>
      <w:r>
        <w:rPr>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.5.2.8系统集成</w:t>
      </w:r>
      <w:r/>
    </w:p>
    <w:p>
      <w:pPr>
        <w:pStyle w:val="1053"/>
        <w:ind w:left="-2" w:firstLine="362"/>
        <w:rPr>
          <w:color w:val="000000"/>
        </w:rPr>
      </w:pPr>
      <w:r>
        <w:rPr>
          <w:rFonts w:hint="eastAsia"/>
          <w:color w:val="000000"/>
        </w:rPr>
        <w:t xml:space="preserve">支持</w:t>
      </w:r>
      <w:r>
        <w:rPr>
          <w:color w:val="000000"/>
        </w:rPr>
        <w:t xml:space="preserve">科室及员工变动信息</w:t>
      </w:r>
      <w:r>
        <w:rPr>
          <w:rFonts w:hint="eastAsia"/>
          <w:color w:val="000000"/>
        </w:rPr>
        <w:t xml:space="preserve">等数据，以接口等形式发布，支持被</w:t>
      </w:r>
      <w:r>
        <w:rPr>
          <w:color w:val="000000"/>
        </w:rPr>
        <w:t xml:space="preserve">医院HIS、EMR、病案</w:t>
      </w:r>
      <w:r>
        <w:rPr>
          <w:rFonts w:hint="eastAsia"/>
          <w:color w:val="000000"/>
        </w:rPr>
        <w:t xml:space="preserve">、</w:t>
      </w:r>
      <w:r>
        <w:rPr>
          <w:color w:val="000000"/>
        </w:rPr>
        <w:t xml:space="preserve">财务等系统</w:t>
      </w:r>
      <w:r>
        <w:rPr>
          <w:rFonts w:hint="eastAsia"/>
          <w:color w:val="000000"/>
        </w:rPr>
        <w:t xml:space="preserve">获取</w:t>
      </w:r>
      <w:r>
        <w:rPr>
          <w:color w:val="000000"/>
        </w:rPr>
        <w:t xml:space="preserve">，</w:t>
      </w:r>
      <w:r>
        <w:rPr>
          <w:rFonts w:hint="eastAsia"/>
          <w:color w:val="000000"/>
        </w:rPr>
        <w:t xml:space="preserve">从而</w:t>
      </w:r>
      <w:r>
        <w:rPr>
          <w:color w:val="000000"/>
        </w:rPr>
        <w:t xml:space="preserve">确保</w:t>
      </w:r>
      <w:r>
        <w:rPr>
          <w:rFonts w:hint="eastAsia"/>
          <w:color w:val="000000"/>
        </w:rPr>
        <w:t xml:space="preserve">科室及员工信息的</w:t>
      </w:r>
      <w:r>
        <w:rPr>
          <w:color w:val="000000"/>
        </w:rPr>
        <w:t xml:space="preserve">口径一致</w:t>
      </w:r>
      <w:r>
        <w:rPr>
          <w:rFonts w:hint="eastAsia"/>
          <w:color w:val="000000"/>
        </w:rPr>
        <w:t xml:space="preserve">。</w:t>
      </w:r>
      <w:r>
        <w:rPr>
          <w:color w:val="000000"/>
        </w:rPr>
        <w:t xml:space="preserve">支持导出excel等常用格式报表，方便进行卫健委、统计局、人社局等人事数据上报工作</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.5.2.9</w:t>
      </w:r>
      <w:r>
        <w:rPr>
          <w:rFonts w:hint="eastAsia" w:hAnsi="宋体"/>
        </w:rPr>
        <w:t xml:space="preserve">职称评审管理</w:t>
      </w:r>
      <w:r>
        <w:rPr>
          <w:rFonts w:hAnsi="宋体"/>
        </w:rPr>
      </w:r>
      <w:r/>
    </w:p>
    <w:p>
      <w:pPr>
        <w:pStyle w:val="1053"/>
        <w:ind w:left="-2" w:firstLine="362"/>
        <w:rPr>
          <w:color w:val="000000"/>
        </w:rPr>
      </w:pPr>
      <w:r>
        <w:rPr>
          <w:rFonts w:hint="eastAsia"/>
          <w:color w:val="000000"/>
        </w:rPr>
        <w:t xml:space="preserve">能够支持员工在线填写职称评审申报表，其中的基本信息能够从人事模块进行提取，其它研发、论文等信息，能够让申报人手工填报。</w:t>
      </w:r>
      <w:r>
        <w:rPr>
          <w:color w:val="000000"/>
        </w:rPr>
      </w:r>
      <w:r/>
    </w:p>
    <w:p>
      <w:pPr>
        <w:pStyle w:val="1053"/>
        <w:ind w:left="-2" w:firstLine="362"/>
        <w:rPr>
          <w:color w:val="000000"/>
        </w:rPr>
      </w:pPr>
      <w:r>
        <w:rPr>
          <w:rFonts w:hint="eastAsia"/>
          <w:color w:val="000000"/>
        </w:rPr>
        <w:t xml:space="preserve">申报人提交的申报材料，能够按照管理权限进行在线的审核并对不符合要求的申报材料进行退回。</w:t>
      </w:r>
      <w:r>
        <w:rPr>
          <w:color w:val="000000"/>
        </w:rPr>
      </w:r>
      <w:r/>
    </w:p>
    <w:p>
      <w:pPr>
        <w:pStyle w:val="1053"/>
        <w:ind w:left="-2" w:firstLine="362"/>
        <w:rPr>
          <w:color w:val="000000"/>
        </w:rPr>
      </w:pPr>
      <w:r>
        <w:rPr>
          <w:rFonts w:hint="eastAsia"/>
          <w:color w:val="000000"/>
        </w:rPr>
        <w:t xml:space="preserve">支持专家、推荐人、基层评审小组、医院评审委员会按照权限和先后顺序在线进行审核、填写意见、评议、投票并对评审过程的评议信息、投票信息和结果进行归档保存。</w:t>
      </w:r>
      <w:r>
        <w:rPr>
          <w:color w:val="000000"/>
        </w:rPr>
      </w:r>
      <w:r/>
    </w:p>
    <w:p>
      <w:pPr>
        <w:pStyle w:val="1053"/>
        <w:ind w:left="-2" w:firstLine="362"/>
        <w:rPr>
          <w:color w:val="000000"/>
        </w:rPr>
      </w:pPr>
      <w:r>
        <w:rPr>
          <w:rFonts w:hint="eastAsia"/>
          <w:color w:val="000000"/>
        </w:rPr>
        <w:t xml:space="preserve">根据评审条件，从每一个参评人员所填信息中提取指定的关键信息和重要评审项内容，每位参评人员形成一份评议要点汇总表供专家评审使用。</w:t>
      </w:r>
      <w:r>
        <w:rPr>
          <w:color w:val="000000"/>
        </w:rPr>
      </w:r>
      <w:r/>
    </w:p>
    <w:p>
      <w:pPr>
        <w:pStyle w:val="1053"/>
        <w:ind w:left="-2" w:firstLine="362"/>
        <w:rPr>
          <w:color w:val="000000"/>
        </w:rPr>
      </w:pPr>
      <w:r>
        <w:rPr>
          <w:rFonts w:hint="eastAsia"/>
          <w:color w:val="000000"/>
        </w:rPr>
        <w:t xml:space="preserve">能够按照既定格式在线生成参评人员评审表、登记表和参评人员汇总表。</w:t>
      </w:r>
      <w:r>
        <w:rPr>
          <w:color w:val="000000"/>
        </w:rPr>
      </w:r>
      <w:r/>
    </w:p>
    <w:p>
      <w:pPr>
        <w:pStyle w:val="1053"/>
        <w:ind w:left="-2" w:firstLine="362"/>
        <w:rPr>
          <w:color w:val="000000"/>
        </w:rPr>
      </w:pPr>
      <w:r>
        <w:rPr>
          <w:rFonts w:hint="eastAsia"/>
          <w:color w:val="000000"/>
        </w:rPr>
        <w:t xml:space="preserve">能够对初评、评委环节进行有限申报次数的记录、对连续两年没有通过初评、评委审核的人员能够进行预警提醒。</w:t>
      </w:r>
      <w:r>
        <w:rPr>
          <w:color w:val="000000"/>
        </w:rPr>
      </w:r>
      <w:r/>
    </w:p>
    <w:p>
      <w:pPr>
        <w:pStyle w:val="1053"/>
        <w:ind w:left="-2" w:firstLine="362"/>
        <w:rPr>
          <w:color w:val="000000"/>
        </w:rPr>
      </w:pPr>
      <w:r>
        <w:rPr>
          <w:rFonts w:hint="eastAsia"/>
          <w:color w:val="000000"/>
        </w:rPr>
        <w:t xml:space="preserve">能够支持第一轮填写的申报材料信息进行归档、第二轮或明年再次申报时以前填写过的内容，还能够正常提取、不需要重复录入。</w:t>
      </w:r>
      <w:r>
        <w:rPr>
          <w:color w:val="000000"/>
        </w:rPr>
      </w:r>
      <w:r/>
    </w:p>
    <w:p>
      <w:pPr>
        <w:pStyle w:val="1053"/>
        <w:ind w:left="-2" w:firstLine="362"/>
        <w:rPr>
          <w:color w:val="000000"/>
        </w:rPr>
      </w:pPr>
      <w:r>
        <w:rPr>
          <w:rFonts w:hint="eastAsia"/>
          <w:color w:val="000000"/>
        </w:rPr>
        <w:t xml:space="preserve">能够对申报人员在填写申报材料时进行格式、内容及不要提交涉密材料等相关提示内容。</w:t>
      </w:r>
      <w:r>
        <w:rPr>
          <w:color w:val="000000"/>
        </w:rPr>
      </w:r>
      <w:r/>
    </w:p>
    <w:p>
      <w:pPr>
        <w:pStyle w:val="1053"/>
        <w:ind w:left="-2" w:firstLine="362"/>
        <w:rPr>
          <w:color w:val="000000"/>
        </w:rPr>
      </w:pPr>
      <w:r>
        <w:rPr>
          <w:rFonts w:hint="eastAsia"/>
          <w:color w:val="000000"/>
        </w:rPr>
        <w:t xml:space="preserve">评审最终结果可以在评审系统发布给参评人员及相关人员，评审结果可以同步至职称管理子集，职称扫描件可以批量导入。</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.5.2.10</w:t>
      </w:r>
      <w:r>
        <w:rPr>
          <w:rFonts w:hint="eastAsia" w:hAnsi="宋体"/>
        </w:rPr>
        <w:t xml:space="preserve">招聘管理</w:t>
      </w:r>
      <w:r>
        <w:rPr>
          <w:rFonts w:hAnsi="宋体"/>
        </w:rPr>
      </w:r>
      <w:r/>
    </w:p>
    <w:p>
      <w:pPr>
        <w:pStyle w:val="1053"/>
        <w:ind w:left="-2" w:firstLine="362"/>
        <w:rPr>
          <w:color w:val="000000"/>
        </w:rPr>
      </w:pPr>
      <w:r>
        <w:rPr>
          <w:rFonts w:hint="eastAsia"/>
          <w:color w:val="000000"/>
        </w:rPr>
        <w:t xml:space="preserve">支持医院内、外部招聘活动，包括招聘需求管理、条件筛选，招聘过程管理、招聘记录。</w:t>
      </w:r>
      <w:r>
        <w:rPr>
          <w:color w:val="000000"/>
        </w:rPr>
      </w:r>
      <w:r/>
    </w:p>
    <w:p>
      <w:pPr>
        <w:pStyle w:val="1053"/>
        <w:ind w:left="-2" w:firstLine="362"/>
        <w:rPr>
          <w:color w:val="000000"/>
        </w:rPr>
      </w:pPr>
      <w:r>
        <w:rPr>
          <w:rFonts w:hint="eastAsia"/>
          <w:color w:val="000000"/>
        </w:rPr>
        <w:t xml:space="preserve">应聘者可以通过扫描二维码</w:t>
      </w:r>
      <w:r>
        <w:rPr>
          <w:rFonts w:hint="eastAsia"/>
          <w:color w:val="000000"/>
        </w:rPr>
        <w:t xml:space="preserve">或在线投递简历的形式完成简历的投递，可自动校验文件格式，可线上缴费，查看招聘进度，可生成报名表。</w:t>
      </w:r>
      <w:r>
        <w:rPr>
          <w:color w:val="000000"/>
        </w:rPr>
      </w:r>
      <w:r/>
    </w:p>
    <w:p>
      <w:pPr>
        <w:pStyle w:val="1053"/>
        <w:ind w:left="-2" w:firstLine="362"/>
        <w:rPr>
          <w:color w:val="000000"/>
        </w:rPr>
      </w:pPr>
      <w:r>
        <w:rPr>
          <w:rFonts w:hint="eastAsia"/>
          <w:color w:val="000000"/>
        </w:rPr>
        <w:t xml:space="preserve">招聘专员可以在线预览报名文件，通过流程可筛选出适合的应聘者，通过笔试、面试等环节成为医院的正式员工，从而形成一套完整的招聘体系。</w:t>
      </w:r>
      <w:r>
        <w:rPr>
          <w:color w:val="000000"/>
        </w:rPr>
      </w:r>
      <w:r/>
    </w:p>
    <w:p>
      <w:pPr>
        <w:pStyle w:val="1053"/>
        <w:ind w:left="-2" w:firstLine="362"/>
        <w:rPr>
          <w:color w:val="000000"/>
        </w:rPr>
      </w:pPr>
      <w:r>
        <w:rPr>
          <w:rFonts w:hint="eastAsia"/>
          <w:color w:val="000000"/>
        </w:rPr>
        <w:t xml:space="preserve">系统可以记录每一名应聘者的详细信息，以人力资源管理信息系统数据库为基础，按照事先设定的条件自动进行基本条件的筛选，输出符合条件应聘人员名单。</w:t>
      </w:r>
      <w:r>
        <w:rPr>
          <w:color w:val="000000"/>
        </w:rPr>
      </w:r>
      <w:r/>
    </w:p>
    <w:p>
      <w:pPr>
        <w:pStyle w:val="1053"/>
        <w:ind w:left="-2" w:firstLine="362"/>
        <w:rPr>
          <w:color w:val="000000"/>
        </w:rPr>
      </w:pPr>
      <w:r>
        <w:rPr>
          <w:rFonts w:hint="eastAsia"/>
          <w:color w:val="000000"/>
        </w:rPr>
        <w:t xml:space="preserve">可利用系统发送邮件通知应聘人员，被录用人员信息自动流转至员工库，也可将未录入人员转入人才库，</w:t>
      </w:r>
      <w:r>
        <w:rPr>
          <w:rFonts w:hint="eastAsia"/>
          <w:color w:val="000000"/>
        </w:rPr>
        <w:t xml:space="preserve">作为</w:t>
      </w:r>
      <w:r>
        <w:rPr>
          <w:rFonts w:hint="eastAsia"/>
          <w:color w:val="000000"/>
        </w:rPr>
        <w:t xml:space="preserve">企业后备人才信息存储。通过对各项招聘过程数据的积累，对招聘需求、应聘资源、招聘渠道、招聘方式等进行效果分析。</w:t>
      </w:r>
      <w:r>
        <w:rPr>
          <w:color w:val="000000"/>
        </w:rPr>
      </w:r>
      <w:r/>
    </w:p>
    <w:p>
      <w:pPr>
        <w:pStyle w:val="1053"/>
        <w:ind w:left="-2" w:firstLine="362"/>
        <w:rPr>
          <w:color w:val="000000"/>
        </w:rPr>
      </w:pPr>
      <w:r>
        <w:rPr>
          <w:rFonts w:hint="eastAsia"/>
          <w:color w:val="000000"/>
        </w:rPr>
        <w:t xml:space="preserve">可以与医院的外网进行接口和数据筛选；</w:t>
      </w:r>
      <w:r>
        <w:rPr>
          <w:rFonts w:hint="eastAsia"/>
          <w:color w:val="000000"/>
        </w:rPr>
        <w:t xml:space="preserve">应聘者可以通过扫描二维码</w:t>
      </w:r>
      <w:r>
        <w:rPr>
          <w:rFonts w:hint="eastAsia"/>
          <w:color w:val="000000"/>
        </w:rPr>
        <w:t xml:space="preserve">或将简历发送至邮箱的形式完成简历的投递，招聘专员通过流程可筛选出适合的应聘者，通过面试成为医院的正式员工，从而形成一套完整的招聘体系。</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.5.2.11</w:t>
      </w:r>
      <w:r>
        <w:rPr>
          <w:rFonts w:hint="eastAsia" w:hAnsi="宋体"/>
        </w:rPr>
        <w:t xml:space="preserve">综合查询及报表分析</w:t>
      </w:r>
      <w:r>
        <w:rPr>
          <w:rFonts w:hAnsi="宋体"/>
        </w:rPr>
      </w:r>
      <w:r/>
    </w:p>
    <w:p>
      <w:pPr>
        <w:pStyle w:val="1053"/>
        <w:ind w:left="-2" w:firstLine="362"/>
        <w:rPr>
          <w:color w:val="000000"/>
        </w:rPr>
      </w:pPr>
      <w:r>
        <w:rPr>
          <w:rFonts w:hint="eastAsia"/>
          <w:color w:val="000000"/>
        </w:rPr>
        <w:t xml:space="preserve">支持随时基于大数据内的任一数字信息，数据任意组装，形成拖拉式数据，使数据随时可查，不需要任何IT 技术及制作，通过拖拉式就可以形成任何的数据表及分析，并同时送给相关人员查阅。</w:t>
      </w:r>
      <w:r>
        <w:rPr>
          <w:color w:val="000000"/>
        </w:rPr>
      </w:r>
      <w:r/>
    </w:p>
    <w:p>
      <w:pPr>
        <w:pStyle w:val="1053"/>
        <w:ind w:left="-2" w:firstLine="362"/>
        <w:rPr>
          <w:color w:val="000000"/>
        </w:rPr>
      </w:pPr>
      <w:r>
        <w:rPr>
          <w:rFonts w:hint="eastAsia"/>
          <w:color w:val="000000"/>
        </w:rPr>
        <w:t xml:space="preserve">系统设计可实现自定义各种查询和报表，所有报表的数据范围和查询条件可自由控制；可灵活定义报表显示格式，生成多种分析图表，并且提供报表自动校验功能。</w:t>
      </w:r>
      <w:r>
        <w:rPr>
          <w:color w:val="000000"/>
        </w:rPr>
      </w:r>
      <w:r/>
    </w:p>
    <w:p>
      <w:pPr>
        <w:pStyle w:val="1053"/>
        <w:ind w:left="-2" w:firstLine="362"/>
        <w:rPr>
          <w:color w:val="000000"/>
        </w:rPr>
      </w:pPr>
      <w:r>
        <w:rPr>
          <w:rFonts w:hint="eastAsia"/>
          <w:color w:val="000000"/>
        </w:rPr>
        <w:t xml:space="preserve">系统通过友好的操作界面支持人力资源常见的统计表和分析表的定义与制作，并支持在线浏览、导出和打印功能，支持工号牌的自动生成，能够将这些内容通过配置快速发布到自助服务中。</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.5.2.12</w:t>
      </w:r>
      <w:r>
        <w:rPr>
          <w:rFonts w:hint="eastAsia" w:hAnsi="宋体"/>
        </w:rPr>
        <w:t xml:space="preserve">薪酬管理</w:t>
      </w:r>
      <w:r>
        <w:rPr>
          <w:rFonts w:hAnsi="宋体"/>
        </w:rPr>
      </w:r>
      <w:r/>
    </w:p>
    <w:p>
      <w:pPr>
        <w:pStyle w:val="1053"/>
        <w:ind w:left="-2" w:firstLine="362"/>
        <w:rPr>
          <w:color w:val="000000"/>
        </w:rPr>
      </w:pPr>
      <w:r>
        <w:rPr>
          <w:rFonts w:hint="eastAsia"/>
          <w:color w:val="000000"/>
        </w:rPr>
        <w:t xml:space="preserve">实现设置医院薪资体系，包括薪资类别、薪资项目、薪资期间、薪资规则表、税率表、代发银行等；可灵活设置不同类型员工的各类薪资项目及其计算方式。</w:t>
      </w:r>
      <w:r>
        <w:rPr>
          <w:color w:val="000000"/>
        </w:rPr>
      </w:r>
      <w:r/>
    </w:p>
    <w:p>
      <w:pPr>
        <w:pStyle w:val="1053"/>
        <w:ind w:left="-2" w:firstLine="362"/>
        <w:rPr>
          <w:color w:val="000000"/>
        </w:rPr>
      </w:pPr>
      <w:r>
        <w:rPr>
          <w:rFonts w:hint="eastAsia"/>
          <w:color w:val="000000"/>
        </w:rPr>
        <w:t xml:space="preserve">可通过引入设置调用系统内的人事、绩效、保险等信息参与薪资项目设定、计算。</w:t>
      </w:r>
      <w:r>
        <w:rPr>
          <w:color w:val="000000"/>
        </w:rPr>
      </w:r>
      <w:r/>
    </w:p>
    <w:p>
      <w:pPr>
        <w:pStyle w:val="1053"/>
        <w:ind w:left="-2" w:firstLine="362"/>
        <w:rPr>
          <w:color w:val="000000"/>
        </w:rPr>
      </w:pPr>
      <w:r>
        <w:rPr>
          <w:rFonts w:hint="eastAsia"/>
          <w:color w:val="000000"/>
        </w:rPr>
        <w:t xml:space="preserve">能够根据实际情况灵活定义各种薪酬项目，可以是工资项，也可以是非工资项，可以是计算项，也可以是判断项，包括工资、奖金的构成项目、个人所得税的计税公式等。</w:t>
      </w:r>
      <w:r>
        <w:rPr>
          <w:color w:val="000000"/>
        </w:rPr>
      </w:r>
      <w:r/>
    </w:p>
    <w:p>
      <w:pPr>
        <w:pStyle w:val="1053"/>
        <w:ind w:left="-2" w:firstLine="362"/>
        <w:rPr>
          <w:color w:val="000000"/>
        </w:rPr>
      </w:pPr>
      <w:r>
        <w:rPr>
          <w:rFonts w:hint="eastAsia"/>
          <w:color w:val="000000"/>
        </w:rPr>
        <w:t xml:space="preserve">自定义灵活定义工资套，薪资人员能够灵活定义、调整工资套中的公式。可以设定复杂薪资公式的设定等。</w:t>
      </w:r>
      <w:r>
        <w:rPr>
          <w:color w:val="000000"/>
        </w:rPr>
      </w:r>
      <w:r/>
    </w:p>
    <w:p>
      <w:pPr>
        <w:pStyle w:val="1053"/>
        <w:ind w:left="-2" w:firstLine="362"/>
        <w:rPr>
          <w:color w:val="000000"/>
        </w:rPr>
      </w:pPr>
      <w:r>
        <w:rPr>
          <w:rFonts w:hint="eastAsia"/>
          <w:color w:val="000000"/>
        </w:rPr>
        <w:t xml:space="preserve">支持各种薪酬计算</w:t>
      </w:r>
      <w:r>
        <w:rPr>
          <w:rFonts w:hint="eastAsia"/>
          <w:color w:val="000000"/>
        </w:rPr>
        <w:t xml:space="preserve">数据</w:t>
      </w:r>
      <w:r>
        <w:rPr>
          <w:rFonts w:hint="eastAsia"/>
          <w:color w:val="000000"/>
        </w:rPr>
        <w:t xml:space="preserve">引用、批量输入和导入导出功能管理，使数据管理更加方便。可以根据定薪、调薪、奖惩情况，并进行统计分析。</w:t>
      </w:r>
      <w:r>
        <w:rPr>
          <w:color w:val="000000"/>
        </w:rPr>
      </w:r>
      <w:r/>
    </w:p>
    <w:p>
      <w:pPr>
        <w:pStyle w:val="1053"/>
        <w:ind w:left="-2" w:firstLine="362"/>
        <w:rPr>
          <w:color w:val="000000"/>
        </w:rPr>
      </w:pPr>
      <w:r>
        <w:rPr>
          <w:rFonts w:hint="eastAsia"/>
          <w:color w:val="000000"/>
        </w:rPr>
        <w:t xml:space="preserve">支持自定义条件统计职工薪酬，可用于个税申报，社保、公积金等基数的计算。</w:t>
      </w:r>
      <w:r>
        <w:rPr>
          <w:color w:val="000000"/>
        </w:rPr>
      </w:r>
      <w:r/>
    </w:p>
    <w:p>
      <w:pPr>
        <w:pStyle w:val="1053"/>
        <w:ind w:left="-2" w:firstLine="362"/>
        <w:rPr>
          <w:color w:val="000000"/>
        </w:rPr>
      </w:pPr>
      <w:r>
        <w:rPr>
          <w:rFonts w:hint="eastAsia"/>
          <w:color w:val="000000"/>
        </w:rPr>
        <w:t xml:space="preserve">员工可以在此处查询以月为维度的薪酬发放情况。其中，员工本人可以查看到的薪酬项目。</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w:t>
      </w:r>
      <w:r>
        <w:rPr>
          <w:rFonts w:hint="eastAsia" w:hAnsi="宋体"/>
        </w:rPr>
        <w:t xml:space="preserve">3培训管理</w:t>
      </w:r>
      <w:r>
        <w:rPr>
          <w:rFonts w:hAnsi="宋体"/>
        </w:rPr>
      </w:r>
      <w:r/>
    </w:p>
    <w:p>
      <w:pPr>
        <w:pStyle w:val="1053"/>
        <w:ind w:left="-2" w:firstLine="362"/>
        <w:rPr>
          <w:color w:val="000000"/>
        </w:rPr>
      </w:pPr>
      <w:r>
        <w:rPr>
          <w:color w:val="000000"/>
        </w:rPr>
        <w:t xml:space="preserve">支持培训相关管理，包括培训记录、培训计划、培训考核、培训统计等。支持不同岗位设置不同的培训课程和培训计划；支持培训考勤、培训效果考核等。</w:t>
      </w:r>
      <w:r/>
    </w:p>
    <w:p>
      <w:pPr>
        <w:pStyle w:val="1053"/>
        <w:ind w:left="-2" w:firstLine="362"/>
        <w:rPr>
          <w:color w:val="000000"/>
        </w:rPr>
      </w:pPr>
      <w:r>
        <w:rPr>
          <w:rFonts w:hint="eastAsia"/>
          <w:color w:val="000000"/>
        </w:rPr>
        <w:t xml:space="preserve">实现构建医院培训体系，培训项目、培训活动和培训课程实现多种类别和分类方式，可构建多级培训类别；</w:t>
      </w:r>
      <w:r>
        <w:rPr>
          <w:color w:val="000000"/>
        </w:rPr>
      </w:r>
      <w:r/>
    </w:p>
    <w:p>
      <w:pPr>
        <w:pStyle w:val="1053"/>
        <w:ind w:left="-2" w:firstLine="362"/>
        <w:rPr>
          <w:color w:val="000000"/>
        </w:rPr>
      </w:pPr>
      <w:r>
        <w:rPr>
          <w:rFonts w:hint="eastAsia"/>
          <w:color w:val="000000"/>
        </w:rPr>
        <w:t xml:space="preserve">培训规划和培训活动中实现跨部门选择参训人员；实现对参训人员每门课程的成绩</w:t>
      </w:r>
      <w:r>
        <w:rPr>
          <w:color w:val="000000"/>
        </w:rPr>
        <w:t xml:space="preserve">/</w:t>
      </w:r>
      <w:r>
        <w:rPr>
          <w:rFonts w:hint="eastAsia"/>
          <w:color w:val="000000"/>
        </w:rPr>
        <w:t xml:space="preserve">学时的管理；</w:t>
      </w:r>
      <w:r>
        <w:rPr>
          <w:color w:val="000000"/>
        </w:rPr>
      </w:r>
      <w:r/>
    </w:p>
    <w:p>
      <w:pPr>
        <w:pStyle w:val="1053"/>
        <w:ind w:left="-2" w:firstLine="362"/>
        <w:rPr>
          <w:color w:val="000000"/>
        </w:rPr>
      </w:pPr>
      <w:r>
        <w:rPr>
          <w:rFonts w:hint="eastAsia"/>
          <w:color w:val="000000"/>
        </w:rPr>
        <w:t xml:space="preserve">进行培训需求的管理和评估，可依照季度、年度采集培训需求，并进行培训需求的对比分析；提供部门或个人培训需求的申请管理；</w:t>
      </w:r>
      <w:r>
        <w:rPr>
          <w:color w:val="000000"/>
        </w:rPr>
      </w:r>
      <w:r/>
    </w:p>
    <w:p>
      <w:pPr>
        <w:pStyle w:val="1053"/>
        <w:ind w:left="-2" w:firstLine="362"/>
        <w:rPr>
          <w:color w:val="000000"/>
        </w:rPr>
      </w:pPr>
      <w:r>
        <w:rPr>
          <w:rFonts w:hint="eastAsia"/>
          <w:color w:val="000000"/>
        </w:rPr>
        <w:t xml:space="preserve">根据培训需求制定培训规划与相应的培训实施计划，编制医院和各部门培训计划，涵盖培训目标、费用预算、培训方式、参加人员、时间等多项内容；可对计划进行查询、统计；实现对培训项目、培训活动的申请和审批、评估培训结果等进行全过程监控；</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.5.2.1</w:t>
      </w:r>
      <w:r>
        <w:rPr>
          <w:rFonts w:hint="eastAsia" w:hAnsi="宋体"/>
        </w:rPr>
        <w:t xml:space="preserve">4人才库管理</w:t>
      </w:r>
      <w:r>
        <w:rPr>
          <w:rFonts w:hAnsi="宋体"/>
        </w:rPr>
      </w:r>
      <w:r/>
    </w:p>
    <w:p>
      <w:pPr>
        <w:pStyle w:val="1053"/>
        <w:ind w:left="-2" w:firstLine="362"/>
        <w:rPr>
          <w:color w:val="000000"/>
        </w:rPr>
      </w:pPr>
      <w:r>
        <w:rPr>
          <w:color w:val="000000"/>
        </w:rPr>
        <w:t xml:space="preserve">支持人才选拔培养。支持提供医院后备人才与后备干部管理；支持建设医院梯队人才库等。</w:t>
      </w:r>
      <w:r/>
    </w:p>
    <w:p>
      <w:pPr>
        <w:pStyle w:val="1053"/>
        <w:ind w:left="-2" w:firstLine="362"/>
        <w:rPr>
          <w:color w:val="000000"/>
        </w:rPr>
      </w:pPr>
      <w:r>
        <w:rPr>
          <w:rFonts w:hint="eastAsia"/>
          <w:color w:val="000000"/>
        </w:rPr>
        <w:t xml:space="preserve">人才库模块可以协助用户管理与医院后备人才与后备干部的相关业务，通过对组织人才的识别结合医院对人才需求的规划，建设成医院梯队人才库；在后备计划当中识别关键职位，并管理相关职位的后备干部；在后备人才培养业务当中管理后备人才的加速发展计划以推动后备人才参与培训与相关的工作、与后备人才互动以跟踪其发展计划，后备干部的信息将整合进入后备干部概要。</w:t>
      </w:r>
      <w:r>
        <w:rPr>
          <w:color w:val="000000"/>
        </w:rPr>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223" w:name="_Toc150521651"/>
      <w:r>
        <w:rPr>
          <w:rFonts w:hint="eastAsia" w:ascii="宋体" w:hAnsi="宋体"/>
          <w:color w:val="000000"/>
          <w:sz w:val="24"/>
        </w:rPr>
        <w:t xml:space="preserve">固定资产管理系统</w:t>
      </w:r>
      <w:bookmarkEnd w:id="223"/>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.6.1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rFonts w:hint="eastAsia"/>
          <w:color w:val="000000"/>
        </w:rPr>
        <w:t xml:space="preserve">要求</w:t>
      </w:r>
      <w:r>
        <w:rPr>
          <w:color w:val="000000"/>
        </w:rPr>
        <w:t xml:space="preserve">支持对固定资产的全流程管理</w:t>
      </w:r>
      <w:r>
        <w:rPr>
          <w:rFonts w:hint="eastAsia"/>
          <w:color w:val="000000"/>
        </w:rPr>
        <w:t xml:space="preserve">。包括</w:t>
      </w:r>
      <w:r>
        <w:rPr>
          <w:color w:val="000000"/>
        </w:rPr>
        <w:t xml:space="preserve">通过建立资产档案，对资产购置计划、合同、安装验收、入库、变动、付款、使用、提取折旧、处置进行全程的记录和管理。</w:t>
      </w:r>
      <w:r>
        <w:rPr>
          <w:rFonts w:hint="eastAsia"/>
          <w:color w:val="000000"/>
        </w:rPr>
        <w:t xml:space="preserve">系统能够</w:t>
      </w:r>
      <w:r>
        <w:rPr>
          <w:color w:val="000000"/>
        </w:rPr>
        <w:t xml:space="preserve">对资产增加、减少、盘盈、盘亏进行核算，期末产生报表。</w:t>
      </w:r>
      <w:r>
        <w:rPr>
          <w:rFonts w:hint="eastAsia"/>
          <w:color w:val="000000"/>
        </w:rPr>
        <w:t xml:space="preserve">系统同时</w:t>
      </w:r>
      <w:r>
        <w:rPr>
          <w:color w:val="000000"/>
        </w:rPr>
        <w:t xml:space="preserve">支持与预算管理、会计核算、合同管理、成本管理等相关业务系统</w:t>
      </w:r>
      <w:r>
        <w:rPr>
          <w:rFonts w:hint="eastAsia"/>
          <w:color w:val="000000"/>
        </w:rPr>
        <w:t xml:space="preserve">的深度融合</w:t>
      </w:r>
      <w:r>
        <w:rPr>
          <w:color w:val="000000"/>
        </w:rPr>
        <w:t xml:space="preserve">与协作。例如，通过</w:t>
      </w:r>
      <w:r>
        <w:rPr>
          <w:rFonts w:hint="eastAsia"/>
          <w:color w:val="000000"/>
        </w:rPr>
        <w:t xml:space="preserve">与</w:t>
      </w:r>
      <w:r>
        <w:rPr>
          <w:color w:val="000000"/>
        </w:rPr>
        <w:t xml:space="preserve">预算</w:t>
      </w:r>
      <w:r>
        <w:rPr>
          <w:rFonts w:hint="eastAsia"/>
          <w:color w:val="000000"/>
        </w:rPr>
        <w:t xml:space="preserve">系统的</w:t>
      </w:r>
      <w:r>
        <w:rPr>
          <w:color w:val="000000"/>
        </w:rPr>
        <w:t xml:space="preserve">关联，可以实现资产采购的严格预算管控；通过与财务系统的联用，可以实现</w:t>
      </w:r>
      <w:r>
        <w:rPr>
          <w:rFonts w:hint="eastAsia"/>
          <w:color w:val="000000"/>
        </w:rPr>
        <w:t xml:space="preserve">将</w:t>
      </w:r>
      <w:r>
        <w:rPr>
          <w:color w:val="000000"/>
        </w:rPr>
        <w:t xml:space="preserve">资产管理</w:t>
      </w:r>
      <w:r>
        <w:rPr>
          <w:rFonts w:hint="eastAsia"/>
          <w:color w:val="000000"/>
        </w:rPr>
        <w:t xml:space="preserve">相关业务推送给财务会计系统，形成自动凭证，用于财务</w:t>
      </w:r>
      <w:r>
        <w:rPr>
          <w:color w:val="000000"/>
        </w:rPr>
        <w:t xml:space="preserve">对账</w:t>
      </w:r>
      <w:r>
        <w:rPr>
          <w:rFonts w:hint="eastAsia"/>
          <w:color w:val="000000"/>
        </w:rPr>
        <w:t xml:space="preserve">等。</w:t>
      </w:r>
      <w:r>
        <w:rPr>
          <w:color w:val="000000"/>
        </w:rPr>
      </w:r>
      <w:r/>
    </w:p>
    <w:p>
      <w:pPr>
        <w:pStyle w:val="1053"/>
        <w:ind w:firstLine="480"/>
        <w:rPr>
          <w:color w:val="000000"/>
        </w:rPr>
      </w:pPr>
      <w:r>
        <w:rPr>
          <w:color w:val="000000"/>
        </w:rPr>
        <w:t xml:space="preserve">通过资产管理系统确保医院固定资产、无形资产管理流程规范、内控有力、家底清楚、账实相符</w:t>
      </w:r>
      <w:r>
        <w:rPr>
          <w:rFonts w:hint="eastAsia"/>
          <w:color w:val="000000"/>
        </w:rPr>
        <w:t xml:space="preserve">。</w:t>
      </w:r>
      <w:r>
        <w:rPr>
          <w:color w:val="000000"/>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.6.2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.6.2.1</w:t>
      </w:r>
      <w:r>
        <w:rPr>
          <w:rFonts w:hint="eastAsia" w:hAnsi="宋体"/>
        </w:rPr>
        <w:t xml:space="preserve">资产采购管理</w:t>
      </w:r>
      <w:r>
        <w:rPr>
          <w:rFonts w:hAnsi="宋体"/>
        </w:rPr>
      </w:r>
      <w:r/>
    </w:p>
    <w:p>
      <w:pPr>
        <w:pStyle w:val="1053"/>
        <w:ind w:left="-2" w:firstLine="362"/>
        <w:rPr>
          <w:color w:val="000000"/>
        </w:rPr>
      </w:pPr>
      <w:r>
        <w:rPr>
          <w:color w:val="000000"/>
        </w:rPr>
        <w:t xml:space="preserve">支持资产购置申请、审批与查询功能</w:t>
      </w:r>
      <w:r>
        <w:rPr>
          <w:rFonts w:hint="eastAsia"/>
          <w:color w:val="000000"/>
        </w:rPr>
        <w:t xml:space="preserve">。</w:t>
      </w:r>
      <w:r>
        <w:rPr>
          <w:color w:val="000000"/>
        </w:rPr>
        <w:t xml:space="preserve">提供</w:t>
      </w:r>
      <w:r>
        <w:rPr>
          <w:rFonts w:hint="eastAsia"/>
          <w:color w:val="000000"/>
        </w:rPr>
        <w:t xml:space="preserve">资产采购</w:t>
      </w:r>
      <w:r>
        <w:rPr>
          <w:color w:val="000000"/>
        </w:rPr>
        <w:t xml:space="preserve">订单编制、录入、修改、删除、审核、打印、查询与分析功能</w:t>
      </w:r>
      <w:r>
        <w:rPr>
          <w:rFonts w:hint="eastAsia"/>
          <w:color w:val="000000"/>
        </w:rPr>
        <w:t xml:space="preserve">；</w:t>
      </w:r>
      <w:r>
        <w:rPr>
          <w:color w:val="000000"/>
        </w:rPr>
        <w:t xml:space="preserve">实现与合同管理、预算管理、会计核算、财务付款环节的紧密关联</w:t>
      </w:r>
      <w:r>
        <w:rPr>
          <w:rFonts w:hint="eastAsia"/>
          <w:color w:val="000000"/>
        </w:rPr>
        <w:t xml:space="preserve">。</w:t>
      </w:r>
      <w:r>
        <w:rPr>
          <w:color w:val="000000"/>
        </w:rPr>
      </w:r>
      <w:r/>
    </w:p>
    <w:p>
      <w:pPr>
        <w:pStyle w:val="1053"/>
        <w:ind w:firstLine="0"/>
        <w:rPr>
          <w:color w:val="000000"/>
        </w:rPr>
      </w:pPr>
      <w:r>
        <w:rPr>
          <w:rFonts w:hint="eastAsia"/>
          <w:color w:val="000000"/>
        </w:rPr>
        <w:t xml:space="preserve">支持资产采购前的调研、论证、申报等前期资料的上传归档、查看。</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.6.2.2</w:t>
      </w:r>
      <w:r>
        <w:rPr>
          <w:rFonts w:hint="eastAsia" w:hAnsi="宋体"/>
        </w:rPr>
        <w:t xml:space="preserve">卡片管理</w:t>
      </w:r>
      <w:r>
        <w:rPr>
          <w:rFonts w:hAnsi="宋体"/>
        </w:rPr>
      </w:r>
      <w:r/>
    </w:p>
    <w:p>
      <w:pPr>
        <w:pStyle w:val="1053"/>
        <w:ind w:left="-2" w:firstLine="362"/>
        <w:rPr>
          <w:color w:val="000000"/>
        </w:rPr>
      </w:pPr>
      <w:r>
        <w:rPr>
          <w:color w:val="000000"/>
        </w:rPr>
        <w:t xml:space="preserve">支持系统初始化业务，提供卡片初始导入及新建功能，完成资产系统初始账数据检查及建账，同时提供卡片日常数据导入及维护功能并可对资产卡片进行全生命周期查询与管理</w:t>
      </w:r>
      <w:r>
        <w:rPr>
          <w:rFonts w:hint="eastAsia"/>
          <w:color w:val="000000"/>
        </w:rPr>
        <w:t xml:space="preserve">。</w:t>
      </w:r>
      <w:r>
        <w:rPr>
          <w:color w:val="000000"/>
        </w:rPr>
      </w:r>
      <w:r/>
    </w:p>
    <w:p>
      <w:pPr>
        <w:pStyle w:val="1053"/>
        <w:ind w:left="-2" w:firstLine="362"/>
        <w:rPr>
          <w:color w:val="000000"/>
        </w:rPr>
      </w:pPr>
      <w:r>
        <w:rPr>
          <w:color w:val="000000"/>
        </w:rPr>
        <w:t xml:space="preserve">完整记录主设备及附属设备信息如制造商、供应商、规格型号、存放在点、使用科室等，能方便保存合同文档、设备图片、发票扫描件等，方便查找；支持资产国标分类、医疗器械分类等多编码体系；实现资产管理与应付管理、会计核算、成本核算系统的一体化管理模式，减少对账，确保账实相符、账账相符；支持资产条码和二维码管理；</w:t>
      </w:r>
      <w:r>
        <w:rPr>
          <w:rFonts w:hint="eastAsia"/>
          <w:color w:val="000000"/>
        </w:rPr>
        <w:t xml:space="preserve">支持使用RFID射频识别卡片；设备名称项增设通用名，便于导出后汇总统计;卡片内提供领用人信息，或附属信息中能提供领用凭证，申购信息等;</w:t>
      </w:r>
      <w:r>
        <w:rPr>
          <w:color w:val="000000"/>
        </w:rPr>
        <w:t xml:space="preserve">支持设备配套信息的上传与管理，如图片信息、安全论证、技术资料、质量管理等信息</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.6.2.3</w:t>
      </w:r>
      <w:r>
        <w:rPr>
          <w:rFonts w:hint="eastAsia" w:hAnsi="宋体"/>
        </w:rPr>
        <w:t xml:space="preserve">资产安装验收</w:t>
      </w:r>
      <w:r>
        <w:rPr>
          <w:rFonts w:hAnsi="宋体"/>
        </w:rPr>
      </w:r>
      <w:r/>
    </w:p>
    <w:p>
      <w:pPr>
        <w:pStyle w:val="1053"/>
        <w:ind w:left="-2" w:firstLine="362"/>
        <w:rPr>
          <w:color w:val="000000"/>
        </w:rPr>
      </w:pPr>
      <w:r>
        <w:rPr>
          <w:color w:val="000000"/>
        </w:rPr>
        <w:t xml:space="preserve">大型固定资产采购到医院后，需要进行安装和验收工作，以符合医院的实际工作要求。本功能管理大型固定资产到货后的安装、验收工作，提供添加、删除、修改、查询、审核、打印等功能</w:t>
      </w:r>
      <w:r>
        <w:rPr>
          <w:rFonts w:hint="eastAsia"/>
          <w:color w:val="000000"/>
        </w:rPr>
        <w:t xml:space="preserve">。</w:t>
      </w:r>
      <w:r>
        <w:rPr>
          <w:color w:val="000000"/>
        </w:rPr>
      </w:r>
      <w:r/>
    </w:p>
    <w:p>
      <w:pPr>
        <w:pStyle w:val="1053"/>
        <w:ind w:left="-2" w:firstLine="362"/>
        <w:rPr>
          <w:color w:val="000000"/>
        </w:rPr>
      </w:pPr>
      <w:r>
        <w:rPr>
          <w:color w:val="000000"/>
        </w:rPr>
        <w:t xml:space="preserve">支持资产安装、验收环节业务，提供资产安装验收过程化管理及资料存档功能</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.6.2.4资</w:t>
      </w:r>
      <w:r>
        <w:rPr>
          <w:rFonts w:hint="eastAsia" w:hAnsi="宋体"/>
        </w:rPr>
        <w:t xml:space="preserve">产出入库管理</w:t>
      </w:r>
      <w:r>
        <w:rPr>
          <w:rFonts w:hAnsi="宋体"/>
        </w:rPr>
      </w:r>
      <w:r/>
    </w:p>
    <w:p>
      <w:pPr>
        <w:pStyle w:val="1053"/>
        <w:ind w:left="-2" w:firstLine="362"/>
        <w:rPr>
          <w:color w:val="000000"/>
        </w:rPr>
      </w:pPr>
      <w:r>
        <w:rPr>
          <w:color w:val="000000"/>
        </w:rPr>
        <w:t xml:space="preserve">满足资产入库业务，提供入库单生成资产发票功能，提供发票信息及合同信息修改功能；提供入库单生成资产卡片功能；</w:t>
      </w:r>
      <w:r>
        <w:rPr>
          <w:rFonts w:hint="eastAsia"/>
          <w:color w:val="000000"/>
        </w:rPr>
        <w:t xml:space="preserve">支持固定资产中的附属资产信息的维护，并且可以查看、修改；支持入出库信息的批量导入/导出；</w:t>
      </w:r>
      <w:r>
        <w:rPr>
          <w:color w:val="000000"/>
        </w:rPr>
        <w:t xml:space="preserve">提供入库单批量生成科室领用单功能；提供入库单退货功能；资产退货业务</w:t>
      </w:r>
      <w:r>
        <w:rPr>
          <w:rFonts w:hint="eastAsia"/>
          <w:color w:val="000000"/>
        </w:rPr>
        <w:t xml:space="preserve">等。</w:t>
      </w:r>
      <w:r>
        <w:rPr>
          <w:color w:val="000000"/>
        </w:rPr>
      </w:r>
      <w:r/>
    </w:p>
    <w:p>
      <w:pPr>
        <w:pStyle w:val="1053"/>
        <w:ind w:left="-2" w:firstLine="362"/>
        <w:rPr>
          <w:color w:val="000000"/>
        </w:rPr>
      </w:pPr>
      <w:r>
        <w:rPr>
          <w:color w:val="000000"/>
        </w:rPr>
        <w:t xml:space="preserve">满足医院资产卡片管理要求，支持资产卡片新建及维护，支持批量修改及日志查看，支持卡片复制、卡片拆分业务；支持多资金来源、多项目、多使用科室记录、附属设备记录</w:t>
      </w:r>
      <w:r>
        <w:rPr>
          <w:rFonts w:hint="eastAsia"/>
          <w:color w:val="000000"/>
        </w:rPr>
        <w:t xml:space="preserve">等。</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.6.2.5</w:t>
      </w:r>
      <w:r>
        <w:rPr>
          <w:rFonts w:hint="eastAsia" w:hAnsi="宋体"/>
        </w:rPr>
        <w:t xml:space="preserve">资产日常业务管理</w:t>
      </w:r>
      <w:r>
        <w:rPr>
          <w:rFonts w:hAnsi="宋体"/>
        </w:rPr>
      </w:r>
      <w:r/>
    </w:p>
    <w:p>
      <w:pPr>
        <w:pStyle w:val="1053"/>
        <w:ind w:left="-2" w:firstLine="362"/>
        <w:rPr>
          <w:color w:val="000000"/>
        </w:rPr>
      </w:pPr>
      <w:r>
        <w:rPr>
          <w:color w:val="000000"/>
        </w:rPr>
        <w:t xml:space="preserve">满足医院资产科室领用业务需求</w:t>
      </w:r>
      <w:r>
        <w:rPr>
          <w:rFonts w:hint="eastAsia"/>
          <w:color w:val="000000"/>
        </w:rPr>
        <w:t xml:space="preserve">；</w:t>
      </w:r>
      <w:r>
        <w:rPr>
          <w:color w:val="000000"/>
        </w:rPr>
        <w:t xml:space="preserve">满足医院科室退库业务</w:t>
      </w:r>
      <w:r>
        <w:rPr>
          <w:rFonts w:hint="eastAsia"/>
          <w:color w:val="000000"/>
        </w:rPr>
        <w:t xml:space="preserve">；</w:t>
      </w:r>
      <w:r>
        <w:rPr>
          <w:color w:val="000000"/>
        </w:rPr>
        <w:t xml:space="preserve">满足资产转移业务</w:t>
      </w:r>
      <w:r>
        <w:rPr>
          <w:rFonts w:hint="eastAsia"/>
          <w:color w:val="000000"/>
        </w:rPr>
        <w:t xml:space="preserve">；</w:t>
      </w:r>
      <w:r>
        <w:rPr>
          <w:color w:val="000000"/>
        </w:rPr>
        <w:t xml:space="preserve">满足原值变动、使用状态变动、资金来源调整业务</w:t>
      </w:r>
      <w:r>
        <w:rPr>
          <w:rFonts w:hint="eastAsia"/>
          <w:color w:val="000000"/>
        </w:rPr>
        <w:t xml:space="preserve">；支持固定资产原值变更维护;支持资产名称类别维护，并且固定资产类别名称字典可自定义;卡片中责任人、科室、放置地点、设备分类编码等信息可以批量修改调整。责任人、设备分类编码能字典维护支持联动绑定,计量设备需要有专门标记，便于计量汇总。</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.6.2.6</w:t>
      </w:r>
      <w:r>
        <w:rPr>
          <w:rFonts w:hint="eastAsia" w:hAnsi="宋体"/>
        </w:rPr>
        <w:t xml:space="preserve">资产盘点</w:t>
      </w:r>
      <w:r>
        <w:rPr>
          <w:rFonts w:hAnsi="宋体"/>
        </w:rPr>
      </w:r>
      <w:r/>
    </w:p>
    <w:p>
      <w:pPr>
        <w:pStyle w:val="1053"/>
        <w:ind w:left="-2" w:firstLine="362"/>
        <w:rPr>
          <w:color w:val="000000"/>
        </w:rPr>
      </w:pPr>
      <w:r>
        <w:rPr>
          <w:color w:val="000000"/>
        </w:rPr>
        <w:t xml:space="preserve">满足医院资产盘点基本要求，主要提供资产盘点单、盘亏盘盈单及盘点清查查询功能</w:t>
      </w:r>
      <w:r>
        <w:rPr>
          <w:rFonts w:hint="eastAsia"/>
          <w:color w:val="000000"/>
        </w:rPr>
        <w:t xml:space="preserve">。资产盘点时，可以在手持端新建资产、调配、维修、保养；支持通过RFID手持设备进行盘点。支持现有条形码扫描;</w:t>
      </w:r>
      <w:r>
        <w:rPr>
          <w:color w:val="000000"/>
        </w:rPr>
        <w:t xml:space="preserve">提供对资产盘点单据、盈亏单据的新增、修改、删除等功能，既可以满足库房的盘点也可以满足科室的盘点功能。同时提供移动设备盘点动能，盘点数据能自动生成盘盈单和盘亏单</w:t>
      </w:r>
      <w:r>
        <w:rPr>
          <w:rFonts w:hint="eastAsia"/>
          <w:color w:val="000000"/>
        </w:rPr>
        <w:t xml:space="preserve">;实现扫码盘点，自动汇总，针对同一设备的前后不同编码，能自动对应识辨，盘点中能通过手持盘点设备及时补充设备的出厂编码、型号规格、数量等信息。扫码盘点能自动记录设备位置信息，便于经常流动的同类型，基数多设备的盘点汇总。</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.6.2.7</w:t>
      </w:r>
      <w:r>
        <w:rPr>
          <w:rFonts w:hint="eastAsia" w:hAnsi="宋体"/>
        </w:rPr>
        <w:t xml:space="preserve">条码管理</w:t>
      </w:r>
      <w:r>
        <w:rPr>
          <w:rFonts w:hAnsi="宋体"/>
        </w:rPr>
      </w:r>
      <w:r/>
    </w:p>
    <w:p>
      <w:pPr>
        <w:pStyle w:val="1053"/>
        <w:ind w:left="-2" w:firstLine="362"/>
        <w:rPr>
          <w:color w:val="000000"/>
        </w:rPr>
      </w:pPr>
      <w:r>
        <w:rPr>
          <w:color w:val="000000"/>
        </w:rPr>
        <w:t xml:space="preserve">满足医院条码管理要求，提供按照固定资产分类进行条码生成内容设置；支持资产卡片生成条码内容及条码打印；支持附属设备条码生成及打印</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.6.2.8</w:t>
      </w:r>
      <w:r>
        <w:rPr>
          <w:rFonts w:hint="eastAsia" w:hAnsi="宋体"/>
        </w:rPr>
        <w:t xml:space="preserve">折旧摊销</w:t>
      </w:r>
      <w:r>
        <w:rPr>
          <w:rFonts w:hAnsi="宋体"/>
        </w:rPr>
      </w:r>
      <w:r/>
    </w:p>
    <w:p>
      <w:pPr>
        <w:pStyle w:val="1053"/>
        <w:ind w:left="-2" w:firstLine="362"/>
        <w:rPr>
          <w:color w:val="000000"/>
        </w:rPr>
      </w:pPr>
      <w:r>
        <w:rPr>
          <w:color w:val="000000"/>
        </w:rPr>
        <w:t xml:space="preserve">满足医院对资产折旧摊销业务要求，支持工作量法折旧资产当月工作量维护功能；支持资产计提折旧、摊销及反折旧、反摊销功能</w:t>
      </w:r>
      <w:r>
        <w:rPr>
          <w:rFonts w:hint="eastAsia"/>
          <w:color w:val="000000"/>
        </w:rPr>
        <w:t xml:space="preserve">等。</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.6.2.9发票</w:t>
      </w:r>
      <w:r>
        <w:rPr>
          <w:rFonts w:hint="eastAsia" w:hAnsi="宋体"/>
        </w:rPr>
        <w:t xml:space="preserve">管理</w:t>
      </w:r>
      <w:r>
        <w:rPr>
          <w:rFonts w:hAnsi="宋体"/>
        </w:rPr>
      </w:r>
      <w:r/>
    </w:p>
    <w:p>
      <w:pPr>
        <w:pStyle w:val="1053"/>
        <w:ind w:left="-2" w:firstLine="362"/>
        <w:rPr>
          <w:color w:val="000000"/>
        </w:rPr>
      </w:pPr>
      <w:r>
        <w:rPr>
          <w:color w:val="000000"/>
        </w:rPr>
        <w:t xml:space="preserve">支持医院资产采购发票管理功能，实现资产入库单生成采购发票及退货单生成红字发票管理功能；支持采购发票明细查询功能；支持已入库尚未开票的入库数据查询</w:t>
      </w:r>
      <w:r>
        <w:rPr>
          <w:rFonts w:hint="eastAsia"/>
          <w:color w:val="000000"/>
        </w:rPr>
        <w:t xml:space="preserve">等。</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.6.2.10</w:t>
      </w:r>
      <w:r>
        <w:rPr>
          <w:rFonts w:hint="eastAsia" w:hAnsi="宋体"/>
        </w:rPr>
        <w:t xml:space="preserve">资产报表</w:t>
      </w:r>
      <w:r>
        <w:rPr>
          <w:rFonts w:hAnsi="宋体"/>
        </w:rPr>
      </w:r>
      <w:r/>
    </w:p>
    <w:p>
      <w:pPr>
        <w:pStyle w:val="1053"/>
        <w:ind w:left="-2" w:firstLine="362"/>
        <w:rPr>
          <w:color w:val="000000"/>
        </w:rPr>
      </w:pPr>
      <w:r>
        <w:rPr>
          <w:color w:val="000000"/>
        </w:rPr>
        <w:t xml:space="preserve">支持医院财务类报表要求，提供折旧账表、资产月报、资产总账、变动账表、资产入库分析报表数据；支持医院资产管理类报表需求，提供资产增减、资产分布及资产入库、科室资产分布报表数据</w:t>
      </w:r>
      <w:r>
        <w:rPr>
          <w:rFonts w:hint="eastAsia"/>
          <w:color w:val="000000"/>
        </w:rPr>
        <w:t xml:space="preserve">等。</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.6.2.11</w:t>
      </w:r>
      <w:r>
        <w:rPr>
          <w:rFonts w:hint="eastAsia" w:hAnsi="宋体"/>
        </w:rPr>
        <w:t xml:space="preserve">投放设备管理</w:t>
      </w:r>
      <w:r>
        <w:rPr>
          <w:rFonts w:hAnsi="宋体"/>
        </w:rPr>
      </w:r>
      <w:r/>
    </w:p>
    <w:p>
      <w:pPr>
        <w:pStyle w:val="1053"/>
        <w:ind w:left="-2" w:firstLine="362"/>
        <w:rPr>
          <w:color w:val="000000"/>
        </w:rPr>
      </w:pPr>
      <w:r>
        <w:rPr>
          <w:color w:val="000000"/>
        </w:rPr>
        <w:t xml:space="preserve">支持医院投放设备初始账导入功能；支持投放设备转正生成资产卡片功能，支持院外资产信息备查功能</w:t>
      </w:r>
      <w:r>
        <w:rPr>
          <w:rFonts w:hint="eastAsia"/>
          <w:color w:val="000000"/>
        </w:rPr>
        <w:t xml:space="preserve">等；支持资产存放地点、存放科室、资产责任人变更时，能够提醒设备管理员需要重新维护的资产信息，并且支持自动维护。</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.6.2.12资产盘点</w:t>
      </w:r>
      <w:r/>
    </w:p>
    <w:p>
      <w:pPr>
        <w:pStyle w:val="1053"/>
        <w:ind w:left="-2" w:firstLine="362"/>
        <w:rPr>
          <w:color w:val="000000"/>
        </w:rPr>
      </w:pPr>
      <w:r>
        <w:rPr>
          <w:color w:val="000000"/>
        </w:rPr>
        <w:t xml:space="preserve">支持资产移动盘点功能</w:t>
      </w:r>
      <w:r>
        <w:rPr>
          <w:rFonts w:hint="eastAsia"/>
          <w:color w:val="000000"/>
        </w:rPr>
        <w:t xml:space="preserve">。</w:t>
      </w:r>
      <w:r>
        <w:rPr>
          <w:color w:val="000000"/>
        </w:rPr>
      </w:r>
      <w:r/>
    </w:p>
    <w:p>
      <w:pPr>
        <w:pStyle w:val="942"/>
        <w:ind w:left="-2"/>
        <w:spacing w:line="360" w:lineRule="auto"/>
        <w:tabs>
          <w:tab w:val="left" w:pos="360" w:leader="none"/>
        </w:tabs>
        <w:rPr>
          <w:rFonts w:hAnsi="宋体"/>
        </w:rPr>
      </w:pPr>
      <w:r/>
      <w:bookmarkStart w:id="224" w:name="_Toc150521652"/>
      <w:r>
        <w:rPr>
          <w:rFonts w:hint="eastAsia" w:hAnsi="宋体"/>
        </w:rPr>
        <w:t xml:space="preserve">3</w:t>
      </w:r>
      <w:r>
        <w:rPr>
          <w:rFonts w:hAnsi="宋体"/>
        </w:rPr>
        <w:t xml:space="preserve">.6.2.1</w:t>
      </w:r>
      <w:r>
        <w:rPr>
          <w:rFonts w:hint="eastAsia" w:hAnsi="宋体"/>
        </w:rPr>
        <w:t xml:space="preserve">3 单机效益分析</w:t>
      </w:r>
      <w:r>
        <w:rPr>
          <w:rFonts w:hAnsi="宋体"/>
        </w:rPr>
      </w:r>
      <w:r/>
    </w:p>
    <w:p>
      <w:pPr>
        <w:pStyle w:val="937"/>
        <w:ind w:firstLine="420"/>
        <w:rPr>
          <w:rFonts w:ascii="宋体" w:hAnsi="宋体" w:cs="微软雅黑"/>
          <w:color w:val="000000"/>
          <w:sz w:val="24"/>
        </w:rPr>
      </w:pPr>
      <w:r>
        <w:rPr>
          <w:rFonts w:ascii="宋体" w:hAnsi="宋体" w:cs="微软雅黑"/>
          <w:color w:val="000000"/>
          <w:sz w:val="24"/>
        </w:rPr>
        <w:t xml:space="preserve">支持结合机器使用数据，以及HIS平台数据进行单机效益分析。</w:t>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rPr>
          <w:rFonts w:hint="eastAsia" w:ascii="宋体" w:hAnsi="宋体"/>
          <w:color w:val="000000"/>
          <w:sz w:val="24"/>
        </w:rPr>
        <w:t xml:space="preserve">物流管理系统</w:t>
      </w:r>
      <w:bookmarkEnd w:id="224"/>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.7.1</w:t>
      </w:r>
      <w:r>
        <w:rPr>
          <w:rFonts w:hint="eastAsia" w:ascii="宋体" w:hAnsi="宋体" w:eastAsia="宋体"/>
          <w:color w:val="000000"/>
          <w:sz w:val="24"/>
        </w:rPr>
        <w:t xml:space="preserve">建设要求</w:t>
      </w:r>
      <w:r>
        <w:rPr>
          <w:rFonts w:ascii="宋体" w:hAnsi="宋体" w:eastAsia="宋体"/>
          <w:color w:val="000000"/>
          <w:sz w:val="24"/>
        </w:rPr>
      </w:r>
      <w:r/>
    </w:p>
    <w:p>
      <w:pPr>
        <w:pStyle w:val="1053"/>
        <w:ind w:firstLine="480"/>
        <w:rPr>
          <w:color w:val="000000"/>
        </w:rPr>
      </w:pPr>
      <w:r>
        <w:rPr>
          <w:rFonts w:hint="eastAsia" w:cs="Times New Roman"/>
          <w:color w:val="000000"/>
        </w:rPr>
        <w:t xml:space="preserve">物流管理系统也称为物资耗材管理系统，</w:t>
      </w:r>
      <w:r>
        <w:rPr>
          <w:color w:val="000000"/>
        </w:rPr>
        <w:t xml:space="preserve">从医院供应链全程协同的角度来构建智能物流管理信息化体系：首先系统不仅仅支持院内采购管理、物流管理，更实现与外部供应商的全程协同，潜在供应商成为医院真正供应商后，可通过供应商协同实现订单、发票、配送、合同、资质、供货目录的协同管理；其次系统</w:t>
      </w:r>
      <w:r>
        <w:rPr>
          <w:rFonts w:hint="eastAsia"/>
          <w:color w:val="000000"/>
        </w:rPr>
        <w:t xml:space="preserve">支持</w:t>
      </w:r>
      <w:r>
        <w:rPr>
          <w:color w:val="000000"/>
        </w:rPr>
        <w:t xml:space="preserve">智能耗材柜、RFID、条码/二维码、移动</w:t>
      </w:r>
      <w:r>
        <w:rPr>
          <w:rFonts w:hint="eastAsia"/>
          <w:color w:val="000000"/>
        </w:rPr>
        <w:t xml:space="preserve">应用</w:t>
      </w:r>
      <w:r>
        <w:rPr>
          <w:color w:val="000000"/>
        </w:rPr>
        <w:t xml:space="preserve">等手段实现智能化物流管理，精准识别的同时减少人工操作可能带来的失误问题；最后对物流体系实现更加精准的管控，如骨科、口腔、检验、手术室等专科化材料管理，更加适合临床管理需要</w:t>
      </w:r>
      <w:r>
        <w:rPr>
          <w:rFonts w:hint="eastAsia"/>
          <w:color w:val="000000"/>
        </w:rPr>
        <w:t xml:space="preserve">。</w:t>
      </w:r>
      <w:r>
        <w:rPr>
          <w:color w:val="000000"/>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.7.2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.7.2.1请领管理</w:t>
      </w:r>
      <w:r/>
    </w:p>
    <w:p>
      <w:pPr>
        <w:pStyle w:val="1053"/>
        <w:ind w:left="-2" w:firstLine="362"/>
        <w:rPr>
          <w:color w:val="000000"/>
        </w:rPr>
      </w:pPr>
      <w:r>
        <w:rPr>
          <w:color w:val="000000"/>
        </w:rPr>
        <w:t xml:space="preserve">科室填写请领单，内部审核通过后，上传至库房人员页面，由库房人员进行审核。对审核通过的单据，可直接生成出库单，未通过可返回给科室进行修改</w:t>
      </w:r>
      <w:r>
        <w:rPr>
          <w:rFonts w:hint="eastAsia"/>
          <w:color w:val="000000"/>
        </w:rPr>
        <w:t xml:space="preserve">，并且归入耗材技术档案；支持自动计算大包装和小包装单位的换算比例，并且展示。</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.7.2.2验收管理</w:t>
      </w:r>
      <w:r/>
    </w:p>
    <w:p>
      <w:pPr>
        <w:pStyle w:val="1053"/>
        <w:ind w:left="-2" w:firstLine="362"/>
        <w:rPr>
          <w:color w:val="000000"/>
        </w:rPr>
      </w:pPr>
      <w:r>
        <w:rPr>
          <w:color w:val="000000"/>
        </w:rPr>
        <w:t xml:space="preserve">供应商送货到医院后，医院可对送货单进行验收。</w:t>
      </w:r>
      <w:r>
        <w:rPr>
          <w:rFonts w:hint="eastAsia"/>
          <w:color w:val="000000"/>
        </w:rPr>
        <w:t xml:space="preserve">通过</w:t>
      </w:r>
      <w:r>
        <w:rPr>
          <w:color w:val="000000"/>
        </w:rPr>
        <w:t xml:space="preserve">供采协同平台，则可以直接通过供采协同生成验收单，并可直接生成入库单。</w:t>
      </w:r>
      <w:r/>
    </w:p>
    <w:p>
      <w:pPr>
        <w:pStyle w:val="1053"/>
        <w:ind w:left="-2" w:firstLine="362"/>
        <w:rPr>
          <w:color w:val="000000"/>
        </w:rPr>
      </w:pPr>
      <w:r>
        <w:rPr>
          <w:rFonts w:hint="eastAsia"/>
          <w:color w:val="000000"/>
        </w:rPr>
        <w:t xml:space="preserve">通过供采协同平台，直接通过供采协同生成验收单，并可直接生成入库单。支持与省医保招采管理子系统直联，发送产品订单并实现验收、入库、供应商在省医保招采子系统里反馈已送货、库房收货等功能。</w:t>
      </w:r>
      <w:r>
        <w:rPr>
          <w:color w:val="000000"/>
        </w:rPr>
      </w:r>
      <w:r/>
    </w:p>
    <w:p>
      <w:pPr>
        <w:pStyle w:val="1053"/>
        <w:ind w:left="-2" w:firstLine="362"/>
        <w:rPr>
          <w:color w:val="000000"/>
        </w:rPr>
      </w:pPr>
      <w:r>
        <w:rPr>
          <w:rFonts w:hint="eastAsia"/>
          <w:color w:val="000000"/>
        </w:rPr>
        <w:t xml:space="preserve">系统支持扫码验收、扫码入库；支持先扫码识别订货单，再扫码判断物品是否在订货单里；支持先验收再入库；支持批量扫码入库。</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.7.2.3常备物资管理</w:t>
      </w:r>
      <w:r/>
    </w:p>
    <w:p>
      <w:pPr>
        <w:pStyle w:val="1053"/>
        <w:ind w:left="-2" w:firstLine="362"/>
        <w:rPr>
          <w:color w:val="000000"/>
        </w:rPr>
      </w:pPr>
      <w:r>
        <w:rPr>
          <w:color w:val="000000"/>
        </w:rPr>
        <w:t xml:space="preserve">提供对医院卫生材料，后勤物资，低值易耗品等物资的管理，包含了物资的出入库管理，订单管理，科室请领，仓库盘点，二级库管理及库存报表查询功能</w:t>
      </w:r>
      <w:r>
        <w:rPr>
          <w:rFonts w:hint="eastAsia"/>
          <w:color w:val="000000"/>
        </w:rPr>
        <w:t xml:space="preserve">;支持全院二级库的管理。支持按照医院要求增加耗材标记项，便于后期付款、统计、数据提取等工作。</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.7.2.4代销品管理</w:t>
      </w:r>
      <w:r/>
    </w:p>
    <w:p>
      <w:pPr>
        <w:pStyle w:val="1053"/>
        <w:ind w:left="-2" w:firstLine="362"/>
        <w:rPr>
          <w:color w:val="000000"/>
        </w:rPr>
      </w:pPr>
      <w:r>
        <w:rPr>
          <w:color w:val="000000"/>
        </w:rPr>
        <w:t xml:space="preserve">可对医院代销材料业务进行管理，包括物资的初始账、入库、出库、移库、盘点及报表查询功能</w:t>
      </w:r>
      <w:r>
        <w:rPr>
          <w:rFonts w:hint="eastAsia"/>
          <w:color w:val="000000"/>
        </w:rPr>
        <w:t xml:space="preserve">；支持与医院计费系统联动，实现使用、结转入库数据一致。代销出库后具备修改患者姓名、住院号功能。支持代销品具备批量出库。支持代销产品数据统计分析。</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.7.2.5医嘱材料管理</w:t>
      </w:r>
      <w:r/>
    </w:p>
    <w:p>
      <w:pPr>
        <w:pStyle w:val="937"/>
        <w:ind w:firstLine="420"/>
        <w:spacing w:line="360" w:lineRule="auto"/>
        <w:rPr>
          <w:rFonts w:ascii="宋体" w:hAnsi="宋体" w:cs="微软雅黑"/>
          <w:color w:val="000000"/>
          <w:sz w:val="24"/>
        </w:rPr>
      </w:pPr>
      <w:r>
        <w:rPr>
          <w:rFonts w:hint="eastAsia" w:ascii="宋体" w:hAnsi="宋体" w:cs="微软雅黑"/>
          <w:color w:val="000000"/>
          <w:sz w:val="24"/>
        </w:rPr>
        <w:t xml:space="preserve">建立全院科室二级库，对低值收费和不收费材料，通过与</w:t>
      </w:r>
      <w:r>
        <w:rPr>
          <w:rFonts w:ascii="宋体" w:hAnsi="宋体" w:cs="微软雅黑"/>
          <w:color w:val="000000"/>
          <w:sz w:val="24"/>
        </w:rPr>
        <w:t xml:space="preserve">HIS</w:t>
      </w:r>
      <w:r>
        <w:rPr>
          <w:rFonts w:hint="eastAsia" w:ascii="宋体" w:hAnsi="宋体" w:cs="微软雅黑"/>
          <w:color w:val="000000"/>
          <w:sz w:val="24"/>
        </w:rPr>
        <w:t xml:space="preserve">医嘱联动，实时核销库存。可对医嘱材料消耗进行查询及理论值消耗与实际值消耗进行对比分析，以便及时发现漏收费情况，进而可对科室异常消耗进行评估考核提供依据。</w:t>
      </w:r>
      <w:r>
        <w:rPr>
          <w:rFonts w:ascii="宋体" w:hAnsi="宋体" w:cs="微软雅黑"/>
          <w:color w:val="000000"/>
          <w:sz w:val="24"/>
        </w:rPr>
      </w:r>
      <w:r/>
    </w:p>
    <w:p>
      <w:pPr>
        <w:pStyle w:val="1053"/>
        <w:ind w:left="-2" w:firstLine="362"/>
        <w:rPr>
          <w:color w:val="000000"/>
        </w:rPr>
      </w:pPr>
      <w:r>
        <w:rPr>
          <w:color w:val="000000"/>
        </w:rPr>
        <w:t xml:space="preserve">可对医嘱材料消耗进行查询及对比分析，以便及时发现漏收费情况</w:t>
      </w:r>
      <w:r>
        <w:rPr>
          <w:rFonts w:hint="eastAsia"/>
          <w:color w:val="000000"/>
        </w:rPr>
        <w:t xml:space="preserve">；支持院内分拣发放，各类数据标签，支持根据标签进行流程管理。如计划外临采，重点监管品种，应急采购等。</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.7.2.6条码管理</w:t>
      </w:r>
      <w:r/>
    </w:p>
    <w:p>
      <w:pPr>
        <w:pStyle w:val="1053"/>
        <w:ind w:left="-2" w:firstLine="362"/>
        <w:rPr>
          <w:color w:val="000000"/>
        </w:rPr>
      </w:pPr>
      <w:r>
        <w:rPr>
          <w:color w:val="000000"/>
        </w:rPr>
        <w:t xml:space="preserve">支持自定义条形码，提供物流系统中自定义条形码的生成和打印功能；还可以根据条形码查询物资的流转过程；支持基于GS1的UDI条码自动解析，支持国家高值耗材统一编码等</w:t>
      </w:r>
      <w:r>
        <w:rPr>
          <w:rFonts w:hint="eastAsia"/>
          <w:color w:val="000000"/>
        </w:rPr>
        <w:t xml:space="preserve">。</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.7.2.7资证管理</w:t>
      </w:r>
      <w:r/>
    </w:p>
    <w:p>
      <w:pPr>
        <w:pStyle w:val="1053"/>
        <w:ind w:left="-2" w:firstLine="362"/>
        <w:rPr>
          <w:color w:val="000000"/>
        </w:rPr>
      </w:pPr>
      <w:r>
        <w:rPr>
          <w:color w:val="000000"/>
        </w:rPr>
        <w:t xml:space="preserve">实现耗材、供应商“三证”管理，实现医用耗材、供应商、生产项目合作单位的证件管理和预警提醒</w:t>
      </w:r>
      <w:r>
        <w:rPr>
          <w:rFonts w:hint="eastAsia"/>
          <w:color w:val="000000"/>
        </w:rPr>
        <w:t xml:space="preserve">；审核供应商资质流程能分库筛选各个库房匹配的供应商，支持证件有效期预警；除必要的“三证”外，系统支持根据医用耗材生产项目合作单位授权关系，划分为一级和二级授权等，按级别逐一进行证件上传管理。</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.7.2.8预算控制管理</w:t>
      </w:r>
      <w:r/>
    </w:p>
    <w:p>
      <w:pPr>
        <w:pStyle w:val="1053"/>
        <w:ind w:left="-2" w:firstLine="362"/>
        <w:rPr>
          <w:color w:val="000000"/>
        </w:rPr>
      </w:pPr>
      <w:r>
        <w:rPr>
          <w:color w:val="000000"/>
        </w:rPr>
        <w:t xml:space="preserve">针对科室耗材的请领，比对预算额度，记录出使用情况，提示超出预算额度值。</w:t>
      </w:r>
      <w:r/>
    </w:p>
    <w:p>
      <w:pPr>
        <w:pStyle w:val="1053"/>
        <w:ind w:left="-2" w:firstLine="362"/>
        <w:rPr>
          <w:color w:val="000000"/>
        </w:rPr>
      </w:pPr>
      <w:r>
        <w:rPr>
          <w:color w:val="000000"/>
        </w:rPr>
        <w:t xml:space="preserve">针对医院所有预算科室的支出预算，以报表的形式展示每个科室的预算占用情况。</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.7.2.9报表管理</w:t>
      </w:r>
      <w:r/>
    </w:p>
    <w:p>
      <w:pPr>
        <w:pStyle w:val="1053"/>
        <w:ind w:left="-2" w:firstLine="362"/>
        <w:rPr>
          <w:color w:val="000000"/>
        </w:rPr>
      </w:pPr>
      <w:r>
        <w:rPr>
          <w:color w:val="000000"/>
        </w:rPr>
        <w:t xml:space="preserve">可实现按照仓库、物资类别和业务类型对物资明细的收发存汇总表。同时可以支持保质期预警、安全库存预警、超高限预警、短缺货预警、证件效期预警、呆滞积压物资分析、库龄分析、ABC成本分析、费用差异分析、全院价量因素分析、物资储备分析等分析方法和分析统计内容。</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.7.2.10</w:t>
      </w:r>
      <w:r>
        <w:rPr>
          <w:rFonts w:hint="eastAsia" w:hAnsi="宋体"/>
        </w:rPr>
        <w:t xml:space="preserve">期末处理</w:t>
      </w:r>
      <w:r>
        <w:rPr>
          <w:rFonts w:hAnsi="宋体"/>
        </w:rPr>
      </w:r>
      <w:r/>
    </w:p>
    <w:p>
      <w:pPr>
        <w:pStyle w:val="1053"/>
        <w:ind w:left="-2" w:firstLine="362"/>
        <w:rPr>
          <w:color w:val="000000"/>
        </w:rPr>
      </w:pPr>
      <w:r>
        <w:rPr>
          <w:rFonts w:hint="eastAsia"/>
          <w:color w:val="000000"/>
        </w:rPr>
        <w:t xml:space="preserve">支持按仓库结账。</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.7.2.11采购需求</w:t>
      </w:r>
      <w:r/>
    </w:p>
    <w:p>
      <w:pPr>
        <w:pStyle w:val="1053"/>
        <w:ind w:left="-2" w:firstLine="362"/>
        <w:rPr>
          <w:color w:val="000000"/>
        </w:rPr>
      </w:pPr>
      <w:r>
        <w:rPr>
          <w:color w:val="000000"/>
        </w:rPr>
        <w:t xml:space="preserve">科室可针对自身需要使用的医疗耗材和非医疗耗材提交和审批科室需求申请，并允许库房人员查看、审核和退回。</w:t>
      </w:r>
      <w:r>
        <w:rPr>
          <w:rFonts w:hint="eastAsia"/>
          <w:color w:val="000000"/>
        </w:rPr>
        <w:t xml:space="preserve">支持单品货物单位换算，最小销售单位、最小出库单位换算。</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.7.2.12采购计划</w:t>
      </w:r>
      <w:r/>
    </w:p>
    <w:p>
      <w:pPr>
        <w:pStyle w:val="1053"/>
        <w:ind w:left="-2" w:firstLine="362"/>
        <w:rPr>
          <w:color w:val="000000"/>
        </w:rPr>
      </w:pPr>
      <w:r>
        <w:rPr>
          <w:color w:val="000000"/>
        </w:rPr>
        <w:t xml:space="preserve">可根据当前库存状况、未实现计划、最低库存、各科室材料需求计划制订医院材料采购计划。计划员制订完计划，由负责人对采购计划进行审批，审批时要考虑本期每种材料采购的数量、总金额不能超过本期预算消耗定额。产生采购计划清单、计划未到货物清单、采购预算执行情况</w:t>
      </w:r>
      <w:r>
        <w:rPr>
          <w:rFonts w:hint="eastAsia"/>
          <w:color w:val="000000"/>
        </w:rPr>
        <w:t xml:space="preserve">；支持计划外审批耗材能与OA系统实现连接，统一由本系统发送订单并出入库管理，每月生成计划外审批汇总报表；支持临床申领计划可依据领用习惯建立常用目录或批量复制。系统发订单支持注明申请科室，可根据需要在送货单上能够体现申请科室。</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.7.2.13采购订单</w:t>
      </w:r>
      <w:r/>
    </w:p>
    <w:p>
      <w:pPr>
        <w:pStyle w:val="1053"/>
        <w:ind w:left="-2" w:firstLine="362"/>
        <w:rPr>
          <w:color w:val="000000"/>
        </w:rPr>
      </w:pPr>
      <w:r>
        <w:rPr>
          <w:color w:val="000000"/>
        </w:rPr>
        <w:t xml:space="preserve">采购订单主要包括订单的编制、录入、修改、删除、审核、打印、查询与分析，以及向供应商发催货单，系统提供相应功能实现对订单的集成管理。</w:t>
      </w:r>
      <w:r>
        <w:rPr>
          <w:rFonts w:hint="eastAsia"/>
          <w:color w:val="000000"/>
        </w:rPr>
        <w:t xml:space="preserve">支持耗材按组套入库。</w:t>
      </w:r>
      <w:r>
        <w:rPr>
          <w:color w:val="000000"/>
        </w:rPr>
      </w:r>
      <w:r/>
    </w:p>
    <w:p>
      <w:pPr>
        <w:pStyle w:val="1053"/>
        <w:ind w:left="-2" w:firstLine="362"/>
        <w:rPr>
          <w:bCs/>
          <w:color w:val="000000"/>
        </w:rPr>
      </w:pPr>
      <w:r>
        <w:rPr>
          <w:rFonts w:hint="eastAsia"/>
          <w:color w:val="000000"/>
        </w:rPr>
        <w:t xml:space="preserve">根据器械库房采购计划生成的供应商订单有查询、订单合并、订单退回、中止订单、通知供应商送货、添加、删除、修改、打印等功能。计划订单未响应未及时送货的供应商要有提醒功能。</w:t>
      </w:r>
      <w:r>
        <w:rPr>
          <w:rFonts w:hint="eastAsia"/>
          <w:bCs/>
          <w:color w:val="000000"/>
        </w:rPr>
        <w:t xml:space="preserve">实现与江苏省医用耗材招采平台对接，功能包括：提交采购订单，获取配送信息，收货，退货，撤单等。实现与江苏省医保监控平台对接，功能包括：医院库房耗材每日入库数据，医院库房耗材每日出库数据，医院库房耗材每日退货数据等。系统在发送订单时如出现价格、名称、中标编码等信息不一致时能提醒反馈并发送不成功。支持查询当月预估网采率功能，能够下载相关原始数据。</w:t>
      </w:r>
      <w:r>
        <w:rPr>
          <w:bCs/>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.7.2.14代销备货单</w:t>
      </w:r>
      <w:r/>
    </w:p>
    <w:p>
      <w:pPr>
        <w:pStyle w:val="1053"/>
        <w:ind w:left="-2" w:firstLine="362"/>
        <w:rPr>
          <w:color w:val="000000"/>
        </w:rPr>
      </w:pPr>
      <w:r>
        <w:rPr>
          <w:color w:val="000000"/>
        </w:rPr>
        <w:t xml:space="preserve">对于科室提交的申请，若是代销材料的话，</w:t>
      </w:r>
      <w:r>
        <w:rPr>
          <w:rFonts w:hint="eastAsia"/>
          <w:color w:val="000000"/>
        </w:rPr>
        <w:t xml:space="preserve">仓库保管员</w:t>
      </w:r>
      <w:r>
        <w:rPr>
          <w:color w:val="000000"/>
        </w:rPr>
        <w:t xml:space="preserve">可以根据</w:t>
      </w:r>
      <w:r>
        <w:rPr>
          <w:rFonts w:hint="eastAsia"/>
          <w:color w:val="000000"/>
        </w:rPr>
        <w:t xml:space="preserve">临床申请</w:t>
      </w:r>
      <w:r>
        <w:rPr>
          <w:color w:val="000000"/>
        </w:rPr>
        <w:t xml:space="preserve">生成代销备货单，也可以手动添加代销备货单</w:t>
      </w:r>
      <w:r>
        <w:rPr>
          <w:rFonts w:hint="eastAsia"/>
          <w:color w:val="000000"/>
        </w:rPr>
        <w:t xml:space="preserve">发送给采购中心实施采购</w:t>
      </w:r>
      <w:r>
        <w:rPr>
          <w:color w:val="000000"/>
        </w:rPr>
        <w:t xml:space="preserve">。同时可以灵活的查询代销备货单、执行状态和关联单据。</w:t>
      </w:r>
      <w:r>
        <w:rPr>
          <w:rFonts w:hint="eastAsia"/>
          <w:color w:val="000000"/>
        </w:rPr>
        <w:t xml:space="preserve">依据基数管理形成每月代销订单。</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.7.2.15采购发票管理</w:t>
      </w:r>
      <w:r/>
    </w:p>
    <w:p>
      <w:pPr>
        <w:pStyle w:val="1053"/>
        <w:ind w:left="-2" w:firstLine="362"/>
        <w:rPr>
          <w:color w:val="000000"/>
        </w:rPr>
      </w:pPr>
      <w:r>
        <w:rPr>
          <w:rFonts w:cs="Times New Roman"/>
          <w:bCs/>
          <w:color w:val="000000"/>
        </w:rPr>
        <w:t xml:space="preserve">支持采购发票的录入和编辑。入库时若填写发票号，则</w:t>
      </w:r>
      <w:r>
        <w:rPr>
          <w:rFonts w:hint="eastAsia" w:cs="Times New Roman"/>
          <w:bCs/>
          <w:color w:val="000000"/>
        </w:rPr>
        <w:t xml:space="preserve">库房会计</w:t>
      </w:r>
      <w:r>
        <w:rPr>
          <w:rFonts w:cs="Times New Roman"/>
          <w:bCs/>
          <w:color w:val="000000"/>
        </w:rPr>
        <w:t xml:space="preserve">可根据入库单直接生成</w:t>
      </w:r>
      <w:r>
        <w:rPr>
          <w:color w:val="000000"/>
        </w:rPr>
        <w:t xml:space="preserve">发票。亦可通过参照入库单创建发票。当票货同行时，</w:t>
      </w:r>
      <w:r>
        <w:rPr>
          <w:rFonts w:hint="eastAsia"/>
          <w:color w:val="000000"/>
        </w:rPr>
        <w:t xml:space="preserve">库房会计</w:t>
      </w:r>
      <w:r>
        <w:rPr>
          <w:color w:val="000000"/>
        </w:rPr>
        <w:t xml:space="preserve">确认采购发票，并据此形成和应付账款和成本，货到票未到，医院可以先做暂估记账，待发票到达后录入，完成结算业务。</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.7.2.16采购付款管理</w:t>
      </w:r>
      <w:r/>
    </w:p>
    <w:p>
      <w:pPr>
        <w:pStyle w:val="1053"/>
        <w:ind w:left="-2" w:firstLine="362"/>
        <w:rPr>
          <w:color w:val="000000"/>
        </w:rPr>
      </w:pPr>
      <w:r>
        <w:rPr>
          <w:color w:val="000000"/>
        </w:rPr>
        <w:t xml:space="preserve">可完成付款</w:t>
      </w:r>
      <w:r>
        <w:rPr>
          <w:rFonts w:hint="eastAsia"/>
          <w:color w:val="000000"/>
        </w:rPr>
        <w:t xml:space="preserve">申请</w:t>
      </w:r>
      <w:r>
        <w:rPr>
          <w:color w:val="000000"/>
        </w:rPr>
        <w:t xml:space="preserve">单、退款</w:t>
      </w:r>
      <w:r>
        <w:rPr>
          <w:rFonts w:hint="eastAsia"/>
          <w:color w:val="000000"/>
        </w:rPr>
        <w:t xml:space="preserve">申请</w:t>
      </w:r>
      <w:r>
        <w:rPr>
          <w:color w:val="000000"/>
        </w:rPr>
        <w:t xml:space="preserve">单的增加、修改、删除等管理功能，付款管理到付款单编辑时，自动与入库单核对。同时在月底由财务人员根据付款情况生成应付款凭证。向会计核算的往来管理模块传输数据。追踪每一笔业务的赊购和付款情况，逐笔编制凭证。</w:t>
      </w:r>
      <w:r/>
    </w:p>
    <w:p>
      <w:pPr>
        <w:pStyle w:val="1053"/>
        <w:ind w:left="-2" w:firstLine="362"/>
        <w:rPr>
          <w:color w:val="000000"/>
        </w:rPr>
      </w:pPr>
      <w:r>
        <w:rPr>
          <w:color w:val="000000"/>
        </w:rPr>
        <w:t xml:space="preserve">医院推护付款</w:t>
      </w:r>
      <w:r>
        <w:rPr>
          <w:rFonts w:hint="eastAsia"/>
          <w:color w:val="000000"/>
        </w:rPr>
        <w:t xml:space="preserve">申请</w:t>
      </w:r>
      <w:r>
        <w:rPr>
          <w:color w:val="000000"/>
        </w:rPr>
        <w:t xml:space="preserve">单，并可推送给供应商，查看付款进度，允许一张发票可分次进行</w:t>
      </w:r>
      <w:r>
        <w:rPr>
          <w:rFonts w:hint="eastAsia"/>
          <w:color w:val="000000"/>
        </w:rPr>
        <w:t xml:space="preserve">申请</w:t>
      </w:r>
      <w:r>
        <w:rPr>
          <w:color w:val="000000"/>
        </w:rPr>
        <w:t xml:space="preserve">付款，也可以多张发票进行合</w:t>
      </w:r>
      <w:r>
        <w:rPr>
          <w:rFonts w:hint="eastAsia"/>
          <w:color w:val="000000"/>
        </w:rPr>
        <w:t xml:space="preserve">并申请</w:t>
      </w:r>
      <w:r>
        <w:rPr>
          <w:color w:val="000000"/>
        </w:rPr>
        <w:t xml:space="preserve">付款。</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.7.2.17报表查询</w:t>
      </w:r>
      <w:r/>
    </w:p>
    <w:p>
      <w:pPr>
        <w:pStyle w:val="1053"/>
        <w:ind w:left="-2" w:firstLine="362"/>
        <w:rPr>
          <w:color w:val="000000"/>
        </w:rPr>
      </w:pPr>
      <w:r>
        <w:rPr>
          <w:color w:val="000000"/>
        </w:rPr>
        <w:t xml:space="preserve">可对采购需求</w:t>
      </w:r>
      <w:r>
        <w:rPr>
          <w:rFonts w:hint="eastAsia"/>
          <w:color w:val="000000"/>
        </w:rPr>
        <w:t xml:space="preserve">、</w:t>
      </w:r>
      <w:r>
        <w:rPr>
          <w:color w:val="000000"/>
        </w:rPr>
        <w:t xml:space="preserve">采购计划</w:t>
      </w:r>
      <w:r>
        <w:rPr>
          <w:rFonts w:hint="eastAsia"/>
          <w:color w:val="000000"/>
        </w:rPr>
        <w:t xml:space="preserve">、</w:t>
      </w:r>
      <w:r>
        <w:rPr>
          <w:color w:val="000000"/>
        </w:rPr>
        <w:t xml:space="preserve">采购发票</w:t>
      </w:r>
      <w:r>
        <w:rPr>
          <w:rFonts w:hint="eastAsia"/>
          <w:color w:val="000000"/>
        </w:rPr>
        <w:t xml:space="preserve">、</w:t>
      </w:r>
      <w:r>
        <w:rPr>
          <w:color w:val="000000"/>
        </w:rPr>
        <w:t xml:space="preserve">采购付款</w:t>
      </w:r>
      <w:r>
        <w:rPr>
          <w:rFonts w:hint="eastAsia"/>
          <w:color w:val="000000"/>
        </w:rPr>
        <w:t xml:space="preserve">、</w:t>
      </w:r>
      <w:r>
        <w:rPr>
          <w:color w:val="000000"/>
        </w:rPr>
        <w:t xml:space="preserve">账龄分析等报表进行管理和查询。</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.7.2.1</w:t>
      </w:r>
      <w:r>
        <w:rPr>
          <w:rFonts w:hint="eastAsia" w:hAnsi="宋体"/>
        </w:rPr>
        <w:t xml:space="preserve">8手术套包</w:t>
      </w:r>
      <w:r>
        <w:rPr>
          <w:rFonts w:hAnsi="宋体"/>
        </w:rPr>
      </w:r>
      <w:r/>
    </w:p>
    <w:p>
      <w:pPr>
        <w:pStyle w:val="1053"/>
        <w:ind w:left="-2" w:firstLine="362"/>
        <w:rPr>
          <w:color w:val="000000"/>
        </w:rPr>
      </w:pPr>
      <w:r>
        <w:rPr>
          <w:rFonts w:hint="eastAsia"/>
          <w:color w:val="000000"/>
        </w:rPr>
        <w:t xml:space="preserve">手术跟台系统，增加手术字典、手术申请单、手术备货单、手术预送货单、手术确认单环节，依据实际使用情况，最终系统直接形成专购品入库。</w:t>
      </w:r>
      <w:r>
        <w:rPr>
          <w:color w:val="000000"/>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w:t>
      </w:r>
      <w:r>
        <w:rPr>
          <w:rFonts w:hint="eastAsia" w:hAnsi="宋体"/>
        </w:rPr>
        <w:t xml:space="preserve">19手术跟台管理</w:t>
      </w:r>
      <w:r>
        <w:rPr>
          <w:rFonts w:hAnsi="宋体"/>
        </w:rPr>
      </w:r>
      <w:r/>
    </w:p>
    <w:p>
      <w:pPr>
        <w:pStyle w:val="937"/>
        <w:ind w:firstLine="420"/>
        <w:spacing w:line="360" w:lineRule="auto"/>
        <w:rPr>
          <w:rFonts w:ascii="宋体" w:hAnsi="宋体" w:cs="微软雅黑"/>
          <w:color w:val="000000"/>
          <w:sz w:val="24"/>
        </w:rPr>
      </w:pPr>
      <w:r>
        <w:rPr>
          <w:rFonts w:hint="eastAsia" w:ascii="宋体" w:hAnsi="宋体" w:cs="微软雅黑"/>
          <w:color w:val="000000"/>
          <w:sz w:val="24"/>
        </w:rPr>
        <w:t xml:space="preserve">支持经过</w:t>
      </w:r>
      <w:r>
        <w:rPr>
          <w:rFonts w:ascii="宋体" w:hAnsi="宋体" w:cs="微软雅黑"/>
          <w:color w:val="000000"/>
          <w:sz w:val="24"/>
        </w:rPr>
        <w:t xml:space="preserve">审核的医嘱发送组套包手术备货单发送给供应商备货。</w:t>
      </w:r>
      <w:r>
        <w:rPr>
          <w:rFonts w:hint="eastAsia" w:ascii="宋体" w:hAnsi="宋体" w:cs="微软雅黑"/>
          <w:color w:val="000000"/>
          <w:sz w:val="24"/>
        </w:rPr>
        <w:t xml:space="preserve">支持</w:t>
      </w:r>
      <w:r>
        <w:rPr>
          <w:rFonts w:ascii="宋体" w:hAnsi="宋体" w:cs="微软雅黑"/>
          <w:color w:val="000000"/>
          <w:sz w:val="24"/>
        </w:rPr>
        <w:t xml:space="preserve">审核、通知供应商功能</w:t>
      </w:r>
      <w:r>
        <w:rPr>
          <w:rFonts w:hint="eastAsia" w:ascii="宋体" w:hAnsi="宋体" w:cs="微软雅黑"/>
          <w:color w:val="000000"/>
          <w:sz w:val="24"/>
        </w:rPr>
        <w:t xml:space="preserve">；支持查看</w:t>
      </w:r>
      <w:r>
        <w:rPr>
          <w:rFonts w:ascii="宋体" w:hAnsi="宋体" w:cs="微软雅黑"/>
          <w:color w:val="000000"/>
          <w:sz w:val="24"/>
        </w:rPr>
        <w:t xml:space="preserve">审批情况和供应商响应送货情况。</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.7.2.</w:t>
      </w:r>
      <w:r>
        <w:rPr>
          <w:rFonts w:hint="eastAsia" w:hAnsi="宋体"/>
        </w:rPr>
        <w:t xml:space="preserve">20供应商管理</w:t>
      </w:r>
      <w:r>
        <w:rPr>
          <w:rFonts w:hAnsi="宋体"/>
        </w:rPr>
      </w:r>
      <w:r/>
    </w:p>
    <w:p>
      <w:pPr>
        <w:pStyle w:val="1053"/>
        <w:ind w:left="-2" w:firstLine="362"/>
        <w:rPr>
          <w:color w:val="000000"/>
        </w:rPr>
      </w:pPr>
      <w:r>
        <w:rPr>
          <w:rFonts w:hint="eastAsia"/>
          <w:color w:val="000000"/>
        </w:rPr>
        <w:t xml:space="preserve">能实现对供应商年度工作的评价管理，打分后能汇总实现供应商评价报告（包含供应商服务表现，证照上传维护及时性、订单完成情况、入库单情况、入库耗材情况、供应商平均响应时间、供应商平均配送时长、送货单平均入库率、证照审核次数、发票总数量、对完成好或者不好的供应商排名等有数据和图表统计）；</w:t>
      </w:r>
      <w:r>
        <w:rPr>
          <w:color w:val="000000"/>
        </w:rPr>
      </w:r>
      <w:r/>
    </w:p>
    <w:p>
      <w:pPr>
        <w:pStyle w:val="942"/>
        <w:ind w:left="-2"/>
        <w:spacing w:line="360" w:lineRule="auto"/>
        <w:tabs>
          <w:tab w:val="left" w:pos="360" w:leader="none"/>
        </w:tabs>
        <w:rPr>
          <w:rFonts w:hAnsi="宋体"/>
        </w:rPr>
      </w:pPr>
      <w:r>
        <w:rPr>
          <w:rFonts w:hint="eastAsia" w:hAnsi="宋体"/>
        </w:rPr>
        <w:t xml:space="preserve">3.7.2.21院外供应商协同平台</w:t>
      </w:r>
      <w:r>
        <w:rPr>
          <w:rFonts w:hAnsi="宋体"/>
        </w:rPr>
      </w:r>
      <w:r/>
    </w:p>
    <w:p>
      <w:pPr>
        <w:pStyle w:val="1053"/>
        <w:ind w:firstLine="420"/>
        <w:rPr>
          <w:color w:val="000000"/>
        </w:rPr>
      </w:pPr>
      <w:r>
        <w:rPr>
          <w:rFonts w:hint="eastAsia"/>
          <w:color w:val="000000"/>
        </w:rPr>
        <w:t xml:space="preserve">提供院外供应商协同平台，支持移动端、P</w:t>
      </w:r>
      <w:r>
        <w:rPr>
          <w:color w:val="000000"/>
        </w:rPr>
        <w:t xml:space="preserve">C</w:t>
      </w:r>
      <w:r>
        <w:rPr>
          <w:rFonts w:hint="eastAsia"/>
          <w:color w:val="000000"/>
        </w:rPr>
        <w:t xml:space="preserve">端访问，所有功能无条件、无期限、无费用向医院所有供应商提供：</w:t>
      </w:r>
      <w:r>
        <w:rPr>
          <w:color w:val="000000"/>
        </w:rPr>
      </w:r>
      <w:r/>
    </w:p>
    <w:p>
      <w:pPr>
        <w:pStyle w:val="1053"/>
        <w:numPr>
          <w:ilvl w:val="0"/>
          <w:numId w:val="36"/>
        </w:numPr>
        <w:rPr>
          <w:color w:val="000000"/>
        </w:rPr>
      </w:pPr>
      <w:r>
        <w:rPr>
          <w:rFonts w:hint="eastAsia"/>
          <w:color w:val="000000"/>
        </w:rPr>
        <w:t xml:space="preserve">供应商证件管理</w:t>
      </w:r>
      <w:r>
        <w:rPr>
          <w:color w:val="000000"/>
        </w:rPr>
      </w:r>
      <w:r/>
    </w:p>
    <w:p>
      <w:pPr>
        <w:pStyle w:val="1053"/>
        <w:ind w:firstLine="420"/>
        <w:rPr>
          <w:color w:val="000000"/>
        </w:rPr>
      </w:pPr>
      <w:r>
        <w:rPr>
          <w:rFonts w:hint="eastAsia"/>
          <w:color w:val="000000"/>
        </w:rPr>
        <w:t xml:space="preserve">供应商根据医院提供的供应商编号，提交绑定申请。随申请附上供应商的资质证件信息，由医院端审核。可查看、审核供应商在供应商端上传证的件信息，对不合格证件可退回供应商重新提交。 </w:t>
      </w:r>
      <w:r>
        <w:rPr>
          <w:color w:val="000000"/>
        </w:rPr>
      </w:r>
      <w:r/>
    </w:p>
    <w:p>
      <w:pPr>
        <w:pStyle w:val="1053"/>
        <w:numPr>
          <w:ilvl w:val="0"/>
          <w:numId w:val="36"/>
        </w:numPr>
        <w:rPr>
          <w:color w:val="000000"/>
        </w:rPr>
      </w:pPr>
      <w:r>
        <w:rPr>
          <w:rFonts w:hint="eastAsia"/>
          <w:color w:val="000000"/>
        </w:rPr>
        <w:t xml:space="preserve">订单管理</w:t>
      </w:r>
      <w:r>
        <w:rPr>
          <w:color w:val="000000"/>
        </w:rPr>
      </w:r>
      <w:r/>
    </w:p>
    <w:p>
      <w:pPr>
        <w:pStyle w:val="1053"/>
        <w:ind w:firstLine="420"/>
        <w:rPr>
          <w:color w:val="000000"/>
        </w:rPr>
      </w:pPr>
      <w:r>
        <w:rPr>
          <w:rFonts w:hint="eastAsia"/>
          <w:color w:val="000000"/>
        </w:rPr>
        <w:t xml:space="preserve">院方可查看院外订单的详细信息，包括材料项明细、订单的日期与金额、订单状态和关联送货单等情况。也可将订单同步到供应商端，供应商可在供应商端看到院方已通知的订单，并做配送处理。 </w:t>
      </w:r>
      <w:r>
        <w:rPr>
          <w:color w:val="000000"/>
        </w:rPr>
      </w:r>
      <w:r/>
    </w:p>
    <w:p>
      <w:pPr>
        <w:pStyle w:val="1053"/>
        <w:numPr>
          <w:ilvl w:val="0"/>
          <w:numId w:val="36"/>
        </w:numPr>
        <w:rPr>
          <w:color w:val="000000"/>
        </w:rPr>
      </w:pPr>
      <w:r>
        <w:rPr>
          <w:rFonts w:hint="eastAsia"/>
          <w:color w:val="000000"/>
        </w:rPr>
        <w:t xml:space="preserve">物流管理</w:t>
      </w:r>
      <w:r>
        <w:rPr>
          <w:color w:val="000000"/>
        </w:rPr>
      </w:r>
      <w:r/>
    </w:p>
    <w:p>
      <w:pPr>
        <w:pStyle w:val="1053"/>
        <w:ind w:firstLine="420"/>
        <w:rPr>
          <w:color w:val="000000"/>
        </w:rPr>
      </w:pPr>
      <w:r>
        <w:rPr>
          <w:rFonts w:hint="eastAsia"/>
          <w:color w:val="000000"/>
        </w:rPr>
        <w:t xml:space="preserve">医院对供应商推送过来的新品进行信息完善和审核等操作，从而可以开展后续交易等业务。维护医院现有的材料信息，包括材料编码、分类、规格型号、属性维护以及核定的供应商信息。</w:t>
      </w:r>
      <w:r>
        <w:rPr>
          <w:color w:val="000000"/>
        </w:rPr>
      </w:r>
      <w:r/>
    </w:p>
    <w:p>
      <w:pPr>
        <w:pStyle w:val="1053"/>
        <w:numPr>
          <w:ilvl w:val="0"/>
          <w:numId w:val="36"/>
        </w:numPr>
        <w:rPr>
          <w:color w:val="000000"/>
        </w:rPr>
      </w:pPr>
      <w:r>
        <w:rPr>
          <w:rFonts w:hint="eastAsia"/>
          <w:color w:val="000000"/>
        </w:rPr>
        <w:t xml:space="preserve">证件审核</w:t>
      </w:r>
      <w:r>
        <w:rPr>
          <w:color w:val="000000"/>
        </w:rPr>
      </w:r>
      <w:r/>
    </w:p>
    <w:p>
      <w:pPr>
        <w:pStyle w:val="1053"/>
        <w:ind w:firstLine="420"/>
        <w:rPr>
          <w:color w:val="000000"/>
        </w:rPr>
      </w:pPr>
      <w:r>
        <w:rPr>
          <w:rFonts w:hint="eastAsia"/>
          <w:color w:val="000000"/>
        </w:rPr>
        <w:t xml:space="preserve">院方可审核由供应商推送过来的材料证件信息，通过审核或者驳回证件。查看供应商上传的厂商证件信息，包括证件名称、类型、有效期限和审核状态等。 院方可按照材料证件、供应商证件、厂商证件详细分类分别设置其预警信息，包括证件是否需要预警以及需要前预警的天数。</w:t>
      </w:r>
      <w:r>
        <w:rPr>
          <w:color w:val="000000"/>
        </w:rPr>
      </w:r>
      <w:r/>
    </w:p>
    <w:p>
      <w:pPr>
        <w:pStyle w:val="1053"/>
        <w:numPr>
          <w:ilvl w:val="0"/>
          <w:numId w:val="36"/>
        </w:numPr>
        <w:rPr>
          <w:color w:val="000000"/>
        </w:rPr>
      </w:pPr>
      <w:r>
        <w:rPr>
          <w:rFonts w:hint="eastAsia"/>
          <w:color w:val="000000"/>
        </w:rPr>
        <w:t xml:space="preserve">产品管理</w:t>
      </w:r>
      <w:r>
        <w:rPr>
          <w:color w:val="000000"/>
        </w:rPr>
      </w:r>
      <w:r/>
    </w:p>
    <w:p>
      <w:pPr>
        <w:pStyle w:val="1053"/>
        <w:ind w:firstLine="420"/>
        <w:rPr>
          <w:color w:val="000000"/>
        </w:rPr>
      </w:pPr>
      <w:r>
        <w:rPr>
          <w:rFonts w:hint="eastAsia"/>
          <w:color w:val="000000"/>
        </w:rPr>
        <w:t xml:space="preserve">医院对供应商推送过来的产品进行信息完善和审核等操作，将产品转化为正式材料字典，从而可以开展后续交易等业务。 </w:t>
      </w:r>
      <w:r>
        <w:rPr>
          <w:color w:val="000000"/>
        </w:rPr>
      </w:r>
      <w:r/>
    </w:p>
    <w:p>
      <w:pPr>
        <w:pStyle w:val="1053"/>
        <w:numPr>
          <w:ilvl w:val="0"/>
          <w:numId w:val="36"/>
        </w:numPr>
        <w:rPr>
          <w:color w:val="000000"/>
        </w:rPr>
      </w:pPr>
      <w:r>
        <w:rPr>
          <w:rFonts w:hint="eastAsia"/>
          <w:color w:val="000000"/>
        </w:rPr>
        <w:t xml:space="preserve">消息管理 </w:t>
      </w:r>
      <w:r>
        <w:rPr>
          <w:color w:val="000000"/>
        </w:rPr>
      </w:r>
      <w:r/>
    </w:p>
    <w:p>
      <w:pPr>
        <w:pStyle w:val="1053"/>
        <w:ind w:firstLine="420"/>
        <w:rPr>
          <w:color w:val="000000"/>
        </w:rPr>
      </w:pPr>
      <w:r>
        <w:rPr>
          <w:rFonts w:hint="eastAsia"/>
          <w:color w:val="000000"/>
        </w:rPr>
        <w:t xml:space="preserve">院方可向指定或者全部供应商发布公告、通知，供应商在供应商端可实时查看。供应商变更产品信息（包括价格、数量、名称等）时，推送变更消息至院方。</w:t>
      </w:r>
      <w:r>
        <w:rPr>
          <w:color w:val="000000"/>
        </w:rPr>
      </w:r>
      <w:r/>
    </w:p>
    <w:p>
      <w:pPr>
        <w:pStyle w:val="1053"/>
        <w:numPr>
          <w:ilvl w:val="0"/>
          <w:numId w:val="36"/>
        </w:numPr>
        <w:rPr>
          <w:color w:val="000000"/>
        </w:rPr>
      </w:pPr>
      <w:r>
        <w:rPr>
          <w:rFonts w:hint="eastAsia"/>
          <w:color w:val="000000"/>
        </w:rPr>
        <w:t xml:space="preserve">配置管理 </w:t>
      </w:r>
      <w:r>
        <w:rPr>
          <w:color w:val="000000"/>
        </w:rPr>
      </w:r>
      <w:r/>
    </w:p>
    <w:p>
      <w:pPr>
        <w:pStyle w:val="1053"/>
        <w:ind w:firstLine="420"/>
        <w:rPr>
          <w:color w:val="000000"/>
        </w:rPr>
      </w:pPr>
      <w:r>
        <w:rPr>
          <w:rFonts w:hint="eastAsia"/>
          <w:color w:val="000000"/>
        </w:rPr>
        <w:t xml:space="preserve">院方可按照高值耗材和低值耗材分别配置条码需要包含的参数，供应商需在供应商端打印的条码信息，包括一维码和二维码。</w:t>
      </w:r>
      <w:r>
        <w:rPr>
          <w:color w:val="000000"/>
        </w:rPr>
      </w:r>
      <w:r/>
    </w:p>
    <w:p>
      <w:pPr>
        <w:pStyle w:val="1053"/>
        <w:ind w:firstLine="420"/>
        <w:rPr>
          <w:color w:val="000000"/>
        </w:rPr>
      </w:pPr>
      <w:r>
        <w:rPr>
          <w:rFonts w:hint="eastAsia"/>
          <w:color w:val="000000"/>
        </w:rPr>
        <w:t xml:space="preserve">院外协同平台还包括供应商端，为供应商提供医院物流协同管理功能，包括订单管理、送货管理、证件管理、材料管理、医院管理、发票管理、产品管理、统计查询等功能。</w:t>
      </w:r>
      <w:r>
        <w:rPr>
          <w:color w:val="000000"/>
        </w:rPr>
      </w:r>
      <w:r/>
    </w:p>
    <w:p>
      <w:pPr>
        <w:pStyle w:val="940"/>
        <w:numPr>
          <w:ilvl w:val="1"/>
          <w:numId w:val="34"/>
        </w:numPr>
        <w:jc w:val="left"/>
        <w:keepLines w:val="0"/>
        <w:spacing w:before="0" w:after="0" w:line="360" w:lineRule="auto"/>
        <w:tabs>
          <w:tab w:val="left" w:pos="360" w:leader="none"/>
        </w:tabs>
        <w:rPr>
          <w:rFonts w:ascii="宋体" w:hAnsi="宋体"/>
          <w:color w:val="000000"/>
          <w:sz w:val="24"/>
        </w:rPr>
      </w:pPr>
      <w:r/>
      <w:bookmarkStart w:id="225" w:name="_Toc150521653"/>
      <w:r>
        <w:rPr>
          <w:rFonts w:hint="eastAsia" w:ascii="宋体" w:hAnsi="宋体"/>
          <w:color w:val="000000"/>
          <w:sz w:val="24"/>
        </w:rPr>
        <w:t xml:space="preserve">综合运营分析平台</w:t>
      </w:r>
      <w:bookmarkEnd w:id="225"/>
      <w:r>
        <w:rPr>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.8.1</w:t>
      </w:r>
      <w:r>
        <w:rPr>
          <w:rFonts w:hint="eastAsia" w:ascii="宋体" w:hAnsi="宋体" w:eastAsia="宋体"/>
          <w:color w:val="000000"/>
          <w:sz w:val="24"/>
        </w:rPr>
        <w:t xml:space="preserve">建设要求</w:t>
      </w:r>
      <w:r>
        <w:rPr>
          <w:rFonts w:ascii="宋体" w:hAnsi="宋体" w:eastAsia="宋体"/>
          <w:color w:val="000000"/>
          <w:sz w:val="24"/>
        </w:rPr>
      </w:r>
      <w:r/>
    </w:p>
    <w:p>
      <w:pPr>
        <w:pStyle w:val="937"/>
        <w:ind w:firstLine="480"/>
        <w:spacing w:line="360" w:lineRule="auto"/>
        <w:rPr>
          <w:rStyle w:val="1054"/>
          <w:rFonts w:ascii="宋体" w:hAnsi="宋体"/>
          <w:color w:val="000000"/>
          <w:sz w:val="24"/>
        </w:rPr>
      </w:pPr>
      <w:r>
        <w:rPr>
          <w:rStyle w:val="1054"/>
          <w:rFonts w:hint="eastAsia" w:ascii="宋体" w:hAnsi="宋体"/>
          <w:color w:val="000000"/>
          <w:sz w:val="24"/>
        </w:rPr>
        <w:t xml:space="preserve">针对医疗服务年度运营目标指标，以及其他需要纳入日常监测范围的医疗服务指标，建立院级运营大屏，实现院级实时运营监测预警，运营监测系统可针对医疗服务关键指标，设置绝对值阈值、波动范围值、目标值、预算值等，在指标分析过程中可清晰进行对比，快速定位问题指标。</w:t>
      </w:r>
      <w:r>
        <w:rPr>
          <w:rStyle w:val="1054"/>
          <w:rFonts w:ascii="宋体" w:hAnsi="宋体"/>
          <w:color w:val="000000"/>
          <w:sz w:val="24"/>
        </w:rPr>
      </w:r>
      <w:r/>
    </w:p>
    <w:p>
      <w:pPr>
        <w:pStyle w:val="937"/>
        <w:ind w:firstLine="480"/>
        <w:spacing w:line="360" w:lineRule="auto"/>
        <w:rPr>
          <w:rStyle w:val="1054"/>
          <w:rFonts w:ascii="宋体" w:hAnsi="宋体"/>
          <w:color w:val="000000"/>
          <w:sz w:val="24"/>
        </w:rPr>
      </w:pPr>
      <w:r>
        <w:rPr>
          <w:rStyle w:val="1054"/>
          <w:rFonts w:hint="eastAsia" w:ascii="宋体" w:hAnsi="宋体"/>
          <w:color w:val="000000"/>
          <w:sz w:val="24"/>
        </w:rPr>
        <w:t xml:space="preserve">运营分析指标涵盖运营管理关键指标、日常运营监控指标，在定制化院级驾驶舱上进行展示分析。通过接口获取最新数据进行汇总计算，保障数据实时性。</w:t>
      </w:r>
      <w:r>
        <w:rPr>
          <w:rStyle w:val="1054"/>
          <w:rFonts w:ascii="宋体" w:hAnsi="宋体"/>
          <w:color w:val="000000"/>
          <w:sz w:val="24"/>
        </w:rPr>
      </w:r>
      <w:r/>
    </w:p>
    <w:p>
      <w:pPr>
        <w:pStyle w:val="941"/>
        <w:jc w:val="left"/>
        <w:spacing w:line="360" w:lineRule="auto"/>
        <w:rPr>
          <w:rFonts w:ascii="宋体" w:hAnsi="宋体" w:eastAsia="宋体"/>
          <w:color w:val="000000"/>
          <w:sz w:val="24"/>
        </w:rPr>
      </w:pPr>
      <w:r>
        <w:rPr>
          <w:rFonts w:hint="eastAsia" w:ascii="宋体" w:hAnsi="宋体" w:eastAsia="宋体"/>
          <w:color w:val="000000"/>
          <w:sz w:val="24"/>
        </w:rPr>
        <w:t xml:space="preserve">3</w:t>
      </w:r>
      <w:r>
        <w:rPr>
          <w:rFonts w:ascii="宋体" w:hAnsi="宋体" w:eastAsia="宋体"/>
          <w:color w:val="000000"/>
          <w:sz w:val="24"/>
        </w:rPr>
        <w:t xml:space="preserve">.8.2</w:t>
      </w:r>
      <w:r>
        <w:rPr>
          <w:rFonts w:hint="eastAsia" w:ascii="宋体" w:hAnsi="宋体" w:eastAsia="宋体"/>
          <w:color w:val="000000"/>
          <w:sz w:val="24"/>
        </w:rPr>
        <w:t xml:space="preserve">业务需求</w:t>
      </w:r>
      <w:r>
        <w:rPr>
          <w:rFonts w:ascii="宋体" w:hAnsi="宋体" w:eastAsia="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.8.2.1</w:t>
      </w:r>
      <w:r>
        <w:rPr>
          <w:rFonts w:hint="eastAsia" w:hAnsi="宋体"/>
        </w:rPr>
        <w:t xml:space="preserve">预算分析</w:t>
      </w:r>
      <w:r>
        <w:rPr>
          <w:rFonts w:hAnsi="宋体"/>
        </w:rPr>
      </w:r>
      <w:r/>
    </w:p>
    <w:p>
      <w:pPr>
        <w:pStyle w:val="937"/>
        <w:ind w:left="-2" w:firstLine="427"/>
        <w:spacing w:line="360" w:lineRule="auto"/>
        <w:rPr>
          <w:rStyle w:val="1054"/>
          <w:rFonts w:ascii="宋体" w:hAnsi="宋体"/>
          <w:color w:val="000000"/>
          <w:sz w:val="24"/>
        </w:rPr>
      </w:pPr>
      <w:r>
        <w:rPr>
          <w:rStyle w:val="1054"/>
          <w:rFonts w:hint="eastAsia" w:ascii="宋体" w:hAnsi="宋体"/>
          <w:color w:val="000000"/>
          <w:sz w:val="24"/>
        </w:rPr>
        <w:t xml:space="preserve">预算分析主题，建立预算管理目标和预算项目、关键指标的预算执行对比分析，辅助医院评价年度预算目标和预算项目的合理性。</w:t>
      </w:r>
      <w:r>
        <w:rPr>
          <w:rStyle w:val="1054"/>
          <w:rFonts w:ascii="宋体" w:hAnsi="宋体"/>
          <w:color w:val="000000"/>
          <w:sz w:val="24"/>
        </w:rPr>
      </w:r>
      <w:r/>
    </w:p>
    <w:p>
      <w:pPr>
        <w:pStyle w:val="937"/>
        <w:ind w:left="-2" w:firstLine="427"/>
        <w:spacing w:line="360" w:lineRule="auto"/>
        <w:rPr>
          <w:rStyle w:val="1054"/>
          <w:rFonts w:ascii="宋体" w:hAnsi="宋体"/>
          <w:color w:val="000000"/>
          <w:sz w:val="24"/>
        </w:rPr>
      </w:pPr>
      <w:r>
        <w:rPr>
          <w:rStyle w:val="1054"/>
          <w:rFonts w:hint="eastAsia" w:ascii="宋体" w:hAnsi="宋体"/>
          <w:color w:val="000000"/>
          <w:sz w:val="24"/>
        </w:rPr>
        <w:t xml:space="preserve">对关键财务指标的预算完成率进行分析，在预算管理目标与</w:t>
      </w:r>
      <w:r>
        <w:rPr>
          <w:rStyle w:val="1054"/>
          <w:rFonts w:hint="eastAsia" w:ascii="宋体" w:hAnsi="宋体"/>
          <w:color w:val="000000"/>
          <w:sz w:val="24"/>
        </w:rPr>
        <w:t xml:space="preserve">执行数据</w:t>
      </w:r>
      <w:r>
        <w:rPr>
          <w:rStyle w:val="1054"/>
          <w:rFonts w:hint="eastAsia" w:ascii="宋体" w:hAnsi="宋体"/>
          <w:color w:val="000000"/>
          <w:sz w:val="24"/>
        </w:rPr>
        <w:t xml:space="preserve">据采集、治理的基础上，包括预算收入、预算支出两大类。支持分析全院预算执行情况及科室预算执行情况，帮助科室及时发现预算执行进度异常的原因。</w:t>
      </w:r>
      <w:r>
        <w:rPr>
          <w:rStyle w:val="1054"/>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.8.2.2</w:t>
      </w:r>
      <w:r>
        <w:rPr>
          <w:rFonts w:hint="eastAsia" w:hAnsi="宋体"/>
        </w:rPr>
        <w:t xml:space="preserve">财务分析</w:t>
      </w:r>
      <w:r>
        <w:rPr>
          <w:rFonts w:hAnsi="宋体"/>
        </w:rPr>
      </w:r>
      <w:r/>
    </w:p>
    <w:p>
      <w:pPr>
        <w:pStyle w:val="937"/>
        <w:ind w:firstLine="480"/>
        <w:spacing w:line="360" w:lineRule="auto"/>
        <w:rPr>
          <w:rStyle w:val="1054"/>
          <w:rFonts w:ascii="宋体" w:hAnsi="宋体"/>
          <w:color w:val="000000"/>
          <w:sz w:val="24"/>
        </w:rPr>
      </w:pPr>
      <w:r>
        <w:rPr>
          <w:rStyle w:val="1054"/>
          <w:rFonts w:ascii="宋体" w:hAnsi="宋体"/>
          <w:color w:val="000000"/>
          <w:sz w:val="24"/>
        </w:rPr>
        <w:t xml:space="preserve">财务</w:t>
      </w:r>
      <w:r>
        <w:rPr>
          <w:rStyle w:val="1054"/>
          <w:rFonts w:hint="eastAsia" w:ascii="宋体" w:hAnsi="宋体"/>
          <w:color w:val="000000"/>
          <w:sz w:val="24"/>
        </w:rPr>
        <w:t xml:space="preserve">综合分析、收入分析、结余分析功能，</w:t>
      </w:r>
      <w:r>
        <w:rPr>
          <w:rStyle w:val="1054"/>
          <w:rFonts w:ascii="宋体" w:hAnsi="宋体"/>
          <w:color w:val="000000"/>
          <w:sz w:val="24"/>
        </w:rPr>
        <w:t xml:space="preserve">支持</w:t>
      </w:r>
      <w:r>
        <w:rPr>
          <w:rStyle w:val="1054"/>
          <w:rFonts w:hint="eastAsia" w:ascii="宋体" w:hAnsi="宋体"/>
          <w:color w:val="000000"/>
          <w:sz w:val="24"/>
        </w:rPr>
        <w:t xml:space="preserve">同比</w:t>
      </w:r>
      <w:r>
        <w:rPr>
          <w:rStyle w:val="1054"/>
          <w:rFonts w:ascii="宋体" w:hAnsi="宋体"/>
          <w:color w:val="000000"/>
          <w:sz w:val="24"/>
        </w:rPr>
        <w:t xml:space="preserve">、环比、对比和结构等多种分析方法，支持</w:t>
      </w:r>
      <w:r>
        <w:rPr>
          <w:rStyle w:val="1054"/>
          <w:rFonts w:hint="eastAsia" w:ascii="宋体" w:hAnsi="宋体"/>
          <w:color w:val="000000"/>
          <w:sz w:val="24"/>
        </w:rPr>
        <w:t xml:space="preserve">多层级、多维度的联动、下钻等</w:t>
      </w:r>
      <w:r>
        <w:rPr>
          <w:rStyle w:val="1054"/>
          <w:rFonts w:ascii="宋体" w:hAnsi="宋体"/>
          <w:color w:val="000000"/>
          <w:sz w:val="24"/>
        </w:rPr>
        <w:t xml:space="preserve">图形、表格的展现方式。</w:t>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.8.2.3</w:t>
      </w:r>
      <w:r>
        <w:rPr>
          <w:rFonts w:hint="eastAsia" w:hAnsi="宋体"/>
        </w:rPr>
        <w:t xml:space="preserve">人力资源分析</w:t>
      </w:r>
      <w:r>
        <w:rPr>
          <w:rFonts w:hAnsi="宋体"/>
        </w:rPr>
      </w:r>
      <w:r/>
    </w:p>
    <w:p>
      <w:pPr>
        <w:pStyle w:val="937"/>
        <w:ind w:right="240" w:firstLine="480"/>
        <w:spacing w:line="360" w:lineRule="auto"/>
        <w:rPr>
          <w:rStyle w:val="1054"/>
          <w:rFonts w:ascii="宋体" w:hAnsi="宋体"/>
          <w:color w:val="000000"/>
          <w:sz w:val="24"/>
        </w:rPr>
      </w:pPr>
      <w:r>
        <w:rPr>
          <w:rStyle w:val="1054"/>
          <w:rFonts w:hint="eastAsia" w:ascii="宋体" w:hAnsi="宋体"/>
          <w:color w:val="000000"/>
          <w:sz w:val="24"/>
        </w:rPr>
        <w:t xml:space="preserve">人员概况分析、人员配置分析、人员效率分析，帮助医院管理者了解医院整体人力资源情况、人力配比合理度以及人均创收、创效情况等。</w:t>
      </w:r>
      <w:r>
        <w:rPr>
          <w:rStyle w:val="1054"/>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.8.2.4</w:t>
      </w:r>
      <w:r>
        <w:rPr>
          <w:rFonts w:hint="eastAsia" w:hAnsi="宋体"/>
        </w:rPr>
        <w:t xml:space="preserve">设备资产分析</w:t>
      </w:r>
      <w:r>
        <w:rPr>
          <w:rFonts w:hAnsi="宋体"/>
        </w:rPr>
      </w:r>
      <w:r/>
    </w:p>
    <w:p>
      <w:pPr>
        <w:pStyle w:val="937"/>
        <w:ind w:firstLine="480"/>
        <w:spacing w:line="360" w:lineRule="auto"/>
        <w:widowControl/>
        <w:rPr>
          <w:rFonts w:ascii="宋体" w:hAnsi="宋体"/>
          <w:color w:val="000000"/>
          <w:sz w:val="24"/>
        </w:rPr>
      </w:pPr>
      <w:r>
        <w:rPr>
          <w:rFonts w:hint="eastAsia" w:ascii="宋体" w:hAnsi="宋体"/>
          <w:color w:val="000000"/>
          <w:sz w:val="24"/>
        </w:rPr>
        <w:t xml:space="preserve">设备资产分析结合原值、数量、折旧及折旧占比、周转情况等数据，通过固定资产数据结合物资周转率、固定资产增长率、投资回报率等指标分析，使设备资源减少资金占用，避免浪费，降低成本。</w:t>
      </w:r>
      <w:r>
        <w:rPr>
          <w:rFonts w:ascii="宋体" w:hAnsi="宋体"/>
          <w:color w:val="000000"/>
          <w:sz w:val="24"/>
        </w:rPr>
      </w:r>
      <w:r/>
    </w:p>
    <w:p>
      <w:pPr>
        <w:pStyle w:val="942"/>
        <w:ind w:left="-2"/>
        <w:spacing w:line="360" w:lineRule="auto"/>
        <w:tabs>
          <w:tab w:val="left" w:pos="360" w:leader="none"/>
        </w:tabs>
        <w:rPr>
          <w:rFonts w:hAnsi="宋体"/>
        </w:rPr>
      </w:pPr>
      <w:r>
        <w:rPr>
          <w:rFonts w:hint="eastAsia" w:hAnsi="宋体"/>
        </w:rPr>
        <w:t xml:space="preserve">3</w:t>
      </w:r>
      <w:r>
        <w:rPr>
          <w:rFonts w:hAnsi="宋体"/>
        </w:rPr>
        <w:t xml:space="preserve">.8.2.5</w:t>
      </w:r>
      <w:r>
        <w:rPr>
          <w:rFonts w:hint="eastAsia" w:hAnsi="宋体"/>
        </w:rPr>
        <w:t xml:space="preserve">耗材收支分析</w:t>
      </w:r>
      <w:r>
        <w:rPr>
          <w:rFonts w:hAnsi="宋体"/>
        </w:rPr>
      </w:r>
      <w:r/>
    </w:p>
    <w:p>
      <w:pPr>
        <w:pStyle w:val="937"/>
        <w:ind w:firstLine="480"/>
        <w:jc w:val="left"/>
        <w:spacing w:line="360" w:lineRule="auto"/>
        <w:widowControl/>
        <w:rPr>
          <w:rFonts w:ascii="宋体" w:hAnsi="宋体"/>
          <w:color w:val="000000"/>
          <w:sz w:val="24"/>
        </w:rPr>
      </w:pPr>
      <w:r>
        <w:rPr>
          <w:rFonts w:hint="eastAsia" w:ascii="宋体" w:hAnsi="宋体"/>
          <w:color w:val="000000"/>
          <w:sz w:val="24"/>
        </w:rPr>
        <w:t xml:space="preserve">针对耗材的收入与支出进行对比分析，并针对重点考核指标、高值耗材进行科室维度的统计分析，并针对重点考核指标耗占比进行科室维度的排名统计等。</w:t>
      </w:r>
      <w:r>
        <w:rPr>
          <w:rFonts w:ascii="宋体" w:hAnsi="宋体"/>
          <w:color w:val="000000"/>
          <w:sz w:val="24"/>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网络安全要求</w:t>
      </w:r>
      <w:r>
        <w:rPr>
          <w:rFonts w:ascii="宋体" w:hAnsi="宋体"/>
          <w:b/>
          <w:bCs/>
          <w:color w:val="000000"/>
          <w:sz w:val="24"/>
        </w:rPr>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中标</w:t>
      </w:r>
      <w:r>
        <w:rPr>
          <w:rFonts w:ascii="宋体" w:hAnsi="宋体"/>
          <w:color w:val="000000"/>
          <w:sz w:val="24"/>
        </w:rPr>
        <w:t xml:space="preserve">单位管理技术团队要相对独立，团队人员为正式员工，有专门网络安全负责人；</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2）外包的政务信息平台要相对独立，包括物理隔离、逻辑隔离</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3）不得转包、分包合同任务；确需分包的，应报经甲方同意，并明确相应的网络安全责任和义务，同时明确不得将合同任务主体和关键部分分包</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4）外包活动中产生的政务数据、系统运行数据及收集的个人信息等数据资产归甲方所有，并保证甲方访问、利用、支配相关数据的权利；</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5）中标单位将政务数据与其他数据分开存储、处理；</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6）未经甲方同意，中标单位不得变更数据用途、用法，不得访问、修改、公开、披露、利用、转让、销毁、私自留存或向第三方提供；</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7）中标单位采取有效技术措施加强对外包活动收集个人信息的保护；</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8）合同终止时，中标单位按规定及时处理相关数据；</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9）中标单位严格按照规定采购相关产品和服务；</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10）中标单位建立健全网络和数据安全保护机制，发现重大安全漏洞和风险隐患按规定及时向甲方和相关部门报告；</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11）中标单位如发生业务转型、合并重组、投资并购等重大事项，或者管理技术团队人员发生重大变化，应提前向甲方报告；</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12）中标单位按规定每年向甲方提交网络安全报告；</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13）中标单位积极配合相关部门开展网络安全检查、测评、</w:t>
      </w:r>
      <w:r>
        <w:rPr>
          <w:rFonts w:ascii="宋体" w:hAnsi="宋体"/>
          <w:color w:val="000000"/>
          <w:sz w:val="24"/>
        </w:rPr>
        <w:t xml:space="preserve">审计监督</w:t>
      </w:r>
      <w:r>
        <w:rPr>
          <w:rFonts w:ascii="宋体" w:hAnsi="宋体"/>
          <w:color w:val="000000"/>
          <w:sz w:val="24"/>
        </w:rPr>
        <w:t xml:space="preserve">管理工作；</w:t>
      </w:r>
      <w:r/>
    </w:p>
    <w:p>
      <w:pPr>
        <w:pStyle w:val="937"/>
        <w:ind w:firstLine="480"/>
        <w:spacing w:line="360" w:lineRule="auto"/>
        <w:tabs>
          <w:tab w:val="left" w:pos="1050"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14）中标单位</w:t>
      </w:r>
      <w:r>
        <w:rPr>
          <w:rFonts w:hint="eastAsia" w:ascii="宋体" w:hAnsi="宋体"/>
          <w:color w:val="000000"/>
          <w:sz w:val="24"/>
        </w:rPr>
        <w:t xml:space="preserve">应当严格执行</w:t>
      </w:r>
      <w:r>
        <w:rPr>
          <w:rFonts w:hint="eastAsia" w:ascii="宋体" w:hAnsi="宋体"/>
          <w:color w:val="000000"/>
          <w:sz w:val="24"/>
        </w:rPr>
        <w:t xml:space="preserve">《中华人民共和国网络安全法》《中华人民共和国数据安全法》《中华人民共和国个人信息保护法》</w:t>
      </w:r>
      <w:r>
        <w:rPr>
          <w:rFonts w:hint="eastAsia" w:ascii="宋体" w:hAnsi="宋体"/>
          <w:color w:val="000000"/>
          <w:sz w:val="24"/>
        </w:rPr>
        <w:t xml:space="preserve">《关键信息基础设施安全保护条例》《网络安全审查办法》《医疗卫生机构网络安全管理办法》等法律法规及相关政策规定的要求，如实完整提供外包网络安全管理情况，不得隐匿、瞒报。如发生违规行为，甲方有权视情况严重程度对中标单位进行处罚：首次发生的，勒令</w:t>
      </w:r>
      <w:r>
        <w:rPr>
          <w:rFonts w:ascii="宋体" w:hAnsi="宋体"/>
          <w:color w:val="000000"/>
          <w:sz w:val="24"/>
        </w:rPr>
        <w:t xml:space="preserve">中标单位</w:t>
      </w:r>
      <w:r>
        <w:rPr>
          <w:rFonts w:hint="eastAsia" w:ascii="宋体" w:hAnsi="宋体"/>
          <w:color w:val="000000"/>
          <w:sz w:val="24"/>
        </w:rPr>
        <w:t xml:space="preserve">出具书面情况说明及整改报告；再次发生时，如</w:t>
      </w:r>
      <w:r>
        <w:rPr>
          <w:rFonts w:ascii="宋体" w:hAnsi="宋体"/>
          <w:color w:val="000000"/>
          <w:sz w:val="24"/>
        </w:rPr>
        <w:t xml:space="preserve">中标单位</w:t>
      </w:r>
      <w:r>
        <w:rPr>
          <w:rFonts w:hint="eastAsia" w:ascii="宋体" w:hAnsi="宋体"/>
          <w:color w:val="000000"/>
          <w:sz w:val="24"/>
        </w:rPr>
        <w:t xml:space="preserve">被医院通报的，扣除合同额的1%，如</w:t>
      </w:r>
      <w:r>
        <w:rPr>
          <w:rFonts w:ascii="宋体" w:hAnsi="宋体"/>
          <w:color w:val="000000"/>
          <w:sz w:val="24"/>
        </w:rPr>
        <w:t xml:space="preserve">中标单位</w:t>
      </w:r>
      <w:r>
        <w:rPr>
          <w:rFonts w:hint="eastAsia" w:ascii="宋体" w:hAnsi="宋体"/>
          <w:color w:val="000000"/>
          <w:sz w:val="24"/>
        </w:rPr>
        <w:t xml:space="preserve">被市级通报的，扣除合同额的2%，如</w:t>
      </w:r>
      <w:r>
        <w:rPr>
          <w:rFonts w:ascii="宋体" w:hAnsi="宋体"/>
          <w:color w:val="000000"/>
          <w:sz w:val="24"/>
        </w:rPr>
        <w:t xml:space="preserve">中标单位</w:t>
      </w:r>
      <w:r>
        <w:rPr>
          <w:rFonts w:hint="eastAsia" w:ascii="宋体" w:hAnsi="宋体"/>
          <w:color w:val="000000"/>
          <w:sz w:val="24"/>
        </w:rPr>
        <w:t xml:space="preserve">被省级通报的，扣除合同额的</w:t>
      </w:r>
      <w:r>
        <w:rPr>
          <w:rFonts w:ascii="宋体" w:hAnsi="宋体"/>
          <w:color w:val="000000"/>
          <w:sz w:val="24"/>
        </w:rPr>
        <w:t xml:space="preserve">3</w:t>
      </w:r>
      <w:r>
        <w:rPr>
          <w:rFonts w:hint="eastAsia" w:ascii="宋体" w:hAnsi="宋体"/>
          <w:color w:val="000000"/>
          <w:sz w:val="24"/>
        </w:rPr>
        <w:t xml:space="preserve">%，如</w:t>
      </w:r>
      <w:r>
        <w:rPr>
          <w:rFonts w:ascii="宋体" w:hAnsi="宋体"/>
          <w:color w:val="000000"/>
          <w:sz w:val="24"/>
        </w:rPr>
        <w:t xml:space="preserve">中标单位</w:t>
      </w:r>
      <w:r>
        <w:rPr>
          <w:rFonts w:hint="eastAsia" w:ascii="宋体" w:hAnsi="宋体"/>
          <w:color w:val="000000"/>
          <w:sz w:val="24"/>
        </w:rPr>
        <w:t xml:space="preserve">被国家通报的，扣除合同额的</w:t>
      </w:r>
      <w:r>
        <w:rPr>
          <w:rFonts w:ascii="宋体" w:hAnsi="宋体"/>
          <w:color w:val="000000"/>
          <w:sz w:val="24"/>
        </w:rPr>
        <w:t xml:space="preserve">5</w:t>
      </w:r>
      <w:r>
        <w:rPr>
          <w:rFonts w:hint="eastAsia" w:ascii="宋体" w:hAnsi="宋体"/>
          <w:color w:val="000000"/>
          <w:sz w:val="24"/>
        </w:rPr>
        <w:t xml:space="preserve">%；多次发生屡教不改的，</w:t>
      </w:r>
      <w:r>
        <w:rPr>
          <w:rFonts w:ascii="宋体" w:hAnsi="宋体"/>
          <w:color w:val="000000"/>
          <w:sz w:val="24"/>
        </w:rPr>
        <w:t xml:space="preserve">甲方</w:t>
      </w:r>
      <w:r>
        <w:rPr>
          <w:rFonts w:hint="eastAsia" w:ascii="宋体" w:hAnsi="宋体"/>
          <w:color w:val="000000"/>
          <w:sz w:val="24"/>
        </w:rPr>
        <w:t xml:space="preserve">有权解除合同，终止合作关系。</w:t>
      </w:r>
      <w:r>
        <w:rPr>
          <w:rFonts w:ascii="宋体" w:hAnsi="宋体"/>
          <w:color w:val="000000"/>
          <w:sz w:val="24"/>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服务培训要求</w:t>
      </w:r>
      <w:r>
        <w:rPr>
          <w:rFonts w:ascii="宋体" w:hAnsi="宋体"/>
          <w:b/>
          <w:bCs/>
          <w:color w:val="000000"/>
          <w:sz w:val="24"/>
        </w:rPr>
      </w:r>
      <w:r/>
    </w:p>
    <w:p>
      <w:pPr>
        <w:pStyle w:val="937"/>
        <w:ind w:firstLine="480"/>
        <w:spacing w:line="360" w:lineRule="auto"/>
        <w:tabs>
          <w:tab w:val="left" w:pos="1050" w:leader="none"/>
        </w:tabs>
        <w:rPr>
          <w:rFonts w:ascii="宋体" w:hAnsi="宋体"/>
          <w:bCs/>
          <w:color w:val="000000"/>
          <w:sz w:val="24"/>
        </w:rPr>
      </w:pPr>
      <w:r>
        <w:rPr>
          <w:rFonts w:hint="eastAsia" w:ascii="宋体" w:hAnsi="宋体"/>
          <w:color w:val="000000"/>
          <w:sz w:val="24"/>
        </w:rPr>
        <w:t xml:space="preserve">响应时间要求：中标供应商对本项目采购软、硬件提供7*24小时上门现场服务，要求工程师在接到用户故障电话后</w:t>
      </w:r>
      <w:r>
        <w:rPr>
          <w:rFonts w:ascii="宋体" w:hAnsi="宋体"/>
          <w:color w:val="000000"/>
          <w:sz w:val="24"/>
        </w:rPr>
        <w:t xml:space="preserve">2</w:t>
      </w:r>
      <w:r>
        <w:rPr>
          <w:rFonts w:hint="eastAsia" w:ascii="宋体" w:hAnsi="宋体"/>
          <w:color w:val="000000"/>
          <w:sz w:val="24"/>
        </w:rPr>
        <w:t xml:space="preserve">小时内到达现场</w:t>
      </w:r>
      <w:r>
        <w:rPr>
          <w:rFonts w:hint="eastAsia" w:ascii="宋体" w:hAnsi="宋体"/>
          <w:bCs/>
          <w:color w:val="000000"/>
          <w:sz w:val="24"/>
        </w:rPr>
        <w:t xml:space="preserve">。</w:t>
      </w:r>
      <w:r>
        <w:rPr>
          <w:rFonts w:ascii="宋体" w:hAnsi="宋体"/>
          <w:bCs/>
          <w:color w:val="000000"/>
          <w:sz w:val="24"/>
        </w:rPr>
      </w:r>
      <w:r/>
    </w:p>
    <w:p>
      <w:pPr>
        <w:pStyle w:val="937"/>
        <w:numPr>
          <w:ilvl w:val="0"/>
          <w:numId w:val="33"/>
        </w:numPr>
        <w:keepLines/>
        <w:keepNext/>
        <w:spacing w:before="260" w:after="260" w:line="360" w:lineRule="auto"/>
        <w:rPr>
          <w:rFonts w:ascii="宋体" w:hAnsi="宋体"/>
          <w:b/>
          <w:bCs/>
          <w:color w:val="000000"/>
          <w:sz w:val="24"/>
        </w:rPr>
        <w:outlineLvl w:val="1"/>
      </w:pPr>
      <w:r>
        <w:rPr>
          <w:rFonts w:hint="eastAsia" w:ascii="宋体" w:hAnsi="宋体"/>
          <w:b/>
          <w:bCs/>
          <w:color w:val="000000"/>
          <w:sz w:val="24"/>
        </w:rPr>
        <w:t xml:space="preserve">其他要求</w:t>
      </w:r>
      <w:r>
        <w:rPr>
          <w:rFonts w:ascii="宋体" w:hAnsi="宋体"/>
          <w:b/>
          <w:bCs/>
          <w:color w:val="000000"/>
          <w:sz w:val="24"/>
        </w:rPr>
      </w:r>
      <w:r/>
    </w:p>
    <w:p>
      <w:pPr>
        <w:pStyle w:val="937"/>
        <w:ind w:firstLine="420"/>
        <w:keepLines/>
        <w:keepNext/>
        <w:spacing w:before="260" w:after="260" w:line="360" w:lineRule="auto"/>
        <w:rPr>
          <w:rFonts w:ascii="宋体" w:hAnsi="宋体"/>
          <w:b/>
          <w:bCs/>
          <w:color w:val="000000"/>
          <w:sz w:val="22"/>
        </w:rPr>
        <w:outlineLvl w:val="2"/>
      </w:pPr>
      <w:r>
        <w:rPr>
          <w:rFonts w:hint="eastAsia" w:ascii="宋体" w:hAnsi="宋体"/>
          <w:b/>
          <w:bCs/>
          <w:color w:val="000000"/>
          <w:sz w:val="22"/>
        </w:rPr>
        <w:t xml:space="preserve">6.1 </w:t>
      </w:r>
      <w:r>
        <w:rPr>
          <w:rFonts w:hint="eastAsia" w:ascii="宋体" w:hAnsi="宋体"/>
          <w:b/>
          <w:bCs/>
          <w:color w:val="000000"/>
          <w:sz w:val="24"/>
        </w:rPr>
        <w:t xml:space="preserve">技术要求</w:t>
      </w:r>
      <w:r>
        <w:rPr>
          <w:rFonts w:ascii="宋体" w:hAnsi="宋体"/>
          <w:b/>
          <w:bCs/>
          <w:color w:val="000000"/>
          <w:sz w:val="22"/>
        </w:rPr>
      </w:r>
      <w:r/>
    </w:p>
    <w:p>
      <w:pPr>
        <w:pStyle w:val="937"/>
        <w:ind w:firstLine="480"/>
        <w:spacing w:line="360" w:lineRule="auto"/>
        <w:rPr>
          <w:rFonts w:ascii="宋体" w:hAnsi="宋体"/>
          <w:color w:val="000000"/>
          <w:sz w:val="24"/>
        </w:rPr>
      </w:pPr>
      <w:r>
        <w:rPr>
          <w:rFonts w:ascii="宋体" w:hAnsi="宋体"/>
          <w:color w:val="000000"/>
          <w:sz w:val="24"/>
        </w:rPr>
        <w:t xml:space="preserve">本次项目为软件系统服务项目，硬件、网络、安全等都利用现有医院资源，不另行采购。总体技术需求如下：</w:t>
      </w:r>
      <w:r/>
    </w:p>
    <w:p>
      <w:pPr>
        <w:pStyle w:val="937"/>
        <w:ind w:firstLine="480"/>
        <w:spacing w:line="360" w:lineRule="auto"/>
        <w:rPr>
          <w:rFonts w:ascii="宋体" w:hAnsi="宋体"/>
          <w:color w:val="000000"/>
          <w:sz w:val="24"/>
        </w:rPr>
      </w:pPr>
      <w:r>
        <w:rPr>
          <w:rFonts w:ascii="宋体" w:hAnsi="宋体"/>
          <w:color w:val="000000"/>
          <w:sz w:val="24"/>
        </w:rPr>
        <w:t xml:space="preserve">（1）</w:t>
      </w:r>
      <w:r>
        <w:rPr>
          <w:rFonts w:ascii="宋体" w:hAnsi="宋体"/>
          <w:bCs/>
          <w:color w:val="000000"/>
          <w:sz w:val="24"/>
        </w:rPr>
        <w:t xml:space="preserve">系统采用B/S架构：</w:t>
      </w:r>
      <w:r>
        <w:rPr>
          <w:rFonts w:ascii="宋体" w:hAnsi="宋体"/>
          <w:color w:val="000000"/>
          <w:sz w:val="24"/>
        </w:rPr>
        <w:t xml:space="preserve">系统各模块需采用同一技术架构，在统一的底层基础平台上进行设计。根据实际业务要求与HRP项目中其它相关模块实现流程对接和数据互通。</w:t>
      </w:r>
      <w:r/>
    </w:p>
    <w:p>
      <w:pPr>
        <w:pStyle w:val="937"/>
        <w:ind w:firstLine="480"/>
        <w:spacing w:line="360" w:lineRule="auto"/>
        <w:rPr>
          <w:rFonts w:ascii="宋体" w:hAnsi="宋体"/>
          <w:color w:val="000000"/>
          <w:sz w:val="24"/>
        </w:rPr>
      </w:pPr>
      <w:r>
        <w:rPr>
          <w:rFonts w:ascii="宋体" w:hAnsi="宋体"/>
          <w:color w:val="000000"/>
          <w:sz w:val="24"/>
        </w:rPr>
        <w:t xml:space="preserve">（2）根据</w:t>
      </w:r>
      <w:r>
        <w:rPr>
          <w:rFonts w:hint="eastAsia" w:ascii="宋体" w:hAnsi="宋体"/>
          <w:color w:val="000000"/>
          <w:sz w:val="24"/>
        </w:rPr>
        <w:t xml:space="preserve">采购</w:t>
      </w:r>
      <w:r>
        <w:rPr>
          <w:rFonts w:ascii="宋体" w:hAnsi="宋体"/>
          <w:color w:val="000000"/>
          <w:sz w:val="24"/>
        </w:rPr>
        <w:t xml:space="preserve">方现有集成平台和数据中心的接口和数据标准实现数据同步及交互等功能。所有业务数据都要求（按一定数据结构）上传至医院内平台，组织架构和权限等基础数据需要和院内平台同步。</w:t>
      </w:r>
      <w:r/>
    </w:p>
    <w:p>
      <w:pPr>
        <w:pStyle w:val="937"/>
        <w:ind w:firstLine="480"/>
        <w:spacing w:line="360" w:lineRule="auto"/>
        <w:rPr>
          <w:rFonts w:ascii="宋体" w:hAnsi="宋体"/>
          <w:color w:val="000000"/>
          <w:sz w:val="24"/>
        </w:rPr>
      </w:pPr>
      <w:r>
        <w:rPr>
          <w:rFonts w:ascii="宋体" w:hAnsi="宋体"/>
          <w:color w:val="000000"/>
          <w:sz w:val="24"/>
        </w:rPr>
        <w:t xml:space="preserve">（3）与第三方信息系统的数据交换：提供与医院第三方系统统一接口的维护与管理系统，实现针对HIS、EMR、药品等关键医疗业务信息系统的数据交换。</w:t>
      </w:r>
      <w:r/>
    </w:p>
    <w:p>
      <w:pPr>
        <w:pStyle w:val="937"/>
        <w:ind w:firstLine="480"/>
        <w:spacing w:line="360" w:lineRule="auto"/>
        <w:rPr>
          <w:rFonts w:ascii="宋体" w:hAnsi="宋体"/>
          <w:color w:val="000000"/>
          <w:sz w:val="24"/>
        </w:rPr>
      </w:pPr>
      <w:r>
        <w:rPr>
          <w:rFonts w:ascii="宋体" w:hAnsi="宋体"/>
          <w:color w:val="000000"/>
          <w:sz w:val="24"/>
        </w:rPr>
        <w:t xml:space="preserve">（4）所有审核审批环节支持CA身份认证，并对后台相应数据进行加密，且每个环节可以开关此功能，支持手机端审批。</w:t>
      </w:r>
      <w:r/>
    </w:p>
    <w:p>
      <w:pPr>
        <w:pStyle w:val="937"/>
        <w:ind w:firstLine="480"/>
        <w:spacing w:line="360" w:lineRule="auto"/>
        <w:rPr>
          <w:rFonts w:ascii="宋体" w:hAnsi="宋体"/>
          <w:color w:val="000000"/>
          <w:sz w:val="24"/>
        </w:rPr>
      </w:pPr>
      <w:r>
        <w:rPr>
          <w:rFonts w:ascii="宋体" w:hAnsi="宋体"/>
          <w:color w:val="000000"/>
          <w:sz w:val="24"/>
        </w:rPr>
        <w:t xml:space="preserve">（5）关键技术：根据医院综合运营精细化管理的一体化应用功能需求和相关建设规范，考虑到系统运行的长远规划，以及整个系统的跨平台性、安全性、可靠性、稳定性、易维护性以及可扩展性，建议采用J2EE架构来设计。</w:t>
      </w:r>
      <w:r/>
    </w:p>
    <w:p>
      <w:pPr>
        <w:pStyle w:val="937"/>
        <w:ind w:firstLine="480"/>
        <w:spacing w:line="360" w:lineRule="auto"/>
        <w:rPr>
          <w:rFonts w:ascii="宋体" w:hAnsi="宋体"/>
          <w:color w:val="000000"/>
          <w:sz w:val="24"/>
        </w:rPr>
      </w:pPr>
      <w:r>
        <w:rPr>
          <w:rFonts w:ascii="宋体" w:hAnsi="宋体"/>
          <w:color w:val="000000"/>
          <w:sz w:val="24"/>
        </w:rPr>
        <w:t xml:space="preserve">（6）先进性：系统要利用一些现行的、技术成熟的开发工具来辅助完成系统建设。</w:t>
      </w:r>
      <w:r/>
    </w:p>
    <w:p>
      <w:pPr>
        <w:pStyle w:val="937"/>
        <w:ind w:firstLine="480"/>
        <w:spacing w:line="360" w:lineRule="auto"/>
        <w:rPr>
          <w:rFonts w:ascii="宋体" w:hAnsi="宋体"/>
          <w:color w:val="000000"/>
          <w:sz w:val="24"/>
        </w:rPr>
      </w:pPr>
      <w:r>
        <w:rPr>
          <w:rFonts w:ascii="宋体" w:hAnsi="宋体"/>
          <w:color w:val="000000"/>
          <w:sz w:val="24"/>
        </w:rPr>
        <w:t xml:space="preserve">（7）健壮性：系统稳定可靠，保证每周7*24小时不间断正常运行，工作日期间不能宕机，年平均宕机时间应小于8小时。</w:t>
      </w:r>
      <w:r/>
    </w:p>
    <w:p>
      <w:pPr>
        <w:pStyle w:val="937"/>
        <w:ind w:firstLine="480"/>
        <w:spacing w:line="360" w:lineRule="auto"/>
        <w:rPr>
          <w:rFonts w:ascii="宋体" w:hAnsi="宋体"/>
          <w:color w:val="000000"/>
          <w:sz w:val="24"/>
        </w:rPr>
      </w:pPr>
      <w:r>
        <w:rPr>
          <w:rFonts w:ascii="宋体" w:hAnsi="宋体"/>
          <w:color w:val="000000"/>
          <w:sz w:val="24"/>
        </w:rPr>
        <w:t xml:space="preserve">（8）安全性：</w:t>
      </w:r>
      <w:r>
        <w:rPr>
          <w:rFonts w:ascii="宋体" w:hAnsi="宋体"/>
          <w:color w:val="000000"/>
          <w:sz w:val="24"/>
        </w:rPr>
        <w:t xml:space="preserve">信息安全主要体现</w:t>
      </w:r>
      <w:r>
        <w:rPr>
          <w:rFonts w:ascii="宋体" w:hAnsi="宋体"/>
          <w:color w:val="000000"/>
          <w:sz w:val="24"/>
        </w:rPr>
        <w:t xml:space="preserve">在信息管理全过程：收集、录入、传输、储存、交流、查询、反馈、分析、利用、发布；系统的安全主要体现在整个系统的安全稳定和持续的运行。要对设施、技术和管理乃至整个运作体系，建立全面的安全保障体系，并能动态地根据安全检测、评估结果，调整安全策略，运用新的安全技术，进行持续改进，以控制新出现的安全隐患与风险。</w:t>
      </w:r>
      <w:r/>
    </w:p>
    <w:p>
      <w:pPr>
        <w:pStyle w:val="937"/>
        <w:ind w:firstLine="480"/>
        <w:spacing w:line="360" w:lineRule="auto"/>
        <w:rPr>
          <w:rFonts w:ascii="宋体" w:hAnsi="宋体"/>
          <w:color w:val="000000"/>
          <w:sz w:val="24"/>
        </w:rPr>
      </w:pPr>
      <w:r>
        <w:rPr>
          <w:rFonts w:ascii="宋体" w:hAnsi="宋体"/>
          <w:color w:val="000000"/>
          <w:sz w:val="24"/>
        </w:rPr>
        <w:t xml:space="preserve">（9）灵活性：免费提供自助报表设计工具或按</w:t>
      </w:r>
      <w:r>
        <w:rPr>
          <w:rFonts w:hint="eastAsia" w:ascii="宋体" w:hAnsi="宋体"/>
          <w:color w:val="000000"/>
          <w:sz w:val="24"/>
        </w:rPr>
        <w:t xml:space="preserve">采购</w:t>
      </w:r>
      <w:r>
        <w:rPr>
          <w:rFonts w:ascii="宋体" w:hAnsi="宋体"/>
          <w:color w:val="000000"/>
          <w:sz w:val="24"/>
        </w:rPr>
        <w:t xml:space="preserve">方要求定制相关报表。建立灵活多样的多字段查询功能，为用户的组合查询、统计分析和信息利用提供方便；设计多种数据导出格式，如 Excel 和 XML格式，满足不同用户的数据分析输出需要；建立合理、多样、灵活的数据采集方式，满足不同发展水平的医疗单位的需要。</w:t>
      </w:r>
      <w:r/>
    </w:p>
    <w:p>
      <w:pPr>
        <w:pStyle w:val="937"/>
        <w:ind w:firstLine="480"/>
        <w:spacing w:line="360" w:lineRule="auto"/>
        <w:rPr>
          <w:rFonts w:ascii="宋体" w:hAnsi="宋体"/>
          <w:color w:val="000000"/>
          <w:sz w:val="24"/>
        </w:rPr>
      </w:pPr>
      <w:r>
        <w:rPr>
          <w:rFonts w:ascii="宋体" w:hAnsi="宋体"/>
          <w:color w:val="000000"/>
          <w:sz w:val="24"/>
        </w:rPr>
        <w:t xml:space="preserve">（10）延展性：数据库结构的设计应充分考虑发展和移植的需要，建立系统良好的扩展性和伸缩性，适度冗余也是系统建设的必要环节。今后按</w:t>
      </w:r>
      <w:r>
        <w:rPr>
          <w:rFonts w:hint="eastAsia" w:ascii="宋体" w:hAnsi="宋体"/>
          <w:color w:val="000000"/>
          <w:sz w:val="24"/>
        </w:rPr>
        <w:t xml:space="preserve">采购</w:t>
      </w:r>
      <w:r>
        <w:rPr>
          <w:rFonts w:ascii="宋体" w:hAnsi="宋体"/>
          <w:color w:val="000000"/>
          <w:sz w:val="24"/>
        </w:rPr>
        <w:t xml:space="preserve">方要求免费提供相应的视图及接口。</w:t>
      </w:r>
      <w:r/>
    </w:p>
    <w:p>
      <w:pPr>
        <w:pStyle w:val="937"/>
        <w:ind w:firstLine="480"/>
        <w:spacing w:line="360" w:lineRule="auto"/>
        <w:rPr>
          <w:rFonts w:ascii="宋体" w:hAnsi="宋体"/>
          <w:color w:val="000000"/>
          <w:sz w:val="24"/>
        </w:rPr>
      </w:pPr>
      <w:r>
        <w:rPr>
          <w:rFonts w:ascii="宋体" w:hAnsi="宋体"/>
          <w:color w:val="000000"/>
          <w:sz w:val="24"/>
        </w:rPr>
        <w:t xml:space="preserve">（11）完整性：在数据的采集和数据交换环节要确保数据的完整性。</w:t>
      </w:r>
      <w:r/>
    </w:p>
    <w:p>
      <w:pPr>
        <w:pStyle w:val="937"/>
        <w:ind w:firstLine="480"/>
        <w:spacing w:line="360" w:lineRule="auto"/>
        <w:rPr>
          <w:rFonts w:ascii="宋体" w:hAnsi="宋体"/>
          <w:color w:val="000000"/>
          <w:sz w:val="24"/>
        </w:rPr>
      </w:pPr>
      <w:r>
        <w:rPr>
          <w:rFonts w:ascii="宋体" w:hAnsi="宋体"/>
          <w:color w:val="000000"/>
          <w:sz w:val="24"/>
        </w:rPr>
        <w:t xml:space="preserve">（12）友好性：人机界面设计简洁美观、风格统一，利于基层业务人员简单操作。</w:t>
      </w:r>
      <w:r/>
    </w:p>
    <w:p>
      <w:pPr>
        <w:pStyle w:val="937"/>
        <w:ind w:firstLine="420"/>
        <w:keepLines/>
        <w:keepNext/>
        <w:spacing w:before="260" w:after="260" w:line="360" w:lineRule="auto"/>
        <w:rPr>
          <w:rFonts w:ascii="宋体" w:hAnsi="宋体"/>
          <w:b/>
          <w:bCs/>
          <w:color w:val="000000"/>
          <w:sz w:val="22"/>
        </w:rPr>
        <w:outlineLvl w:val="2"/>
      </w:pPr>
      <w:r>
        <w:rPr>
          <w:rFonts w:hint="eastAsia" w:ascii="宋体" w:hAnsi="宋体"/>
          <w:b/>
          <w:bCs/>
          <w:color w:val="000000"/>
          <w:sz w:val="24"/>
        </w:rPr>
        <w:t xml:space="preserve">6.2</w:t>
      </w:r>
      <w:r>
        <w:rPr>
          <w:rFonts w:hint="eastAsia" w:ascii="宋体" w:hAnsi="宋体"/>
          <w:b/>
          <w:bCs/>
          <w:color w:val="000000"/>
          <w:sz w:val="22"/>
        </w:rPr>
        <w:t xml:space="preserve"> </w:t>
      </w:r>
      <w:r>
        <w:rPr>
          <w:rFonts w:ascii="宋体" w:hAnsi="宋体"/>
          <w:b/>
          <w:color w:val="000000"/>
          <w:sz w:val="24"/>
        </w:rPr>
        <w:t xml:space="preserve">实施要求</w:t>
      </w:r>
      <w:r>
        <w:rPr>
          <w:rFonts w:ascii="宋体" w:hAnsi="宋体"/>
          <w:b/>
          <w:bCs/>
          <w:color w:val="000000"/>
          <w:sz w:val="22"/>
        </w:rPr>
      </w:r>
      <w:r/>
    </w:p>
    <w:p>
      <w:pPr>
        <w:pStyle w:val="937"/>
        <w:ind w:firstLine="480"/>
        <w:spacing w:line="360" w:lineRule="auto"/>
        <w:rPr>
          <w:rFonts w:ascii="宋体" w:hAnsi="宋体"/>
          <w:color w:val="000000"/>
          <w:sz w:val="24"/>
        </w:rPr>
      </w:pPr>
      <w:r>
        <w:rPr>
          <w:rFonts w:ascii="宋体" w:hAnsi="宋体"/>
          <w:color w:val="000000"/>
          <w:sz w:val="24"/>
        </w:rPr>
        <w:t xml:space="preserve">本章节内容会直接影响本次招标的结果，每条内容都必须做出明确响应：</w:t>
      </w:r>
      <w:r/>
    </w:p>
    <w:p>
      <w:pPr>
        <w:pStyle w:val="937"/>
        <w:ind w:firstLine="480"/>
        <w:spacing w:line="360" w:lineRule="auto"/>
        <w:rPr>
          <w:rFonts w:ascii="宋体" w:hAnsi="宋体"/>
          <w:color w:val="000000"/>
          <w:sz w:val="24"/>
        </w:rPr>
      </w:pPr>
      <w:r>
        <w:rPr>
          <w:rFonts w:hint="eastAsia" w:ascii="宋体" w:hAnsi="宋体"/>
          <w:color w:val="000000"/>
          <w:sz w:val="24"/>
        </w:rPr>
        <w:t xml:space="preserve">（1）授权限制：所有子系统都不允许有使用许可的限制；</w:t>
      </w:r>
      <w:r>
        <w:rPr>
          <w:rFonts w:ascii="宋体" w:hAnsi="宋体"/>
          <w:color w:val="000000"/>
          <w:sz w:val="24"/>
        </w:rPr>
      </w:r>
      <w:r/>
    </w:p>
    <w:p>
      <w:pPr>
        <w:pStyle w:val="937"/>
        <w:ind w:firstLine="480"/>
        <w:spacing w:line="360" w:lineRule="auto"/>
        <w:rPr>
          <w:rFonts w:ascii="宋体" w:hAnsi="宋体"/>
          <w:color w:val="000000"/>
          <w:sz w:val="24"/>
        </w:rPr>
      </w:pPr>
      <w:r>
        <w:rPr>
          <w:rFonts w:ascii="宋体" w:hAnsi="宋体"/>
          <w:color w:val="000000"/>
          <w:sz w:val="24"/>
        </w:rPr>
        <w:t xml:space="preserve">（2）单点登录：所有子系统必须统一采用单点登录的方式；</w:t>
      </w:r>
      <w:r/>
    </w:p>
    <w:p>
      <w:pPr>
        <w:pStyle w:val="937"/>
        <w:ind w:firstLine="480"/>
        <w:spacing w:line="360" w:lineRule="auto"/>
        <w:rPr>
          <w:rFonts w:ascii="宋体" w:hAnsi="宋体"/>
          <w:b/>
          <w:color w:val="000000"/>
          <w:sz w:val="24"/>
        </w:rPr>
      </w:pPr>
      <w:r>
        <w:rPr>
          <w:rFonts w:ascii="宋体" w:hAnsi="宋体"/>
          <w:color w:val="000000"/>
          <w:sz w:val="24"/>
        </w:rPr>
        <w:t xml:space="preserve">（3）供应商要求：</w:t>
      </w:r>
      <w:r>
        <w:rPr>
          <w:rFonts w:ascii="宋体" w:hAnsi="宋体"/>
          <w:bCs/>
          <w:color w:val="000000"/>
          <w:sz w:val="24"/>
        </w:rPr>
        <w:t xml:space="preserve">本项目的供应商必须为系统软件制造商</w:t>
      </w:r>
      <w:r>
        <w:rPr>
          <w:rFonts w:hint="eastAsia" w:ascii="宋体" w:hAnsi="宋体"/>
          <w:bCs/>
          <w:color w:val="000000"/>
          <w:sz w:val="24"/>
        </w:rPr>
        <w:t xml:space="preserve">；</w:t>
      </w:r>
      <w:r>
        <w:rPr>
          <w:rFonts w:ascii="宋体" w:hAnsi="宋体"/>
          <w:b/>
          <w:color w:val="000000"/>
          <w:sz w:val="24"/>
        </w:rPr>
      </w:r>
      <w:r/>
    </w:p>
    <w:p>
      <w:pPr>
        <w:pStyle w:val="937"/>
        <w:ind w:firstLine="480"/>
        <w:spacing w:line="360" w:lineRule="auto"/>
        <w:rPr>
          <w:rFonts w:ascii="宋体" w:hAnsi="宋体"/>
          <w:color w:val="000000"/>
          <w:sz w:val="24"/>
        </w:rPr>
      </w:pPr>
      <w:r>
        <w:rPr>
          <w:rFonts w:ascii="宋体" w:hAnsi="宋体"/>
          <w:color w:val="000000"/>
          <w:sz w:val="24"/>
        </w:rPr>
        <w:t xml:space="preserve">（4）后续服务要求：本项目实施建设的软件系统验收完成后，投标方需要配合提供相应报告文件。</w:t>
      </w:r>
      <w:r/>
    </w:p>
    <w:p>
      <w:pPr>
        <w:pStyle w:val="937"/>
        <w:ind w:firstLine="480"/>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实施人员要求：项目经理1名；</w:t>
      </w:r>
      <w:r>
        <w:rPr>
          <w:rFonts w:hint="eastAsia" w:ascii="宋体" w:hAnsi="宋体" w:cs="宋体"/>
          <w:color w:val="000000"/>
          <w:sz w:val="24"/>
        </w:rPr>
        <w:t xml:space="preserve">全面预算管理系统、智能报账管理系统、合同管理系统、人力资源管理系统、固定资产管理系统、物流管理系统每个模块至少安排2名工程师。</w:t>
      </w:r>
      <w:r>
        <w:rPr>
          <w:rFonts w:ascii="宋体" w:hAnsi="宋体"/>
          <w:color w:val="000000"/>
          <w:sz w:val="24"/>
        </w:rPr>
      </w:r>
      <w:r/>
    </w:p>
    <w:p>
      <w:pPr>
        <w:pStyle w:val="937"/>
        <w:ind w:firstLine="480"/>
        <w:spacing w:line="360" w:lineRule="auto"/>
        <w:tabs>
          <w:tab w:val="left" w:pos="1050" w:leader="none"/>
        </w:tabs>
        <w:rPr>
          <w:rFonts w:ascii="宋体" w:hAnsi="宋体"/>
          <w:color w:val="000000"/>
          <w:sz w:val="24"/>
        </w:rPr>
      </w:pPr>
      <w:r>
        <w:rPr>
          <w:rFonts w:ascii="宋体" w:hAnsi="宋体"/>
          <w:color w:val="000000"/>
          <w:sz w:val="24"/>
        </w:rPr>
        <w:t xml:space="preserve">本次项目建设中，还需预留对医疗服务项目成本核算、病种成本核算、DRG成本核算、绩效管理等系统的相关接口。</w:t>
      </w:r>
      <w:r/>
    </w:p>
    <w:p>
      <w:pPr>
        <w:pStyle w:val="937"/>
        <w:ind w:firstLine="420"/>
        <w:keepLines/>
        <w:keepNext/>
        <w:spacing w:before="260" w:after="260" w:line="360" w:lineRule="auto"/>
        <w:rPr>
          <w:rFonts w:ascii="宋体" w:hAnsi="宋体"/>
          <w:b/>
          <w:bCs/>
          <w:color w:val="000000"/>
          <w:sz w:val="22"/>
        </w:rPr>
        <w:outlineLvl w:val="2"/>
      </w:pPr>
      <w:r>
        <w:rPr>
          <w:rFonts w:hint="eastAsia" w:ascii="宋体" w:hAnsi="宋体"/>
          <w:b/>
          <w:bCs/>
          <w:color w:val="000000"/>
          <w:sz w:val="24"/>
        </w:rPr>
        <w:t xml:space="preserve">6.3</w:t>
      </w:r>
      <w:r>
        <w:rPr>
          <w:rFonts w:hint="eastAsia" w:ascii="宋体" w:hAnsi="宋体"/>
          <w:b/>
          <w:bCs/>
          <w:color w:val="000000"/>
          <w:sz w:val="22"/>
        </w:rPr>
        <w:t xml:space="preserve"> </w:t>
      </w:r>
      <w:r>
        <w:rPr>
          <w:rFonts w:ascii="宋体" w:hAnsi="宋体"/>
          <w:b/>
          <w:color w:val="000000"/>
          <w:sz w:val="24"/>
        </w:rPr>
        <w:t xml:space="preserve">服务要求</w:t>
      </w:r>
      <w:r>
        <w:rPr>
          <w:rFonts w:ascii="宋体" w:hAnsi="宋体"/>
          <w:b/>
          <w:bCs/>
          <w:color w:val="000000"/>
          <w:sz w:val="22"/>
        </w:rPr>
      </w:r>
      <w:r/>
    </w:p>
    <w:p>
      <w:pPr>
        <w:pStyle w:val="937"/>
        <w:ind w:firstLine="480"/>
        <w:spacing w:line="360" w:lineRule="auto"/>
        <w:rPr>
          <w:rFonts w:ascii="宋体" w:hAnsi="宋体"/>
          <w:color w:val="000000"/>
          <w:sz w:val="24"/>
        </w:rPr>
      </w:pPr>
      <w:r>
        <w:rPr>
          <w:rFonts w:ascii="宋体" w:hAnsi="宋体"/>
          <w:color w:val="000000"/>
          <w:sz w:val="24"/>
        </w:rPr>
        <w:t xml:space="preserve">（1）项目整体免费</w:t>
      </w:r>
      <w:r>
        <w:rPr>
          <w:rFonts w:hint="eastAsia" w:ascii="宋体" w:hAnsi="宋体"/>
          <w:color w:val="000000"/>
          <w:sz w:val="24"/>
        </w:rPr>
        <w:t xml:space="preserve">维保</w:t>
      </w:r>
      <w:r>
        <w:rPr>
          <w:rFonts w:ascii="宋体" w:hAnsi="宋体"/>
          <w:color w:val="000000"/>
          <w:sz w:val="24"/>
        </w:rPr>
        <w:t xml:space="preserve">期</w:t>
      </w:r>
      <w:r>
        <w:rPr>
          <w:rFonts w:hint="eastAsia" w:ascii="宋体" w:hAnsi="宋体"/>
          <w:color w:val="000000"/>
          <w:sz w:val="24"/>
        </w:rPr>
        <w:t xml:space="preserve">：</w:t>
      </w:r>
      <w:r>
        <w:rPr>
          <w:rFonts w:ascii="宋体" w:hAnsi="宋体"/>
          <w:color w:val="000000"/>
          <w:sz w:val="24"/>
        </w:rPr>
        <w:t xml:space="preserve">供应商需提供三年的免费</w:t>
      </w:r>
      <w:r>
        <w:rPr>
          <w:rFonts w:hint="eastAsia" w:ascii="宋体" w:hAnsi="宋体"/>
          <w:color w:val="000000"/>
          <w:sz w:val="24"/>
        </w:rPr>
        <w:t xml:space="preserve">维保</w:t>
      </w:r>
      <w:r>
        <w:rPr>
          <w:rFonts w:ascii="宋体" w:hAnsi="宋体"/>
          <w:color w:val="000000"/>
          <w:sz w:val="24"/>
        </w:rPr>
        <w:t xml:space="preserve">（第一年提供驻场服务），</w:t>
      </w:r>
      <w:r>
        <w:rPr>
          <w:rFonts w:hint="eastAsia" w:ascii="宋体" w:hAnsi="宋体"/>
          <w:color w:val="000000"/>
          <w:sz w:val="24"/>
        </w:rPr>
        <w:t xml:space="preserve">维保</w:t>
      </w:r>
      <w:r>
        <w:rPr>
          <w:rFonts w:ascii="宋体" w:hAnsi="宋体"/>
          <w:color w:val="000000"/>
          <w:sz w:val="24"/>
        </w:rPr>
        <w:t xml:space="preserve">期从系统整体验收通过之日起计算；</w:t>
      </w:r>
      <w:r>
        <w:rPr>
          <w:rFonts w:hint="eastAsia" w:ascii="宋体" w:hAnsi="宋体"/>
          <w:color w:val="000000"/>
          <w:sz w:val="24"/>
        </w:rPr>
        <w:t xml:space="preserve">维保</w:t>
      </w:r>
      <w:r>
        <w:rPr>
          <w:rFonts w:ascii="宋体" w:hAnsi="宋体"/>
          <w:color w:val="000000"/>
          <w:sz w:val="24"/>
        </w:rPr>
        <w:t xml:space="preserve">期内免上门费、维修费和系统升级费等。</w:t>
      </w:r>
      <w:r/>
    </w:p>
    <w:p>
      <w:pPr>
        <w:pStyle w:val="937"/>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维保</w:t>
      </w:r>
      <w:r>
        <w:rPr>
          <w:rFonts w:ascii="宋体" w:hAnsi="宋体"/>
          <w:color w:val="000000"/>
          <w:sz w:val="24"/>
        </w:rPr>
        <w:t xml:space="preserve">期内，供应商需保证7*24小时的服务响应，响应时间不得低于如下标准：接到医院方的通知后1小时内必须做出明确的响应和安排；需提供现场服务的，服务团队须在2小时内达到故障现场；4小时内做出故障诊断报告，常规故障8小时内必须解决。</w:t>
      </w:r>
      <w:r/>
    </w:p>
    <w:p>
      <w:pPr>
        <w:pStyle w:val="937"/>
        <w:ind w:firstLine="480"/>
        <w:spacing w:line="360" w:lineRule="auto"/>
        <w:rPr>
          <w:rFonts w:hint="eastAsia" w:ascii="宋体" w:hAnsi="宋体"/>
          <w:bCs/>
          <w:color w:val="000000"/>
          <w:sz w:val="24"/>
          <w:szCs w:val="24"/>
          <w:lang w:val="en-US"/>
        </w:rPr>
      </w:pPr>
      <w:r>
        <w:rPr>
          <w:rFonts w:hint="eastAsia" w:ascii="宋体" w:hAnsi="宋体"/>
          <w:bCs/>
          <w:color w:val="000000"/>
          <w:sz w:val="24"/>
          <w:szCs w:val="24"/>
          <w:lang w:val="en-US"/>
        </w:rPr>
      </w:r>
      <w:r/>
    </w:p>
    <w:p>
      <w:pPr>
        <w:pStyle w:val="93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3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3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3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37"/>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37"/>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w:t>
      </w:r>
      <w:r>
        <w:rPr>
          <w:rFonts w:hint="eastAsia" w:ascii="宋体" w:hAnsi="宋体"/>
          <w:bCs/>
          <w:color w:val="000000"/>
          <w:sz w:val="24"/>
          <w:szCs w:val="24"/>
        </w:rPr>
        <w:t xml:space="preserve">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937"/>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w:t>
      </w:r>
      <w:r>
        <w:rPr>
          <w:rFonts w:hint="eastAsia" w:ascii="宋体" w:hAnsi="宋体"/>
          <w:bCs/>
          <w:color w:val="000000"/>
          <w:sz w:val="24"/>
          <w:szCs w:val="24"/>
        </w:rPr>
        <w:t xml:space="preserve">且产自境外</w:t>
      </w:r>
      <w:r>
        <w:rPr>
          <w:rFonts w:hint="eastAsia" w:ascii="宋体" w:hAnsi="宋体"/>
          <w:bCs/>
          <w:color w:val="000000"/>
          <w:sz w:val="24"/>
          <w:szCs w:val="24"/>
        </w:rPr>
        <w:t xml:space="preserve">的产品不在本项目的报价范围。</w:t>
      </w:r>
      <w:r>
        <w:rPr>
          <w:rFonts w:ascii="宋体"/>
          <w:bCs/>
          <w:color w:val="000000"/>
          <w:sz w:val="24"/>
          <w:szCs w:val="24"/>
        </w:rPr>
      </w:r>
      <w:r/>
    </w:p>
    <w:p>
      <w:pPr>
        <w:pStyle w:val="937"/>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37"/>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37"/>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w:t>
      </w:r>
      <w:r>
        <w:rPr>
          <w:rFonts w:hint="eastAsia" w:ascii="宋体" w:hAnsi="宋体"/>
          <w:bCs/>
          <w:color w:val="000000"/>
          <w:sz w:val="24"/>
          <w:szCs w:val="24"/>
        </w:rPr>
        <w:t xml:space="preserve">6</w:t>
      </w:r>
      <w:r>
        <w:rPr>
          <w:rFonts w:hint="eastAsia" w:ascii="宋体" w:hAnsi="宋体"/>
          <w:bCs/>
          <w:color w:val="000000"/>
          <w:sz w:val="24"/>
          <w:szCs w:val="24"/>
        </w:rPr>
        <w:t xml:space="preserve">个月。</w:t>
      </w:r>
      <w:r>
        <w:rPr>
          <w:rFonts w:ascii="宋体"/>
          <w:bCs/>
          <w:color w:val="000000"/>
          <w:sz w:val="24"/>
          <w:szCs w:val="24"/>
        </w:rPr>
      </w:r>
      <w:r/>
    </w:p>
    <w:p>
      <w:pPr>
        <w:pStyle w:val="937"/>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服务期</w:t>
      </w:r>
      <w:r>
        <w:rPr>
          <w:rFonts w:hint="eastAsia" w:ascii="宋体"/>
          <w:bCs/>
          <w:color w:val="000000"/>
          <w:sz w:val="24"/>
          <w:szCs w:val="24"/>
        </w:rPr>
        <w:t xml:space="preserve">：</w:t>
      </w:r>
      <w:r>
        <w:rPr>
          <w:rFonts w:ascii="宋体"/>
          <w:bCs/>
          <w:color w:val="000000"/>
          <w:sz w:val="24"/>
          <w:szCs w:val="24"/>
        </w:rPr>
        <w:t xml:space="preserve"> </w:t>
      </w:r>
      <w:r>
        <w:rPr>
          <w:rFonts w:hint="eastAsia" w:ascii="宋体"/>
          <w:bCs/>
          <w:color w:val="000000"/>
          <w:sz w:val="24"/>
          <w:szCs w:val="24"/>
        </w:rPr>
        <w:t xml:space="preserve">三年</w:t>
      </w:r>
      <w:r>
        <w:rPr>
          <w:rFonts w:ascii="宋体"/>
          <w:bCs/>
          <w:color w:val="000000"/>
          <w:sz w:val="24"/>
          <w:szCs w:val="24"/>
        </w:rPr>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合同签订生效后30天内支付合同金额的30%，项目实施完毕后，验收确认后30个工作日内，支付合同金额的20%，验收正常运行三个月后，支付合同金额的40%，项目整体质保期满无质量问题完成余款支付。</w:t>
      </w:r>
      <w:r>
        <w:rPr>
          <w:rFonts w:ascii="宋体"/>
          <w:bCs/>
          <w:color w:val="000000"/>
          <w:sz w:val="24"/>
          <w:szCs w:val="24"/>
        </w:rPr>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w:t>
      </w:r>
      <w:r>
        <w:rPr>
          <w:rFonts w:hint="eastAsia" w:ascii="宋体" w:hAnsi="宋体"/>
          <w:bCs/>
          <w:color w:val="000000"/>
          <w:sz w:val="24"/>
          <w:szCs w:val="24"/>
        </w:rPr>
        <w:t xml:space="preserve"> ，具体地点以合同书约定为准。中标方必须按采购人要求将本项目中货物送到指定地点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3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37"/>
        <w:spacing w:line="360" w:lineRule="auto"/>
        <w:rPr>
          <w:rFonts w:ascii="宋体" w:hAnsi="宋体"/>
          <w:b/>
          <w:color w:val="000000"/>
          <w:sz w:val="30"/>
          <w:szCs w:val="30"/>
        </w:rPr>
      </w:pPr>
      <w:r>
        <w:rPr>
          <w:rFonts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pStyle w:val="937"/>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37"/>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37"/>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937"/>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937"/>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937"/>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37"/>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937"/>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937"/>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937"/>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中标、成交供应商可以采用电子履约保函形式，具体操作可</w:t>
      </w:r>
      <w:r>
        <w:rPr>
          <w:rFonts w:hint="eastAsia" w:ascii="宋体"/>
          <w:bCs/>
          <w:color w:val="000000"/>
          <w:sz w:val="24"/>
          <w:szCs w:val="24"/>
        </w:rPr>
        <w:t xml:space="preserve">登录</w:t>
      </w:r>
      <w:r>
        <w:rPr>
          <w:rFonts w:hint="eastAsia" w:ascii="宋体"/>
          <w:bCs/>
          <w:color w:val="000000"/>
          <w:sz w:val="24"/>
          <w:szCs w:val="24"/>
        </w:rPr>
        <w:t xml:space="preserve">江苏政府采购网的保险保函模块进行办理。</w:t>
      </w:r>
      <w:r>
        <w:rPr>
          <w:rFonts w:ascii="宋体" w:hAnsi="宋体" w:cs="宋体"/>
          <w:color w:val="000000"/>
          <w:sz w:val="24"/>
          <w:szCs w:val="24"/>
        </w:rPr>
      </w:r>
      <w:r/>
    </w:p>
    <w:p>
      <w:pPr>
        <w:pStyle w:val="937"/>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937"/>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93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3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93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226"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1025"/>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1025"/>
        <w:spacing w:before="0" w:after="0" w:line="500" w:lineRule="exact"/>
        <w:rPr>
          <w:rFonts w:hint="eastAsia" w:cs="Arial"/>
          <w:color w:val="000000"/>
        </w:rPr>
      </w:pPr>
      <w:r>
        <w:rPr>
          <w:rFonts w:hint="eastAsia" w:cs="Arial"/>
          <w:color w:val="000000"/>
        </w:rPr>
        <w:t xml:space="preserve">比较与评价采用综合评分法。</w:t>
      </w:r>
      <w:r/>
    </w:p>
    <w:p>
      <w:pPr>
        <w:pStyle w:val="1025"/>
        <w:spacing w:before="0" w:after="0" w:line="500" w:lineRule="exact"/>
        <w:rPr>
          <w:rStyle w:val="1014"/>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w:t>
      </w:r>
      <w:r>
        <w:rPr>
          <w:rFonts w:hint="eastAsia" w:ascii="宋体" w:hAnsi="宋体"/>
          <w:bCs/>
          <w:color w:val="000000"/>
        </w:rPr>
        <w:t xml:space="preserve">按排名先后顺序选取3名中标候选人。</w:t>
      </w:r>
      <w:r>
        <w:rPr>
          <w:rStyle w:val="1014"/>
          <w:rFonts w:ascii="Times New Roman" w:hAnsi="Times New Roman"/>
          <w:color w:val="000000"/>
        </w:rPr>
      </w:r>
      <w:r/>
    </w:p>
    <w:p>
      <w:pPr>
        <w:pStyle w:val="1025"/>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r>
      <w:r/>
    </w:p>
    <w:p>
      <w:pPr>
        <w:pStyle w:val="1025"/>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1025"/>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93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93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93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93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3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937"/>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937"/>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1025"/>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1025"/>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1025"/>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rPr>
        <w:t xml:space="preserve">（</w:t>
      </w:r>
      <w:r>
        <w:rPr>
          <w:rFonts w:hint="eastAsia" w:ascii="宋体" w:hAnsi="宋体"/>
          <w:b/>
          <w:color w:val="000000"/>
          <w:sz w:val="28"/>
          <w:szCs w:val="28"/>
        </w:rPr>
        <w:t xml:space="preserve">6</w:t>
      </w:r>
      <w:r>
        <w:rPr>
          <w:rFonts w:hint="eastAsia" w:ascii="宋体" w:hAnsi="宋体"/>
          <w:b/>
          <w:color w:val="000000"/>
          <w:sz w:val="28"/>
          <w:szCs w:val="28"/>
        </w:rPr>
        <w:t xml:space="preserve">0</w:t>
      </w:r>
      <w:r>
        <w:rPr>
          <w:rFonts w:hint="eastAsia" w:ascii="宋体" w:hAnsi="宋体"/>
          <w:b/>
          <w:color w:val="000000"/>
          <w:sz w:val="28"/>
          <w:szCs w:val="28"/>
        </w:rPr>
        <w:t xml:space="preserve">分）</w:t>
      </w:r>
      <w:r>
        <w:rPr>
          <w:rFonts w:hint="eastAsia" w:ascii="宋体" w:hAnsi="宋体"/>
          <w:b/>
          <w:color w:val="000000"/>
          <w:sz w:val="28"/>
          <w:szCs w:val="28"/>
        </w:rPr>
      </w:r>
      <w:r/>
    </w:p>
    <w:p>
      <w:pPr>
        <w:pStyle w:val="93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ascii="宋体" w:hAnsi="宋体"/>
          <w:b/>
          <w:bCs/>
          <w:color w:val="000000"/>
          <w:sz w:val="24"/>
          <w:szCs w:val="24"/>
        </w:rPr>
      </w:r>
      <w:r/>
    </w:p>
    <w:p>
      <w:pPr>
        <w:pStyle w:val="93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3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93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2.技术（7分）：</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全面预算管理系统（1分）：在预算编制时能够设置均次、药占、耗占等收入结构指标，能够提供多部门、多医疗组预算编制功能，并能按月、季度、年度进行预算执行分析，得1分，少一项不得分，截图需要包含收入结构指标设置界面以及相应设置流程；</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智能报账管理系统（1分）：系统提供自定义工作流功能，支持加签审批、指派审批、指定到审批环节或人，支持审批驳回到任意审批环节，提供截图得1分，少一项不得分，截图需要包含完整的自定义工作流程设置界面以及相应设置流程。</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2.3合同管理系统（1分）：系统支持合同在付款时关联付款预算、同时生成付款申请单，并可传送到智能报账管理系统进行报账流程审批，提供截图得1分，否则不得分，截图需要完整体现付款时与付款预算的关联，以及将付款申请单传入智能报账管理系统后，智能报账管理系统中的状态和内容。</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2.4人力资源管理系统（1分）：考勤模块能支持多种考勤签到模式（包括人脸识别、指纹、移动定位打卡等），提供多种考勤签到模式截图得1分，否则不得分，截图需要完整体现打卡成功页面，移动定位打卡需要体现定位距离；</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2.5固定资产管理系统（1分）：固定资产基础数据能够从智能报账管理系统、物流管理系统、合同管理系统中引入，实现业务数据的复用，可通过截图佐证；支持使用RFID射频卡片并且可以通过手持RFID射频识别模块盘点资产，可通过视频佐证。截图和视频内容需完整体现操作前后固定资产系统状态和内容，证实内容体现连贯性和完整性得1分，否则不得分；</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2.6物流管理系统（1分）：支持与江苏省医用耗材招采平台、江苏省医保监控平台对接；提供符合招标要求的院外供应商协同平台，并承诺所有功能无条件、无期限、无费用向医院所有供应商提供，提供完整截图得1分，否则不得分，截图需要包含系统与省招采平台对接的入参与出参。</w:t>
      </w:r>
      <w:r/>
    </w:p>
    <w:p>
      <w:pPr>
        <w:pStyle w:val="93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2.7综合运营分析平台（1分）：满足《公立医院运营管理信息化功能指引》中综合运营决策分析要求，支持综合绩效评价、经济运行预测、持续发展能力量化分析，截图完整得1分，否则不得分。</w:t>
      </w:r>
      <w:r/>
    </w:p>
    <w:p>
      <w:pPr>
        <w:pStyle w:val="937"/>
        <w:ind w:firstLine="482"/>
        <w:jc w:val="left"/>
        <w:spacing w:line="500" w:lineRule="exact"/>
        <w:rPr>
          <w:rFonts w:hint="eastAsia" w:ascii="宋体" w:hAnsi="宋体"/>
          <w:bCs/>
          <w:color w:val="000000"/>
          <w:sz w:val="24"/>
          <w:szCs w:val="24"/>
        </w:rPr>
      </w:pPr>
      <w:r>
        <w:rPr>
          <w:rFonts w:hint="eastAsia" w:ascii="宋体" w:hAnsi="宋体"/>
          <w:b/>
          <w:bCs/>
          <w:color w:val="000000"/>
          <w:sz w:val="24"/>
          <w:szCs w:val="24"/>
        </w:rPr>
        <w:t xml:space="preserve">3</w:t>
      </w: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3.1项目经理（1分）：项目经理有信息系统项目管理师证书的得1分。</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3.2技术人员数量（</w:t>
      </w:r>
      <w:r>
        <w:rPr>
          <w:rFonts w:hint="eastAsia" w:ascii="宋体" w:hAnsi="宋体"/>
          <w:bCs/>
          <w:color w:val="000000"/>
          <w:sz w:val="24"/>
          <w:szCs w:val="24"/>
        </w:rPr>
        <w:t xml:space="preserve">2</w:t>
      </w:r>
      <w:r>
        <w:rPr>
          <w:rFonts w:hint="eastAsia" w:ascii="宋体" w:hAnsi="宋体"/>
          <w:bCs/>
          <w:color w:val="000000"/>
          <w:sz w:val="24"/>
          <w:szCs w:val="24"/>
        </w:rPr>
        <w:t xml:space="preserve">分）：拟投入本项目全面预算管理系统、智能报账管理系统、合同管理系统、人力资源管理系统、固定资产管理系统、物流管理系统、综合运营分析平台的每个子系统不低于2人，人员总数不低于14人，完全满足条件的1分；每多1人，得</w:t>
      </w:r>
      <w:r>
        <w:rPr>
          <w:rFonts w:hint="eastAsia" w:ascii="宋体" w:hAnsi="宋体"/>
          <w:bCs/>
          <w:color w:val="000000"/>
          <w:sz w:val="24"/>
          <w:szCs w:val="24"/>
        </w:rPr>
        <w:t xml:space="preserve">0.5</w:t>
      </w:r>
      <w:r>
        <w:rPr>
          <w:rFonts w:hint="eastAsia" w:ascii="宋体" w:hAnsi="宋体"/>
          <w:bCs/>
          <w:color w:val="000000"/>
          <w:sz w:val="24"/>
          <w:szCs w:val="24"/>
        </w:rPr>
        <w:t xml:space="preserve">分，最多不超过</w:t>
      </w:r>
      <w:r>
        <w:rPr>
          <w:rFonts w:hint="eastAsia" w:ascii="宋体" w:hAnsi="宋体"/>
          <w:bCs/>
          <w:color w:val="000000"/>
          <w:sz w:val="24"/>
          <w:szCs w:val="24"/>
        </w:rPr>
        <w:t xml:space="preserve">1</w:t>
      </w:r>
      <w:r>
        <w:rPr>
          <w:rFonts w:hint="eastAsia" w:ascii="宋体" w:hAnsi="宋体"/>
          <w:bCs/>
          <w:color w:val="000000"/>
          <w:sz w:val="24"/>
          <w:szCs w:val="24"/>
        </w:rPr>
        <w:t xml:space="preserve">分。</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3.3项目成员（4分）：项目组成员中，具有信息系统项目管理师资格、系统架构设计师资格、信息安全工程师资格、数据库系统工程师资格，并且工作年限不低于1年，每提供1个得1分，全部提供得4分。</w:t>
      </w:r>
      <w:r>
        <w:rPr>
          <w:rFonts w:hint="eastAsia" w:ascii="宋体" w:hAnsi="宋体"/>
          <w:bCs/>
          <w:color w:val="000000"/>
          <w:sz w:val="24"/>
          <w:szCs w:val="24"/>
        </w:rPr>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同一人多张证书只能得1分。</w:t>
      </w:r>
      <w:r>
        <w:rPr>
          <w:rFonts w:hint="eastAsia" w:ascii="宋体" w:hAnsi="宋体"/>
          <w:bCs/>
          <w:color w:val="000000"/>
          <w:sz w:val="24"/>
          <w:szCs w:val="24"/>
        </w:rPr>
      </w:r>
      <w:r/>
    </w:p>
    <w:p>
      <w:pPr>
        <w:pStyle w:val="937"/>
        <w:ind w:firstLine="361"/>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rPr>
      </w:pPr>
      <w:r>
        <w:rPr>
          <w:rFonts w:hint="eastAsia" w:ascii="宋体" w:hAnsi="宋体"/>
          <w:bCs/>
          <w:color w:val="000000"/>
          <w:sz w:val="24"/>
        </w:rPr>
        <w:t xml:space="preserve">4.1</w:t>
      </w:r>
      <w:r>
        <w:rPr>
          <w:rFonts w:hint="eastAsia" w:ascii="宋体" w:hAnsi="宋体"/>
          <w:bCs/>
          <w:color w:val="000000"/>
          <w:sz w:val="24"/>
        </w:rPr>
        <w:t xml:space="preserve">业绩（3分）投标人具有与本项目类似的成功案例，每提供一份有效合同复印件得1分，最高不超过3分；合同扫描件上传至投标系统中。</w:t>
      </w:r>
      <w:r>
        <w:rPr>
          <w:rFonts w:hint="eastAsia" w:ascii="宋体" w:hAnsi="宋体"/>
          <w:bCs/>
          <w:color w:val="000000"/>
          <w:sz w:val="24"/>
        </w:rPr>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rPr>
      </w:pPr>
      <w:r>
        <w:rPr>
          <w:rFonts w:hint="eastAsia" w:ascii="宋体" w:hAnsi="宋体"/>
          <w:bCs/>
          <w:color w:val="000000"/>
          <w:sz w:val="24"/>
        </w:rPr>
        <w:t xml:space="preserve">4.2</w:t>
      </w:r>
      <w:r>
        <w:rPr>
          <w:rFonts w:hint="eastAsia" w:ascii="宋体" w:hAnsi="宋体"/>
          <w:bCs/>
          <w:color w:val="000000"/>
          <w:sz w:val="24"/>
        </w:rPr>
        <w:t xml:space="preserve">认证认书</w:t>
      </w:r>
      <w:r>
        <w:rPr>
          <w:rFonts w:hint="eastAsia" w:ascii="宋体" w:hAnsi="宋体"/>
          <w:bCs/>
          <w:color w:val="000000"/>
          <w:sz w:val="24"/>
        </w:rPr>
        <w:t xml:space="preserve">（3分）投标人具有有效期内的质量管理体系认证证书、信息安全管理体系认证证书、信息技术服务管理体系认证证书，有一项得1分，最高3分。上传证书扫描件至系统。同时还须提供该证书在“国家市场监督管理总局-全国认证认可信息公共服务平台”网站查询到的有效认证截图。</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rPr>
      </w:pPr>
      <w:r>
        <w:rPr>
          <w:rFonts w:hint="eastAsia" w:ascii="宋体" w:hAnsi="宋体"/>
          <w:bCs/>
          <w:color w:val="000000"/>
          <w:sz w:val="24"/>
        </w:rPr>
        <w:t xml:space="preserve">4.3软著（</w:t>
      </w:r>
      <w:r>
        <w:rPr>
          <w:rFonts w:hint="eastAsia" w:ascii="宋体" w:hAnsi="宋体"/>
          <w:bCs/>
          <w:color w:val="000000"/>
          <w:sz w:val="24"/>
        </w:rPr>
        <w:t xml:space="preserve">2</w:t>
      </w:r>
      <w:r>
        <w:rPr>
          <w:rFonts w:hint="eastAsia" w:ascii="宋体" w:hAnsi="宋体"/>
          <w:bCs/>
          <w:color w:val="000000"/>
          <w:sz w:val="24"/>
        </w:rPr>
        <w:t xml:space="preserve">分）：投标人具有以下软件产品著作权登记证书的：系统管理平台、全面预算管理系统、智能报账管理系统、合同管理系统、人力资源管理系统、固定资产管理系统、物流管理系统、综合运营分析平台子系统中的8个子系统。每提供一个得0.5分，全部提供得</w:t>
      </w:r>
      <w:r>
        <w:rPr>
          <w:rFonts w:hint="eastAsia" w:ascii="宋体" w:hAnsi="宋体"/>
          <w:bCs/>
          <w:color w:val="000000"/>
          <w:sz w:val="24"/>
        </w:rPr>
        <w:t xml:space="preserve">2</w:t>
      </w:r>
      <w:r>
        <w:rPr>
          <w:rFonts w:hint="eastAsia" w:ascii="宋体" w:hAnsi="宋体"/>
          <w:bCs/>
          <w:color w:val="000000"/>
          <w:sz w:val="24"/>
        </w:rPr>
        <w:t xml:space="preserve">分。名称与上述名称不完全一致，但内容相关的，视作等同，须提供相应软件著作权登记证书原件扫描件。</w:t>
      </w:r>
      <w:r/>
    </w:p>
    <w:p>
      <w:pPr>
        <w:pStyle w:val="937"/>
        <w:ind w:firstLine="360"/>
        <w:spacing w:line="500" w:lineRule="exact"/>
        <w:tabs>
          <w:tab w:val="left" w:pos="945" w:leader="none"/>
          <w:tab w:val="left" w:pos="1155" w:leader="none"/>
          <w:tab w:val="left" w:pos="3823" w:leader="none"/>
        </w:tabs>
        <w:rPr>
          <w:rFonts w:hint="eastAsia" w:ascii="宋体" w:hAnsi="宋体"/>
          <w:bCs/>
          <w:color w:val="000000"/>
          <w:sz w:val="24"/>
        </w:rPr>
      </w:pPr>
      <w:r>
        <w:rPr>
          <w:rFonts w:hint="eastAsia" w:ascii="宋体" w:hAnsi="宋体"/>
          <w:bCs/>
          <w:color w:val="000000"/>
          <w:sz w:val="24"/>
        </w:rPr>
        <w:t xml:space="preserve">4.4数据库兼容性要求(1分)：系统需同时支持Oracle、国产数据库。（需提供第三方用户实际在用证明加盖投标人公章，否则不得分）</w:t>
      </w:r>
      <w:r/>
    </w:p>
    <w:p>
      <w:pPr>
        <w:pStyle w:val="937"/>
        <w:ind w:firstLine="360"/>
        <w:spacing w:line="500" w:lineRule="exact"/>
        <w:tabs>
          <w:tab w:val="left" w:pos="945" w:leader="none"/>
          <w:tab w:val="left" w:pos="1155" w:leader="none"/>
          <w:tab w:val="left" w:pos="3823" w:leader="none"/>
        </w:tabs>
        <w:rPr>
          <w:rFonts w:ascii="宋体" w:hAnsi="宋体"/>
          <w:bCs/>
          <w:color w:val="000000"/>
          <w:sz w:val="24"/>
        </w:rPr>
      </w:pPr>
      <w:r>
        <w:rPr>
          <w:rFonts w:hint="eastAsia" w:ascii="宋体" w:hAnsi="宋体"/>
          <w:bCs/>
          <w:color w:val="000000"/>
          <w:sz w:val="24"/>
        </w:rPr>
        <w:t xml:space="preserve">4.5环境部署兼容性要求（1分）：支持在Windows、Linux、国产操作系统下部署系统数据库和应用系统。（需提供第三方用户实际在用证明加盖投标人公章，否则不得分）。</w:t>
      </w:r>
      <w:r>
        <w:rPr>
          <w:rFonts w:ascii="宋体" w:hAnsi="宋体"/>
          <w:bCs/>
          <w:color w:val="000000"/>
          <w:sz w:val="24"/>
        </w:rPr>
      </w:r>
      <w:r/>
    </w:p>
    <w:p>
      <w:pPr>
        <w:pStyle w:val="937"/>
        <w:ind w:firstLine="361"/>
        <w:spacing w:line="500" w:lineRule="exact"/>
        <w:tabs>
          <w:tab w:val="left" w:pos="945" w:leader="none"/>
          <w:tab w:val="left" w:pos="1155" w:leader="none"/>
          <w:tab w:val="left" w:pos="3823" w:leader="none"/>
        </w:tabs>
        <w:rPr>
          <w:rFonts w:hint="eastAsia" w:ascii="宋体" w:hAnsi="宋体"/>
          <w:bCs/>
          <w:color w:val="000000"/>
          <w:sz w:val="24"/>
        </w:rPr>
      </w:pPr>
      <w:r>
        <w:rPr>
          <w:rFonts w:hint="eastAsia" w:ascii="宋体" w:hAnsi="宋体"/>
          <w:b/>
          <w:bCs/>
          <w:color w:val="000000"/>
          <w:sz w:val="24"/>
          <w:szCs w:val="24"/>
        </w:rPr>
        <w:t xml:space="preserve">5.</w:t>
      </w:r>
      <w:r>
        <w:rPr>
          <w:rFonts w:hint="eastAsia" w:ascii="宋体" w:hAnsi="宋体"/>
          <w:b/>
          <w:bCs/>
          <w:color w:val="000000"/>
          <w:sz w:val="24"/>
          <w:szCs w:val="24"/>
        </w:rPr>
        <w:t xml:space="preserve">演示（</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w:t>
      </w:r>
      <w:r>
        <w:rPr>
          <w:rFonts w:hint="eastAsia" w:ascii="宋体" w:hAnsi="宋体"/>
          <w:bCs/>
          <w:color w:val="000000"/>
          <w:sz w:val="24"/>
        </w:rPr>
        <w:t xml:space="preserve">《操作手册》</w:t>
      </w:r>
      <w:r>
        <w:rPr>
          <w:rFonts w:hint="eastAsia" w:ascii="宋体" w:hAnsi="宋体"/>
          <w:bCs/>
          <w:color w:val="000000"/>
          <w:sz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hint="eastAsia" w:ascii="宋体" w:hAnsi="宋体"/>
          <w:bCs/>
          <w:color w:val="000000"/>
          <w:sz w:val="24"/>
        </w:rPr>
      </w:r>
      <w:r/>
    </w:p>
    <w:p>
      <w:pPr>
        <w:pStyle w:val="937"/>
        <w:ind w:firstLine="360"/>
        <w:spacing w:line="500" w:lineRule="exact"/>
        <w:tabs>
          <w:tab w:val="left" w:pos="945" w:leader="none"/>
          <w:tab w:val="left" w:pos="1155" w:leader="none"/>
          <w:tab w:val="left" w:pos="3823" w:leader="none"/>
        </w:tabs>
        <w:rPr>
          <w:rFonts w:ascii="宋体" w:hAnsi="宋体"/>
          <w:bCs/>
          <w:color w:val="000000"/>
          <w:sz w:val="24"/>
        </w:rPr>
      </w:pPr>
      <w:r>
        <w:rPr>
          <w:rFonts w:hint="eastAsia" w:ascii="宋体" w:hAnsi="宋体"/>
          <w:bCs/>
          <w:color w:val="000000"/>
          <w:sz w:val="24"/>
        </w:rPr>
        <w:t xml:space="preserve">5.1合同管理系统（2分）：系统支持合同分级管理，并能列出所管合同详细信息，包括合同内容、变更、解除、归档、到期处理、保证金、结算等全生命周期信息，功能点完整、连贯演示得2分，少一个不得分；</w:t>
      </w:r>
      <w:r>
        <w:rPr>
          <w:rFonts w:ascii="宋体" w:hAnsi="宋体"/>
          <w:bCs/>
          <w:color w:val="000000"/>
          <w:sz w:val="24"/>
        </w:rPr>
      </w:r>
      <w:r/>
    </w:p>
    <w:p>
      <w:pPr>
        <w:pStyle w:val="937"/>
        <w:ind w:firstLine="360"/>
        <w:spacing w:line="500" w:lineRule="exact"/>
        <w:tabs>
          <w:tab w:val="left" w:pos="945" w:leader="none"/>
          <w:tab w:val="left" w:pos="1155" w:leader="none"/>
          <w:tab w:val="left" w:pos="3823" w:leader="none"/>
        </w:tabs>
        <w:rPr>
          <w:rFonts w:ascii="宋体" w:hAnsi="宋体"/>
          <w:bCs/>
          <w:color w:val="000000"/>
          <w:sz w:val="24"/>
        </w:rPr>
      </w:pPr>
      <w:r>
        <w:rPr>
          <w:rFonts w:hint="eastAsia" w:ascii="宋体" w:hAnsi="宋体"/>
          <w:bCs/>
          <w:color w:val="000000"/>
          <w:sz w:val="24"/>
        </w:rPr>
        <w:t xml:space="preserve">5.2物流管理系统（2分）：系统支持手术套包字典维护、手术套包申请单生成、手术套包备货单生成、手术套包预送货单生成、手术套包确认单生成并且直接形成专购品入库、手术套包部分器械退货。六个功能点完整、连贯演示得2分，少一个不得分</w:t>
      </w:r>
      <w:r>
        <w:rPr>
          <w:rFonts w:ascii="宋体" w:hAnsi="宋体"/>
          <w:bCs/>
          <w:color w:val="000000"/>
          <w:sz w:val="24"/>
        </w:rPr>
      </w:r>
      <w:r/>
    </w:p>
    <w:p>
      <w:pPr>
        <w:pStyle w:val="1025"/>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rPr>
        <w:t xml:space="preserve">（</w:t>
      </w:r>
      <w:r>
        <w:rPr>
          <w:rFonts w:hint="eastAsia" w:ascii="宋体" w:hAnsi="宋体"/>
          <w:b/>
          <w:color w:val="000000"/>
          <w:sz w:val="28"/>
          <w:szCs w:val="28"/>
        </w:rPr>
        <w:t xml:space="preserve">40</w:t>
      </w:r>
      <w:r>
        <w:rPr>
          <w:rFonts w:hint="eastAsia" w:ascii="宋体" w:hAnsi="宋体"/>
          <w:b/>
          <w:color w:val="000000"/>
          <w:sz w:val="28"/>
          <w:szCs w:val="28"/>
        </w:rPr>
        <w:t xml:space="preserve">分）</w:t>
      </w:r>
      <w:r/>
    </w:p>
    <w:p>
      <w:pPr>
        <w:pStyle w:val="1025"/>
        <w:ind w:firstLine="360"/>
        <w:spacing w:before="0" w:after="0" w:line="500" w:lineRule="exact"/>
        <w:rPr>
          <w:rFonts w:hint="eastAsia" w:ascii="宋体" w:hAnsi="宋体"/>
          <w:bCs/>
          <w:color w:val="000000"/>
          <w:szCs w:val="21"/>
        </w:rPr>
      </w:pPr>
      <w:r>
        <w:rPr>
          <w:rFonts w:hint="eastAsia" w:ascii="宋体" w:hAnsi="宋体"/>
          <w:bCs/>
          <w:color w:val="000000"/>
          <w:szCs w:val="21"/>
        </w:rPr>
        <w:t xml:space="preserve">注：</w:t>
      </w:r>
      <w:r>
        <w:rPr>
          <w:rFonts w:hint="eastAsia" w:ascii="宋体" w:hAnsi="宋体"/>
          <w:bCs/>
          <w:color w:val="000000"/>
          <w:szCs w:val="21"/>
        </w:rPr>
        <w:t xml:space="preserve">技术部分属于暗标，投标人在制作技术部分相关内容时不得有体现投标人身份的内容，否则投标无效</w:t>
      </w:r>
      <w:r>
        <w:rPr>
          <w:rFonts w:hint="eastAsia" w:ascii="宋体" w:hAnsi="宋体"/>
          <w:bCs/>
          <w:color w:val="000000"/>
          <w:szCs w:val="21"/>
        </w:rPr>
        <w:t xml:space="preserve">。</w:t>
      </w:r>
      <w:r>
        <w:rPr>
          <w:rFonts w:hint="eastAsia" w:ascii="宋体" w:hAnsi="宋体"/>
          <w:bCs/>
          <w:color w:val="000000"/>
          <w:szCs w:val="21"/>
        </w:rPr>
      </w:r>
      <w:r/>
    </w:p>
    <w:p>
      <w:pPr>
        <w:pStyle w:val="1025"/>
        <w:ind w:firstLine="360"/>
        <w:spacing w:before="0" w:after="0" w:line="500" w:lineRule="exact"/>
        <w:rPr>
          <w:rFonts w:hint="eastAsia" w:ascii="宋体" w:hAnsi="宋体"/>
          <w:bCs/>
          <w:color w:val="000000"/>
          <w:szCs w:val="21"/>
        </w:rPr>
      </w:pPr>
      <w:r>
        <w:rPr>
          <w:rFonts w:hint="eastAsia" w:ascii="宋体" w:hAnsi="宋体"/>
          <w:bCs/>
          <w:color w:val="000000"/>
          <w:szCs w:val="21"/>
        </w:rPr>
        <w:t xml:space="preserve">6.</w:t>
      </w:r>
      <w:r>
        <w:rPr>
          <w:rFonts w:hint="eastAsia" w:ascii="宋体" w:hAnsi="宋体"/>
          <w:bCs/>
          <w:color w:val="000000"/>
          <w:szCs w:val="21"/>
        </w:rPr>
        <w:t xml:space="preserve">项目方案（</w:t>
      </w:r>
      <w:r>
        <w:rPr>
          <w:rFonts w:hint="eastAsia" w:ascii="宋体" w:hAnsi="宋体"/>
          <w:bCs/>
          <w:color w:val="000000"/>
          <w:szCs w:val="21"/>
        </w:rPr>
        <w:t xml:space="preserve">40</w:t>
      </w:r>
      <w:r>
        <w:rPr>
          <w:rFonts w:hint="eastAsia" w:ascii="宋体" w:hAnsi="宋体"/>
          <w:bCs/>
          <w:color w:val="000000"/>
          <w:szCs w:val="21"/>
        </w:rPr>
        <w:t xml:space="preserve">分）：</w:t>
      </w:r>
      <w:r>
        <w:rPr>
          <w:rFonts w:hint="eastAsia" w:ascii="宋体" w:hAnsi="宋体"/>
          <w:bCs/>
          <w:color w:val="000000"/>
          <w:szCs w:val="21"/>
        </w:rPr>
        <w:t xml:space="preserve">考察投标人项目技术方案，在响应采购文件需求的基础上针对下列各部分进行评价，要求体现科学合理性、条理性、可行性、完善性、针对性，无方案不得分。</w:t>
      </w:r>
      <w:r>
        <w:rPr>
          <w:rFonts w:hint="eastAsia" w:ascii="宋体" w:hAnsi="宋体"/>
          <w:bCs/>
          <w:color w:val="000000"/>
          <w:szCs w:val="21"/>
        </w:rPr>
      </w:r>
      <w:r/>
    </w:p>
    <w:p>
      <w:pPr>
        <w:pStyle w:val="1025"/>
        <w:ind w:firstLine="360"/>
        <w:spacing w:before="0" w:after="0" w:line="500" w:lineRule="exact"/>
        <w:rPr>
          <w:rFonts w:ascii="宋体" w:hAnsi="宋体"/>
          <w:bCs/>
          <w:color w:val="000000"/>
          <w:szCs w:val="21"/>
        </w:rPr>
      </w:pPr>
      <w:r>
        <w:rPr>
          <w:rFonts w:hint="eastAsia" w:ascii="宋体" w:hAnsi="宋体"/>
          <w:bCs/>
          <w:color w:val="000000"/>
          <w:szCs w:val="21"/>
        </w:rPr>
        <w:t xml:space="preserve">6.1实施方案（12分）根据投标人针对本项目提供的项目实施方案及保障措施，由评委根据投标人响应情况酌情打分。为了保证项目顺利推进，要求提供详细的项目实施管理方案，内容包括但不限于实施的管理制度、项目进度控制、项目风险控制、项目进度计划等内容，以上内容不存在瑕疵：12分，以上内容存在1处瑕疵：10分，以上内容存</w:t>
      </w:r>
      <w:r>
        <w:rPr>
          <w:rFonts w:ascii="宋体" w:hAnsi="宋体"/>
          <w:bCs/>
          <w:color w:val="000000"/>
          <w:szCs w:val="21"/>
        </w:rPr>
        <w:t xml:space="preserve">在2处瑕疵：</w:t>
      </w:r>
      <w:r>
        <w:rPr>
          <w:rFonts w:hint="eastAsia" w:ascii="宋体" w:hAnsi="宋体"/>
          <w:bCs/>
          <w:color w:val="000000"/>
          <w:szCs w:val="21"/>
        </w:rPr>
        <w:t xml:space="preserve">8</w:t>
      </w:r>
      <w:r>
        <w:rPr>
          <w:rFonts w:ascii="宋体" w:hAnsi="宋体"/>
          <w:bCs/>
          <w:color w:val="000000"/>
          <w:szCs w:val="21"/>
        </w:rPr>
        <w:t xml:space="preserve">分，未提供或存在3处以上瑕疵：0分</w:t>
      </w:r>
      <w:r>
        <w:rPr>
          <w:rFonts w:hint="eastAsia" w:ascii="宋体" w:hAnsi="宋体"/>
          <w:bCs/>
          <w:color w:val="000000"/>
          <w:szCs w:val="21"/>
        </w:rPr>
        <w:t xml:space="preserve">。</w:t>
      </w:r>
      <w:r>
        <w:rPr>
          <w:rFonts w:ascii="宋体" w:hAnsi="宋体"/>
          <w:bCs/>
          <w:color w:val="000000"/>
          <w:szCs w:val="21"/>
        </w:rPr>
      </w:r>
      <w:r/>
    </w:p>
    <w:p>
      <w:pPr>
        <w:pStyle w:val="1025"/>
        <w:ind w:firstLine="360"/>
        <w:spacing w:before="0" w:after="0" w:line="500" w:lineRule="exact"/>
        <w:rPr>
          <w:rFonts w:ascii="宋体" w:hAnsi="宋体"/>
          <w:bCs/>
          <w:color w:val="000000"/>
          <w:szCs w:val="21"/>
        </w:rPr>
      </w:pPr>
      <w:r>
        <w:rPr>
          <w:rFonts w:hint="eastAsia" w:ascii="宋体" w:hAnsi="宋体"/>
          <w:bCs/>
          <w:color w:val="000000"/>
          <w:szCs w:val="21"/>
        </w:rPr>
        <w:t xml:space="preserve">6.2培训方案（8分）针对建设单位及使用单位将按照工作人员工作需求，制定培训目标、计划、培训内容，编制统一的培训方案和教材等方面进行打分。以上内容不存在瑕疵：8分，以上内容存在1处瑕疵：6分，以上内容存在2处瑕疵：4分，未提供或存在3处以上瑕疵：0分。</w:t>
      </w:r>
      <w:r>
        <w:rPr>
          <w:rFonts w:ascii="宋体" w:hAnsi="宋体"/>
          <w:bCs/>
          <w:color w:val="000000"/>
          <w:szCs w:val="21"/>
        </w:rPr>
      </w:r>
      <w:r/>
    </w:p>
    <w:p>
      <w:pPr>
        <w:pStyle w:val="1025"/>
        <w:ind w:firstLine="360"/>
        <w:spacing w:before="0" w:after="0" w:line="500" w:lineRule="exact"/>
        <w:rPr>
          <w:rFonts w:ascii="宋体" w:hAnsi="宋体"/>
          <w:bCs/>
          <w:color w:val="000000"/>
          <w:szCs w:val="21"/>
        </w:rPr>
      </w:pPr>
      <w:r>
        <w:rPr>
          <w:rFonts w:hint="eastAsia" w:ascii="宋体" w:hAnsi="宋体"/>
          <w:bCs/>
          <w:color w:val="000000"/>
          <w:szCs w:val="21"/>
        </w:rPr>
        <w:t xml:space="preserve">6.3验收方案（8分）投标人应根据招标文件要求及本项目特点，提供本项目的项目验收方案，考察项目验收方案内容包括但不限于完善可实施的验收计划、验收过程、验收文档。以上内容不存在瑕疵：8分，以上内容存在1处瑕疵：6分，以上内容存在2处瑕疵：4分，未提供或存在3处以上瑕疵：0分。</w:t>
      </w:r>
      <w:r>
        <w:rPr>
          <w:rFonts w:ascii="宋体" w:hAnsi="宋体"/>
          <w:bCs/>
          <w:color w:val="000000"/>
          <w:szCs w:val="21"/>
        </w:rPr>
      </w:r>
      <w:r/>
    </w:p>
    <w:p>
      <w:pPr>
        <w:pStyle w:val="1025"/>
        <w:ind w:firstLine="360"/>
        <w:spacing w:before="0" w:after="0" w:line="500" w:lineRule="exact"/>
        <w:rPr>
          <w:rFonts w:ascii="宋体" w:hAnsi="宋体"/>
          <w:bCs/>
          <w:color w:val="000000"/>
          <w:szCs w:val="21"/>
        </w:rPr>
      </w:pPr>
      <w:r>
        <w:rPr>
          <w:rFonts w:hint="eastAsia" w:ascii="宋体" w:hAnsi="宋体"/>
          <w:bCs/>
          <w:color w:val="000000"/>
          <w:szCs w:val="21"/>
        </w:rPr>
        <w:t xml:space="preserve">6.4售后服务方案（12分）售后服务方案包括但不限于服务体系、服务内容、应急处理方案、质保承诺说明、实施及售后服务承诺、专业技术人员保障等。以上内容不存在瑕疵：12分，以上内容存在1处瑕疵：10分，以上内容存在2处瑕疵：8分，未提供或存在3处以上瑕疵：0分。</w:t>
      </w:r>
      <w:r>
        <w:rPr>
          <w:rFonts w:ascii="宋体" w:hAnsi="宋体"/>
          <w:bCs/>
          <w:color w:val="000000"/>
          <w:szCs w:val="21"/>
        </w:rPr>
      </w:r>
      <w:r/>
    </w:p>
    <w:p>
      <w:pPr>
        <w:pStyle w:val="1025"/>
        <w:ind w:firstLine="360"/>
        <w:spacing w:before="0" w:after="0" w:line="500" w:lineRule="exact"/>
        <w:rPr>
          <w:rFonts w:ascii="黑体" w:eastAsia="黑体"/>
          <w:bCs/>
          <w:color w:val="000000"/>
          <w:sz w:val="36"/>
          <w:szCs w:val="36"/>
        </w:rPr>
      </w:pPr>
      <w:r>
        <w:rPr>
          <w:rFonts w:ascii="宋体" w:hAnsi="宋体"/>
          <w:bCs/>
          <w:color w:val="000000"/>
          <w:szCs w:val="21"/>
        </w:rPr>
        <w:br w:type="page" w:clear="all"/>
      </w:r>
      <w:r>
        <w:rPr>
          <w:rFonts w:ascii="黑体" w:eastAsia="黑体"/>
          <w:bCs/>
          <w:color w:val="000000"/>
          <w:sz w:val="36"/>
          <w:szCs w:val="36"/>
        </w:rPr>
      </w:r>
      <w:r/>
    </w:p>
    <w:p>
      <w:pPr>
        <w:pStyle w:val="937"/>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226"/>
      <w:r>
        <w:rPr>
          <w:rFonts w:hint="eastAsia" w:ascii="黑体" w:eastAsia="黑体"/>
          <w:bCs/>
          <w:color w:val="000000"/>
          <w:sz w:val="36"/>
          <w:szCs w:val="36"/>
        </w:rPr>
        <w:t xml:space="preserve">投标文件内容与格式</w:t>
      </w:r>
      <w:r/>
    </w:p>
    <w:p>
      <w:pPr>
        <w:pStyle w:val="1025"/>
        <w:ind w:firstLine="602"/>
        <w:spacing w:before="0" w:after="0" w:line="500" w:lineRule="exact"/>
        <w:rPr>
          <w:rFonts w:hint="eastAsia" w:cs="Arial"/>
          <w:b/>
          <w:color w:val="000000"/>
          <w:sz w:val="30"/>
          <w:szCs w:val="30"/>
        </w:rPr>
      </w:pPr>
      <w:r/>
      <w:bookmarkStart w:id="227" w:name="_Hlt26955039"/>
      <w:r/>
      <w:bookmarkEnd w:id="227"/>
      <w:r/>
      <w:bookmarkStart w:id="228" w:name="_Toc49090576"/>
      <w:r/>
      <w:bookmarkStart w:id="229" w:name="_Toc120614282"/>
      <w:r/>
      <w:bookmarkStart w:id="230" w:name="_Toc26554094"/>
      <w:r/>
      <w:bookmarkStart w:id="231" w:name="_Hlt26671244"/>
      <w:r/>
      <w:bookmarkEnd w:id="231"/>
      <w:r>
        <w:rPr>
          <w:rFonts w:hint="eastAsia" w:cs="Arial"/>
          <w:b/>
          <w:color w:val="000000"/>
          <w:sz w:val="30"/>
          <w:szCs w:val="30"/>
        </w:rPr>
        <w:t xml:space="preserve">第一部分  投标文件内容</w:t>
      </w:r>
      <w:r/>
    </w:p>
    <w:p>
      <w:pPr>
        <w:pStyle w:val="1025"/>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25"/>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1025"/>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1025"/>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4"/>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1025"/>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1025"/>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1025"/>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7</w:t>
            </w:r>
            <w:r/>
          </w:p>
        </w:tc>
        <w:tc>
          <w:tcPr>
            <w:tcW w:w="6104" w:type="dxa"/>
            <w:vAlign w:val="center"/>
            <w:textDirection w:val="lrTb"/>
            <w:noWrap w:val="false"/>
          </w:tcPr>
          <w:p>
            <w:pPr>
              <w:pStyle w:val="1025"/>
              <w:ind w:firstLine="0"/>
              <w:spacing w:before="0" w:after="0" w:line="240" w:lineRule="auto"/>
              <w:rPr>
                <w:rFonts w:hint="eastAsia" w:ascii="宋体" w:hAnsi="宋体" w:cs="宋体"/>
                <w:bCs/>
                <w:color w:val="000000"/>
              </w:rPr>
            </w:pPr>
            <w:r>
              <w:rPr>
                <w:rFonts w:hint="eastAsia" w:ascii="宋体" w:hAnsi="宋体" w:cs="宋体"/>
                <w:bCs/>
                <w:color w:val="000000"/>
              </w:rPr>
              <w:t xml:space="preserve">满足中小企业政策的证明文件（如有中小企业政策要求的）。</w:t>
            </w:r>
            <w:r>
              <w:rPr>
                <w:rFonts w:hint="eastAsia" w:ascii="宋体" w:hAnsi="宋体" w:cs="宋体"/>
                <w:bCs/>
                <w:color w:val="000000"/>
              </w:rPr>
            </w:r>
            <w:r/>
          </w:p>
        </w:tc>
        <w:tc>
          <w:tcPr>
            <w:tcW w:w="2449" w:type="dxa"/>
            <w:vAlign w:val="center"/>
            <w:textDirection w:val="lrTb"/>
            <w:noWrap w:val="false"/>
          </w:tcPr>
          <w:p>
            <w:pPr>
              <w:pStyle w:val="1025"/>
              <w:ind w:firstLine="0"/>
              <w:jc w:val="center"/>
              <w:spacing w:before="0" w:after="0" w:line="240" w:lineRule="auto"/>
              <w:rPr>
                <w:rFonts w:ascii="宋体" w:hAnsi="宋体" w:cs="宋体"/>
                <w:bCs/>
                <w:color w:val="000000"/>
              </w:rPr>
            </w:pPr>
            <w:r>
              <w:rPr>
                <w:rFonts w:hint="eastAsia" w:ascii="宋体" w:hAnsi="宋体" w:cs="宋体"/>
                <w:bCs/>
                <w:color w:val="000000"/>
              </w:rPr>
              <w:t xml:space="preserve">落实政府采购政策需满足的资格要求，详见第一章《投标邀请》</w:t>
            </w:r>
            <w:r>
              <w:rPr>
                <w:rFonts w:ascii="宋体" w:hAnsi="宋体" w:cs="宋体"/>
                <w:bCs/>
                <w:color w:val="000000"/>
              </w:rPr>
            </w:r>
            <w:r/>
          </w:p>
        </w:tc>
      </w:tr>
      <w:tr>
        <w:trPr>
          <w:trHeight w:val="726"/>
        </w:trPr>
        <w:tc>
          <w:tcPr>
            <w:tcW w:w="719" w:type="dxa"/>
            <w:vAlign w:val="center"/>
            <w:textDirection w:val="lrTb"/>
            <w:noWrap w:val="false"/>
          </w:tcPr>
          <w:p>
            <w:pPr>
              <w:pStyle w:val="1025"/>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1025"/>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color w:val="000000"/>
              </w:rPr>
              <w:t xml:space="preserve">（如有特定资格要求的）</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1025"/>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1025"/>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1025"/>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《联合体协议》（如接受联合体投标且投标人为联合体时须提供，格式自拟）。</w:t>
            </w:r>
            <w:r>
              <w:rPr>
                <w:rFonts w:hint="eastAsia" w:ascii="宋体" w:hAnsi="宋体" w:cs="宋体"/>
                <w:color w:val="000000"/>
              </w:rPr>
            </w:r>
            <w:r/>
          </w:p>
        </w:tc>
      </w:tr>
    </w:tbl>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37"/>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3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w:t>
      </w:r>
      <w:r>
        <w:rPr>
          <w:rFonts w:hint="eastAsia" w:ascii="宋体" w:hAnsi="宋体"/>
          <w:color w:val="000000"/>
          <w:sz w:val="24"/>
          <w:szCs w:val="24"/>
        </w:rPr>
        <w:t xml:space="preserve">，如本项目落实政府采购政策需满足的资格要求中有中小企业政策要求的</w:t>
      </w:r>
      <w:r>
        <w:rPr>
          <w:rFonts w:hint="eastAsia" w:ascii="宋体" w:hAnsi="宋体"/>
          <w:color w:val="000000"/>
          <w:sz w:val="24"/>
          <w:szCs w:val="24"/>
        </w:rPr>
        <w:t xml:space="preserve">（详见第一章《投标邀请》），必须提供相应证明文件，否则投标文件无效。</w:t>
      </w:r>
      <w:r/>
    </w:p>
    <w:p>
      <w:pPr>
        <w:pStyle w:val="937"/>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3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937"/>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w:t>
      </w:r>
      <w:r>
        <w:rPr>
          <w:rFonts w:hint="eastAsia" w:ascii="宋体" w:hAnsi="宋体"/>
          <w:color w:val="000000"/>
          <w:sz w:val="24"/>
          <w:szCs w:val="24"/>
        </w:rPr>
        <w:t xml:space="preserve">7（如有要求）、8（如有要求）</w:t>
      </w:r>
      <w:r>
        <w:rPr>
          <w:rFonts w:hint="eastAsia" w:ascii="宋体" w:hAnsi="宋体"/>
          <w:color w:val="000000"/>
          <w:sz w:val="24"/>
          <w:szCs w:val="24"/>
        </w:rPr>
        <w:t xml:space="preserve">项，联合体各方均须提供。</w:t>
      </w:r>
      <w:r/>
    </w:p>
    <w:p>
      <w:pPr>
        <w:pStyle w:val="937"/>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pStyle w:val="937"/>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25"/>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1025"/>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1025"/>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025"/>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025"/>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025"/>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025"/>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025"/>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1025"/>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025"/>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1025"/>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025"/>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1025"/>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1025"/>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025"/>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1025"/>
              <w:ind w:firstLine="0"/>
              <w:jc w:val="both"/>
              <w:spacing w:before="0" w:after="0" w:line="240" w:lineRule="auto"/>
              <w:rPr>
                <w:rFonts w:hint="eastAsia" w:cs="Arial"/>
                <w:color w:val="000000"/>
              </w:rPr>
            </w:pPr>
            <w:r>
              <w:rPr>
                <w:rFonts w:hint="eastAsia" w:cs="Arial"/>
                <w:color w:val="000000"/>
              </w:rPr>
            </w:r>
            <w:r/>
          </w:p>
        </w:tc>
      </w:tr>
    </w:tbl>
    <w:p>
      <w:pPr>
        <w:pStyle w:val="93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937"/>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937"/>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937"/>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第6项按《采购需求》中的相应要求（如有）进行提供。</w:t>
      </w:r>
      <w:r>
        <w:rPr>
          <w:rFonts w:hint="eastAsia" w:ascii="宋体" w:hAnsi="宋体" w:cs="宋体"/>
          <w:color w:val="000000"/>
          <w:sz w:val="24"/>
          <w:szCs w:val="24"/>
        </w:rPr>
      </w:r>
      <w:r/>
    </w:p>
    <w:p>
      <w:pPr>
        <w:pStyle w:val="937"/>
        <w:ind w:left="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37"/>
        <w:rPr>
          <w:rFonts w:hint="eastAsia"/>
          <w:b/>
          <w:color w:val="000000"/>
          <w:sz w:val="28"/>
          <w:szCs w:val="28"/>
        </w:rPr>
      </w:pPr>
      <w:r>
        <w:rPr>
          <w:rFonts w:hint="eastAsia"/>
          <w:b/>
          <w:color w:val="000000"/>
          <w:sz w:val="28"/>
          <w:szCs w:val="28"/>
        </w:rPr>
        <w:t xml:space="preserve">（二）其他证明文件</w:t>
      </w:r>
      <w:r/>
    </w:p>
    <w:p>
      <w:pPr>
        <w:pStyle w:val="937"/>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937"/>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ascii="宋体" w:hAnsi="宋体" w:cs="宋体"/>
          <w:color w:val="000000"/>
          <w:sz w:val="24"/>
          <w:szCs w:val="24"/>
        </w:rPr>
      </w:r>
      <w:r/>
    </w:p>
    <w:p>
      <w:pPr>
        <w:pStyle w:val="937"/>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025"/>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3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JSZC-320200-JZCG-G2024-0152</w:t>
      </w:r>
      <w:r>
        <w:rPr>
          <w:rFonts w:ascii="黑体" w:hAnsi="华文中宋" w:eastAsia="黑体"/>
          <w:bCs/>
          <w:color w:val="000000"/>
          <w:sz w:val="30"/>
          <w:szCs w:val="30"/>
        </w:rPr>
      </w:r>
      <w:r/>
    </w:p>
    <w:p>
      <w:pPr>
        <w:pStyle w:val="93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医院智慧综合运营管理系统</w:t>
      </w:r>
      <w:r>
        <w:rPr>
          <w:rFonts w:hint="eastAsia" w:ascii="黑体" w:hAnsi="华文中宋" w:eastAsia="黑体"/>
          <w:bCs/>
          <w:color w:val="000000"/>
          <w:sz w:val="30"/>
          <w:szCs w:val="30"/>
        </w:rPr>
      </w:r>
      <w:r/>
    </w:p>
    <w:p>
      <w:pPr>
        <w:pStyle w:val="93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3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37"/>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937"/>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1023"/>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JSZC-320200-JZCG-G2024-0152</w:t>
      </w:r>
      <w:r>
        <w:rPr>
          <w:rFonts w:hint="eastAsia" w:ascii="宋体" w:hAnsi="宋体"/>
          <w:bCs/>
          <w:color w:val="000000"/>
          <w:sz w:val="24"/>
          <w:szCs w:val="24"/>
        </w:rPr>
        <w:t xml:space="preserve">项目，兹授权：</w:t>
      </w:r>
      <w:r>
        <w:rPr>
          <w:rFonts w:hint="eastAsia"/>
          <w:color w:val="000000"/>
          <w:sz w:val="24"/>
          <w:szCs w:val="24"/>
        </w:rPr>
      </w:r>
      <w:r/>
    </w:p>
    <w:p>
      <w:pPr>
        <w:pStyle w:val="1023"/>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023"/>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023"/>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023"/>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23"/>
        <w:ind w:firstLine="480"/>
        <w:rPr>
          <w:rFonts w:hint="eastAsia"/>
          <w:color w:val="000000"/>
          <w:sz w:val="24"/>
          <w:szCs w:val="24"/>
        </w:rPr>
      </w:pPr>
      <w:r>
        <w:rPr>
          <w:rFonts w:hint="eastAsia"/>
          <w:color w:val="000000"/>
          <w:sz w:val="24"/>
          <w:szCs w:val="24"/>
        </w:rPr>
        <w:t xml:space="preserve">特此授权委托。</w:t>
      </w:r>
      <w:r/>
    </w:p>
    <w:p>
      <w:pPr>
        <w:pStyle w:val="1023"/>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1023"/>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1023"/>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1023"/>
        <w:ind w:firstLine="0"/>
        <w:rPr>
          <w:rFonts w:hint="eastAsia"/>
          <w:color w:val="000000"/>
          <w:sz w:val="24"/>
          <w:szCs w:val="24"/>
        </w:rPr>
      </w:pPr>
      <w:r>
        <w:rPr>
          <w:rFonts w:hint="eastAsia"/>
          <w:color w:val="000000"/>
          <w:sz w:val="24"/>
          <w:szCs w:val="24"/>
        </w:rPr>
        <w:t xml:space="preserve">说明：</w:t>
      </w:r>
      <w:r/>
    </w:p>
    <w:p>
      <w:pPr>
        <w:pStyle w:val="1023"/>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2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102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23"/>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1023"/>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937"/>
        <w:jc w:val="center"/>
        <w:rPr>
          <w:rFonts w:ascii="黑体" w:eastAsia="黑体"/>
          <w:bCs/>
          <w:color w:val="000000"/>
          <w:sz w:val="28"/>
          <w:szCs w:val="28"/>
        </w:rPr>
        <w:outlineLvl w:val="0"/>
      </w:pPr>
      <w:r/>
      <w:bookmarkStart w:id="232" w:name="报价方关于资格的声明函（格式）"/>
      <w:r/>
      <w:bookmarkEnd w:id="232"/>
      <w:r>
        <w:rPr>
          <w:rFonts w:hint="eastAsia" w:ascii="黑体" w:eastAsia="黑体"/>
          <w:bCs/>
          <w:color w:val="000000"/>
          <w:sz w:val="28"/>
          <w:szCs w:val="28"/>
        </w:rPr>
        <w:t xml:space="preserve">资格声明函</w:t>
      </w:r>
      <w:r>
        <w:rPr>
          <w:rFonts w:ascii="黑体" w:eastAsia="黑体"/>
          <w:bCs/>
          <w:color w:val="000000"/>
          <w:sz w:val="28"/>
          <w:szCs w:val="28"/>
        </w:rPr>
      </w:r>
      <w:r/>
    </w:p>
    <w:p>
      <w:pPr>
        <w:pStyle w:val="937"/>
        <w:jc w:val="center"/>
        <w:spacing w:line="480" w:lineRule="auto"/>
        <w:rPr>
          <w:rFonts w:ascii="宋体"/>
          <w:bCs/>
          <w:color w:val="000000"/>
          <w:sz w:val="24"/>
          <w:szCs w:val="24"/>
        </w:rPr>
      </w:pPr>
      <w:r>
        <w:rPr>
          <w:rFonts w:ascii="宋体"/>
          <w:bCs/>
          <w:color w:val="000000"/>
          <w:sz w:val="24"/>
          <w:szCs w:val="24"/>
        </w:rPr>
      </w:r>
      <w:r/>
    </w:p>
    <w:p>
      <w:pPr>
        <w:pStyle w:val="93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3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JSZC-320200-JZCG-G2024-0152</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93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3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3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37"/>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37"/>
        <w:spacing w:line="480" w:lineRule="auto"/>
        <w:rPr>
          <w:rFonts w:ascii="宋体"/>
          <w:bCs/>
          <w:color w:val="000000"/>
          <w:sz w:val="24"/>
          <w:szCs w:val="24"/>
        </w:rPr>
      </w:pPr>
      <w:r>
        <w:rPr>
          <w:rFonts w:ascii="宋体"/>
          <w:bCs/>
          <w:color w:val="000000"/>
          <w:sz w:val="24"/>
          <w:szCs w:val="24"/>
        </w:rPr>
      </w:r>
      <w:r/>
    </w:p>
    <w:p>
      <w:pPr>
        <w:pStyle w:val="93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37"/>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937"/>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p>
    <w:p>
      <w:pPr>
        <w:pStyle w:val="937"/>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937"/>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37"/>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937"/>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937"/>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37"/>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937"/>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37"/>
        <w:ind w:firstLine="420"/>
        <w:spacing w:line="360" w:lineRule="auto"/>
        <w:rPr>
          <w:rFonts w:hint="eastAsia"/>
          <w:color w:val="000000"/>
        </w:rPr>
      </w:pPr>
      <w:r>
        <w:rPr>
          <w:rFonts w:hint="eastAsia"/>
          <w:color w:val="000000"/>
        </w:rPr>
      </w:r>
      <w:r/>
    </w:p>
    <w:p>
      <w:pPr>
        <w:pStyle w:val="937"/>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37"/>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937"/>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937"/>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937"/>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937"/>
        <w:ind w:firstLine="482"/>
        <w:spacing w:line="440" w:lineRule="exact"/>
        <w:rPr>
          <w:rFonts w:ascii="Arial" w:hAnsi="Arial"/>
          <w:b/>
          <w:color w:val="000000"/>
          <w:sz w:val="24"/>
        </w:rPr>
      </w:pPr>
      <w:r>
        <w:rPr>
          <w:rFonts w:ascii="Arial" w:hAnsi="Arial"/>
          <w:b/>
          <w:color w:val="000000"/>
          <w:sz w:val="24"/>
        </w:rPr>
      </w:r>
      <w:r/>
    </w:p>
    <w:p>
      <w:pPr>
        <w:pStyle w:val="93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37"/>
        <w:jc w:val="center"/>
        <w:rPr>
          <w:rFonts w:ascii="黑体" w:eastAsia="黑体"/>
          <w:bCs/>
          <w:color w:val="000000"/>
          <w:sz w:val="28"/>
          <w:szCs w:val="28"/>
        </w:rPr>
      </w:pPr>
      <w:r>
        <w:rPr>
          <w:rFonts w:ascii="黑体" w:eastAsia="黑体"/>
          <w:bCs/>
          <w:color w:val="000000"/>
          <w:sz w:val="28"/>
          <w:szCs w:val="28"/>
        </w:rPr>
      </w:r>
      <w:r/>
    </w:p>
    <w:p>
      <w:pPr>
        <w:pStyle w:val="93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3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37"/>
        <w:ind w:firstLine="480"/>
        <w:spacing w:line="580" w:lineRule="exact"/>
        <w:rPr>
          <w:rFonts w:ascii="宋体" w:hAnsi="宋体"/>
          <w:bCs/>
          <w:color w:val="000000"/>
          <w:sz w:val="24"/>
          <w:szCs w:val="24"/>
        </w:rPr>
      </w:pPr>
      <w:r>
        <w:rPr>
          <w:rFonts w:ascii="宋体" w:hAnsi="宋体"/>
          <w:bCs/>
          <w:color w:val="000000"/>
          <w:sz w:val="24"/>
          <w:szCs w:val="24"/>
        </w:rPr>
      </w:r>
      <w:r/>
    </w:p>
    <w:p>
      <w:pPr>
        <w:pStyle w:val="937"/>
        <w:ind w:firstLine="480"/>
        <w:spacing w:line="580" w:lineRule="exact"/>
        <w:rPr>
          <w:rFonts w:ascii="宋体" w:hAnsi="宋体"/>
          <w:bCs/>
          <w:color w:val="000000"/>
          <w:sz w:val="24"/>
          <w:szCs w:val="24"/>
        </w:rPr>
      </w:pPr>
      <w:r>
        <w:rPr>
          <w:rFonts w:ascii="宋体" w:hAnsi="宋体"/>
          <w:bCs/>
          <w:color w:val="000000"/>
          <w:sz w:val="24"/>
          <w:szCs w:val="24"/>
        </w:rPr>
      </w:r>
      <w:r/>
    </w:p>
    <w:p>
      <w:pPr>
        <w:pStyle w:val="93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3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37"/>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937"/>
        <w:spacing w:line="360" w:lineRule="auto"/>
        <w:rPr>
          <w:rFonts w:hint="eastAsia"/>
          <w:b/>
          <w:color w:val="000000"/>
          <w:sz w:val="30"/>
          <w:szCs w:val="30"/>
        </w:rPr>
      </w:pPr>
      <w:r>
        <w:rPr>
          <w:rFonts w:hint="eastAsia"/>
          <w:b/>
          <w:color w:val="000000"/>
          <w:sz w:val="30"/>
          <w:szCs w:val="30"/>
        </w:rPr>
      </w:r>
      <w:r/>
    </w:p>
    <w:p>
      <w:pPr>
        <w:pStyle w:val="93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3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37"/>
        <w:ind w:firstLine="480"/>
        <w:spacing w:line="400" w:lineRule="exact"/>
        <w:rPr>
          <w:rFonts w:ascii="宋体"/>
          <w:bCs/>
          <w:color w:val="000000"/>
          <w:sz w:val="24"/>
          <w:szCs w:val="24"/>
        </w:rPr>
      </w:pPr>
      <w:r>
        <w:rPr>
          <w:rFonts w:ascii="宋体"/>
          <w:bCs/>
          <w:color w:val="000000"/>
          <w:sz w:val="24"/>
          <w:szCs w:val="24"/>
        </w:rPr>
      </w:r>
      <w:r/>
    </w:p>
    <w:p>
      <w:pPr>
        <w:pStyle w:val="93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JSZC-320200-JZCG-G2024-0152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3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12"/>
          <w:bCs/>
          <w:color w:val="000000"/>
        </w:rPr>
      </w:pPr>
      <w:r>
        <w:rPr>
          <w:rFonts w:hint="eastAsia" w:ascii="宋体" w:hAnsi="宋体"/>
          <w:bCs/>
          <w:color w:val="000000"/>
          <w:sz w:val="24"/>
          <w:szCs w:val="24"/>
        </w:rPr>
        <w:t xml:space="preserve">我方愿意提供无锡市公共资源交易中心在招标文件中要求的文件、资料。</w:t>
      </w:r>
      <w:r>
        <w:rPr>
          <w:rStyle w:val="1012"/>
          <w:bCs/>
          <w:color w:val="000000"/>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93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37"/>
        <w:ind w:firstLine="720"/>
        <w:spacing w:line="400" w:lineRule="exact"/>
        <w:rPr>
          <w:rFonts w:ascii="宋体"/>
          <w:bCs/>
          <w:color w:val="000000"/>
          <w:sz w:val="24"/>
          <w:szCs w:val="24"/>
        </w:rPr>
      </w:pPr>
      <w:r>
        <w:rPr>
          <w:rFonts w:ascii="宋体"/>
          <w:bCs/>
          <w:color w:val="000000"/>
          <w:sz w:val="24"/>
          <w:szCs w:val="24"/>
        </w:rPr>
      </w:r>
      <w:r/>
    </w:p>
    <w:p>
      <w:pPr>
        <w:pStyle w:val="93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3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3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37"/>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937"/>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937"/>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JSZC-320200-JZCG-G2024-0152</w:t>
      </w:r>
      <w:r>
        <w:rPr>
          <w:rFonts w:hint="eastAsia" w:ascii="宋体" w:hAnsi="宋体"/>
          <w:color w:val="000000"/>
          <w:sz w:val="24"/>
          <w:szCs w:val="24"/>
        </w:rPr>
        <w:t xml:space="preserve">在此承诺：</w:t>
      </w:r>
      <w:r>
        <w:rPr>
          <w:rFonts w:ascii="宋体" w:hAnsi="宋体"/>
          <w:color w:val="000000"/>
          <w:sz w:val="24"/>
          <w:szCs w:val="24"/>
        </w:rPr>
      </w:r>
      <w:r/>
    </w:p>
    <w:p>
      <w:pPr>
        <w:pStyle w:val="937"/>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937"/>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937"/>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37"/>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937"/>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937"/>
        <w:ind w:firstLine="480"/>
        <w:spacing w:line="480" w:lineRule="auto"/>
        <w:rPr>
          <w:rFonts w:hint="eastAsia" w:ascii="宋体"/>
          <w:bCs/>
          <w:color w:val="000000"/>
          <w:sz w:val="24"/>
          <w:szCs w:val="24"/>
        </w:rPr>
      </w:pPr>
      <w:r>
        <w:rPr>
          <w:rFonts w:hint="eastAsia" w:ascii="宋体"/>
          <w:bCs/>
          <w:color w:val="000000"/>
          <w:sz w:val="24"/>
          <w:szCs w:val="24"/>
        </w:rPr>
      </w:r>
      <w:r/>
    </w:p>
    <w:p>
      <w:pPr>
        <w:pStyle w:val="937"/>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937"/>
        <w:ind w:firstLine="480"/>
        <w:spacing w:line="480" w:lineRule="auto"/>
        <w:rPr>
          <w:rFonts w:hint="eastAsia" w:ascii="宋体"/>
          <w:bCs/>
          <w:color w:val="000000"/>
          <w:sz w:val="24"/>
          <w:szCs w:val="24"/>
        </w:rPr>
      </w:pPr>
      <w:r>
        <w:rPr>
          <w:rFonts w:hint="eastAsia" w:ascii="宋体"/>
          <w:bCs/>
          <w:color w:val="000000"/>
          <w:sz w:val="24"/>
          <w:szCs w:val="24"/>
        </w:rPr>
      </w:r>
      <w:r/>
    </w:p>
    <w:p>
      <w:pPr>
        <w:pStyle w:val="937"/>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937"/>
        <w:ind w:firstLine="5400"/>
        <w:spacing w:line="480" w:lineRule="auto"/>
        <w:rPr>
          <w:rFonts w:ascii="宋体" w:hAnsi="宋体"/>
          <w:bCs/>
          <w:color w:val="000000"/>
          <w:sz w:val="24"/>
          <w:szCs w:val="24"/>
        </w:rPr>
      </w:pPr>
      <w:r>
        <w:rPr>
          <w:rFonts w:ascii="宋体" w:hAnsi="宋体"/>
          <w:bCs/>
          <w:color w:val="000000"/>
          <w:sz w:val="24"/>
          <w:szCs w:val="24"/>
        </w:rPr>
      </w:r>
      <w:r/>
    </w:p>
    <w:p>
      <w:pPr>
        <w:pStyle w:val="937"/>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937"/>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937"/>
        <w:spacing w:line="360" w:lineRule="auto"/>
        <w:rPr>
          <w:rFonts w:hint="eastAsia"/>
          <w:b/>
          <w:color w:val="000000"/>
          <w:sz w:val="28"/>
          <w:szCs w:val="28"/>
        </w:rPr>
      </w:pPr>
      <w:r>
        <w:rPr>
          <w:rFonts w:hint="eastAsia"/>
          <w:b/>
          <w:color w:val="000000"/>
          <w:sz w:val="28"/>
          <w:szCs w:val="28"/>
        </w:rPr>
        <w:t xml:space="preserve">八、开标一览表（给定格式）：</w:t>
      </w:r>
      <w:r/>
    </w:p>
    <w:p>
      <w:pPr>
        <w:pStyle w:val="937"/>
        <w:ind w:firstLine="482"/>
        <w:spacing w:line="440" w:lineRule="exact"/>
        <w:rPr>
          <w:rFonts w:hint="eastAsia" w:ascii="Arial" w:hAnsi="Arial"/>
          <w:b/>
          <w:color w:val="000000"/>
          <w:sz w:val="24"/>
        </w:rPr>
      </w:pPr>
      <w:r>
        <w:rPr>
          <w:rFonts w:hint="eastAsia" w:ascii="Arial" w:hAnsi="Arial"/>
          <w:b/>
          <w:color w:val="000000"/>
          <w:sz w:val="24"/>
        </w:rPr>
      </w:r>
      <w:r/>
    </w:p>
    <w:p>
      <w:pPr>
        <w:pStyle w:val="93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37"/>
        <w:jc w:val="center"/>
        <w:rPr>
          <w:rFonts w:ascii="黑体" w:eastAsia="黑体"/>
          <w:bCs/>
          <w:color w:val="000000"/>
          <w:sz w:val="28"/>
          <w:szCs w:val="28"/>
        </w:rPr>
        <w:outlineLvl w:val="0"/>
      </w:pPr>
      <w:r>
        <w:rPr>
          <w:rFonts w:ascii="黑体" w:eastAsia="黑体"/>
          <w:bCs/>
          <w:color w:val="000000"/>
          <w:sz w:val="28"/>
          <w:szCs w:val="28"/>
        </w:rPr>
      </w:r>
      <w:r/>
    </w:p>
    <w:p>
      <w:pPr>
        <w:pStyle w:val="937"/>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JSZC-320200-JZCG-G2024-0152</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3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37"/>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51"/>
              <w:jc w:val="center"/>
              <w:spacing w:line="400" w:lineRule="exact"/>
              <w:rPr>
                <w:rFonts w:hAnsi="宋体"/>
                <w:bCs/>
                <w:color w:val="000000"/>
                <w:szCs w:val="24"/>
              </w:rPr>
            </w:pPr>
            <w:r>
              <w:rPr>
                <w:rFonts w:hint="eastAsia" w:hAnsi="宋体"/>
                <w:bCs/>
                <w:color w:val="000000"/>
                <w:szCs w:val="24"/>
              </w:rPr>
              <w:t xml:space="preserve">医院智慧综合运营管理系统</w:t>
            </w:r>
            <w:r>
              <w:rPr>
                <w:rFonts w:hAnsi="宋体"/>
                <w:bCs/>
                <w:color w:val="000000"/>
                <w:szCs w:val="24"/>
              </w:rPr>
            </w:r>
            <w:r/>
          </w:p>
        </w:tc>
        <w:tc>
          <w:tcPr>
            <w:tcW w:w="3188" w:type="dxa"/>
            <w:vAlign w:val="center"/>
            <w:textDirection w:val="lrTb"/>
            <w:noWrap w:val="false"/>
          </w:tcPr>
          <w:p>
            <w:pPr>
              <w:pStyle w:val="1051"/>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3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3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37"/>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937"/>
        <w:spacing w:line="360" w:lineRule="auto"/>
        <w:rPr>
          <w:rFonts w:hint="eastAsia"/>
          <w:b/>
          <w:color w:val="000000"/>
          <w:sz w:val="30"/>
          <w:szCs w:val="30"/>
        </w:rPr>
      </w:pPr>
      <w:r>
        <w:rPr>
          <w:rFonts w:hint="eastAsia"/>
          <w:b/>
          <w:color w:val="000000"/>
          <w:sz w:val="30"/>
          <w:szCs w:val="30"/>
        </w:rPr>
      </w:r>
      <w:r/>
    </w:p>
    <w:p>
      <w:pPr>
        <w:pStyle w:val="937"/>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93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JSZC-320200-JZCG-G2024-0152</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37"/>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937"/>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937"/>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937"/>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937"/>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93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8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3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3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3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3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3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37"/>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3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3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3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3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37"/>
        <w:spacing w:line="400" w:lineRule="exact"/>
        <w:rPr>
          <w:rFonts w:hint="eastAsia" w:ascii="宋体" w:hAnsi="宋体"/>
          <w:b/>
          <w:color w:val="000000"/>
        </w:rPr>
        <w:outlineLvl w:val="0"/>
      </w:pPr>
      <w:r>
        <w:rPr>
          <w:rFonts w:hint="eastAsia" w:ascii="宋体" w:hAnsi="宋体"/>
          <w:b/>
          <w:color w:val="000000"/>
        </w:rPr>
      </w:r>
      <w:r/>
    </w:p>
    <w:p>
      <w:pPr>
        <w:pStyle w:val="937"/>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37"/>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937"/>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937"/>
        <w:jc w:val="center"/>
        <w:spacing w:line="400" w:lineRule="exact"/>
        <w:rPr>
          <w:b/>
          <w:color w:val="000000"/>
          <w:sz w:val="28"/>
          <w:szCs w:val="28"/>
        </w:rPr>
        <w:outlineLvl w:val="0"/>
      </w:pPr>
      <w:r>
        <w:rPr>
          <w:rFonts w:ascii="宋体" w:hAnsi="宋体"/>
          <w:bCs/>
          <w:color w:val="000000"/>
        </w:rPr>
        <w:br w:type="page" w:clear="all"/>
      </w:r>
      <w:bookmarkEnd w:id="228"/>
      <w:r/>
      <w:bookmarkEnd w:id="229"/>
      <w:r/>
      <w:bookmarkEnd w:id="230"/>
      <w:r/>
      <w:bookmarkStart w:id="233" w:name="_Toc120614284"/>
      <w:r>
        <w:rPr>
          <w:b/>
          <w:color w:val="000000"/>
          <w:sz w:val="28"/>
          <w:szCs w:val="28"/>
        </w:rPr>
      </w:r>
      <w:r/>
    </w:p>
    <w:p>
      <w:pPr>
        <w:pStyle w:val="937"/>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93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3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3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3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3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JSZC-320200-JZCG-G2024-0152</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7"/>
              <w:jc w:val="center"/>
              <w:rPr>
                <w:rFonts w:ascii="宋体"/>
                <w:bCs/>
                <w:color w:val="000000"/>
              </w:rPr>
            </w:pPr>
            <w:r>
              <w:rPr>
                <w:rFonts w:ascii="宋体"/>
                <w:bCs/>
                <w:color w:val="000000"/>
              </w:rPr>
            </w:r>
            <w:r/>
          </w:p>
        </w:tc>
      </w:tr>
    </w:tbl>
    <w:p>
      <w:pPr>
        <w:pStyle w:val="93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37"/>
        <w:rPr>
          <w:rFonts w:ascii="宋体"/>
          <w:bCs/>
          <w:color w:val="000000"/>
          <w:sz w:val="30"/>
        </w:rPr>
      </w:pPr>
      <w:r>
        <w:rPr>
          <w:rFonts w:ascii="宋体"/>
          <w:bCs/>
          <w:color w:val="000000"/>
          <w:sz w:val="30"/>
        </w:rPr>
      </w:r>
      <w:r/>
    </w:p>
    <w:p>
      <w:pPr>
        <w:pStyle w:val="93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3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3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33"/>
      <w:r/>
      <w:bookmarkStart w:id="234" w:name="_Hlt26671374"/>
      <w:r/>
      <w:bookmarkEnd w:id="234"/>
      <w:r/>
      <w:bookmarkStart w:id="235" w:name="_格式2__法定代表人授权书"/>
      <w:r/>
      <w:bookmarkEnd w:id="235"/>
      <w:r/>
      <w:bookmarkStart w:id="236" w:name="_Hlt26955066"/>
      <w:r/>
      <w:bookmarkEnd w:id="236"/>
      <w:r/>
      <w:bookmarkStart w:id="237" w:name="_Hlt26609389"/>
      <w:r/>
      <w:bookmarkEnd w:id="237"/>
      <w:r>
        <w:rPr>
          <w:rFonts w:hint="eastAsia" w:ascii="宋体" w:hAnsi="宋体"/>
          <w:bCs/>
          <w:color w:val="000000"/>
          <w:sz w:val="24"/>
          <w:szCs w:val="24"/>
        </w:rPr>
      </w:r>
      <w:r/>
    </w:p>
    <w:p>
      <w:pPr>
        <w:pStyle w:val="93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37"/>
        <w:ind w:firstLine="420"/>
        <w:rPr>
          <w:rFonts w:ascii="宋体" w:hAnsi="宋体"/>
          <w:bCs/>
          <w:color w:val="000000"/>
          <w:sz w:val="24"/>
          <w:szCs w:val="24"/>
        </w:rPr>
        <w:outlineLvl w:val="0"/>
      </w:pPr>
      <w:r>
        <w:rPr>
          <w:rFonts w:ascii="宋体" w:hAnsi="宋体"/>
          <w:bCs/>
          <w:color w:val="000000"/>
          <w:sz w:val="24"/>
          <w:szCs w:val="24"/>
        </w:rPr>
      </w:r>
      <w:r/>
    </w:p>
    <w:p>
      <w:pPr>
        <w:pStyle w:val="937"/>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937"/>
        <w:spacing w:line="400" w:lineRule="exact"/>
        <w:rPr>
          <w:rFonts w:ascii="黑体" w:eastAsia="黑体"/>
          <w:bCs/>
          <w:color w:val="000000"/>
          <w:sz w:val="28"/>
          <w:szCs w:val="28"/>
        </w:rPr>
      </w:pPr>
      <w:r>
        <w:rPr>
          <w:rFonts w:ascii="黑体" w:eastAsia="黑体"/>
          <w:bCs/>
          <w:color w:val="000000"/>
          <w:sz w:val="28"/>
          <w:szCs w:val="28"/>
        </w:rPr>
      </w:r>
      <w:r/>
    </w:p>
    <w:p>
      <w:pPr>
        <w:pStyle w:val="93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937"/>
        <w:jc w:val="center"/>
        <w:spacing w:line="400" w:lineRule="exact"/>
        <w:rPr>
          <w:rFonts w:ascii="黑体" w:eastAsia="黑体"/>
          <w:bCs/>
          <w:color w:val="000000"/>
          <w:sz w:val="28"/>
          <w:szCs w:val="28"/>
        </w:rPr>
      </w:pPr>
      <w:r>
        <w:rPr>
          <w:rFonts w:ascii="黑体" w:eastAsia="黑体"/>
          <w:bCs/>
          <w:color w:val="000000"/>
          <w:sz w:val="28"/>
          <w:szCs w:val="28"/>
        </w:rPr>
      </w:r>
      <w:r/>
    </w:p>
    <w:p>
      <w:pPr>
        <w:pStyle w:val="937"/>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JSZC-320200-JZCG-G2024-0152</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3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3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3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3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3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7"/>
              <w:rPr>
                <w:rFonts w:ascii="黑体" w:eastAsia="黑体"/>
                <w:bCs/>
                <w:color w:val="000000"/>
                <w:sz w:val="24"/>
                <w:szCs w:val="24"/>
              </w:rPr>
              <w:outlineLvl w:val="0"/>
            </w:pPr>
            <w:r>
              <w:rPr>
                <w:rFonts w:ascii="黑体" w:eastAsia="黑体"/>
                <w:bCs/>
                <w:color w:val="000000"/>
                <w:sz w:val="24"/>
                <w:szCs w:val="24"/>
              </w:rPr>
            </w:r>
            <w:r/>
          </w:p>
        </w:tc>
      </w:tr>
    </w:tbl>
    <w:p>
      <w:pPr>
        <w:pStyle w:val="937"/>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937"/>
        <w:rPr>
          <w:rFonts w:hint="eastAsia" w:ascii="宋体" w:hAnsi="宋体"/>
          <w:bCs/>
          <w:color w:val="000000"/>
        </w:rPr>
      </w:pPr>
      <w:r>
        <w:rPr>
          <w:rFonts w:hint="eastAsia" w:ascii="宋体" w:hAnsi="宋体"/>
          <w:bCs/>
          <w:color w:val="000000"/>
        </w:rPr>
      </w:r>
      <w:r/>
    </w:p>
    <w:p>
      <w:pPr>
        <w:pStyle w:val="93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37"/>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0"/>
        <w:rFonts w:ascii="宋体" w:hAnsi="宋体"/>
      </w:rPr>
      <w:framePr w:wrap="around" w:vAnchor="text" w:hAnchor="margin" w:xAlign="center" w:y="1"/>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６１</w:t>
    </w:r>
    <w:r>
      <w:rPr>
        <w:rFonts w:ascii="宋体" w:hAnsi="宋体"/>
      </w:rPr>
      <w:fldChar w:fldCharType="end"/>
    </w:r>
    <w:r>
      <w:rPr>
        <w:rStyle w:val="1010"/>
        <w:rFonts w:ascii="宋体" w:hAnsi="宋体"/>
      </w:rPr>
    </w:r>
    <w:r/>
  </w:p>
  <w:p>
    <w:pPr>
      <w:pStyle w:val="98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rPr>
        <w:rStyle w:val="1010"/>
      </w:rPr>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7"/>
        <w:ind w:left="845" w:hanging="425"/>
        <w:tabs>
          <w:tab w:val="left" w:pos="420" w:leader="none"/>
        </w:tabs>
      </w:pPr>
      <w:rPr>
        <w:rFonts w:hint="eastAsia"/>
      </w:rPr>
    </w:lvl>
    <w:lvl w:ilvl="1">
      <w:start w:val="1"/>
      <w:numFmt w:val="decimal"/>
      <w:isLgl w:val="false"/>
      <w:suff w:val="tab"/>
      <w:lvlText w:val="%1.%2."/>
      <w:lvlJc w:val="left"/>
      <w:pPr>
        <w:pStyle w:val="937"/>
        <w:ind w:left="567" w:hanging="567"/>
        <w:tabs>
          <w:tab w:val="left" w:pos="420" w:leader="none"/>
        </w:tabs>
      </w:pPr>
      <w:rPr>
        <w:rFonts w:hint="eastAsia"/>
      </w:rPr>
    </w:lvl>
    <w:lvl w:ilvl="2">
      <w:start w:val="1"/>
      <w:numFmt w:val="decimal"/>
      <w:isLgl w:val="false"/>
      <w:suff w:val="tab"/>
      <w:lvlText w:val="5.7.%3."/>
      <w:lvlJc w:val="left"/>
      <w:pPr>
        <w:pStyle w:val="937"/>
        <w:ind w:left="1129" w:hanging="709"/>
        <w:tabs>
          <w:tab w:val="left" w:pos="420" w:leader="none"/>
        </w:tabs>
      </w:pPr>
      <w:rPr>
        <w:rFonts w:hint="eastAsia"/>
      </w:rPr>
    </w:lvl>
    <w:lvl w:ilvl="3">
      <w:start w:val="1"/>
      <w:numFmt w:val="decimal"/>
      <w:isLgl w:val="false"/>
      <w:suff w:val="tab"/>
      <w:lvlText w:val="5.7.%3.%4."/>
      <w:lvlJc w:val="left"/>
      <w:pPr>
        <w:pStyle w:val="937"/>
        <w:ind w:left="1271" w:hanging="851"/>
        <w:tabs>
          <w:tab w:val="left" w:pos="420" w:leader="none"/>
        </w:tabs>
      </w:pPr>
      <w:rPr>
        <w:rFonts w:hint="eastAsia"/>
      </w:rPr>
    </w:lvl>
    <w:lvl w:ilvl="4">
      <w:start w:val="1"/>
      <w:numFmt w:val="decimal"/>
      <w:isLgl w:val="false"/>
      <w:suff w:val="tab"/>
      <w:lvlText w:val="5.7.%3.%4.%5."/>
      <w:lvlJc w:val="left"/>
      <w:pPr>
        <w:pStyle w:val="937"/>
        <w:ind w:left="1838" w:hanging="992"/>
        <w:tabs>
          <w:tab w:val="left" w:pos="420" w:leader="none"/>
        </w:tabs>
      </w:pPr>
      <w:rPr>
        <w:rFonts w:hint="eastAsia"/>
      </w:rPr>
    </w:lvl>
    <w:lvl w:ilvl="5">
      <w:start w:val="1"/>
      <w:numFmt w:val="decimal"/>
      <w:isLgl w:val="false"/>
      <w:suff w:val="tab"/>
      <w:lvlText w:val="5.7.%3.%4.%5.%6."/>
      <w:lvlJc w:val="left"/>
      <w:pPr>
        <w:pStyle w:val="937"/>
        <w:ind w:left="1554" w:hanging="1134"/>
        <w:tabs>
          <w:tab w:val="left" w:pos="420" w:leader="none"/>
        </w:tabs>
      </w:pPr>
      <w:rPr>
        <w:rFonts w:hint="eastAsia"/>
      </w:rPr>
    </w:lvl>
    <w:lvl w:ilvl="6">
      <w:start w:val="1"/>
      <w:numFmt w:val="decimal"/>
      <w:isLgl w:val="false"/>
      <w:suff w:val="tab"/>
      <w:lvlText w:val="%1.%2.%3.%4.%5.%6.%7."/>
      <w:lvlJc w:val="left"/>
      <w:pPr>
        <w:pStyle w:val="937"/>
        <w:ind w:left="1696" w:hanging="1276"/>
        <w:tabs>
          <w:tab w:val="left" w:pos="420" w:leader="none"/>
        </w:tabs>
      </w:pPr>
      <w:rPr>
        <w:rFonts w:hint="eastAsia"/>
      </w:rPr>
    </w:lvl>
    <w:lvl w:ilvl="7">
      <w:start w:val="1"/>
      <w:numFmt w:val="decimal"/>
      <w:isLgl w:val="false"/>
      <w:suff w:val="tab"/>
      <w:lvlText w:val="%1.%2.%3.%4.%5.%6.%7.%8."/>
      <w:lvlJc w:val="left"/>
      <w:pPr>
        <w:pStyle w:val="937"/>
        <w:ind w:left="1838" w:hanging="1418"/>
        <w:tabs>
          <w:tab w:val="left" w:pos="420" w:leader="none"/>
        </w:tabs>
      </w:pPr>
      <w:rPr>
        <w:rFonts w:hint="eastAsia"/>
      </w:rPr>
    </w:lvl>
    <w:lvl w:ilvl="8">
      <w:start w:val="1"/>
      <w:numFmt w:val="decimal"/>
      <w:isLgl w:val="false"/>
      <w:suff w:val="tab"/>
      <w:lvlText w:val="%1.%2.%3.%4.%5.%6.%7.%8.%9."/>
      <w:lvlJc w:val="left"/>
      <w:pPr>
        <w:pStyle w:val="937"/>
        <w:ind w:left="1979" w:hanging="1559"/>
        <w:tabs>
          <w:tab w:val="left" w:pos="420" w:leader="none"/>
        </w:tabs>
      </w:pPr>
      <w:rPr>
        <w:rFonts w:hint="eastAsia"/>
      </w:rPr>
    </w:lvl>
  </w:abstractNum>
  <w:abstractNum w:abstractNumId="2">
    <w:multiLevelType w:val="hybridMultilevel"/>
    <w:lvl w:ilvl="0">
      <w:start w:val="1"/>
      <w:numFmt w:val="japaneseCounting"/>
      <w:isLgl w:val="false"/>
      <w:suff w:val="tab"/>
      <w:lvlText w:val="（%1）"/>
      <w:lvlJc w:val="left"/>
      <w:pPr>
        <w:pStyle w:val="937"/>
        <w:ind w:left="1080" w:hanging="1080"/>
        <w:tabs>
          <w:tab w:val="num" w:pos="1080" w:leader="none"/>
        </w:tabs>
      </w:pPr>
      <w:rPr>
        <w:rFonts w:hint="eastAsia" w:cs="Times New Roman"/>
      </w:rPr>
    </w:lvl>
    <w:lvl w:ilvl="1">
      <w:start w:val="1"/>
      <w:numFmt w:val="decimal"/>
      <w:isLgl w:val="false"/>
      <w:suff w:val="tab"/>
      <w:lvlText w:val="%2."/>
      <w:lvlJc w:val="left"/>
      <w:pPr>
        <w:pStyle w:val="93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7"/>
        <w:ind w:left="1260" w:hanging="420"/>
        <w:tabs>
          <w:tab w:val="num" w:pos="1260" w:leader="none"/>
        </w:tabs>
      </w:pPr>
      <w:rPr>
        <w:rFonts w:cs="Times New Roman"/>
      </w:rPr>
    </w:lvl>
    <w:lvl w:ilvl="3">
      <w:start w:val="1"/>
      <w:numFmt w:val="decimal"/>
      <w:isLgl w:val="false"/>
      <w:suff w:val="tab"/>
      <w:lvlText w:val="%4."/>
      <w:lvlJc w:val="left"/>
      <w:pPr>
        <w:pStyle w:val="937"/>
        <w:ind w:left="1680" w:hanging="420"/>
        <w:tabs>
          <w:tab w:val="num" w:pos="1680" w:leader="none"/>
        </w:tabs>
      </w:pPr>
      <w:rPr>
        <w:rFonts w:cs="Times New Roman"/>
      </w:rPr>
    </w:lvl>
    <w:lvl w:ilvl="4">
      <w:start w:val="1"/>
      <w:numFmt w:val="lowerLetter"/>
      <w:isLgl w:val="false"/>
      <w:suff w:val="tab"/>
      <w:lvlText w:val="%5)"/>
      <w:lvlJc w:val="left"/>
      <w:pPr>
        <w:pStyle w:val="937"/>
        <w:ind w:left="2100" w:hanging="420"/>
        <w:tabs>
          <w:tab w:val="num" w:pos="2100" w:leader="none"/>
        </w:tabs>
      </w:pPr>
      <w:rPr>
        <w:rFonts w:cs="Times New Roman"/>
      </w:rPr>
    </w:lvl>
    <w:lvl w:ilvl="5">
      <w:start w:val="1"/>
      <w:numFmt w:val="lowerRoman"/>
      <w:isLgl w:val="false"/>
      <w:suff w:val="tab"/>
      <w:lvlText w:val="%6."/>
      <w:lvlJc w:val="right"/>
      <w:pPr>
        <w:pStyle w:val="937"/>
        <w:ind w:left="2520" w:hanging="420"/>
        <w:tabs>
          <w:tab w:val="num" w:pos="2520" w:leader="none"/>
        </w:tabs>
      </w:pPr>
      <w:rPr>
        <w:rFonts w:cs="Times New Roman"/>
      </w:rPr>
    </w:lvl>
    <w:lvl w:ilvl="6">
      <w:start w:val="1"/>
      <w:numFmt w:val="decimal"/>
      <w:isLgl w:val="false"/>
      <w:suff w:val="tab"/>
      <w:lvlText w:val="%7."/>
      <w:lvlJc w:val="left"/>
      <w:pPr>
        <w:pStyle w:val="937"/>
        <w:ind w:left="2940" w:hanging="420"/>
        <w:tabs>
          <w:tab w:val="num" w:pos="2940" w:leader="none"/>
        </w:tabs>
      </w:pPr>
      <w:rPr>
        <w:rFonts w:cs="Times New Roman"/>
      </w:rPr>
    </w:lvl>
    <w:lvl w:ilvl="7">
      <w:start w:val="1"/>
      <w:numFmt w:val="lowerLetter"/>
      <w:isLgl w:val="false"/>
      <w:suff w:val="tab"/>
      <w:lvlText w:val="%8)"/>
      <w:lvlJc w:val="left"/>
      <w:pPr>
        <w:pStyle w:val="937"/>
        <w:ind w:left="3360" w:hanging="420"/>
        <w:tabs>
          <w:tab w:val="num" w:pos="3360" w:leader="none"/>
        </w:tabs>
      </w:pPr>
      <w:rPr>
        <w:rFonts w:cs="Times New Roman"/>
      </w:rPr>
    </w:lvl>
    <w:lvl w:ilvl="8">
      <w:start w:val="1"/>
      <w:numFmt w:val="lowerRoman"/>
      <w:isLgl w:val="false"/>
      <w:suff w:val="tab"/>
      <w:lvlText w:val="%9."/>
      <w:lvlJc w:val="right"/>
      <w:pPr>
        <w:pStyle w:val="937"/>
        <w:ind w:left="3780" w:hanging="420"/>
        <w:tabs>
          <w:tab w:val="num" w:pos="3780" w:leader="none"/>
        </w:tabs>
      </w:pPr>
      <w:rPr>
        <w:rFonts w:cs="Times New Roman"/>
      </w:rPr>
    </w:lvl>
  </w:abstractNum>
  <w:abstractNum w:abstractNumId="3">
    <w:multiLevelType w:val="hybridMultilevel"/>
    <w:lvl w:ilvl="0">
      <w:start w:val="1"/>
      <w:numFmt w:val="decimal"/>
      <w:isLgl w:val="false"/>
      <w:suff w:val="tab"/>
      <w:lvlText w:val="%1."/>
      <w:lvlJc w:val="left"/>
      <w:pPr>
        <w:pStyle w:val="937"/>
        <w:ind w:left="425" w:hanging="425"/>
      </w:pPr>
    </w:lvl>
    <w:lvl w:ilvl="1">
      <w:start w:val="1"/>
      <w:numFmt w:val="decimal"/>
      <w:isLgl w:val="false"/>
      <w:suff w:val="space"/>
      <w:lvlText w:val="%1.%2."/>
      <w:lvlJc w:val="left"/>
      <w:pPr>
        <w:pStyle w:val="937"/>
        <w:ind w:left="0" w:firstLine="0"/>
      </w:pPr>
    </w:lvl>
    <w:lvl w:ilvl="2">
      <w:start w:val="1"/>
      <w:numFmt w:val="decimal"/>
      <w:isLgl w:val="false"/>
      <w:suff w:val="space"/>
      <w:lvlText w:val="%1.%2.%3."/>
      <w:lvlJc w:val="left"/>
      <w:pPr>
        <w:pStyle w:val="937"/>
        <w:ind w:left="0" w:firstLine="0"/>
      </w:pPr>
    </w:lvl>
    <w:lvl w:ilvl="3">
      <w:start w:val="1"/>
      <w:numFmt w:val="decimal"/>
      <w:isLgl w:val="false"/>
      <w:suff w:val="space"/>
      <w:lvlText w:val="%1.%2.%3.%4."/>
      <w:lvlJc w:val="left"/>
      <w:pPr>
        <w:pStyle w:val="937"/>
        <w:ind w:left="0" w:firstLine="0"/>
      </w:pPr>
    </w:lvl>
    <w:lvl w:ilvl="4">
      <w:start w:val="1"/>
      <w:numFmt w:val="decimal"/>
      <w:isLgl w:val="false"/>
      <w:suff w:val="space"/>
      <w:lvlText w:val="%1.%2.%3.%4.%5."/>
      <w:lvlJc w:val="left"/>
      <w:pPr>
        <w:pStyle w:val="937"/>
        <w:ind w:left="0" w:firstLine="0"/>
      </w:pPr>
    </w:lvl>
    <w:lvl w:ilvl="5">
      <w:start w:val="1"/>
      <w:numFmt w:val="decimal"/>
      <w:isLgl w:val="false"/>
      <w:suff w:val="space"/>
      <w:lvlText w:val="%1.%2.%3.%4.%5.%6."/>
      <w:lvlJc w:val="left"/>
      <w:pPr>
        <w:pStyle w:val="937"/>
        <w:ind w:left="0" w:firstLine="0"/>
      </w:pPr>
    </w:lvl>
    <w:lvl w:ilvl="6">
      <w:start w:val="1"/>
      <w:numFmt w:val="decimal"/>
      <w:isLgl w:val="false"/>
      <w:suff w:val="space"/>
      <w:lvlText w:val="%1.%2.%3.%4.%5.%6.%7."/>
      <w:lvlJc w:val="left"/>
      <w:pPr>
        <w:pStyle w:val="937"/>
        <w:ind w:left="0" w:firstLine="0"/>
      </w:pPr>
    </w:lvl>
    <w:lvl w:ilvl="7">
      <w:start w:val="1"/>
      <w:numFmt w:val="decimal"/>
      <w:isLgl w:val="false"/>
      <w:suff w:val="space"/>
      <w:lvlText w:val="%1.%2.%3.%4.%5.%6.%7.%8."/>
      <w:lvlJc w:val="left"/>
      <w:pPr>
        <w:pStyle w:val="937"/>
        <w:ind w:left="0" w:firstLine="0"/>
      </w:pPr>
    </w:lvl>
    <w:lvl w:ilvl="8">
      <w:start w:val="1"/>
      <w:numFmt w:val="decimal"/>
      <w:isLgl w:val="false"/>
      <w:suff w:val="space"/>
      <w:lvlText w:val="%1.%2.%3.%4.%5.%6.%7.%8.%9."/>
      <w:lvlJc w:val="left"/>
      <w:pPr>
        <w:pStyle w:val="937"/>
        <w:ind w:left="0" w:firstLine="0"/>
      </w:pPr>
    </w:lvl>
  </w:abstractNum>
  <w:abstractNum w:abstractNumId="4">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6">
    <w:multiLevelType w:val="hybridMultilevel"/>
    <w:lvl w:ilvl="0">
      <w:start w:val="1"/>
      <w:numFmt w:val="upperLetter"/>
      <w:pStyle w:val="1017"/>
      <w:isLgl w:val="false"/>
      <w:suff w:val="tab"/>
      <w:lvlText w:val="附录%1."/>
      <w:lvlJc w:val="left"/>
      <w:pPr>
        <w:pStyle w:val="9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pStyle w:val="937"/>
        <w:ind w:left="881" w:hanging="360"/>
        <w:tabs>
          <w:tab w:val="num" w:pos="881" w:leader="none"/>
        </w:tabs>
      </w:pPr>
      <w:rPr>
        <w:rFonts w:hint="eastAsia" w:ascii="宋体" w:hAnsi="宋体" w:eastAsia="宋体" w:cs="Times New Roman"/>
        <w:strike w:val="0"/>
      </w:rPr>
    </w:lvl>
    <w:lvl w:ilvl="1">
      <w:start w:val="1"/>
      <w:numFmt w:val="lowerLetter"/>
      <w:isLgl w:val="false"/>
      <w:suff w:val="tab"/>
      <w:lvlText w:val="%2)"/>
      <w:lvlJc w:val="left"/>
      <w:pPr>
        <w:pStyle w:val="937"/>
        <w:ind w:left="1361" w:hanging="420"/>
        <w:tabs>
          <w:tab w:val="num" w:pos="1361" w:leader="none"/>
        </w:tabs>
      </w:pPr>
      <w:rPr>
        <w:rFonts w:cs="Times New Roman"/>
      </w:rPr>
    </w:lvl>
    <w:lvl w:ilvl="2">
      <w:start w:val="1"/>
      <w:numFmt w:val="lowerRoman"/>
      <w:isLgl w:val="false"/>
      <w:suff w:val="tab"/>
      <w:lvlText w:val="%3."/>
      <w:lvlJc w:val="right"/>
      <w:pPr>
        <w:pStyle w:val="937"/>
        <w:ind w:left="1781" w:hanging="420"/>
        <w:tabs>
          <w:tab w:val="num" w:pos="1781" w:leader="none"/>
        </w:tabs>
      </w:pPr>
      <w:rPr>
        <w:rFonts w:cs="Times New Roman"/>
      </w:rPr>
    </w:lvl>
    <w:lvl w:ilvl="3">
      <w:start w:val="1"/>
      <w:numFmt w:val="decimal"/>
      <w:isLgl w:val="false"/>
      <w:suff w:val="tab"/>
      <w:lvlText w:val="%4."/>
      <w:lvlJc w:val="left"/>
      <w:pPr>
        <w:pStyle w:val="937"/>
        <w:ind w:left="2201" w:hanging="420"/>
        <w:tabs>
          <w:tab w:val="num" w:pos="2201" w:leader="none"/>
        </w:tabs>
      </w:pPr>
      <w:rPr>
        <w:rFonts w:cs="Times New Roman"/>
      </w:rPr>
    </w:lvl>
    <w:lvl w:ilvl="4">
      <w:start w:val="1"/>
      <w:numFmt w:val="lowerLetter"/>
      <w:isLgl w:val="false"/>
      <w:suff w:val="tab"/>
      <w:lvlText w:val="%5)"/>
      <w:lvlJc w:val="left"/>
      <w:pPr>
        <w:pStyle w:val="937"/>
        <w:ind w:left="2621" w:hanging="420"/>
        <w:tabs>
          <w:tab w:val="num" w:pos="2621" w:leader="none"/>
        </w:tabs>
      </w:pPr>
      <w:rPr>
        <w:rFonts w:cs="Times New Roman"/>
      </w:rPr>
    </w:lvl>
    <w:lvl w:ilvl="5">
      <w:start w:val="1"/>
      <w:numFmt w:val="lowerRoman"/>
      <w:isLgl w:val="false"/>
      <w:suff w:val="tab"/>
      <w:lvlText w:val="%6."/>
      <w:lvlJc w:val="right"/>
      <w:pPr>
        <w:pStyle w:val="937"/>
        <w:ind w:left="3041" w:hanging="420"/>
        <w:tabs>
          <w:tab w:val="num" w:pos="3041" w:leader="none"/>
        </w:tabs>
      </w:pPr>
      <w:rPr>
        <w:rFonts w:cs="Times New Roman"/>
      </w:rPr>
    </w:lvl>
    <w:lvl w:ilvl="6">
      <w:start w:val="1"/>
      <w:numFmt w:val="decimal"/>
      <w:isLgl w:val="false"/>
      <w:suff w:val="tab"/>
      <w:lvlText w:val="%7."/>
      <w:lvlJc w:val="left"/>
      <w:pPr>
        <w:pStyle w:val="937"/>
        <w:ind w:left="3461" w:hanging="420"/>
        <w:tabs>
          <w:tab w:val="num" w:pos="3461" w:leader="none"/>
        </w:tabs>
      </w:pPr>
      <w:rPr>
        <w:rFonts w:cs="Times New Roman"/>
      </w:rPr>
    </w:lvl>
    <w:lvl w:ilvl="7">
      <w:start w:val="1"/>
      <w:numFmt w:val="lowerLetter"/>
      <w:isLgl w:val="false"/>
      <w:suff w:val="tab"/>
      <w:lvlText w:val="%8)"/>
      <w:lvlJc w:val="left"/>
      <w:pPr>
        <w:pStyle w:val="937"/>
        <w:ind w:left="3881" w:hanging="420"/>
        <w:tabs>
          <w:tab w:val="num" w:pos="3881" w:leader="none"/>
        </w:tabs>
      </w:pPr>
      <w:rPr>
        <w:rFonts w:cs="Times New Roman"/>
      </w:rPr>
    </w:lvl>
    <w:lvl w:ilvl="8">
      <w:start w:val="1"/>
      <w:numFmt w:val="lowerRoman"/>
      <w:isLgl w:val="false"/>
      <w:suff w:val="tab"/>
      <w:lvlText w:val="%9."/>
      <w:lvlJc w:val="right"/>
      <w:pPr>
        <w:pStyle w:val="937"/>
        <w:ind w:left="4301" w:hanging="420"/>
        <w:tabs>
          <w:tab w:val="num" w:pos="4301" w:leader="none"/>
        </w:tabs>
      </w:pPr>
      <w:rPr>
        <w:rFonts w:cs="Times New Roman"/>
      </w:rPr>
    </w:lvl>
  </w:abstractNum>
  <w:abstractNum w:abstractNumId="8">
    <w:multiLevelType w:val="hybridMultilevel"/>
    <w:lvl w:ilvl="0">
      <w:start w:val="1"/>
      <w:numFmt w:val="japaneseCounting"/>
      <w:isLgl w:val="false"/>
      <w:suff w:val="tab"/>
      <w:lvlText w:val="（%1）"/>
      <w:lvlJc w:val="left"/>
      <w:pPr>
        <w:pStyle w:val="937"/>
        <w:ind w:left="1080" w:hanging="1080"/>
        <w:tabs>
          <w:tab w:val="num" w:pos="1080" w:leader="none"/>
        </w:tabs>
      </w:pPr>
      <w:rPr>
        <w:rFonts w:hint="eastAsia" w:cs="Times New Roman"/>
      </w:rPr>
    </w:lvl>
    <w:lvl w:ilvl="1">
      <w:start w:val="1"/>
      <w:numFmt w:val="decimal"/>
      <w:isLgl w:val="false"/>
      <w:suff w:val="tab"/>
      <w:lvlText w:val="%2."/>
      <w:lvlJc w:val="left"/>
      <w:pPr>
        <w:pStyle w:val="93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7"/>
        <w:ind w:left="1260" w:hanging="420"/>
        <w:tabs>
          <w:tab w:val="num" w:pos="1260" w:leader="none"/>
        </w:tabs>
      </w:pPr>
      <w:rPr>
        <w:rFonts w:cs="Times New Roman"/>
      </w:rPr>
    </w:lvl>
    <w:lvl w:ilvl="3">
      <w:start w:val="1"/>
      <w:numFmt w:val="decimal"/>
      <w:isLgl w:val="false"/>
      <w:suff w:val="tab"/>
      <w:lvlText w:val="%4."/>
      <w:lvlJc w:val="left"/>
      <w:pPr>
        <w:pStyle w:val="937"/>
        <w:ind w:left="1680" w:hanging="420"/>
        <w:tabs>
          <w:tab w:val="num" w:pos="1680" w:leader="none"/>
        </w:tabs>
      </w:pPr>
      <w:rPr>
        <w:rFonts w:cs="Times New Roman"/>
      </w:rPr>
    </w:lvl>
    <w:lvl w:ilvl="4">
      <w:start w:val="1"/>
      <w:numFmt w:val="lowerLetter"/>
      <w:isLgl w:val="false"/>
      <w:suff w:val="tab"/>
      <w:lvlText w:val="%5)"/>
      <w:lvlJc w:val="left"/>
      <w:pPr>
        <w:pStyle w:val="937"/>
        <w:ind w:left="2100" w:hanging="420"/>
        <w:tabs>
          <w:tab w:val="num" w:pos="2100" w:leader="none"/>
        </w:tabs>
      </w:pPr>
      <w:rPr>
        <w:rFonts w:cs="Times New Roman"/>
      </w:rPr>
    </w:lvl>
    <w:lvl w:ilvl="5">
      <w:start w:val="1"/>
      <w:numFmt w:val="lowerRoman"/>
      <w:isLgl w:val="false"/>
      <w:suff w:val="tab"/>
      <w:lvlText w:val="%6."/>
      <w:lvlJc w:val="right"/>
      <w:pPr>
        <w:pStyle w:val="937"/>
        <w:ind w:left="2520" w:hanging="420"/>
        <w:tabs>
          <w:tab w:val="num" w:pos="2520" w:leader="none"/>
        </w:tabs>
      </w:pPr>
      <w:rPr>
        <w:rFonts w:cs="Times New Roman"/>
      </w:rPr>
    </w:lvl>
    <w:lvl w:ilvl="6">
      <w:start w:val="1"/>
      <w:numFmt w:val="decimal"/>
      <w:isLgl w:val="false"/>
      <w:suff w:val="tab"/>
      <w:lvlText w:val="%7."/>
      <w:lvlJc w:val="left"/>
      <w:pPr>
        <w:pStyle w:val="937"/>
        <w:ind w:left="2940" w:hanging="420"/>
        <w:tabs>
          <w:tab w:val="num" w:pos="2940" w:leader="none"/>
        </w:tabs>
      </w:pPr>
      <w:rPr>
        <w:rFonts w:cs="Times New Roman"/>
      </w:rPr>
    </w:lvl>
    <w:lvl w:ilvl="7">
      <w:start w:val="1"/>
      <w:numFmt w:val="lowerLetter"/>
      <w:isLgl w:val="false"/>
      <w:suff w:val="tab"/>
      <w:lvlText w:val="%8)"/>
      <w:lvlJc w:val="left"/>
      <w:pPr>
        <w:pStyle w:val="937"/>
        <w:ind w:left="3360" w:hanging="420"/>
        <w:tabs>
          <w:tab w:val="num" w:pos="3360" w:leader="none"/>
        </w:tabs>
      </w:pPr>
      <w:rPr>
        <w:rFonts w:cs="Times New Roman"/>
      </w:rPr>
    </w:lvl>
    <w:lvl w:ilvl="8">
      <w:start w:val="1"/>
      <w:numFmt w:val="lowerRoman"/>
      <w:isLgl w:val="false"/>
      <w:suff w:val="tab"/>
      <w:lvlText w:val="%9."/>
      <w:lvlJc w:val="right"/>
      <w:pPr>
        <w:pStyle w:val="937"/>
        <w:ind w:left="3780" w:hanging="420"/>
        <w:tabs>
          <w:tab w:val="num" w:pos="3780" w:leader="none"/>
        </w:tabs>
      </w:pPr>
      <w:rPr>
        <w:rFonts w:cs="Times New Roman"/>
      </w:rPr>
    </w:lvl>
  </w:abstractNum>
  <w:abstractNum w:abstractNumId="9">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10">
    <w:multiLevelType w:val="hybridMultilevel"/>
    <w:lvl w:ilvl="0">
      <w:start w:val="1"/>
      <w:numFmt w:val="bullet"/>
      <w:isLgl w:val="false"/>
      <w:suff w:val="tab"/>
      <w:lvlText w:val=""/>
      <w:lvlJc w:val="left"/>
      <w:pPr>
        <w:pStyle w:val="937"/>
        <w:ind w:left="420" w:hanging="420"/>
      </w:pPr>
      <w:rPr>
        <w:rFonts w:ascii="Wingdings" w:hAnsi="Wingdings"/>
      </w:rPr>
    </w:lvl>
    <w:lvl w:ilvl="1">
      <w:start w:val="1"/>
      <w:numFmt w:val="bullet"/>
      <w:isLgl w:val="false"/>
      <w:suff w:val="tab"/>
      <w:lvlText w:val=""/>
      <w:lvlJc w:val="left"/>
      <w:pPr>
        <w:pStyle w:val="937"/>
        <w:ind w:left="840" w:hanging="420"/>
      </w:pPr>
      <w:rPr>
        <w:rFonts w:ascii="Wingdings" w:hAnsi="Wingdings"/>
      </w:rPr>
    </w:lvl>
    <w:lvl w:ilvl="2">
      <w:start w:val="1"/>
      <w:numFmt w:val="bullet"/>
      <w:isLgl w:val="false"/>
      <w:suff w:val="tab"/>
      <w:lvlText w:val=""/>
      <w:lvlJc w:val="left"/>
      <w:pPr>
        <w:pStyle w:val="937"/>
        <w:ind w:left="1260" w:hanging="420"/>
      </w:pPr>
      <w:rPr>
        <w:rFonts w:ascii="Wingdings" w:hAnsi="Wingdings"/>
      </w:rPr>
    </w:lvl>
    <w:lvl w:ilvl="3">
      <w:start w:val="1"/>
      <w:numFmt w:val="bullet"/>
      <w:isLgl w:val="false"/>
      <w:suff w:val="tab"/>
      <w:lvlText w:val=""/>
      <w:lvlJc w:val="left"/>
      <w:pPr>
        <w:pStyle w:val="937"/>
        <w:ind w:left="1680" w:hanging="420"/>
      </w:pPr>
      <w:rPr>
        <w:rFonts w:ascii="Wingdings" w:hAnsi="Wingdings"/>
      </w:rPr>
    </w:lvl>
    <w:lvl w:ilvl="4">
      <w:start w:val="1"/>
      <w:numFmt w:val="bullet"/>
      <w:isLgl w:val="false"/>
      <w:suff w:val="tab"/>
      <w:lvlText w:val=""/>
      <w:lvlJc w:val="left"/>
      <w:pPr>
        <w:pStyle w:val="937"/>
        <w:ind w:left="2100" w:hanging="420"/>
      </w:pPr>
      <w:rPr>
        <w:rFonts w:ascii="Wingdings" w:hAnsi="Wingdings"/>
      </w:rPr>
    </w:lvl>
    <w:lvl w:ilvl="5">
      <w:start w:val="1"/>
      <w:numFmt w:val="bullet"/>
      <w:isLgl w:val="false"/>
      <w:suff w:val="tab"/>
      <w:lvlText w:val=""/>
      <w:lvlJc w:val="left"/>
      <w:pPr>
        <w:pStyle w:val="937"/>
        <w:ind w:left="2520" w:hanging="420"/>
      </w:pPr>
      <w:rPr>
        <w:rFonts w:ascii="Wingdings" w:hAnsi="Wingdings"/>
      </w:rPr>
    </w:lvl>
    <w:lvl w:ilvl="6">
      <w:start w:val="1"/>
      <w:numFmt w:val="bullet"/>
      <w:isLgl w:val="false"/>
      <w:suff w:val="tab"/>
      <w:lvlText w:val=""/>
      <w:lvlJc w:val="left"/>
      <w:pPr>
        <w:pStyle w:val="937"/>
        <w:ind w:left="2940" w:hanging="420"/>
      </w:pPr>
      <w:rPr>
        <w:rFonts w:ascii="Wingdings" w:hAnsi="Wingdings"/>
      </w:rPr>
    </w:lvl>
    <w:lvl w:ilvl="7">
      <w:start w:val="1"/>
      <w:numFmt w:val="bullet"/>
      <w:isLgl w:val="false"/>
      <w:suff w:val="tab"/>
      <w:lvlText w:val=""/>
      <w:lvlJc w:val="left"/>
      <w:pPr>
        <w:pStyle w:val="937"/>
        <w:ind w:left="3360" w:hanging="420"/>
      </w:pPr>
      <w:rPr>
        <w:rFonts w:ascii="Wingdings" w:hAnsi="Wingdings"/>
      </w:rPr>
    </w:lvl>
    <w:lvl w:ilvl="8">
      <w:start w:val="1"/>
      <w:numFmt w:val="bullet"/>
      <w:isLgl w:val="false"/>
      <w:suff w:val="tab"/>
      <w:lvlText w:val=""/>
      <w:lvlJc w:val="left"/>
      <w:pPr>
        <w:pStyle w:val="937"/>
        <w:ind w:left="3780" w:hanging="420"/>
      </w:pPr>
      <w:rPr>
        <w:rFonts w:ascii="Wingdings" w:hAnsi="Wingdings"/>
      </w:rPr>
    </w:lvl>
  </w:abstractNum>
  <w:abstractNum w:abstractNumId="11">
    <w:multiLevelType w:val="hybridMultilevel"/>
    <w:lvl w:ilvl="0">
      <w:start w:val="1"/>
      <w:numFmt w:val="decimal"/>
      <w:isLgl w:val="false"/>
      <w:suff w:val="tab"/>
      <w:lvlText w:val="%1．"/>
      <w:lvlJc w:val="left"/>
      <w:pPr>
        <w:pStyle w:val="937"/>
        <w:ind w:left="902" w:hanging="420"/>
      </w:pPr>
      <w:rPr>
        <w:rFonts w:hint="eastAsia" w:cs="Times New Roman"/>
      </w:rPr>
    </w:lvl>
    <w:lvl w:ilvl="1">
      <w:start w:val="1"/>
      <w:numFmt w:val="lowerLetter"/>
      <w:isLgl w:val="false"/>
      <w:suff w:val="tab"/>
      <w:lvlText w:val="%2)"/>
      <w:lvlJc w:val="left"/>
      <w:pPr>
        <w:pStyle w:val="937"/>
        <w:ind w:left="1322" w:hanging="420"/>
      </w:pPr>
    </w:lvl>
    <w:lvl w:ilvl="2">
      <w:start w:val="1"/>
      <w:numFmt w:val="lowerRoman"/>
      <w:isLgl w:val="false"/>
      <w:suff w:val="tab"/>
      <w:lvlText w:val="%3."/>
      <w:lvlJc w:val="right"/>
      <w:pPr>
        <w:pStyle w:val="937"/>
        <w:ind w:left="1742" w:hanging="420"/>
      </w:pPr>
    </w:lvl>
    <w:lvl w:ilvl="3">
      <w:start w:val="1"/>
      <w:numFmt w:val="decimal"/>
      <w:isLgl w:val="false"/>
      <w:suff w:val="tab"/>
      <w:lvlText w:val="%4."/>
      <w:lvlJc w:val="left"/>
      <w:pPr>
        <w:pStyle w:val="937"/>
        <w:ind w:left="2162" w:hanging="420"/>
      </w:pPr>
    </w:lvl>
    <w:lvl w:ilvl="4">
      <w:start w:val="1"/>
      <w:numFmt w:val="lowerLetter"/>
      <w:isLgl w:val="false"/>
      <w:suff w:val="tab"/>
      <w:lvlText w:val="%5)"/>
      <w:lvlJc w:val="left"/>
      <w:pPr>
        <w:pStyle w:val="937"/>
        <w:ind w:left="2582" w:hanging="420"/>
      </w:pPr>
    </w:lvl>
    <w:lvl w:ilvl="5">
      <w:start w:val="1"/>
      <w:numFmt w:val="lowerRoman"/>
      <w:isLgl w:val="false"/>
      <w:suff w:val="tab"/>
      <w:lvlText w:val="%6."/>
      <w:lvlJc w:val="right"/>
      <w:pPr>
        <w:pStyle w:val="937"/>
        <w:ind w:left="3002" w:hanging="420"/>
      </w:pPr>
    </w:lvl>
    <w:lvl w:ilvl="6">
      <w:start w:val="1"/>
      <w:numFmt w:val="decimal"/>
      <w:isLgl w:val="false"/>
      <w:suff w:val="tab"/>
      <w:lvlText w:val="%7."/>
      <w:lvlJc w:val="left"/>
      <w:pPr>
        <w:pStyle w:val="937"/>
        <w:ind w:left="3422" w:hanging="420"/>
      </w:pPr>
    </w:lvl>
    <w:lvl w:ilvl="7">
      <w:start w:val="1"/>
      <w:numFmt w:val="lowerLetter"/>
      <w:isLgl w:val="false"/>
      <w:suff w:val="tab"/>
      <w:lvlText w:val="%8)"/>
      <w:lvlJc w:val="left"/>
      <w:pPr>
        <w:pStyle w:val="937"/>
        <w:ind w:left="3842" w:hanging="420"/>
      </w:pPr>
    </w:lvl>
    <w:lvl w:ilvl="8">
      <w:start w:val="1"/>
      <w:numFmt w:val="lowerRoman"/>
      <w:isLgl w:val="false"/>
      <w:suff w:val="tab"/>
      <w:lvlText w:val="%9."/>
      <w:lvlJc w:val="right"/>
      <w:pPr>
        <w:pStyle w:val="937"/>
        <w:ind w:left="4262" w:hanging="420"/>
      </w:pPr>
    </w:lvl>
  </w:abstractNum>
  <w:abstractNum w:abstractNumId="12">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13">
    <w:multiLevelType w:val="hybridMultilevel"/>
    <w:lvl w:ilvl="0">
      <w:start w:val="1"/>
      <w:numFmt w:val="decimalEnclosedCircle"/>
      <w:isLgl w:val="false"/>
      <w:suff w:val="tab"/>
      <w:lvlText w:val="%1"/>
      <w:lvlJc w:val="left"/>
      <w:pPr>
        <w:pStyle w:val="937"/>
        <w:ind w:left="881" w:hanging="360"/>
        <w:tabs>
          <w:tab w:val="left" w:pos="881" w:leader="none"/>
        </w:tabs>
      </w:pPr>
      <w:rPr>
        <w:rFonts w:hint="eastAsia" w:ascii="宋体" w:hAnsi="宋体" w:eastAsia="宋体" w:cs="Times New Roman"/>
        <w:strike w:val="0"/>
      </w:rPr>
    </w:lvl>
    <w:lvl w:ilvl="1">
      <w:start w:val="1"/>
      <w:numFmt w:val="lowerLetter"/>
      <w:isLgl w:val="false"/>
      <w:suff w:val="tab"/>
      <w:lvlText w:val="%2)"/>
      <w:lvlJc w:val="left"/>
      <w:pPr>
        <w:pStyle w:val="937"/>
        <w:ind w:left="1361" w:hanging="420"/>
        <w:tabs>
          <w:tab w:val="left" w:pos="1361" w:leader="none"/>
        </w:tabs>
      </w:pPr>
      <w:rPr>
        <w:rFonts w:cs="Times New Roman"/>
      </w:rPr>
    </w:lvl>
    <w:lvl w:ilvl="2">
      <w:start w:val="1"/>
      <w:numFmt w:val="lowerRoman"/>
      <w:isLgl w:val="false"/>
      <w:suff w:val="tab"/>
      <w:lvlText w:val="%3."/>
      <w:lvlJc w:val="right"/>
      <w:pPr>
        <w:pStyle w:val="937"/>
        <w:ind w:left="1781" w:hanging="420"/>
        <w:tabs>
          <w:tab w:val="left" w:pos="1781" w:leader="none"/>
        </w:tabs>
      </w:pPr>
      <w:rPr>
        <w:rFonts w:cs="Times New Roman"/>
      </w:rPr>
    </w:lvl>
    <w:lvl w:ilvl="3">
      <w:start w:val="1"/>
      <w:numFmt w:val="decimal"/>
      <w:isLgl w:val="false"/>
      <w:suff w:val="tab"/>
      <w:lvlText w:val="%4."/>
      <w:lvlJc w:val="left"/>
      <w:pPr>
        <w:pStyle w:val="937"/>
        <w:ind w:left="2201" w:hanging="420"/>
        <w:tabs>
          <w:tab w:val="left" w:pos="2201" w:leader="none"/>
        </w:tabs>
      </w:pPr>
      <w:rPr>
        <w:rFonts w:cs="Times New Roman"/>
      </w:rPr>
    </w:lvl>
    <w:lvl w:ilvl="4">
      <w:start w:val="1"/>
      <w:numFmt w:val="lowerLetter"/>
      <w:isLgl w:val="false"/>
      <w:suff w:val="tab"/>
      <w:lvlText w:val="%5)"/>
      <w:lvlJc w:val="left"/>
      <w:pPr>
        <w:pStyle w:val="937"/>
        <w:ind w:left="2621" w:hanging="420"/>
        <w:tabs>
          <w:tab w:val="left" w:pos="2621" w:leader="none"/>
        </w:tabs>
      </w:pPr>
      <w:rPr>
        <w:rFonts w:cs="Times New Roman"/>
      </w:rPr>
    </w:lvl>
    <w:lvl w:ilvl="5">
      <w:start w:val="1"/>
      <w:numFmt w:val="lowerRoman"/>
      <w:isLgl w:val="false"/>
      <w:suff w:val="tab"/>
      <w:lvlText w:val="%6."/>
      <w:lvlJc w:val="right"/>
      <w:pPr>
        <w:pStyle w:val="937"/>
        <w:ind w:left="3041" w:hanging="420"/>
        <w:tabs>
          <w:tab w:val="left" w:pos="3041" w:leader="none"/>
        </w:tabs>
      </w:pPr>
      <w:rPr>
        <w:rFonts w:cs="Times New Roman"/>
      </w:rPr>
    </w:lvl>
    <w:lvl w:ilvl="6">
      <w:start w:val="1"/>
      <w:numFmt w:val="decimal"/>
      <w:isLgl w:val="false"/>
      <w:suff w:val="tab"/>
      <w:lvlText w:val="%7."/>
      <w:lvlJc w:val="left"/>
      <w:pPr>
        <w:pStyle w:val="937"/>
        <w:ind w:left="3461" w:hanging="420"/>
        <w:tabs>
          <w:tab w:val="left" w:pos="3461" w:leader="none"/>
        </w:tabs>
      </w:pPr>
      <w:rPr>
        <w:rFonts w:cs="Times New Roman"/>
      </w:rPr>
    </w:lvl>
    <w:lvl w:ilvl="7">
      <w:start w:val="1"/>
      <w:numFmt w:val="lowerLetter"/>
      <w:isLgl w:val="false"/>
      <w:suff w:val="tab"/>
      <w:lvlText w:val="%8)"/>
      <w:lvlJc w:val="left"/>
      <w:pPr>
        <w:pStyle w:val="937"/>
        <w:ind w:left="3881" w:hanging="420"/>
        <w:tabs>
          <w:tab w:val="left" w:pos="3881" w:leader="none"/>
        </w:tabs>
      </w:pPr>
      <w:rPr>
        <w:rFonts w:cs="Times New Roman"/>
      </w:rPr>
    </w:lvl>
    <w:lvl w:ilvl="8">
      <w:start w:val="1"/>
      <w:numFmt w:val="lowerRoman"/>
      <w:isLgl w:val="false"/>
      <w:suff w:val="tab"/>
      <w:lvlText w:val="%9."/>
      <w:lvlJc w:val="right"/>
      <w:pPr>
        <w:pStyle w:val="937"/>
        <w:ind w:left="4301" w:hanging="420"/>
        <w:tabs>
          <w:tab w:val="left" w:pos="4301" w:leader="none"/>
        </w:tabs>
      </w:pPr>
      <w:rPr>
        <w:rFonts w:cs="Times New Roman"/>
      </w:rPr>
    </w:lvl>
  </w:abstractNum>
  <w:abstractNum w:abstractNumId="14">
    <w:multiLevelType w:val="hybridMultilevel"/>
    <w:lvl w:ilvl="0">
      <w:start w:val="1"/>
      <w:numFmt w:val="japaneseCounting"/>
      <w:isLgl w:val="false"/>
      <w:suff w:val="tab"/>
      <w:lvlText w:val="第%1条"/>
      <w:lvlJc w:val="left"/>
      <w:pPr>
        <w:pStyle w:val="937"/>
        <w:ind w:left="1505" w:hanging="945"/>
        <w:tabs>
          <w:tab w:val="num" w:pos="1505" w:leader="none"/>
        </w:tabs>
      </w:pPr>
      <w:rPr>
        <w:rFonts w:hint="eastAsia"/>
      </w:rPr>
    </w:lvl>
    <w:lvl w:ilvl="1">
      <w:start w:val="1"/>
      <w:numFmt w:val="decimal"/>
      <w:isLgl w:val="false"/>
      <w:suff w:val="tab"/>
      <w:lvlText w:val="%2、"/>
      <w:lvlJc w:val="left"/>
      <w:pPr>
        <w:pStyle w:val="937"/>
        <w:ind w:left="1340" w:hanging="360"/>
        <w:tabs>
          <w:tab w:val="num" w:pos="1340" w:leader="none"/>
        </w:tabs>
      </w:pPr>
      <w:rPr>
        <w:rFonts w:hint="eastAsia"/>
      </w:rPr>
    </w:lvl>
    <w:lvl w:ilvl="2">
      <w:start w:val="1"/>
      <w:numFmt w:val="japaneseCounting"/>
      <w:isLgl w:val="false"/>
      <w:suff w:val="tab"/>
      <w:lvlText w:val="%3、"/>
      <w:lvlJc w:val="left"/>
      <w:pPr>
        <w:pStyle w:val="937"/>
        <w:ind w:left="1820" w:hanging="420"/>
        <w:tabs>
          <w:tab w:val="num" w:pos="1820" w:leader="none"/>
        </w:tabs>
      </w:pPr>
      <w:rPr>
        <w:rFonts w:hint="eastAsia"/>
      </w:rPr>
    </w:lvl>
    <w:lvl w:ilvl="3">
      <w:start w:val="1"/>
      <w:numFmt w:val="decimal"/>
      <w:isLgl w:val="false"/>
      <w:suff w:val="tab"/>
      <w:lvlText w:val="%4."/>
      <w:lvlJc w:val="left"/>
      <w:pPr>
        <w:pStyle w:val="937"/>
        <w:ind w:left="2240" w:hanging="420"/>
        <w:tabs>
          <w:tab w:val="num" w:pos="2240" w:leader="none"/>
        </w:tabs>
      </w:pPr>
    </w:lvl>
    <w:lvl w:ilvl="4">
      <w:start w:val="1"/>
      <w:numFmt w:val="lowerLetter"/>
      <w:isLgl w:val="false"/>
      <w:suff w:val="tab"/>
      <w:lvlText w:val="%5)"/>
      <w:lvlJc w:val="left"/>
      <w:pPr>
        <w:pStyle w:val="937"/>
        <w:ind w:left="2660" w:hanging="420"/>
        <w:tabs>
          <w:tab w:val="num" w:pos="2660" w:leader="none"/>
        </w:tabs>
      </w:pPr>
    </w:lvl>
    <w:lvl w:ilvl="5">
      <w:start w:val="1"/>
      <w:numFmt w:val="lowerRoman"/>
      <w:isLgl w:val="false"/>
      <w:suff w:val="tab"/>
      <w:lvlText w:val="%6."/>
      <w:lvlJc w:val="right"/>
      <w:pPr>
        <w:pStyle w:val="937"/>
        <w:ind w:left="3080" w:hanging="420"/>
        <w:tabs>
          <w:tab w:val="num" w:pos="3080" w:leader="none"/>
        </w:tabs>
      </w:pPr>
    </w:lvl>
    <w:lvl w:ilvl="6">
      <w:start w:val="1"/>
      <w:numFmt w:val="decimal"/>
      <w:isLgl w:val="false"/>
      <w:suff w:val="tab"/>
      <w:lvlText w:val="%7."/>
      <w:lvlJc w:val="left"/>
      <w:pPr>
        <w:pStyle w:val="937"/>
        <w:ind w:left="3500" w:hanging="420"/>
        <w:tabs>
          <w:tab w:val="num" w:pos="3500" w:leader="none"/>
        </w:tabs>
      </w:pPr>
    </w:lvl>
    <w:lvl w:ilvl="7">
      <w:start w:val="1"/>
      <w:numFmt w:val="lowerLetter"/>
      <w:isLgl w:val="false"/>
      <w:suff w:val="tab"/>
      <w:lvlText w:val="%8)"/>
      <w:lvlJc w:val="left"/>
      <w:pPr>
        <w:pStyle w:val="937"/>
        <w:ind w:left="3920" w:hanging="420"/>
        <w:tabs>
          <w:tab w:val="num" w:pos="3920" w:leader="none"/>
        </w:tabs>
      </w:pPr>
    </w:lvl>
    <w:lvl w:ilvl="8">
      <w:start w:val="1"/>
      <w:numFmt w:val="lowerRoman"/>
      <w:isLgl w:val="false"/>
      <w:suff w:val="tab"/>
      <w:lvlText w:val="%9."/>
      <w:lvlJc w:val="right"/>
      <w:pPr>
        <w:pStyle w:val="937"/>
        <w:ind w:left="4340" w:hanging="420"/>
        <w:tabs>
          <w:tab w:val="num" w:pos="4340" w:leader="none"/>
        </w:tabs>
      </w:pPr>
    </w:lvl>
  </w:abstractNum>
  <w:abstractNum w:abstractNumId="15">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16">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17">
    <w:multiLevelType w:val="hybridMultilevel"/>
    <w:lvl w:ilvl="0">
      <w:start w:val="8"/>
      <w:numFmt w:val="japaneseCounting"/>
      <w:isLgl w:val="false"/>
      <w:suff w:val="tab"/>
      <w:lvlText w:val="（%1）"/>
      <w:lvlJc w:val="left"/>
      <w:pPr>
        <w:pStyle w:val="937"/>
        <w:ind w:left="1239" w:hanging="720"/>
      </w:pPr>
      <w:rPr>
        <w:rFonts w:hAnsi="宋体"/>
      </w:rPr>
    </w:lvl>
    <w:lvl w:ilvl="1">
      <w:start w:val="1"/>
      <w:numFmt w:val="lowerLetter"/>
      <w:isLgl w:val="false"/>
      <w:suff w:val="tab"/>
      <w:lvlText w:val="%2)"/>
      <w:lvlJc w:val="left"/>
      <w:pPr>
        <w:pStyle w:val="937"/>
        <w:ind w:left="1359" w:hanging="420"/>
      </w:pPr>
    </w:lvl>
    <w:lvl w:ilvl="2">
      <w:start w:val="1"/>
      <w:numFmt w:val="lowerRoman"/>
      <w:isLgl w:val="false"/>
      <w:suff w:val="tab"/>
      <w:lvlText w:val="%3."/>
      <w:lvlJc w:val="right"/>
      <w:pPr>
        <w:pStyle w:val="937"/>
        <w:ind w:left="1779" w:hanging="420"/>
      </w:pPr>
    </w:lvl>
    <w:lvl w:ilvl="3">
      <w:start w:val="1"/>
      <w:numFmt w:val="decimal"/>
      <w:isLgl w:val="false"/>
      <w:suff w:val="tab"/>
      <w:lvlText w:val="%4."/>
      <w:lvlJc w:val="left"/>
      <w:pPr>
        <w:pStyle w:val="937"/>
        <w:ind w:left="2199" w:hanging="420"/>
      </w:pPr>
    </w:lvl>
    <w:lvl w:ilvl="4">
      <w:start w:val="1"/>
      <w:numFmt w:val="lowerLetter"/>
      <w:isLgl w:val="false"/>
      <w:suff w:val="tab"/>
      <w:lvlText w:val="%5)"/>
      <w:lvlJc w:val="left"/>
      <w:pPr>
        <w:pStyle w:val="937"/>
        <w:ind w:left="2619" w:hanging="420"/>
      </w:pPr>
    </w:lvl>
    <w:lvl w:ilvl="5">
      <w:start w:val="1"/>
      <w:numFmt w:val="lowerRoman"/>
      <w:isLgl w:val="false"/>
      <w:suff w:val="tab"/>
      <w:lvlText w:val="%6."/>
      <w:lvlJc w:val="right"/>
      <w:pPr>
        <w:pStyle w:val="937"/>
        <w:ind w:left="3039" w:hanging="420"/>
      </w:pPr>
    </w:lvl>
    <w:lvl w:ilvl="6">
      <w:start w:val="1"/>
      <w:numFmt w:val="decimal"/>
      <w:isLgl w:val="false"/>
      <w:suff w:val="tab"/>
      <w:lvlText w:val="%7."/>
      <w:lvlJc w:val="left"/>
      <w:pPr>
        <w:pStyle w:val="937"/>
        <w:ind w:left="3459" w:hanging="420"/>
      </w:pPr>
    </w:lvl>
    <w:lvl w:ilvl="7">
      <w:start w:val="1"/>
      <w:numFmt w:val="lowerLetter"/>
      <w:isLgl w:val="false"/>
      <w:suff w:val="tab"/>
      <w:lvlText w:val="%8)"/>
      <w:lvlJc w:val="left"/>
      <w:pPr>
        <w:pStyle w:val="937"/>
        <w:ind w:left="3879" w:hanging="420"/>
      </w:pPr>
    </w:lvl>
    <w:lvl w:ilvl="8">
      <w:start w:val="1"/>
      <w:numFmt w:val="lowerRoman"/>
      <w:isLgl w:val="false"/>
      <w:suff w:val="tab"/>
      <w:lvlText w:val="%9."/>
      <w:lvlJc w:val="right"/>
      <w:pPr>
        <w:pStyle w:val="937"/>
        <w:ind w:left="4299" w:hanging="420"/>
      </w:pPr>
    </w:lvl>
  </w:abstractNum>
  <w:abstractNum w:abstractNumId="18">
    <w:multiLevelType w:val="hybridMultilevel"/>
    <w:lvl w:ilvl="0">
      <w:start w:val="1"/>
      <w:numFmt w:val="decimal"/>
      <w:pStyle w:val="1034"/>
      <w:isLgl w:val="false"/>
      <w:suff w:val="tab"/>
      <w:lvlText w:val="%1."/>
      <w:lvlJc w:val="left"/>
      <w:pPr>
        <w:pStyle w:val="937"/>
        <w:ind w:left="709" w:hanging="709"/>
        <w:tabs>
          <w:tab w:val="num" w:pos="709" w:leader="none"/>
        </w:tabs>
      </w:pPr>
      <w:rPr>
        <w:rFonts w:hint="eastAsia"/>
      </w:rPr>
    </w:lvl>
    <w:lvl w:ilvl="1">
      <w:start w:val="1"/>
      <w:numFmt w:val="decimal"/>
      <w:isLgl w:val="false"/>
      <w:suff w:val="tab"/>
      <w:lvlText w:val="%1.%2"/>
      <w:lvlJc w:val="left"/>
      <w:pPr>
        <w:pStyle w:val="937"/>
        <w:ind w:left="709" w:hanging="709"/>
        <w:tabs>
          <w:tab w:val="num" w:pos="709" w:leader="none"/>
        </w:tabs>
      </w:pPr>
      <w:rPr>
        <w:rFonts w:hint="eastAsia"/>
      </w:rPr>
    </w:lvl>
    <w:lvl w:ilvl="2">
      <w:start w:val="1"/>
      <w:numFmt w:val="decimal"/>
      <w:isLgl w:val="false"/>
      <w:suff w:val="tab"/>
      <w:lvlText w:val="%1.%2.%3."/>
      <w:lvlJc w:val="left"/>
      <w:pPr>
        <w:pStyle w:val="937"/>
        <w:ind w:left="425" w:hanging="425"/>
        <w:tabs>
          <w:tab w:val="num" w:pos="425" w:leader="none"/>
        </w:tabs>
      </w:pPr>
      <w:rPr>
        <w:rFonts w:hint="eastAsia"/>
      </w:rPr>
    </w:lvl>
    <w:lvl w:ilvl="3">
      <w:start w:val="1"/>
      <w:numFmt w:val="decimal"/>
      <w:isLgl w:val="false"/>
      <w:suff w:val="tab"/>
      <w:lvlText w:val="%1.%2.%3.%4."/>
      <w:lvlJc w:val="left"/>
      <w:pPr>
        <w:pStyle w:val="937"/>
        <w:ind w:left="851" w:hanging="851"/>
        <w:tabs>
          <w:tab w:val="num" w:pos="851" w:leader="none"/>
        </w:tabs>
      </w:pPr>
      <w:rPr>
        <w:rFonts w:hint="eastAsia"/>
      </w:rPr>
    </w:lvl>
    <w:lvl w:ilvl="4">
      <w:start w:val="1"/>
      <w:numFmt w:val="decimal"/>
      <w:isLgl w:val="false"/>
      <w:suff w:val="tab"/>
      <w:lvlText w:val="%1.%2.%3.%4.%5."/>
      <w:lvlJc w:val="left"/>
      <w:pPr>
        <w:pStyle w:val="937"/>
        <w:ind w:left="992" w:hanging="992"/>
        <w:tabs>
          <w:tab w:val="num" w:pos="992" w:leader="none"/>
        </w:tabs>
      </w:pPr>
      <w:rPr>
        <w:rFonts w:hint="eastAsia"/>
      </w:rPr>
    </w:lvl>
    <w:lvl w:ilvl="5">
      <w:start w:val="1"/>
      <w:numFmt w:val="decimal"/>
      <w:isLgl w:val="false"/>
      <w:suff w:val="tab"/>
      <w:lvlText w:val="%1.%2.%3.%4.%5.%6."/>
      <w:lvlJc w:val="left"/>
      <w:pPr>
        <w:pStyle w:val="937"/>
        <w:ind w:left="1134" w:hanging="1134"/>
        <w:tabs>
          <w:tab w:val="num" w:pos="1134" w:leader="none"/>
        </w:tabs>
      </w:pPr>
      <w:rPr>
        <w:rFonts w:hint="eastAsia"/>
      </w:rPr>
    </w:lvl>
    <w:lvl w:ilvl="6">
      <w:start w:val="1"/>
      <w:numFmt w:val="decimal"/>
      <w:isLgl w:val="false"/>
      <w:suff w:val="tab"/>
      <w:lvlText w:val="%1.%2.%3.%4.%5.%6.%7."/>
      <w:lvlJc w:val="left"/>
      <w:pPr>
        <w:pStyle w:val="937"/>
        <w:ind w:left="1276" w:hanging="1276"/>
        <w:tabs>
          <w:tab w:val="num" w:pos="1276" w:leader="none"/>
        </w:tabs>
      </w:pPr>
      <w:rPr>
        <w:rFonts w:hint="eastAsia"/>
      </w:rPr>
    </w:lvl>
    <w:lvl w:ilvl="7">
      <w:start w:val="1"/>
      <w:numFmt w:val="decimal"/>
      <w:isLgl w:val="false"/>
      <w:suff w:val="tab"/>
      <w:lvlText w:val="%1.%2.%3.%4.%5.%6.%7.%8."/>
      <w:lvlJc w:val="left"/>
      <w:pPr>
        <w:pStyle w:val="937"/>
        <w:ind w:left="1418" w:hanging="1418"/>
        <w:tabs>
          <w:tab w:val="num" w:pos="1418" w:leader="none"/>
        </w:tabs>
      </w:pPr>
      <w:rPr>
        <w:rFonts w:hint="eastAsia"/>
      </w:rPr>
    </w:lvl>
    <w:lvl w:ilvl="8">
      <w:start w:val="1"/>
      <w:numFmt w:val="decimal"/>
      <w:isLgl w:val="false"/>
      <w:suff w:val="tab"/>
      <w:lvlText w:val="%1.%2.%3.%4.%5.%6.%7.%8.%9."/>
      <w:lvlJc w:val="left"/>
      <w:pPr>
        <w:pStyle w:val="937"/>
        <w:ind w:left="1559" w:hanging="1559"/>
        <w:tabs>
          <w:tab w:val="num" w:pos="1559" w:leader="none"/>
        </w:tabs>
      </w:pPr>
      <w:rPr>
        <w:rFonts w:hint="eastAsia"/>
      </w:rPr>
    </w:lvl>
  </w:abstractNum>
  <w:abstractNum w:abstractNumId="19">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20">
    <w:multiLevelType w:val="hybridMultilevel"/>
    <w:lvl w:ilvl="0">
      <w:start w:val="1"/>
      <w:numFmt w:val="decimal"/>
      <w:isLgl w:val="false"/>
      <w:suff w:val="tab"/>
      <w:lvlText w:val="%1."/>
      <w:lvlJc w:val="left"/>
      <w:pPr>
        <w:pStyle w:val="937"/>
        <w:ind w:left="902" w:hanging="420"/>
      </w:pPr>
    </w:lvl>
    <w:lvl w:ilvl="1">
      <w:start w:val="1"/>
      <w:numFmt w:val="lowerLetter"/>
      <w:isLgl w:val="false"/>
      <w:suff w:val="tab"/>
      <w:lvlText w:val="%2)"/>
      <w:lvlJc w:val="left"/>
      <w:pPr>
        <w:pStyle w:val="937"/>
        <w:ind w:left="1322" w:hanging="420"/>
      </w:pPr>
    </w:lvl>
    <w:lvl w:ilvl="2">
      <w:start w:val="1"/>
      <w:numFmt w:val="lowerRoman"/>
      <w:isLgl w:val="false"/>
      <w:suff w:val="tab"/>
      <w:lvlText w:val="%3."/>
      <w:lvlJc w:val="right"/>
      <w:pPr>
        <w:pStyle w:val="937"/>
        <w:ind w:left="1742" w:hanging="420"/>
      </w:pPr>
    </w:lvl>
    <w:lvl w:ilvl="3">
      <w:start w:val="1"/>
      <w:numFmt w:val="decimal"/>
      <w:isLgl w:val="false"/>
      <w:suff w:val="tab"/>
      <w:lvlText w:val="%4."/>
      <w:lvlJc w:val="left"/>
      <w:pPr>
        <w:pStyle w:val="937"/>
        <w:ind w:left="2162" w:hanging="420"/>
      </w:pPr>
    </w:lvl>
    <w:lvl w:ilvl="4">
      <w:start w:val="1"/>
      <w:numFmt w:val="lowerLetter"/>
      <w:isLgl w:val="false"/>
      <w:suff w:val="tab"/>
      <w:lvlText w:val="%5)"/>
      <w:lvlJc w:val="left"/>
      <w:pPr>
        <w:pStyle w:val="937"/>
        <w:ind w:left="2582" w:hanging="420"/>
      </w:pPr>
    </w:lvl>
    <w:lvl w:ilvl="5">
      <w:start w:val="1"/>
      <w:numFmt w:val="lowerRoman"/>
      <w:isLgl w:val="false"/>
      <w:suff w:val="tab"/>
      <w:lvlText w:val="%6."/>
      <w:lvlJc w:val="right"/>
      <w:pPr>
        <w:pStyle w:val="937"/>
        <w:ind w:left="3002" w:hanging="420"/>
      </w:pPr>
    </w:lvl>
    <w:lvl w:ilvl="6">
      <w:start w:val="1"/>
      <w:numFmt w:val="decimal"/>
      <w:isLgl w:val="false"/>
      <w:suff w:val="tab"/>
      <w:lvlText w:val="%7."/>
      <w:lvlJc w:val="left"/>
      <w:pPr>
        <w:pStyle w:val="937"/>
        <w:ind w:left="3422" w:hanging="420"/>
      </w:pPr>
    </w:lvl>
    <w:lvl w:ilvl="7">
      <w:start w:val="1"/>
      <w:numFmt w:val="lowerLetter"/>
      <w:isLgl w:val="false"/>
      <w:suff w:val="tab"/>
      <w:lvlText w:val="%8)"/>
      <w:lvlJc w:val="left"/>
      <w:pPr>
        <w:pStyle w:val="937"/>
        <w:ind w:left="3842" w:hanging="420"/>
      </w:pPr>
    </w:lvl>
    <w:lvl w:ilvl="8">
      <w:start w:val="1"/>
      <w:numFmt w:val="lowerRoman"/>
      <w:isLgl w:val="false"/>
      <w:suff w:val="tab"/>
      <w:lvlText w:val="%9."/>
      <w:lvlJc w:val="right"/>
      <w:pPr>
        <w:pStyle w:val="937"/>
        <w:ind w:left="4262" w:hanging="420"/>
      </w:pPr>
    </w:lvl>
  </w:abstractNum>
  <w:abstractNum w:abstractNumId="21">
    <w:multiLevelType w:val="hybridMultilevel"/>
    <w:lvl w:ilvl="0">
      <w:start w:val="1"/>
      <w:numFmt w:val="decimal"/>
      <w:isLgl w:val="false"/>
      <w:suff w:val="tab"/>
      <w:lvlText w:val="%1."/>
      <w:lvlJc w:val="left"/>
      <w:pPr>
        <w:pStyle w:val="937"/>
        <w:ind w:left="845" w:hanging="425"/>
        <w:tabs>
          <w:tab w:val="num" w:pos="420" w:leader="none"/>
        </w:tabs>
      </w:pPr>
      <w:rPr>
        <w:rFonts w:hint="eastAsia"/>
      </w:rPr>
    </w:lvl>
    <w:lvl w:ilvl="1">
      <w:start w:val="1"/>
      <w:numFmt w:val="decimal"/>
      <w:isLgl w:val="false"/>
      <w:suff w:val="tab"/>
      <w:lvlText w:val="%1.%2."/>
      <w:lvlJc w:val="left"/>
      <w:pPr>
        <w:pStyle w:val="937"/>
        <w:ind w:left="567" w:hanging="567"/>
        <w:tabs>
          <w:tab w:val="num" w:pos="420" w:leader="none"/>
        </w:tabs>
      </w:pPr>
      <w:rPr>
        <w:rFonts w:hint="eastAsia"/>
      </w:rPr>
    </w:lvl>
    <w:lvl w:ilvl="2">
      <w:start w:val="1"/>
      <w:numFmt w:val="decimal"/>
      <w:isLgl w:val="false"/>
      <w:suff w:val="tab"/>
      <w:lvlText w:val="5.7.%3."/>
      <w:lvlJc w:val="left"/>
      <w:pPr>
        <w:pStyle w:val="937"/>
        <w:ind w:left="1129" w:hanging="709"/>
        <w:tabs>
          <w:tab w:val="num" w:pos="420" w:leader="none"/>
        </w:tabs>
      </w:pPr>
      <w:rPr>
        <w:rFonts w:hint="eastAsia"/>
      </w:rPr>
    </w:lvl>
    <w:lvl w:ilvl="3">
      <w:start w:val="1"/>
      <w:numFmt w:val="decimal"/>
      <w:isLgl w:val="false"/>
      <w:suff w:val="tab"/>
      <w:lvlText w:val="5.7.%3.%4."/>
      <w:lvlJc w:val="left"/>
      <w:pPr>
        <w:pStyle w:val="937"/>
        <w:ind w:left="1271" w:hanging="851"/>
        <w:tabs>
          <w:tab w:val="num" w:pos="420" w:leader="none"/>
        </w:tabs>
      </w:pPr>
      <w:rPr>
        <w:rFonts w:hint="eastAsia"/>
      </w:rPr>
    </w:lvl>
    <w:lvl w:ilvl="4">
      <w:start w:val="1"/>
      <w:numFmt w:val="decimal"/>
      <w:isLgl w:val="false"/>
      <w:suff w:val="tab"/>
      <w:lvlText w:val="5.7.%3.%4.%5."/>
      <w:lvlJc w:val="left"/>
      <w:pPr>
        <w:pStyle w:val="937"/>
        <w:ind w:left="1838" w:hanging="992"/>
        <w:tabs>
          <w:tab w:val="num" w:pos="420" w:leader="none"/>
        </w:tabs>
      </w:pPr>
      <w:rPr>
        <w:rFonts w:hint="eastAsia"/>
      </w:rPr>
    </w:lvl>
    <w:lvl w:ilvl="5">
      <w:start w:val="1"/>
      <w:numFmt w:val="decimal"/>
      <w:isLgl w:val="false"/>
      <w:suff w:val="tab"/>
      <w:lvlText w:val="5.7.%3.%4.%5.%6."/>
      <w:lvlJc w:val="left"/>
      <w:pPr>
        <w:pStyle w:val="937"/>
        <w:ind w:left="1554" w:hanging="1134"/>
        <w:tabs>
          <w:tab w:val="num" w:pos="420" w:leader="none"/>
        </w:tabs>
      </w:pPr>
      <w:rPr>
        <w:rFonts w:hint="eastAsia"/>
      </w:rPr>
    </w:lvl>
    <w:lvl w:ilvl="6">
      <w:start w:val="1"/>
      <w:numFmt w:val="decimal"/>
      <w:isLgl w:val="false"/>
      <w:suff w:val="tab"/>
      <w:lvlText w:val="%1.%2.%3.%4.%5.%6.%7."/>
      <w:lvlJc w:val="left"/>
      <w:pPr>
        <w:pStyle w:val="937"/>
        <w:ind w:left="1696" w:hanging="1276"/>
        <w:tabs>
          <w:tab w:val="num" w:pos="420" w:leader="none"/>
        </w:tabs>
      </w:pPr>
      <w:rPr>
        <w:rFonts w:hint="eastAsia"/>
      </w:rPr>
    </w:lvl>
    <w:lvl w:ilvl="7">
      <w:start w:val="1"/>
      <w:numFmt w:val="decimal"/>
      <w:isLgl w:val="false"/>
      <w:suff w:val="tab"/>
      <w:lvlText w:val="%1.%2.%3.%4.%5.%6.%7.%8."/>
      <w:lvlJc w:val="left"/>
      <w:pPr>
        <w:pStyle w:val="937"/>
        <w:ind w:left="1838" w:hanging="1418"/>
        <w:tabs>
          <w:tab w:val="num" w:pos="420" w:leader="none"/>
        </w:tabs>
      </w:pPr>
      <w:rPr>
        <w:rFonts w:hint="eastAsia"/>
      </w:rPr>
    </w:lvl>
    <w:lvl w:ilvl="8">
      <w:start w:val="1"/>
      <w:numFmt w:val="decimal"/>
      <w:isLgl w:val="false"/>
      <w:suff w:val="tab"/>
      <w:lvlText w:val="%1.%2.%3.%4.%5.%6.%7.%8.%9."/>
      <w:lvlJc w:val="left"/>
      <w:pPr>
        <w:pStyle w:val="937"/>
        <w:ind w:left="1979" w:hanging="1559"/>
        <w:tabs>
          <w:tab w:val="num" w:pos="420" w:leader="none"/>
        </w:tabs>
      </w:pPr>
      <w:rPr>
        <w:rFonts w:hint="eastAsia"/>
      </w:rPr>
    </w:lvl>
  </w:abstractNum>
  <w:abstractNum w:abstractNumId="22">
    <w:multiLevelType w:val="hybridMultilevel"/>
    <w:lvl w:ilvl="0">
      <w:start w:val="1"/>
      <w:numFmt w:val="decimal"/>
      <w:isLgl w:val="false"/>
      <w:suff w:val="tab"/>
      <w:lvlText w:val="%1."/>
      <w:lvlJc w:val="left"/>
      <w:pPr>
        <w:pStyle w:val="937"/>
        <w:ind w:left="420" w:hanging="42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23">
    <w:multiLevelType w:val="hybridMultilevel"/>
    <w:lvl w:ilvl="0">
      <w:start w:val="1"/>
      <w:numFmt w:val="bullet"/>
      <w:isLgl w:val="false"/>
      <w:suff w:val="tab"/>
      <w:lvlText w:val=""/>
      <w:lvlJc w:val="left"/>
      <w:pPr>
        <w:pStyle w:val="937"/>
        <w:ind w:left="420" w:hanging="420"/>
      </w:pPr>
      <w:rPr>
        <w:rFonts w:ascii="Wingdings" w:hAnsi="Wingdings"/>
      </w:rPr>
    </w:lvl>
    <w:lvl w:ilvl="1">
      <w:start w:val="1"/>
      <w:numFmt w:val="bullet"/>
      <w:isLgl w:val="false"/>
      <w:suff w:val="tab"/>
      <w:lvlText w:val=""/>
      <w:lvlJc w:val="left"/>
      <w:pPr>
        <w:pStyle w:val="937"/>
        <w:ind w:left="840" w:hanging="420"/>
      </w:pPr>
      <w:rPr>
        <w:rFonts w:ascii="Wingdings" w:hAnsi="Wingdings"/>
      </w:rPr>
    </w:lvl>
    <w:lvl w:ilvl="2">
      <w:start w:val="1"/>
      <w:numFmt w:val="bullet"/>
      <w:isLgl w:val="false"/>
      <w:suff w:val="tab"/>
      <w:lvlText w:val=""/>
      <w:lvlJc w:val="left"/>
      <w:pPr>
        <w:pStyle w:val="937"/>
        <w:ind w:left="1260" w:hanging="420"/>
      </w:pPr>
      <w:rPr>
        <w:rFonts w:ascii="Wingdings" w:hAnsi="Wingdings"/>
      </w:rPr>
    </w:lvl>
    <w:lvl w:ilvl="3">
      <w:start w:val="1"/>
      <w:numFmt w:val="bullet"/>
      <w:isLgl w:val="false"/>
      <w:suff w:val="tab"/>
      <w:lvlText w:val=""/>
      <w:lvlJc w:val="left"/>
      <w:pPr>
        <w:pStyle w:val="937"/>
        <w:ind w:left="1680" w:hanging="420"/>
      </w:pPr>
      <w:rPr>
        <w:rFonts w:ascii="Wingdings" w:hAnsi="Wingdings"/>
      </w:rPr>
    </w:lvl>
    <w:lvl w:ilvl="4">
      <w:start w:val="1"/>
      <w:numFmt w:val="bullet"/>
      <w:isLgl w:val="false"/>
      <w:suff w:val="tab"/>
      <w:lvlText w:val=""/>
      <w:lvlJc w:val="left"/>
      <w:pPr>
        <w:pStyle w:val="937"/>
        <w:ind w:left="2100" w:hanging="420"/>
      </w:pPr>
      <w:rPr>
        <w:rFonts w:ascii="Wingdings" w:hAnsi="Wingdings"/>
      </w:rPr>
    </w:lvl>
    <w:lvl w:ilvl="5">
      <w:start w:val="1"/>
      <w:numFmt w:val="bullet"/>
      <w:isLgl w:val="false"/>
      <w:suff w:val="tab"/>
      <w:lvlText w:val=""/>
      <w:lvlJc w:val="left"/>
      <w:pPr>
        <w:pStyle w:val="937"/>
        <w:ind w:left="2520" w:hanging="420"/>
      </w:pPr>
      <w:rPr>
        <w:rFonts w:ascii="Wingdings" w:hAnsi="Wingdings"/>
      </w:rPr>
    </w:lvl>
    <w:lvl w:ilvl="6">
      <w:start w:val="1"/>
      <w:numFmt w:val="bullet"/>
      <w:isLgl w:val="false"/>
      <w:suff w:val="tab"/>
      <w:lvlText w:val=""/>
      <w:lvlJc w:val="left"/>
      <w:pPr>
        <w:pStyle w:val="937"/>
        <w:ind w:left="2940" w:hanging="420"/>
      </w:pPr>
      <w:rPr>
        <w:rFonts w:ascii="Wingdings" w:hAnsi="Wingdings"/>
      </w:rPr>
    </w:lvl>
    <w:lvl w:ilvl="7">
      <w:start w:val="1"/>
      <w:numFmt w:val="bullet"/>
      <w:isLgl w:val="false"/>
      <w:suff w:val="tab"/>
      <w:lvlText w:val=""/>
      <w:lvlJc w:val="left"/>
      <w:pPr>
        <w:pStyle w:val="937"/>
        <w:ind w:left="3360" w:hanging="420"/>
      </w:pPr>
      <w:rPr>
        <w:rFonts w:ascii="Wingdings" w:hAnsi="Wingdings"/>
      </w:rPr>
    </w:lvl>
    <w:lvl w:ilvl="8">
      <w:start w:val="1"/>
      <w:numFmt w:val="bullet"/>
      <w:isLgl w:val="false"/>
      <w:suff w:val="tab"/>
      <w:lvlText w:val=""/>
      <w:lvlJc w:val="left"/>
      <w:pPr>
        <w:pStyle w:val="937"/>
        <w:ind w:left="3780" w:hanging="420"/>
      </w:pPr>
      <w:rPr>
        <w:rFonts w:ascii="Wingdings" w:hAnsi="Wingdings"/>
      </w:rPr>
    </w:lvl>
  </w:abstractNum>
  <w:abstractNum w:abstractNumId="24">
    <w:multiLevelType w:val="hybridMultilevel"/>
    <w:lvl w:ilvl="0">
      <w:start w:val="1"/>
      <w:numFmt w:val="decimal"/>
      <w:isLgl w:val="false"/>
      <w:suff w:val="tab"/>
      <w:lvlText w:val="%1."/>
      <w:lvlJc w:val="left"/>
      <w:pPr>
        <w:pStyle w:val="937"/>
        <w:ind w:left="425" w:hanging="425"/>
      </w:pPr>
      <w:rPr>
        <w:rFonts w:hint="eastAsia"/>
      </w:rPr>
    </w:lvl>
    <w:lvl w:ilvl="1">
      <w:start w:val="1"/>
      <w:numFmt w:val="decimal"/>
      <w:isLgl w:val="false"/>
      <w:suff w:val="tab"/>
      <w:lvlText w:val="%1.%2."/>
      <w:lvlJc w:val="left"/>
      <w:pPr>
        <w:pStyle w:val="937"/>
        <w:ind w:left="567" w:hanging="567"/>
      </w:pPr>
      <w:rPr>
        <w:rFonts w:hint="eastAsia"/>
      </w:rPr>
    </w:lvl>
    <w:lvl w:ilvl="2">
      <w:start w:val="1"/>
      <w:numFmt w:val="decimal"/>
      <w:isLgl w:val="false"/>
      <w:suff w:val="tab"/>
      <w:lvlText w:val="5.7.%3."/>
      <w:lvlJc w:val="left"/>
      <w:pPr>
        <w:pStyle w:val="937"/>
        <w:ind w:left="709" w:hanging="709"/>
      </w:pPr>
      <w:rPr>
        <w:rFonts w:hint="eastAsia"/>
      </w:rPr>
    </w:lvl>
    <w:lvl w:ilvl="3">
      <w:start w:val="1"/>
      <w:numFmt w:val="decimal"/>
      <w:isLgl w:val="false"/>
      <w:suff w:val="tab"/>
      <w:lvlText w:val="5.7.%3.%4."/>
      <w:lvlJc w:val="left"/>
      <w:pPr>
        <w:pStyle w:val="937"/>
        <w:ind w:left="851" w:hanging="851"/>
      </w:pPr>
      <w:rPr>
        <w:rFonts w:hint="eastAsia"/>
      </w:rPr>
    </w:lvl>
    <w:lvl w:ilvl="4">
      <w:start w:val="1"/>
      <w:numFmt w:val="decimal"/>
      <w:isLgl w:val="false"/>
      <w:suff w:val="tab"/>
      <w:lvlText w:val="5.7.%3.%4.%5."/>
      <w:lvlJc w:val="left"/>
      <w:pPr>
        <w:pStyle w:val="937"/>
        <w:ind w:left="1418" w:hanging="992"/>
      </w:pPr>
      <w:rPr>
        <w:rFonts w:hint="eastAsia"/>
      </w:rPr>
    </w:lvl>
    <w:lvl w:ilvl="5">
      <w:start w:val="1"/>
      <w:numFmt w:val="decimal"/>
      <w:isLgl w:val="false"/>
      <w:suff w:val="tab"/>
      <w:lvlText w:val="5.7.%3.%4.%5.%6."/>
      <w:lvlJc w:val="left"/>
      <w:pPr>
        <w:pStyle w:val="937"/>
        <w:ind w:left="1134" w:hanging="1134"/>
      </w:pPr>
      <w:rPr>
        <w:rFonts w:hint="eastAsia"/>
      </w:rPr>
    </w:lvl>
    <w:lvl w:ilvl="6">
      <w:start w:val="1"/>
      <w:numFmt w:val="decimal"/>
      <w:isLgl w:val="false"/>
      <w:suff w:val="tab"/>
      <w:lvlText w:val="%1.%2.%3.%4.%5.%6.%7."/>
      <w:lvlJc w:val="left"/>
      <w:pPr>
        <w:pStyle w:val="937"/>
        <w:ind w:left="1276" w:hanging="1276"/>
      </w:pPr>
      <w:rPr>
        <w:rFonts w:hint="eastAsia"/>
      </w:rPr>
    </w:lvl>
    <w:lvl w:ilvl="7">
      <w:start w:val="1"/>
      <w:numFmt w:val="decimal"/>
      <w:isLgl w:val="false"/>
      <w:suff w:val="tab"/>
      <w:lvlText w:val="%1.%2.%3.%4.%5.%6.%7.%8."/>
      <w:lvlJc w:val="left"/>
      <w:pPr>
        <w:pStyle w:val="937"/>
        <w:ind w:left="1418" w:hanging="1418"/>
      </w:pPr>
      <w:rPr>
        <w:rFonts w:hint="eastAsia"/>
      </w:rPr>
    </w:lvl>
    <w:lvl w:ilvl="8">
      <w:start w:val="1"/>
      <w:numFmt w:val="decimal"/>
      <w:isLgl w:val="false"/>
      <w:suff w:val="tab"/>
      <w:lvlText w:val="%1.%2.%3.%4.%5.%6.%7.%8.%9."/>
      <w:lvlJc w:val="left"/>
      <w:pPr>
        <w:pStyle w:val="937"/>
        <w:ind w:left="1559" w:hanging="1559"/>
      </w:pPr>
      <w:rPr>
        <w:rFonts w:hint="eastAsia"/>
      </w:rPr>
    </w:lvl>
  </w:abstractNum>
  <w:abstractNum w:abstractNumId="25">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26">
    <w:multiLevelType w:val="hybridMultilevel"/>
    <w:lvl w:ilvl="0">
      <w:start w:val="1"/>
      <w:numFmt w:val="japaneseCounting"/>
      <w:isLgl w:val="false"/>
      <w:suff w:val="tab"/>
      <w:lvlText w:val="（%1）"/>
      <w:lvlJc w:val="left"/>
      <w:pPr>
        <w:pStyle w:val="937"/>
        <w:ind w:left="1080" w:hanging="1080"/>
        <w:tabs>
          <w:tab w:val="num" w:pos="1080" w:leader="none"/>
        </w:tabs>
      </w:pPr>
      <w:rPr>
        <w:rFonts w:hint="eastAsia" w:cs="Times New Roman"/>
      </w:rPr>
    </w:lvl>
    <w:lvl w:ilvl="1">
      <w:start w:val="1"/>
      <w:numFmt w:val="decimal"/>
      <w:isLgl w:val="false"/>
      <w:suff w:val="tab"/>
      <w:lvlText w:val="%2."/>
      <w:lvlJc w:val="left"/>
      <w:pPr>
        <w:pStyle w:val="93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7"/>
        <w:ind w:left="1260" w:hanging="420"/>
        <w:tabs>
          <w:tab w:val="num" w:pos="1260" w:leader="none"/>
        </w:tabs>
      </w:pPr>
      <w:rPr>
        <w:rFonts w:cs="Times New Roman"/>
      </w:rPr>
    </w:lvl>
    <w:lvl w:ilvl="3">
      <w:start w:val="1"/>
      <w:numFmt w:val="decimal"/>
      <w:isLgl w:val="false"/>
      <w:suff w:val="tab"/>
      <w:lvlText w:val="%4."/>
      <w:lvlJc w:val="left"/>
      <w:pPr>
        <w:pStyle w:val="937"/>
        <w:ind w:left="1680" w:hanging="420"/>
        <w:tabs>
          <w:tab w:val="num" w:pos="1680" w:leader="none"/>
        </w:tabs>
      </w:pPr>
      <w:rPr>
        <w:rFonts w:cs="Times New Roman"/>
      </w:rPr>
    </w:lvl>
    <w:lvl w:ilvl="4">
      <w:start w:val="1"/>
      <w:numFmt w:val="lowerLetter"/>
      <w:isLgl w:val="false"/>
      <w:suff w:val="tab"/>
      <w:lvlText w:val="%5)"/>
      <w:lvlJc w:val="left"/>
      <w:pPr>
        <w:pStyle w:val="937"/>
        <w:ind w:left="2100" w:hanging="420"/>
        <w:tabs>
          <w:tab w:val="num" w:pos="2100" w:leader="none"/>
        </w:tabs>
      </w:pPr>
      <w:rPr>
        <w:rFonts w:cs="Times New Roman"/>
      </w:rPr>
    </w:lvl>
    <w:lvl w:ilvl="5">
      <w:start w:val="1"/>
      <w:numFmt w:val="lowerRoman"/>
      <w:isLgl w:val="false"/>
      <w:suff w:val="tab"/>
      <w:lvlText w:val="%6."/>
      <w:lvlJc w:val="right"/>
      <w:pPr>
        <w:pStyle w:val="937"/>
        <w:ind w:left="2520" w:hanging="420"/>
        <w:tabs>
          <w:tab w:val="num" w:pos="2520" w:leader="none"/>
        </w:tabs>
      </w:pPr>
      <w:rPr>
        <w:rFonts w:cs="Times New Roman"/>
      </w:rPr>
    </w:lvl>
    <w:lvl w:ilvl="6">
      <w:start w:val="1"/>
      <w:numFmt w:val="decimal"/>
      <w:isLgl w:val="false"/>
      <w:suff w:val="tab"/>
      <w:lvlText w:val="%7."/>
      <w:lvlJc w:val="left"/>
      <w:pPr>
        <w:pStyle w:val="937"/>
        <w:ind w:left="2940" w:hanging="420"/>
        <w:tabs>
          <w:tab w:val="num" w:pos="2940" w:leader="none"/>
        </w:tabs>
      </w:pPr>
      <w:rPr>
        <w:rFonts w:cs="Times New Roman"/>
      </w:rPr>
    </w:lvl>
    <w:lvl w:ilvl="7">
      <w:start w:val="1"/>
      <w:numFmt w:val="lowerLetter"/>
      <w:isLgl w:val="false"/>
      <w:suff w:val="tab"/>
      <w:lvlText w:val="%8)"/>
      <w:lvlJc w:val="left"/>
      <w:pPr>
        <w:pStyle w:val="937"/>
        <w:ind w:left="3360" w:hanging="420"/>
        <w:tabs>
          <w:tab w:val="num" w:pos="3360" w:leader="none"/>
        </w:tabs>
      </w:pPr>
      <w:rPr>
        <w:rFonts w:cs="Times New Roman"/>
      </w:rPr>
    </w:lvl>
    <w:lvl w:ilvl="8">
      <w:start w:val="1"/>
      <w:numFmt w:val="lowerRoman"/>
      <w:isLgl w:val="false"/>
      <w:suff w:val="tab"/>
      <w:lvlText w:val="%9."/>
      <w:lvlJc w:val="right"/>
      <w:pPr>
        <w:pStyle w:val="937"/>
        <w:ind w:left="3780" w:hanging="420"/>
        <w:tabs>
          <w:tab w:val="num" w:pos="3780" w:leader="none"/>
        </w:tabs>
      </w:pPr>
      <w:rPr>
        <w:rFonts w:cs="Times New Roman"/>
      </w:rPr>
    </w:lvl>
  </w:abstractNum>
  <w:abstractNum w:abstractNumId="27">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28">
    <w:multiLevelType w:val="hybridMultilevel"/>
    <w:lvl w:ilvl="0">
      <w:start w:val="1"/>
      <w:numFmt w:val="chineseCountingThousand"/>
      <w:isLgl w:val="false"/>
      <w:suff w:val="nothing"/>
      <w:lvlText w:val="第%1章 "/>
      <w:lvlJc w:val="left"/>
      <w:pPr>
        <w:pStyle w:val="937"/>
        <w:ind w:left="0" w:firstLine="0"/>
      </w:pPr>
      <w:rPr>
        <w:rFonts w:hint="eastAsia"/>
      </w:rPr>
    </w:lvl>
    <w:lvl w:ilvl="1">
      <w:start w:val="1"/>
      <w:numFmt w:val="decimal"/>
      <w:isLgl w:val="false"/>
      <w:suff w:val="nothing"/>
      <w:lvlText w:val="%2、"/>
      <w:lvlJc w:val="left"/>
      <w:pPr>
        <w:pStyle w:val="937"/>
        <w:ind w:left="0" w:firstLine="0"/>
      </w:pPr>
      <w:rPr>
        <w:rFonts w:hint="eastAsia"/>
      </w:rPr>
    </w:lvl>
    <w:lvl w:ilvl="2">
      <w:start w:val="1"/>
      <w:numFmt w:val="decimal"/>
      <w:isLgl w:val="false"/>
      <w:suff w:val="nothing"/>
      <w:lvlText w:val="%2.%3 "/>
      <w:lvlJc w:val="left"/>
      <w:pPr>
        <w:pStyle w:val="937"/>
        <w:ind w:left="0" w:firstLine="0"/>
      </w:pPr>
      <w:rPr>
        <w:rFonts w:hint="eastAsia"/>
      </w:rPr>
    </w:lvl>
    <w:lvl w:ilvl="3">
      <w:start w:val="1"/>
      <w:numFmt w:val="decimal"/>
      <w:isLgl w:val="false"/>
      <w:suff w:val="nothing"/>
      <w:lvlText w:val="%2.%3.%4 "/>
      <w:lvlJc w:val="left"/>
      <w:pPr>
        <w:pStyle w:val="937"/>
        <w:ind w:left="0" w:firstLine="0"/>
      </w:pPr>
      <w:rPr>
        <w:rFonts w:hint="eastAsia"/>
      </w:rPr>
    </w:lvl>
    <w:lvl w:ilvl="4">
      <w:start w:val="1"/>
      <w:numFmt w:val="decimal"/>
      <w:isLgl w:val="false"/>
      <w:suff w:val="nothing"/>
      <w:lvlText w:val="%2.%3.%4.%5 "/>
      <w:lvlJc w:val="left"/>
      <w:pPr>
        <w:pStyle w:val="937"/>
        <w:ind w:left="0" w:firstLine="0"/>
      </w:pPr>
      <w:rPr>
        <w:rFonts w:hint="eastAsia"/>
      </w:rPr>
    </w:lvl>
    <w:lvl w:ilvl="5">
      <w:start w:val="1"/>
      <w:numFmt w:val="decimal"/>
      <w:pStyle w:val="943"/>
      <w:isLgl w:val="false"/>
      <w:suff w:val="nothing"/>
      <w:lvlText w:val=""/>
      <w:lvlJc w:val="left"/>
      <w:pPr>
        <w:pStyle w:val="937"/>
        <w:ind w:left="0" w:firstLine="0"/>
      </w:pPr>
      <w:rPr>
        <w:rFonts w:hint="eastAsia"/>
      </w:rPr>
    </w:lvl>
    <w:lvl w:ilvl="6">
      <w:start w:val="1"/>
      <w:numFmt w:val="decimal"/>
      <w:pStyle w:val="944"/>
      <w:isLgl w:val="false"/>
      <w:suff w:val="nothing"/>
      <w:lvlText w:val=""/>
      <w:lvlJc w:val="left"/>
      <w:pPr>
        <w:pStyle w:val="937"/>
        <w:ind w:left="0" w:firstLine="0"/>
      </w:pPr>
      <w:rPr>
        <w:rFonts w:hint="eastAsia"/>
      </w:rPr>
    </w:lvl>
    <w:lvl w:ilvl="7">
      <w:start w:val="1"/>
      <w:numFmt w:val="decimal"/>
      <w:pStyle w:val="945"/>
      <w:isLgl w:val="false"/>
      <w:suff w:val="nothing"/>
      <w:lvlText w:val=""/>
      <w:lvlJc w:val="left"/>
      <w:pPr>
        <w:pStyle w:val="937"/>
        <w:ind w:left="0" w:firstLine="0"/>
      </w:pPr>
      <w:rPr>
        <w:rFonts w:hint="eastAsia"/>
      </w:rPr>
    </w:lvl>
    <w:lvl w:ilvl="8">
      <w:start w:val="1"/>
      <w:numFmt w:val="decimal"/>
      <w:pStyle w:val="946"/>
      <w:isLgl w:val="false"/>
      <w:suff w:val="nothing"/>
      <w:lvlText w:val=""/>
      <w:lvlJc w:val="left"/>
      <w:pPr>
        <w:pStyle w:val="937"/>
        <w:ind w:left="0" w:firstLine="0"/>
      </w:pPr>
      <w:rPr>
        <w:rFonts w:hint="eastAsia"/>
      </w:rPr>
    </w:lvl>
  </w:abstractNum>
  <w:abstractNum w:abstractNumId="29">
    <w:multiLevelType w:val="hybridMultilevel"/>
    <w:lvl w:ilvl="0">
      <w:start w:val="1"/>
      <w:numFmt w:val="decimalEnclosedCircle"/>
      <w:isLgl w:val="false"/>
      <w:suff w:val="tab"/>
      <w:lvlText w:val="%1"/>
      <w:lvlJc w:val="left"/>
      <w:pPr>
        <w:pStyle w:val="937"/>
        <w:ind w:left="881" w:hanging="360"/>
        <w:tabs>
          <w:tab w:val="left" w:pos="881" w:leader="none"/>
        </w:tabs>
      </w:pPr>
      <w:rPr>
        <w:rFonts w:hint="eastAsia" w:ascii="宋体" w:hAnsi="宋体" w:eastAsia="宋体" w:cs="Times New Roman"/>
        <w:color w:val="000000"/>
      </w:rPr>
    </w:lvl>
    <w:lvl w:ilvl="1">
      <w:start w:val="1"/>
      <w:numFmt w:val="lowerLetter"/>
      <w:isLgl w:val="false"/>
      <w:suff w:val="tab"/>
      <w:lvlText w:val="%2)"/>
      <w:lvlJc w:val="left"/>
      <w:pPr>
        <w:pStyle w:val="937"/>
        <w:ind w:left="1361" w:hanging="420"/>
        <w:tabs>
          <w:tab w:val="left" w:pos="1361" w:leader="none"/>
        </w:tabs>
      </w:pPr>
      <w:rPr>
        <w:rFonts w:cs="Times New Roman"/>
      </w:rPr>
    </w:lvl>
    <w:lvl w:ilvl="2">
      <w:start w:val="1"/>
      <w:numFmt w:val="lowerRoman"/>
      <w:isLgl w:val="false"/>
      <w:suff w:val="tab"/>
      <w:lvlText w:val="%3."/>
      <w:lvlJc w:val="right"/>
      <w:pPr>
        <w:pStyle w:val="937"/>
        <w:ind w:left="1781" w:hanging="420"/>
        <w:tabs>
          <w:tab w:val="left" w:pos="1781" w:leader="none"/>
        </w:tabs>
      </w:pPr>
      <w:rPr>
        <w:rFonts w:cs="Times New Roman"/>
      </w:rPr>
    </w:lvl>
    <w:lvl w:ilvl="3">
      <w:start w:val="1"/>
      <w:numFmt w:val="decimal"/>
      <w:isLgl w:val="false"/>
      <w:suff w:val="tab"/>
      <w:lvlText w:val="%4."/>
      <w:lvlJc w:val="left"/>
      <w:pPr>
        <w:pStyle w:val="937"/>
        <w:ind w:left="2201" w:hanging="420"/>
        <w:tabs>
          <w:tab w:val="left" w:pos="2201" w:leader="none"/>
        </w:tabs>
      </w:pPr>
      <w:rPr>
        <w:rFonts w:cs="Times New Roman"/>
      </w:rPr>
    </w:lvl>
    <w:lvl w:ilvl="4">
      <w:start w:val="1"/>
      <w:numFmt w:val="lowerLetter"/>
      <w:isLgl w:val="false"/>
      <w:suff w:val="tab"/>
      <w:lvlText w:val="%5)"/>
      <w:lvlJc w:val="left"/>
      <w:pPr>
        <w:pStyle w:val="937"/>
        <w:ind w:left="2621" w:hanging="420"/>
        <w:tabs>
          <w:tab w:val="left" w:pos="2621" w:leader="none"/>
        </w:tabs>
      </w:pPr>
      <w:rPr>
        <w:rFonts w:cs="Times New Roman"/>
      </w:rPr>
    </w:lvl>
    <w:lvl w:ilvl="5">
      <w:start w:val="1"/>
      <w:numFmt w:val="lowerRoman"/>
      <w:isLgl w:val="false"/>
      <w:suff w:val="tab"/>
      <w:lvlText w:val="%6."/>
      <w:lvlJc w:val="right"/>
      <w:pPr>
        <w:pStyle w:val="937"/>
        <w:ind w:left="3041" w:hanging="420"/>
        <w:tabs>
          <w:tab w:val="left" w:pos="3041" w:leader="none"/>
        </w:tabs>
      </w:pPr>
      <w:rPr>
        <w:rFonts w:cs="Times New Roman"/>
      </w:rPr>
    </w:lvl>
    <w:lvl w:ilvl="6">
      <w:start w:val="1"/>
      <w:numFmt w:val="decimal"/>
      <w:isLgl w:val="false"/>
      <w:suff w:val="tab"/>
      <w:lvlText w:val="%7."/>
      <w:lvlJc w:val="left"/>
      <w:pPr>
        <w:pStyle w:val="937"/>
        <w:ind w:left="3461" w:hanging="420"/>
        <w:tabs>
          <w:tab w:val="left" w:pos="3461" w:leader="none"/>
        </w:tabs>
      </w:pPr>
      <w:rPr>
        <w:rFonts w:cs="Times New Roman"/>
      </w:rPr>
    </w:lvl>
    <w:lvl w:ilvl="7">
      <w:start w:val="1"/>
      <w:numFmt w:val="lowerLetter"/>
      <w:isLgl w:val="false"/>
      <w:suff w:val="tab"/>
      <w:lvlText w:val="%8)"/>
      <w:lvlJc w:val="left"/>
      <w:pPr>
        <w:pStyle w:val="937"/>
        <w:ind w:left="3881" w:hanging="420"/>
        <w:tabs>
          <w:tab w:val="left" w:pos="3881" w:leader="none"/>
        </w:tabs>
      </w:pPr>
      <w:rPr>
        <w:rFonts w:cs="Times New Roman"/>
      </w:rPr>
    </w:lvl>
    <w:lvl w:ilvl="8">
      <w:start w:val="1"/>
      <w:numFmt w:val="lowerRoman"/>
      <w:isLgl w:val="false"/>
      <w:suff w:val="tab"/>
      <w:lvlText w:val="%9."/>
      <w:lvlJc w:val="right"/>
      <w:pPr>
        <w:pStyle w:val="937"/>
        <w:ind w:left="4301" w:hanging="420"/>
        <w:tabs>
          <w:tab w:val="left" w:pos="4301" w:leader="none"/>
        </w:tabs>
      </w:pPr>
      <w:rPr>
        <w:rFonts w:cs="Times New Roman"/>
      </w:rPr>
    </w:lvl>
  </w:abstractNum>
  <w:abstractNum w:abstractNumId="30">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31">
    <w:multiLevelType w:val="hybridMultilevel"/>
    <w:lvl w:ilvl="0">
      <w:start w:val="1"/>
      <w:numFmt w:val="japaneseCounting"/>
      <w:isLgl w:val="false"/>
      <w:suff w:val="tab"/>
      <w:lvlText w:val="%1、"/>
      <w:lvlJc w:val="left"/>
      <w:pPr>
        <w:pStyle w:val="93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37"/>
        <w:ind w:left="840" w:hanging="420"/>
        <w:tabs>
          <w:tab w:val="num" w:pos="840" w:leader="none"/>
        </w:tabs>
      </w:pPr>
      <w:rPr>
        <w:rFonts w:cs="Times New Roman"/>
      </w:rPr>
    </w:lvl>
    <w:lvl w:ilvl="2">
      <w:start w:val="10"/>
      <w:numFmt w:val="decimal"/>
      <w:isLgl w:val="false"/>
      <w:suff w:val="tab"/>
      <w:lvlText w:val="%3."/>
      <w:lvlJc w:val="left"/>
      <w:pPr>
        <w:pStyle w:val="937"/>
        <w:ind w:left="1200" w:hanging="360"/>
        <w:tabs>
          <w:tab w:val="num" w:pos="1200" w:leader="none"/>
        </w:tabs>
      </w:pPr>
      <w:rPr>
        <w:rFonts w:cs="Times New Roman"/>
      </w:rPr>
    </w:lvl>
    <w:lvl w:ilvl="3">
      <w:start w:val="1"/>
      <w:numFmt w:val="decimal"/>
      <w:isLgl w:val="false"/>
      <w:suff w:val="tab"/>
      <w:lvlText w:val="%4."/>
      <w:lvlJc w:val="left"/>
      <w:pPr>
        <w:pStyle w:val="937"/>
        <w:ind w:left="1680" w:hanging="420"/>
        <w:tabs>
          <w:tab w:val="num" w:pos="1680" w:leader="none"/>
        </w:tabs>
      </w:pPr>
      <w:rPr>
        <w:rFonts w:cs="Times New Roman"/>
      </w:rPr>
    </w:lvl>
    <w:lvl w:ilvl="4">
      <w:start w:val="1"/>
      <w:numFmt w:val="lowerLetter"/>
      <w:isLgl w:val="false"/>
      <w:suff w:val="tab"/>
      <w:lvlText w:val="%5)"/>
      <w:lvlJc w:val="left"/>
      <w:pPr>
        <w:pStyle w:val="937"/>
        <w:ind w:left="2100" w:hanging="420"/>
        <w:tabs>
          <w:tab w:val="num" w:pos="2100" w:leader="none"/>
        </w:tabs>
      </w:pPr>
      <w:rPr>
        <w:rFonts w:cs="Times New Roman"/>
      </w:rPr>
    </w:lvl>
    <w:lvl w:ilvl="5">
      <w:start w:val="1"/>
      <w:numFmt w:val="lowerRoman"/>
      <w:isLgl w:val="false"/>
      <w:suff w:val="tab"/>
      <w:lvlText w:val="%6."/>
      <w:lvlJc w:val="right"/>
      <w:pPr>
        <w:pStyle w:val="937"/>
        <w:ind w:left="2520" w:hanging="420"/>
        <w:tabs>
          <w:tab w:val="num" w:pos="2520" w:leader="none"/>
        </w:tabs>
      </w:pPr>
      <w:rPr>
        <w:rFonts w:cs="Times New Roman"/>
      </w:rPr>
    </w:lvl>
    <w:lvl w:ilvl="6">
      <w:start w:val="1"/>
      <w:numFmt w:val="decimal"/>
      <w:isLgl w:val="false"/>
      <w:suff w:val="tab"/>
      <w:lvlText w:val="%7."/>
      <w:lvlJc w:val="left"/>
      <w:pPr>
        <w:pStyle w:val="937"/>
        <w:ind w:left="2940" w:hanging="420"/>
        <w:tabs>
          <w:tab w:val="num" w:pos="2940" w:leader="none"/>
        </w:tabs>
      </w:pPr>
      <w:rPr>
        <w:rFonts w:cs="Times New Roman"/>
      </w:rPr>
    </w:lvl>
    <w:lvl w:ilvl="7">
      <w:start w:val="1"/>
      <w:numFmt w:val="lowerLetter"/>
      <w:isLgl w:val="false"/>
      <w:suff w:val="tab"/>
      <w:lvlText w:val="%8)"/>
      <w:lvlJc w:val="left"/>
      <w:pPr>
        <w:pStyle w:val="937"/>
        <w:ind w:left="3360" w:hanging="420"/>
        <w:tabs>
          <w:tab w:val="num" w:pos="3360" w:leader="none"/>
        </w:tabs>
      </w:pPr>
      <w:rPr>
        <w:rFonts w:cs="Times New Roman"/>
      </w:rPr>
    </w:lvl>
    <w:lvl w:ilvl="8">
      <w:start w:val="1"/>
      <w:numFmt w:val="lowerRoman"/>
      <w:isLgl w:val="false"/>
      <w:suff w:val="tab"/>
      <w:lvlText w:val="%9."/>
      <w:lvlJc w:val="right"/>
      <w:pPr>
        <w:pStyle w:val="937"/>
        <w:ind w:left="3780" w:hanging="420"/>
        <w:tabs>
          <w:tab w:val="num" w:pos="3780" w:leader="none"/>
        </w:tabs>
      </w:pPr>
      <w:rPr>
        <w:rFonts w:cs="Times New Roman"/>
      </w:rPr>
    </w:lvl>
  </w:abstractNum>
  <w:abstractNum w:abstractNumId="32">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33">
    <w:multiLevelType w:val="hybridMultilevel"/>
    <w:lvl w:ilvl="0">
      <w:start w:val="1"/>
      <w:numFmt w:val="decimal"/>
      <w:isLgl w:val="false"/>
      <w:suff w:val="tab"/>
      <w:lvlText w:val="（%1）"/>
      <w:lvlJc w:val="left"/>
      <w:pPr>
        <w:pStyle w:val="937"/>
        <w:ind w:left="720" w:hanging="720"/>
        <w:tabs>
          <w:tab w:val="num" w:pos="720" w:leader="none"/>
        </w:tabs>
      </w:pPr>
      <w:rPr>
        <w:rFonts w:hint="eastAsia" w:cs="Times New Roman"/>
      </w:rPr>
    </w:lvl>
    <w:lvl w:ilvl="1">
      <w:start w:val="2"/>
      <w:numFmt w:val="decimal"/>
      <w:isLgl w:val="false"/>
      <w:suff w:val="tab"/>
      <w:lvlText w:val="%2."/>
      <w:lvlJc w:val="left"/>
      <w:pPr>
        <w:pStyle w:val="937"/>
        <w:ind w:left="1770" w:hanging="360"/>
        <w:tabs>
          <w:tab w:val="num" w:pos="1770" w:leader="none"/>
        </w:tabs>
      </w:pPr>
      <w:rPr>
        <w:rFonts w:cs="Times New Roman"/>
      </w:rPr>
    </w:lvl>
    <w:lvl w:ilvl="2">
      <w:start w:val="1"/>
      <w:numFmt w:val="lowerRoman"/>
      <w:isLgl w:val="false"/>
      <w:suff w:val="tab"/>
      <w:lvlText w:val="%3."/>
      <w:lvlJc w:val="right"/>
      <w:pPr>
        <w:pStyle w:val="937"/>
        <w:ind w:left="2250" w:hanging="420"/>
        <w:tabs>
          <w:tab w:val="num" w:pos="2250" w:leader="none"/>
        </w:tabs>
      </w:pPr>
      <w:rPr>
        <w:rFonts w:cs="Times New Roman"/>
      </w:rPr>
    </w:lvl>
    <w:lvl w:ilvl="3">
      <w:start w:val="1"/>
      <w:numFmt w:val="decimal"/>
      <w:isLgl w:val="false"/>
      <w:suff w:val="tab"/>
      <w:lvlText w:val="%4."/>
      <w:lvlJc w:val="left"/>
      <w:pPr>
        <w:pStyle w:val="937"/>
        <w:ind w:left="2670" w:hanging="420"/>
        <w:tabs>
          <w:tab w:val="num" w:pos="2670" w:leader="none"/>
        </w:tabs>
      </w:pPr>
      <w:rPr>
        <w:rFonts w:cs="Times New Roman"/>
      </w:rPr>
    </w:lvl>
    <w:lvl w:ilvl="4">
      <w:start w:val="1"/>
      <w:numFmt w:val="lowerLetter"/>
      <w:isLgl w:val="false"/>
      <w:suff w:val="tab"/>
      <w:lvlText w:val="%5)"/>
      <w:lvlJc w:val="left"/>
      <w:pPr>
        <w:pStyle w:val="937"/>
        <w:ind w:left="3090" w:hanging="420"/>
        <w:tabs>
          <w:tab w:val="num" w:pos="3090" w:leader="none"/>
        </w:tabs>
      </w:pPr>
      <w:rPr>
        <w:rFonts w:cs="Times New Roman"/>
      </w:rPr>
    </w:lvl>
    <w:lvl w:ilvl="5">
      <w:start w:val="1"/>
      <w:numFmt w:val="lowerRoman"/>
      <w:isLgl w:val="false"/>
      <w:suff w:val="tab"/>
      <w:lvlText w:val="%6."/>
      <w:lvlJc w:val="right"/>
      <w:pPr>
        <w:pStyle w:val="937"/>
        <w:ind w:left="3510" w:hanging="420"/>
        <w:tabs>
          <w:tab w:val="num" w:pos="3510" w:leader="none"/>
        </w:tabs>
      </w:pPr>
      <w:rPr>
        <w:rFonts w:cs="Times New Roman"/>
      </w:rPr>
    </w:lvl>
    <w:lvl w:ilvl="6">
      <w:start w:val="1"/>
      <w:numFmt w:val="decimal"/>
      <w:isLgl w:val="false"/>
      <w:suff w:val="tab"/>
      <w:lvlText w:val="%7."/>
      <w:lvlJc w:val="left"/>
      <w:pPr>
        <w:pStyle w:val="937"/>
        <w:ind w:left="3930" w:hanging="420"/>
        <w:tabs>
          <w:tab w:val="num" w:pos="3930" w:leader="none"/>
        </w:tabs>
      </w:pPr>
      <w:rPr>
        <w:rFonts w:cs="Times New Roman"/>
      </w:rPr>
    </w:lvl>
    <w:lvl w:ilvl="7">
      <w:start w:val="1"/>
      <w:numFmt w:val="lowerLetter"/>
      <w:isLgl w:val="false"/>
      <w:suff w:val="tab"/>
      <w:lvlText w:val="%8)"/>
      <w:lvlJc w:val="left"/>
      <w:pPr>
        <w:pStyle w:val="937"/>
        <w:ind w:left="4350" w:hanging="420"/>
        <w:tabs>
          <w:tab w:val="num" w:pos="4350" w:leader="none"/>
        </w:tabs>
      </w:pPr>
      <w:rPr>
        <w:rFonts w:cs="Times New Roman"/>
      </w:rPr>
    </w:lvl>
    <w:lvl w:ilvl="8">
      <w:start w:val="1"/>
      <w:numFmt w:val="lowerRoman"/>
      <w:isLgl w:val="false"/>
      <w:suff w:val="tab"/>
      <w:lvlText w:val="%9."/>
      <w:lvlJc w:val="right"/>
      <w:pPr>
        <w:pStyle w:val="937"/>
        <w:ind w:left="4770" w:hanging="420"/>
        <w:tabs>
          <w:tab w:val="num" w:pos="4770" w:leader="none"/>
        </w:tabs>
      </w:pPr>
      <w:rPr>
        <w:rFonts w:cs="Times New Roman"/>
      </w:rPr>
    </w:lvl>
  </w:abstractNum>
  <w:abstractNum w:abstractNumId="34">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35">
    <w:multiLevelType w:val="hybridMultilevel"/>
    <w:lvl w:ilvl="0">
      <w:start w:val="1"/>
      <w:numFmt w:val="decimal"/>
      <w:isLgl w:val="false"/>
      <w:suff w:val="tab"/>
      <w:lvlText w:val="%1."/>
      <w:lvlJc w:val="left"/>
      <w:pPr>
        <w:pStyle w:val="937"/>
        <w:ind w:left="510" w:hanging="360"/>
        <w:tabs>
          <w:tab w:val="num" w:pos="510" w:leader="none"/>
        </w:tabs>
      </w:pPr>
      <w:rPr>
        <w:rFonts w:hint="eastAsia" w:cs="Times New Roman"/>
      </w:rPr>
    </w:lvl>
    <w:lvl w:ilvl="1">
      <w:start w:val="1"/>
      <w:numFmt w:val="decimal"/>
      <w:isLgl w:val="false"/>
      <w:suff w:val="tab"/>
      <w:lvlText w:val="%2．"/>
      <w:lvlJc w:val="left"/>
      <w:pPr>
        <w:pStyle w:val="937"/>
        <w:ind w:left="1290" w:hanging="720"/>
        <w:tabs>
          <w:tab w:val="num" w:pos="1290" w:leader="none"/>
        </w:tabs>
      </w:pPr>
      <w:rPr>
        <w:rFonts w:hint="eastAsia" w:cs="Times New Roman"/>
      </w:rPr>
    </w:lvl>
    <w:lvl w:ilvl="2">
      <w:start w:val="3"/>
      <w:numFmt w:val="decimal"/>
      <w:isLgl w:val="false"/>
      <w:suff w:val="tab"/>
      <w:lvlText w:val="（%3）"/>
      <w:lvlJc w:val="left"/>
      <w:pPr>
        <w:pStyle w:val="937"/>
        <w:ind w:left="1140" w:hanging="720"/>
        <w:tabs>
          <w:tab w:val="num" w:pos="1140" w:leader="none"/>
        </w:tabs>
      </w:pPr>
      <w:rPr>
        <w:rFonts w:hint="eastAsia" w:cs="Times New Roman"/>
      </w:rPr>
    </w:lvl>
    <w:lvl w:ilvl="3">
      <w:start w:val="1"/>
      <w:numFmt w:val="decimal"/>
      <w:isLgl w:val="false"/>
      <w:suff w:val="tab"/>
      <w:lvlText w:val="（%4）"/>
      <w:lvlJc w:val="left"/>
      <w:pPr>
        <w:pStyle w:val="93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7"/>
        <w:ind w:left="2250" w:hanging="420"/>
        <w:tabs>
          <w:tab w:val="num" w:pos="2250" w:leader="none"/>
        </w:tabs>
      </w:pPr>
      <w:rPr>
        <w:rFonts w:hint="eastAsia"/>
        <w:b/>
        <w:lang w:val="en-US"/>
      </w:rPr>
    </w:lvl>
    <w:lvl w:ilvl="5">
      <w:start w:val="10"/>
      <w:numFmt w:val="japaneseCounting"/>
      <w:isLgl w:val="false"/>
      <w:suff w:val="tab"/>
      <w:lvlText w:val="（%6）"/>
      <w:lvlJc w:val="left"/>
      <w:pPr>
        <w:pStyle w:val="937"/>
        <w:ind w:left="2970" w:hanging="720"/>
      </w:pPr>
      <w:rPr>
        <w:rFonts w:cs="Times New Roman"/>
      </w:rPr>
    </w:lvl>
    <w:lvl w:ilvl="6">
      <w:start w:val="1"/>
      <w:numFmt w:val="decimal"/>
      <w:isLgl w:val="false"/>
      <w:suff w:val="tab"/>
      <w:lvlText w:val="（%7）"/>
      <w:lvlJc w:val="left"/>
      <w:pPr>
        <w:pStyle w:val="93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7"/>
        <w:ind w:left="3510" w:hanging="420"/>
        <w:tabs>
          <w:tab w:val="num" w:pos="3510" w:leader="none"/>
        </w:tabs>
      </w:pPr>
      <w:rPr>
        <w:rFonts w:cs="Times New Roman"/>
      </w:rPr>
    </w:lvl>
    <w:lvl w:ilvl="8">
      <w:start w:val="1"/>
      <w:numFmt w:val="lowerRoman"/>
      <w:isLgl w:val="false"/>
      <w:suff w:val="tab"/>
      <w:lvlText w:val="%9."/>
      <w:lvlJc w:val="right"/>
      <w:pPr>
        <w:pStyle w:val="937"/>
        <w:ind w:left="3930" w:hanging="420"/>
        <w:tabs>
          <w:tab w:val="num" w:pos="3930" w:leader="none"/>
        </w:tabs>
      </w:pPr>
      <w:rPr>
        <w:rFonts w:cs="Times New Roman"/>
      </w:rPr>
    </w:lvl>
  </w:abstractNum>
  <w:abstractNum w:abstractNumId="36">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japaneseCounting"/>
      <w:isLgl w:val="false"/>
      <w:suff w:val="tab"/>
      <w:lvlText w:val="第%1章"/>
      <w:lvlJc w:val="left"/>
      <w:pPr>
        <w:pStyle w:val="93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6"/>
  </w:num>
  <w:num w:numId="3">
    <w:abstractNumId w:val="18"/>
  </w:num>
  <w:num w:numId="4">
    <w:abstractNumId w:val="37"/>
  </w:num>
  <w:num w:numId="5">
    <w:abstractNumId w:val="33"/>
  </w:num>
  <w:num w:numId="6">
    <w:abstractNumId w:val="17"/>
  </w:num>
  <w:num w:numId="7">
    <w:abstractNumId w:val="8"/>
  </w:num>
  <w:num w:numId="8">
    <w:abstractNumId w:val="2"/>
  </w:num>
  <w:num w:numId="9">
    <w:abstractNumId w:val="30"/>
  </w:num>
  <w:num w:numId="10">
    <w:abstractNumId w:val="4"/>
  </w:num>
  <w:num w:numId="11">
    <w:abstractNumId w:val="36"/>
  </w:num>
  <w:num w:numId="12">
    <w:abstractNumId w:val="0"/>
  </w:num>
  <w:num w:numId="13">
    <w:abstractNumId w:val="31"/>
  </w:num>
  <w:num w:numId="14">
    <w:abstractNumId w:val="14"/>
  </w:num>
  <w:num w:numId="15">
    <w:abstractNumId w:val="26"/>
  </w:num>
  <w:num w:numId="16">
    <w:abstractNumId w:val="9"/>
  </w:num>
  <w:num w:numId="17">
    <w:abstractNumId w:val="12"/>
  </w:num>
  <w:num w:numId="18">
    <w:abstractNumId w:val="16"/>
  </w:num>
  <w:num w:numId="19">
    <w:abstractNumId w:val="35"/>
  </w:num>
  <w:num w:numId="20">
    <w:abstractNumId w:val="25"/>
  </w:num>
  <w:num w:numId="21">
    <w:abstractNumId w:val="34"/>
  </w:num>
  <w:num w:numId="22">
    <w:abstractNumId w:val="32"/>
  </w:num>
  <w:num w:numId="23">
    <w:abstractNumId w:val="11"/>
  </w:num>
  <w:num w:numId="24">
    <w:abstractNumId w:val="5"/>
  </w:num>
  <w:num w:numId="25">
    <w:abstractNumId w:val="19"/>
  </w:num>
  <w:num w:numId="26">
    <w:abstractNumId w:val="27"/>
  </w:num>
  <w:num w:numId="27">
    <w:abstractNumId w:val="20"/>
  </w:num>
  <w:num w:numId="28">
    <w:abstractNumId w:val="15"/>
  </w:num>
  <w:num w:numId="29">
    <w:abstractNumId w:val="22"/>
  </w:num>
  <w:num w:numId="30">
    <w:abstractNumId w:val="10"/>
  </w:num>
  <w:num w:numId="31">
    <w:abstractNumId w:val="21"/>
  </w:num>
  <w:num w:numId="32">
    <w:abstractNumId w:val="7"/>
  </w:num>
  <w:num w:numId="33">
    <w:abstractNumId w:val="3"/>
  </w:num>
  <w:num w:numId="34">
    <w:abstractNumId w:val="24"/>
  </w:num>
  <w:num w:numId="35">
    <w:abstractNumId w:val="23"/>
  </w:num>
  <w:num w:numId="36">
    <w:abstractNumId w:val="1"/>
  </w:num>
  <w:num w:numId="37">
    <w:abstractNumId w:val="29"/>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rFonts w:ascii="Times New Roman" w:hAnsi="Times New Roman"/>
      <w:sz w:val="21"/>
      <w:szCs w:val="21"/>
      <w:lang w:val="en-US" w:eastAsia="zh-CN" w:bidi="ar-SA"/>
    </w:rPr>
  </w:style>
  <w:style w:type="paragraph" w:styleId="938">
    <w:name w:val="标题 1"/>
    <w:basedOn w:val="937"/>
    <w:next w:val="937"/>
    <w:link w:val="950"/>
    <w:qFormat/>
    <w:pPr>
      <w:jc w:val="center"/>
      <w:keepNext/>
      <w:outlineLvl w:val="0"/>
    </w:pPr>
    <w:rPr>
      <w:rFonts w:ascii="楷体_GB2312" w:eastAsia="楷体_GB2312"/>
      <w:sz w:val="28"/>
      <w:szCs w:val="28"/>
      <w:lang w:val="en-US" w:eastAsia="en-US"/>
    </w:rPr>
  </w:style>
  <w:style w:type="paragraph" w:styleId="939">
    <w:name w:val="标题 2"/>
    <w:basedOn w:val="937"/>
    <w:next w:val="952"/>
    <w:link w:val="95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40">
    <w:name w:val="标题 3"/>
    <w:basedOn w:val="937"/>
    <w:next w:val="952"/>
    <w:link w:val="954"/>
    <w:qFormat/>
    <w:pPr>
      <w:keepLines/>
      <w:keepNext/>
      <w:spacing w:before="260" w:after="260" w:line="416" w:lineRule="auto"/>
      <w:outlineLvl w:val="2"/>
    </w:pPr>
    <w:rPr>
      <w:b/>
      <w:bCs/>
      <w:sz w:val="32"/>
      <w:szCs w:val="32"/>
      <w:lang w:val="en-US" w:eastAsia="en-US"/>
    </w:rPr>
  </w:style>
  <w:style w:type="paragraph" w:styleId="941">
    <w:name w:val="标题 4"/>
    <w:basedOn w:val="937"/>
    <w:next w:val="952"/>
    <w:link w:val="955"/>
    <w:qFormat/>
    <w:pPr>
      <w:keepLines/>
      <w:keepNext/>
      <w:spacing w:before="280" w:after="290" w:line="376" w:lineRule="auto"/>
      <w:outlineLvl w:val="3"/>
    </w:pPr>
    <w:rPr>
      <w:rFonts w:ascii="Arial" w:hAnsi="Arial" w:eastAsia="黑体"/>
      <w:b/>
      <w:bCs/>
      <w:sz w:val="28"/>
      <w:szCs w:val="28"/>
      <w:lang w:val="en-US" w:eastAsia="en-US"/>
    </w:rPr>
  </w:style>
  <w:style w:type="paragraph" w:styleId="942">
    <w:name w:val="标题 5"/>
    <w:basedOn w:val="937"/>
    <w:next w:val="952"/>
    <w:link w:val="956"/>
    <w:qFormat/>
    <w:pPr>
      <w:keepNext/>
      <w:outlineLvl w:val="4"/>
    </w:pPr>
    <w:rPr>
      <w:rFonts w:ascii="宋体"/>
      <w:color w:val="000000"/>
      <w:sz w:val="28"/>
      <w:szCs w:val="28"/>
      <w:lang w:val="en-US" w:eastAsia="en-US"/>
    </w:rPr>
  </w:style>
  <w:style w:type="paragraph" w:styleId="943">
    <w:name w:val="标题 6"/>
    <w:basedOn w:val="937"/>
    <w:next w:val="937"/>
    <w:link w:val="95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44">
    <w:name w:val="标题 7"/>
    <w:basedOn w:val="937"/>
    <w:next w:val="937"/>
    <w:link w:val="958"/>
    <w:qFormat/>
    <w:pPr>
      <w:numPr>
        <w:ilvl w:val="6"/>
        <w:numId w:val="1"/>
      </w:numPr>
      <w:keepLines/>
      <w:keepNext/>
      <w:spacing w:before="240" w:after="64" w:line="320" w:lineRule="auto"/>
      <w:outlineLvl w:val="6"/>
    </w:pPr>
    <w:rPr>
      <w:b/>
      <w:bCs/>
      <w:sz w:val="24"/>
      <w:szCs w:val="24"/>
      <w:lang w:val="en-US" w:eastAsia="en-US"/>
    </w:rPr>
  </w:style>
  <w:style w:type="paragraph" w:styleId="945">
    <w:name w:val="标题 8"/>
    <w:basedOn w:val="937"/>
    <w:next w:val="937"/>
    <w:link w:val="95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46">
    <w:name w:val="标题 9"/>
    <w:basedOn w:val="937"/>
    <w:next w:val="937"/>
    <w:link w:val="96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47">
    <w:name w:val="默认段落字体"/>
    <w:next w:val="947"/>
    <w:link w:val="937"/>
    <w:uiPriority w:val="1"/>
    <w:unhideWhenUsed/>
  </w:style>
  <w:style w:type="table" w:styleId="948">
    <w:name w:val="普通表格"/>
    <w:next w:val="948"/>
    <w:link w:val="937"/>
    <w:uiPriority w:val="99"/>
    <w:unhideWhenUsed/>
    <w:tblPr/>
  </w:style>
  <w:style w:type="numbering" w:styleId="949">
    <w:name w:val="无列表"/>
    <w:next w:val="949"/>
    <w:link w:val="937"/>
    <w:uiPriority w:val="99"/>
    <w:semiHidden/>
    <w:unhideWhenUsed/>
  </w:style>
  <w:style w:type="character" w:styleId="950">
    <w:name w:val="标题 1 Char"/>
    <w:next w:val="950"/>
    <w:link w:val="938"/>
    <w:rPr>
      <w:rFonts w:ascii="楷体_GB2312" w:hAnsi="Times New Roman" w:eastAsia="楷体_GB2312" w:cs="Times New Roman"/>
      <w:sz w:val="28"/>
      <w:szCs w:val="28"/>
    </w:rPr>
  </w:style>
  <w:style w:type="character" w:styleId="951">
    <w:name w:val="标题 2 Char"/>
    <w:next w:val="951"/>
    <w:link w:val="939"/>
    <w:rPr>
      <w:rFonts w:ascii="Arial" w:hAnsi="Arial" w:eastAsia="幼圆" w:cs="Arial"/>
      <w:b/>
      <w:bCs/>
      <w:sz w:val="44"/>
      <w:szCs w:val="44"/>
    </w:rPr>
  </w:style>
  <w:style w:type="paragraph" w:styleId="952">
    <w:name w:val="正文缩进"/>
    <w:basedOn w:val="937"/>
    <w:next w:val="952"/>
    <w:link w:val="953"/>
    <w:pPr>
      <w:ind w:firstLine="420"/>
    </w:pPr>
    <w:rPr>
      <w:sz w:val="20"/>
      <w:lang w:val="en-US" w:eastAsia="en-US"/>
    </w:rPr>
  </w:style>
  <w:style w:type="character" w:styleId="953">
    <w:name w:val="正文缩进 Char"/>
    <w:next w:val="953"/>
    <w:link w:val="952"/>
    <w:rPr>
      <w:rFonts w:ascii="Times New Roman" w:hAnsi="Times New Roman" w:eastAsia="宋体" w:cs="Times New Roman"/>
      <w:szCs w:val="21"/>
    </w:rPr>
  </w:style>
  <w:style w:type="character" w:styleId="954">
    <w:name w:val="标题 3 Char"/>
    <w:next w:val="954"/>
    <w:link w:val="940"/>
    <w:rPr>
      <w:rFonts w:ascii="Times New Roman" w:hAnsi="Times New Roman" w:eastAsia="宋体" w:cs="Times New Roman"/>
      <w:b/>
      <w:bCs/>
      <w:sz w:val="32"/>
      <w:szCs w:val="32"/>
    </w:rPr>
  </w:style>
  <w:style w:type="character" w:styleId="955">
    <w:name w:val="标题 4 Char"/>
    <w:next w:val="955"/>
    <w:link w:val="941"/>
    <w:rPr>
      <w:rFonts w:ascii="Arial" w:hAnsi="Arial" w:eastAsia="黑体" w:cs="Arial"/>
      <w:b/>
      <w:bCs/>
      <w:sz w:val="28"/>
      <w:szCs w:val="28"/>
    </w:rPr>
  </w:style>
  <w:style w:type="character" w:styleId="956">
    <w:name w:val="标题 5 Char"/>
    <w:next w:val="956"/>
    <w:link w:val="942"/>
    <w:rPr>
      <w:rFonts w:ascii="宋体" w:hAnsi="Times New Roman" w:eastAsia="宋体" w:cs="Times New Roman"/>
      <w:color w:val="000000"/>
      <w:sz w:val="28"/>
      <w:szCs w:val="28"/>
    </w:rPr>
  </w:style>
  <w:style w:type="character" w:styleId="957">
    <w:name w:val="标题 6 Char"/>
    <w:next w:val="957"/>
    <w:link w:val="943"/>
    <w:rPr>
      <w:rFonts w:ascii="Arial" w:hAnsi="Arial" w:eastAsia="黑体" w:cs="Times New Roman"/>
      <w:b/>
      <w:bCs/>
      <w:sz w:val="24"/>
      <w:szCs w:val="24"/>
    </w:rPr>
  </w:style>
  <w:style w:type="character" w:styleId="958">
    <w:name w:val="标题 7 Char"/>
    <w:next w:val="958"/>
    <w:link w:val="944"/>
    <w:rPr>
      <w:rFonts w:ascii="Times New Roman" w:hAnsi="Times New Roman" w:eastAsia="宋体" w:cs="Times New Roman"/>
      <w:b/>
      <w:bCs/>
      <w:sz w:val="24"/>
      <w:szCs w:val="24"/>
    </w:rPr>
  </w:style>
  <w:style w:type="character" w:styleId="959">
    <w:name w:val="标题 8 Char"/>
    <w:next w:val="959"/>
    <w:link w:val="945"/>
    <w:rPr>
      <w:rFonts w:ascii="Arial" w:hAnsi="Arial" w:eastAsia="黑体" w:cs="Times New Roman"/>
      <w:sz w:val="24"/>
      <w:szCs w:val="24"/>
    </w:rPr>
  </w:style>
  <w:style w:type="character" w:styleId="960">
    <w:name w:val="标题 9 Char"/>
    <w:next w:val="960"/>
    <w:link w:val="946"/>
    <w:rPr>
      <w:rFonts w:ascii="Arial" w:hAnsi="Arial" w:eastAsia="黑体" w:cs="Times New Roman"/>
      <w:szCs w:val="21"/>
    </w:rPr>
  </w:style>
  <w:style w:type="paragraph" w:styleId="961">
    <w:name w:val="列表 3"/>
    <w:basedOn w:val="937"/>
    <w:next w:val="961"/>
    <w:link w:val="937"/>
    <w:pPr>
      <w:ind w:left="100" w:hanging="200"/>
    </w:pPr>
  </w:style>
  <w:style w:type="paragraph" w:styleId="962">
    <w:name w:val="目录 7"/>
    <w:basedOn w:val="937"/>
    <w:next w:val="937"/>
    <w:link w:val="937"/>
    <w:semiHidden/>
    <w:pPr>
      <w:ind w:left="1260"/>
      <w:jc w:val="left"/>
    </w:pPr>
  </w:style>
  <w:style w:type="paragraph" w:styleId="963">
    <w:name w:val="文档结构图"/>
    <w:basedOn w:val="937"/>
    <w:next w:val="963"/>
    <w:link w:val="964"/>
    <w:semiHidden/>
    <w:pPr>
      <w:shd w:val="clear" w:color="auto" w:fill="000080"/>
    </w:pPr>
    <w:rPr>
      <w:sz w:val="20"/>
      <w:lang w:val="en-US" w:eastAsia="en-US"/>
    </w:rPr>
  </w:style>
  <w:style w:type="character" w:styleId="964">
    <w:name w:val="文档结构图 Char"/>
    <w:next w:val="964"/>
    <w:link w:val="963"/>
    <w:semiHidden/>
    <w:rPr>
      <w:rFonts w:ascii="Times New Roman" w:hAnsi="Times New Roman" w:eastAsia="宋体" w:cs="Times New Roman"/>
      <w:szCs w:val="21"/>
      <w:shd w:val="clear" w:color="auto" w:fill="000080"/>
    </w:rPr>
  </w:style>
  <w:style w:type="paragraph" w:styleId="965">
    <w:name w:val="批注文字"/>
    <w:basedOn w:val="937"/>
    <w:next w:val="965"/>
    <w:link w:val="966"/>
    <w:semiHidden/>
    <w:pPr>
      <w:jc w:val="left"/>
    </w:pPr>
    <w:rPr>
      <w:sz w:val="20"/>
      <w:lang w:val="en-US" w:eastAsia="en-US"/>
    </w:rPr>
  </w:style>
  <w:style w:type="character" w:styleId="966">
    <w:name w:val="批注文字 Char"/>
    <w:next w:val="966"/>
    <w:link w:val="965"/>
    <w:semiHidden/>
    <w:rPr>
      <w:rFonts w:ascii="Times New Roman" w:hAnsi="Times New Roman" w:eastAsia="宋体" w:cs="Times New Roman"/>
      <w:szCs w:val="21"/>
    </w:rPr>
  </w:style>
  <w:style w:type="paragraph" w:styleId="967">
    <w:name w:val="正文文本 3"/>
    <w:basedOn w:val="937"/>
    <w:next w:val="967"/>
    <w:link w:val="968"/>
    <w:rPr>
      <w:rFonts w:ascii="仿宋_GB2312" w:hAnsi="Arial" w:eastAsia="仿宋_GB2312"/>
      <w:sz w:val="32"/>
      <w:szCs w:val="32"/>
      <w:lang w:val="en-US" w:eastAsia="en-US"/>
    </w:rPr>
  </w:style>
  <w:style w:type="character" w:styleId="968">
    <w:name w:val="正文文本 3 Char"/>
    <w:next w:val="968"/>
    <w:link w:val="967"/>
    <w:rPr>
      <w:rFonts w:ascii="仿宋_GB2312" w:hAnsi="Arial" w:eastAsia="仿宋_GB2312" w:cs="Times New Roman"/>
      <w:sz w:val="32"/>
      <w:szCs w:val="32"/>
    </w:rPr>
  </w:style>
  <w:style w:type="paragraph" w:styleId="969">
    <w:name w:val="正文文本"/>
    <w:basedOn w:val="937"/>
    <w:next w:val="969"/>
    <w:link w:val="970"/>
    <w:rPr>
      <w:rFonts w:ascii="楷体_GB2312" w:hAnsi="Arial" w:eastAsia="楷体_GB2312"/>
      <w:sz w:val="28"/>
      <w:szCs w:val="28"/>
      <w:lang w:val="en-US" w:eastAsia="en-US"/>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
    <w:basedOn w:val="937"/>
    <w:next w:val="971"/>
    <w:link w:val="972"/>
    <w:pPr>
      <w:ind w:firstLine="645"/>
    </w:pPr>
    <w:rPr>
      <w:rFonts w:ascii="楷体_GB2312" w:eastAsia="楷体_GB2312"/>
      <w:sz w:val="32"/>
      <w:szCs w:val="32"/>
      <w:lang w:val="en-US" w:eastAsia="en-US"/>
    </w:rPr>
  </w:style>
  <w:style w:type="character" w:styleId="972">
    <w:name w:val="正文文本缩进 Char"/>
    <w:next w:val="972"/>
    <w:link w:val="971"/>
    <w:rPr>
      <w:rFonts w:ascii="楷体_GB2312" w:hAnsi="Times New Roman" w:eastAsia="楷体_GB2312" w:cs="Times New Roman"/>
      <w:sz w:val="32"/>
      <w:szCs w:val="32"/>
    </w:rPr>
  </w:style>
  <w:style w:type="paragraph" w:styleId="973">
    <w:name w:val="列表 2"/>
    <w:basedOn w:val="937"/>
    <w:next w:val="973"/>
    <w:link w:val="937"/>
    <w:pPr>
      <w:ind w:left="100" w:hanging="200"/>
    </w:pPr>
  </w:style>
  <w:style w:type="paragraph" w:styleId="974">
    <w:name w:val="目录 5"/>
    <w:basedOn w:val="937"/>
    <w:next w:val="937"/>
    <w:link w:val="937"/>
    <w:semiHidden/>
    <w:pPr>
      <w:ind w:left="840"/>
      <w:jc w:val="left"/>
    </w:pPr>
  </w:style>
  <w:style w:type="paragraph" w:styleId="975">
    <w:name w:val="目录 3"/>
    <w:basedOn w:val="937"/>
    <w:next w:val="937"/>
    <w:link w:val="937"/>
    <w:semiHidden/>
    <w:pPr>
      <w:ind w:left="420"/>
      <w:jc w:val="left"/>
    </w:pPr>
    <w:rPr>
      <w:i/>
      <w:iCs/>
      <w:szCs w:val="24"/>
    </w:rPr>
  </w:style>
  <w:style w:type="paragraph" w:styleId="976">
    <w:name w:val="纯文本"/>
    <w:basedOn w:val="937"/>
    <w:next w:val="976"/>
    <w:link w:val="977"/>
    <w:rPr>
      <w:rFonts w:ascii="宋体" w:hAnsi="Courier New"/>
      <w:sz w:val="20"/>
      <w:lang w:val="en-US" w:eastAsia="en-US"/>
    </w:rPr>
  </w:style>
  <w:style w:type="character" w:styleId="977">
    <w:name w:val="纯文本 Char"/>
    <w:next w:val="977"/>
    <w:link w:val="976"/>
    <w:rPr>
      <w:rFonts w:ascii="宋体" w:hAnsi="Courier New" w:eastAsia="宋体" w:cs="Courier New"/>
      <w:szCs w:val="21"/>
    </w:rPr>
  </w:style>
  <w:style w:type="paragraph" w:styleId="978">
    <w:name w:val="目录 8"/>
    <w:basedOn w:val="937"/>
    <w:next w:val="937"/>
    <w:link w:val="937"/>
    <w:semiHidden/>
    <w:pPr>
      <w:ind w:left="1470"/>
      <w:jc w:val="left"/>
    </w:pPr>
  </w:style>
  <w:style w:type="paragraph" w:styleId="979">
    <w:name w:val="日期"/>
    <w:basedOn w:val="937"/>
    <w:next w:val="937"/>
    <w:link w:val="980"/>
    <w:rPr>
      <w:sz w:val="24"/>
      <w:szCs w:val="24"/>
      <w:lang w:val="en-US" w:eastAsia="en-US"/>
    </w:rPr>
  </w:style>
  <w:style w:type="character" w:styleId="980">
    <w:name w:val="日期 Char"/>
    <w:next w:val="980"/>
    <w:link w:val="979"/>
    <w:rPr>
      <w:rFonts w:ascii="Times New Roman" w:hAnsi="Times New Roman" w:eastAsia="宋体" w:cs="Times New Roman"/>
      <w:sz w:val="24"/>
      <w:szCs w:val="24"/>
    </w:rPr>
  </w:style>
  <w:style w:type="paragraph" w:styleId="981">
    <w:name w:val="正文文本缩进 2"/>
    <w:basedOn w:val="937"/>
    <w:next w:val="981"/>
    <w:link w:val="982"/>
    <w:pPr>
      <w:ind w:left="630" w:firstLine="645"/>
    </w:pPr>
    <w:rPr>
      <w:rFonts w:ascii="Arial" w:hAnsi="Arial" w:eastAsia="仿宋_GB2312"/>
      <w:sz w:val="32"/>
      <w:szCs w:val="32"/>
      <w:lang w:val="en-US" w:eastAsia="en-US"/>
    </w:rPr>
  </w:style>
  <w:style w:type="character" w:styleId="982">
    <w:name w:val="正文文本缩进 2 Char"/>
    <w:next w:val="982"/>
    <w:link w:val="981"/>
    <w:rPr>
      <w:rFonts w:ascii="Arial" w:hAnsi="Arial" w:eastAsia="仿宋_GB2312" w:cs="Arial"/>
      <w:sz w:val="32"/>
      <w:szCs w:val="32"/>
    </w:rPr>
  </w:style>
  <w:style w:type="paragraph" w:styleId="983">
    <w:name w:val="批注框文本"/>
    <w:basedOn w:val="937"/>
    <w:next w:val="983"/>
    <w:link w:val="984"/>
    <w:semiHidden/>
    <w:rPr>
      <w:sz w:val="18"/>
      <w:szCs w:val="18"/>
      <w:lang w:val="en-US" w:eastAsia="en-US"/>
    </w:rPr>
  </w:style>
  <w:style w:type="character" w:styleId="984">
    <w:name w:val="批注框文本 Char"/>
    <w:next w:val="984"/>
    <w:link w:val="983"/>
    <w:semiHidden/>
    <w:rPr>
      <w:rFonts w:ascii="Times New Roman" w:hAnsi="Times New Roman" w:eastAsia="宋体" w:cs="Times New Roman"/>
      <w:sz w:val="18"/>
      <w:szCs w:val="18"/>
    </w:rPr>
  </w:style>
  <w:style w:type="paragraph" w:styleId="985">
    <w:name w:val="页脚"/>
    <w:basedOn w:val="937"/>
    <w:next w:val="985"/>
    <w:link w:val="986"/>
    <w:pPr>
      <w:jc w:val="left"/>
      <w:tabs>
        <w:tab w:val="center" w:pos="4153" w:leader="none"/>
        <w:tab w:val="right" w:pos="8306" w:leader="none"/>
      </w:tabs>
    </w:pPr>
    <w:rPr>
      <w:sz w:val="18"/>
      <w:szCs w:val="18"/>
      <w:lang w:val="en-US" w:eastAsia="en-US"/>
    </w:rPr>
  </w:style>
  <w:style w:type="character" w:styleId="986">
    <w:name w:val="页脚 Char"/>
    <w:next w:val="986"/>
    <w:link w:val="985"/>
    <w:rPr>
      <w:rFonts w:ascii="Times New Roman" w:hAnsi="Times New Roman" w:eastAsia="宋体" w:cs="Times New Roman"/>
      <w:sz w:val="18"/>
      <w:szCs w:val="18"/>
    </w:rPr>
  </w:style>
  <w:style w:type="paragraph" w:styleId="987">
    <w:name w:val="页眉"/>
    <w:basedOn w:val="937"/>
    <w:next w:val="987"/>
    <w:link w:val="98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88">
    <w:name w:val="页眉 Char"/>
    <w:next w:val="988"/>
    <w:link w:val="987"/>
    <w:uiPriority w:val="99"/>
    <w:qFormat/>
    <w:rPr>
      <w:rFonts w:ascii="Times New Roman" w:hAnsi="Times New Roman" w:eastAsia="宋体" w:cs="Times New Roman"/>
      <w:sz w:val="18"/>
      <w:szCs w:val="18"/>
    </w:rPr>
  </w:style>
  <w:style w:type="paragraph" w:styleId="989">
    <w:name w:val="目录 1"/>
    <w:basedOn w:val="937"/>
    <w:next w:val="937"/>
    <w:link w:val="937"/>
    <w:semiHidden/>
    <w:pPr>
      <w:jc w:val="left"/>
      <w:spacing w:before="120" w:after="120" w:line="400" w:lineRule="exact"/>
      <w:tabs>
        <w:tab w:val="right" w:pos="8720" w:leader="dot"/>
      </w:tabs>
    </w:pPr>
    <w:rPr>
      <w:rFonts w:ascii="宋体" w:hAnsi="宋体"/>
      <w:caps/>
      <w:sz w:val="24"/>
      <w:szCs w:val="24"/>
    </w:rPr>
  </w:style>
  <w:style w:type="paragraph" w:styleId="990">
    <w:name w:val="目录 4"/>
    <w:basedOn w:val="937"/>
    <w:next w:val="937"/>
    <w:link w:val="937"/>
    <w:semiHidden/>
    <w:pPr>
      <w:ind w:left="630"/>
      <w:jc w:val="left"/>
    </w:pPr>
  </w:style>
  <w:style w:type="paragraph" w:styleId="991">
    <w:name w:val="列表"/>
    <w:basedOn w:val="937"/>
    <w:next w:val="991"/>
    <w:link w:val="937"/>
    <w:pPr>
      <w:ind w:left="200" w:hanging="200"/>
    </w:pPr>
  </w:style>
  <w:style w:type="paragraph" w:styleId="992">
    <w:name w:val="目录 6"/>
    <w:basedOn w:val="937"/>
    <w:next w:val="937"/>
    <w:link w:val="937"/>
    <w:semiHidden/>
    <w:pPr>
      <w:ind w:left="1050"/>
      <w:jc w:val="left"/>
    </w:pPr>
  </w:style>
  <w:style w:type="paragraph" w:styleId="993">
    <w:name w:val="正文文本缩进 3"/>
    <w:basedOn w:val="937"/>
    <w:next w:val="993"/>
    <w:link w:val="994"/>
    <w:pPr>
      <w:ind w:left="645" w:firstLine="645"/>
    </w:pPr>
    <w:rPr>
      <w:rFonts w:ascii="Arial" w:hAnsi="Arial" w:eastAsia="仿宋_GB2312"/>
      <w:color w:val="ffff00"/>
      <w:sz w:val="32"/>
      <w:szCs w:val="32"/>
      <w:lang w:val="en-US" w:eastAsia="en-US"/>
    </w:rPr>
  </w:style>
  <w:style w:type="character" w:styleId="994">
    <w:name w:val="正文文本缩进 3 Char"/>
    <w:next w:val="994"/>
    <w:link w:val="993"/>
    <w:rPr>
      <w:rFonts w:ascii="Arial" w:hAnsi="Arial" w:eastAsia="仿宋_GB2312" w:cs="Arial"/>
      <w:color w:val="ffff00"/>
      <w:sz w:val="32"/>
      <w:szCs w:val="32"/>
    </w:rPr>
  </w:style>
  <w:style w:type="paragraph" w:styleId="995">
    <w:name w:val="图表目录"/>
    <w:basedOn w:val="937"/>
    <w:next w:val="937"/>
    <w:link w:val="937"/>
    <w:semiHidden/>
    <w:pPr>
      <w:ind w:left="840" w:hanging="420"/>
    </w:pPr>
  </w:style>
  <w:style w:type="paragraph" w:styleId="996">
    <w:name w:val="目录 2"/>
    <w:basedOn w:val="937"/>
    <w:next w:val="937"/>
    <w:link w:val="937"/>
    <w:semiHidden/>
    <w:pPr>
      <w:ind w:left="210"/>
      <w:jc w:val="left"/>
    </w:pPr>
    <w:rPr>
      <w:smallCaps/>
      <w:szCs w:val="24"/>
    </w:rPr>
  </w:style>
  <w:style w:type="paragraph" w:styleId="997">
    <w:name w:val="目录 9"/>
    <w:basedOn w:val="937"/>
    <w:next w:val="937"/>
    <w:link w:val="937"/>
    <w:semiHidden/>
    <w:pPr>
      <w:ind w:left="1680"/>
      <w:jc w:val="left"/>
    </w:pPr>
  </w:style>
  <w:style w:type="paragraph" w:styleId="998">
    <w:name w:val="正文文本 2"/>
    <w:basedOn w:val="937"/>
    <w:next w:val="998"/>
    <w:link w:val="999"/>
    <w:pPr>
      <w:jc w:val="center"/>
      <w:widowControl/>
    </w:pPr>
    <w:rPr>
      <w:rFonts w:ascii="楷体_GB2312" w:eastAsia="楷体_GB2312"/>
      <w:sz w:val="28"/>
      <w:szCs w:val="28"/>
      <w:lang w:val="en-US" w:eastAsia="en-US"/>
    </w:rPr>
  </w:style>
  <w:style w:type="character" w:styleId="999">
    <w:name w:val="正文文本 2 Char"/>
    <w:next w:val="999"/>
    <w:link w:val="998"/>
    <w:rPr>
      <w:rFonts w:ascii="楷体_GB2312" w:hAnsi="Times New Roman" w:eastAsia="楷体_GB2312" w:cs="Times New Roman"/>
      <w:sz w:val="28"/>
      <w:szCs w:val="28"/>
    </w:rPr>
  </w:style>
  <w:style w:type="paragraph" w:styleId="1000">
    <w:name w:val="普通(网站)"/>
    <w:basedOn w:val="937"/>
    <w:next w:val="1000"/>
    <w:link w:val="937"/>
    <w:uiPriority w:val="99"/>
    <w:pPr>
      <w:jc w:val="left"/>
      <w:spacing w:before="100" w:beforeAutospacing="1" w:after="100" w:afterAutospacing="1"/>
      <w:widowControl/>
    </w:pPr>
    <w:rPr>
      <w:rFonts w:ascii="宋体" w:hAnsi="宋体" w:cs="宋体"/>
      <w:sz w:val="24"/>
      <w:szCs w:val="24"/>
    </w:rPr>
  </w:style>
  <w:style w:type="paragraph" w:styleId="1001">
    <w:name w:val="索引 1"/>
    <w:basedOn w:val="937"/>
    <w:next w:val="937"/>
    <w:link w:val="937"/>
    <w:semiHidden/>
    <w:pPr>
      <w:spacing w:line="240" w:lineRule="atLeast"/>
    </w:pPr>
    <w:rPr>
      <w:b/>
      <w:bCs/>
    </w:rPr>
  </w:style>
  <w:style w:type="paragraph" w:styleId="1002">
    <w:name w:val="批注主题"/>
    <w:basedOn w:val="965"/>
    <w:next w:val="965"/>
    <w:link w:val="1003"/>
    <w:semiHidden/>
    <w:rPr>
      <w:b/>
      <w:bCs/>
    </w:rPr>
  </w:style>
  <w:style w:type="character" w:styleId="1003">
    <w:name w:val="批注主题 Char"/>
    <w:next w:val="1003"/>
    <w:link w:val="1002"/>
    <w:semiHidden/>
    <w:rPr>
      <w:rFonts w:ascii="Times New Roman" w:hAnsi="Times New Roman" w:eastAsia="宋体" w:cs="Times New Roman"/>
      <w:b/>
      <w:bCs/>
      <w:szCs w:val="21"/>
    </w:rPr>
  </w:style>
  <w:style w:type="paragraph" w:styleId="1004">
    <w:name w:val="正文首行缩进"/>
    <w:basedOn w:val="937"/>
    <w:next w:val="1004"/>
    <w:link w:val="1005"/>
    <w:pPr>
      <w:ind w:firstLine="200"/>
      <w:spacing w:line="360" w:lineRule="auto"/>
    </w:pPr>
    <w:rPr>
      <w:rFonts w:ascii="仿宋_GB2312" w:eastAsia="仿宋_GB2312"/>
      <w:sz w:val="30"/>
      <w:szCs w:val="30"/>
      <w:lang w:val="en-US" w:eastAsia="en-US"/>
    </w:rPr>
  </w:style>
  <w:style w:type="character" w:styleId="1005">
    <w:name w:val="正文首行缩进 Char"/>
    <w:next w:val="1005"/>
    <w:link w:val="1004"/>
    <w:rPr>
      <w:rFonts w:ascii="仿宋_GB2312" w:hAnsi="Times New Roman" w:eastAsia="仿宋_GB2312" w:cs="Times New Roman"/>
      <w:sz w:val="30"/>
      <w:szCs w:val="30"/>
    </w:rPr>
  </w:style>
  <w:style w:type="paragraph" w:styleId="1006">
    <w:name w:val="正文首行缩进 2"/>
    <w:basedOn w:val="971"/>
    <w:next w:val="1006"/>
    <w:link w:val="1007"/>
    <w:pPr>
      <w:ind w:firstLine="420"/>
      <w:spacing w:line="360" w:lineRule="auto"/>
    </w:pPr>
    <w:rPr>
      <w:rFonts w:ascii="宋体" w:hAnsi="宋体" w:eastAsia="宋体"/>
      <w:szCs w:val="20"/>
    </w:rPr>
  </w:style>
  <w:style w:type="character" w:styleId="1007">
    <w:name w:val="正文首行缩进 2 Char"/>
    <w:next w:val="1007"/>
    <w:link w:val="1006"/>
    <w:rPr>
      <w:rFonts w:ascii="宋体" w:hAnsi="宋体" w:eastAsia="宋体" w:cs="Times New Roman"/>
      <w:sz w:val="32"/>
      <w:szCs w:val="20"/>
    </w:rPr>
  </w:style>
  <w:style w:type="table" w:styleId="1008">
    <w:name w:val="网格型"/>
    <w:basedOn w:val="948"/>
    <w:next w:val="1008"/>
    <w:link w:val="937"/>
    <w:pPr>
      <w:jc w:val="both"/>
      <w:widowControl w:val="off"/>
    </w:pPr>
    <w:rPr>
      <w:rFonts w:ascii="Times New Roman" w:hAnsi="Times New Roman" w:eastAsia="宋体" w:cs="Times New Roman"/>
      <w:sz w:val="20"/>
      <w:szCs w:val="20"/>
    </w:rPr>
    <w:tblPr/>
  </w:style>
  <w:style w:type="character" w:styleId="1009">
    <w:name w:val="要点"/>
    <w:next w:val="1009"/>
    <w:link w:val="937"/>
    <w:qFormat/>
    <w:rPr>
      <w:b/>
      <w:bCs/>
    </w:rPr>
  </w:style>
  <w:style w:type="character" w:styleId="1010">
    <w:name w:val="页码"/>
    <w:next w:val="1010"/>
    <w:link w:val="937"/>
  </w:style>
  <w:style w:type="character" w:styleId="1011">
    <w:name w:val="已访问的超链接"/>
    <w:next w:val="1011"/>
    <w:link w:val="937"/>
    <w:rPr>
      <w:color w:val="800080"/>
      <w:u w:val="single"/>
    </w:rPr>
  </w:style>
  <w:style w:type="character" w:styleId="1012">
    <w:name w:val="HTML 打字机"/>
    <w:next w:val="1012"/>
    <w:link w:val="937"/>
    <w:uiPriority w:val="99"/>
    <w:rPr>
      <w:rFonts w:ascii="宋体" w:hAnsi="宋体" w:eastAsia="宋体" w:cs="宋体"/>
      <w:sz w:val="24"/>
      <w:szCs w:val="24"/>
    </w:rPr>
  </w:style>
  <w:style w:type="character" w:styleId="1013">
    <w:name w:val="超链接"/>
    <w:next w:val="1013"/>
    <w:link w:val="937"/>
    <w:rPr>
      <w:color w:val="0000ff"/>
      <w:u w:val="single"/>
    </w:rPr>
  </w:style>
  <w:style w:type="character" w:styleId="1014">
    <w:name w:val="批注引用"/>
    <w:next w:val="1014"/>
    <w:link w:val="937"/>
    <w:semiHidden/>
    <w:rPr>
      <w:sz w:val="21"/>
      <w:szCs w:val="21"/>
    </w:rPr>
  </w:style>
  <w:style w:type="character" w:styleId="1015">
    <w:name w:val="font5 Char"/>
    <w:next w:val="1015"/>
    <w:link w:val="937"/>
    <w:rPr>
      <w:rFonts w:ascii="宋体" w:hAnsi="宋体" w:eastAsia="宋体"/>
      <w:sz w:val="28"/>
      <w:szCs w:val="28"/>
      <w:lang w:val="en-US" w:eastAsia="zh-CN" w:bidi="ar-SA"/>
    </w:rPr>
  </w:style>
  <w:style w:type="character" w:styleId="1016">
    <w:name w:val="二级目录 Char"/>
    <w:next w:val="1016"/>
    <w:link w:val="1017"/>
    <w:rPr>
      <w:b/>
      <w:sz w:val="30"/>
      <w:szCs w:val="28"/>
      <w:lang w:val="en-US" w:eastAsia="zh-CN" w:bidi="ar-SA"/>
    </w:rPr>
  </w:style>
  <w:style w:type="paragraph" w:styleId="1017">
    <w:name w:val="二级目录"/>
    <w:next w:val="937"/>
    <w:link w:val="1016"/>
    <w:pPr>
      <w:numPr>
        <w:ilvl w:val="0"/>
        <w:numId w:val="2"/>
      </w:numPr>
      <w:tabs>
        <w:tab w:val="left" w:pos="907" w:leader="none"/>
        <w:tab w:val="left" w:pos="1145" w:leader="none"/>
      </w:tabs>
      <w:outlineLvl w:val="1"/>
    </w:pPr>
    <w:rPr>
      <w:b/>
      <w:sz w:val="30"/>
      <w:szCs w:val="28"/>
      <w:lang w:val="en-US" w:eastAsia="zh-CN" w:bidi="ar-SA"/>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7"/>
    <w:next w:val="1019"/>
    <w:link w:val="1018"/>
    <w:qFormat/>
    <w:pPr>
      <w:contextualSpacing/>
      <w:ind w:left="720"/>
      <w:jc w:val="left"/>
      <w:widowControl/>
    </w:pPr>
    <w:rPr>
      <w:rFonts w:ascii="Calibri" w:hAnsi="Calibri"/>
      <w:sz w:val="24"/>
      <w:szCs w:val="24"/>
      <w:lang w:val="en-US" w:eastAsia="en-US" w:bidi="en-US"/>
    </w:rPr>
  </w:style>
  <w:style w:type="paragraph" w:styleId="1020">
    <w:name w:val="Body Text(ch)"/>
    <w:basedOn w:val="937"/>
    <w:next w:val="969"/>
    <w:link w:val="937"/>
    <w:pPr>
      <w:spacing w:after="120"/>
    </w:pPr>
    <w:rPr>
      <w:rFonts w:ascii="宋体" w:hAnsi="Arial"/>
      <w:bCs/>
      <w:iCs/>
      <w:szCs w:val="24"/>
    </w:rPr>
  </w:style>
  <w:style w:type="paragraph" w:styleId="1021">
    <w:name w:val="xl27"/>
    <w:basedOn w:val="937"/>
    <w:next w:val="1021"/>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6"/>
    <w:basedOn w:val="937"/>
    <w:next w:val="102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name w:val="Char"/>
    <w:basedOn w:val="937"/>
    <w:next w:val="1023"/>
    <w:link w:val="937"/>
    <w:pPr>
      <w:ind w:firstLine="200"/>
      <w:tabs>
        <w:tab w:val="left" w:pos="360" w:leader="none"/>
      </w:tabs>
    </w:pPr>
    <w:rPr>
      <w:sz w:val="28"/>
      <w:szCs w:val="30"/>
    </w:rPr>
  </w:style>
  <w:style w:type="paragraph" w:styleId="1024">
    <w:name w:val=" Char"/>
    <w:basedOn w:val="963"/>
    <w:next w:val="1024"/>
    <w:link w:val="937"/>
    <w:rPr>
      <w:rFonts w:ascii="Tahoma" w:hAnsi="Tahoma"/>
      <w:sz w:val="24"/>
      <w:szCs w:val="24"/>
    </w:rPr>
  </w:style>
  <w:style w:type="paragraph" w:styleId="1025">
    <w:name w:val="普通正文"/>
    <w:basedOn w:val="937"/>
    <w:next w:val="1025"/>
    <w:link w:val="937"/>
    <w:pPr>
      <w:ind w:firstLine="480"/>
      <w:jc w:val="left"/>
      <w:spacing w:before="120" w:after="120" w:line="360" w:lineRule="auto"/>
    </w:pPr>
    <w:rPr>
      <w:rFonts w:ascii="Arial" w:hAnsi="Arial"/>
      <w:sz w:val="24"/>
      <w:szCs w:val="24"/>
    </w:rPr>
  </w:style>
  <w:style w:type="paragraph" w:styleId="1026">
    <w:name w:val="table_lines"/>
    <w:basedOn w:val="937"/>
    <w:next w:val="1026"/>
    <w:link w:val="937"/>
    <w:pPr>
      <w:jc w:val="left"/>
      <w:widowControl/>
    </w:pPr>
    <w:rPr>
      <w:sz w:val="20"/>
      <w:szCs w:val="20"/>
      <w:lang w:val="de-DE" w:eastAsia="de-DE"/>
    </w:rPr>
  </w:style>
  <w:style w:type="paragraph" w:styleId="1027">
    <w:name w:val="附录1"/>
    <w:next w:val="1027"/>
    <w:link w:val="93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8">
    <w:name w:val="font7"/>
    <w:basedOn w:val="937"/>
    <w:next w:val="1028"/>
    <w:link w:val="937"/>
    <w:pPr>
      <w:jc w:val="left"/>
      <w:spacing w:before="100" w:beforeAutospacing="1" w:after="100" w:afterAutospacing="1"/>
      <w:widowControl/>
    </w:pPr>
    <w:rPr>
      <w:rFonts w:hint="eastAsia" w:ascii="宋体" w:hAnsi="宋体"/>
      <w:sz w:val="18"/>
      <w:szCs w:val="18"/>
    </w:rPr>
  </w:style>
  <w:style w:type="paragraph" w:styleId="1029">
    <w:name w:val=" Char Char Char Char"/>
    <w:basedOn w:val="963"/>
    <w:next w:val="1029"/>
    <w:link w:val="937"/>
    <w:pPr>
      <w:spacing w:line="360" w:lineRule="auto"/>
    </w:pPr>
    <w:rPr>
      <w:rFonts w:ascii="Tahoma" w:hAnsi="Tahoma"/>
      <w:sz w:val="24"/>
      <w:szCs w:val="24"/>
    </w:rPr>
  </w:style>
  <w:style w:type="paragraph" w:styleId="1030">
    <w:name w:val="列出段落"/>
    <w:basedOn w:val="937"/>
    <w:next w:val="1030"/>
    <w:link w:val="937"/>
    <w:uiPriority w:val="99"/>
    <w:qFormat/>
    <w:pPr>
      <w:contextualSpacing/>
      <w:ind w:left="720"/>
      <w:jc w:val="left"/>
      <w:widowControl/>
    </w:pPr>
    <w:rPr>
      <w:rFonts w:ascii="Calibri" w:hAnsi="Calibri"/>
      <w:sz w:val="24"/>
      <w:szCs w:val="24"/>
      <w:lang w:eastAsia="en-US" w:bidi="en-US"/>
    </w:rPr>
  </w:style>
  <w:style w:type="paragraph" w:styleId="1031">
    <w:name w:val="4"/>
    <w:basedOn w:val="937"/>
    <w:next w:val="993"/>
    <w:link w:val="937"/>
    <w:pPr>
      <w:ind w:firstLine="420"/>
      <w:spacing w:line="360" w:lineRule="auto"/>
    </w:pPr>
    <w:rPr>
      <w:color w:val="ff0000"/>
      <w:sz w:val="24"/>
      <w:szCs w:val="24"/>
    </w:rPr>
  </w:style>
  <w:style w:type="paragraph" w:styleId="1032">
    <w:name w:val="普通 (Web)"/>
    <w:basedOn w:val="937"/>
    <w:next w:val="1032"/>
    <w:link w:val="937"/>
    <w:pPr>
      <w:jc w:val="left"/>
      <w:spacing w:before="100" w:beforeAutospacing="1" w:after="100" w:afterAutospacing="1"/>
      <w:widowControl/>
    </w:pPr>
    <w:rPr>
      <w:rFonts w:ascii="宋体" w:hAnsi="宋体"/>
      <w:sz w:val="24"/>
      <w:szCs w:val="24"/>
    </w:rPr>
  </w:style>
  <w:style w:type="paragraph" w:styleId="1033">
    <w:name w:val=" Char Char Char Char Char Char Char Char Char Char"/>
    <w:basedOn w:val="937"/>
    <w:next w:val="1033"/>
    <w:link w:val="937"/>
    <w:pPr>
      <w:spacing w:line="360" w:lineRule="auto"/>
    </w:pPr>
    <w:rPr>
      <w:sz w:val="24"/>
      <w:szCs w:val="20"/>
    </w:rPr>
  </w:style>
  <w:style w:type="paragraph" w:styleId="1034">
    <w:name w:val="样式1"/>
    <w:basedOn w:val="937"/>
    <w:next w:val="1034"/>
    <w:link w:val="937"/>
    <w:pPr>
      <w:numPr>
        <w:ilvl w:val="0"/>
        <w:numId w:val="3"/>
      </w:numPr>
      <w:tabs>
        <w:tab w:val="left" w:pos="709" w:leader="none"/>
      </w:tabs>
    </w:pPr>
    <w:rPr>
      <w:rFonts w:ascii="宋体" w:hAnsi="宋体"/>
    </w:rPr>
  </w:style>
  <w:style w:type="paragraph" w:styleId="1035">
    <w:name w:val="font6"/>
    <w:basedOn w:val="937"/>
    <w:next w:val="1035"/>
    <w:link w:val="937"/>
    <w:pPr>
      <w:jc w:val="left"/>
      <w:spacing w:before="100" w:beforeAutospacing="1" w:after="100" w:afterAutospacing="1"/>
      <w:widowControl/>
    </w:pPr>
    <w:rPr>
      <w:rFonts w:hint="eastAsia" w:ascii="宋体" w:hAnsi="宋体"/>
      <w:sz w:val="28"/>
      <w:szCs w:val="28"/>
      <w:u w:val="single"/>
    </w:rPr>
  </w:style>
  <w:style w:type="paragraph" w:styleId="1036">
    <w:name w:val="xl25"/>
    <w:basedOn w:val="937"/>
    <w:next w:val="1036"/>
    <w:link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name w:val="图标"/>
    <w:basedOn w:val="937"/>
    <w:next w:val="937"/>
    <w:link w:val="9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name w:val="标题3"/>
    <w:basedOn w:val="937"/>
    <w:next w:val="937"/>
    <w:link w:val="937"/>
    <w:pPr>
      <w:ind w:firstLine="624"/>
      <w:spacing w:line="590" w:lineRule="atLeast"/>
    </w:pPr>
    <w:rPr>
      <w:rFonts w:ascii="方正黑体_GBK" w:eastAsia="方正黑体_GBK"/>
      <w:sz w:val="32"/>
      <w:szCs w:val="32"/>
    </w:rPr>
  </w:style>
  <w:style w:type="paragraph" w:styleId="1039">
    <w:name w:val="xl24"/>
    <w:basedOn w:val="937"/>
    <w:next w:val="1039"/>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name w:val="xl29"/>
    <w:basedOn w:val="937"/>
    <w:next w:val="1040"/>
    <w:link w:val="9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name w:val="Char Char Char Char Char Char Char Char"/>
    <w:basedOn w:val="937"/>
    <w:next w:val="1041"/>
    <w:link w:val="937"/>
    <w:pPr>
      <w:jc w:val="left"/>
      <w:spacing w:after="160" w:line="240" w:lineRule="exact"/>
      <w:widowControl/>
    </w:pPr>
    <w:rPr>
      <w:rFonts w:ascii="Verdana" w:hAnsi="Verdana"/>
      <w:sz w:val="20"/>
      <w:szCs w:val="20"/>
      <w:lang w:eastAsia="en-US"/>
    </w:rPr>
  </w:style>
  <w:style w:type="paragraph" w:styleId="1042">
    <w:name w:val="xl28"/>
    <w:basedOn w:val="937"/>
    <w:next w:val="1042"/>
    <w:link w:val="9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name w:val=" Char Char Char Char Char Char Char Char"/>
    <w:basedOn w:val="937"/>
    <w:next w:val="1043"/>
    <w:link w:val="937"/>
    <w:pPr>
      <w:jc w:val="left"/>
      <w:spacing w:after="160" w:line="240" w:lineRule="exact"/>
      <w:widowControl/>
    </w:pPr>
    <w:rPr>
      <w:rFonts w:ascii="Verdana" w:hAnsi="Verdana"/>
      <w:sz w:val="20"/>
      <w:szCs w:val="20"/>
      <w:lang w:eastAsia="en-US"/>
    </w:rPr>
  </w:style>
  <w:style w:type="paragraph" w:styleId="1044">
    <w:name w:val="xl30"/>
    <w:basedOn w:val="937"/>
    <w:next w:val="1044"/>
    <w:link w:val="937"/>
    <w:pPr>
      <w:jc w:val="center"/>
      <w:spacing w:before="100" w:beforeAutospacing="1" w:after="100" w:afterAutospacing="1"/>
      <w:widowControl/>
    </w:pPr>
    <w:rPr>
      <w:rFonts w:ascii="宋体" w:hAnsi="宋体"/>
      <w:b/>
      <w:bCs/>
      <w:sz w:val="36"/>
      <w:szCs w:val="36"/>
    </w:rPr>
  </w:style>
  <w:style w:type="paragraph" w:styleId="1045">
    <w:name w:val="Char Char Char Char"/>
    <w:basedOn w:val="963"/>
    <w:next w:val="1045"/>
    <w:link w:val="937"/>
    <w:pPr>
      <w:spacing w:line="360" w:lineRule="auto"/>
    </w:pPr>
    <w:rPr>
      <w:rFonts w:ascii="Tahoma" w:hAnsi="Tahoma"/>
      <w:sz w:val="24"/>
      <w:szCs w:val="24"/>
    </w:rPr>
  </w:style>
  <w:style w:type="paragraph" w:styleId="1046">
    <w:name w:val="table_1stline"/>
    <w:basedOn w:val="937"/>
    <w:next w:val="1046"/>
    <w:link w:val="937"/>
    <w:pPr>
      <w:jc w:val="left"/>
      <w:spacing w:before="120"/>
      <w:widowControl/>
    </w:pPr>
    <w:rPr>
      <w:bCs/>
      <w:sz w:val="20"/>
      <w:szCs w:val="20"/>
      <w:lang w:val="de-DE" w:eastAsia="de-DE"/>
    </w:rPr>
  </w:style>
  <w:style w:type="paragraph" w:styleId="1047">
    <w:name w:val="font5"/>
    <w:basedOn w:val="937"/>
    <w:next w:val="1047"/>
    <w:link w:val="937"/>
    <w:pPr>
      <w:jc w:val="left"/>
      <w:spacing w:before="100" w:beforeAutospacing="1" w:after="100" w:afterAutospacing="1"/>
      <w:widowControl/>
    </w:pPr>
    <w:rPr>
      <w:rFonts w:hint="eastAsia" w:ascii="宋体" w:hAnsi="宋体"/>
      <w:sz w:val="28"/>
      <w:szCs w:val="28"/>
    </w:rPr>
  </w:style>
  <w:style w:type="paragraph" w:styleId="1048">
    <w:name w:val="标题1"/>
    <w:basedOn w:val="937"/>
    <w:next w:val="937"/>
    <w:link w:val="9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name w:val="修订"/>
    <w:next w:val="1049"/>
    <w:link w:val="937"/>
    <w:uiPriority w:val="99"/>
    <w:semiHidden/>
    <w:rPr>
      <w:rFonts w:ascii="Times New Roman" w:hAnsi="Times New Roman"/>
      <w:sz w:val="21"/>
      <w:szCs w:val="21"/>
      <w:lang w:val="en-US" w:eastAsia="zh-CN" w:bidi="ar-SA"/>
    </w:rPr>
  </w:style>
  <w:style w:type="paragraph" w:styleId="1050">
    <w:name w:val="无间隔"/>
    <w:next w:val="1050"/>
    <w:link w:val="937"/>
    <w:uiPriority w:val="99"/>
    <w:qFormat/>
    <w:pPr>
      <w:jc w:val="both"/>
      <w:widowControl w:val="off"/>
    </w:pPr>
    <w:rPr>
      <w:rFonts w:ascii="Times New Roman" w:hAnsi="Times New Roman"/>
      <w:sz w:val="21"/>
      <w:szCs w:val="21"/>
      <w:lang w:val="en-US" w:eastAsia="zh-CN" w:bidi="ar-SA"/>
    </w:rPr>
  </w:style>
  <w:style w:type="paragraph" w:styleId="1051">
    <w:name w:val="普通文字"/>
    <w:basedOn w:val="937"/>
    <w:next w:val="937"/>
    <w:link w:val="937"/>
    <w:uiPriority w:val="99"/>
    <w:rPr>
      <w:rFonts w:ascii="宋体" w:hAnsi="Times New Roman" w:eastAsia="宋体" w:cs="Times New Roman"/>
      <w:sz w:val="24"/>
      <w:szCs w:val="20"/>
      <w:u w:val="none"/>
    </w:rPr>
  </w:style>
  <w:style w:type="paragraph" w:styleId="1052">
    <w:name w:val="目录 111"/>
    <w:basedOn w:val="937"/>
    <w:next w:val="937"/>
    <w:link w:val="937"/>
    <w:uiPriority w:val="39"/>
    <w:unhideWhenUsed/>
    <w:qFormat/>
    <w:pPr>
      <w:jc w:val="left"/>
      <w:spacing w:after="100" w:line="259" w:lineRule="auto"/>
      <w:widowControl/>
    </w:pPr>
    <w:rPr>
      <w:rFonts w:ascii="Calibri" w:hAnsi="Calibri" w:eastAsia="宋体"/>
      <w:sz w:val="22"/>
      <w:szCs w:val="22"/>
    </w:rPr>
  </w:style>
  <w:style w:type="paragraph" w:styleId="1053">
    <w:name w:val="自正01"/>
    <w:basedOn w:val="937"/>
    <w:next w:val="1053"/>
    <w:link w:val="937"/>
    <w:qFormat/>
    <w:pPr>
      <w:ind w:firstLine="200"/>
      <w:spacing w:line="360" w:lineRule="auto"/>
    </w:pPr>
    <w:rPr>
      <w:rFonts w:ascii="宋体" w:hAnsi="宋体" w:cs="微软雅黑"/>
      <w:sz w:val="24"/>
      <w:szCs w:val="24"/>
    </w:rPr>
  </w:style>
  <w:style w:type="character" w:styleId="1054">
    <w:name w:val="列出段落 字符"/>
    <w:next w:val="1054"/>
    <w:link w:val="937"/>
    <w:uiPriority w:val="34"/>
    <w:qFormat/>
    <w:rPr>
      <w:rFonts w:ascii="Calibri" w:hAnsi="Calibri" w:eastAsia="宋体" w:cs="Times New Roman"/>
      <w:sz w:val="22"/>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511</cp:revision>
  <dcterms:created xsi:type="dcterms:W3CDTF">2023-03-16T02:16:00Z</dcterms:created>
  <dcterms:modified xsi:type="dcterms:W3CDTF">2024-07-24T08:42:23Z</dcterms:modified>
  <cp:version>917504</cp:version>
</cp:coreProperties>
</file>