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p>
    <w:p>
      <w:pPr>
        <w:ind w:left="0"/>
        <w:jc w:val="center"/>
        <w:rPr>
          <w:rFonts w:hint="eastAsia" w:ascii="宋体" w:hAnsi="宋体"/>
          <w:b/>
          <w:sz w:val="108"/>
          <w:highlight w:val="none"/>
        </w:rPr>
      </w:pPr>
      <w:r>
        <w:rPr>
          <w:rFonts w:hint="eastAsia" w:ascii="宋体" w:hAnsi="宋体"/>
          <w:b/>
          <w:sz w:val="108"/>
          <w:highlight w:val="none"/>
        </w:rPr>
      </w:r>
      <w:r/>
    </w:p>
    <w:p>
      <w:pPr>
        <w:ind w:left="0"/>
        <w:jc w:val="center"/>
        <w:rPr>
          <w:rFonts w:ascii="宋体" w:hAnsi="宋体"/>
          <w:b/>
          <w:sz w:val="108"/>
          <w:highlight w:val="none"/>
        </w:rPr>
      </w:pPr>
      <w:r/>
      <w:bookmarkStart w:id="89" w:name="_GoBack"/>
      <w:r/>
      <w:bookmarkEnd w:id="89"/>
      <w:r>
        <w:rPr>
          <w:rFonts w:hint="eastAsia" w:ascii="宋体" w:hAnsi="宋体"/>
          <w:b/>
          <w:sz w:val="108"/>
          <w:highlight w:val="none"/>
        </w:rPr>
        <w:t xml:space="preserve">苏州市政府采购</w:t>
      </w:r>
      <w:r/>
    </w:p>
    <w:p>
      <w:pPr>
        <w:ind w:left="0"/>
        <w:jc w:val="center"/>
        <w:rPr>
          <w:rFonts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ascii="宋体" w:hAnsi="宋体"/>
          <w:highlight w:val="none"/>
        </w:rPr>
      </w:pPr>
      <w:r>
        <w:rPr>
          <w:rFonts w:ascii="宋体" w:hAnsi="宋体"/>
          <w:highlight w:val="none"/>
        </w:rPr>
      </w:r>
      <w:r/>
    </w:p>
    <w:p>
      <w:pPr>
        <w:ind w:left="0"/>
        <w:jc w:val="left"/>
        <w:spacing w:line="360" w:lineRule="auto"/>
        <w:rPr>
          <w:rFonts w:ascii="宋体" w:hAnsi="宋体"/>
          <w:highlight w:val="none"/>
        </w:rPr>
      </w:pPr>
      <w:r>
        <w:rPr>
          <w:rFonts w:ascii="宋体" w:hAnsi="宋体"/>
          <w:highlight w:val="none"/>
        </w:rPr>
      </w:r>
      <w:r/>
    </w:p>
    <w:p>
      <w:pPr>
        <w:ind w:left="0"/>
        <w:jc w:val="left"/>
        <w:spacing w:line="480" w:lineRule="auto"/>
        <w:rPr>
          <w:rFonts w:ascii="宋体" w:hAnsi="宋体"/>
          <w:b/>
          <w:sz w:val="32"/>
          <w:highlight w:val="none"/>
        </w:rPr>
      </w:pPr>
      <w:r>
        <w:rPr>
          <w:rFonts w:ascii="宋体" w:hAnsi="宋体"/>
          <w:b/>
          <w:sz w:val="32"/>
          <w:highlight w:val="none"/>
        </w:rPr>
      </w:r>
      <w:r/>
    </w:p>
    <w:p>
      <w:pPr>
        <w:ind w:left="1842"/>
        <w:jc w:val="left"/>
        <w:spacing w:line="480" w:lineRule="auto"/>
        <w:rPr>
          <w:rFonts w:hint="eastAsia" w:ascii="宋体" w:hAnsi="宋体" w:eastAsia="宋体"/>
          <w:b/>
          <w:sz w:val="32"/>
          <w:highlight w:val="none"/>
          <w:lang w:eastAsia="zh-CN"/>
        </w:rPr>
      </w:pPr>
      <w:r>
        <w:rPr>
          <w:rFonts w:ascii="宋体" w:hAnsi="宋体"/>
          <w:b/>
          <w:sz w:val="32"/>
          <w:highlight w:val="none"/>
        </w:rPr>
        <w:t xml:space="preserve">项目编号：</w:t>
      </w:r>
      <w:r>
        <w:rPr>
          <w:rFonts w:hint="eastAsia" w:ascii="宋体" w:hAnsi="宋体"/>
          <w:b/>
          <w:sz w:val="32"/>
          <w:highlight w:val="none"/>
          <w:lang w:eastAsia="zh-CN"/>
        </w:rPr>
        <w:t xml:space="preserve">JSZC-320507-RHHH-G2024-0185</w:t>
      </w:r>
      <w:r/>
    </w:p>
    <w:p>
      <w:pPr>
        <w:ind w:left="1842"/>
        <w:jc w:val="left"/>
        <w:spacing w:line="480" w:lineRule="auto"/>
        <w:rPr>
          <w:rFonts w:hint="eastAsia" w:ascii="宋体" w:hAnsi="宋体" w:eastAsia="宋体"/>
          <w:b/>
          <w:sz w:val="32"/>
          <w:highlight w:val="none"/>
          <w:lang w:eastAsia="zh-CN"/>
        </w:rPr>
      </w:pPr>
      <w:r>
        <w:rPr>
          <w:rFonts w:ascii="宋体" w:hAnsi="宋体"/>
          <w:b/>
          <w:sz w:val="32"/>
          <w:highlight w:val="none"/>
        </w:rPr>
        <w:t xml:space="preserve">采购单位：</w:t>
      </w:r>
      <w:r>
        <w:rPr>
          <w:rFonts w:hint="eastAsia" w:ascii="宋体" w:hAnsi="宋体"/>
          <w:b/>
          <w:sz w:val="32"/>
          <w:highlight w:val="none"/>
          <w:lang w:eastAsia="zh-CN"/>
        </w:rPr>
        <w:t xml:space="preserve">苏州市相城区第二人民医院</w:t>
      </w:r>
      <w:r/>
    </w:p>
    <w:p>
      <w:pPr>
        <w:ind w:left="1842"/>
        <w:jc w:val="left"/>
        <w:spacing w:line="480" w:lineRule="auto"/>
        <w:rPr>
          <w:rFonts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lang w:eastAsia="zh-CN"/>
        </w:rPr>
        <w:t xml:space="preserve">相二院食堂餐饮服务</w:t>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服务类</w:t>
      </w:r>
      <w:r/>
    </w:p>
    <w:p>
      <w:pPr>
        <w:ind w:left="0" w:firstLine="2695"/>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firstLine="0"/>
        <w:rPr>
          <w:rFonts w:ascii="Times New Roman" w:hAnsi="Times New Roman" w:cs="Times New Roman"/>
          <w:highlight w:val="none"/>
        </w:rPr>
      </w:pPr>
      <w:r>
        <w:rPr>
          <w:rFonts w:ascii="Times New Roman" w:hAnsi="Times New Roman" w:cs="Times New Roman"/>
          <w:highlight w:val="none"/>
        </w:rPr>
      </w:r>
      <w:r/>
    </w:p>
    <w:p>
      <w:pPr>
        <w:jc w:val="left"/>
        <w:rPr>
          <w:rFonts w:ascii="宋体" w:hAnsi="宋体"/>
          <w:b/>
          <w:sz w:val="32"/>
          <w:highlight w:val="none"/>
        </w:rPr>
      </w:pPr>
      <w:r>
        <w:rPr>
          <w:rFonts w:ascii="宋体" w:hAnsi="宋体"/>
          <w:b/>
          <w:sz w:val="32"/>
          <w:highlight w:val="none"/>
        </w:rPr>
      </w:r>
      <w:r/>
    </w:p>
    <w:p>
      <w:pPr>
        <w:ind w:left="0" w:firstLine="1606"/>
        <w:jc w:val="left"/>
        <w:rPr>
          <w:rFonts w:ascii="宋体" w:hAnsi="宋体"/>
          <w:b/>
          <w:sz w:val="32"/>
          <w:highlight w:val="none"/>
        </w:rPr>
      </w:pPr>
      <w:r>
        <w:rPr>
          <w:rFonts w:ascii="宋体" w:hAnsi="宋体"/>
          <w:b/>
          <w:sz w:val="32"/>
          <w:highlight w:val="none"/>
        </w:rPr>
      </w:r>
      <w:r/>
    </w:p>
    <w:p>
      <w:pPr>
        <w:ind w:left="0" w:firstLine="1606"/>
        <w:jc w:val="left"/>
        <w:rPr>
          <w:rFonts w:hint="eastAsia" w:ascii="宋体" w:hAnsi="宋体" w:eastAsia="宋体"/>
          <w:b/>
          <w:sz w:val="32"/>
          <w:highlight w:val="none"/>
          <w:lang w:eastAsia="zh-CN"/>
        </w:rPr>
      </w:pPr>
      <w:r>
        <w:rPr>
          <w:rFonts w:hint="eastAsia" w:ascii="宋体" w:hAnsi="宋体"/>
          <w:b/>
          <w:sz w:val="32"/>
          <w:highlight w:val="none"/>
          <w:lang w:eastAsia="zh-CN"/>
        </w:rPr>
        <w:t xml:space="preserve">江苏仁禾中衡工程咨询房地产估价有限公司</w:t>
      </w:r>
      <w:r/>
    </w:p>
    <w:p>
      <w:pPr>
        <w:ind w:left="0"/>
        <w:jc w:val="center"/>
        <w:rPr>
          <w:rFonts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024</w:t>
      </w:r>
      <w:r>
        <w:rPr>
          <w:rFonts w:hint="eastAsia" w:ascii="宋体" w:hAnsi="宋体"/>
          <w:b/>
          <w:sz w:val="32"/>
          <w:highlight w:val="none"/>
        </w:rPr>
        <w:t xml:space="preserve">年</w:t>
      </w:r>
      <w:r>
        <w:rPr>
          <w:rFonts w:hint="eastAsia" w:ascii="宋体" w:hAnsi="宋体"/>
          <w:b/>
          <w:sz w:val="32"/>
          <w:highlight w:val="none"/>
          <w:lang w:val="en-US" w:eastAsia="zh-CN"/>
        </w:rPr>
        <w:t xml:space="preserve">12</w:t>
      </w:r>
      <w:r>
        <w:rPr>
          <w:rFonts w:hint="eastAsia" w:ascii="宋体" w:hAnsi="宋体"/>
          <w:b/>
          <w:sz w:val="32"/>
          <w:highlight w:val="none"/>
        </w:rPr>
        <w:t xml:space="preserve">月</w:t>
      </w:r>
      <w:r/>
    </w:p>
    <w:p>
      <w:pPr>
        <w:ind w:left="0"/>
        <w:jc w:val="center"/>
        <w:rPr>
          <w:rFonts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p>
    <w:p>
      <w:pPr>
        <w:pStyle w:val="1028"/>
        <w:ind w:firstLine="0"/>
        <w:jc w:val="left"/>
        <w:spacing w:before="120" w:after="120"/>
        <w:tabs>
          <w:tab w:val="right" w:pos="9856" w:leader="dot"/>
        </w:tabs>
        <w:rPr>
          <w:rStyle w:val="1032"/>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p>
    <w:p>
      <w:pPr>
        <w:pStyle w:val="1028"/>
        <w:ind w:firstLine="0"/>
        <w:jc w:val="left"/>
        <w:spacing w:before="120" w:after="120"/>
        <w:tabs>
          <w:tab w:val="right" w:pos="9854" w:leader="dot"/>
        </w:tabs>
        <w:rPr>
          <w:rStyle w:val="1032"/>
          <w:rFonts w:ascii="宋体" w:hAnsi="宋体" w:cs="Calibri"/>
          <w:bCs/>
          <w:caps/>
          <w:color w:val="auto"/>
          <w:sz w:val="32"/>
          <w:szCs w:val="32"/>
          <w:highlight w:val="none"/>
        </w:rPr>
        <w:outlineLvl w:val="9"/>
      </w:pPr>
      <w:r>
        <w:rPr>
          <w:rStyle w:val="1032"/>
          <w:rFonts w:ascii="宋体" w:hAnsi="宋体" w:cs="Calibri"/>
          <w:bCs/>
          <w:caps/>
          <w:color w:val="auto"/>
          <w:sz w:val="32"/>
          <w:highlight w:val="none"/>
        </w:rPr>
        <w:fldChar w:fldCharType="begin"/>
      </w:r>
      <w:r>
        <w:rPr>
          <w:rStyle w:val="1032"/>
          <w:rFonts w:ascii="宋体" w:hAnsi="宋体" w:cs="Calibri"/>
          <w:bCs/>
          <w:caps/>
          <w:color w:val="auto"/>
          <w:sz w:val="32"/>
          <w:highlight w:val="none"/>
        </w:rPr>
        <w:instrText xml:space="preserve"> TOC \o "1-1" \h \z \u </w:instrText>
      </w:r>
      <w:r>
        <w:rPr>
          <w:rStyle w:val="1032"/>
          <w:rFonts w:ascii="宋体" w:hAnsi="宋体" w:cs="Calibri"/>
          <w:bCs/>
          <w:caps/>
          <w:color w:val="auto"/>
          <w:sz w:val="32"/>
          <w:highlight w:val="none"/>
        </w:rPr>
        <w:fldChar w:fldCharType="separate"/>
      </w:r>
      <w:r>
        <w:rPr>
          <w:highlight w:val="none"/>
        </w:rPr>
        <w:fldChar w:fldCharType="begin"/>
      </w:r>
      <w:r>
        <w:rPr>
          <w:highlight w:val="none"/>
        </w:rPr>
        <w:instrText xml:space="preserve"> HYPERLINK \l "_Toc105397776" \o "#_Toc105397776" </w:instrText>
      </w:r>
      <w:r>
        <w:rPr>
          <w:highlight w:val="none"/>
        </w:rPr>
        <w:fldChar w:fldCharType="separate"/>
      </w:r>
      <w:r>
        <w:rPr>
          <w:rStyle w:val="1032"/>
          <w:rFonts w:ascii="宋体" w:hAnsi="宋体" w:cs="Calibri"/>
          <w:bCs/>
          <w:caps/>
          <w:color w:val="auto"/>
          <w:sz w:val="32"/>
          <w:szCs w:val="32"/>
          <w:highlight w:val="none"/>
        </w:rPr>
        <w:t xml:space="preserve">第一章 投标邀请函</w:t>
      </w:r>
      <w:r>
        <w:rPr>
          <w:rStyle w:val="1032"/>
          <w:rFonts w:ascii="宋体" w:hAnsi="宋体" w:cs="Calibri"/>
          <w:bCs/>
          <w:caps/>
          <w:color w:val="auto"/>
          <w:sz w:val="32"/>
          <w:szCs w:val="32"/>
          <w:highlight w:val="none"/>
        </w:rPr>
        <w:tab/>
      </w:r>
      <w:r>
        <w:rPr>
          <w:rStyle w:val="1032"/>
          <w:rFonts w:ascii="宋体" w:hAnsi="宋体" w:cs="Calibri"/>
          <w:bCs/>
          <w:caps/>
          <w:color w:val="auto"/>
          <w:sz w:val="32"/>
          <w:szCs w:val="32"/>
          <w:highlight w:val="none"/>
        </w:rPr>
        <w:fldChar w:fldCharType="begin"/>
      </w:r>
      <w:r>
        <w:rPr>
          <w:rStyle w:val="1032"/>
          <w:rFonts w:ascii="宋体" w:hAnsi="宋体" w:cs="Calibri"/>
          <w:bCs/>
          <w:caps/>
          <w:color w:val="auto"/>
          <w:sz w:val="32"/>
          <w:szCs w:val="32"/>
          <w:highlight w:val="none"/>
        </w:rPr>
        <w:instrText xml:space="preserve"> PAGEREF _Toc105397776 \h </w:instrText>
      </w:r>
      <w:r>
        <w:rPr>
          <w:rStyle w:val="1032"/>
          <w:rFonts w:ascii="宋体" w:hAnsi="宋体" w:cs="Calibri"/>
          <w:bCs/>
          <w:caps/>
          <w:color w:val="auto"/>
          <w:sz w:val="32"/>
          <w:szCs w:val="32"/>
          <w:highlight w:val="none"/>
        </w:rPr>
        <w:fldChar w:fldCharType="separate"/>
      </w:r>
      <w:r>
        <w:rPr>
          <w:rStyle w:val="1032"/>
          <w:rFonts w:ascii="宋体" w:hAnsi="宋体" w:cs="Calibri"/>
          <w:bCs/>
          <w:caps/>
          <w:color w:val="auto"/>
          <w:sz w:val="32"/>
          <w:szCs w:val="32"/>
          <w:highlight w:val="none"/>
        </w:rPr>
        <w:t xml:space="preserve">5</w:t>
      </w:r>
      <w:r>
        <w:rPr>
          <w:rStyle w:val="1032"/>
          <w:rFonts w:ascii="宋体" w:hAnsi="宋体" w:cs="Calibri"/>
          <w:bCs/>
          <w:caps/>
          <w:color w:val="auto"/>
          <w:sz w:val="32"/>
          <w:szCs w:val="32"/>
          <w:highlight w:val="none"/>
        </w:rPr>
        <w:fldChar w:fldCharType="end"/>
      </w:r>
      <w:r>
        <w:rPr>
          <w:rStyle w:val="1032"/>
          <w:rFonts w:ascii="宋体" w:hAnsi="宋体" w:cs="Calibri"/>
          <w:bCs/>
          <w:caps/>
          <w:color w:val="auto"/>
          <w:sz w:val="32"/>
          <w:szCs w:val="32"/>
          <w:highlight w:val="none"/>
        </w:rPr>
        <w:fldChar w:fldCharType="end"/>
      </w:r>
      <w:r/>
    </w:p>
    <w:p>
      <w:pPr>
        <w:pStyle w:val="1028"/>
        <w:ind w:firstLine="0"/>
        <w:jc w:val="left"/>
        <w:spacing w:before="120" w:after="120"/>
        <w:tabs>
          <w:tab w:val="right" w:pos="9854" w:leader="dot"/>
        </w:tabs>
        <w:rPr>
          <w:rStyle w:val="103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"_Toc105397777" \o "#_Toc105397777" </w:instrText>
      </w:r>
      <w:r>
        <w:rPr>
          <w:highlight w:val="none"/>
        </w:rPr>
        <w:fldChar w:fldCharType="separate"/>
      </w:r>
      <w:r>
        <w:rPr>
          <w:rStyle w:val="1032"/>
          <w:rFonts w:ascii="宋体" w:hAnsi="宋体" w:cs="Calibri"/>
          <w:bCs/>
          <w:caps/>
          <w:color w:val="auto"/>
          <w:sz w:val="32"/>
          <w:szCs w:val="32"/>
          <w:highlight w:val="none"/>
        </w:rPr>
        <w:t xml:space="preserve">第二章 投标人须知</w:t>
      </w:r>
      <w:r>
        <w:rPr>
          <w:rStyle w:val="1032"/>
          <w:rFonts w:ascii="宋体" w:hAnsi="宋体" w:cs="Calibri"/>
          <w:bCs/>
          <w:caps/>
          <w:color w:val="auto"/>
          <w:sz w:val="32"/>
          <w:szCs w:val="32"/>
          <w:highlight w:val="none"/>
        </w:rPr>
        <w:tab/>
      </w:r>
      <w:r>
        <w:rPr>
          <w:rStyle w:val="1032"/>
          <w:rFonts w:ascii="宋体" w:hAnsi="宋体" w:cs="Calibri"/>
          <w:bCs/>
          <w:caps/>
          <w:color w:val="auto"/>
          <w:sz w:val="32"/>
          <w:szCs w:val="32"/>
          <w:highlight w:val="none"/>
        </w:rPr>
        <w:fldChar w:fldCharType="begin"/>
      </w:r>
      <w:r>
        <w:rPr>
          <w:rStyle w:val="1032"/>
          <w:rFonts w:ascii="宋体" w:hAnsi="宋体" w:cs="Calibri"/>
          <w:bCs/>
          <w:caps/>
          <w:color w:val="auto"/>
          <w:sz w:val="32"/>
          <w:szCs w:val="32"/>
          <w:highlight w:val="none"/>
        </w:rPr>
        <w:instrText xml:space="preserve"> PAGEREF _Toc105397777 \h </w:instrText>
      </w:r>
      <w:r>
        <w:rPr>
          <w:rStyle w:val="1032"/>
          <w:rFonts w:ascii="宋体" w:hAnsi="宋体" w:cs="Calibri"/>
          <w:bCs/>
          <w:caps/>
          <w:color w:val="auto"/>
          <w:sz w:val="32"/>
          <w:szCs w:val="32"/>
          <w:highlight w:val="none"/>
        </w:rPr>
        <w:fldChar w:fldCharType="separate"/>
      </w:r>
      <w:r>
        <w:rPr>
          <w:rStyle w:val="1032"/>
          <w:rFonts w:ascii="宋体" w:hAnsi="宋体" w:cs="Calibri"/>
          <w:bCs/>
          <w:caps/>
          <w:color w:val="auto"/>
          <w:sz w:val="32"/>
          <w:szCs w:val="32"/>
          <w:highlight w:val="none"/>
        </w:rPr>
        <w:t xml:space="preserve">8</w:t>
      </w:r>
      <w:r>
        <w:rPr>
          <w:rStyle w:val="1032"/>
          <w:rFonts w:ascii="宋体" w:hAnsi="宋体" w:cs="Calibri"/>
          <w:bCs/>
          <w:caps/>
          <w:color w:val="auto"/>
          <w:sz w:val="32"/>
          <w:szCs w:val="32"/>
          <w:highlight w:val="none"/>
        </w:rPr>
        <w:fldChar w:fldCharType="end"/>
      </w:r>
      <w:r>
        <w:rPr>
          <w:rStyle w:val="1032"/>
          <w:rFonts w:ascii="宋体" w:hAnsi="宋体" w:cs="Calibri"/>
          <w:bCs/>
          <w:caps/>
          <w:color w:val="auto"/>
          <w:sz w:val="32"/>
          <w:szCs w:val="32"/>
          <w:highlight w:val="none"/>
        </w:rPr>
        <w:fldChar w:fldCharType="end"/>
      </w:r>
      <w:r/>
    </w:p>
    <w:p>
      <w:pPr>
        <w:pStyle w:val="1028"/>
        <w:ind w:firstLine="0"/>
        <w:jc w:val="left"/>
        <w:spacing w:before="120" w:after="120"/>
        <w:tabs>
          <w:tab w:val="right" w:pos="9854" w:leader="dot"/>
        </w:tabs>
        <w:rPr>
          <w:rStyle w:val="103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"_Toc105397778" \o "#_Toc105397778" </w:instrText>
      </w:r>
      <w:r>
        <w:rPr>
          <w:highlight w:val="none"/>
        </w:rPr>
        <w:fldChar w:fldCharType="separate"/>
      </w:r>
      <w:r>
        <w:rPr>
          <w:rStyle w:val="1032"/>
          <w:rFonts w:ascii="宋体" w:hAnsi="宋体" w:cs="Calibri"/>
          <w:bCs/>
          <w:caps/>
          <w:color w:val="auto"/>
          <w:sz w:val="32"/>
          <w:szCs w:val="32"/>
          <w:highlight w:val="none"/>
        </w:rPr>
        <w:t xml:space="preserve">第三章 投标文件格式</w:t>
      </w:r>
      <w:r>
        <w:rPr>
          <w:rStyle w:val="1032"/>
          <w:rFonts w:ascii="宋体" w:hAnsi="宋体" w:cs="Calibri"/>
          <w:bCs/>
          <w:caps/>
          <w:color w:val="auto"/>
          <w:sz w:val="32"/>
          <w:szCs w:val="32"/>
          <w:highlight w:val="none"/>
        </w:rPr>
        <w:tab/>
      </w:r>
      <w:r>
        <w:rPr>
          <w:rStyle w:val="1032"/>
          <w:rFonts w:ascii="宋体" w:hAnsi="宋体" w:cs="Calibri"/>
          <w:bCs/>
          <w:caps/>
          <w:color w:val="auto"/>
          <w:sz w:val="32"/>
          <w:szCs w:val="32"/>
          <w:highlight w:val="none"/>
        </w:rPr>
        <w:fldChar w:fldCharType="begin"/>
      </w:r>
      <w:r>
        <w:rPr>
          <w:rStyle w:val="1032"/>
          <w:rFonts w:ascii="宋体" w:hAnsi="宋体" w:cs="Calibri"/>
          <w:bCs/>
          <w:caps/>
          <w:color w:val="auto"/>
          <w:sz w:val="32"/>
          <w:szCs w:val="32"/>
          <w:highlight w:val="none"/>
        </w:rPr>
        <w:instrText xml:space="preserve"> PAGEREF _Toc105397778 \h </w:instrText>
      </w:r>
      <w:r>
        <w:rPr>
          <w:rStyle w:val="1032"/>
          <w:rFonts w:ascii="宋体" w:hAnsi="宋体" w:cs="Calibri"/>
          <w:bCs/>
          <w:caps/>
          <w:color w:val="auto"/>
          <w:sz w:val="32"/>
          <w:szCs w:val="32"/>
          <w:highlight w:val="none"/>
        </w:rPr>
        <w:fldChar w:fldCharType="separate"/>
      </w:r>
      <w:r>
        <w:rPr>
          <w:rStyle w:val="1032"/>
          <w:rFonts w:ascii="宋体" w:hAnsi="宋体" w:cs="Calibri"/>
          <w:bCs/>
          <w:caps/>
          <w:color w:val="auto"/>
          <w:sz w:val="32"/>
          <w:szCs w:val="32"/>
          <w:highlight w:val="none"/>
        </w:rPr>
        <w:t xml:space="preserve">20</w:t>
      </w:r>
      <w:r>
        <w:rPr>
          <w:rStyle w:val="1032"/>
          <w:rFonts w:ascii="宋体" w:hAnsi="宋体" w:cs="Calibri"/>
          <w:bCs/>
          <w:caps/>
          <w:color w:val="auto"/>
          <w:sz w:val="32"/>
          <w:szCs w:val="32"/>
          <w:highlight w:val="none"/>
        </w:rPr>
        <w:fldChar w:fldCharType="end"/>
      </w:r>
      <w:r>
        <w:rPr>
          <w:rStyle w:val="1032"/>
          <w:rFonts w:ascii="宋体" w:hAnsi="宋体" w:cs="Calibri"/>
          <w:bCs/>
          <w:caps/>
          <w:color w:val="auto"/>
          <w:sz w:val="32"/>
          <w:szCs w:val="32"/>
          <w:highlight w:val="none"/>
        </w:rPr>
        <w:fldChar w:fldCharType="end"/>
      </w:r>
      <w:r/>
    </w:p>
    <w:p>
      <w:pPr>
        <w:pStyle w:val="1028"/>
        <w:ind w:firstLine="0"/>
        <w:jc w:val="left"/>
        <w:spacing w:before="120" w:after="120"/>
        <w:tabs>
          <w:tab w:val="right" w:pos="9854" w:leader="dot"/>
        </w:tabs>
        <w:rPr>
          <w:rStyle w:val="103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"_Toc105397793" \o "#_Toc105397793" </w:instrText>
      </w:r>
      <w:r>
        <w:rPr>
          <w:highlight w:val="none"/>
        </w:rPr>
        <w:fldChar w:fldCharType="separate"/>
      </w:r>
      <w:r>
        <w:rPr>
          <w:rStyle w:val="1032"/>
          <w:rFonts w:ascii="宋体" w:hAnsi="宋体" w:cs="Calibri"/>
          <w:bCs/>
          <w:caps/>
          <w:color w:val="auto"/>
          <w:sz w:val="32"/>
          <w:szCs w:val="32"/>
          <w:highlight w:val="none"/>
        </w:rPr>
        <w:t xml:space="preserve">第四章 招标书</w:t>
      </w:r>
      <w:r>
        <w:rPr>
          <w:rStyle w:val="1032"/>
          <w:rFonts w:ascii="宋体" w:hAnsi="宋体" w:cs="Calibri"/>
          <w:bCs/>
          <w:caps/>
          <w:color w:val="auto"/>
          <w:sz w:val="32"/>
          <w:szCs w:val="32"/>
          <w:highlight w:val="none"/>
        </w:rPr>
        <w:tab/>
      </w:r>
      <w:r>
        <w:rPr>
          <w:rStyle w:val="1032"/>
          <w:rFonts w:ascii="宋体" w:hAnsi="宋体" w:cs="Calibri"/>
          <w:bCs/>
          <w:caps/>
          <w:color w:val="auto"/>
          <w:sz w:val="32"/>
          <w:szCs w:val="32"/>
          <w:highlight w:val="none"/>
        </w:rPr>
        <w:fldChar w:fldCharType="begin"/>
      </w:r>
      <w:r>
        <w:rPr>
          <w:rStyle w:val="1032"/>
          <w:rFonts w:ascii="宋体" w:hAnsi="宋体" w:cs="Calibri"/>
          <w:bCs/>
          <w:caps/>
          <w:color w:val="auto"/>
          <w:sz w:val="32"/>
          <w:szCs w:val="32"/>
          <w:highlight w:val="none"/>
        </w:rPr>
        <w:instrText xml:space="preserve"> PAGEREF _Toc105397793 \h </w:instrText>
      </w:r>
      <w:r>
        <w:rPr>
          <w:rStyle w:val="1032"/>
          <w:rFonts w:ascii="宋体" w:hAnsi="宋体" w:cs="Calibri"/>
          <w:bCs/>
          <w:caps/>
          <w:color w:val="auto"/>
          <w:sz w:val="32"/>
          <w:szCs w:val="32"/>
          <w:highlight w:val="none"/>
        </w:rPr>
        <w:fldChar w:fldCharType="separate"/>
      </w:r>
      <w:r>
        <w:rPr>
          <w:rStyle w:val="1032"/>
          <w:rFonts w:ascii="宋体" w:hAnsi="宋体" w:cs="Calibri"/>
          <w:bCs/>
          <w:caps/>
          <w:color w:val="auto"/>
          <w:sz w:val="32"/>
          <w:szCs w:val="32"/>
          <w:highlight w:val="none"/>
        </w:rPr>
        <w:t xml:space="preserve">33</w:t>
      </w:r>
      <w:r>
        <w:rPr>
          <w:rStyle w:val="1032"/>
          <w:rFonts w:ascii="宋体" w:hAnsi="宋体" w:cs="Calibri"/>
          <w:bCs/>
          <w:caps/>
          <w:color w:val="auto"/>
          <w:sz w:val="32"/>
          <w:szCs w:val="32"/>
          <w:highlight w:val="none"/>
        </w:rPr>
        <w:fldChar w:fldCharType="end"/>
      </w:r>
      <w:r>
        <w:rPr>
          <w:rStyle w:val="1032"/>
          <w:rFonts w:ascii="宋体" w:hAnsi="宋体" w:cs="Calibri"/>
          <w:bCs/>
          <w:caps/>
          <w:color w:val="auto"/>
          <w:sz w:val="32"/>
          <w:szCs w:val="32"/>
          <w:highlight w:val="none"/>
        </w:rPr>
        <w:fldChar w:fldCharType="end"/>
      </w:r>
      <w:r/>
    </w:p>
    <w:p>
      <w:pPr>
        <w:pStyle w:val="1028"/>
        <w:ind w:firstLine="0"/>
        <w:jc w:val="left"/>
        <w:spacing w:before="120" w:after="120"/>
        <w:tabs>
          <w:tab w:val="right" w:pos="9854" w:leader="dot"/>
        </w:tabs>
        <w:rPr>
          <w:rStyle w:val="103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"_Toc105397794" \o "#_Toc105397794" </w:instrText>
      </w:r>
      <w:r>
        <w:rPr>
          <w:highlight w:val="none"/>
        </w:rPr>
        <w:fldChar w:fldCharType="separate"/>
      </w:r>
      <w:r>
        <w:rPr>
          <w:rStyle w:val="1032"/>
          <w:rFonts w:ascii="宋体" w:hAnsi="宋体" w:cs="Calibri"/>
          <w:bCs/>
          <w:caps/>
          <w:color w:val="auto"/>
          <w:sz w:val="32"/>
          <w:szCs w:val="32"/>
          <w:highlight w:val="none"/>
        </w:rPr>
        <w:t xml:space="preserve">第五章 合同及主要条款</w:t>
      </w:r>
      <w:r>
        <w:rPr>
          <w:rStyle w:val="1032"/>
          <w:rFonts w:ascii="宋体" w:hAnsi="宋体" w:cs="Calibri"/>
          <w:bCs/>
          <w:caps/>
          <w:color w:val="auto"/>
          <w:sz w:val="32"/>
          <w:szCs w:val="32"/>
          <w:highlight w:val="none"/>
        </w:rPr>
        <w:tab/>
      </w:r>
      <w:r>
        <w:rPr>
          <w:rStyle w:val="1032"/>
          <w:rFonts w:ascii="宋体" w:hAnsi="宋体" w:cs="Calibri"/>
          <w:bCs/>
          <w:caps/>
          <w:color w:val="auto"/>
          <w:sz w:val="32"/>
          <w:szCs w:val="32"/>
          <w:highlight w:val="none"/>
        </w:rPr>
        <w:fldChar w:fldCharType="begin"/>
      </w:r>
      <w:r>
        <w:rPr>
          <w:rStyle w:val="1032"/>
          <w:rFonts w:ascii="宋体" w:hAnsi="宋体" w:cs="Calibri"/>
          <w:bCs/>
          <w:caps/>
          <w:color w:val="auto"/>
          <w:sz w:val="32"/>
          <w:szCs w:val="32"/>
          <w:highlight w:val="none"/>
        </w:rPr>
        <w:instrText xml:space="preserve"> PAGEREF _Toc105397794 \h </w:instrText>
      </w:r>
      <w:r>
        <w:rPr>
          <w:rStyle w:val="1032"/>
          <w:rFonts w:ascii="宋体" w:hAnsi="宋体" w:cs="Calibri"/>
          <w:bCs/>
          <w:caps/>
          <w:color w:val="auto"/>
          <w:sz w:val="32"/>
          <w:szCs w:val="32"/>
          <w:highlight w:val="none"/>
        </w:rPr>
        <w:fldChar w:fldCharType="separate"/>
      </w:r>
      <w:r>
        <w:rPr>
          <w:rStyle w:val="1032"/>
          <w:rFonts w:ascii="宋体" w:hAnsi="宋体" w:cs="Calibri"/>
          <w:bCs/>
          <w:caps/>
          <w:color w:val="auto"/>
          <w:sz w:val="32"/>
          <w:szCs w:val="32"/>
          <w:highlight w:val="none"/>
        </w:rPr>
        <w:t xml:space="preserve">39</w:t>
      </w:r>
      <w:r>
        <w:rPr>
          <w:rStyle w:val="1032"/>
          <w:rFonts w:ascii="宋体" w:hAnsi="宋体" w:cs="Calibri"/>
          <w:bCs/>
          <w:caps/>
          <w:color w:val="auto"/>
          <w:sz w:val="32"/>
          <w:szCs w:val="32"/>
          <w:highlight w:val="none"/>
        </w:rPr>
        <w:fldChar w:fldCharType="end"/>
      </w:r>
      <w:r>
        <w:rPr>
          <w:rStyle w:val="1032"/>
          <w:rFonts w:ascii="宋体" w:hAnsi="宋体" w:cs="Calibri"/>
          <w:bCs/>
          <w:caps/>
          <w:color w:val="auto"/>
          <w:sz w:val="32"/>
          <w:szCs w:val="32"/>
          <w:highlight w:val="none"/>
        </w:rPr>
        <w:fldChar w:fldCharType="end"/>
      </w:r>
      <w:r/>
    </w:p>
    <w:p>
      <w:pPr>
        <w:pStyle w:val="1028"/>
        <w:ind w:firstLine="0"/>
        <w:jc w:val="left"/>
        <w:spacing w:before="120" w:after="120"/>
        <w:tabs>
          <w:tab w:val="right" w:pos="9854" w:leader="dot"/>
        </w:tabs>
        <w:rPr>
          <w:rStyle w:val="103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"_Toc105397795" \o "#_Toc105397795" </w:instrText>
      </w:r>
      <w:r>
        <w:rPr>
          <w:highlight w:val="none"/>
        </w:rPr>
        <w:fldChar w:fldCharType="separate"/>
      </w:r>
      <w:r>
        <w:rPr>
          <w:rStyle w:val="1032"/>
          <w:rFonts w:ascii="宋体" w:hAnsi="宋体" w:cs="Calibri"/>
          <w:bCs/>
          <w:caps/>
          <w:color w:val="auto"/>
          <w:sz w:val="32"/>
          <w:szCs w:val="32"/>
          <w:highlight w:val="none"/>
        </w:rPr>
        <w:t xml:space="preserve">第六章 评标办法和评分标准</w:t>
      </w:r>
      <w:r>
        <w:rPr>
          <w:rStyle w:val="1032"/>
          <w:rFonts w:ascii="宋体" w:hAnsi="宋体" w:cs="Calibri"/>
          <w:bCs/>
          <w:caps/>
          <w:color w:val="auto"/>
          <w:sz w:val="32"/>
          <w:szCs w:val="32"/>
          <w:highlight w:val="none"/>
        </w:rPr>
        <w:tab/>
      </w:r>
      <w:r>
        <w:rPr>
          <w:rStyle w:val="1032"/>
          <w:rFonts w:ascii="宋体" w:hAnsi="宋体" w:cs="Calibri"/>
          <w:bCs/>
          <w:caps/>
          <w:color w:val="auto"/>
          <w:sz w:val="32"/>
          <w:szCs w:val="32"/>
          <w:highlight w:val="none"/>
        </w:rPr>
        <w:fldChar w:fldCharType="begin"/>
      </w:r>
      <w:r>
        <w:rPr>
          <w:rStyle w:val="1032"/>
          <w:rFonts w:ascii="宋体" w:hAnsi="宋体" w:cs="Calibri"/>
          <w:bCs/>
          <w:caps/>
          <w:color w:val="auto"/>
          <w:sz w:val="32"/>
          <w:szCs w:val="32"/>
          <w:highlight w:val="none"/>
        </w:rPr>
        <w:instrText xml:space="preserve"> PAGEREF _Toc105397795 \h </w:instrText>
      </w:r>
      <w:r>
        <w:rPr>
          <w:rStyle w:val="1032"/>
          <w:rFonts w:ascii="宋体" w:hAnsi="宋体" w:cs="Calibri"/>
          <w:bCs/>
          <w:caps/>
          <w:color w:val="auto"/>
          <w:sz w:val="32"/>
          <w:szCs w:val="32"/>
          <w:highlight w:val="none"/>
        </w:rPr>
        <w:fldChar w:fldCharType="separate"/>
      </w:r>
      <w:r>
        <w:rPr>
          <w:rStyle w:val="1032"/>
          <w:rFonts w:ascii="宋体" w:hAnsi="宋体" w:cs="Calibri"/>
          <w:bCs/>
          <w:caps/>
          <w:color w:val="auto"/>
          <w:sz w:val="32"/>
          <w:szCs w:val="32"/>
          <w:highlight w:val="none"/>
        </w:rPr>
        <w:t xml:space="preserve">43</w:t>
      </w:r>
      <w:r>
        <w:rPr>
          <w:rStyle w:val="1032"/>
          <w:rFonts w:ascii="宋体" w:hAnsi="宋体" w:cs="Calibri"/>
          <w:bCs/>
          <w:caps/>
          <w:color w:val="auto"/>
          <w:sz w:val="32"/>
          <w:szCs w:val="32"/>
          <w:highlight w:val="none"/>
        </w:rPr>
        <w:fldChar w:fldCharType="end"/>
      </w:r>
      <w:r>
        <w:rPr>
          <w:rStyle w:val="1032"/>
          <w:rFonts w:ascii="宋体" w:hAnsi="宋体" w:cs="Calibri"/>
          <w:bCs/>
          <w:caps/>
          <w:color w:val="auto"/>
          <w:sz w:val="32"/>
          <w:szCs w:val="32"/>
          <w:highlight w:val="none"/>
        </w:rPr>
        <w:fldChar w:fldCharType="end"/>
      </w:r>
      <w:r/>
    </w:p>
    <w:p>
      <w:pPr>
        <w:pStyle w:val="1028"/>
        <w:ind w:firstLine="0"/>
        <w:jc w:val="left"/>
        <w:spacing w:before="120" w:after="120"/>
        <w:tabs>
          <w:tab w:val="right" w:pos="9856" w:leader="dot"/>
        </w:tabs>
        <w:rPr>
          <w:rFonts w:ascii="宋体" w:hAnsi="宋体"/>
          <w:sz w:val="32"/>
          <w:szCs w:val="32"/>
          <w:highlight w:val="none"/>
        </w:rPr>
        <w:outlineLvl w:val="9"/>
      </w:pPr>
      <w:r>
        <w:rPr>
          <w:rStyle w:val="1032"/>
          <w:rFonts w:ascii="宋体" w:hAnsi="宋体" w:cs="Calibri"/>
          <w:bCs/>
          <w:caps/>
          <w:color w:val="auto"/>
          <w:sz w:val="32"/>
          <w:highlight w:val="none"/>
        </w:rPr>
        <w:fldChar w:fldCharType="end"/>
      </w:r>
      <w:r/>
    </w:p>
    <w:p>
      <w:pPr>
        <w:ind w:left="0"/>
        <w:rPr>
          <w:rFonts w:ascii="宋体" w:hAnsi="宋体" w:cs="Times New Roman"/>
          <w:sz w:val="32"/>
          <w:szCs w:val="32"/>
          <w:highlight w:val="none"/>
        </w:rPr>
      </w:pPr>
      <w:r>
        <w:rPr>
          <w:rFonts w:ascii="宋体" w:hAnsi="宋体" w:cs="Times New Roman"/>
          <w:sz w:val="32"/>
          <w:szCs w:val="32"/>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0" w:name="_Toc17003"/>
      <w:r/>
      <w:bookmarkStart w:id="1" w:name="_Toc15681"/>
      <w:r/>
      <w:bookmarkStart w:id="2" w:name="_Toc16121"/>
      <w:r>
        <w:rPr>
          <w:rFonts w:ascii="宋体" w:hAnsi="宋体"/>
          <w:b/>
          <w:spacing w:val="20"/>
          <w:sz w:val="30"/>
          <w:highlight w:val="none"/>
        </w:rPr>
        <w:t xml:space="preserve">前 附 表</w:t>
      </w:r>
      <w:bookmarkEnd w:id="0"/>
      <w:r/>
      <w:bookmarkEnd w:id="1"/>
      <w:r/>
      <w:bookmarkEnd w:id="2"/>
      <w:r/>
      <w:r/>
    </w:p>
    <w:tbl>
      <w:tblPr>
        <w:tblStyle w:val="1015"/>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eastAsia="zh-CN"/>
              </w:rPr>
              <w:t xml:space="preserve">JSZC-320507-RHHH-G2024-0185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lang w:eastAsia="zh-CN"/>
              </w:rPr>
              <w:t xml:space="preserve">相二院食堂餐饮服务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rPr>
              <w:t xml:space="preserve">名称：</w:t>
            </w:r>
            <w:r>
              <w:rPr>
                <w:rFonts w:hint="eastAsia" w:ascii="宋体" w:hAnsi="宋体" w:cs="Times New Roman"/>
                <w:sz w:val="21"/>
                <w:szCs w:val="21"/>
                <w:highlight w:val="none"/>
                <w:lang w:eastAsia="zh-CN"/>
              </w:rPr>
              <w:t xml:space="preserve">江苏仁禾中衡工程咨询房地产估价有限公司</w:t>
            </w:r>
            <w:r/>
          </w:p>
          <w:p>
            <w:pPr>
              <w:ind w:left="0"/>
              <w:jc w:val="left"/>
              <w:spacing w:line="440" w:lineRule="exact"/>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rPr>
              <w:t xml:space="preserve">地址：</w:t>
            </w:r>
            <w:r>
              <w:rPr>
                <w:rFonts w:hint="eastAsia" w:ascii="宋体" w:hAnsi="宋体" w:cs="Times New Roman"/>
                <w:sz w:val="21"/>
                <w:szCs w:val="21"/>
                <w:highlight w:val="none"/>
                <w:lang w:eastAsia="zh-CN"/>
              </w:rPr>
              <w:t xml:space="preserve">苏州市工业园区苏桐路37号2号楼5楼502室</w:t>
            </w:r>
            <w:r/>
          </w:p>
          <w:p>
            <w:pPr>
              <w:ind w:left="0"/>
              <w:jc w:val="left"/>
              <w:spacing w:line="44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联系人：</w:t>
            </w:r>
            <w:r>
              <w:rPr>
                <w:rFonts w:hint="eastAsia" w:ascii="宋体" w:hAnsi="宋体"/>
                <w:sz w:val="21"/>
                <w:szCs w:val="21"/>
                <w:highlight w:val="none"/>
                <w:lang w:eastAsia="zh-CN"/>
              </w:rPr>
              <w:t xml:space="preserve">王雯婧 、厉昆、杨嘉怡</w:t>
            </w:r>
            <w:r/>
          </w:p>
          <w:p>
            <w:pPr>
              <w:ind w:left="0"/>
              <w:jc w:val="left"/>
              <w:spacing w:line="44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联系电话：</w:t>
            </w:r>
            <w:r>
              <w:rPr>
                <w:rFonts w:hint="eastAsia" w:ascii="宋体" w:hAnsi="宋体"/>
                <w:sz w:val="21"/>
                <w:szCs w:val="21"/>
                <w:highlight w:val="none"/>
                <w:lang w:eastAsia="zh-CN"/>
              </w:rPr>
              <w:t xml:space="preserve">0512-65261203-8008</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名称：</w:t>
            </w:r>
            <w:r>
              <w:rPr>
                <w:rFonts w:hint="eastAsia" w:ascii="宋体" w:hAnsi="宋体"/>
                <w:sz w:val="21"/>
                <w:szCs w:val="21"/>
                <w:highlight w:val="none"/>
                <w:lang w:eastAsia="zh-CN"/>
              </w:rPr>
              <w:t xml:space="preserve">苏州市相城区第二人民医院</w:t>
            </w:r>
            <w:r/>
          </w:p>
          <w:p>
            <w:pPr>
              <w:ind w:left="0"/>
              <w:jc w:val="left"/>
              <w:spacing w:line="44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地址：</w:t>
            </w:r>
            <w:r>
              <w:rPr>
                <w:rFonts w:hint="eastAsia" w:ascii="宋体" w:hAnsi="宋体"/>
                <w:sz w:val="21"/>
                <w:szCs w:val="21"/>
                <w:highlight w:val="none"/>
                <w:lang w:eastAsia="zh-CN"/>
              </w:rPr>
              <w:t xml:space="preserve">苏州市相城区黄埭镇春申路308号</w:t>
            </w:r>
            <w:r/>
          </w:p>
          <w:p>
            <w:pPr>
              <w:ind w:left="0"/>
              <w:jc w:val="left"/>
              <w:spacing w:line="44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联系人：</w:t>
            </w:r>
            <w:r>
              <w:rPr>
                <w:rFonts w:hint="eastAsia" w:ascii="宋体" w:hAnsi="宋体"/>
                <w:sz w:val="21"/>
                <w:szCs w:val="21"/>
                <w:highlight w:val="none"/>
                <w:lang w:eastAsia="zh-CN"/>
              </w:rPr>
              <w:t xml:space="preserve">浦建平</w:t>
            </w:r>
            <w:r/>
          </w:p>
          <w:p>
            <w:pPr>
              <w:ind w:left="0"/>
              <w:jc w:val="left"/>
              <w:spacing w:line="44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联系电话：</w:t>
            </w:r>
            <w:r>
              <w:rPr>
                <w:rFonts w:hint="eastAsia" w:ascii="宋体" w:hAnsi="宋体"/>
                <w:sz w:val="21"/>
                <w:szCs w:val="21"/>
                <w:highlight w:val="none"/>
                <w:lang w:eastAsia="zh-CN"/>
              </w:rPr>
              <w:t xml:space="preserve">0512-83577866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sz w:val="21"/>
                <w:szCs w:val="21"/>
                <w:highlight w:val="none"/>
                <w:u w:val="single"/>
                <w:lang w:eastAsia="zh-CN"/>
              </w:rPr>
              <w:t xml:space="preserve">2025年1月6日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点30分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sz w:val="21"/>
                <w:szCs w:val="21"/>
                <w:highlight w:val="none"/>
                <w:u w:val="single"/>
                <w:lang w:eastAsia="zh-CN"/>
              </w:rPr>
              <w:t xml:space="preserve">2025年1月6日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点30分</w:t>
            </w:r>
            <w:r>
              <w:rPr>
                <w:rFonts w:hint="eastAsia" w:ascii="宋体" w:hAnsi="宋体" w:cs="Times New Roman"/>
                <w:sz w:val="21"/>
                <w:szCs w:val="21"/>
                <w:highlight w:val="none"/>
              </w:rPr>
              <w:t xml:space="preserve">（北京时间）</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w:t>
            </w:r>
            <w:r>
              <w:rPr>
                <w:rFonts w:hint="eastAsia" w:ascii="宋体" w:hAnsi="宋体" w:cs="Times New Roman"/>
                <w:sz w:val="21"/>
                <w:szCs w:val="21"/>
                <w:highlight w:val="none"/>
              </w:rPr>
              <w:t xml:space="preserve">：</w:t>
            </w:r>
            <w:r>
              <w:rPr>
                <w:rFonts w:ascii="宋体" w:hAnsi="宋体" w:cs="Times New Roman"/>
                <w:sz w:val="21"/>
                <w:szCs w:val="21"/>
                <w:highlight w:val="none"/>
              </w:rPr>
              <w:t xml:space="preserve">//jszfcg.jsczt.cn/</w:t>
            </w:r>
            <w:r>
              <w:rPr>
                <w:rFonts w:hint="eastAsia" w:ascii="宋体" w:hAnsi="宋体" w:cs="Times New Roman"/>
                <w:sz w:val="21"/>
                <w:szCs w:val="21"/>
                <w:highlight w:val="none"/>
              </w:rPr>
              <w:t xml:space="preserve">）</w:t>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sz w:val="21"/>
                <w:szCs w:val="21"/>
                <w:highlight w:val="none"/>
                <w:u w:val="single"/>
                <w:lang w:eastAsia="zh-CN"/>
              </w:rPr>
              <w:t xml:space="preserve">2025年1月6日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点30分</w:t>
            </w:r>
            <w:r>
              <w:rPr>
                <w:rFonts w:hint="eastAsia" w:ascii="宋体" w:hAnsi="宋体" w:cs="Times New Roman"/>
                <w:sz w:val="21"/>
                <w:szCs w:val="21"/>
                <w:highlight w:val="none"/>
              </w:rPr>
              <w:t xml:space="preserve">（北京时间）</w:t>
            </w:r>
            <w:r/>
          </w:p>
          <w:p>
            <w:pPr>
              <w:ind w:left="0"/>
              <w:jc w:val="left"/>
              <w:spacing w:line="312" w:lineRule="auto"/>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苏州市市辖区【相城】公开评标（1）</w:t>
            </w:r>
            <w:r>
              <w:rPr>
                <w:rFonts w:ascii="宋体" w:hAnsi="宋体" w:cs="Times New Roman"/>
                <w:sz w:val="21"/>
                <w:szCs w:val="21"/>
                <w:highlight w:val="none"/>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b w:val="0"/>
                <w:bCs w:val="0"/>
                <w:sz w:val="21"/>
                <w:szCs w:val="21"/>
                <w:highlight w:val="none"/>
              </w:rPr>
            </w:pPr>
            <w:r>
              <w:rPr>
                <w:rFonts w:hint="eastAsia" w:ascii="宋体" w:hAnsi="宋体" w:cs="Times New Roman"/>
                <w:b w:val="0"/>
                <w:bCs w:val="0"/>
                <w:sz w:val="21"/>
                <w:szCs w:val="21"/>
                <w:highlight w:val="none"/>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lang w:val="en-US" w:eastAsia="zh-CN"/>
              </w:rPr>
              <w:t xml:space="preserve">中标</w:t>
            </w:r>
            <w:r>
              <w:rPr>
                <w:rFonts w:hint="eastAsia" w:ascii="宋体" w:hAnsi="宋体" w:cs="宋体"/>
                <w:b w:val="0"/>
                <w:bCs w:val="0"/>
                <w:sz w:val="21"/>
                <w:szCs w:val="21"/>
                <w:highlight w:val="none"/>
              </w:rPr>
              <w:t xml:space="preserve">服务费：</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预算金额100万元以下部分，费率为该部分预算金额的1.5%；</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预算金额100万元（含）－500万元部分，费率为该部分预算金额的1.1%；</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pStyle w:val="1034"/>
              <w:ind w:left="0" w:firstLine="0"/>
              <w:spacing w:line="440" w:lineRule="exact"/>
              <w:rPr>
                <w:rFonts w:hint="eastAsia" w:ascii="宋体" w:hAnsi="宋体" w:cs="宋体"/>
                <w:b/>
                <w:bCs/>
                <w:sz w:val="21"/>
                <w:szCs w:val="21"/>
                <w:highlight w:val="none"/>
              </w:rPr>
            </w:pPr>
            <w:r>
              <w:rPr>
                <w:rFonts w:hint="eastAsia" w:ascii="宋体" w:hAnsi="宋体" w:cs="宋体"/>
                <w:b/>
                <w:bCs/>
                <w:sz w:val="21"/>
                <w:szCs w:val="21"/>
                <w:highlight w:val="none"/>
              </w:rPr>
              <w:t xml:space="preserve">本项目代理服务费为人民币</w:t>
            </w:r>
            <w:r>
              <w:rPr>
                <w:rFonts w:hint="eastAsia" w:ascii="宋体" w:hAnsi="宋体" w:cs="宋体"/>
                <w:b/>
                <w:bCs/>
                <w:sz w:val="21"/>
                <w:szCs w:val="21"/>
                <w:highlight w:val="none"/>
                <w:lang w:val="en-US" w:eastAsia="zh-CN"/>
              </w:rPr>
              <w:t xml:space="preserve">31280</w:t>
            </w:r>
            <w:r>
              <w:rPr>
                <w:rFonts w:hint="eastAsia" w:ascii="宋体" w:hAnsi="宋体" w:cs="宋体"/>
                <w:b/>
                <w:bCs/>
                <w:sz w:val="21"/>
                <w:szCs w:val="21"/>
                <w:highlight w:val="none"/>
              </w:rPr>
              <w:t xml:space="preserve">.00元。</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成交服务费交纳账号：</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账户名：江苏仁禾中衡工程咨询房地产估价有限公司相城分公司</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银行账号：75250122000419809</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开户银行：宁波银行股份有限公司苏州工业园区支行 </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供应商缴纳代理服务费时，如需增值税专用发票的，则须提供有关信息资料。</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bCs/>
                <w:sz w:val="21"/>
                <w:szCs w:val="21"/>
                <w:highlight w:val="none"/>
              </w:rPr>
              <w:t xml:space="preserve">请各供应商在投标报价时综合考虑。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4"/>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034"/>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六</w:t>
            </w:r>
            <w:r>
              <w:rPr>
                <w:rFonts w:hint="eastAsia" w:ascii="宋体" w:hAnsi="宋体"/>
                <w:sz w:val="21"/>
                <w:szCs w:val="21"/>
                <w:highlight w:val="none"/>
              </w:rPr>
              <w:t xml:space="preserve">）法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ascii="宋体" w:hAnsi="宋体"/>
          <w:b/>
          <w:sz w:val="44"/>
          <w:szCs w:val="22"/>
          <w:highlight w:val="none"/>
        </w:rPr>
      </w:pPr>
      <w:r/>
      <w:bookmarkStart w:id="3" w:name="_Toc28592"/>
      <w:r/>
      <w:bookmarkStart w:id="4" w:name="_Toc7166"/>
      <w:r/>
      <w:r/>
    </w:p>
    <w:p>
      <w:pPr>
        <w:ind w:left="0"/>
        <w:jc w:val="center"/>
        <w:rPr>
          <w:rFonts w:ascii="宋体" w:hAnsi="宋体"/>
          <w:b/>
          <w:sz w:val="44"/>
          <w:szCs w:val="22"/>
          <w:highlight w:val="none"/>
        </w:rPr>
      </w:pPr>
      <w:r>
        <w:rPr>
          <w:rFonts w:ascii="宋体" w:hAnsi="宋体"/>
          <w:b/>
          <w:sz w:val="44"/>
          <w:szCs w:val="22"/>
          <w:highlight w:val="none"/>
        </w:rPr>
      </w:r>
      <w:r/>
    </w:p>
    <w:p>
      <w:pPr>
        <w:pStyle w:val="1020"/>
        <w:rPr>
          <w:rFonts w:ascii="宋体" w:hAnsi="宋体"/>
          <w:highlight w:val="none"/>
        </w:rPr>
      </w:pPr>
      <w:r>
        <w:rPr>
          <w:rFonts w:ascii="宋体" w:hAnsi="宋体"/>
          <w:highlight w:val="none"/>
        </w:rPr>
      </w:r>
      <w:r/>
    </w:p>
    <w:p>
      <w:pPr>
        <w:ind w:left="0"/>
        <w:jc w:val="center"/>
        <w:rPr>
          <w:rFonts w:ascii="宋体" w:hAnsi="宋体"/>
          <w:b/>
          <w:sz w:val="44"/>
          <w:szCs w:val="22"/>
          <w:highlight w:val="none"/>
        </w:rPr>
      </w:pPr>
      <w:r>
        <w:rPr>
          <w:rFonts w:ascii="宋体" w:hAnsi="宋体"/>
          <w:b/>
          <w:sz w:val="44"/>
          <w:szCs w:val="22"/>
          <w:highlight w:val="none"/>
        </w:rPr>
      </w:r>
      <w:r/>
    </w:p>
    <w:p>
      <w:pPr>
        <w:pStyle w:val="1020"/>
        <w:rPr>
          <w:rFonts w:ascii="宋体" w:hAnsi="宋体"/>
          <w:highlight w:val="none"/>
        </w:rPr>
      </w:pPr>
      <w:r>
        <w:rPr>
          <w:rFonts w:ascii="宋体" w:hAnsi="宋体"/>
          <w:highlight w:val="none"/>
        </w:rPr>
      </w:r>
      <w:r/>
    </w:p>
    <w:p>
      <w:pPr>
        <w:pStyle w:val="1018"/>
        <w:rPr>
          <w:rFonts w:ascii="宋体" w:hAnsi="宋体" w:cs="Times New Roman"/>
          <w:highlight w:val="none"/>
        </w:rPr>
      </w:pPr>
      <w:r>
        <w:rPr>
          <w:rFonts w:ascii="宋体" w:hAnsi="宋体" w:cs="Times New Roman"/>
          <w:highlight w:val="none"/>
        </w:rPr>
      </w:r>
      <w:r/>
    </w:p>
    <w:p>
      <w:pPr>
        <w:ind w:left="0"/>
        <w:rPr>
          <w:rFonts w:ascii="宋体" w:hAnsi="宋体"/>
          <w:b/>
          <w:sz w:val="44"/>
          <w:szCs w:val="22"/>
          <w:highlight w:val="none"/>
        </w:rPr>
      </w:pPr>
      <w:r>
        <w:rPr>
          <w:rFonts w:ascii="宋体" w:hAnsi="宋体"/>
          <w:b/>
          <w:sz w:val="44"/>
          <w:szCs w:val="22"/>
          <w:highlight w:val="none"/>
        </w:rPr>
      </w:r>
      <w:r/>
    </w:p>
    <w:p>
      <w:pPr>
        <w:pStyle w:val="1013"/>
        <w:ind w:left="431" w:firstLine="17"/>
        <w:jc w:val="center"/>
        <w:spacing w:before="0" w:after="0" w:line="360" w:lineRule="auto"/>
        <w:rPr>
          <w:rStyle w:val="1035"/>
          <w:rFonts w:ascii="宋体" w:hAnsi="宋体"/>
          <w:highlight w:val="none"/>
        </w:rPr>
      </w:pPr>
      <w:r/>
      <w:bookmarkStart w:id="5" w:name="_Toc105397776"/>
      <w:r>
        <w:rPr>
          <w:rFonts w:hint="eastAsia" w:ascii="宋体" w:hAnsi="宋体"/>
          <w:b/>
          <w:sz w:val="44"/>
          <w:szCs w:val="22"/>
          <w:highlight w:val="none"/>
        </w:rPr>
        <w:br w:type="page" w:clear="all"/>
      </w:r>
      <w:r>
        <w:rPr>
          <w:rFonts w:hint="eastAsia" w:ascii="宋体" w:hAnsi="宋体"/>
          <w:b/>
          <w:sz w:val="44"/>
          <w:szCs w:val="22"/>
          <w:highlight w:val="none"/>
        </w:rPr>
        <w:t xml:space="preserve">第一章 投标邀请函</w:t>
      </w:r>
      <w:bookmarkEnd w:id="3"/>
      <w:r/>
      <w:bookmarkEnd w:id="4"/>
      <w:r/>
      <w:bookmarkEnd w:id="5"/>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lang w:eastAsia="zh-CN"/>
        </w:rPr>
        <w:t xml:space="preserve">相二院食堂餐饮服务</w:t>
      </w:r>
      <w:r>
        <w:rPr>
          <w:rFonts w:hint="eastAsia" w:ascii="宋体" w:hAnsi="宋体"/>
          <w:b/>
          <w:sz w:val="21"/>
          <w:szCs w:val="21"/>
          <w:highlight w:val="none"/>
        </w:rPr>
        <w:t xml:space="preserve">招标项目的潜在投标人应</w:t>
      </w:r>
      <w:r>
        <w:rPr>
          <w:rFonts w:hint="eastAsia" w:ascii="宋体" w:hAnsi="宋体"/>
          <w:b/>
          <w:sz w:val="21"/>
          <w:szCs w:val="21"/>
          <w:highlight w:val="none"/>
          <w:u w:val="single"/>
        </w:rPr>
        <w:t xml:space="preserve">“苏采云”系统（网址：http：//jszfcg.jsczt.cn/） </w:t>
      </w:r>
      <w:r>
        <w:rPr>
          <w:rFonts w:hint="eastAsia" w:ascii="宋体" w:hAnsi="宋体"/>
          <w:b/>
          <w:sz w:val="21"/>
          <w:szCs w:val="21"/>
          <w:highlight w:val="none"/>
        </w:rPr>
        <w:t xml:space="preserve">获取招标文件，并于</w:t>
      </w:r>
      <w:r>
        <w:rPr>
          <w:rFonts w:hint="eastAsia" w:ascii="宋体" w:hAnsi="宋体"/>
          <w:sz w:val="21"/>
          <w:szCs w:val="21"/>
          <w:highlight w:val="none"/>
          <w:u w:val="single"/>
          <w:lang w:eastAsia="zh-CN"/>
        </w:rPr>
        <w:t xml:space="preserve">2025年1月6日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点30分</w:t>
      </w:r>
      <w:r>
        <w:rPr>
          <w:rFonts w:hint="eastAsia" w:ascii="宋体" w:hAnsi="宋体"/>
          <w:b/>
          <w:sz w:val="21"/>
          <w:szCs w:val="21"/>
          <w:highlight w:val="none"/>
          <w:u w:val="single"/>
        </w:rPr>
        <w:t xml:space="preserve">（北京时间）</w:t>
      </w:r>
      <w:r>
        <w:rPr>
          <w:rFonts w:hint="eastAsia" w:ascii="宋体" w:hAnsi="宋体"/>
          <w:b/>
          <w:sz w:val="21"/>
          <w:szCs w:val="21"/>
          <w:highlight w:val="none"/>
        </w:rPr>
        <w:t xml:space="preserve">前递交投标文件。</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1.项目编号：</w:t>
      </w:r>
      <w:r>
        <w:rPr>
          <w:rFonts w:hint="eastAsia" w:ascii="宋体" w:hAnsi="宋体"/>
          <w:sz w:val="21"/>
          <w:szCs w:val="21"/>
          <w:highlight w:val="none"/>
          <w:lang w:eastAsia="zh-CN"/>
        </w:rPr>
        <w:t xml:space="preserve">JSZC-320507-RHHH-G2024-0185</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w:t>
      </w:r>
      <w:r>
        <w:rPr>
          <w:rFonts w:hint="eastAsia" w:ascii="宋体" w:hAnsi="宋体"/>
          <w:sz w:val="21"/>
          <w:szCs w:val="21"/>
          <w:highlight w:val="none"/>
          <w:lang w:eastAsia="zh-CN"/>
        </w:rPr>
        <w:t xml:space="preserve">相二院食堂餐饮服务</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4.预算金额：</w:t>
      </w:r>
      <w:r>
        <w:rPr>
          <w:rFonts w:hint="eastAsia" w:ascii="宋体" w:hAnsi="宋体"/>
          <w:sz w:val="21"/>
          <w:highlight w:val="none"/>
        </w:rPr>
        <w:t xml:space="preserve">人民币</w:t>
      </w:r>
      <w:r>
        <w:rPr>
          <w:rFonts w:hint="eastAsia" w:ascii="宋体" w:hAnsi="宋体"/>
          <w:sz w:val="21"/>
          <w:highlight w:val="none"/>
          <w:lang w:eastAsia="zh-CN"/>
        </w:rPr>
        <w:t xml:space="preserve">贰佰肆拾捌万元整(￥2480000.00元)</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5.最高限价：</w:t>
      </w:r>
      <w:r>
        <w:rPr>
          <w:rFonts w:hint="eastAsia" w:ascii="宋体" w:hAnsi="宋体"/>
          <w:sz w:val="21"/>
          <w:highlight w:val="none"/>
        </w:rPr>
        <w:t xml:space="preserve">人民币</w:t>
      </w:r>
      <w:r>
        <w:rPr>
          <w:rFonts w:hint="eastAsia" w:ascii="宋体" w:hAnsi="宋体"/>
          <w:sz w:val="21"/>
          <w:highlight w:val="none"/>
          <w:lang w:eastAsia="zh-CN"/>
        </w:rPr>
        <w:t xml:space="preserve">贰佰肆拾捌万元整(￥2480000.00元)</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6.合同履行期限：</w:t>
      </w:r>
      <w:r>
        <w:rPr>
          <w:rFonts w:hint="eastAsia" w:ascii="宋体" w:hAnsi="宋体"/>
          <w:sz w:val="21"/>
          <w:szCs w:val="21"/>
          <w:highlight w:val="none"/>
          <w:lang w:eastAsia="zh-CN"/>
        </w:rPr>
        <w:t xml:space="preserve">2025年1月16</w:t>
      </w:r>
      <w:r>
        <w:rPr>
          <w:rFonts w:hint="eastAsia" w:ascii="宋体" w:hAnsi="宋体"/>
          <w:sz w:val="21"/>
          <w:szCs w:val="21"/>
          <w:highlight w:val="none"/>
          <w:lang w:val="en-US" w:eastAsia="zh-CN"/>
        </w:rPr>
        <w:t xml:space="preserve">日</w:t>
      </w:r>
      <w:r>
        <w:rPr>
          <w:rFonts w:hint="eastAsia" w:ascii="宋体" w:hAnsi="宋体"/>
          <w:sz w:val="21"/>
          <w:szCs w:val="21"/>
          <w:highlight w:val="none"/>
          <w:lang w:eastAsia="zh-CN"/>
        </w:rPr>
        <w:t xml:space="preserve">-2026年1月15日</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7.采购需求：</w:t>
      </w:r>
      <w:r>
        <w:rPr>
          <w:rFonts w:hint="eastAsia" w:ascii="宋体" w:hAnsi="宋体"/>
          <w:sz w:val="21"/>
          <w:szCs w:val="21"/>
          <w:highlight w:val="none"/>
          <w:lang w:eastAsia="zh-CN"/>
        </w:rPr>
        <w:t xml:space="preserve">相二院食堂餐饮服务</w:t>
      </w:r>
      <w:r>
        <w:rPr>
          <w:rFonts w:hint="eastAsia" w:ascii="宋体" w:hAnsi="宋体"/>
          <w:sz w:val="21"/>
          <w:szCs w:val="21"/>
          <w:highlight w:val="none"/>
        </w:rPr>
        <w:t xml:space="preserve">（详见招标文件第四章）。</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w:t>
      </w:r>
      <w:r>
        <w:rPr>
          <w:rFonts w:hint="eastAsia" w:ascii="宋体" w:hAnsi="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3.本项目的特定资格要求：投标单位具有</w:t>
      </w:r>
      <w:r>
        <w:rPr>
          <w:rFonts w:hint="eastAsia" w:ascii="宋体" w:hAnsi="宋体"/>
          <w:b/>
          <w:bCs/>
          <w:sz w:val="21"/>
          <w:szCs w:val="21"/>
          <w:highlight w:val="none"/>
        </w:rPr>
        <w:t xml:space="preserve">有效期内的《</w:t>
      </w:r>
      <w:r>
        <w:rPr>
          <w:rFonts w:hint="eastAsia" w:ascii="宋体" w:hAnsi="宋体"/>
          <w:b/>
          <w:sz w:val="21"/>
          <w:szCs w:val="21"/>
          <w:highlight w:val="none"/>
        </w:rPr>
        <w:t xml:space="preserve">食品经营许可证》。</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p>
    <w:p>
      <w:pPr>
        <w:pStyle w:val="101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苏州现场办理地址：苏州市姑苏区平泷路251号政务服务中心4楼公共交易中心窗口，咨询电话：0512-69820834</w:t>
      </w:r>
      <w:r>
        <w:rPr>
          <w:rFonts w:hint="eastAsia" w:ascii="宋体" w:hAnsi="宋体"/>
          <w:sz w:val="21"/>
          <w:szCs w:val="21"/>
          <w:highlight w:val="none"/>
        </w:rPr>
        <w:t xml:space="preserve">。</w:t>
      </w:r>
      <w:r/>
    </w:p>
    <w:p>
      <w:pPr>
        <w:pStyle w:val="101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w:t>
      </w:r>
      <w:r>
        <w:rPr>
          <w:rFonts w:hint="eastAsia" w:ascii="宋体" w:hAnsi="宋体"/>
          <w:b/>
          <w:sz w:val="21"/>
          <w:szCs w:val="21"/>
          <w:highlight w:val="none"/>
        </w:rPr>
        <w:t xml:space="preserve">：</w:t>
      </w:r>
      <w:r>
        <w:rPr>
          <w:rFonts w:ascii="宋体" w:hAnsi="宋体"/>
          <w:b/>
          <w:sz w:val="21"/>
          <w:szCs w:val="21"/>
          <w:highlight w:val="none"/>
        </w:rPr>
        <w:t xml:space="preserve">//czju.suzhou.gov.cn/zfcg/html/content/20231220161910031.shtml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0512-69820854</w:t>
      </w:r>
      <w:r>
        <w:rPr>
          <w:rFonts w:hint="eastAsia" w:ascii="宋体" w:hAnsi="宋体"/>
          <w:sz w:val="21"/>
          <w:szCs w:val="21"/>
          <w:highlight w:val="none"/>
        </w:rPr>
        <w:t xml:space="preserve">；</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r>
        <w:rPr>
          <w:rFonts w:ascii="宋体" w:hAnsi="宋体"/>
          <w:sz w:val="21"/>
          <w:szCs w:val="21"/>
          <w:highlight w:val="none"/>
        </w:rPr>
        <w:t xml:space="preserve">0512-69820854</w:t>
      </w:r>
      <w:r>
        <w:rPr>
          <w:rFonts w:hint="eastAsia" w:ascii="宋体" w:hAnsi="宋体"/>
          <w:sz w:val="21"/>
          <w:szCs w:val="21"/>
          <w:highlight w:val="none"/>
        </w:rPr>
        <w:t xml:space="preserve">；智能客服：登录苏采云系统后，联系系统右下方智能客服图标进行咨询。</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u w:val="single"/>
          <w:lang w:eastAsia="zh-CN"/>
        </w:rPr>
        <w:t xml:space="preserve">2025年1月6日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点30分</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lang w:eastAsia="zh-CN"/>
        </w:rPr>
        <w:t xml:space="preserve">2025年1月6日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点30分</w:t>
      </w:r>
      <w:r>
        <w:rPr>
          <w:rFonts w:hint="eastAsia" w:ascii="宋体" w:hAnsi="宋体"/>
          <w:sz w:val="21"/>
          <w:szCs w:val="21"/>
          <w:highlight w:val="none"/>
        </w:rPr>
        <w:t xml:space="preserve">（北京时间）；</w:t>
      </w:r>
      <w:r/>
    </w:p>
    <w:p>
      <w:pPr>
        <w:pStyle w:val="1018"/>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w:t>
      </w:r>
      <w:r>
        <w:rPr>
          <w:rFonts w:hint="eastAsia" w:ascii="宋体" w:hAnsi="宋体"/>
          <w:sz w:val="21"/>
          <w:szCs w:val="21"/>
          <w:highlight w:val="none"/>
        </w:rPr>
        <w:t xml:space="preserve">：</w:t>
      </w:r>
      <w:r>
        <w:rPr>
          <w:rFonts w:ascii="宋体" w:hAnsi="宋体"/>
          <w:sz w:val="21"/>
          <w:szCs w:val="21"/>
          <w:highlight w:val="none"/>
        </w:rPr>
        <w:t xml:space="preserve">//jszfcg.jsczt.cn/</w:t>
      </w:r>
      <w:r>
        <w:rPr>
          <w:rFonts w:hint="eastAsia" w:ascii="宋体" w:hAnsi="宋体"/>
          <w:sz w:val="21"/>
          <w:szCs w:val="21"/>
          <w:highlight w:val="none"/>
        </w:rPr>
        <w:t xml:space="preserve">）</w:t>
      </w:r>
      <w:r/>
    </w:p>
    <w:p>
      <w:pPr>
        <w:pStyle w:val="1018"/>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101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8"/>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numPr>
          <w:ilvl w:val="0"/>
          <w:numId w:val="0"/>
        </w:num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其他补充事宜</w:t>
      </w:r>
      <w:r/>
    </w:p>
    <w:p>
      <w:pPr>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1、政府采购监督电话：0512-67591005、0512-67591006</w:t>
      </w:r>
      <w:r/>
    </w:p>
    <w:p>
      <w:pPr>
        <w:pStyle w:val="1016"/>
        <w:ind w:left="0" w:firstLine="420"/>
        <w:spacing w:line="360" w:lineRule="auto"/>
        <w:rPr>
          <w:highlight w:val="none"/>
        </w:rPr>
      </w:pPr>
      <w:r>
        <w:rPr>
          <w:rFonts w:hint="eastAsia" w:ascii="宋体" w:hAnsi="宋体" w:eastAsia="宋体" w:cs="宋体"/>
          <w:sz w:val="21"/>
          <w:szCs w:val="21"/>
          <w:highlight w:val="none"/>
        </w:rPr>
        <w:t xml:space="preserve">2、本公告同时在江苏省政府采购网、苏州市政府采购网上发布，敬请留意。</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lang w:val="en-US" w:eastAsia="zh-CN"/>
        </w:rPr>
        <w:t xml:space="preserve">七</w:t>
      </w:r>
      <w:r>
        <w:rPr>
          <w:rFonts w:hint="eastAsia" w:ascii="宋体" w:hAnsi="宋体"/>
          <w:b/>
          <w:sz w:val="21"/>
          <w:szCs w:val="21"/>
          <w:highlight w:val="none"/>
        </w:rPr>
        <w:t xml:space="preserve">、对本次征集提出询问，请按以下方式联系</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1.采购人信息 </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名称：</w:t>
      </w:r>
      <w:r>
        <w:rPr>
          <w:rFonts w:hint="eastAsia" w:ascii="宋体" w:hAnsi="宋体"/>
          <w:sz w:val="21"/>
          <w:szCs w:val="21"/>
          <w:highlight w:val="none"/>
          <w:lang w:eastAsia="zh-CN"/>
        </w:rPr>
        <w:t xml:space="preserve">苏州市相城区第二人民医院</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地址：</w:t>
      </w:r>
      <w:r>
        <w:rPr>
          <w:rFonts w:hint="eastAsia" w:ascii="宋体" w:hAnsi="宋体"/>
          <w:sz w:val="21"/>
          <w:szCs w:val="21"/>
          <w:highlight w:val="none"/>
          <w:lang w:eastAsia="zh-CN"/>
        </w:rPr>
        <w:t xml:space="preserve">苏州市相城区黄埭镇春申路308号</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联系人：</w:t>
      </w:r>
      <w:r>
        <w:rPr>
          <w:rFonts w:hint="eastAsia" w:ascii="宋体" w:hAnsi="宋体"/>
          <w:sz w:val="21"/>
          <w:szCs w:val="21"/>
          <w:highlight w:val="none"/>
          <w:lang w:eastAsia="zh-CN"/>
        </w:rPr>
        <w:t xml:space="preserve">浦建平</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联系电话：</w:t>
      </w:r>
      <w:r>
        <w:rPr>
          <w:rFonts w:hint="eastAsia" w:ascii="宋体" w:hAnsi="宋体"/>
          <w:sz w:val="21"/>
          <w:szCs w:val="21"/>
          <w:highlight w:val="none"/>
          <w:lang w:eastAsia="zh-CN"/>
        </w:rPr>
        <w:t xml:space="preserve">0512-83577866</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2.采购代理机构信息 </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w:t>
      </w:r>
      <w:r>
        <w:rPr>
          <w:rFonts w:hint="eastAsia" w:ascii="宋体" w:hAnsi="宋体"/>
          <w:sz w:val="21"/>
          <w:szCs w:val="21"/>
          <w:highlight w:val="none"/>
          <w:lang w:eastAsia="zh-CN"/>
        </w:rPr>
        <w:t xml:space="preserve">江苏仁禾中衡工程咨询房地产估价有限公司</w:t>
      </w:r>
      <w:r>
        <w:rPr>
          <w:rFonts w:hint="eastAsia" w:ascii="宋体" w:hAnsi="宋体"/>
          <w:sz w:val="21"/>
          <w:szCs w:val="21"/>
          <w:highlight w:val="none"/>
        </w:rPr>
        <w:t xml:space="preserve"> </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w:t>
      </w:r>
      <w:r>
        <w:rPr>
          <w:rFonts w:hint="eastAsia" w:ascii="宋体" w:hAnsi="宋体"/>
          <w:sz w:val="21"/>
          <w:szCs w:val="21"/>
          <w:highlight w:val="none"/>
          <w:lang w:eastAsia="zh-CN"/>
        </w:rPr>
        <w:t xml:space="preserve">苏州市工业园区苏桐路37号2号楼5楼502室</w:t>
      </w:r>
      <w:r>
        <w:rPr>
          <w:rFonts w:hint="eastAsia" w:ascii="宋体" w:hAnsi="宋体"/>
          <w:sz w:val="21"/>
          <w:szCs w:val="21"/>
          <w:highlight w:val="none"/>
        </w:rPr>
        <w:t xml:space="preserve"> </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联系方式：</w:t>
      </w:r>
      <w:r>
        <w:rPr>
          <w:rFonts w:hint="eastAsia" w:ascii="宋体" w:hAnsi="宋体"/>
          <w:sz w:val="21"/>
          <w:szCs w:val="21"/>
          <w:highlight w:val="none"/>
          <w:lang w:eastAsia="zh-CN"/>
        </w:rPr>
        <w:t xml:space="preserve">0512-65261203-8008</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3.项目联系方式</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项目联系人：</w:t>
      </w:r>
      <w:r>
        <w:rPr>
          <w:rFonts w:hint="eastAsia" w:ascii="宋体" w:hAnsi="宋体"/>
          <w:sz w:val="21"/>
          <w:szCs w:val="21"/>
          <w:highlight w:val="none"/>
          <w:lang w:eastAsia="zh-CN"/>
        </w:rPr>
        <w:t xml:space="preserve">王雯婧 、厉昆、杨嘉怡</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电话：</w:t>
      </w:r>
      <w:r>
        <w:rPr>
          <w:rFonts w:hint="eastAsia" w:ascii="宋体" w:hAnsi="宋体"/>
          <w:sz w:val="21"/>
          <w:szCs w:val="21"/>
          <w:highlight w:val="none"/>
          <w:lang w:eastAsia="zh-CN"/>
        </w:rPr>
        <w:t xml:space="preserve">0512-65261203-8008</w:t>
      </w:r>
      <w:r/>
    </w:p>
    <w:p>
      <w:pPr>
        <w:ind w:left="0" w:firstLine="420"/>
        <w:jc w:val="right"/>
        <w:spacing w:line="460" w:lineRule="exact"/>
        <w:rPr>
          <w:rFonts w:hint="eastAsia" w:ascii="宋体" w:hAnsi="宋体"/>
          <w:sz w:val="21"/>
          <w:szCs w:val="21"/>
          <w:highlight w:val="none"/>
        </w:rPr>
      </w:pPr>
      <w:r>
        <w:rPr>
          <w:rFonts w:hint="eastAsia" w:ascii="宋体" w:hAnsi="宋体"/>
          <w:sz w:val="21"/>
          <w:szCs w:val="21"/>
          <w:highlight w:val="none"/>
        </w:rPr>
        <w:t xml:space="preserve">江苏仁禾中衡工程咨询房地产估价有限公司</w:t>
      </w:r>
      <w:r/>
    </w:p>
    <w:p>
      <w:pPr>
        <w:pStyle w:val="1016"/>
        <w:jc w:val="right"/>
        <w:rPr>
          <w:rFonts w:hint="default" w:eastAsia="宋体"/>
          <w:highlight w:val="none"/>
          <w:lang w:val="en-US" w:eastAsia="zh-CN"/>
        </w:rPr>
      </w:pPr>
      <w:r>
        <w:rPr>
          <w:rFonts w:hint="eastAsia" w:ascii="宋体" w:hAnsi="宋体"/>
          <w:sz w:val="21"/>
          <w:szCs w:val="21"/>
          <w:highlight w:val="none"/>
          <w:lang w:val="en-US" w:eastAsia="zh-CN"/>
        </w:rPr>
        <w:t xml:space="preserve">2024年12月16日</w:t>
      </w:r>
      <w:r/>
    </w:p>
    <w:p>
      <w:pPr>
        <w:ind w:left="0" w:firstLine="420"/>
        <w:jc w:val="right"/>
        <w:spacing w:line="460" w:lineRule="exact"/>
        <w:rPr>
          <w:rFonts w:ascii="宋体" w:hAnsi="宋体"/>
          <w:sz w:val="21"/>
          <w:szCs w:val="21"/>
          <w:highlight w:val="none"/>
        </w:rPr>
      </w:pPr>
      <w:r>
        <w:rPr>
          <w:rFonts w:ascii="宋体" w:hAnsi="宋体"/>
          <w:sz w:val="21"/>
          <w:szCs w:val="21"/>
          <w:highlight w:val="none"/>
        </w:rPr>
      </w:r>
      <w:r/>
    </w:p>
    <w:p>
      <w:pPr>
        <w:pStyle w:val="1016"/>
        <w:rPr>
          <w:highlight w:val="none"/>
        </w:rPr>
      </w:pPr>
      <w:r>
        <w:rPr>
          <w:highlight w:val="none"/>
        </w:rPr>
      </w:r>
      <w:r/>
    </w:p>
    <w:p>
      <w:pPr>
        <w:rPr>
          <w:highlight w:val="none"/>
        </w:rPr>
      </w:pPr>
      <w:r>
        <w:rPr>
          <w:highlight w:val="none"/>
        </w:rPr>
      </w:r>
      <w:r/>
    </w:p>
    <w:p>
      <w:pPr>
        <w:pStyle w:val="1016"/>
        <w:rPr>
          <w:highlight w:val="none"/>
        </w:rPr>
      </w:pPr>
      <w:r>
        <w:rPr>
          <w:highlight w:val="none"/>
        </w:rPr>
      </w:r>
      <w:r/>
    </w:p>
    <w:p>
      <w:pPr>
        <w:rPr>
          <w:highlight w:val="none"/>
        </w:rPr>
      </w:pPr>
      <w:r>
        <w:rPr>
          <w:highlight w:val="none"/>
        </w:rPr>
      </w:r>
      <w:r/>
    </w:p>
    <w:p>
      <w:pPr>
        <w:pStyle w:val="1016"/>
        <w:rPr>
          <w:highlight w:val="none"/>
        </w:rPr>
      </w:pPr>
      <w:r>
        <w:rPr>
          <w:highlight w:val="none"/>
        </w:rPr>
      </w:r>
      <w:r/>
    </w:p>
    <w:p>
      <w:pPr>
        <w:rPr>
          <w:highlight w:val="none"/>
        </w:rPr>
      </w:pPr>
      <w:r>
        <w:rPr>
          <w:highlight w:val="none"/>
        </w:rPr>
      </w:r>
      <w:r/>
    </w:p>
    <w:p>
      <w:pPr>
        <w:pStyle w:val="1016"/>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left="0"/>
        <w:rPr>
          <w:highlight w:val="none"/>
        </w:rPr>
      </w:pPr>
      <w:r>
        <w:rPr>
          <w:highlight w:val="none"/>
        </w:rPr>
      </w:r>
      <w:r/>
    </w:p>
    <w:p>
      <w:pPr>
        <w:pStyle w:val="1013"/>
        <w:ind w:left="0" w:firstLine="0"/>
        <w:jc w:val="center"/>
        <w:rPr>
          <w:rFonts w:ascii="宋体" w:hAnsi="宋体"/>
          <w:b/>
          <w:sz w:val="44"/>
          <w:szCs w:val="22"/>
          <w:highlight w:val="none"/>
        </w:rPr>
      </w:pPr>
      <w:r/>
      <w:bookmarkStart w:id="6" w:name="_Toc105397777"/>
      <w:r/>
      <w:bookmarkStart w:id="7" w:name="_Toc2412"/>
      <w:r/>
      <w:bookmarkStart w:id="8" w:name="_Toc6217"/>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9" w:name="投标人须知"/>
      <w:r/>
      <w:bookmarkEnd w:id="9"/>
      <w:r>
        <w:rPr>
          <w:rFonts w:ascii="宋体" w:hAnsi="宋体"/>
          <w:b/>
          <w:sz w:val="44"/>
          <w:szCs w:val="22"/>
          <w:highlight w:val="none"/>
        </w:rPr>
        <w:t xml:space="preserve">投标人须知</w:t>
      </w:r>
      <w:bookmarkEnd w:id="6"/>
      <w:r/>
      <w:bookmarkEnd w:id="7"/>
      <w:r/>
      <w:bookmarkEnd w:id="8"/>
      <w:r/>
      <w:r/>
    </w:p>
    <w:p>
      <w:pPr>
        <w:pStyle w:val="1018"/>
        <w:ind w:left="0" w:firstLine="422"/>
        <w:spacing w:line="360" w:lineRule="auto"/>
        <w:rPr>
          <w:rFonts w:ascii="宋体" w:hAnsi="宋体"/>
          <w:b/>
          <w:sz w:val="21"/>
          <w:szCs w:val="21"/>
          <w:highlight w:val="none"/>
        </w:rPr>
      </w:pPr>
      <w:r/>
      <w:bookmarkStart w:id="10" w:name="_Toc13437"/>
      <w:r/>
      <w:bookmarkStart w:id="11" w:name="_Toc20132"/>
      <w:r>
        <w:rPr>
          <w:rFonts w:hint="eastAsia" w:ascii="宋体" w:hAnsi="宋体"/>
          <w:b/>
          <w:sz w:val="21"/>
          <w:szCs w:val="21"/>
          <w:highlight w:val="none"/>
        </w:rPr>
        <w:t xml:space="preserve">一、说明和释义</w:t>
      </w:r>
      <w:bookmarkEnd w:id="10"/>
      <w:r/>
      <w:bookmarkEnd w:id="11"/>
      <w:r/>
      <w:r/>
    </w:p>
    <w:p>
      <w:pPr>
        <w:pStyle w:val="1018"/>
        <w:ind w:left="0" w:firstLine="422"/>
        <w:spacing w:line="360" w:lineRule="auto"/>
        <w:rPr>
          <w:rFonts w:ascii="宋体" w:hAnsi="宋体"/>
          <w:b/>
          <w:sz w:val="21"/>
          <w:szCs w:val="21"/>
          <w:highlight w:val="none"/>
        </w:rPr>
      </w:pPr>
      <w:r/>
      <w:bookmarkStart w:id="12" w:name="_Toc9408"/>
      <w:r>
        <w:rPr>
          <w:rFonts w:hint="eastAsia" w:ascii="宋体" w:hAnsi="宋体"/>
          <w:b/>
          <w:sz w:val="21"/>
          <w:szCs w:val="21"/>
          <w:highlight w:val="none"/>
        </w:rPr>
        <w:t xml:space="preserve">1.说明</w:t>
      </w:r>
      <w:bookmarkEnd w:id="12"/>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w:t>
      </w:r>
      <w:r>
        <w:rPr>
          <w:rFonts w:hint="eastAsia" w:ascii="宋体" w:hAnsi="宋体"/>
          <w:sz w:val="21"/>
          <w:szCs w:val="21"/>
          <w:highlight w:val="none"/>
          <w:lang w:eastAsia="zh-CN"/>
        </w:rPr>
        <w:t xml:space="preserve">江苏仁禾中衡工程咨询房地产估价有限公司</w:t>
      </w:r>
      <w:r>
        <w:rPr>
          <w:rFonts w:hint="eastAsia" w:ascii="宋体" w:hAnsi="宋体"/>
          <w:sz w:val="21"/>
          <w:szCs w:val="21"/>
          <w:highlight w:val="none"/>
        </w:rPr>
        <w:t xml:space="preserve">组织的招标活动。</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w:t>
      </w:r>
      <w:r>
        <w:rPr>
          <w:rFonts w:hint="eastAsia" w:ascii="宋体" w:hAnsi="宋体"/>
          <w:sz w:val="21"/>
          <w:szCs w:val="21"/>
          <w:highlight w:val="none"/>
          <w:lang w:eastAsia="zh-CN"/>
        </w:rPr>
        <w:t xml:space="preserve">江苏仁禾中衡工程咨询房地产估价有限公司</w:t>
      </w:r>
      <w:r>
        <w:rPr>
          <w:rFonts w:hint="eastAsia" w:ascii="宋体" w:hAnsi="宋体"/>
          <w:sz w:val="21"/>
          <w:szCs w:val="21"/>
          <w:highlight w:val="none"/>
        </w:rPr>
        <w:t xml:space="preserve">。</w:t>
      </w:r>
      <w:r/>
    </w:p>
    <w:p>
      <w:pPr>
        <w:pStyle w:val="1018"/>
        <w:ind w:left="0" w:firstLine="422"/>
        <w:spacing w:line="360" w:lineRule="auto"/>
        <w:rPr>
          <w:rFonts w:ascii="宋体" w:hAnsi="宋体"/>
          <w:b/>
          <w:sz w:val="21"/>
          <w:szCs w:val="21"/>
          <w:highlight w:val="none"/>
        </w:rPr>
      </w:pPr>
      <w:r/>
      <w:bookmarkStart w:id="13" w:name="_Toc27555"/>
      <w:r>
        <w:rPr>
          <w:rFonts w:hint="eastAsia" w:ascii="宋体" w:hAnsi="宋体"/>
          <w:b/>
          <w:sz w:val="21"/>
          <w:szCs w:val="21"/>
          <w:highlight w:val="none"/>
        </w:rPr>
        <w:t xml:space="preserve">2.词语释义</w:t>
      </w:r>
      <w:bookmarkEnd w:id="13"/>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w:t>
      </w:r>
      <w:r>
        <w:rPr>
          <w:rFonts w:hint="eastAsia" w:ascii="宋体" w:hAnsi="宋体"/>
          <w:sz w:val="21"/>
          <w:szCs w:val="21"/>
          <w:highlight w:val="none"/>
          <w:lang w:eastAsia="zh-CN"/>
        </w:rPr>
        <w:t xml:space="preserve">江苏仁禾中衡工程咨询房地产估价有限公司</w:t>
      </w:r>
      <w:r>
        <w:rPr>
          <w:rFonts w:hint="eastAsia" w:ascii="宋体" w:hAnsi="宋体"/>
          <w:sz w:val="21"/>
          <w:szCs w:val="21"/>
          <w:highlight w:val="none"/>
        </w:rPr>
        <w:t xml:space="preserve">。</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投标人（供应商）：是指响应招标、参加投标竞争的法人、其他组织或者自然人。</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4" w:name="_Toc13350"/>
      <w:r/>
      <w:bookmarkStart w:id="15" w:name="_Toc14976"/>
      <w:r/>
      <w:r/>
    </w:p>
    <w:p>
      <w:pPr>
        <w:pStyle w:val="1018"/>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4"/>
      <w:r/>
      <w:bookmarkEnd w:id="15"/>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cs="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30"/>
        <w:ind w:left="0" w:firstLine="422"/>
        <w:spacing w:before="0" w:after="0" w:line="360" w:lineRule="auto"/>
        <w:rPr>
          <w:rFonts w:ascii="宋体" w:hAnsi="宋体" w:cs="宋体"/>
          <w:b/>
          <w:sz w:val="21"/>
          <w:szCs w:val="21"/>
          <w:highlight w:val="none"/>
        </w:rPr>
      </w:pPr>
      <w:r>
        <w:rPr>
          <w:rFonts w:hint="eastAsia" w:ascii="宋体" w:hAnsi="宋体" w:cs="宋体"/>
          <w:b/>
          <w:sz w:val="21"/>
          <w:szCs w:val="21"/>
          <w:highlight w:val="none"/>
        </w:rPr>
        <w:t xml:space="preserve">3.3本项目的特定资格要求：投标单位</w:t>
      </w:r>
      <w:r>
        <w:rPr>
          <w:rFonts w:hint="eastAsia" w:ascii="宋体" w:hAnsi="宋体"/>
          <w:b/>
          <w:sz w:val="21"/>
          <w:szCs w:val="21"/>
          <w:highlight w:val="none"/>
        </w:rPr>
        <w:t xml:space="preserve">具有</w:t>
      </w:r>
      <w:r>
        <w:rPr>
          <w:rFonts w:hint="eastAsia" w:ascii="宋体" w:hAnsi="宋体" w:cs="宋体"/>
          <w:b/>
          <w:bCs/>
          <w:sz w:val="21"/>
          <w:szCs w:val="21"/>
          <w:highlight w:val="none"/>
        </w:rPr>
        <w:t xml:space="preserve">有效期内的《</w:t>
      </w:r>
      <w:r>
        <w:rPr>
          <w:rFonts w:hint="eastAsia" w:ascii="宋体" w:hAnsi="宋体"/>
          <w:b/>
          <w:sz w:val="21"/>
          <w:szCs w:val="21"/>
          <w:highlight w:val="none"/>
        </w:rPr>
        <w:t xml:space="preserve">食品经营许可证》。</w:t>
      </w:r>
      <w:r/>
    </w:p>
    <w:p>
      <w:pPr>
        <w:pStyle w:val="1030"/>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1030"/>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1030"/>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101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101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101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6" w:name="_Toc31958"/>
      <w:r/>
      <w:bookmarkStart w:id="17" w:name="_Toc5764"/>
      <w:r/>
      <w:r/>
    </w:p>
    <w:p>
      <w:pPr>
        <w:pStyle w:val="101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6"/>
      <w:r/>
      <w:bookmarkEnd w:id="17"/>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1018"/>
        <w:ind w:left="0" w:firstLine="420"/>
        <w:spacing w:line="360" w:lineRule="auto"/>
        <w:rPr>
          <w:rFonts w:ascii="宋体" w:hAnsi="宋体"/>
          <w:sz w:val="21"/>
          <w:szCs w:val="21"/>
          <w:highlight w:val="none"/>
        </w:rPr>
      </w:pPr>
      <w:r/>
      <w:bookmarkStart w:id="18" w:name="_Toc16745"/>
      <w:r/>
      <w:bookmarkStart w:id="19"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1018"/>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w:t>
      </w:r>
      <w:r>
        <w:rPr>
          <w:rFonts w:hint="eastAsia" w:ascii="宋体" w:hAnsi="宋体"/>
          <w:b/>
          <w:sz w:val="21"/>
          <w:szCs w:val="21"/>
          <w:highlight w:val="none"/>
        </w:rPr>
        <w:t xml:space="preserve">：</w:t>
      </w:r>
      <w:r>
        <w:rPr>
          <w:rFonts w:ascii="宋体" w:hAnsi="宋体"/>
          <w:b/>
          <w:sz w:val="21"/>
          <w:szCs w:val="21"/>
          <w:highlight w:val="none"/>
        </w:rPr>
        <w:t xml:space="preserve">//czju.suzhou.gov.cn/zfcg/html/content/20180305093615738.shtml</w:t>
      </w:r>
      <w:r>
        <w:rPr>
          <w:rFonts w:hint="eastAsia" w:ascii="宋体" w:hAnsi="宋体"/>
          <w:sz w:val="21"/>
          <w:szCs w:val="21"/>
          <w:highlight w:val="none"/>
        </w:rPr>
        <w:t xml:space="preserve">。</w:t>
      </w:r>
      <w:r/>
    </w:p>
    <w:p>
      <w:pPr>
        <w:pStyle w:val="101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highlight w:val="none"/>
        </w:rPr>
        <w:t xml:space="preserve">《投标供应商确认函》</w:t>
      </w:r>
      <w:r>
        <w:rPr>
          <w:rFonts w:hint="eastAsia" w:ascii="宋体" w:hAnsi="宋体"/>
          <w:sz w:val="21"/>
          <w:szCs w:val="21"/>
          <w:highlight w:val="none"/>
        </w:rPr>
        <w:t xml:space="preserve">）与质疑函一起递交，否则不予受理。</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质疑联系人：杨洋、王雯婧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联系电话：0512-65261203-8008</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现场递交地址：苏州市工业园区苏桐路37号2号楼5楼502室</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邮寄收取地址：苏州市工业园区苏桐路37号2号楼5楼502室</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18"/>
      <w:r/>
      <w:bookmarkEnd w:id="19"/>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1018"/>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投标人法定代表人身份证复印件；</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投标人授权代理人身份证复印件（如有授权）；</w:t>
      </w:r>
      <w:r/>
    </w:p>
    <w:p>
      <w:pPr>
        <w:pStyle w:val="1018"/>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p>
    <w:p>
      <w:pPr>
        <w:pStyle w:val="1030"/>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1030"/>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1030"/>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1018"/>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1018"/>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6</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7</w:t>
      </w:r>
      <w:r>
        <w:rPr>
          <w:rFonts w:hint="eastAsia" w:ascii="宋体" w:hAnsi="宋体"/>
          <w:b/>
          <w:sz w:val="21"/>
          <w:szCs w:val="21"/>
          <w:highlight w:val="none"/>
        </w:rPr>
        <w:t xml:space="preserve">投标单位具有</w:t>
      </w:r>
      <w:r>
        <w:rPr>
          <w:rFonts w:hint="eastAsia" w:ascii="宋体" w:hAnsi="宋体"/>
          <w:b/>
          <w:bCs/>
          <w:sz w:val="21"/>
          <w:szCs w:val="21"/>
          <w:highlight w:val="none"/>
        </w:rPr>
        <w:t xml:space="preserve">有效期内的《</w:t>
      </w:r>
      <w:r>
        <w:rPr>
          <w:rFonts w:hint="eastAsia" w:ascii="宋体" w:hAnsi="宋体"/>
          <w:b/>
          <w:sz w:val="21"/>
          <w:szCs w:val="21"/>
          <w:highlight w:val="none"/>
        </w:rPr>
        <w:t xml:space="preserve">食品经营许可证》。</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14.1.4.8</w:t>
      </w:r>
      <w:r>
        <w:rPr>
          <w:rFonts w:hint="eastAsia" w:ascii="宋体" w:hAnsi="宋体"/>
          <w:sz w:val="21"/>
          <w:szCs w:val="21"/>
          <w:highlight w:val="none"/>
        </w:rPr>
        <w:t xml:space="preserve">其它有关资格证明文件：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5.1</w:t>
      </w:r>
      <w:r>
        <w:rPr>
          <w:rFonts w:hint="eastAsia" w:ascii="宋体" w:hAnsi="宋体"/>
          <w:sz w:val="21"/>
          <w:szCs w:val="21"/>
          <w:highlight w:val="none"/>
        </w:rPr>
        <w:t xml:space="preserve">投标函（格式见第三章）；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14.1.5.2</w:t>
      </w:r>
      <w:r>
        <w:rPr>
          <w:rFonts w:hint="eastAsia" w:ascii="宋体" w:hAnsi="宋体"/>
          <w:sz w:val="21"/>
          <w:szCs w:val="21"/>
          <w:highlight w:val="none"/>
        </w:rPr>
        <w:t xml:space="preserve">偏离表（格式见第三章）；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14.1.5.3</w:t>
      </w:r>
      <w:r>
        <w:rPr>
          <w:rFonts w:hint="eastAsia" w:ascii="宋体" w:hAnsi="宋体"/>
          <w:sz w:val="21"/>
          <w:szCs w:val="21"/>
          <w:highlight w:val="none"/>
        </w:rPr>
        <w:t xml:space="preserve">项目服务人员配置表（格式见第三章）；</w:t>
      </w:r>
      <w:r/>
    </w:p>
    <w:p>
      <w:pPr>
        <w:ind w:left="0" w:firstLine="408"/>
        <w:spacing w:line="360" w:lineRule="auto"/>
        <w:rPr>
          <w:rFonts w:ascii="宋体" w:hAnsi="宋体"/>
          <w:b/>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4.1.5.4</w:t>
      </w:r>
      <w:r>
        <w:rPr>
          <w:rFonts w:hint="eastAsia" w:ascii="宋体" w:hAnsi="宋体"/>
          <w:sz w:val="21"/>
          <w:szCs w:val="21"/>
          <w:highlight w:val="none"/>
        </w:rPr>
        <w:t xml:space="preserve">其他有关符合性证明的文件；</w:t>
      </w:r>
      <w:r/>
    </w:p>
    <w:p>
      <w:pPr>
        <w:ind w:left="0" w:firstLine="408"/>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w:t>
      </w:r>
      <w:r/>
    </w:p>
    <w:p>
      <w:pPr>
        <w:ind w:left="0" w:firstLine="408"/>
        <w:spacing w:line="360" w:lineRule="auto"/>
        <w:rPr>
          <w:rFonts w:ascii="宋体" w:hAnsi="宋体" w:cs="Times New Roman"/>
          <w:sz w:val="21"/>
          <w:szCs w:val="21"/>
          <w:highlight w:val="none"/>
          <w:lang w:val="zh-CN"/>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.1</w:t>
      </w:r>
      <w:r>
        <w:rPr>
          <w:rFonts w:hint="eastAsia" w:ascii="宋体" w:hAnsi="宋体"/>
          <w:bCs/>
          <w:sz w:val="21"/>
          <w:szCs w:val="22"/>
          <w:highlight w:val="none"/>
        </w:rPr>
        <w:t xml:space="preserve">技术方案；</w:t>
      </w:r>
      <w:r/>
    </w:p>
    <w:p>
      <w:pPr>
        <w:ind w:left="0" w:firstLine="408"/>
        <w:spacing w:line="360" w:lineRule="auto"/>
        <w:rPr>
          <w:rFonts w:ascii="宋体" w:hAnsi="宋体" w:cs="Times New Roman"/>
          <w:sz w:val="21"/>
          <w:szCs w:val="21"/>
          <w:highlight w:val="none"/>
          <w:lang w:val="zh-CN"/>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.2</w:t>
      </w:r>
      <w:r>
        <w:rPr>
          <w:rFonts w:hint="eastAsia" w:ascii="宋体" w:hAnsi="宋体"/>
          <w:bCs/>
          <w:sz w:val="21"/>
          <w:szCs w:val="21"/>
          <w:highlight w:val="none"/>
        </w:rPr>
        <w:t xml:space="preserve">体系认证；</w:t>
      </w:r>
      <w:r/>
    </w:p>
    <w:p>
      <w:pPr>
        <w:ind w:left="0" w:firstLine="408"/>
        <w:spacing w:line="360" w:lineRule="auto"/>
        <w:rPr>
          <w:rFonts w:ascii="宋体" w:hAnsi="宋体" w:cs="Times New Roman"/>
          <w:sz w:val="21"/>
          <w:szCs w:val="21"/>
          <w:highlight w:val="none"/>
          <w:lang w:val="zh-CN"/>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.3</w:t>
      </w:r>
      <w:r>
        <w:rPr>
          <w:rFonts w:hint="eastAsia" w:ascii="宋体" w:hAnsi="宋体"/>
          <w:bCs/>
          <w:sz w:val="21"/>
          <w:szCs w:val="22"/>
          <w:highlight w:val="none"/>
        </w:rPr>
        <w:t xml:space="preserve">投标单位综合实力比较；</w:t>
      </w:r>
      <w:r/>
    </w:p>
    <w:p>
      <w:pPr>
        <w:ind w:left="0" w:firstLine="408"/>
        <w:spacing w:line="360" w:lineRule="auto"/>
        <w:rPr>
          <w:rFonts w:ascii="宋体" w:hAnsi="宋体"/>
          <w:bCs/>
          <w:sz w:val="21"/>
          <w:szCs w:val="21"/>
          <w:highlight w:val="none"/>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.4</w:t>
      </w:r>
      <w:r>
        <w:rPr>
          <w:rFonts w:hint="eastAsia" w:ascii="宋体" w:hAnsi="宋体"/>
          <w:bCs/>
          <w:sz w:val="21"/>
          <w:szCs w:val="21"/>
          <w:highlight w:val="none"/>
        </w:rPr>
        <w:t xml:space="preserve">针对本项目人员配备比较；</w:t>
      </w:r>
      <w:r/>
    </w:p>
    <w:p>
      <w:pPr>
        <w:ind w:left="0" w:firstLine="408"/>
        <w:spacing w:line="360" w:lineRule="auto"/>
        <w:rPr>
          <w:rFonts w:ascii="宋体" w:hAnsi="宋体" w:cs="Times New Roman"/>
          <w:sz w:val="21"/>
          <w:szCs w:val="21"/>
          <w:highlight w:val="none"/>
          <w:lang w:val="zh-CN"/>
        </w:rPr>
      </w:pPr>
      <w:r>
        <w:rPr>
          <w:rFonts w:hint="eastAsia" w:ascii="宋体" w:hAnsi="宋体" w:cs="Times New Roman"/>
          <w:sz w:val="21"/>
          <w:szCs w:val="21"/>
          <w:highlight w:val="none"/>
          <w:lang w:val="zh-CN"/>
        </w:rPr>
        <w:t xml:space="preserve">1</w:t>
      </w:r>
      <w:r>
        <w:rPr>
          <w:rFonts w:ascii="宋体" w:hAnsi="宋体" w:cs="Times New Roman"/>
          <w:sz w:val="21"/>
          <w:szCs w:val="21"/>
          <w:highlight w:val="none"/>
          <w:lang w:val="zh-CN"/>
        </w:rPr>
        <w:t xml:space="preserve">4.1.6.5</w:t>
      </w:r>
      <w:r>
        <w:rPr>
          <w:rFonts w:hint="eastAsia" w:ascii="宋体" w:hAnsi="宋体" w:cs="Times New Roman"/>
          <w:sz w:val="21"/>
          <w:szCs w:val="21"/>
          <w:highlight w:val="none"/>
          <w:lang w:val="zh-CN"/>
        </w:rPr>
        <w:t xml:space="preserve">类似业绩；</w:t>
      </w:r>
      <w:r/>
    </w:p>
    <w:p>
      <w:pPr>
        <w:ind w:left="0" w:firstLine="408"/>
        <w:spacing w:line="360" w:lineRule="auto"/>
        <w:rPr>
          <w:rFonts w:ascii="宋体" w:hAnsi="宋体" w:cs="Times New Roman"/>
          <w:sz w:val="21"/>
          <w:szCs w:val="21"/>
          <w:highlight w:val="none"/>
          <w:lang w:val="zh-CN"/>
        </w:rPr>
      </w:pPr>
      <w:r>
        <w:rPr>
          <w:rFonts w:ascii="宋体" w:hAnsi="宋体" w:cs="Times New Roman"/>
          <w:sz w:val="21"/>
          <w:szCs w:val="21"/>
          <w:highlight w:val="none"/>
          <w:lang w:val="zh-CN"/>
        </w:rPr>
        <w:t xml:space="preserve">14.1.7</w:t>
      </w:r>
      <w:r>
        <w:rPr>
          <w:rFonts w:hint="eastAsia" w:ascii="宋体" w:hAnsi="宋体" w:cs="Times New Roman"/>
          <w:sz w:val="21"/>
          <w:szCs w:val="21"/>
          <w:highlight w:val="none"/>
          <w:lang w:val="zh-CN"/>
        </w:rPr>
        <w:t xml:space="preserve">对属于《节能产品政府采购品目清单》政府强制采购产品的，需提供该产品有效期内的认证等相</w:t>
      </w:r>
      <w:r>
        <w:rPr>
          <w:rFonts w:hint="eastAsia" w:ascii="宋体" w:hAnsi="宋体"/>
          <w:sz w:val="21"/>
          <w:szCs w:val="21"/>
          <w:highlight w:val="none"/>
        </w:rPr>
        <w:t xml:space="preserve">关证明材料（如有）；</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其他可以证明投标人资质、服务质量的证书、文件等相关资料。</w:t>
      </w:r>
      <w:r/>
    </w:p>
    <w:p>
      <w:pPr>
        <w:pStyle w:val="1034"/>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14.1.4.1-14.1.4.8</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034"/>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14.1.5.4</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034"/>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w:t>
      </w:r>
      <w:r>
        <w:rPr>
          <w:rFonts w:hint="eastAsia" w:ascii="宋体" w:hAnsi="宋体"/>
          <w:b/>
          <w:sz w:val="21"/>
          <w:szCs w:val="21"/>
          <w:highlight w:val="none"/>
        </w:rPr>
        <w:t xml:space="preserve">“1</w:t>
      </w:r>
      <w:r>
        <w:rPr>
          <w:rFonts w:ascii="宋体" w:hAnsi="宋体"/>
          <w:b/>
          <w:sz w:val="21"/>
          <w:szCs w:val="21"/>
          <w:highlight w:val="none"/>
        </w:rPr>
        <w:t xml:space="preserve">4.1.4-14.1.8</w:t>
      </w:r>
      <w:r>
        <w:rPr>
          <w:rFonts w:hint="eastAsia" w:ascii="宋体" w:hAnsi="宋体"/>
          <w:b/>
          <w:sz w:val="21"/>
          <w:szCs w:val="21"/>
          <w:highlight w:val="none"/>
        </w:rPr>
        <w:t xml:space="preserve">”</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034"/>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w:t>
      </w:r>
      <w:r/>
    </w:p>
    <w:p>
      <w:pPr>
        <w:pStyle w:val="1034"/>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w:t>
      </w:r>
      <w:r>
        <w:rPr>
          <w:rFonts w:hint="eastAsia" w:ascii="宋体" w:hAnsi="宋体"/>
          <w:sz w:val="21"/>
          <w:szCs w:val="21"/>
          <w:highlight w:val="none"/>
          <w:lang w:val="zh-CN"/>
        </w:rPr>
        <w:t xml:space="preserve">应综合考量</w:t>
      </w:r>
      <w:r>
        <w:rPr>
          <w:rFonts w:hint="eastAsia" w:ascii="宋体" w:hAnsi="宋体"/>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highlight w:val="none"/>
        </w:rPr>
        <w:t xml:space="preserve">。</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.2投标人应按《公开分项报价》要求的内容填写，并由其法定代表人或授权代理人签署。</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.4一项投标内容只允许一个报价，招标人不接受任何有选择性的投标报价。</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.5投标文件报价采用人民币表示，除非合同的特殊条款另有规定。</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.6最低的报价或最高的折扣率不能作为中标的保证。</w:t>
      </w:r>
      <w:r/>
    </w:p>
    <w:p>
      <w:pPr>
        <w:pStyle w:val="1034"/>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034"/>
        <w:ind w:left="0" w:firstLine="428"/>
        <w:spacing w:line="360" w:lineRule="auto"/>
        <w:rPr>
          <w:rFonts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20" w:name="_Toc25608"/>
      <w:r/>
      <w:bookmarkStart w:id="21" w:name="_Toc31150"/>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034"/>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034"/>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.1投标人应当在在投标截止时间前制作并上传电子投标文件。</w:t>
      </w:r>
      <w:r/>
    </w:p>
    <w:p>
      <w:pPr>
        <w:pStyle w:val="1018"/>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w:t>
      </w:r>
      <w:r>
        <w:rPr>
          <w:rFonts w:hint="eastAsia" w:ascii="宋体" w:hAnsi="宋体"/>
          <w:b/>
          <w:sz w:val="21"/>
          <w:szCs w:val="21"/>
          <w:highlight w:val="none"/>
        </w:rPr>
        <w:t xml:space="preserve">：</w:t>
      </w:r>
      <w:r>
        <w:rPr>
          <w:rFonts w:ascii="宋体" w:hAnsi="宋体"/>
          <w:b/>
          <w:sz w:val="21"/>
          <w:szCs w:val="21"/>
          <w:highlight w:val="none"/>
        </w:rPr>
        <w:t xml:space="preserve">//czju.suzhou.gov.cn/zfcg/html/content/20231220161910031.shtml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034"/>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03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03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03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22" w:name="_Toc29371"/>
      <w:r/>
      <w:bookmarkStart w:id="23" w:name="_Toc22837"/>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22"/>
      <w:r/>
      <w:bookmarkEnd w:id="23"/>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034"/>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3.4</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34"/>
        <w:ind w:left="0" w:firstLine="422"/>
        <w:spacing w:line="360" w:lineRule="auto"/>
        <w:rPr>
          <w:rFonts w:ascii="宋体" w:hAnsi="宋体" w:cs="宋体"/>
          <w:b/>
          <w:color w:val="ff0000"/>
          <w:sz w:val="21"/>
          <w:szCs w:val="21"/>
          <w:highlight w:val="none"/>
        </w:rPr>
      </w:pPr>
      <w:r>
        <w:rPr>
          <w:rFonts w:hint="eastAsia" w:ascii="宋体" w:hAnsi="宋体" w:cs="宋体"/>
          <w:b/>
          <w:color w:val="ff0000"/>
          <w:sz w:val="21"/>
          <w:szCs w:val="21"/>
          <w:highlight w:val="none"/>
        </w:rPr>
        <w:t xml:space="preserve">2</w:t>
      </w:r>
      <w:r>
        <w:rPr>
          <w:rFonts w:ascii="宋体" w:hAnsi="宋体" w:cs="宋体"/>
          <w:b/>
          <w:color w:val="ff0000"/>
          <w:sz w:val="21"/>
          <w:szCs w:val="21"/>
          <w:highlight w:val="none"/>
        </w:rPr>
        <w:t xml:space="preserve">6</w:t>
      </w:r>
      <w:r>
        <w:rPr>
          <w:rFonts w:hint="eastAsia" w:ascii="宋体" w:hAnsi="宋体" w:cs="宋体"/>
          <w:b/>
          <w:color w:val="ff0000"/>
          <w:sz w:val="21"/>
          <w:szCs w:val="21"/>
          <w:highlight w:val="none"/>
        </w:rPr>
        <w:t xml:space="preserve">.4评标委员会认为投标人的报价明显低于其他通过符合性审查投标人的报价</w:t>
      </w:r>
      <w:r>
        <w:rPr>
          <w:rFonts w:hint="eastAsia" w:ascii="宋体" w:hAnsi="宋体" w:cs="宋体"/>
          <w:b/>
          <w:color w:val="ff0000"/>
          <w:sz w:val="21"/>
          <w:szCs w:val="21"/>
          <w:highlight w:val="none"/>
          <w:lang w:val="en-US"/>
        </w:rPr>
        <w:t xml:space="preserve">或低于预算价的50%</w:t>
      </w:r>
      <w:r>
        <w:rPr>
          <w:rFonts w:hint="eastAsia" w:ascii="宋体" w:hAnsi="宋体" w:cs="宋体"/>
          <w:b/>
          <w:color w:val="ff0000"/>
          <w:sz w:val="21"/>
          <w:szCs w:val="21"/>
          <w:highlight w:val="none"/>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34"/>
        <w:ind w:left="0" w:firstLine="422"/>
        <w:spacing w:line="360" w:lineRule="auto"/>
        <w:rPr>
          <w:rFonts w:ascii="宋体" w:hAnsi="宋体" w:cs="宋体"/>
          <w:b/>
          <w:color w:val="ff0000"/>
          <w:sz w:val="21"/>
          <w:szCs w:val="21"/>
          <w:highlight w:val="none"/>
          <w:lang w:val="en-US"/>
        </w:rPr>
      </w:pPr>
      <w:r>
        <w:rPr>
          <w:rFonts w:hint="eastAsia" w:ascii="宋体" w:hAnsi="宋体" w:cs="宋体"/>
          <w:b/>
          <w:color w:val="ff0000"/>
          <w:sz w:val="21"/>
          <w:szCs w:val="21"/>
          <w:highlight w:val="none"/>
          <w:lang w:val="en-US"/>
        </w:rPr>
        <w:t xml:space="preserve">26.</w:t>
      </w:r>
      <w:r>
        <w:rPr>
          <w:rFonts w:ascii="宋体" w:hAnsi="宋体" w:cs="宋体"/>
          <w:b/>
          <w:color w:val="ff0000"/>
          <w:sz w:val="21"/>
          <w:szCs w:val="21"/>
          <w:highlight w:val="none"/>
          <w:lang w:val="en-US"/>
        </w:rPr>
        <w:t xml:space="preserve">5</w:t>
      </w:r>
      <w:r>
        <w:rPr>
          <w:rFonts w:hint="eastAsia" w:ascii="宋体" w:hAnsi="宋体" w:cs="宋体"/>
          <w:b/>
          <w:color w:val="ff0000"/>
          <w:sz w:val="21"/>
          <w:szCs w:val="21"/>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034"/>
        <w:ind w:left="0" w:firstLine="42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034"/>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六</w:t>
      </w:r>
      <w:r>
        <w:rPr>
          <w:rFonts w:hint="eastAsia" w:ascii="宋体" w:hAnsi="宋体" w:cs="宋体"/>
          <w:sz w:val="21"/>
          <w:szCs w:val="21"/>
          <w:highlight w:val="none"/>
        </w:rPr>
        <w:t xml:space="preserve">）法律、法规和招标文件规定的其他无效情形。</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.1.4因重大变故，采购任务取消的；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034"/>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03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3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24" w:name="_Toc19501"/>
      <w:r/>
      <w:bookmarkStart w:id="25" w:name="_Toc18442"/>
      <w:r/>
      <w:r/>
    </w:p>
    <w:p>
      <w:pPr>
        <w:pStyle w:val="1034"/>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24"/>
      <w:r/>
      <w:bookmarkEnd w:id="25"/>
      <w:r/>
      <w:r/>
    </w:p>
    <w:p>
      <w:pPr>
        <w:pStyle w:val="1034"/>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03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03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034"/>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034"/>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034"/>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26" w:name="_Toc21029"/>
      <w:r/>
      <w:bookmarkStart w:id="27" w:name="_Toc8186"/>
      <w:r/>
      <w:r/>
    </w:p>
    <w:p>
      <w:pPr>
        <w:pStyle w:val="1034"/>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26"/>
      <w:r/>
      <w:bookmarkEnd w:id="27"/>
      <w:r/>
      <w:r/>
    </w:p>
    <w:p>
      <w:pPr>
        <w:pStyle w:val="1034"/>
        <w:ind w:left="0" w:firstLine="422"/>
        <w:spacing w:line="360" w:lineRule="auto"/>
        <w:rPr>
          <w:rFonts w:hint="default" w:ascii="宋体" w:hAnsi="宋体" w:eastAsia="宋体" w:cs="宋体"/>
          <w:b/>
          <w:sz w:val="21"/>
          <w:szCs w:val="21"/>
          <w:highlight w:val="none"/>
          <w:lang w:val="en-US" w:eastAsia="zh-CN"/>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b/>
          <w:sz w:val="21"/>
          <w:szCs w:val="21"/>
          <w:highlight w:val="none"/>
          <w:lang w:val="en-US" w:eastAsia="zh-CN"/>
        </w:rPr>
        <w:t xml:space="preserve">详见前附表</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034"/>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034"/>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1013"/>
        <w:ind w:left="0" w:firstLine="0"/>
        <w:jc w:val="center"/>
        <w:rPr>
          <w:rFonts w:ascii="宋体" w:hAnsi="宋体"/>
          <w:sz w:val="21"/>
          <w:szCs w:val="21"/>
          <w:highlight w:val="none"/>
          <w:lang w:val="zh-CN"/>
        </w:rPr>
      </w:pPr>
      <w:r/>
      <w:bookmarkStart w:id="28" w:name="_Toc24711"/>
      <w:r/>
      <w:bookmarkStart w:id="29" w:name="_Toc105397778"/>
      <w:r/>
      <w:bookmarkStart w:id="30" w:name="_Toc7264"/>
      <w:r>
        <w:rPr>
          <w:rFonts w:hint="eastAsia" w:ascii="宋体" w:hAnsi="宋体"/>
          <w:b/>
          <w:sz w:val="44"/>
          <w:szCs w:val="22"/>
          <w:highlight w:val="none"/>
        </w:rPr>
        <w:br w:type="page" w:clear="all"/>
      </w:r>
      <w:r>
        <w:rPr>
          <w:rFonts w:hint="eastAsia" w:ascii="宋体" w:hAnsi="宋体"/>
          <w:b/>
          <w:sz w:val="44"/>
          <w:szCs w:val="22"/>
          <w:highlight w:val="none"/>
        </w:rPr>
        <w:t xml:space="preserve">第三章  </w:t>
      </w:r>
      <w:bookmarkStart w:id="31" w:name="投标文件格式"/>
      <w:r/>
      <w:bookmarkEnd w:id="31"/>
      <w:r>
        <w:rPr>
          <w:rFonts w:hint="eastAsia" w:ascii="宋体" w:hAnsi="宋体"/>
          <w:b/>
          <w:sz w:val="44"/>
          <w:szCs w:val="22"/>
          <w:highlight w:val="none"/>
        </w:rPr>
        <w:t xml:space="preserve">投标文件格式</w:t>
      </w:r>
      <w:bookmarkEnd w:id="28"/>
      <w:r/>
      <w:bookmarkEnd w:id="29"/>
      <w:r/>
      <w:bookmarkEnd w:id="30"/>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034"/>
        <w:ind w:left="0" w:firstLine="420"/>
        <w:spacing w:line="440" w:lineRule="exact"/>
        <w:rPr>
          <w:rFonts w:ascii="宋体" w:hAnsi="宋体"/>
          <w:b/>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ascii="宋体" w:hAnsi="宋体"/>
          <w:b/>
          <w:sz w:val="21"/>
          <w:szCs w:val="21"/>
          <w:highlight w:val="none"/>
        </w:rPr>
        <w:outlineLvl w:val="0"/>
      </w:pPr>
      <w:r/>
      <w:bookmarkStart w:id="32" w:name="_Toc3821"/>
      <w:r/>
      <w:bookmarkStart w:id="33" w:name="_Toc105397779"/>
      <w:r/>
      <w:bookmarkStart w:id="34" w:name="_Toc71810480"/>
      <w:r/>
      <w:bookmarkStart w:id="35" w:name="_Toc17036"/>
      <w:r>
        <w:rPr>
          <w:rFonts w:hint="eastAsia" w:ascii="宋体" w:hAnsi="宋体"/>
          <w:b/>
          <w:sz w:val="21"/>
          <w:szCs w:val="21"/>
          <w:highlight w:val="none"/>
        </w:rPr>
        <w:t xml:space="preserve">附件1.投标函</w:t>
      </w:r>
      <w:bookmarkEnd w:id="32"/>
      <w:r/>
      <w:bookmarkEnd w:id="33"/>
      <w:r/>
      <w:bookmarkEnd w:id="34"/>
      <w:r/>
      <w:bookmarkEnd w:id="35"/>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江苏仁禾中衡工程咨询房地产估价有限公司</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我方收到贵</w:t>
      </w:r>
      <w:r>
        <w:rPr>
          <w:rFonts w:hint="eastAsia" w:ascii="宋体" w:hAnsi="宋体"/>
          <w:sz w:val="21"/>
          <w:szCs w:val="21"/>
          <w:highlight w:val="none"/>
          <w:lang w:val="en-US" w:eastAsia="zh-CN"/>
        </w:rPr>
        <w:t xml:space="preserve">单位</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w:t>
      </w:r>
      <w:r>
        <w:rPr>
          <w:rFonts w:hint="eastAsia" w:ascii="宋体" w:hAnsi="宋体"/>
          <w:sz w:val="21"/>
          <w:szCs w:val="21"/>
          <w:highlight w:val="none"/>
          <w:lang w:val="en-US" w:eastAsia="zh-CN"/>
        </w:rPr>
        <w:t xml:space="preserve">单位</w:t>
      </w:r>
      <w:r>
        <w:rPr>
          <w:rFonts w:hint="eastAsia" w:ascii="宋体" w:hAnsi="宋体"/>
          <w:sz w:val="21"/>
          <w:szCs w:val="21"/>
          <w:highlight w:val="none"/>
          <w:lang w:val="zh-CN"/>
        </w:rPr>
        <w:t xml:space="preserve">作出如下承诺：</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w:t>
      </w:r>
      <w:r>
        <w:rPr>
          <w:rFonts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4</w:t>
      </w:r>
      <w:r>
        <w:rPr>
          <w:rFonts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5</w:t>
      </w:r>
      <w:r>
        <w:rPr>
          <w:rFonts w:ascii="宋体" w:hAnsi="宋体"/>
          <w:sz w:val="21"/>
          <w:szCs w:val="21"/>
          <w:highlight w:val="none"/>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w:t>
      </w:r>
      <w:r>
        <w:rPr>
          <w:rFonts w:ascii="宋体" w:hAnsi="宋体"/>
          <w:sz w:val="21"/>
          <w:szCs w:val="21"/>
          <w:highlight w:val="none"/>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7</w:t>
      </w:r>
      <w:r>
        <w:rPr>
          <w:rFonts w:ascii="宋体" w:hAnsi="宋体"/>
          <w:sz w:val="21"/>
          <w:szCs w:val="21"/>
          <w:highlight w:val="none"/>
        </w:rPr>
        <w:t xml:space="preserve">.</w:t>
      </w:r>
      <w:r>
        <w:rPr>
          <w:rFonts w:hint="eastAsia" w:ascii="宋体" w:hAnsi="宋体"/>
          <w:sz w:val="21"/>
          <w:szCs w:val="21"/>
          <w:highlight w:val="none"/>
          <w:lang w:val="zh-CN"/>
        </w:rPr>
        <w:t xml:space="preserve">我方承诺该项投标在开标后的全过程中保持有效，不作任何更改和变动。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8</w:t>
      </w:r>
      <w:r>
        <w:rPr>
          <w:rFonts w:ascii="宋体" w:hAnsi="宋体"/>
          <w:sz w:val="21"/>
          <w:szCs w:val="21"/>
          <w:highlight w:val="none"/>
        </w:rPr>
        <w:t xml:space="preserve">.</w:t>
      </w:r>
      <w:r>
        <w:rPr>
          <w:rFonts w:hint="eastAsia" w:ascii="宋体" w:hAnsi="宋体"/>
          <w:sz w:val="21"/>
          <w:szCs w:val="21"/>
          <w:highlight w:val="none"/>
          <w:lang w:val="zh-CN"/>
        </w:rPr>
        <w:t xml:space="preserve">我方承诺满足《中华人民共和国政府采购法》第二十二条规定的所有条件。</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9</w:t>
      </w:r>
      <w:r>
        <w:rPr>
          <w:rFonts w:ascii="宋体" w:hAnsi="宋体"/>
          <w:sz w:val="21"/>
          <w:szCs w:val="21"/>
          <w:highlight w:val="none"/>
        </w:rPr>
        <w:t xml:space="preserve">.</w:t>
      </w:r>
      <w:r>
        <w:rPr>
          <w:rFonts w:hint="eastAsia" w:ascii="宋体" w:hAnsi="宋体"/>
          <w:sz w:val="21"/>
          <w:szCs w:val="21"/>
          <w:highlight w:val="none"/>
          <w:lang w:val="zh-CN"/>
        </w:rPr>
        <w:t xml:space="preserve">与本投标有关的通讯地址：</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36" w:name="_Toc105397780"/>
      <w:r/>
      <w:bookmarkStart w:id="37" w:name="_Toc71810481"/>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36"/>
      <w:r/>
      <w:bookmarkEnd w:id="37"/>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38" w:name="TBR"/>
      <w:r/>
      <w:bookmarkEnd w:id="38"/>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39" w:name="XMBH"/>
      <w:r/>
      <w:bookmarkEnd w:id="39"/>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分包号：</w:t>
      </w:r>
      <w:bookmarkStart w:id="40" w:name="FBH"/>
      <w:r/>
      <w:bookmarkEnd w:id="40"/>
      <w:r/>
      <w:r/>
    </w:p>
    <w:tbl>
      <w:tblPr>
        <w:tblStyle w:val="10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bookmarkStart w:id="41" w:name="XMMC"/>
            <w:r/>
            <w:bookmarkEnd w:id="4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42" w:name="JEXX"/>
            <w:r/>
            <w:bookmarkEnd w:id="42"/>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highlight w:val="none"/>
              </w:rPr>
            </w:pPr>
            <w:r/>
            <w:bookmarkStart w:id="43" w:name="JEDX"/>
            <w:r/>
            <w:bookmarkEnd w:id="43"/>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44" w:name="NF"/>
      <w:r/>
      <w:bookmarkEnd w:id="44"/>
      <w:r>
        <w:rPr>
          <w:rFonts w:hint="eastAsia" w:ascii="宋体" w:hAnsi="宋体"/>
          <w:sz w:val="21"/>
          <w:szCs w:val="21"/>
          <w:highlight w:val="none"/>
        </w:rPr>
        <w:t xml:space="preserve"> 年 </w:t>
      </w:r>
      <w:bookmarkStart w:id="45" w:name="YF"/>
      <w:r/>
      <w:bookmarkEnd w:id="45"/>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46" w:name="RI"/>
      <w:r/>
      <w:bookmarkEnd w:id="46"/>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1020"/>
        <w:rPr>
          <w:rFonts w:ascii="宋体" w:hAnsi="宋体"/>
          <w:highlight w:val="none"/>
        </w:rPr>
      </w:pPr>
      <w:r>
        <w:rPr>
          <w:rFonts w:ascii="宋体" w:hAnsi="宋体"/>
          <w:highlight w:val="none"/>
        </w:rPr>
      </w:r>
      <w:r/>
    </w:p>
    <w:p>
      <w:pPr>
        <w:ind w:left="0"/>
        <w:spacing w:line="440" w:lineRule="exact"/>
        <w:rPr>
          <w:rFonts w:ascii="宋体" w:hAnsi="宋体"/>
          <w:b/>
          <w:sz w:val="21"/>
          <w:szCs w:val="21"/>
          <w:highlight w:val="none"/>
        </w:rPr>
      </w:pPr>
      <w:r/>
      <w:bookmarkStart w:id="47" w:name="_Toc7945"/>
      <w:r/>
      <w:bookmarkStart w:id="48" w:name="_Toc241"/>
      <w:r/>
      <w:bookmarkStart w:id="49" w:name="_Toc71810482"/>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1020"/>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rPr>
          <w:rFonts w:ascii="宋体" w:hAnsi="宋体"/>
          <w:b/>
          <w:sz w:val="21"/>
          <w:szCs w:val="21"/>
          <w:highlight w:val="none"/>
        </w:rPr>
        <w:outlineLvl w:val="0"/>
      </w:pPr>
      <w:r/>
      <w:bookmarkStart w:id="50" w:name="_Toc105397781"/>
      <w:r>
        <w:rPr>
          <w:rFonts w:ascii="宋体" w:hAnsi="宋体"/>
          <w:b/>
          <w:sz w:val="21"/>
          <w:szCs w:val="21"/>
          <w:highlight w:val="none"/>
        </w:rPr>
        <w:t xml:space="preserve">附件3</w:t>
      </w:r>
      <w:bookmarkEnd w:id="47"/>
      <w:r/>
      <w:bookmarkEnd w:id="48"/>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公开分项报价</w:t>
      </w:r>
      <w:bookmarkEnd w:id="49"/>
      <w:r/>
      <w:bookmarkEnd w:id="50"/>
      <w:r/>
      <w:r/>
    </w:p>
    <w:p>
      <w:pPr>
        <w:pStyle w:val="1016"/>
        <w:rPr>
          <w:highlight w:val="none"/>
        </w:rPr>
      </w:pPr>
      <w:r>
        <w:rPr>
          <w:highlight w:val="none"/>
        </w:rPr>
      </w:r>
      <w:r/>
    </w:p>
    <w:p>
      <w:pPr>
        <w:ind w:left="0"/>
        <w:jc w:val="center"/>
        <w:spacing w:line="360" w:lineRule="auto"/>
        <w:widowControl w:val="off"/>
        <w:rPr>
          <w:rFonts w:ascii="宋体" w:hAnsi="宋体"/>
          <w:b/>
          <w:sz w:val="21"/>
          <w:szCs w:val="21"/>
          <w:highlight w:val="none"/>
        </w:rPr>
      </w:pPr>
      <w:r>
        <w:rPr>
          <w:rFonts w:hint="eastAsia" w:ascii="宋体" w:hAnsi="宋体"/>
          <w:b/>
          <w:sz w:val="21"/>
          <w:szCs w:val="21"/>
          <w:highlight w:val="none"/>
        </w:rPr>
        <w:t xml:space="preserve">公开分项报价</w:t>
      </w:r>
      <w:r/>
    </w:p>
    <w:p>
      <w:pPr>
        <w:ind w:left="0"/>
        <w:jc w:val="right"/>
        <w:spacing w:line="360" w:lineRule="auto"/>
        <w:rPr>
          <w:rFonts w:ascii="宋体" w:hAnsi="宋体"/>
          <w:sz w:val="21"/>
          <w:szCs w:val="21"/>
          <w:highlight w:val="none"/>
        </w:rPr>
      </w:pPr>
      <w:r>
        <w:rPr>
          <w:rFonts w:hint="eastAsia" w:ascii="宋体" w:hAnsi="宋体"/>
          <w:sz w:val="21"/>
          <w:szCs w:val="21"/>
          <w:highlight w:val="none"/>
        </w:rPr>
        <w:t xml:space="preserve">单位：元（人民币） </w:t>
      </w:r>
      <w:r/>
    </w:p>
    <w:tbl>
      <w:tblPr>
        <w:tblStyle w:val="1015"/>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单位</w:t>
            </w:r>
            <w:r>
              <w:rPr>
                <w:rFonts w:ascii="宋体" w:hAnsi="宋体"/>
                <w:sz w:val="21"/>
                <w:szCs w:val="21"/>
                <w:highlight w:val="none"/>
              </w:rPr>
              <w:t xml:space="preserve">/</w:t>
            </w:r>
            <w:r>
              <w:rPr>
                <w:rFonts w:hint="eastAsia" w:ascii="宋体" w:hAnsi="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highlight w:val="none"/>
              </w:rPr>
            </w:pPr>
            <w:r>
              <w:rPr>
                <w:rFonts w:hint="eastAsia" w:ascii="宋体" w:hAnsi="宋体"/>
                <w:sz w:val="21"/>
                <w:szCs w:val="21"/>
                <w:highlight w:val="none"/>
              </w:rPr>
              <w:t xml:space="preserve">人民币（小写） </w:t>
            </w:r>
            <w:r>
              <w:rPr>
                <w:rFonts w:ascii="宋体" w:hAnsi="宋体"/>
                <w:sz w:val="21"/>
                <w:szCs w:val="21"/>
                <w:highlight w:val="none"/>
              </w:rPr>
              <w:t xml:space="preserve">      </w:t>
            </w:r>
            <w:r>
              <w:rPr>
                <w:rFonts w:hint="eastAsia" w:ascii="宋体" w:hAnsi="宋体"/>
                <w:sz w:val="21"/>
                <w:szCs w:val="21"/>
                <w:highlight w:val="none"/>
              </w:rPr>
              <w:t xml:space="preserve">元</w:t>
            </w:r>
            <w:r/>
          </w:p>
        </w:tc>
      </w:tr>
    </w:tbl>
    <w:p>
      <w:pPr>
        <w:ind w:right="840" w:firstLine="5250"/>
        <w:spacing w:line="360" w:lineRule="auto"/>
        <w:rPr>
          <w:rFonts w:ascii="宋体" w:hAnsi="宋体"/>
          <w:sz w:val="21"/>
          <w:szCs w:val="21"/>
          <w:highlight w:val="none"/>
        </w:rPr>
      </w:pPr>
      <w:r>
        <w:rPr>
          <w:rFonts w:ascii="宋体" w:hAnsi="宋体"/>
          <w:sz w:val="21"/>
          <w:szCs w:val="21"/>
          <w:highlight w:val="none"/>
        </w:rPr>
      </w:r>
      <w:r/>
    </w:p>
    <w:p>
      <w:pPr>
        <w:ind w:right="840" w:firstLine="5250"/>
        <w:spacing w:line="360" w:lineRule="auto"/>
        <w:rPr>
          <w:rFonts w:ascii="宋体" w:hAnsi="宋体"/>
          <w:sz w:val="21"/>
          <w:highlight w:val="none"/>
        </w:rPr>
      </w:pPr>
      <w:r>
        <w:rPr>
          <w:rFonts w:ascii="宋体" w:hAnsi="宋体"/>
          <w:sz w:val="21"/>
          <w:highlight w:val="none"/>
        </w:rPr>
        <w:t xml:space="preserve">投标人（盖章）：</w:t>
      </w:r>
      <w:r/>
    </w:p>
    <w:p>
      <w:pPr>
        <w:jc w:val="right"/>
        <w:spacing w:line="360" w:lineRule="auto"/>
        <w:rPr>
          <w:rFonts w:ascii="宋体" w:hAnsi="宋体"/>
          <w:sz w:val="21"/>
          <w:highlight w:val="none"/>
        </w:rPr>
      </w:pPr>
      <w:r>
        <w:rPr>
          <w:rFonts w:ascii="宋体" w:hAnsi="宋体"/>
          <w:sz w:val="21"/>
          <w:highlight w:val="none"/>
        </w:rPr>
        <w:t xml:space="preserve">法定代表人或代理人（签字或盖章）：</w:t>
      </w:r>
      <w:r/>
    </w:p>
    <w:p>
      <w:pPr>
        <w:ind w:left="0" w:firstLine="6300"/>
        <w:spacing w:line="360" w:lineRule="auto"/>
        <w:rPr>
          <w:rFonts w:ascii="宋体" w:hAnsi="宋体"/>
          <w:sz w:val="21"/>
          <w:highlight w:val="none"/>
        </w:rPr>
      </w:pPr>
      <w:r>
        <w:rPr>
          <w:rFonts w:hint="eastAsia" w:ascii="宋体" w:hAnsi="宋体"/>
          <w:sz w:val="21"/>
          <w:highlight w:val="none"/>
        </w:rPr>
        <w:t xml:space="preserve">日</w:t>
      </w:r>
      <w:r>
        <w:rPr>
          <w:rFonts w:ascii="宋体" w:hAnsi="宋体"/>
          <w:sz w:val="21"/>
          <w:highlight w:val="none"/>
        </w:rPr>
        <w:t xml:space="preserve">    </w:t>
      </w:r>
      <w:r>
        <w:rPr>
          <w:rFonts w:hint="eastAsia" w:ascii="宋体" w:hAnsi="宋体"/>
          <w:sz w:val="21"/>
          <w:highlight w:val="none"/>
        </w:rPr>
        <w:t xml:space="preserve">期：</w:t>
      </w:r>
      <w:r>
        <w:rPr>
          <w:rFonts w:ascii="宋体" w:hAnsi="宋体"/>
          <w:sz w:val="21"/>
          <w:highlight w:val="none"/>
        </w:rPr>
        <w:t xml:space="preserve">     </w:t>
      </w:r>
      <w:r>
        <w:rPr>
          <w:rFonts w:hint="eastAsia" w:ascii="宋体" w:hAnsi="宋体"/>
          <w:sz w:val="21"/>
          <w:highlight w:val="none"/>
        </w:rPr>
        <w:t xml:space="preserve">年</w:t>
      </w:r>
      <w:r>
        <w:rPr>
          <w:rFonts w:ascii="宋体" w:hAnsi="宋体"/>
          <w:sz w:val="21"/>
          <w:highlight w:val="none"/>
        </w:rPr>
        <w:t xml:space="preserve">   </w:t>
      </w:r>
      <w:r>
        <w:rPr>
          <w:rFonts w:hint="eastAsia" w:ascii="宋体" w:hAnsi="宋体"/>
          <w:sz w:val="21"/>
          <w:highlight w:val="none"/>
        </w:rPr>
        <w:t xml:space="preserve">  月</w:t>
      </w:r>
      <w:r>
        <w:rPr>
          <w:rFonts w:ascii="宋体" w:hAnsi="宋体"/>
          <w:sz w:val="21"/>
          <w:highlight w:val="none"/>
        </w:rPr>
        <w:t xml:space="preserve">   </w:t>
      </w:r>
      <w:r>
        <w:rPr>
          <w:rFonts w:hint="eastAsia" w:ascii="宋体" w:hAnsi="宋体"/>
          <w:sz w:val="21"/>
          <w:highlight w:val="none"/>
        </w:rPr>
        <w:t xml:space="preserve"> 日</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注：</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hint="eastAsia" w:ascii="宋体" w:hAnsi="宋体"/>
          <w:sz w:val="21"/>
          <w:szCs w:val="21"/>
          <w:highlight w:val="none"/>
        </w:rPr>
        <w:t xml:space="preserve">遇到法律法规规定的最低工资调整，其中人工费用相应浮动，由供应商自行承担。</w:t>
      </w:r>
      <w:r/>
    </w:p>
    <w:p>
      <w:pPr>
        <w:ind w:left="0"/>
        <w:spacing w:line="360" w:lineRule="auto"/>
        <w:widowControl w:val="off"/>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.若事项较多，投标人可根据投标内容的实际情况另纸说明。</w:t>
      </w:r>
      <w:r>
        <w:rPr>
          <w:rFonts w:ascii="宋体" w:hAnsi="宋体"/>
          <w:sz w:val="21"/>
          <w:szCs w:val="21"/>
          <w:highlight w:val="none"/>
        </w:rPr>
        <w:t xml:space="preserve"> </w:t>
      </w:r>
      <w:r/>
    </w:p>
    <w:p>
      <w:pPr>
        <w:ind w:left="0" w:right="-200"/>
        <w:jc w:val="left"/>
        <w:spacing w:line="360" w:lineRule="auto"/>
        <w:widowControl w:val="off"/>
        <w:rPr>
          <w:rFonts w:ascii="宋体" w:hAnsi="宋体"/>
          <w:sz w:val="21"/>
          <w:szCs w:val="21"/>
          <w:highlight w:val="none"/>
        </w:rPr>
      </w:pPr>
      <w:r>
        <w:rPr>
          <w:rFonts w:ascii="宋体" w:hAnsi="宋体"/>
          <w:sz w:val="21"/>
          <w:szCs w:val="21"/>
          <w:highlight w:val="none"/>
        </w:rPr>
        <w:t xml:space="preserve"> </w:t>
      </w:r>
      <w:r/>
    </w:p>
    <w:p>
      <w:pPr>
        <w:pStyle w:val="1031"/>
        <w:ind w:left="400" w:firstLine="400"/>
        <w:rPr>
          <w:highlight w:val="none"/>
        </w:rPr>
      </w:pPr>
      <w:r>
        <w:rPr>
          <w:highlight w:val="none"/>
        </w:rPr>
      </w: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51" w:name="_Toc105397782"/>
      <w:r/>
      <w:bookmarkStart w:id="52" w:name="_Toc71810483"/>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51"/>
      <w:r/>
      <w:bookmarkEnd w:id="52"/>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w:t>
      </w:r>
      <w:r>
        <w:rPr>
          <w:rFonts w:hint="eastAsia" w:ascii="宋体" w:hAnsi="宋体"/>
          <w:sz w:val="21"/>
          <w:szCs w:val="21"/>
          <w:highlight w:val="none"/>
          <w:u w:val="single"/>
          <w:lang w:eastAsia="zh-CN"/>
        </w:rPr>
        <w:t xml:space="preserve">江苏仁禾中衡工程咨询房地产估价有限公司</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1020"/>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53" w:name="_Toc105397783"/>
      <w:r/>
      <w:bookmarkStart w:id="54" w:name="_Toc71810484"/>
      <w:r/>
      <w:bookmarkStart w:id="55" w:name="_Toc19621"/>
      <w:r/>
      <w:bookmarkStart w:id="56" w:name="_Toc21574"/>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53"/>
      <w:r/>
      <w:bookmarkEnd w:id="54"/>
      <w:r/>
      <w:bookmarkEnd w:id="55"/>
      <w:r/>
      <w:bookmarkEnd w:id="56"/>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中小企业声明函（服务）</w:t>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lang w:eastAsia="zh-CN"/>
        </w:rPr>
        <w:t xml:space="preserve">江苏仁禾中衡工程咨询房地产估价有限公司</w:t>
      </w:r>
      <w:r>
        <w:rPr>
          <w:rFonts w:hint="eastAsia" w:ascii="宋体" w:hAnsi="宋体"/>
          <w:sz w:val="21"/>
          <w:szCs w:val="21"/>
          <w:highlight w:val="none"/>
          <w:u w:val="singl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（单位名称）</w:t>
      </w:r>
      <w:r>
        <w:rPr>
          <w:rFonts w:hint="eastAsia" w:ascii="宋体" w:hAnsi="宋体"/>
          <w:sz w:val="21"/>
          <w:szCs w:val="21"/>
          <w:highlight w:val="none"/>
        </w:rPr>
        <w:t xml:space="preserve">的</w:t>
      </w:r>
      <w:r>
        <w:rPr>
          <w:rFonts w:hint="eastAsia" w:ascii="宋体" w:hAnsi="宋体"/>
          <w:sz w:val="21"/>
          <w:szCs w:val="21"/>
          <w:highlight w:val="none"/>
          <w:u w:val="single"/>
        </w:rPr>
        <w:t xml:space="preserve">（项目名称）</w:t>
      </w:r>
      <w:r>
        <w:rPr>
          <w:rFonts w:hint="eastAsia" w:ascii="宋体" w:hAnsi="宋体"/>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（项目名称）</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（招标文件中明确的所属行业）行业</w:t>
      </w:r>
      <w:r>
        <w:rPr>
          <w:rFonts w:hint="eastAsia" w:ascii="宋体" w:hAnsi="宋体"/>
          <w:sz w:val="21"/>
          <w:szCs w:val="21"/>
          <w:highlight w:val="none"/>
        </w:rPr>
        <w:t xml:space="preserve">；承接企业为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1033"/>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（项目名称）</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（招标文件中明确的所属行业）行业</w:t>
      </w:r>
      <w:r>
        <w:rPr>
          <w:rFonts w:hint="eastAsia" w:ascii="宋体" w:hAnsi="宋体"/>
          <w:sz w:val="21"/>
          <w:szCs w:val="21"/>
          <w:highlight w:val="none"/>
          <w:lang w:val="zh-CN"/>
        </w:rPr>
        <w:t xml:space="preserve">；承接企业为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firstLine="420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p>
    <w:p>
      <w:pPr>
        <w:ind w:left="0" w:right="2500" w:firstLine="525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w:t>
      </w:r>
      <w:r>
        <w:rPr>
          <w:rFonts w:ascii="宋体" w:hAnsi="宋体"/>
          <w:sz w:val="21"/>
          <w:szCs w:val="21"/>
          <w:highlight w:val="none"/>
          <w:lang w:val="zh-CN"/>
        </w:rPr>
        <w:t xml:space="preserve"> </w:t>
      </w:r>
      <w:r>
        <w:rPr>
          <w:rFonts w:hint="eastAsia" w:ascii="宋体" w:hAnsi="宋体"/>
          <w:sz w:val="21"/>
          <w:szCs w:val="21"/>
          <w:highlight w:val="none"/>
          <w:lang w:val="zh-CN"/>
        </w:rPr>
        <w:t xml:space="preserve">日</w:t>
      </w:r>
      <w:r/>
    </w:p>
    <w:p>
      <w:pPr>
        <w:ind w:left="0"/>
        <w:spacing w:line="280" w:lineRule="exact"/>
        <w:rPr>
          <w:rFonts w:ascii="宋体" w:hAnsi="宋体"/>
          <w:b/>
          <w:highlight w:val="none"/>
        </w:rPr>
      </w:pPr>
      <w:r/>
      <w:bookmarkStart w:id="57" w:name="_Toc71810485"/>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highlight w:val="none"/>
          <w:lang w:val="zh-CN"/>
        </w:rPr>
      </w:pPr>
      <w:r>
        <w:rPr>
          <w:rFonts w:ascii="宋体" w:hAnsi="宋体" w:cs="Times New Roman"/>
          <w:highlight w:val="none"/>
          <w:lang w:val="zh-CN"/>
        </w:rPr>
      </w:r>
      <w:r/>
    </w:p>
    <w:p>
      <w:pPr>
        <w:pStyle w:val="1020"/>
        <w:rPr>
          <w:rFonts w:ascii="宋体" w:hAnsi="宋体"/>
          <w:highlight w:val="none"/>
          <w:lang w:val="zh-CN"/>
        </w:rPr>
      </w:pPr>
      <w:r>
        <w:rPr>
          <w:rFonts w:ascii="宋体" w:hAnsi="宋体"/>
          <w:highlight w:val="none"/>
          <w:lang w:val="zh-CN"/>
        </w:rPr>
      </w:r>
      <w:r/>
    </w:p>
    <w:p>
      <w:pPr>
        <w:rPr>
          <w:rFonts w:ascii="宋体" w:hAnsi="宋体"/>
          <w:highlight w:val="none"/>
          <w:lang w:val="zh-CN"/>
        </w:rPr>
      </w:pPr>
      <w:r>
        <w:rPr>
          <w:rFonts w:ascii="宋体" w:hAnsi="宋体"/>
          <w:highlight w:val="none"/>
          <w:lang w:val="zh-CN"/>
        </w:rPr>
      </w:r>
      <w:r/>
    </w:p>
    <w:p>
      <w:pPr>
        <w:pStyle w:val="1016"/>
        <w:rPr>
          <w:rFonts w:ascii="宋体" w:hAnsi="宋体"/>
          <w:highlight w:val="none"/>
          <w:lang w:val="zh-CN"/>
        </w:rPr>
      </w:pPr>
      <w:r>
        <w:rPr>
          <w:rFonts w:ascii="宋体" w:hAnsi="宋体"/>
          <w:highlight w:val="none"/>
          <w:lang w:val="zh-CN"/>
        </w:rPr>
      </w:r>
      <w:r/>
    </w:p>
    <w:p>
      <w:pPr>
        <w:rPr>
          <w:rFonts w:ascii="宋体" w:hAnsi="宋体"/>
          <w:highlight w:val="none"/>
          <w:lang w:val="zh-CN"/>
        </w:rPr>
      </w:pPr>
      <w:r>
        <w:rPr>
          <w:rFonts w:ascii="宋体" w:hAnsi="宋体"/>
          <w:highlight w:val="none"/>
          <w:lang w:val="zh-CN"/>
        </w:rPr>
      </w:r>
      <w:r/>
    </w:p>
    <w:p>
      <w:pPr>
        <w:pStyle w:val="1016"/>
        <w:rPr>
          <w:rFonts w:ascii="宋体" w:hAnsi="宋体"/>
          <w:highlight w:val="none"/>
          <w:lang w:val="zh-CN"/>
        </w:rPr>
      </w:pPr>
      <w:r>
        <w:rPr>
          <w:rFonts w:ascii="宋体" w:hAnsi="宋体"/>
          <w:highlight w:val="none"/>
          <w:lang w:val="zh-CN"/>
        </w:rPr>
      </w:r>
      <w:r/>
    </w:p>
    <w:p>
      <w:pPr>
        <w:rPr>
          <w:rFonts w:ascii="宋体" w:hAnsi="宋体"/>
          <w:highlight w:val="none"/>
          <w:lang w:val="zh-CN"/>
        </w:rPr>
      </w:pPr>
      <w:r>
        <w:rPr>
          <w:rFonts w:ascii="宋体" w:hAnsi="宋体"/>
          <w:highlight w:val="none"/>
          <w:lang w:val="zh-CN"/>
        </w:rPr>
      </w:r>
      <w:r/>
    </w:p>
    <w:p>
      <w:pPr>
        <w:pStyle w:val="1016"/>
        <w:rPr>
          <w:rFonts w:ascii="宋体" w:hAnsi="宋体"/>
          <w:highlight w:val="none"/>
          <w:lang w:val="zh-CN"/>
        </w:rPr>
      </w:pPr>
      <w:r>
        <w:rPr>
          <w:rFonts w:ascii="宋体" w:hAnsi="宋体"/>
          <w:highlight w:val="none"/>
          <w:lang w:val="zh-CN"/>
        </w:rPr>
      </w:r>
      <w:r/>
    </w:p>
    <w:p>
      <w:pPr>
        <w:rPr>
          <w:rFonts w:ascii="宋体" w:hAnsi="宋体"/>
          <w:highlight w:val="none"/>
          <w:lang w:val="zh-CN"/>
        </w:rPr>
      </w:pPr>
      <w:r>
        <w:rPr>
          <w:rFonts w:ascii="宋体" w:hAnsi="宋体"/>
          <w:highlight w:val="none"/>
          <w:lang w:val="zh-CN"/>
        </w:rPr>
      </w:r>
      <w:r/>
    </w:p>
    <w:p>
      <w:pPr>
        <w:pStyle w:val="1016"/>
        <w:rPr>
          <w:rFonts w:ascii="宋体" w:hAnsi="宋体"/>
          <w:highlight w:val="none"/>
          <w:lang w:val="zh-CN"/>
        </w:rPr>
      </w:pPr>
      <w:r>
        <w:rPr>
          <w:rFonts w:ascii="宋体" w:hAnsi="宋体"/>
          <w:highlight w:val="none"/>
          <w:lang w:val="zh-CN"/>
        </w:rPr>
      </w:r>
      <w:r/>
    </w:p>
    <w:p>
      <w:pPr>
        <w:rPr>
          <w:rFonts w:ascii="宋体" w:hAnsi="宋体"/>
          <w:highlight w:val="none"/>
          <w:lang w:val="zh-CN"/>
        </w:rPr>
      </w:pPr>
      <w:r>
        <w:rPr>
          <w:rFonts w:ascii="宋体" w:hAnsi="宋体"/>
          <w:highlight w:val="none"/>
          <w:lang w:val="zh-CN"/>
        </w:rPr>
      </w:r>
      <w:r/>
    </w:p>
    <w:p>
      <w:pPr>
        <w:pStyle w:val="1016"/>
        <w:rPr>
          <w:rFonts w:ascii="宋体" w:hAnsi="宋体"/>
          <w:highlight w:val="none"/>
          <w:lang w:val="zh-CN"/>
        </w:rPr>
      </w:pPr>
      <w:r>
        <w:rPr>
          <w:rFonts w:ascii="宋体" w:hAnsi="宋体"/>
          <w:highlight w:val="none"/>
          <w:lang w:val="zh-CN"/>
        </w:rPr>
      </w:r>
      <w:r/>
    </w:p>
    <w:p>
      <w:pPr>
        <w:rPr>
          <w:rFonts w:ascii="宋体" w:hAnsi="宋体"/>
          <w:highlight w:val="none"/>
          <w:lang w:val="zh-CN"/>
        </w:rPr>
      </w:pPr>
      <w:r>
        <w:rPr>
          <w:rFonts w:ascii="宋体" w:hAnsi="宋体"/>
          <w:highlight w:val="none"/>
          <w:lang w:val="zh-CN"/>
        </w:rPr>
      </w:r>
      <w:r/>
    </w:p>
    <w:p>
      <w:pPr>
        <w:pStyle w:val="1016"/>
        <w:rPr>
          <w:rFonts w:ascii="宋体" w:hAnsi="宋体"/>
          <w:highlight w:val="none"/>
          <w:lang w:val="zh-CN"/>
        </w:rPr>
      </w:pPr>
      <w:r>
        <w:rPr>
          <w:rFonts w:ascii="宋体" w:hAnsi="宋体"/>
          <w:highlight w:val="none"/>
          <w:lang w:val="zh-CN"/>
        </w:rPr>
      </w:r>
      <w:r/>
    </w:p>
    <w:p>
      <w:pPr>
        <w:rPr>
          <w:rFonts w:ascii="宋体" w:hAnsi="宋体"/>
          <w:highlight w:val="none"/>
          <w:lang w:val="zh-CN"/>
        </w:rPr>
      </w:pPr>
      <w:r>
        <w:rPr>
          <w:rFonts w:ascii="宋体" w:hAnsi="宋体"/>
          <w:highlight w:val="none"/>
          <w:lang w:val="zh-CN"/>
        </w:rPr>
      </w:r>
      <w:r/>
    </w:p>
    <w:p>
      <w:pPr>
        <w:pStyle w:val="1016"/>
        <w:rPr>
          <w:highlight w:val="none"/>
          <w:lang w:val="zh-CN"/>
        </w:rPr>
      </w:pPr>
      <w:r>
        <w:rPr>
          <w:highlight w:val="none"/>
          <w:lang w:val="zh-CN"/>
        </w:rPr>
      </w:r>
      <w:r/>
    </w:p>
    <w:p>
      <w:pPr>
        <w:ind w:left="0" w:firstLine="0"/>
        <w:rPr>
          <w:rFonts w:ascii="宋体" w:hAnsi="宋体"/>
          <w:highlight w:val="none"/>
          <w:lang w:val="zh-CN"/>
        </w:rPr>
      </w:pPr>
      <w:r>
        <w:rPr>
          <w:rFonts w:ascii="宋体" w:hAnsi="宋体"/>
          <w:highlight w:val="none"/>
          <w:lang w:val="zh-CN"/>
        </w:rPr>
      </w:r>
      <w:r/>
    </w:p>
    <w:p>
      <w:pPr>
        <w:ind w:left="0"/>
        <w:jc w:val="left"/>
        <w:rPr>
          <w:rFonts w:ascii="宋体" w:hAnsi="宋体"/>
          <w:b/>
          <w:bCs/>
          <w:sz w:val="21"/>
          <w:szCs w:val="21"/>
          <w:highlight w:val="none"/>
        </w:rPr>
        <w:outlineLvl w:val="0"/>
      </w:pPr>
      <w:r/>
      <w:bookmarkStart w:id="58"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57"/>
      <w:r/>
      <w:bookmarkEnd w:id="58"/>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59" w:name="_Toc32206"/>
      <w:r/>
      <w:bookmarkStart w:id="60" w:name="_Toc15378"/>
      <w:r/>
      <w:bookmarkStart w:id="61" w:name="_Toc3869"/>
      <w:r>
        <w:rPr>
          <w:rFonts w:hint="eastAsia" w:ascii="宋体" w:hAnsi="宋体"/>
          <w:sz w:val="21"/>
          <w:szCs w:val="21"/>
          <w:highlight w:val="none"/>
          <w:u w:val="single"/>
          <w:lang w:val="zh-CN"/>
        </w:rPr>
        <w:t xml:space="preserve">江苏仁禾中衡工程咨询房地产估价有限公司</w:t>
      </w:r>
      <w:r>
        <w:rPr>
          <w:rFonts w:hint="eastAsia" w:ascii="宋体" w:hAnsi="宋体"/>
          <w:sz w:val="21"/>
          <w:szCs w:val="21"/>
          <w:highlight w:val="none"/>
          <w:lang w:val="zh-CN"/>
        </w:rPr>
        <w:t xml:space="preserve">：</w:t>
      </w:r>
      <w:bookmarkEnd w:id="59"/>
      <w:r/>
      <w:bookmarkEnd w:id="60"/>
      <w:r/>
      <w:bookmarkEnd w:id="61"/>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w:t>
      </w:r>
      <w:r>
        <w:rPr>
          <w:rFonts w:hint="eastAsia" w:ascii="宋体" w:hAnsi="宋体"/>
          <w:sz w:val="21"/>
          <w:szCs w:val="21"/>
          <w:highlight w:val="none"/>
          <w:lang w:val="en-US" w:eastAsia="zh-CN"/>
        </w:rPr>
        <w:t xml:space="preserve">单位</w:t>
      </w:r>
      <w:r>
        <w:rPr>
          <w:rFonts w:hint="eastAsia" w:ascii="宋体" w:hAnsi="宋体"/>
          <w:sz w:val="21"/>
          <w:szCs w:val="21"/>
          <w:highlight w:val="none"/>
          <w:lang w:val="zh-CN"/>
        </w:rPr>
        <w:t xml:space="preserve">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036"/>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31"/>
        <w:ind w:left="0" w:firstLine="0"/>
        <w:rPr>
          <w:rFonts w:ascii="宋体" w:hAnsi="宋体"/>
          <w:b/>
          <w:highlight w:val="none"/>
          <w:lang w:val="zh-CN"/>
        </w:rPr>
      </w:pPr>
      <w:r>
        <w:rPr>
          <w:rFonts w:ascii="宋体" w:hAnsi="宋体"/>
          <w:b/>
          <w:highlight w:val="none"/>
          <w:lang w:val="zh-CN"/>
        </w:rPr>
      </w:r>
      <w:r/>
    </w:p>
    <w:p>
      <w:pPr>
        <w:pStyle w:val="1031"/>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1031"/>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103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103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103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103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31"/>
        <w:ind w:left="0" w:firstLine="40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1"/>
        <w:ind w:left="0" w:firstLine="402"/>
        <w:rPr>
          <w:rFonts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1031"/>
        <w:ind w:left="0" w:firstLine="402"/>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62" w:name="_Toc71810487"/>
      <w:r/>
      <w:bookmarkStart w:id="63" w:name="_Toc105397785"/>
      <w:r>
        <w:rPr>
          <w:rFonts w:ascii="宋体" w:hAnsi="宋体"/>
          <w:b/>
          <w:sz w:val="21"/>
          <w:szCs w:val="21"/>
          <w:highlight w:val="none"/>
        </w:rPr>
        <w:t xml:space="preserve">附件7</w:t>
      </w:r>
      <w:r>
        <w:rPr>
          <w:rFonts w:hint="eastAsia" w:ascii="宋体" w:hAnsi="宋体"/>
          <w:b/>
          <w:sz w:val="21"/>
          <w:szCs w:val="21"/>
          <w:highlight w:val="none"/>
        </w:rPr>
        <w:t xml:space="preserve">.</w:t>
      </w:r>
      <w:bookmarkEnd w:id="62"/>
      <w:r>
        <w:rPr>
          <w:rFonts w:hint="eastAsia" w:ascii="宋体" w:hAnsi="宋体"/>
          <w:highlight w:val="none"/>
        </w:rPr>
        <w:t xml:space="preserve"> </w:t>
      </w:r>
      <w:r>
        <w:rPr>
          <w:rFonts w:hint="eastAsia" w:ascii="宋体" w:hAnsi="宋体"/>
          <w:b/>
          <w:sz w:val="21"/>
          <w:szCs w:val="21"/>
          <w:highlight w:val="none"/>
        </w:rPr>
        <w:t xml:space="preserve">偏离表（技术、商务）</w:t>
      </w:r>
      <w:bookmarkEnd w:id="63"/>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偏离表（技术、商务）</w:t>
      </w:r>
      <w:r/>
    </w:p>
    <w:tbl>
      <w:tblPr>
        <w:tblStyle w:val="10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firstLine="4830"/>
        <w:jc w:val="left"/>
        <w:spacing w:line="360" w:lineRule="auto"/>
        <w:rPr>
          <w:rFonts w:ascii="宋体" w:hAnsi="宋体"/>
          <w:sz w:val="21"/>
          <w:szCs w:val="21"/>
          <w:highlight w:val="none"/>
        </w:rPr>
      </w:pPr>
      <w:r/>
      <w:bookmarkStart w:id="64" w:name="_Toc31973"/>
      <w:r/>
      <w:bookmarkStart w:id="65" w:name="_Toc27138"/>
      <w:r>
        <w:rPr>
          <w:rFonts w:ascii="宋体" w:hAnsi="宋体"/>
          <w:sz w:val="21"/>
          <w:szCs w:val="21"/>
          <w:highlight w:val="none"/>
        </w:rPr>
        <w:t xml:space="preserve"> </w:t>
      </w:r>
      <w:r/>
    </w:p>
    <w:p>
      <w:pPr>
        <w:pStyle w:val="1020"/>
        <w:rPr>
          <w:rFonts w:ascii="宋体" w:hAnsi="宋体" w:cs="宋体"/>
          <w:sz w:val="21"/>
          <w:szCs w:val="21"/>
          <w:highlight w:val="none"/>
        </w:rPr>
      </w:pPr>
      <w:r>
        <w:rPr>
          <w:rFonts w:ascii="宋体" w:hAnsi="宋体" w:cs="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pStyle w:val="1020"/>
        <w:rPr>
          <w:rFonts w:ascii="宋体" w:hAnsi="宋体"/>
          <w:highlight w:val="none"/>
        </w:rPr>
      </w:pPr>
      <w:r>
        <w:rPr>
          <w:rFonts w:ascii="宋体" w:hAnsi="宋体"/>
          <w:highlight w:val="none"/>
        </w:rPr>
      </w:r>
      <w:r/>
    </w:p>
    <w:p>
      <w:pPr>
        <w:pStyle w:val="1018"/>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pStyle w:val="1020"/>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pStyle w:val="1018"/>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66" w:name="_Toc105397786"/>
      <w:r>
        <w:rPr>
          <w:rFonts w:ascii="宋体" w:hAnsi="宋体"/>
          <w:b/>
          <w:sz w:val="21"/>
          <w:szCs w:val="21"/>
          <w:highlight w:val="none"/>
        </w:rPr>
        <w:t xml:space="preserve">附件8</w:t>
      </w:r>
      <w:r>
        <w:rPr>
          <w:rFonts w:hint="eastAsia" w:ascii="宋体" w:hAnsi="宋体"/>
          <w:b/>
          <w:sz w:val="21"/>
          <w:szCs w:val="21"/>
          <w:highlight w:val="none"/>
        </w:rPr>
        <w:t xml:space="preserve">.项目服务人员配置表</w:t>
      </w:r>
      <w:bookmarkEnd w:id="66"/>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项目服务人员配置表</w:t>
      </w:r>
      <w:r/>
    </w:p>
    <w:tbl>
      <w:tblPr>
        <w:tblStyle w:val="1015"/>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岗位</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姓名</w:t>
            </w:r>
            <w:r/>
          </w:p>
        </w:tc>
        <w:tc>
          <w:tcPr>
            <w:tcW w:w="99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性别</w:t>
            </w:r>
            <w:r/>
          </w:p>
        </w:tc>
        <w:tc>
          <w:tcPr>
            <w:tcW w:w="1299"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年龄</w:t>
            </w:r>
            <w:r/>
          </w:p>
        </w:tc>
        <w:tc>
          <w:tcPr>
            <w:tcW w:w="156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职称</w:t>
            </w:r>
            <w:r>
              <w:rPr>
                <w:rFonts w:hint="eastAsia" w:ascii="宋体" w:hAnsi="宋体" w:cs="Times New Roman"/>
                <w:sz w:val="21"/>
                <w:szCs w:val="21"/>
                <w:highlight w:val="none"/>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宋体" w:hAnsi="宋体"/>
          <w:b/>
          <w:sz w:val="21"/>
          <w:szCs w:val="21"/>
          <w:highlight w:val="none"/>
        </w:rPr>
      </w:pPr>
      <w:r>
        <w:rPr>
          <w:rFonts w:hint="eastAsia" w:ascii="宋体" w:hAnsi="宋体"/>
          <w:b/>
          <w:sz w:val="21"/>
          <w:szCs w:val="21"/>
          <w:highlight w:val="none"/>
        </w:rPr>
        <w:t xml:space="preserve">注：</w:t>
      </w:r>
      <w:r>
        <w:rPr>
          <w:rFonts w:hint="eastAsia" w:ascii="Times New Roman" w:hAnsi="Times New Roman"/>
          <w:b/>
          <w:sz w:val="21"/>
          <w:highlight w:val="none"/>
        </w:rPr>
        <w:t xml:space="preserve">服务类项目中供应商若使用退休人员，将不享受</w:t>
      </w:r>
      <w:r>
        <w:rPr>
          <w:rFonts w:hint="eastAsia"/>
          <w:b/>
          <w:sz w:val="21"/>
          <w:highlight w:val="none"/>
        </w:rPr>
        <w:t xml:space="preserve">中小企业</w:t>
      </w:r>
      <w:r>
        <w:rPr>
          <w:rFonts w:hint="eastAsia" w:ascii="Times New Roman" w:hAnsi="Times New Roman"/>
          <w:b/>
          <w:sz w:val="21"/>
          <w:highlight w:val="none"/>
        </w:rPr>
        <w:t xml:space="preserve">扶持政策。</w:t>
      </w:r>
      <w:r/>
    </w:p>
    <w:p>
      <w:pPr>
        <w:ind w:left="0" w:firstLine="420"/>
        <w:jc w:val="left"/>
        <w:spacing w:line="360" w:lineRule="auto"/>
        <w:widowControl w:val="off"/>
        <w:rPr>
          <w:rFonts w:ascii="Times New Roman" w:hAnsi="Times New Roman"/>
          <w:sz w:val="21"/>
          <w:highlight w:val="none"/>
        </w:rPr>
      </w:pPr>
      <w:r>
        <w:rPr>
          <w:rFonts w:ascii="Times New Roman" w:hAnsi="Times New Roman"/>
          <w:sz w:val="21"/>
          <w:highlight w:val="none"/>
        </w:rPr>
        <w:t xml:space="preserve"> </w:t>
      </w:r>
      <w:r/>
    </w:p>
    <w:p>
      <w:pPr>
        <w:ind w:right="840" w:firstLine="5250"/>
        <w:spacing w:line="360" w:lineRule="auto"/>
        <w:rPr>
          <w:rFonts w:ascii="宋体" w:hAnsi="宋体"/>
          <w:sz w:val="21"/>
          <w:highlight w:val="none"/>
        </w:rPr>
      </w:pPr>
      <w:r>
        <w:rPr>
          <w:rFonts w:ascii="宋体" w:hAnsi="宋体"/>
          <w:sz w:val="21"/>
          <w:highlight w:val="none"/>
        </w:rPr>
        <w:t xml:space="preserve">投标人（盖章）：</w:t>
      </w:r>
      <w:r/>
    </w:p>
    <w:p>
      <w:pPr>
        <w:jc w:val="right"/>
        <w:spacing w:line="360" w:lineRule="auto"/>
        <w:rPr>
          <w:rFonts w:ascii="宋体" w:hAnsi="宋体"/>
          <w:sz w:val="21"/>
          <w:highlight w:val="none"/>
        </w:rPr>
      </w:pPr>
      <w:r>
        <w:rPr>
          <w:rFonts w:ascii="宋体" w:hAnsi="宋体"/>
          <w:sz w:val="21"/>
          <w:highlight w:val="none"/>
        </w:rPr>
        <w:t xml:space="preserve">法定代表人或代理人（签字或盖章）：</w:t>
      </w:r>
      <w:r/>
    </w:p>
    <w:p>
      <w:pPr>
        <w:ind w:left="0" w:firstLine="6300"/>
        <w:spacing w:line="360" w:lineRule="auto"/>
        <w:rPr>
          <w:rFonts w:ascii="宋体" w:hAnsi="宋体"/>
          <w:sz w:val="21"/>
          <w:highlight w:val="none"/>
        </w:rPr>
      </w:pPr>
      <w:r>
        <w:rPr>
          <w:rFonts w:hint="eastAsia" w:ascii="宋体" w:hAnsi="宋体"/>
          <w:sz w:val="21"/>
          <w:highlight w:val="none"/>
        </w:rPr>
        <w:t xml:space="preserve">日</w:t>
      </w:r>
      <w:r>
        <w:rPr>
          <w:rFonts w:ascii="宋体" w:hAnsi="宋体"/>
          <w:sz w:val="21"/>
          <w:highlight w:val="none"/>
        </w:rPr>
        <w:t xml:space="preserve">    </w:t>
      </w:r>
      <w:r>
        <w:rPr>
          <w:rFonts w:hint="eastAsia" w:ascii="宋体" w:hAnsi="宋体"/>
          <w:sz w:val="21"/>
          <w:highlight w:val="none"/>
        </w:rPr>
        <w:t xml:space="preserve">期：</w:t>
      </w:r>
      <w:r>
        <w:rPr>
          <w:rFonts w:ascii="宋体" w:hAnsi="宋体"/>
          <w:sz w:val="21"/>
          <w:highlight w:val="none"/>
        </w:rPr>
        <w:t xml:space="preserve">     </w:t>
      </w:r>
      <w:r>
        <w:rPr>
          <w:rFonts w:hint="eastAsia" w:ascii="宋体" w:hAnsi="宋体"/>
          <w:sz w:val="21"/>
          <w:highlight w:val="none"/>
        </w:rPr>
        <w:t xml:space="preserve">年</w:t>
      </w:r>
      <w:r>
        <w:rPr>
          <w:rFonts w:ascii="宋体" w:hAnsi="宋体"/>
          <w:sz w:val="21"/>
          <w:highlight w:val="none"/>
        </w:rPr>
        <w:t xml:space="preserve">   </w:t>
      </w:r>
      <w:r>
        <w:rPr>
          <w:rFonts w:hint="eastAsia" w:ascii="宋体" w:hAnsi="宋体"/>
          <w:sz w:val="21"/>
          <w:highlight w:val="none"/>
        </w:rPr>
        <w:t xml:space="preserve">  月</w:t>
      </w:r>
      <w:r>
        <w:rPr>
          <w:rFonts w:ascii="宋体" w:hAnsi="宋体"/>
          <w:sz w:val="21"/>
          <w:highlight w:val="none"/>
        </w:rPr>
        <w:t xml:space="preserve">   </w:t>
      </w:r>
      <w:r>
        <w:rPr>
          <w:rFonts w:hint="eastAsia" w:ascii="宋体" w:hAnsi="宋体"/>
          <w:sz w:val="21"/>
          <w:highlight w:val="none"/>
        </w:rPr>
        <w:t xml:space="preserve"> 日</w:t>
      </w:r>
      <w:r/>
    </w:p>
    <w:p>
      <w:pPr>
        <w:ind w:left="0"/>
        <w:jc w:val="left"/>
        <w:rPr>
          <w:rFonts w:ascii="宋体" w:hAnsi="宋体"/>
          <w:b/>
          <w:sz w:val="21"/>
          <w:szCs w:val="21"/>
          <w:highlight w:val="none"/>
        </w:rPr>
        <w:outlineLvl w:val="0"/>
      </w:pPr>
      <w:r/>
      <w:bookmarkStart w:id="67" w:name="_Toc105397787"/>
      <w:r/>
      <w:bookmarkStart w:id="68" w:name="_Toc71810489"/>
      <w:r>
        <w:rPr>
          <w:rFonts w:ascii="宋体" w:hAnsi="宋体"/>
          <w:b/>
          <w:sz w:val="21"/>
          <w:szCs w:val="21"/>
          <w:highlight w:val="none"/>
        </w:rPr>
        <w:br w:type="page" w:clear="all"/>
      </w:r>
      <w:r>
        <w:rPr>
          <w:rFonts w:ascii="宋体" w:hAnsi="宋体"/>
          <w:b/>
          <w:sz w:val="21"/>
          <w:szCs w:val="21"/>
          <w:highlight w:val="none"/>
        </w:rPr>
        <w:t xml:space="preserve">附件9</w:t>
      </w:r>
      <w:r>
        <w:rPr>
          <w:rFonts w:hint="eastAsia" w:ascii="宋体" w:hAnsi="宋体"/>
          <w:b/>
          <w:sz w:val="21"/>
          <w:szCs w:val="21"/>
          <w:highlight w:val="none"/>
        </w:rPr>
        <w:t xml:space="preserve">.相关业绩一览表</w:t>
      </w:r>
      <w:bookmarkEnd w:id="67"/>
      <w:r/>
      <w:bookmarkEnd w:id="68"/>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p>
    <w:tbl>
      <w:tblPr>
        <w:tblStyle w:val="101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84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20"/>
        <w:rPr>
          <w:rFonts w:ascii="宋体" w:hAnsi="宋体"/>
          <w:highlight w:val="none"/>
        </w:rPr>
      </w:pPr>
      <w:r>
        <w:rPr>
          <w:rFonts w:ascii="宋体" w:hAnsi="宋体"/>
          <w:highlight w:val="none"/>
        </w:rPr>
      </w:r>
      <w:r/>
    </w:p>
    <w:p>
      <w:pPr>
        <w:pStyle w:val="1018"/>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rPr>
          <w:rFonts w:ascii="宋体" w:hAnsi="宋体"/>
          <w:sz w:val="21"/>
          <w:szCs w:val="21"/>
          <w:highlight w:val="none"/>
        </w:rPr>
        <w:br w:type="page" w:clear="all"/>
      </w:r>
      <w:bookmarkEnd w:id="64"/>
      <w:r/>
      <w:bookmarkEnd w:id="65"/>
      <w:r/>
      <w:bookmarkStart w:id="69" w:name="_Toc105397788"/>
      <w:r/>
      <w:bookmarkStart w:id="70" w:name="_Toc71810490"/>
      <w:r>
        <w:rPr>
          <w:rFonts w:ascii="宋体" w:hAnsi="宋体"/>
          <w:b/>
          <w:sz w:val="21"/>
          <w:szCs w:val="21"/>
          <w:highlight w:val="none"/>
        </w:rPr>
        <w:t xml:space="preserve">附件</w:t>
      </w:r>
      <w:r>
        <w:rPr>
          <w:rFonts w:hint="eastAsia" w:ascii="宋体" w:hAnsi="宋体"/>
          <w:b/>
          <w:sz w:val="21"/>
          <w:szCs w:val="21"/>
          <w:highlight w:val="none"/>
        </w:rPr>
        <w:t xml:space="preserve">1</w:t>
      </w:r>
      <w:r>
        <w:rPr>
          <w:rFonts w:ascii="宋体" w:hAnsi="宋体"/>
          <w:b/>
          <w:sz w:val="21"/>
          <w:szCs w:val="21"/>
          <w:highlight w:val="none"/>
        </w:rPr>
        <w:t xml:space="preserve">0</w:t>
      </w:r>
      <w:r>
        <w:rPr>
          <w:rFonts w:hint="eastAsia" w:ascii="宋体" w:hAnsi="宋体"/>
          <w:b/>
          <w:sz w:val="21"/>
          <w:szCs w:val="21"/>
          <w:highlight w:val="none"/>
        </w:rPr>
        <w:t xml:space="preserve">.针对本项目的实施方案</w:t>
      </w:r>
      <w:bookmarkEnd w:id="69"/>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针对本项目的实施方案</w:t>
      </w:r>
      <w:r/>
    </w:p>
    <w:tbl>
      <w:tblPr>
        <w:tblStyle w:val="1015"/>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提示：</w:t>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sz w:val="21"/>
                <w:szCs w:val="21"/>
                <w:highlight w:val="none"/>
              </w:rPr>
              <w:t xml:space="preserve">.</w:t>
            </w:r>
            <w:r>
              <w:rPr>
                <w:rFonts w:hint="eastAsia" w:ascii="宋体" w:hAnsi="宋体" w:cs="Times New Roman"/>
                <w:sz w:val="21"/>
                <w:szCs w:val="21"/>
                <w:highlight w:val="none"/>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highlight w:val="none"/>
              </w:rPr>
            </w:pPr>
            <w:r>
              <w:rPr>
                <w:rFonts w:hint="eastAsia" w:ascii="宋体" w:hAnsi="宋体" w:cs="Times New Roman"/>
                <w:sz w:val="21"/>
                <w:szCs w:val="21"/>
                <w:highlight w:val="none"/>
              </w:rPr>
              <w:t xml:space="preserve">2</w:t>
            </w:r>
            <w:r>
              <w:rPr>
                <w:rFonts w:ascii="宋体" w:hAnsi="宋体"/>
                <w:sz w:val="21"/>
                <w:szCs w:val="21"/>
                <w:highlight w:val="none"/>
              </w:rPr>
              <w:t xml:space="preserve">.</w:t>
            </w:r>
            <w:r>
              <w:rPr>
                <w:rFonts w:hint="eastAsia" w:ascii="宋体" w:hAnsi="宋体" w:cs="Times New Roman"/>
                <w:sz w:val="21"/>
                <w:szCs w:val="21"/>
                <w:highlight w:val="none"/>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 </w:t>
            </w:r>
            <w:r/>
          </w:p>
        </w:tc>
      </w:tr>
    </w:tbl>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20"/>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pStyle w:val="1018"/>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71"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70"/>
      <w:r/>
      <w:bookmarkEnd w:id="71"/>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lang w:eastAsia="zh-CN"/>
        </w:rPr>
        <w:t xml:space="preserve">江苏仁禾中衡工程咨询房地产估价有限公司</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lang w:val="en-US" w:eastAsia="zh-CN"/>
        </w:rPr>
        <w:t xml:space="preserve">单位</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rPr>
          <w:highlight w:val="none"/>
          <w:lang w:val="zh-CN"/>
        </w:rPr>
      </w:pPr>
      <w:r>
        <w:rPr>
          <w:rFonts w:ascii="宋体" w:hAnsi="宋体"/>
          <w:sz w:val="21"/>
          <w:szCs w:val="21"/>
          <w:highlight w:val="none"/>
        </w:rPr>
        <w:br w:type="page" w:clear="all"/>
      </w:r>
      <w:r/>
    </w:p>
    <w:p>
      <w:pPr>
        <w:pStyle w:val="1013"/>
        <w:ind w:left="0" w:firstLine="0"/>
        <w:jc w:val="center"/>
        <w:rPr>
          <w:rFonts w:ascii="宋体" w:hAnsi="宋体"/>
          <w:b/>
          <w:sz w:val="44"/>
          <w:szCs w:val="22"/>
          <w:highlight w:val="none"/>
        </w:rPr>
      </w:pPr>
      <w:r/>
      <w:bookmarkStart w:id="72" w:name="_Toc23660"/>
      <w:r/>
      <w:bookmarkStart w:id="73" w:name="_Toc105397793"/>
      <w:r/>
      <w:bookmarkStart w:id="74" w:name="_Toc4098"/>
      <w:r>
        <w:rPr>
          <w:rFonts w:hint="eastAsia" w:ascii="宋体" w:hAnsi="宋体"/>
          <w:b/>
          <w:sz w:val="44"/>
          <w:szCs w:val="22"/>
          <w:highlight w:val="none"/>
        </w:rPr>
        <w:t xml:space="preserve">第四章  </w:t>
      </w:r>
      <w:bookmarkStart w:id="75" w:name="招标书"/>
      <w:r/>
      <w:bookmarkEnd w:id="75"/>
      <w:r>
        <w:rPr>
          <w:rFonts w:hint="eastAsia" w:ascii="宋体" w:hAnsi="宋体"/>
          <w:b/>
          <w:sz w:val="44"/>
          <w:szCs w:val="22"/>
          <w:highlight w:val="none"/>
        </w:rPr>
        <w:t xml:space="preserve">招标书</w:t>
      </w:r>
      <w:bookmarkEnd w:id="72"/>
      <w:r/>
      <w:bookmarkEnd w:id="73"/>
      <w:r/>
      <w:bookmarkEnd w:id="74"/>
      <w:r/>
      <w:r/>
    </w:p>
    <w:p>
      <w:pPr>
        <w:ind w:left="0" w:firstLine="0"/>
        <w:spacing w:line="360" w:lineRule="auto"/>
        <w:tabs>
          <w:tab w:val="left" w:pos="0" w:leader="none"/>
        </w:tabs>
        <w:rPr>
          <w:rFonts w:ascii="宋体" w:hAnsi="宋体"/>
          <w:sz w:val="21"/>
          <w:highlight w:val="none"/>
        </w:rPr>
      </w:pPr>
      <w:r>
        <w:rPr>
          <w:rFonts w:hint="eastAsia" w:ascii="宋体" w:hAnsi="宋体"/>
          <w:sz w:val="21"/>
          <w:highlight w:val="none"/>
          <w:lang w:eastAsia="zh-CN"/>
        </w:rPr>
        <w:t xml:space="preserve">江苏仁禾中衡工程咨询房地产估价有限公司</w:t>
      </w:r>
      <w:r>
        <w:rPr>
          <w:rFonts w:ascii="宋体" w:hAnsi="宋体"/>
          <w:sz w:val="21"/>
          <w:highlight w:val="none"/>
        </w:rPr>
        <w:t xml:space="preserve">受</w:t>
      </w:r>
      <w:r>
        <w:rPr>
          <w:rFonts w:hint="eastAsia" w:ascii="宋体" w:hAnsi="宋体"/>
          <w:sz w:val="21"/>
          <w:szCs w:val="21"/>
          <w:highlight w:val="none"/>
          <w:u w:val="single"/>
          <w:lang w:eastAsia="zh-CN"/>
        </w:rPr>
        <w:t xml:space="preserve">苏州市相城区第二人民医院</w:t>
      </w:r>
      <w:r>
        <w:rPr>
          <w:rFonts w:ascii="宋体" w:hAnsi="宋体"/>
          <w:sz w:val="21"/>
          <w:highlight w:val="none"/>
        </w:rPr>
        <w:t xml:space="preserve">的委托，就</w:t>
      </w:r>
      <w:r>
        <w:rPr>
          <w:rFonts w:hint="eastAsia" w:ascii="宋体" w:hAnsi="宋体"/>
          <w:sz w:val="21"/>
          <w:highlight w:val="none"/>
          <w:u w:val="single"/>
          <w:lang w:eastAsia="zh-CN"/>
        </w:rPr>
        <w:t xml:space="preserve">相二院食堂餐饮服务</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p>
    <w:p>
      <w:pPr>
        <w:ind w:left="0" w:firstLine="420"/>
        <w:spacing w:line="360" w:lineRule="auto"/>
        <w:tabs>
          <w:tab w:val="left" w:pos="0" w:leader="none"/>
        </w:tabs>
        <w:rPr>
          <w:rFonts w:hint="eastAsia" w:ascii="宋体" w:hAnsi="宋体" w:eastAsia="宋体"/>
          <w:sz w:val="21"/>
          <w:highlight w:val="none"/>
          <w:lang w:eastAsia="zh-CN"/>
        </w:rPr>
      </w:pPr>
      <w:r>
        <w:rPr>
          <w:rFonts w:hint="eastAsia" w:ascii="宋体" w:hAnsi="宋体"/>
          <w:sz w:val="21"/>
          <w:highlight w:val="none"/>
        </w:rPr>
        <w:t xml:space="preserve">一、项目编号：</w:t>
      </w:r>
      <w:r>
        <w:rPr>
          <w:rFonts w:hint="eastAsia" w:ascii="宋体" w:hAnsi="宋体"/>
          <w:sz w:val="21"/>
          <w:highlight w:val="none"/>
          <w:lang w:eastAsia="zh-CN"/>
        </w:rPr>
        <w:t xml:space="preserve">JSZC-320507-RHHH-G2024-0185</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二、项目名称：</w:t>
      </w:r>
      <w:r>
        <w:rPr>
          <w:rFonts w:hint="eastAsia" w:ascii="宋体" w:hAnsi="宋体"/>
          <w:sz w:val="21"/>
          <w:highlight w:val="none"/>
          <w:lang w:eastAsia="zh-CN"/>
        </w:rPr>
        <w:t xml:space="preserve">相二院食堂餐饮服务</w:t>
      </w:r>
      <w:r/>
    </w:p>
    <w:p>
      <w:pPr>
        <w:ind w:left="0" w:firstLine="420"/>
        <w:spacing w:line="360" w:lineRule="auto"/>
        <w:tabs>
          <w:tab w:val="left" w:pos="0" w:leader="none"/>
        </w:tabs>
        <w:rPr>
          <w:rFonts w:hint="eastAsia" w:ascii="宋体" w:hAnsi="宋体" w:eastAsia="宋体"/>
          <w:sz w:val="21"/>
          <w:highlight w:val="none"/>
          <w:lang w:eastAsia="zh-CN"/>
        </w:rPr>
      </w:pPr>
      <w:r>
        <w:rPr>
          <w:rFonts w:hint="eastAsia" w:ascii="宋体" w:hAnsi="宋体"/>
          <w:sz w:val="21"/>
          <w:highlight w:val="none"/>
        </w:rPr>
        <w:t xml:space="preserve">三、预算金额：人民币</w:t>
      </w:r>
      <w:r>
        <w:rPr>
          <w:rFonts w:hint="eastAsia" w:ascii="宋体" w:hAnsi="宋体"/>
          <w:sz w:val="21"/>
          <w:highlight w:val="none"/>
          <w:lang w:eastAsia="zh-CN"/>
        </w:rPr>
        <w:t xml:space="preserve">贰佰肆拾捌万元整(￥2480000.00元)</w:t>
      </w:r>
      <w:r/>
    </w:p>
    <w:p>
      <w:pPr>
        <w:ind w:left="0" w:firstLine="420"/>
        <w:spacing w:line="360" w:lineRule="auto"/>
        <w:tabs>
          <w:tab w:val="left" w:pos="420" w:leader="none"/>
        </w:tabs>
        <w:rPr>
          <w:rFonts w:hint="eastAsia" w:ascii="宋体" w:hAnsi="宋体" w:eastAsia="宋体"/>
          <w:sz w:val="21"/>
          <w:highlight w:val="none"/>
          <w:lang w:eastAsia="zh-CN"/>
        </w:rPr>
      </w:pPr>
      <w:r>
        <w:rPr>
          <w:rFonts w:hint="eastAsia" w:ascii="宋体" w:hAnsi="宋体"/>
          <w:sz w:val="21"/>
          <w:highlight w:val="none"/>
        </w:rPr>
        <w:t xml:space="preserve">四、最高限价：人民币</w:t>
      </w:r>
      <w:r>
        <w:rPr>
          <w:rFonts w:hint="eastAsia" w:ascii="宋体" w:hAnsi="宋体"/>
          <w:sz w:val="21"/>
          <w:highlight w:val="none"/>
          <w:lang w:eastAsia="zh-CN"/>
        </w:rPr>
        <w:t xml:space="preserve">贰佰肆拾捌万元整(￥2480000.00元)</w:t>
      </w:r>
      <w:r/>
    </w:p>
    <w:p>
      <w:pPr>
        <w:ind w:left="0" w:firstLine="420"/>
        <w:spacing w:line="360" w:lineRule="auto"/>
        <w:tabs>
          <w:tab w:val="left" w:pos="420" w:leader="none"/>
        </w:tabs>
        <w:rPr>
          <w:rFonts w:hint="eastAsia" w:ascii="宋体" w:hAnsi="宋体" w:eastAsia="宋体"/>
          <w:sz w:val="21"/>
          <w:highlight w:val="none"/>
          <w:lang w:eastAsia="zh-CN"/>
        </w:rPr>
      </w:pPr>
      <w:r>
        <w:rPr>
          <w:rFonts w:hint="eastAsia" w:ascii="宋体" w:hAnsi="宋体"/>
          <w:sz w:val="21"/>
          <w:highlight w:val="none"/>
        </w:rPr>
        <w:t xml:space="preserve">五、合同履行期限：</w:t>
      </w:r>
      <w:r>
        <w:rPr>
          <w:rFonts w:hint="eastAsia" w:ascii="宋体" w:hAnsi="宋体"/>
          <w:sz w:val="21"/>
          <w:szCs w:val="21"/>
          <w:highlight w:val="none"/>
          <w:lang w:eastAsia="zh-CN"/>
        </w:rPr>
        <w:t xml:space="preserve">2025年1月16</w:t>
      </w:r>
      <w:r>
        <w:rPr>
          <w:rFonts w:hint="eastAsia" w:ascii="宋体" w:hAnsi="宋体"/>
          <w:sz w:val="21"/>
          <w:szCs w:val="21"/>
          <w:highlight w:val="none"/>
          <w:lang w:val="en-US" w:eastAsia="zh-CN"/>
        </w:rPr>
        <w:t xml:space="preserve">日</w:t>
      </w:r>
      <w:r>
        <w:rPr>
          <w:rFonts w:hint="eastAsia" w:ascii="宋体" w:hAnsi="宋体"/>
          <w:sz w:val="21"/>
          <w:szCs w:val="21"/>
          <w:highlight w:val="none"/>
          <w:lang w:eastAsia="zh-CN"/>
        </w:rPr>
        <w:t xml:space="preserve">-2026年1月15日</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六、招标内容：</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ascii="宋体" w:hAnsi="宋体"/>
          <w:sz w:val="21"/>
          <w:szCs w:val="21"/>
          <w:highlight w:val="none"/>
          <w:lang w:val="zh-CN"/>
        </w:rPr>
        <w:t xml:space="preserve">（一）项目概况：</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1、本次招标项目为食堂餐饮服务项目，具体为苏州市相城区第二人民医院的工作人员食堂、病人家属食堂、病房（病员）订</w:t>
      </w:r>
      <w:r>
        <w:rPr>
          <w:rFonts w:hint="eastAsia" w:ascii="宋体" w:hAnsi="宋体"/>
          <w:sz w:val="21"/>
          <w:szCs w:val="21"/>
          <w:highlight w:val="none"/>
          <w:lang w:val="en-US" w:eastAsia="zh-CN"/>
        </w:rPr>
        <w:t xml:space="preserve">送</w:t>
      </w:r>
      <w:r>
        <w:rPr>
          <w:rFonts w:hint="eastAsia" w:ascii="宋体" w:hAnsi="宋体"/>
          <w:sz w:val="21"/>
          <w:szCs w:val="21"/>
          <w:highlight w:val="none"/>
          <w:lang w:val="zh-CN"/>
        </w:rPr>
        <w:t xml:space="preserve">餐、包厢服务等。本项目采取双赢和健康的合作发展模式，实行全承包经营服务方式。</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2、按现有食堂就餐人员数量及金额预测，固定餐费按实际消费支出。</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固定餐费支出包含以下：</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苏州市相城区第二人民医院：</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1）本院职工人数约为3</w:t>
      </w:r>
      <w:r>
        <w:rPr>
          <w:rFonts w:hint="eastAsia" w:ascii="宋体" w:hAnsi="宋体"/>
          <w:sz w:val="21"/>
          <w:szCs w:val="21"/>
          <w:highlight w:val="none"/>
          <w:lang w:val="en-US" w:eastAsia="zh-CN"/>
        </w:rPr>
        <w:t xml:space="preserve">5</w:t>
      </w:r>
      <w:r>
        <w:rPr>
          <w:rFonts w:hint="eastAsia" w:ascii="宋体" w:hAnsi="宋体"/>
          <w:sz w:val="21"/>
          <w:szCs w:val="21"/>
          <w:highlight w:val="none"/>
          <w:lang w:val="zh-CN"/>
        </w:rPr>
        <w:t xml:space="preserve">0人左右，每人每月充卡</w:t>
      </w:r>
      <w:r>
        <w:rPr>
          <w:rFonts w:hint="eastAsia" w:ascii="宋体" w:hAnsi="宋体"/>
          <w:sz w:val="21"/>
          <w:szCs w:val="21"/>
          <w:highlight w:val="none"/>
          <w:lang w:val="en-US" w:eastAsia="zh-CN"/>
        </w:rPr>
        <w:t xml:space="preserve">45</w:t>
      </w:r>
      <w:r>
        <w:rPr>
          <w:rFonts w:hint="eastAsia" w:ascii="宋体" w:hAnsi="宋体"/>
          <w:sz w:val="21"/>
          <w:szCs w:val="21"/>
          <w:highlight w:val="none"/>
          <w:lang w:val="zh-CN"/>
        </w:rPr>
        <w:t xml:space="preserve">0元；</w:t>
      </w:r>
      <w:r/>
    </w:p>
    <w:p>
      <w:pPr>
        <w:ind w:left="0" w:firstLine="420"/>
        <w:spacing w:line="360" w:lineRule="auto"/>
        <w:tabs>
          <w:tab w:val="left" w:pos="420" w:leader="none"/>
          <w:tab w:val="left" w:pos="540" w:leader="none"/>
        </w:tabs>
        <w:rPr>
          <w:rFonts w:hint="eastAsia" w:ascii="宋体" w:hAnsi="宋体" w:eastAsia="宋体" w:cs="宋体"/>
          <w:sz w:val="21"/>
          <w:szCs w:val="21"/>
          <w:highlight w:val="none"/>
          <w:lang w:val="zh-CN"/>
        </w:rPr>
      </w:pPr>
      <w:r>
        <w:rPr>
          <w:rFonts w:hint="eastAsia" w:ascii="宋体" w:hAnsi="宋体"/>
          <w:sz w:val="21"/>
          <w:szCs w:val="21"/>
          <w:highlight w:val="none"/>
          <w:lang w:val="zh-CN"/>
        </w:rPr>
        <w:t xml:space="preserve">2）值班人员就餐（365天）：</w:t>
      </w:r>
      <w:r>
        <w:rPr>
          <w:rFonts w:hint="eastAsia" w:ascii="宋体" w:hAnsi="宋体" w:eastAsia="宋体" w:cs="宋体"/>
          <w:sz w:val="21"/>
          <w:szCs w:val="21"/>
          <w:highlight w:val="none"/>
          <w:lang w:val="zh-CN"/>
        </w:rPr>
        <w:t xml:space="preserve">值班人员</w:t>
      </w:r>
      <w:r>
        <w:rPr>
          <w:rFonts w:hint="eastAsia" w:ascii="宋体" w:hAnsi="宋体" w:eastAsia="宋体" w:cs="宋体"/>
          <w:sz w:val="21"/>
          <w:szCs w:val="21"/>
          <w:highlight w:val="none"/>
          <w:lang w:val="zh-CN" w:eastAsia="zh-CN"/>
        </w:rPr>
        <w:t xml:space="preserve">工作</w:t>
      </w:r>
      <w:r>
        <w:rPr>
          <w:rFonts w:hint="eastAsia" w:ascii="宋体" w:hAnsi="宋体" w:eastAsia="宋体" w:cs="宋体"/>
          <w:sz w:val="21"/>
          <w:szCs w:val="21"/>
          <w:highlight w:val="none"/>
          <w:lang w:val="zh-CN"/>
        </w:rPr>
        <w:t xml:space="preserve">餐</w:t>
      </w:r>
      <w:r>
        <w:rPr>
          <w:rFonts w:hint="eastAsia" w:ascii="宋体" w:hAnsi="宋体" w:eastAsia="宋体" w:cs="宋体"/>
          <w:sz w:val="21"/>
          <w:szCs w:val="21"/>
          <w:highlight w:val="none"/>
          <w:lang w:val="zh-CN" w:eastAsia="zh-CN"/>
        </w:rPr>
        <w:t xml:space="preserve">标准</w:t>
      </w:r>
      <w:r>
        <w:rPr>
          <w:rFonts w:hint="eastAsia" w:ascii="宋体" w:hAnsi="宋体" w:eastAsia="宋体" w:cs="宋体"/>
          <w:sz w:val="21"/>
          <w:szCs w:val="21"/>
          <w:highlight w:val="none"/>
          <w:lang w:val="en-US" w:eastAsia="zh-CN"/>
        </w:rPr>
        <w:t xml:space="preserve">38元/人/天；</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3）其他用餐：专家用餐标准，20元/位；体检用餐6-10元（其中公共卫生体检6元/位，健康体检10元/位）；</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4）其他桌餐：医院接待用简餐，由中标方提供菜单，医院点餐。</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3、病人及家属用餐：由病人及家属直接支付，菜品明码标价。</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4、医院现有的厨房设备和餐具，其所有权归医院所有，可由中标人支配使用；需增加其它设备及配套设施的由中标人列出清单，报给医院审核，审核通过后，由医院负责采购，产权归医院所有。</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（二）具体要求</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供餐要求：</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1）医务人员用餐：由医务人员自行刷饭卡消费，需要提供早餐、午餐、晚餐。</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正餐套餐价格：12元/份</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套餐结构：1份大荤、1份小荤、2份素菜、1份咸汤、1份米饭（具体套餐结构根据实际情况进场后双方协商确定，由医务人员自行决定按套餐或根据需要增减菜品，按实点结算）；每日提供特色菜，由医务人员自行选择。</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2）手术室医生或其他加班医生如有需要，需要提供送餐服务，送餐标准为正餐套餐。</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3）提供的品种需要多样化，午餐至少提供10个菜品供选择，特色餐品种根据季节变化提供适合的菜品。</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4）根据院方需要，提供的菜品以苏帮菜及清淡的大众口味为主，如苏式焖肉、红烧大排、清蒸带鱼等。</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5）医院职工餐费，根据饭卡消费情况于下月上旬向医院统一结算。</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6）病人家属餐厅为零点自选方式或微信点餐方式，送餐者可增加一元送餐费。</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7）针对住院病人：在临床营养科（或相应科室）的指导下，保证特殊饮食供应，对入住本院内的患者，根据医院需要提供病员餐（特殊饮食）如：糖尿病饮食、低蛋白饮食、低脂饮食、低盐饮食等治疗饮食；代谢膳食；流汁、半流汁、软食等普通饮食；均需符合等级医院评审要求。要求做到营养均衡，饭菜可口。病人提前点餐，提前付款，餐厅工作人员需要按时送到病房（订、送餐由中标人负责）。</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8）根据院方需要，提供包厢服务，品种为冷盆、热炒、点心、汤羹类。</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en-US" w:eastAsia="zh-CN"/>
        </w:rPr>
        <w:t xml:space="preserve">2</w:t>
      </w:r>
      <w:r>
        <w:rPr>
          <w:rFonts w:hint="eastAsia" w:ascii="宋体" w:hAnsi="宋体"/>
          <w:sz w:val="21"/>
          <w:szCs w:val="21"/>
          <w:highlight w:val="none"/>
          <w:lang w:val="zh-CN"/>
        </w:rPr>
        <w:t xml:space="preserve">、其他说明</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医院派驻兼职管理人员一名，负责监督承包者遵守食品卫生法等法律法规要求，查验采购，食品质量及相关食品合格证明。指导建立有关食品卫生台账。并负责如下管理监督职责：①、监督审批中标人的服务品种和价格；②、对中标人采购的米、油、蔬菜等定期抽样检查；③、检查监督食堂的卫生安全工作，对违规行为予以处罚；④、抽查评价服务品种的质量，对违规行为予以处罚；⑤、管理售饭卡、充值系统，向中标人结付餐费（次月15日前结算）；⑥、协调员工就餐秩序。</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2）医院职工食堂管理员对销售菜价进行审核，上墙公示。</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3）医院职工饭卡多余的金额可以代购少量食用品，代购金额不超过60元/月/卡，食堂可拒绝员工超限代购，中标者代购单价不得超过超市零售价的15%，并须根据市场价定期调整。</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4）医院职工食堂的食品卫生由承包者负责。管理人员负责检查监督，承包者必须无条件的服务上级有关部门的各项检查指导。</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5）医院职工食堂的员工需要持有健康证上岗。</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6）医院食堂考核小组和管理人员对食堂的饭菜质量，数量，价格，服务态度，每月进行测评，测评结果书面形式通知承包者。</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rPr>
        <w:t xml:space="preserve">7</w:t>
      </w:r>
      <w:r>
        <w:rPr>
          <w:rFonts w:hint="eastAsia" w:ascii="宋体" w:hAnsi="宋体"/>
          <w:sz w:val="21"/>
          <w:szCs w:val="21"/>
          <w:highlight w:val="none"/>
          <w:lang w:val="zh-CN"/>
        </w:rPr>
        <w:t xml:space="preserve">）甲乙双方在合同签订后协商产生服务满意度考核办法，并约定综合满意率90%为乙方的服务工作目标。</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满意率或者考核分90(含)以上，每季度最后一个月餐费给付100%。</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满意率或者考核分80(含)-89，每季度最后一个月餐费给付当月总额的95%，中标人按甲方要求进行整改，院方验收合格后，支付暂扣的5%。</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满意率或者考核分70(含)-</w:t>
      </w:r>
      <w:r>
        <w:rPr>
          <w:rFonts w:ascii="宋体" w:hAnsi="宋体"/>
          <w:sz w:val="21"/>
          <w:szCs w:val="21"/>
          <w:highlight w:val="none"/>
          <w:lang w:val="zh-CN"/>
        </w:rPr>
        <w:t xml:space="preserve">79</w:t>
      </w:r>
      <w:r>
        <w:rPr>
          <w:rFonts w:hint="eastAsia" w:ascii="宋体" w:hAnsi="宋体"/>
          <w:sz w:val="21"/>
          <w:szCs w:val="21"/>
          <w:highlight w:val="none"/>
          <w:lang w:val="zh-CN"/>
        </w:rPr>
        <w:t xml:space="preserve">，每季度最后一个月餐费给付当月总额的90%，中标人按甲方要求进行整改，院方验收合格后，支付暂扣的10%。</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满意率或者考核分70以下的，每季度最后一个月餐费给付当月总额的85%，中标人按甲方要求进行整改，院方验收合格后，支付暂扣的15%。若连续三次考核低于70分，甲方有权终止合约并有权不支付扣款金额。</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4、针对医院职工、病员及家属需提供智慧建设信息化点餐、送餐服务的运行和相关经验管理要求。</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投标单位具有实现智能数字化信息管理能力，覆盖餐饮管理智能信息化应用全流程。含人员信息管理、食品安全整体管控、食材管理、仓储标准化管理、餐饮运营现场管理、供应商自有资源运用、服务项目运营全过程生命周期管理，能够实现线上高效管理，实时掌控项目餐饮运营状况，体现管理智能、高效、透明。实现服务项目人、物、安全闭环管理。</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2）为推进信息技术与食堂管理的深度融合，互动提升职工、病员及家属就餐体验，投标单位具有信息化点餐、送餐服务的运行和相关经验管理能力，提供真实案例视频演示，针对医院职工、病员及家属APP系统点餐、订餐、送餐的运行信息化应用全流程，能够体现信息化点餐、订餐、送餐服务便捷、安全管理优势，提高满意度。</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5、费用（包含但不限于费用）</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1）在运营期间，中标人须对院方财务公开，接受院方财务监督。</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2）餐厅所需要的水、电等能源费用由医院承担。</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3）院方统一负责制作就餐卡，充值系统、刷卡器，（病人家属的外客用餐、包厢用餐除外）；</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4）厨房工程类的非中标人责任所造成的维修费用由院方承担；</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5）厨房设备类的日常维修保养及油烟管道清洗由乙方承担；（由于中标人操作不当损坏的设备由中标人赔偿）</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6）食堂用餐餐具、洗涤用品、消毒药水、卫生用品等所有易耗品由中标人提供；</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7）由双方商定的就餐环境文化宣传费用由院方承担；</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8）中标人负责食品原料的采购，并检查货物的卫生及质量，以确保服务质量。</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9）中标人按要求做好垃圾分类，医院负责厨余垃圾的处理和清运。</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10）中标人须按照本招标文件的要求对该招标项目进行食堂服务</w:t>
      </w:r>
      <w:r>
        <w:rPr>
          <w:rFonts w:hint="eastAsia" w:ascii="宋体" w:hAnsi="宋体"/>
          <w:sz w:val="21"/>
          <w:highlight w:val="none"/>
          <w:lang w:eastAsia="zh-CN"/>
        </w:rPr>
        <w:t xml:space="preserve">餐饮</w:t>
      </w:r>
      <w:r>
        <w:rPr>
          <w:rFonts w:hint="eastAsia" w:ascii="宋体" w:hAnsi="宋体"/>
          <w:sz w:val="21"/>
          <w:szCs w:val="21"/>
          <w:highlight w:val="none"/>
          <w:lang w:val="zh-CN"/>
        </w:rPr>
        <w:t xml:space="preserve">工作。</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11）如遇采购单位有特殊情况和任务，必须服从安排。</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en-US" w:eastAsia="zh-CN"/>
        </w:rPr>
        <w:t xml:space="preserve">12</w:t>
      </w:r>
      <w:r>
        <w:rPr>
          <w:rFonts w:hint="eastAsia" w:ascii="宋体" w:hAnsi="宋体"/>
          <w:sz w:val="21"/>
          <w:szCs w:val="21"/>
          <w:highlight w:val="none"/>
          <w:lang w:val="zh-CN"/>
        </w:rPr>
        <w:t xml:space="preserve">）若中标的投标单位在服务期间，违反下列规定将被扣除履约保证金或解除相关综合服务合同。</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①未经采购单位许可，将承包的服务转包他人；</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②严重违反招标方的有关规定；</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③出现食物中毒、卫生检查不合格等重大事故或问题。</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en-US" w:eastAsia="zh-CN"/>
        </w:rPr>
        <w:t xml:space="preserve">13</w:t>
      </w:r>
      <w:r>
        <w:rPr>
          <w:rFonts w:hint="eastAsia" w:ascii="宋体" w:hAnsi="宋体"/>
          <w:sz w:val="21"/>
          <w:szCs w:val="21"/>
          <w:highlight w:val="none"/>
          <w:lang w:val="zh-CN"/>
        </w:rPr>
        <w:t xml:space="preserve">）中标人需和上一家供应商友好协商，需要接手上一家供应商经营期间投入的设施设备。</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en-US" w:eastAsia="zh-CN"/>
        </w:rPr>
        <w:t xml:space="preserve">14</w:t>
      </w:r>
      <w:r>
        <w:rPr>
          <w:rFonts w:hint="eastAsia" w:ascii="宋体" w:hAnsi="宋体"/>
          <w:sz w:val="21"/>
          <w:szCs w:val="21"/>
          <w:highlight w:val="none"/>
          <w:lang w:val="zh-CN"/>
        </w:rPr>
        <w:t xml:space="preserve">）食堂工作流程管理:</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①制订菜单：中标人根据市场、季节、营养、采购方要求等综合因素制定下周食谱及菜单同时报送采购人备案。</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②采购：食堂采购由中标人自主采购，但必须</w:t>
      </w:r>
      <w:r>
        <w:rPr>
          <w:rFonts w:hint="eastAsia" w:ascii="宋体" w:hAnsi="宋体"/>
          <w:sz w:val="21"/>
          <w:szCs w:val="21"/>
          <w:highlight w:val="none"/>
          <w:lang w:val="zh-CN"/>
        </w:rPr>
        <w:t xml:space="preserve">保证：具有可追溯性。渠道合法、安全，必须到持有卫生许可证的经营单位采购食品，到相对固定食品采购的场所，并按照国家规定索证索票，以保证质量，得到采购人认可；禁止采购以下食品：①地沟油、工业盐、腐败变质、油脂酸败、霉变、生虫、污秽不洁、混有异物或者其他感官性状异常，含有毒有害物质或者被有毒、有害物质污染，可能对人体健康有害的食品；②未经兽医卫生检验或者检验不合格的肉类及其制品；③超过保质期限或不符合食品标签规定的定型包装食品；④其他不符合卫生标准或感官标准。采购方食堂管理人员有权力对中标人采购食品进行随机检查。</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③饭菜加工。每餐饭菜必须在就餐前15分钟准备好，加工后的饭菜要注意保热、保洁。</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④按标准做好食品留样并按规定登记备查。</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5、食堂工作制度:</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①不购买不新鲜食品,严禁购买及使用腐烂变质的食物,以及其他感官性状异常食物。</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②要做到生品与成品、熟品相隔离,成品与半成品相隔离,食品与杂物相隔离。冷藏时要做到荤腥类食品与其他食品相隔离。</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③食物制作及销售过程中要注意防蝇、防灰尘,以避免杂物混入食品。</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④隔餐食物如可食用,必须经过回锅加热。</w:t>
      </w:r>
      <w:r/>
    </w:p>
    <w:p>
      <w:pPr>
        <w:ind w:left="0" w:firstLine="420"/>
        <w:spacing w:line="360" w:lineRule="auto"/>
        <w:tabs>
          <w:tab w:val="left" w:pos="420" w:leader="none"/>
          <w:tab w:val="left" w:pos="540" w:leader="none"/>
        </w:tabs>
        <w:rPr>
          <w:highlight w:val="none"/>
        </w:rPr>
      </w:pPr>
      <w:r>
        <w:rPr>
          <w:rFonts w:hint="eastAsia" w:ascii="宋体" w:hAnsi="宋体"/>
          <w:sz w:val="21"/>
          <w:szCs w:val="21"/>
          <w:highlight w:val="none"/>
          <w:lang w:val="zh-CN"/>
        </w:rPr>
        <w:t xml:space="preserve">⑤各种调料不宜久置,装盛调料各种器具应经常洗涤。</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w:t>
      </w:r>
      <w:r>
        <w:rPr>
          <w:rFonts w:hint="eastAsia" w:ascii="宋体" w:hAnsi="宋体"/>
          <w:sz w:val="21"/>
          <w:szCs w:val="21"/>
          <w:highlight w:val="none"/>
          <w:lang w:val="zh-CN"/>
        </w:rPr>
        <w:t xml:space="preserve">综合考量</w:t>
      </w:r>
      <w:r>
        <w:rPr>
          <w:rFonts w:hint="eastAsia" w:ascii="宋体" w:hAnsi="宋体"/>
          <w:sz w:val="21"/>
          <w:highlight w:val="none"/>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highlight w:val="none"/>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.中标单位将根据招标文件、投标文件的相关约定，承担合同责任，履行合同义务。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cs="Times New Roman"/>
          <w:b/>
          <w:color w:val="000000"/>
          <w:sz w:val="24"/>
          <w:szCs w:val="24"/>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0"/>
        <w:ind w:firstLine="200"/>
        <w:spacing w:line="360" w:lineRule="auto"/>
        <w:rPr>
          <w:rFonts w:ascii="宋体" w:hAnsi="宋体"/>
          <w:highlight w:val="none"/>
        </w:rPr>
      </w:pPr>
      <w:r>
        <w:rPr>
          <w:rFonts w:ascii="宋体" w:hAnsi="宋体"/>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1.小、微企业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highlight w:val="none"/>
        </w:rPr>
        <w:t xml:space="preserve">服务类项目中供应商若使用退休人员，将不享受相关扶持政策。</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根据《政府采购促进中小企业发展管理办法》（财库〔2020〕4</w:t>
      </w:r>
      <w:r>
        <w:rPr>
          <w:rFonts w:hint="eastAsia" w:ascii="宋体" w:hAnsi="宋体" w:cs="Times New Roman"/>
          <w:b/>
          <w:sz w:val="21"/>
          <w:highlight w:val="none"/>
        </w:rPr>
        <w:t xml:space="preserve">6号）及《中小企业划型标准规定》（工信部联企业〔2011〕300号），本采购标的对应的中小企业划分标准所属行业为：</w:t>
      </w:r>
      <w:r>
        <w:rPr>
          <w:rFonts w:hint="eastAsia" w:ascii="宋体" w:hAnsi="宋体" w:cs="Times New Roman"/>
          <w:b/>
          <w:sz w:val="21"/>
          <w:highlight w:val="none"/>
        </w:rPr>
        <w:t xml:space="preserve">餐饮业</w:t>
      </w:r>
      <w:r>
        <w:rPr>
          <w:rFonts w:hint="eastAsia" w:ascii="宋体" w:hAnsi="宋体" w:cs="Times New Roman"/>
          <w:b/>
          <w:sz w:val="21"/>
          <w:highlight w:val="none"/>
        </w:rPr>
        <w:t xml:space="preserve">。</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4.绿色采购</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1013"/>
        <w:ind w:left="0" w:firstLine="0"/>
        <w:jc w:val="center"/>
        <w:rPr>
          <w:rFonts w:ascii="宋体" w:hAnsi="宋体"/>
          <w:b/>
          <w:sz w:val="44"/>
          <w:szCs w:val="22"/>
          <w:highlight w:val="none"/>
        </w:rPr>
      </w:pPr>
      <w:r/>
      <w:bookmarkStart w:id="76" w:name="_Toc5111"/>
      <w:r/>
      <w:bookmarkStart w:id="77" w:name="_Toc11789"/>
      <w:r/>
      <w:bookmarkStart w:id="78" w:name="_Hlk55741158"/>
      <w:r>
        <w:rPr>
          <w:rFonts w:hint="eastAsia" w:ascii="宋体" w:hAnsi="宋体"/>
          <w:b/>
          <w:sz w:val="44"/>
          <w:szCs w:val="22"/>
          <w:highlight w:val="none"/>
        </w:rPr>
        <w:br w:type="page" w:clear="all"/>
      </w:r>
      <w:bookmarkStart w:id="79" w:name="_Toc105397794"/>
      <w:r>
        <w:rPr>
          <w:rFonts w:hint="eastAsia" w:ascii="宋体" w:hAnsi="宋体"/>
          <w:b/>
          <w:sz w:val="44"/>
          <w:szCs w:val="22"/>
          <w:highlight w:val="none"/>
        </w:rPr>
        <w:t xml:space="preserve">第五章 </w:t>
      </w:r>
      <w:bookmarkStart w:id="80" w:name="合同的特殊条款"/>
      <w:r/>
      <w:bookmarkEnd w:id="80"/>
      <w:r>
        <w:rPr>
          <w:rFonts w:hint="eastAsia" w:ascii="宋体" w:hAnsi="宋体"/>
          <w:b/>
          <w:sz w:val="44"/>
          <w:szCs w:val="22"/>
          <w:highlight w:val="none"/>
        </w:rPr>
        <w:t xml:space="preserve">合同及主要条款</w:t>
      </w:r>
      <w:bookmarkEnd w:id="76"/>
      <w:r/>
      <w:bookmarkEnd w:id="77"/>
      <w:r/>
      <w:bookmarkEnd w:id="79"/>
      <w:r/>
      <w:bookmarkEnd w:id="78"/>
      <w:r/>
      <w:r/>
    </w:p>
    <w:p>
      <w:pPr>
        <w:ind w:left="0"/>
        <w:jc w:val="center"/>
        <w:rPr>
          <w:rFonts w:ascii="宋体" w:hAnsi="宋体"/>
          <w:b/>
          <w:sz w:val="32"/>
          <w:szCs w:val="32"/>
          <w:highlight w:val="none"/>
        </w:rPr>
      </w:pPr>
      <w:r/>
      <w:bookmarkStart w:id="81" w:name="_Toc8564"/>
      <w:r/>
      <w:bookmarkStart w:id="82" w:name="_Toc57376410"/>
      <w:r/>
      <w:bookmarkStart w:id="83" w:name="_Toc27667"/>
      <w:r>
        <w:rPr>
          <w:rFonts w:hint="eastAsia" w:ascii="宋体" w:hAnsi="宋体"/>
          <w:b/>
          <w:sz w:val="32"/>
          <w:szCs w:val="32"/>
          <w:highlight w:val="none"/>
        </w:rPr>
        <w:t xml:space="preserve">政府采购合同</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w:t>
      </w:r>
      <w:r>
        <w:rPr>
          <w:rFonts w:hint="eastAsia" w:ascii="宋体" w:hAnsi="宋体"/>
          <w:b/>
          <w:sz w:val="21"/>
          <w:highlight w:val="none"/>
          <w:lang w:eastAsia="zh-CN"/>
        </w:rPr>
        <w:t xml:space="preserve">相二院食堂餐饮服务</w:t>
      </w:r>
      <w:r/>
    </w:p>
    <w:p>
      <w:pPr>
        <w:ind w:left="0"/>
        <w:jc w:val="left"/>
        <w:spacing w:line="360" w:lineRule="auto"/>
        <w:rPr>
          <w:rFonts w:hint="eastAsia" w:ascii="宋体" w:hAnsi="宋体" w:eastAsia="宋体"/>
          <w:b/>
          <w:sz w:val="21"/>
          <w:highlight w:val="none"/>
          <w:lang w:eastAsia="zh-CN"/>
        </w:rPr>
      </w:pPr>
      <w:r>
        <w:rPr>
          <w:rFonts w:hint="eastAsia" w:ascii="宋体" w:hAnsi="宋体"/>
          <w:b/>
          <w:sz w:val="21"/>
          <w:highlight w:val="none"/>
        </w:rPr>
        <w:t xml:space="preserve">项目编号：</w:t>
      </w:r>
      <w:r>
        <w:rPr>
          <w:rFonts w:hint="eastAsia" w:ascii="宋体" w:hAnsi="宋体"/>
          <w:b/>
          <w:sz w:val="21"/>
          <w:highlight w:val="none"/>
          <w:lang w:eastAsia="zh-CN"/>
        </w:rPr>
        <w:t xml:space="preserve">JSZC-320507-RHHH-G2024-0185</w:t>
      </w:r>
      <w:r/>
    </w:p>
    <w:p>
      <w:pPr>
        <w:rPr>
          <w:rFonts w:ascii="宋体" w:hAnsi="宋体" w:cs="Times New Roman"/>
          <w:highlight w:val="none"/>
        </w:rPr>
      </w:pPr>
      <w:r>
        <w:rPr>
          <w:rFonts w:ascii="宋体" w:hAnsi="宋体" w:cs="Times New Roman"/>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jc w:val="left"/>
        <w:spacing w:line="360" w:lineRule="auto"/>
        <w:rPr>
          <w:rFonts w:ascii="宋体" w:hAnsi="宋体"/>
          <w:sz w:val="21"/>
          <w:highlight w:val="none"/>
        </w:rPr>
      </w:pPr>
      <w:r>
        <w:rPr>
          <w:rFonts w:ascii="宋体" w:hAnsi="宋体"/>
          <w:sz w:val="21"/>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乙方：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firstLine="420"/>
        <w:spacing w:line="360" w:lineRule="auto"/>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根据《中华人民共和国民法典》和《</w:t>
      </w:r>
      <w:r>
        <w:rPr>
          <w:rFonts w:ascii="宋体" w:hAnsi="宋体"/>
          <w:sz w:val="21"/>
          <w:szCs w:val="21"/>
          <w:highlight w:val="none"/>
        </w:rPr>
        <w:t xml:space="preserve">中华人民共和国</w:t>
      </w:r>
      <w:r>
        <w:rPr>
          <w:rFonts w:hint="eastAsia" w:ascii="宋体" w:hAnsi="宋体"/>
          <w:sz w:val="21"/>
          <w:szCs w:val="21"/>
          <w:highlight w:val="none"/>
        </w:rPr>
        <w:t xml:space="preserve">政府采购</w:t>
      </w:r>
      <w:r>
        <w:rPr>
          <w:rFonts w:ascii="宋体" w:hAnsi="宋体"/>
          <w:sz w:val="21"/>
          <w:szCs w:val="21"/>
          <w:highlight w:val="none"/>
        </w:rPr>
        <w:t xml:space="preserve">法</w:t>
      </w:r>
      <w:r>
        <w:rPr>
          <w:rFonts w:hint="eastAsia" w:ascii="宋体" w:hAnsi="宋体"/>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一、定义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以下术语有特定的含义：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服务是指根据合同规定乙方应承担</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等工作和合同中规定乙方应承担的其它义务。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甲方是指合同中明确规定的实际购买和接受服务的单位。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乙方是指合同中规定的提供服务的单位。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二、合同项目及期限</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2.1乙方负责</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的服务工作。</w:t>
      </w:r>
      <w:r/>
    </w:p>
    <w:p>
      <w:pPr>
        <w:ind w:left="0" w:firstLine="420"/>
        <w:spacing w:line="360" w:lineRule="auto"/>
        <w:widowControl w:val="off"/>
        <w:rPr>
          <w:rFonts w:hint="eastAsia" w:ascii="宋体" w:hAnsi="宋体" w:eastAsia="宋体"/>
          <w:sz w:val="21"/>
          <w:szCs w:val="21"/>
          <w:highlight w:val="none"/>
          <w:lang w:eastAsia="zh-CN"/>
        </w:rPr>
      </w:pPr>
      <w:r>
        <w:rPr>
          <w:rFonts w:hint="eastAsia" w:ascii="宋体" w:hAnsi="宋体"/>
          <w:sz w:val="21"/>
          <w:szCs w:val="21"/>
          <w:highlight w:val="none"/>
        </w:rPr>
        <w:t xml:space="preserve">2.2服务期限：</w:t>
      </w:r>
      <w:r>
        <w:rPr>
          <w:rFonts w:hint="eastAsia" w:ascii="宋体" w:hAnsi="宋体"/>
          <w:sz w:val="21"/>
          <w:szCs w:val="21"/>
          <w:highlight w:val="none"/>
          <w:lang w:eastAsia="zh-CN"/>
        </w:rPr>
        <w:t xml:space="preserve">2025年1月16</w:t>
      </w:r>
      <w:r>
        <w:rPr>
          <w:rFonts w:hint="eastAsia" w:ascii="宋体" w:hAnsi="宋体"/>
          <w:sz w:val="21"/>
          <w:szCs w:val="21"/>
          <w:highlight w:val="none"/>
          <w:lang w:val="en-US" w:eastAsia="zh-CN"/>
        </w:rPr>
        <w:t xml:space="preserve">日</w:t>
      </w:r>
      <w:r>
        <w:rPr>
          <w:rFonts w:hint="eastAsia" w:ascii="宋体" w:hAnsi="宋体"/>
          <w:sz w:val="21"/>
          <w:szCs w:val="21"/>
          <w:highlight w:val="none"/>
          <w:lang w:eastAsia="zh-CN"/>
        </w:rPr>
        <w:t xml:space="preserve">-2026年1月15日</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服务地点：根据甲方指定地点。</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hint="eastAsia" w:ascii="宋体" w:hAnsi="宋体" w:eastAsia="宋体"/>
          <w:highlight w:val="none"/>
          <w:lang w:eastAsia="zh-CN"/>
        </w:rPr>
      </w:pPr>
      <w:r>
        <w:rPr>
          <w:rFonts w:hint="eastAsia" w:ascii="宋体" w:hAnsi="宋体"/>
          <w:b/>
          <w:sz w:val="21"/>
          <w:szCs w:val="21"/>
          <w:highlight w:val="none"/>
        </w:rPr>
        <w:t xml:space="preserve">三、合同总价款：</w:t>
      </w:r>
      <w:r>
        <w:rPr>
          <w:rFonts w:hint="eastAsia" w:ascii="宋体" w:hAnsi="宋体"/>
          <w:sz w:val="21"/>
          <w:szCs w:val="21"/>
          <w:highlight w:val="none"/>
        </w:rPr>
        <w:t xml:space="preserve">大写人民币</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元整，小写￥</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。合同总价款包括</w:t>
      </w:r>
      <w:r>
        <w:rPr>
          <w:rFonts w:hint="eastAsia" w:ascii="宋体" w:hAnsi="宋体"/>
          <w:sz w:val="21"/>
          <w:szCs w:val="21"/>
          <w:highlight w:val="none"/>
          <w:lang w:eastAsia="zh-CN"/>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四、付款方式</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付款步骤：</w:t>
      </w:r>
      <w:r/>
    </w:p>
    <w:p>
      <w:pPr>
        <w:ind w:left="0" w:firstLine="420"/>
        <w:spacing w:line="360" w:lineRule="auto"/>
        <w:widowControl w:val="off"/>
        <w:rPr>
          <w:rFonts w:hint="eastAsia" w:ascii="宋体" w:hAnsi="宋体"/>
          <w:b/>
          <w:bCs/>
          <w:sz w:val="21"/>
          <w:szCs w:val="21"/>
          <w:highlight w:val="none"/>
        </w:rPr>
      </w:pPr>
      <w:r>
        <w:rPr>
          <w:rFonts w:hint="eastAsia" w:ascii="宋体" w:hAnsi="宋体"/>
          <w:b/>
          <w:bCs/>
          <w:sz w:val="21"/>
          <w:szCs w:val="21"/>
          <w:highlight w:val="none"/>
        </w:rPr>
        <w:t xml:space="preserve">食堂经营费用每月一结，中标人在次月5号前开具正规餐饮发票送至医院相关负责人，医院在次月15日前完成付款。</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账户信息</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乙方开户名称：</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360" w:lineRule="auto"/>
        <w:widowControl w:val="off"/>
        <w:rPr>
          <w:rFonts w:ascii="宋体" w:hAnsi="宋体"/>
          <w:highlight w:val="none"/>
        </w:rPr>
      </w:pPr>
      <w:r>
        <w:rPr>
          <w:rFonts w:hint="eastAsia" w:ascii="宋体" w:hAnsi="宋体"/>
          <w:sz w:val="21"/>
          <w:szCs w:val="21"/>
          <w:highlight w:val="none"/>
        </w:rPr>
        <w:t xml:space="preserve">银行账号：</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五、甲、乙双方的责任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依本合同约定按期支付合同款项；</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2依本合同约定及时组织验收；</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3协助乙方进行项目的相关协调工作及约定期限内提供相关资料以利于开展项目。</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2.乙方责任：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1.甲方违约责任：</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1.1在合同生效后，甲方</w:t>
      </w:r>
      <w:r>
        <w:rPr>
          <w:rFonts w:hint="eastAsia" w:ascii="宋体" w:hAnsi="宋体"/>
          <w:sz w:val="21"/>
          <w:szCs w:val="21"/>
          <w:highlight w:val="none"/>
        </w:rPr>
        <w:t xml:space="preserve">无故</w:t>
      </w:r>
      <w:r>
        <w:rPr>
          <w:rFonts w:ascii="宋体" w:hAnsi="宋体"/>
          <w:sz w:val="21"/>
          <w:szCs w:val="21"/>
          <w:highlight w:val="none"/>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1.2甲方逾期付款的应按照逾期付款金额的每天万分之四支付逾期付款违约金</w:t>
      </w:r>
      <w:r>
        <w:rPr>
          <w:rFonts w:hint="eastAsia" w:ascii="宋体" w:hAnsi="宋体"/>
          <w:sz w:val="21"/>
          <w:szCs w:val="21"/>
          <w:highlight w:val="none"/>
        </w:rPr>
        <w:t xml:space="preserve">，总额不超总价款的5%</w:t>
      </w:r>
      <w:r>
        <w:rPr>
          <w:rFonts w:ascii="宋体" w:hAnsi="宋体"/>
          <w:sz w:val="21"/>
          <w:szCs w:val="21"/>
          <w:highlight w:val="none"/>
        </w:rPr>
        <w:t xml:space="preserve">。</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2.乙方的违约责任：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.1 </w:t>
      </w:r>
      <w:r>
        <w:rPr>
          <w:rFonts w:hint="eastAsia" w:ascii="宋体" w:hAnsi="宋体"/>
          <w:sz w:val="21"/>
          <w:szCs w:val="21"/>
          <w:highlight w:val="none"/>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2</w:t>
      </w:r>
      <w:r>
        <w:rPr>
          <w:rFonts w:hint="eastAsia" w:ascii="宋体" w:hAnsi="宋体"/>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w:t>
      </w:r>
      <w:r>
        <w:rPr>
          <w:rFonts w:hint="eastAsia" w:ascii="宋体" w:hAnsi="宋体"/>
          <w:sz w:val="21"/>
          <w:szCs w:val="21"/>
          <w:highlight w:val="none"/>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乙方负有对自己员工的安全责任，甲方不承担任何相关责任。</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七、不可抗力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八、争端的解决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九、违约终止合同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1.2 如果乙方未能履行合同规定的其它任何义务。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3.如果甲方违约，应承担相应的违约责任。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十、破产终止合同：</w:t>
      </w:r>
      <w:r>
        <w:rPr>
          <w:rFonts w:hint="eastAsia" w:ascii="宋体" w:hAnsi="宋体"/>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十一、政府采购法对政府采购合同变更终止的规定：</w:t>
      </w:r>
      <w:r>
        <w:rPr>
          <w:rFonts w:hint="eastAsia" w:ascii="宋体" w:hAnsi="宋体"/>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十二、合同转让和分包：</w:t>
      </w:r>
      <w:r>
        <w:rPr>
          <w:rFonts w:hint="eastAsia" w:ascii="宋体" w:hAnsi="宋体"/>
          <w:sz w:val="21"/>
          <w:szCs w:val="21"/>
          <w:highlight w:val="none"/>
        </w:rPr>
        <w:t xml:space="preserve">本项目不得转让和分包。</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十三、需要补充的合同条款：</w:t>
      </w:r>
      <w:r>
        <w:rPr>
          <w:rFonts w:hint="eastAsia" w:ascii="宋体" w:hAnsi="宋体"/>
          <w:sz w:val="21"/>
          <w:szCs w:val="21"/>
          <w:highlight w:val="none"/>
        </w:rPr>
        <w:t xml:space="preserve">（根据评审过程中或者商务谈判时商定的条款和条件在订立合同时标明）。</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十四、合同生效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1.双方签约人为各自法定代表人或被授权代表。</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 </w:t>
      </w:r>
      <w:r/>
    </w:p>
    <w:p>
      <w:pPr>
        <w:pStyle w:val="1031"/>
        <w:ind w:left="0" w:firstLine="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甲方（公章）：                     </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乙方（公章）：</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法定代表人或授权代表（签字或盖章）：                法定代表人或授权代表（签字或盖章）： </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签约日期：                                  </w:t>
      </w:r>
      <w:r>
        <w:rPr>
          <w:rFonts w:ascii="宋体" w:hAnsi="宋体"/>
          <w:sz w:val="21"/>
          <w:szCs w:val="21"/>
          <w:highlight w:val="none"/>
        </w:rPr>
        <w:t xml:space="preserve">        </w:t>
      </w:r>
      <w:r>
        <w:rPr>
          <w:rFonts w:hint="eastAsia" w:ascii="宋体" w:hAnsi="宋体"/>
          <w:sz w:val="21"/>
          <w:szCs w:val="21"/>
          <w:highlight w:val="none"/>
        </w:rPr>
        <w:t xml:space="preserve">签约日期： </w:t>
      </w:r>
      <w:r/>
    </w:p>
    <w:p>
      <w:pPr>
        <w:pStyle w:val="1031"/>
        <w:ind w:left="400" w:firstLine="40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合同签定地：</w:t>
      </w:r>
      <w:r/>
    </w:p>
    <w:p>
      <w:pPr>
        <w:pStyle w:val="1031"/>
        <w:ind w:left="400" w:firstLine="883"/>
        <w:rPr>
          <w:rFonts w:ascii="宋体" w:hAnsi="宋体"/>
          <w:b/>
          <w:sz w:val="44"/>
          <w:szCs w:val="22"/>
          <w:highlight w:val="none"/>
        </w:rPr>
      </w:pPr>
      <w:r/>
      <w:bookmarkStart w:id="84" w:name="_Toc105397795"/>
      <w:r>
        <w:rPr>
          <w:rFonts w:hint="eastAsia" w:ascii="宋体" w:hAnsi="宋体"/>
          <w:b/>
          <w:sz w:val="44"/>
          <w:szCs w:val="22"/>
          <w:highlight w:val="none"/>
        </w:rPr>
        <w:t xml:space="preserve"> </w:t>
      </w:r>
      <w:r/>
    </w:p>
    <w:p>
      <w:pPr>
        <w:pStyle w:val="1031"/>
        <w:ind w:left="400" w:firstLine="883"/>
        <w:rPr>
          <w:rFonts w:ascii="宋体" w:hAnsi="宋体"/>
          <w:b/>
          <w:sz w:val="44"/>
          <w:szCs w:val="22"/>
          <w:highlight w:val="none"/>
        </w:rPr>
      </w:pPr>
      <w:r>
        <w:rPr>
          <w:rFonts w:hint="eastAsia" w:ascii="宋体" w:hAnsi="宋体"/>
          <w:b/>
          <w:sz w:val="44"/>
          <w:szCs w:val="22"/>
          <w:highlight w:val="none"/>
        </w:rPr>
        <w:br w:type="page" w:clear="all"/>
      </w:r>
      <w:r/>
    </w:p>
    <w:p>
      <w:pPr>
        <w:pStyle w:val="1013"/>
        <w:ind w:left="0" w:firstLine="0"/>
        <w:jc w:val="center"/>
        <w:rPr>
          <w:rFonts w:ascii="宋体" w:hAnsi="宋体"/>
          <w:b/>
          <w:sz w:val="44"/>
          <w:szCs w:val="22"/>
          <w:highlight w:val="none"/>
        </w:rPr>
      </w:pPr>
      <w:r>
        <w:rPr>
          <w:rFonts w:hint="eastAsia" w:ascii="宋体" w:hAnsi="宋体"/>
          <w:b/>
          <w:sz w:val="44"/>
          <w:szCs w:val="22"/>
          <w:highlight w:val="none"/>
        </w:rPr>
        <w:t xml:space="preserve">第六章 </w:t>
      </w:r>
      <w:bookmarkStart w:id="85" w:name="评分要点"/>
      <w:r/>
      <w:bookmarkEnd w:id="85"/>
      <w:r>
        <w:rPr>
          <w:rFonts w:hint="eastAsia" w:ascii="宋体" w:hAnsi="宋体"/>
          <w:b/>
          <w:sz w:val="44"/>
          <w:szCs w:val="22"/>
          <w:highlight w:val="none"/>
        </w:rPr>
        <w:t xml:space="preserve">评标办法和评分标准</w:t>
      </w:r>
      <w:bookmarkEnd w:id="81"/>
      <w:r/>
      <w:bookmarkEnd w:id="82"/>
      <w:r/>
      <w:bookmarkEnd w:id="83"/>
      <w:r/>
      <w:bookmarkEnd w:id="84"/>
      <w:r/>
      <w:r/>
    </w:p>
    <w:p>
      <w:pPr>
        <w:ind w:left="0" w:firstLine="422"/>
        <w:spacing w:line="360" w:lineRule="auto"/>
        <w:rPr>
          <w:rFonts w:ascii="宋体" w:hAnsi="宋体"/>
          <w:b/>
          <w:sz w:val="21"/>
          <w:szCs w:val="21"/>
          <w:highlight w:val="none"/>
        </w:rPr>
      </w:pPr>
      <w:r/>
      <w:bookmarkStart w:id="86" w:name="_Toc17476"/>
      <w:r/>
      <w:bookmarkStart w:id="87" w:name="_Toc16264"/>
      <w:r/>
      <w:bookmarkStart w:id="88" w:name="_Toc698"/>
      <w:r>
        <w:rPr>
          <w:rFonts w:hint="eastAsia" w:ascii="宋体" w:hAnsi="宋体"/>
          <w:b/>
          <w:sz w:val="21"/>
          <w:szCs w:val="21"/>
          <w:highlight w:val="none"/>
        </w:rPr>
        <w:t xml:space="preserve">一、评标办法：</w:t>
      </w:r>
      <w:bookmarkEnd w:id="86"/>
      <w:r/>
      <w:bookmarkEnd w:id="87"/>
      <w:r/>
      <w:bookmarkEnd w:id="88"/>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4.针对中小型企业、残疾人福利企业和监狱企业的评审：</w:t>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w:t>
      </w:r>
      <w:r>
        <w:rPr>
          <w:rFonts w:hint="eastAsia" w:ascii="宋体" w:hAnsi="宋体"/>
          <w:b/>
          <w:bCs/>
          <w:sz w:val="21"/>
          <w:highlight w:val="none"/>
        </w:rPr>
        <w:t xml:space="preserve">本项目为专门面向中小企业采购的项目，不再执行价格评审优惠的扶持政策。</w:t>
      </w:r>
      <w:r/>
    </w:p>
    <w:p>
      <w:pPr>
        <w:ind w:left="0" w:firstLine="420"/>
        <w:spacing w:line="360" w:lineRule="auto"/>
        <w:rPr>
          <w:rFonts w:ascii="宋体" w:hAnsi="宋体"/>
          <w:sz w:val="21"/>
          <w:highlight w:val="none"/>
        </w:rPr>
      </w:pPr>
      <w:r>
        <w:rPr>
          <w:rFonts w:hint="eastAsia" w:ascii="宋体" w:hAnsi="宋体"/>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highlight w:val="none"/>
        </w:rPr>
        <w:t xml:space="preserve">服务类项目</w:t>
      </w:r>
      <w:r>
        <w:rPr>
          <w:rFonts w:hint="eastAsia" w:ascii="宋体" w:hAnsi="宋体"/>
          <w:b/>
          <w:sz w:val="21"/>
          <w:highlight w:val="none"/>
          <w:lang w:val="en-US" w:eastAsia="zh-CN"/>
        </w:rPr>
        <w:t xml:space="preserve">中标</w:t>
      </w:r>
      <w:r>
        <w:rPr>
          <w:rFonts w:hint="eastAsia" w:ascii="宋体" w:hAnsi="宋体"/>
          <w:b/>
          <w:sz w:val="21"/>
          <w:highlight w:val="none"/>
        </w:rPr>
        <w:t xml:space="preserve">供应商若使用退休人员，将不享受中小企业扶持政策。</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highlight w:val="none"/>
        </w:rPr>
      </w:pPr>
      <w:r>
        <w:rPr>
          <w:rFonts w:hint="eastAsia" w:ascii="宋体" w:hAnsi="宋体"/>
          <w:sz w:val="21"/>
          <w:highlight w:val="none"/>
        </w:rPr>
        <w:t xml:space="preserve">②若供应商提供的声明函或认定证明为虚假材料，按“政府采购法”相关规定处理并报请政府监管部门给予行政处罚。</w:t>
      </w:r>
      <w:r/>
    </w:p>
    <w:p>
      <w:pPr>
        <w:pStyle w:val="1018"/>
        <w:rPr>
          <w:rFonts w:ascii="宋体" w:hAnsi="宋体" w:cs="Times New Roman"/>
          <w:highlight w:val="none"/>
        </w:rPr>
      </w:pPr>
      <w:r>
        <w:rPr>
          <w:rFonts w:ascii="宋体" w:hAnsi="宋体" w:cs="Times New Roman"/>
          <w:highlight w:val="none"/>
        </w:rPr>
      </w:r>
      <w:r/>
    </w:p>
    <w:p>
      <w:pPr>
        <w:ind w:left="0" w:firstLine="422"/>
        <w:spacing w:line="360" w:lineRule="auto"/>
        <w:rPr>
          <w:rFonts w:ascii="宋体" w:hAnsi="宋体"/>
          <w:b/>
          <w:sz w:val="21"/>
          <w:szCs w:val="21"/>
          <w:highlight w:val="none"/>
        </w:rPr>
      </w:pPr>
      <w:r>
        <w:rPr>
          <w:rFonts w:hint="eastAsia" w:ascii="宋体" w:hAnsi="宋体" w:cs="Times New Roman"/>
          <w:b/>
          <w:sz w:val="21"/>
          <w:szCs w:val="21"/>
          <w:highlight w:val="none"/>
        </w:rPr>
        <w:t xml:space="preserve">二、评分标准：</w:t>
      </w:r>
      <w:r/>
    </w:p>
    <w:p>
      <w:pPr>
        <w:ind w:left="0" w:firstLine="422"/>
        <w:spacing w:line="360" w:lineRule="auto"/>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bCs/>
          <w:color w:val="000000"/>
          <w:sz w:val="21"/>
          <w:szCs w:val="21"/>
          <w:highlight w:val="none"/>
        </w:rPr>
        <w:t xml:space="preserve">(一）价格分：1</w:t>
      </w:r>
      <w:r>
        <w:rPr>
          <w:rFonts w:hint="eastAsia" w:asciiTheme="majorEastAsia" w:hAnsiTheme="majorEastAsia" w:eastAsiaTheme="majorEastAsia" w:cstheme="majorEastAsia"/>
          <w:b/>
          <w:bCs/>
          <w:color w:val="000000"/>
          <w:sz w:val="21"/>
          <w:szCs w:val="21"/>
          <w:highlight w:val="none"/>
          <w:lang w:val="en-US" w:eastAsia="zh-CN"/>
        </w:rPr>
        <w:t xml:space="preserve">0</w:t>
      </w:r>
      <w:r>
        <w:rPr>
          <w:rFonts w:hint="eastAsia" w:asciiTheme="majorEastAsia" w:hAnsiTheme="majorEastAsia" w:eastAsiaTheme="majorEastAsia" w:cstheme="majorEastAsia"/>
          <w:b/>
          <w:bCs/>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b/>
          <w:color w:val="000000"/>
          <w:sz w:val="21"/>
          <w:szCs w:val="21"/>
          <w:highlight w:val="none"/>
          <w:lang w:val="en-US" w:eastAsia="zh-CN"/>
        </w:rPr>
      </w:pPr>
      <w:r>
        <w:rPr>
          <w:rFonts w:hint="eastAsia" w:asciiTheme="majorEastAsia" w:hAnsiTheme="majorEastAsia" w:eastAsiaTheme="majorEastAsia" w:cstheme="majorEastAsia"/>
          <w:color w:val="000000"/>
          <w:sz w:val="21"/>
          <w:szCs w:val="21"/>
          <w:highlight w:val="none"/>
        </w:rPr>
        <w:t xml:space="preserve">第一步：投标报价低于或等于财政预算价格的，为有效投标报价。超财政预算的投标报价为无效投标报价。</w:t>
      </w:r>
      <w:r/>
    </w:p>
    <w:p>
      <w:pPr>
        <w:ind w:left="0" w:firstLine="420"/>
        <w:spacing w:line="360" w:lineRule="auto"/>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投标报价得分＝（评标基准价/投标报价）×1</w:t>
      </w:r>
      <w:r>
        <w:rPr>
          <w:rFonts w:hint="eastAsia" w:asciiTheme="majorEastAsia" w:hAnsiTheme="majorEastAsia" w:eastAsiaTheme="majorEastAsia" w:cstheme="majorEastAsia"/>
          <w:color w:val="000000"/>
          <w:sz w:val="21"/>
          <w:szCs w:val="21"/>
          <w:highlight w:val="none"/>
          <w:lang w:val="en-US" w:eastAsia="zh-CN"/>
        </w:rPr>
        <w:t xml:space="preserve">0</w:t>
      </w:r>
      <w:r>
        <w:rPr>
          <w:rFonts w:hint="eastAsia" w:asciiTheme="majorEastAsia" w:hAnsiTheme="majorEastAsia" w:eastAsiaTheme="majorEastAsia" w:cstheme="majorEastAsia"/>
          <w:color w:val="000000"/>
          <w:sz w:val="21"/>
          <w:szCs w:val="21"/>
          <w:highlight w:val="none"/>
        </w:rPr>
        <w:t xml:space="preserve">％×100</w:t>
      </w:r>
      <w:r/>
    </w:p>
    <w:p>
      <w:pPr>
        <w:ind w:left="0" w:firstLine="422"/>
        <w:spacing w:line="360" w:lineRule="auto"/>
        <w:widowControl w:val="off"/>
        <w:rPr>
          <w:rFonts w:hint="eastAsia" w:asciiTheme="majorEastAsia" w:hAnsiTheme="majorEastAsia" w:eastAsiaTheme="majorEastAsia" w:cstheme="majorEastAsia"/>
          <w:b/>
          <w:bCs/>
          <w:color w:val="000000"/>
          <w:sz w:val="21"/>
          <w:szCs w:val="21"/>
          <w:highlight w:val="none"/>
        </w:rPr>
      </w:pPr>
      <w:r>
        <w:rPr>
          <w:rFonts w:hint="eastAsia" w:asciiTheme="majorEastAsia" w:hAnsiTheme="majorEastAsia" w:eastAsiaTheme="majorEastAsia" w:cstheme="majorEastAsia"/>
          <w:b/>
          <w:bCs/>
          <w:color w:val="000000"/>
          <w:sz w:val="21"/>
          <w:szCs w:val="21"/>
          <w:highlight w:val="none"/>
        </w:rPr>
        <w:t xml:space="preserve">（二）项目服务方案：（</w:t>
      </w:r>
      <w:r>
        <w:rPr>
          <w:rFonts w:hint="eastAsia" w:asciiTheme="majorEastAsia" w:hAnsiTheme="majorEastAsia" w:eastAsiaTheme="majorEastAsia" w:cstheme="majorEastAsia"/>
          <w:b/>
          <w:bCs/>
          <w:color w:val="000000"/>
          <w:sz w:val="21"/>
          <w:szCs w:val="21"/>
          <w:highlight w:val="none"/>
          <w:lang w:val="en-US" w:eastAsia="zh-CN"/>
        </w:rPr>
        <w:t xml:space="preserve">50</w:t>
      </w:r>
      <w:r>
        <w:rPr>
          <w:rFonts w:hint="eastAsia" w:asciiTheme="majorEastAsia" w:hAnsiTheme="majorEastAsia" w:eastAsiaTheme="majorEastAsia" w:cstheme="majorEastAsia"/>
          <w:b/>
          <w:bCs/>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1、针对本项目的供餐组织实施方案</w:t>
      </w:r>
      <w:r>
        <w:rPr>
          <w:rFonts w:hint="eastAsia" w:asciiTheme="majorEastAsia" w:hAnsiTheme="majorEastAsia" w:eastAsiaTheme="majorEastAsia" w:cstheme="majorEastAsia"/>
          <w:b/>
          <w:bCs/>
          <w:color w:val="000000"/>
          <w:sz w:val="21"/>
          <w:szCs w:val="21"/>
          <w:highlight w:val="none"/>
        </w:rPr>
        <w:t xml:space="preserve">（</w:t>
      </w:r>
      <w:r>
        <w:rPr>
          <w:rFonts w:hint="eastAsia" w:asciiTheme="majorEastAsia" w:hAnsiTheme="majorEastAsia" w:eastAsiaTheme="majorEastAsia" w:cstheme="majorEastAsia"/>
          <w:b/>
          <w:bCs/>
          <w:color w:val="000000"/>
          <w:sz w:val="21"/>
          <w:szCs w:val="21"/>
          <w:highlight w:val="none"/>
          <w:lang w:val="en-US" w:eastAsia="zh-CN"/>
        </w:rPr>
        <w:t xml:space="preserve">1</w:t>
      </w:r>
      <w:r>
        <w:rPr>
          <w:rFonts w:hint="eastAsia" w:asciiTheme="majorEastAsia" w:hAnsiTheme="majorEastAsia" w:eastAsiaTheme="majorEastAsia" w:cstheme="majorEastAsia"/>
          <w:b/>
          <w:bCs/>
          <w:color w:val="000000"/>
          <w:sz w:val="21"/>
          <w:szCs w:val="21"/>
          <w:highlight w:val="none"/>
        </w:rPr>
        <w:t xml:space="preserve">5分）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（1）病人的营养餐服务管理实施方案（</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分；方案完整性、科学合理性、可行性差得1分。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（2）医院职工餐服务管理实施方案（</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分；方案完整性、科学合理性、可行性差得1分。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（3）病人家属的外客用餐服务管理实施方案（</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分；方案完整性、科学合理性、可行性差得1分。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（4）包厢用餐服务管理实施方案（</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分；方案完整性、科学合理性、可行性差得1分。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（5）值班人员用餐送餐的具体服务方案（</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分；方案完整性、科学合理性、可行性差得1分。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2、针对本项目服务工作的平稳过渡、进退场交接方案</w:t>
      </w:r>
      <w:r>
        <w:rPr>
          <w:rFonts w:hint="eastAsia" w:asciiTheme="majorEastAsia" w:hAnsiTheme="majorEastAsia" w:eastAsiaTheme="majorEastAsia" w:cstheme="majorEastAsia"/>
          <w:b/>
          <w:bCs/>
          <w:color w:val="000000"/>
          <w:sz w:val="21"/>
          <w:szCs w:val="21"/>
          <w:highlight w:val="none"/>
        </w:rPr>
        <w:t xml:space="preserve">（</w:t>
      </w:r>
      <w:r>
        <w:rPr>
          <w:rFonts w:hint="eastAsia" w:asciiTheme="majorEastAsia" w:hAnsiTheme="majorEastAsia" w:eastAsiaTheme="majorEastAsia" w:cstheme="majorEastAsia"/>
          <w:b/>
          <w:bCs/>
          <w:color w:val="000000"/>
          <w:sz w:val="21"/>
          <w:szCs w:val="21"/>
          <w:highlight w:val="none"/>
          <w:lang w:val="en-US" w:eastAsia="zh-CN"/>
        </w:rPr>
        <w:t xml:space="preserve">5</w:t>
      </w:r>
      <w:r>
        <w:rPr>
          <w:rFonts w:hint="eastAsia" w:asciiTheme="majorEastAsia" w:hAnsiTheme="majorEastAsia" w:eastAsiaTheme="majorEastAsia" w:cstheme="majorEastAsia"/>
          <w:b/>
          <w:bCs/>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5</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分；方案完整性、科学合理性、可行性差得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3、针对本项目的工作制度和工作标准等。</w:t>
      </w:r>
      <w:r>
        <w:rPr>
          <w:rFonts w:hint="eastAsia" w:asciiTheme="majorEastAsia" w:hAnsiTheme="majorEastAsia" w:eastAsiaTheme="majorEastAsia" w:cstheme="majorEastAsia"/>
          <w:b/>
          <w:bCs/>
          <w:color w:val="000000"/>
          <w:sz w:val="21"/>
          <w:szCs w:val="21"/>
          <w:highlight w:val="none"/>
        </w:rPr>
        <w:t xml:space="preserve">（</w:t>
      </w:r>
      <w:r>
        <w:rPr>
          <w:rFonts w:hint="eastAsia" w:asciiTheme="majorEastAsia" w:hAnsiTheme="majorEastAsia" w:eastAsiaTheme="majorEastAsia" w:cstheme="majorEastAsia"/>
          <w:b/>
          <w:bCs/>
          <w:color w:val="000000"/>
          <w:sz w:val="21"/>
          <w:szCs w:val="21"/>
          <w:highlight w:val="none"/>
          <w:lang w:val="en-US" w:eastAsia="zh-CN"/>
        </w:rPr>
        <w:t xml:space="preserve">9</w:t>
      </w:r>
      <w:r>
        <w:rPr>
          <w:rFonts w:hint="eastAsia" w:asciiTheme="majorEastAsia" w:hAnsiTheme="majorEastAsia" w:eastAsiaTheme="majorEastAsia" w:cstheme="majorEastAsia"/>
          <w:b/>
          <w:bCs/>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（1）投标人质量管理制度、安全卫生管理制度、内部员工的奖惩制度、满意度调查制度（</w:t>
      </w:r>
      <w:r>
        <w:rPr>
          <w:rFonts w:hint="eastAsia" w:asciiTheme="majorEastAsia" w:hAnsiTheme="majorEastAsia" w:eastAsiaTheme="majorEastAsia" w:cstheme="majorEastAsia"/>
          <w:color w:val="000000"/>
          <w:sz w:val="21"/>
          <w:szCs w:val="21"/>
          <w:highlight w:val="none"/>
          <w:lang w:val="en-US" w:eastAsia="zh-CN"/>
        </w:rPr>
        <w:t xml:space="preserve">5</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制度完善、具体且可行性强的得</w:t>
      </w:r>
      <w:r>
        <w:rPr>
          <w:rFonts w:hint="eastAsia" w:asciiTheme="majorEastAsia" w:hAnsiTheme="majorEastAsia" w:eastAsiaTheme="majorEastAsia" w:cstheme="majorEastAsia"/>
          <w:color w:val="000000"/>
          <w:sz w:val="21"/>
          <w:szCs w:val="21"/>
          <w:highlight w:val="none"/>
          <w:lang w:val="en-US" w:eastAsia="zh-CN"/>
        </w:rPr>
        <w:t xml:space="preserve">5</w:t>
      </w:r>
      <w:r>
        <w:rPr>
          <w:rFonts w:hint="eastAsia" w:asciiTheme="majorEastAsia" w:hAnsiTheme="majorEastAsia" w:eastAsiaTheme="majorEastAsia" w:cstheme="majorEastAsia"/>
          <w:color w:val="000000"/>
          <w:sz w:val="21"/>
          <w:szCs w:val="21"/>
          <w:highlight w:val="none"/>
        </w:rPr>
        <w:t xml:space="preserve">分；制度较完善且可行性较强的得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分；制度基本完善且具有一定可行性的得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分；制度欠缺或可行性较差的得1分。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（2）投标单位对本项目制作的日常管理流程图的详实性、可行性（</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日常管理流程详实、具体且可行性强的得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分；日常管理流程基本完整且具有一定可行性的得2分；日常管理流程欠缺或可行性较差的得1分。</w:t>
      </w:r>
      <w:r/>
    </w:p>
    <w:p>
      <w:pPr>
        <w:ind w:left="0" w:firstLine="420"/>
        <w:spacing w:line="360" w:lineRule="auto"/>
        <w:rPr>
          <w:rFonts w:hint="eastAsia" w:asciiTheme="majorEastAsia" w:hAnsiTheme="majorEastAsia" w:eastAsiaTheme="majorEastAsia" w:cstheme="majorEastAsia"/>
          <w:b/>
          <w:bCs/>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4、节能方面的实施方案</w:t>
      </w:r>
      <w:r>
        <w:rPr>
          <w:rFonts w:hint="eastAsia" w:asciiTheme="majorEastAsia" w:hAnsiTheme="majorEastAsia" w:eastAsiaTheme="majorEastAsia" w:cstheme="majorEastAsia"/>
          <w:b/>
          <w:bCs/>
          <w:color w:val="000000"/>
          <w:sz w:val="21"/>
          <w:szCs w:val="21"/>
          <w:highlight w:val="none"/>
        </w:rPr>
        <w:t xml:space="preserve">（</w:t>
      </w:r>
      <w:r>
        <w:rPr>
          <w:rFonts w:hint="eastAsia" w:asciiTheme="majorEastAsia" w:hAnsiTheme="majorEastAsia" w:eastAsiaTheme="majorEastAsia" w:cstheme="majorEastAsia"/>
          <w:b/>
          <w:bCs/>
          <w:color w:val="000000"/>
          <w:sz w:val="21"/>
          <w:szCs w:val="21"/>
          <w:highlight w:val="none"/>
          <w:lang w:val="en-US" w:eastAsia="zh-CN"/>
        </w:rPr>
        <w:t xml:space="preserve">6</w:t>
      </w:r>
      <w:r>
        <w:rPr>
          <w:rFonts w:hint="eastAsia" w:asciiTheme="majorEastAsia" w:hAnsiTheme="majorEastAsia" w:eastAsiaTheme="majorEastAsia" w:cstheme="majorEastAsia"/>
          <w:b/>
          <w:bCs/>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6</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分；方案完整性、科学合理性、可行性差得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5、针对本项目提供设备设施的使用、维护方案</w:t>
      </w:r>
      <w:r>
        <w:rPr>
          <w:rFonts w:hint="eastAsia" w:asciiTheme="majorEastAsia" w:hAnsiTheme="majorEastAsia" w:eastAsiaTheme="majorEastAsia" w:cstheme="majorEastAsia"/>
          <w:b/>
          <w:bCs/>
          <w:color w:val="000000"/>
          <w:sz w:val="21"/>
          <w:szCs w:val="21"/>
          <w:highlight w:val="none"/>
        </w:rPr>
        <w:t xml:space="preserve">（</w:t>
      </w:r>
      <w:r>
        <w:rPr>
          <w:rFonts w:hint="eastAsia" w:asciiTheme="majorEastAsia" w:hAnsiTheme="majorEastAsia" w:eastAsiaTheme="majorEastAsia" w:cstheme="majorEastAsia"/>
          <w:b/>
          <w:bCs/>
          <w:color w:val="000000"/>
          <w:sz w:val="21"/>
          <w:szCs w:val="21"/>
          <w:highlight w:val="none"/>
          <w:lang w:val="en-US" w:eastAsia="zh-CN"/>
        </w:rPr>
        <w:t xml:space="preserve">6</w:t>
      </w:r>
      <w:r>
        <w:rPr>
          <w:rFonts w:hint="eastAsia" w:asciiTheme="majorEastAsia" w:hAnsiTheme="majorEastAsia" w:eastAsiaTheme="majorEastAsia" w:cstheme="majorEastAsia"/>
          <w:b/>
          <w:bCs/>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6</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分；方案完整性、科学合理性、可行性差得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b/>
          <w:bCs/>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6、针对本项目突发事件紧急预案：</w:t>
      </w:r>
      <w:r>
        <w:rPr>
          <w:rFonts w:hint="eastAsia" w:asciiTheme="majorEastAsia" w:hAnsiTheme="majorEastAsia" w:eastAsiaTheme="majorEastAsia" w:cstheme="majorEastAsia"/>
          <w:b/>
          <w:bCs/>
          <w:color w:val="000000"/>
          <w:sz w:val="21"/>
          <w:szCs w:val="21"/>
          <w:highlight w:val="none"/>
        </w:rPr>
        <w:t xml:space="preserve">（</w:t>
      </w:r>
      <w:r>
        <w:rPr>
          <w:rFonts w:hint="eastAsia" w:asciiTheme="majorEastAsia" w:hAnsiTheme="majorEastAsia" w:eastAsiaTheme="majorEastAsia" w:cstheme="majorEastAsia"/>
          <w:b/>
          <w:bCs/>
          <w:color w:val="000000"/>
          <w:sz w:val="21"/>
          <w:szCs w:val="21"/>
          <w:highlight w:val="none"/>
          <w:lang w:val="en-US" w:eastAsia="zh-CN"/>
        </w:rPr>
        <w:t xml:space="preserve">9</w:t>
      </w:r>
      <w:r>
        <w:rPr>
          <w:rFonts w:hint="eastAsia" w:asciiTheme="majorEastAsia" w:hAnsiTheme="majorEastAsia" w:eastAsiaTheme="majorEastAsia" w:cstheme="majorEastAsia"/>
          <w:b/>
          <w:bCs/>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（1）停水、停电</w:t>
      </w: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rPr>
        <w:t xml:space="preserve">食品安全事故紧急预案</w:t>
      </w: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rPr>
        <w:t xml:space="preserve">其他突发事件的紧急预案等情况下的应急处置预案（5分）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方案完整、科学合理、可行性强得5分；方案基本完整、基本科学合理、可行性较强得3分；方案完整性、科学合理性、可行性差得1分。</w:t>
      </w:r>
      <w:r/>
    </w:p>
    <w:p>
      <w:pPr>
        <w:numPr>
          <w:ilvl w:val="0"/>
          <w:numId w:val="1"/>
        </w:num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安全</w:t>
      </w:r>
      <w:r>
        <w:rPr>
          <w:rFonts w:hint="eastAsia" w:asciiTheme="majorEastAsia" w:hAnsiTheme="majorEastAsia" w:eastAsiaTheme="majorEastAsia" w:cstheme="majorEastAsia"/>
          <w:color w:val="000000"/>
          <w:sz w:val="21"/>
          <w:szCs w:val="21"/>
          <w:highlight w:val="none"/>
          <w:lang w:val="en-US" w:eastAsia="zh-CN"/>
        </w:rPr>
        <w:t xml:space="preserve">保障责任控制</w:t>
      </w:r>
      <w:r>
        <w:rPr>
          <w:rFonts w:hint="eastAsia" w:asciiTheme="majorEastAsia" w:hAnsiTheme="majorEastAsia" w:eastAsiaTheme="majorEastAsia" w:cstheme="majorEastAsia"/>
          <w:color w:val="000000"/>
          <w:sz w:val="21"/>
          <w:szCs w:val="21"/>
          <w:highlight w:val="none"/>
        </w:rPr>
        <w:t xml:space="preserve">（</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lang w:val="en-US" w:eastAsia="zh-CN"/>
        </w:rPr>
      </w:pPr>
      <w:r>
        <w:rPr>
          <w:rFonts w:hint="eastAsia" w:asciiTheme="majorEastAsia" w:hAnsiTheme="majorEastAsia" w:eastAsiaTheme="majorEastAsia" w:cstheme="majorEastAsia"/>
          <w:color w:val="000000"/>
          <w:sz w:val="21"/>
          <w:szCs w:val="21"/>
          <w:highlight w:val="none"/>
          <w:lang w:val="en-US" w:eastAsia="zh-CN"/>
        </w:rPr>
        <w:t xml:space="preserve">a、</w:t>
      </w:r>
      <w:r>
        <w:rPr>
          <w:rFonts w:hint="eastAsia" w:asciiTheme="majorEastAsia" w:hAnsiTheme="majorEastAsia" w:eastAsiaTheme="majorEastAsia" w:cstheme="majorEastAsia"/>
          <w:color w:val="000000"/>
          <w:sz w:val="21"/>
          <w:szCs w:val="21"/>
          <w:highlight w:val="none"/>
        </w:rPr>
        <w:t xml:space="preserve">投标人正在经营的食堂购买了食品安全责任险，保单累计赔偿限额在3000万元以上（含3000万）</w:t>
      </w:r>
      <w:r>
        <w:rPr>
          <w:rFonts w:hint="eastAsia" w:asciiTheme="majorEastAsia" w:hAnsiTheme="majorEastAsia" w:eastAsiaTheme="majorEastAsia" w:cstheme="majorEastAsia"/>
          <w:color w:val="000000"/>
          <w:sz w:val="21"/>
          <w:szCs w:val="21"/>
          <w:highlight w:val="none"/>
          <w:lang w:val="en-US" w:eastAsia="zh-CN"/>
        </w:rPr>
        <w:t xml:space="preserve">有三家以上业绩得1分（含三家），有五家以上得2 分。</w:t>
      </w:r>
      <w:r/>
    </w:p>
    <w:p>
      <w:pPr>
        <w:pStyle w:val="1029"/>
        <w:numPr>
          <w:ilvl w:val="0"/>
          <w:numId w:val="0"/>
        </w:numPr>
        <w:ind w:firstLine="420"/>
        <w:spacing w:line="360" w:lineRule="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color w:val="000000"/>
          <w:sz w:val="21"/>
          <w:szCs w:val="21"/>
          <w:highlight w:val="none"/>
          <w:lang w:val="en-US" w:eastAsia="zh-CN"/>
        </w:rPr>
        <w:t xml:space="preserve">b、</w:t>
      </w:r>
      <w:r>
        <w:rPr>
          <w:rFonts w:hint="eastAsia" w:asciiTheme="majorEastAsia" w:hAnsiTheme="majorEastAsia" w:eastAsiaTheme="majorEastAsia" w:cstheme="majorEastAsia"/>
          <w:color w:val="000000"/>
          <w:sz w:val="21"/>
          <w:szCs w:val="21"/>
          <w:highlight w:val="none"/>
        </w:rPr>
        <w:t xml:space="preserve">投标人正在经营的食堂购买了公众责任险，保单每年累计赔偿限额在3000万元以上（含3000万）</w:t>
      </w:r>
      <w:r>
        <w:rPr>
          <w:rFonts w:hint="eastAsia" w:asciiTheme="majorEastAsia" w:hAnsiTheme="majorEastAsia" w:eastAsiaTheme="majorEastAsia" w:cstheme="majorEastAsia"/>
          <w:color w:val="000000"/>
          <w:sz w:val="21"/>
          <w:szCs w:val="21"/>
          <w:highlight w:val="none"/>
          <w:lang w:val="en-US" w:eastAsia="zh-CN"/>
        </w:rPr>
        <w:t xml:space="preserve">有三家以上业绩得1分（含三家），有五家以上得 2分。</w:t>
      </w:r>
      <w:r/>
    </w:p>
    <w:p>
      <w:pPr>
        <w:numPr>
          <w:ilvl w:val="0"/>
          <w:numId w:val="0"/>
        </w:numPr>
        <w:spacing w:line="360" w:lineRule="auto"/>
        <w:rPr>
          <w:rFonts w:hint="eastAsia" w:asciiTheme="majorEastAsia" w:hAnsiTheme="majorEastAsia" w:eastAsiaTheme="majorEastAsia" w:cstheme="majorEastAsia"/>
          <w:b/>
          <w:bCs/>
          <w:color w:val="000000"/>
          <w:sz w:val="21"/>
          <w:szCs w:val="21"/>
          <w:highlight w:val="none"/>
        </w:rPr>
      </w:pPr>
      <w:r>
        <w:rPr>
          <w:rFonts w:hint="eastAsia" w:asciiTheme="majorEastAsia" w:hAnsiTheme="majorEastAsia" w:eastAsiaTheme="majorEastAsia" w:cstheme="majorEastAsia"/>
          <w:b/>
          <w:bCs/>
          <w:color w:val="000000"/>
          <w:sz w:val="21"/>
          <w:szCs w:val="21"/>
          <w:highlight w:val="none"/>
          <w:lang w:val="en-US" w:eastAsia="zh-CN"/>
        </w:rPr>
        <w:t xml:space="preserve">（二）投</w:t>
      </w:r>
      <w:r>
        <w:rPr>
          <w:rFonts w:hint="eastAsia" w:asciiTheme="majorEastAsia" w:hAnsiTheme="majorEastAsia" w:eastAsiaTheme="majorEastAsia" w:cstheme="majorEastAsia"/>
          <w:b/>
          <w:bCs/>
          <w:color w:val="000000"/>
          <w:sz w:val="21"/>
          <w:szCs w:val="21"/>
          <w:highlight w:val="none"/>
        </w:rPr>
        <w:t xml:space="preserve">标人综合评价：（</w:t>
      </w:r>
      <w:r>
        <w:rPr>
          <w:rFonts w:hint="eastAsia" w:asciiTheme="majorEastAsia" w:hAnsiTheme="majorEastAsia" w:eastAsiaTheme="majorEastAsia" w:cstheme="majorEastAsia"/>
          <w:b/>
          <w:bCs/>
          <w:color w:val="000000"/>
          <w:sz w:val="21"/>
          <w:szCs w:val="21"/>
          <w:highlight w:val="none"/>
          <w:lang w:val="en-US" w:eastAsia="zh-CN"/>
        </w:rPr>
        <w:t xml:space="preserve">40</w:t>
      </w:r>
      <w:r>
        <w:rPr>
          <w:rFonts w:hint="eastAsia" w:asciiTheme="majorEastAsia" w:hAnsiTheme="majorEastAsia" w:eastAsiaTheme="majorEastAsia" w:cstheme="majorEastAsia"/>
          <w:b/>
          <w:bCs/>
          <w:color w:val="000000"/>
          <w:sz w:val="21"/>
          <w:szCs w:val="21"/>
          <w:highlight w:val="none"/>
        </w:rPr>
        <w:t xml:space="preserve">分）</w:t>
      </w:r>
      <w:r/>
    </w:p>
    <w:p>
      <w:pPr>
        <w:pStyle w:val="1024"/>
        <w:numPr>
          <w:ilvl w:val="0"/>
          <w:numId w:val="2"/>
        </w:numPr>
        <w:spacing w:line="360" w:lineRule="auto"/>
        <w:rPr>
          <w:rFonts w:hint="eastAsia" w:asciiTheme="majorEastAsia" w:hAnsiTheme="majorEastAsia" w:eastAsiaTheme="majorEastAsia" w:cstheme="majorEastAsia"/>
          <w:color w:val="000000"/>
          <w:sz w:val="21"/>
          <w:szCs w:val="21"/>
          <w:highlight w:val="none"/>
          <w:lang w:val="en-US" w:eastAsia="zh-CN"/>
        </w:rPr>
      </w:pPr>
      <w:r>
        <w:rPr>
          <w:rFonts w:hint="eastAsia" w:asciiTheme="majorEastAsia" w:hAnsiTheme="majorEastAsia" w:eastAsiaTheme="majorEastAsia" w:cstheme="majorEastAsia"/>
          <w:color w:val="000000"/>
          <w:sz w:val="21"/>
          <w:szCs w:val="21"/>
          <w:highlight w:val="none"/>
          <w:lang w:val="en-US" w:eastAsia="zh-CN"/>
        </w:rPr>
        <w:t xml:space="preserve">投标人综合实力：（20分）</w:t>
      </w:r>
      <w:r/>
    </w:p>
    <w:p>
      <w:pPr>
        <w:ind w:left="0" w:firstLine="420"/>
        <w:spacing w:line="360" w:lineRule="auto"/>
        <w:rPr>
          <w:rFonts w:hint="eastAsia" w:asciiTheme="majorEastAsia" w:hAnsiTheme="majorEastAsia" w:eastAsiaTheme="majorEastAsia" w:cstheme="majorEastAsia"/>
          <w:color w:val="000000"/>
          <w:sz w:val="21"/>
          <w:szCs w:val="21"/>
          <w:highlight w:val="none"/>
          <w:lang w:eastAsia="zh-CN"/>
        </w:rPr>
      </w:pPr>
      <w:r>
        <w:rPr>
          <w:rFonts w:hint="eastAsia" w:asciiTheme="majorEastAsia" w:hAnsiTheme="majorEastAsia" w:eastAsiaTheme="majorEastAsia" w:cstheme="majorEastAsia"/>
          <w:color w:val="000000"/>
          <w:sz w:val="21"/>
          <w:szCs w:val="21"/>
          <w:highlight w:val="none"/>
        </w:rPr>
        <w:t xml:space="preserve">20</w:t>
      </w:r>
      <w:r>
        <w:rPr>
          <w:rFonts w:hint="eastAsia" w:asciiTheme="majorEastAsia" w:hAnsiTheme="majorEastAsia" w:eastAsiaTheme="majorEastAsia" w:cstheme="majorEastAsia"/>
          <w:color w:val="000000"/>
          <w:sz w:val="21"/>
          <w:szCs w:val="21"/>
          <w:highlight w:val="none"/>
          <w:lang w:val="en-US" w:eastAsia="zh-CN"/>
        </w:rPr>
        <w:t xml:space="preserve">21</w:t>
      </w:r>
      <w:r>
        <w:rPr>
          <w:rFonts w:hint="eastAsia" w:asciiTheme="majorEastAsia" w:hAnsiTheme="majorEastAsia" w:eastAsiaTheme="majorEastAsia" w:cstheme="majorEastAsia"/>
          <w:color w:val="000000"/>
          <w:sz w:val="21"/>
          <w:szCs w:val="21"/>
          <w:highlight w:val="none"/>
        </w:rPr>
        <w:t xml:space="preserve">年1月1日以来</w:t>
      </w:r>
      <w:r>
        <w:rPr>
          <w:rFonts w:hint="eastAsia" w:asciiTheme="majorEastAsia" w:hAnsiTheme="majorEastAsia" w:eastAsiaTheme="majorEastAsia" w:cstheme="majorEastAsia"/>
          <w:color w:val="000000"/>
          <w:sz w:val="21"/>
          <w:szCs w:val="21"/>
          <w:highlight w:val="none"/>
          <w:lang w:eastAsia="zh-CN"/>
        </w:rPr>
        <w:t xml:space="preserve">至今：</w:t>
      </w:r>
      <w:r/>
    </w:p>
    <w:p>
      <w:pPr>
        <w:ind w:left="0" w:firstLine="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val="en-US" w:eastAsia="zh-CN"/>
        </w:rPr>
        <w:t xml:space="preserve">（1）投标人</w:t>
      </w:r>
      <w:r>
        <w:rPr>
          <w:rFonts w:hint="eastAsia" w:asciiTheme="majorEastAsia" w:hAnsiTheme="majorEastAsia" w:eastAsiaTheme="majorEastAsia" w:cstheme="majorEastAsia"/>
          <w:color w:val="000000"/>
          <w:sz w:val="21"/>
          <w:szCs w:val="21"/>
          <w:highlight w:val="none"/>
        </w:rPr>
        <w:t xml:space="preserve">获得市级政府部门颁发的荣誉证书，有一个得 </w:t>
      </w:r>
      <w:r>
        <w:rPr>
          <w:rFonts w:hint="eastAsia" w:asciiTheme="majorEastAsia" w:hAnsiTheme="majorEastAsia" w:eastAsiaTheme="majorEastAsia" w:cstheme="majorEastAsia"/>
          <w:color w:val="000000"/>
          <w:sz w:val="21"/>
          <w:szCs w:val="21"/>
          <w:highlight w:val="none"/>
          <w:lang w:val="en-US" w:eastAsia="zh-CN"/>
        </w:rPr>
        <w:t xml:space="preserve">1</w:t>
      </w:r>
      <w:r>
        <w:rPr>
          <w:rFonts w:hint="eastAsia" w:asciiTheme="majorEastAsia" w:hAnsiTheme="majorEastAsia" w:eastAsiaTheme="majorEastAsia" w:cstheme="majorEastAsia"/>
          <w:color w:val="000000"/>
          <w:sz w:val="21"/>
          <w:szCs w:val="21"/>
          <w:highlight w:val="none"/>
        </w:rPr>
        <w:t xml:space="preserve">分， 省级及以上政府部门(含省级及以上餐饮(烹饪) 行业协会)荣誉证书的有一个得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分，本项最高得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w:t>
      </w:r>
      <w:r/>
    </w:p>
    <w:p>
      <w:pPr>
        <w:numPr>
          <w:ilvl w:val="0"/>
          <w:numId w:val="0"/>
        </w:numPr>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rPr>
        <w:t xml:space="preserve">获得</w:t>
      </w:r>
      <w:r>
        <w:rPr>
          <w:rFonts w:hint="eastAsia" w:asciiTheme="majorEastAsia" w:hAnsiTheme="majorEastAsia" w:eastAsiaTheme="majorEastAsia" w:cstheme="majorEastAsia"/>
          <w:color w:val="000000"/>
          <w:sz w:val="21"/>
          <w:szCs w:val="21"/>
          <w:highlight w:val="none"/>
          <w:lang w:val="en-US" w:eastAsia="zh-CN"/>
        </w:rPr>
        <w:t xml:space="preserve">中国烹饪协会颁发的“中国团餐企业百强”荣誉证书，得2分</w:t>
      </w:r>
      <w:r/>
    </w:p>
    <w:p>
      <w:pPr>
        <w:numPr>
          <w:ilvl w:val="0"/>
          <w:numId w:val="0"/>
        </w:numPr>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lang w:eastAsia="zh-CN"/>
        </w:rPr>
        <w:t xml:space="preserve">）获得</w:t>
      </w:r>
      <w:r>
        <w:rPr>
          <w:rFonts w:hint="eastAsia" w:asciiTheme="majorEastAsia" w:hAnsiTheme="majorEastAsia" w:eastAsiaTheme="majorEastAsia" w:cstheme="majorEastAsia"/>
          <w:color w:val="000000"/>
          <w:sz w:val="21"/>
          <w:szCs w:val="21"/>
          <w:highlight w:val="none"/>
        </w:rPr>
        <w:t xml:space="preserve">“中国</w:t>
      </w:r>
      <w:r>
        <w:rPr>
          <w:rFonts w:hint="eastAsia" w:asciiTheme="majorEastAsia" w:hAnsiTheme="majorEastAsia" w:eastAsiaTheme="majorEastAsia" w:cstheme="majorEastAsia"/>
          <w:color w:val="000000"/>
          <w:sz w:val="21"/>
          <w:szCs w:val="21"/>
          <w:highlight w:val="none"/>
          <w:lang w:eastAsia="zh-CN"/>
        </w:rPr>
        <w:t xml:space="preserve">团餐服务质量百</w:t>
      </w:r>
      <w:r>
        <w:rPr>
          <w:rFonts w:hint="eastAsia" w:asciiTheme="majorEastAsia" w:hAnsiTheme="majorEastAsia" w:eastAsiaTheme="majorEastAsia" w:cstheme="majorEastAsia"/>
          <w:color w:val="000000"/>
          <w:sz w:val="21"/>
          <w:szCs w:val="21"/>
          <w:highlight w:val="none"/>
          <w:lang w:val="en-US" w:eastAsia="zh-CN"/>
        </w:rPr>
        <w:t xml:space="preserve">强</w:t>
      </w:r>
      <w:r>
        <w:rPr>
          <w:rFonts w:hint="eastAsia" w:asciiTheme="majorEastAsia" w:hAnsiTheme="majorEastAsia" w:eastAsiaTheme="majorEastAsia" w:cstheme="majorEastAsia"/>
          <w:color w:val="000000"/>
          <w:sz w:val="21"/>
          <w:szCs w:val="21"/>
          <w:highlight w:val="none"/>
        </w:rPr>
        <w:t xml:space="preserve">”</w:t>
      </w:r>
      <w:r>
        <w:rPr>
          <w:rFonts w:hint="eastAsia" w:asciiTheme="majorEastAsia" w:hAnsiTheme="majorEastAsia" w:eastAsiaTheme="majorEastAsia" w:cstheme="majorEastAsia"/>
          <w:color w:val="000000"/>
          <w:sz w:val="21"/>
          <w:szCs w:val="21"/>
          <w:highlight w:val="none"/>
          <w:lang w:eastAsia="zh-CN"/>
        </w:rPr>
        <w:t xml:space="preserve">的，</w:t>
      </w:r>
      <w:r>
        <w:rPr>
          <w:rFonts w:hint="eastAsia" w:asciiTheme="majorEastAsia" w:hAnsiTheme="majorEastAsia" w:eastAsiaTheme="majorEastAsia" w:cstheme="majorEastAsia"/>
          <w:color w:val="000000"/>
          <w:sz w:val="21"/>
          <w:szCs w:val="21"/>
          <w:highlight w:val="none"/>
        </w:rPr>
        <w:t xml:space="preserve">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w:t>
      </w:r>
      <w:r/>
    </w:p>
    <w:p>
      <w:pPr>
        <w:numPr>
          <w:ilvl w:val="0"/>
          <w:numId w:val="0"/>
        </w:numPr>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lang w:eastAsia="zh-CN"/>
        </w:rPr>
        <w:t xml:space="preserve">）获得</w:t>
      </w:r>
      <w:r>
        <w:rPr>
          <w:rFonts w:hint="eastAsia" w:asciiTheme="majorEastAsia" w:hAnsiTheme="majorEastAsia" w:eastAsiaTheme="majorEastAsia" w:cstheme="majorEastAsia"/>
          <w:color w:val="000000"/>
          <w:sz w:val="21"/>
          <w:szCs w:val="21"/>
          <w:highlight w:val="none"/>
        </w:rPr>
        <w:t xml:space="preserve">“</w:t>
      </w:r>
      <w:r>
        <w:rPr>
          <w:rFonts w:hint="eastAsia" w:asciiTheme="majorEastAsia" w:hAnsiTheme="majorEastAsia" w:eastAsiaTheme="majorEastAsia" w:cstheme="majorEastAsia"/>
          <w:color w:val="000000"/>
          <w:sz w:val="21"/>
          <w:szCs w:val="21"/>
          <w:highlight w:val="none"/>
          <w:lang w:eastAsia="zh-CN"/>
        </w:rPr>
        <w:t xml:space="preserve">国家级品质食堂</w:t>
      </w:r>
      <w:r>
        <w:rPr>
          <w:rFonts w:hint="eastAsia" w:asciiTheme="majorEastAsia" w:hAnsiTheme="majorEastAsia" w:eastAsiaTheme="majorEastAsia" w:cstheme="majorEastAsia"/>
          <w:color w:val="000000"/>
          <w:sz w:val="21"/>
          <w:szCs w:val="21"/>
          <w:highlight w:val="none"/>
        </w:rPr>
        <w:t xml:space="preserve">”</w:t>
      </w:r>
      <w:r>
        <w:rPr>
          <w:rFonts w:hint="eastAsia" w:asciiTheme="majorEastAsia" w:hAnsiTheme="majorEastAsia" w:eastAsiaTheme="majorEastAsia" w:cstheme="majorEastAsia"/>
          <w:color w:val="000000"/>
          <w:sz w:val="21"/>
          <w:szCs w:val="21"/>
          <w:highlight w:val="none"/>
          <w:lang w:eastAsia="zh-CN"/>
        </w:rPr>
        <w:t xml:space="preserve">的，</w:t>
      </w:r>
      <w:r>
        <w:rPr>
          <w:rFonts w:hint="eastAsia" w:asciiTheme="majorEastAsia" w:hAnsiTheme="majorEastAsia" w:eastAsiaTheme="majorEastAsia" w:cstheme="majorEastAsia"/>
          <w:color w:val="000000"/>
          <w:sz w:val="21"/>
          <w:szCs w:val="21"/>
          <w:highlight w:val="none"/>
        </w:rPr>
        <w:t xml:space="preserve">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w:t>
      </w:r>
      <w:r/>
    </w:p>
    <w:p>
      <w:pPr>
        <w:ind w:left="0" w:firstLine="0"/>
        <w:jc w:val="left"/>
        <w:spacing w:line="360" w:lineRule="auto"/>
        <w:rPr>
          <w:rFonts w:hint="eastAsia" w:asciiTheme="majorEastAsia" w:hAnsiTheme="majorEastAsia" w:eastAsiaTheme="majorEastAsia" w:cstheme="majorEastAsia"/>
          <w:color w:val="000000"/>
          <w:sz w:val="21"/>
          <w:szCs w:val="21"/>
          <w:highlight w:val="none"/>
          <w:lang w:eastAsia="zh-CN"/>
        </w:rPr>
      </w:pPr>
      <w:r>
        <w:rPr>
          <w:rFonts w:hint="eastAsia" w:asciiTheme="majorEastAsia" w:hAnsiTheme="majorEastAsia" w:eastAsiaTheme="majorEastAsia" w:cstheme="majorEastAsia"/>
          <w:color w:val="000000"/>
          <w:sz w:val="21"/>
          <w:szCs w:val="21"/>
          <w:highlight w:val="none"/>
          <w:lang w:val="en-US" w:eastAsia="zh-CN"/>
        </w:rPr>
        <w:t xml:space="preserve">（</w:t>
      </w:r>
      <w:r>
        <w:rPr>
          <w:rFonts w:hint="eastAsia" w:asciiTheme="majorEastAsia" w:hAnsiTheme="majorEastAsia" w:eastAsiaTheme="majorEastAsia" w:cstheme="majorEastAsia"/>
          <w:color w:val="000000"/>
          <w:sz w:val="21"/>
          <w:szCs w:val="21"/>
          <w:highlight w:val="none"/>
          <w:lang w:val="en-US" w:eastAsia="zh-CN"/>
        </w:rPr>
        <w:t xml:space="preserve">5）</w:t>
      </w:r>
      <w:r>
        <w:rPr>
          <w:rFonts w:hint="eastAsia" w:asciiTheme="majorEastAsia" w:hAnsiTheme="majorEastAsia" w:eastAsiaTheme="majorEastAsia" w:cstheme="majorEastAsia"/>
          <w:color w:val="000000"/>
          <w:sz w:val="21"/>
          <w:szCs w:val="21"/>
          <w:highlight w:val="none"/>
        </w:rPr>
        <w:t xml:space="preserve">积极推行节能环保，构建节约型食堂。投标人具有节能环保知识产权的，每一项专利证书</w:t>
      </w:r>
      <w:r>
        <w:rPr>
          <w:rFonts w:hint="eastAsia" w:asciiTheme="majorEastAsia" w:hAnsiTheme="majorEastAsia" w:eastAsiaTheme="majorEastAsia" w:cstheme="majorEastAsia"/>
          <w:color w:val="000000"/>
          <w:sz w:val="21"/>
          <w:szCs w:val="21"/>
          <w:highlight w:val="none"/>
          <w:lang w:eastAsia="zh-CN"/>
        </w:rPr>
        <w:t xml:space="preserve">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w:t>
      </w:r>
      <w:r>
        <w:rPr>
          <w:rFonts w:hint="eastAsia" w:asciiTheme="majorEastAsia" w:hAnsiTheme="majorEastAsia" w:eastAsiaTheme="majorEastAsia" w:cstheme="majorEastAsia"/>
          <w:color w:val="000000"/>
          <w:sz w:val="21"/>
          <w:szCs w:val="21"/>
          <w:highlight w:val="none"/>
          <w:lang w:val="en-US" w:eastAsia="zh-CN"/>
        </w:rPr>
        <w:t xml:space="preserve">最高得6</w:t>
      </w:r>
      <w:r>
        <w:rPr>
          <w:rFonts w:hint="eastAsia" w:asciiTheme="majorEastAsia" w:hAnsiTheme="majorEastAsia" w:eastAsiaTheme="majorEastAsia" w:cstheme="majorEastAsia"/>
          <w:color w:val="000000"/>
          <w:sz w:val="21"/>
          <w:szCs w:val="21"/>
          <w:highlight w:val="none"/>
        </w:rPr>
        <w:t xml:space="preserve">分</w:t>
      </w: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b w:val="0"/>
          <w:bCs/>
          <w:color w:val="000000"/>
          <w:sz w:val="21"/>
          <w:szCs w:val="21"/>
          <w:highlight w:val="none"/>
        </w:rPr>
        <w:t xml:space="preserve">须提供证书</w:t>
      </w:r>
      <w:r>
        <w:rPr>
          <w:rFonts w:hint="eastAsia" w:asciiTheme="majorEastAsia" w:hAnsiTheme="majorEastAsia" w:eastAsiaTheme="majorEastAsia" w:cstheme="majorEastAsia"/>
          <w:b w:val="0"/>
          <w:bCs/>
          <w:color w:val="000000"/>
          <w:sz w:val="21"/>
          <w:szCs w:val="21"/>
          <w:highlight w:val="none"/>
          <w:lang w:eastAsia="zh-CN"/>
        </w:rPr>
        <w:t xml:space="preserve">清楚</w:t>
      </w:r>
      <w:r>
        <w:rPr>
          <w:rFonts w:hint="eastAsia" w:asciiTheme="majorEastAsia" w:hAnsiTheme="majorEastAsia" w:eastAsiaTheme="majorEastAsia" w:cstheme="majorEastAsia"/>
          <w:b w:val="0"/>
          <w:bCs/>
          <w:color w:val="000000"/>
          <w:sz w:val="21"/>
          <w:szCs w:val="21"/>
          <w:highlight w:val="none"/>
        </w:rPr>
        <w:t xml:space="preserve">扫描件</w:t>
      </w:r>
      <w:r>
        <w:rPr>
          <w:rFonts w:hint="eastAsia" w:asciiTheme="majorEastAsia" w:hAnsiTheme="majorEastAsia" w:eastAsiaTheme="majorEastAsia" w:cstheme="majorEastAsia"/>
          <w:b w:val="0"/>
          <w:bCs/>
          <w:color w:val="000000"/>
          <w:sz w:val="21"/>
          <w:szCs w:val="21"/>
          <w:highlight w:val="none"/>
          <w:lang w:eastAsia="zh-CN"/>
        </w:rPr>
        <w:t xml:space="preserve">或复印件，</w:t>
      </w:r>
      <w:r>
        <w:rPr>
          <w:rFonts w:hint="eastAsia" w:asciiTheme="majorEastAsia" w:hAnsiTheme="majorEastAsia" w:eastAsiaTheme="majorEastAsia" w:cstheme="majorEastAsia"/>
          <w:color w:val="000000"/>
          <w:sz w:val="21"/>
          <w:szCs w:val="21"/>
          <w:highlight w:val="none"/>
          <w:shd w:val="clear" w:color="auto" w:fill="ffffff"/>
          <w:lang w:eastAsia="zh-CN"/>
        </w:rPr>
        <w:t xml:space="preserve">并提供</w:t>
      </w:r>
      <w:r>
        <w:rPr>
          <w:rFonts w:hint="eastAsia" w:asciiTheme="majorEastAsia" w:hAnsiTheme="majorEastAsia" w:eastAsiaTheme="majorEastAsia" w:cstheme="majorEastAsia"/>
          <w:color w:val="000000"/>
          <w:sz w:val="21"/>
          <w:szCs w:val="21"/>
          <w:highlight w:val="none"/>
          <w:shd w:val="clear" w:color="auto" w:fill="ffffff"/>
        </w:rPr>
        <w:t xml:space="preserve">国家知识产权局网站查验截图</w:t>
      </w:r>
      <w:r>
        <w:rPr>
          <w:rFonts w:hint="eastAsia" w:asciiTheme="majorEastAsia" w:hAnsiTheme="majorEastAsia" w:eastAsiaTheme="majorEastAsia" w:cstheme="majorEastAsia"/>
          <w:color w:val="000000"/>
          <w:sz w:val="21"/>
          <w:szCs w:val="21"/>
          <w:highlight w:val="none"/>
          <w:lang w:eastAsia="zh-CN"/>
        </w:rPr>
        <w:t xml:space="preserve">）</w:t>
      </w:r>
      <w:r/>
    </w:p>
    <w:p>
      <w:pPr>
        <w:pStyle w:val="1029"/>
        <w:ind w:left="0" w:firstLine="0"/>
        <w:spacing w:line="360" w:lineRule="auto"/>
        <w:rPr>
          <w:rFonts w:hint="eastAsia" w:asciiTheme="majorEastAsia" w:hAnsiTheme="majorEastAsia" w:eastAsiaTheme="majorEastAsia" w:cstheme="majorEastAsia"/>
          <w:color w:val="000000"/>
          <w:sz w:val="21"/>
          <w:szCs w:val="21"/>
          <w:highlight w:val="none"/>
          <w:lang w:val="en-US" w:eastAsia="zh-CN"/>
        </w:rPr>
      </w:pP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lang w:val="en-US" w:eastAsia="zh-CN"/>
        </w:rPr>
        <w:t xml:space="preserve">6</w:t>
      </w: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rPr>
        <w:t xml:space="preserve">公益事业与社会贡献</w:t>
      </w: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rPr>
        <w:t xml:space="preserve">投标人为经营的食堂捐赠钱物</w:t>
      </w:r>
      <w:r>
        <w:rPr>
          <w:rFonts w:hint="eastAsia" w:asciiTheme="majorEastAsia" w:hAnsiTheme="majorEastAsia" w:eastAsiaTheme="majorEastAsia" w:cstheme="majorEastAsia"/>
          <w:color w:val="000000"/>
          <w:sz w:val="21"/>
          <w:szCs w:val="21"/>
          <w:highlight w:val="none"/>
          <w:lang w:val="en-US" w:eastAsia="zh-CN"/>
        </w:rPr>
        <w:t xml:space="preserve">或捐资助学金，</w:t>
      </w:r>
      <w:r>
        <w:rPr>
          <w:rFonts w:hint="eastAsia" w:asciiTheme="majorEastAsia" w:hAnsiTheme="majorEastAsia" w:eastAsiaTheme="majorEastAsia" w:cstheme="majorEastAsia"/>
          <w:color w:val="000000"/>
          <w:sz w:val="21"/>
          <w:szCs w:val="21"/>
          <w:highlight w:val="none"/>
        </w:rPr>
        <w:t xml:space="preserve">价值金额为50万元及以上得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分，100万元及以上得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分，120万元及以上得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分，最高得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w:t>
      </w:r>
      <w:r>
        <w:rPr>
          <w:rFonts w:hint="eastAsia" w:asciiTheme="majorEastAsia" w:hAnsiTheme="majorEastAsia" w:eastAsiaTheme="majorEastAsia" w:cstheme="majorEastAsia"/>
          <w:color w:val="000000"/>
          <w:sz w:val="21"/>
          <w:szCs w:val="21"/>
          <w:highlight w:val="none"/>
          <w:lang w:eastAsia="zh-CN"/>
        </w:rPr>
        <w:t xml:space="preserve">。投标文件提供政府部门监制的（公益事业捐赠票据）与合作经营单位出具的财务专用章。</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、管理体系认证证书（</w:t>
      </w:r>
      <w:r>
        <w:rPr>
          <w:rFonts w:hint="eastAsia" w:asciiTheme="majorEastAsia" w:hAnsiTheme="majorEastAsia" w:eastAsiaTheme="majorEastAsia" w:cstheme="majorEastAsia"/>
          <w:color w:val="000000"/>
          <w:sz w:val="21"/>
          <w:szCs w:val="21"/>
          <w:highlight w:val="none"/>
          <w:lang w:val="en-US" w:eastAsia="zh-CN"/>
        </w:rPr>
        <w:t xml:space="preserve">8</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投标人具备有效期内的</w:t>
      </w:r>
      <w:r>
        <w:rPr>
          <w:rFonts w:hint="eastAsia" w:asciiTheme="majorEastAsia" w:hAnsiTheme="majorEastAsia" w:eastAsiaTheme="majorEastAsia" w:cstheme="majorEastAsia"/>
          <w:sz w:val="21"/>
          <w:szCs w:val="21"/>
          <w:highlight w:val="none"/>
        </w:rPr>
        <w:t xml:space="preserve">具有食品安全管理体系认证、环境管理体系认证、质量管理体系认证、职业健康安全管理体系认证证书，有一个得2分，最高8分。</w:t>
      </w:r>
      <w:r>
        <w:rPr>
          <w:rFonts w:hint="eastAsia" w:asciiTheme="majorEastAsia" w:hAnsiTheme="majorEastAsia" w:eastAsiaTheme="majorEastAsia" w:cstheme="majorEastAsia"/>
          <w:color w:val="000000"/>
          <w:sz w:val="21"/>
          <w:szCs w:val="21"/>
          <w:highlight w:val="none"/>
        </w:rPr>
        <w:t xml:space="preserve">（注：投标文件中提供以上证书复印件或在中国国家认证认可监督管理委员会官方网站的查询截图，未提供不得分。）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、投标人承接类似项目能力的比较（</w:t>
      </w:r>
      <w:r>
        <w:rPr>
          <w:rFonts w:hint="eastAsia" w:asciiTheme="majorEastAsia" w:hAnsiTheme="majorEastAsia" w:eastAsiaTheme="majorEastAsia" w:cstheme="majorEastAsia"/>
          <w:color w:val="000000"/>
          <w:sz w:val="21"/>
          <w:szCs w:val="21"/>
          <w:highlight w:val="none"/>
          <w:lang w:val="en-US" w:eastAsia="zh-CN"/>
        </w:rPr>
        <w:t xml:space="preserve">12</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投标人提供自20</w:t>
      </w:r>
      <w:r>
        <w:rPr>
          <w:rFonts w:hint="eastAsia" w:asciiTheme="majorEastAsia" w:hAnsiTheme="majorEastAsia" w:eastAsiaTheme="majorEastAsia" w:cstheme="majorEastAsia"/>
          <w:color w:val="000000"/>
          <w:sz w:val="21"/>
          <w:szCs w:val="21"/>
          <w:highlight w:val="none"/>
          <w:lang w:val="en-US" w:eastAsia="zh-CN"/>
        </w:rPr>
        <w:t xml:space="preserve">21</w:t>
      </w:r>
      <w:r>
        <w:rPr>
          <w:rFonts w:hint="eastAsia" w:asciiTheme="majorEastAsia" w:hAnsiTheme="majorEastAsia" w:eastAsiaTheme="majorEastAsia" w:cstheme="majorEastAsia"/>
          <w:color w:val="000000"/>
          <w:sz w:val="21"/>
          <w:szCs w:val="21"/>
          <w:highlight w:val="none"/>
        </w:rPr>
        <w:t xml:space="preserve">年1月1日（以合同签订日期为准）以来承担的类似食堂</w:t>
      </w:r>
      <w:r>
        <w:rPr>
          <w:rFonts w:hint="eastAsia" w:asciiTheme="majorEastAsia" w:hAnsiTheme="majorEastAsia" w:eastAsiaTheme="majorEastAsia" w:cstheme="majorEastAsia"/>
          <w:color w:val="000000"/>
          <w:sz w:val="21"/>
          <w:szCs w:val="21"/>
          <w:highlight w:val="none"/>
          <w:lang w:val="en-US" w:eastAsia="zh-CN"/>
        </w:rPr>
        <w:t xml:space="preserve">餐饮</w:t>
      </w:r>
      <w:r>
        <w:rPr>
          <w:rFonts w:hint="eastAsia" w:asciiTheme="majorEastAsia" w:hAnsiTheme="majorEastAsia" w:eastAsiaTheme="majorEastAsia" w:cstheme="majorEastAsia"/>
          <w:color w:val="000000"/>
          <w:sz w:val="21"/>
          <w:szCs w:val="21"/>
          <w:highlight w:val="none"/>
        </w:rPr>
        <w:t xml:space="preserve">案例，每具备1项业绩得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分，最高得</w:t>
      </w:r>
      <w:r>
        <w:rPr>
          <w:rFonts w:hint="eastAsia" w:asciiTheme="majorEastAsia" w:hAnsiTheme="majorEastAsia" w:eastAsiaTheme="majorEastAsia" w:cstheme="majorEastAsia"/>
          <w:color w:val="000000"/>
          <w:sz w:val="21"/>
          <w:szCs w:val="21"/>
          <w:highlight w:val="none"/>
          <w:lang w:val="en-US" w:eastAsia="zh-CN"/>
        </w:rPr>
        <w:t xml:space="preserve">12</w:t>
      </w:r>
      <w:r>
        <w:rPr>
          <w:rFonts w:hint="eastAsia" w:asciiTheme="majorEastAsia" w:hAnsiTheme="majorEastAsia" w:eastAsiaTheme="majorEastAsia" w:cstheme="majorEastAsia"/>
          <w:color w:val="000000"/>
          <w:sz w:val="21"/>
          <w:szCs w:val="21"/>
          <w:highlight w:val="none"/>
        </w:rPr>
        <w:t xml:space="preserve">分。（须提供合同复印件并加盖投标人公章，未提供不得分）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备注：</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1.针对评分标准中评分的每一条，投标人均应提供相关资料并作出相应说明供评委评判，不提供相关资料的视为不具备该项得分的条件，资料须编好目录及页码。</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rPr>
          <w:highlight w:val="none"/>
        </w:rPr>
      </w:pPr>
      <w:r>
        <w:rPr>
          <w:highlight w:val="none"/>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imes New Roman">
    <w:panose1 w:val="02020603050405020304"/>
  </w:font>
  <w:font w:name="宋体">
    <w:panose1 w:val="02010600030101010101"/>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2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2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2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29"/>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102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1029"/>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29"/>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lang w:eastAsia="zh-CN"/>
      </w:rPr>
      <w:t xml:space="preserve">江苏仁禾中衡工程咨询房地产估价有限公司</w:t>
    </w:r>
    <w:r>
      <w:rPr>
        <w:rFonts w:hint="eastAsia" w:ascii="宋体" w:hAnsi="宋体"/>
        <w:sz w:val="18"/>
      </w:rPr>
      <w:t xml:space="preserve">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0"/>
      <w:jc w:val="both"/>
      <w:pBdr>
        <w:bottom w:val="single" w:color="auto" w:sz="4" w:space="0"/>
      </w:pBdr>
    </w:pPr>
    <w:r>
      <w:rPr>
        <w:rFonts w:hint="eastAsia" w:ascii="宋体" w:hAnsi="宋体"/>
        <w:sz w:val="18"/>
        <w:lang w:val="en-US" w:eastAsia="zh-CN"/>
      </w:rPr>
      <w:t xml:space="preserve">采购文件</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14"/>
    <w:link w:val="1013"/>
    <w:uiPriority w:val="9"/>
    <w:rPr>
      <w:rFonts w:ascii="Arial" w:hAnsi="Arial" w:eastAsia="Arial" w:cs="Arial"/>
      <w:sz w:val="40"/>
      <w:szCs w:val="40"/>
    </w:rPr>
  </w:style>
  <w:style w:type="paragraph" w:styleId="843">
    <w:name w:val="Heading 2"/>
    <w:basedOn w:val="1012"/>
    <w:next w:val="1012"/>
    <w:link w:val="844"/>
    <w:uiPriority w:val="9"/>
    <w:unhideWhenUsed/>
    <w:qFormat/>
    <w:pPr>
      <w:keepLines/>
      <w:keepNext/>
      <w:spacing w:before="360" w:after="200"/>
      <w:outlineLvl w:val="1"/>
    </w:pPr>
    <w:rPr>
      <w:rFonts w:ascii="Arial" w:hAnsi="Arial" w:eastAsia="Arial" w:cs="Arial"/>
      <w:sz w:val="34"/>
    </w:rPr>
  </w:style>
  <w:style w:type="character" w:styleId="844">
    <w:name w:val="Heading 2 Char"/>
    <w:basedOn w:val="1014"/>
    <w:link w:val="843"/>
    <w:uiPriority w:val="9"/>
    <w:rPr>
      <w:rFonts w:ascii="Arial" w:hAnsi="Arial" w:eastAsia="Arial" w:cs="Arial"/>
      <w:sz w:val="34"/>
    </w:rPr>
  </w:style>
  <w:style w:type="paragraph" w:styleId="845">
    <w:name w:val="Heading 3"/>
    <w:basedOn w:val="1012"/>
    <w:next w:val="1012"/>
    <w:link w:val="846"/>
    <w:uiPriority w:val="9"/>
    <w:unhideWhenUsed/>
    <w:qFormat/>
    <w:pPr>
      <w:keepLines/>
      <w:keepNext/>
      <w:spacing w:before="320" w:after="200"/>
      <w:outlineLvl w:val="2"/>
    </w:pPr>
    <w:rPr>
      <w:rFonts w:ascii="Arial" w:hAnsi="Arial" w:eastAsia="Arial" w:cs="Arial"/>
      <w:sz w:val="30"/>
      <w:szCs w:val="30"/>
    </w:rPr>
  </w:style>
  <w:style w:type="character" w:styleId="846">
    <w:name w:val="Heading 3 Char"/>
    <w:basedOn w:val="1014"/>
    <w:link w:val="845"/>
    <w:uiPriority w:val="9"/>
    <w:rPr>
      <w:rFonts w:ascii="Arial" w:hAnsi="Arial" w:eastAsia="Arial" w:cs="Arial"/>
      <w:sz w:val="30"/>
      <w:szCs w:val="30"/>
    </w:rPr>
  </w:style>
  <w:style w:type="paragraph" w:styleId="847">
    <w:name w:val="Heading 4"/>
    <w:basedOn w:val="1012"/>
    <w:next w:val="1012"/>
    <w:link w:val="848"/>
    <w:uiPriority w:val="9"/>
    <w:unhideWhenUsed/>
    <w:qFormat/>
    <w:pPr>
      <w:keepLines/>
      <w:keepNext/>
      <w:spacing w:before="320" w:after="200"/>
      <w:outlineLvl w:val="3"/>
    </w:pPr>
    <w:rPr>
      <w:rFonts w:ascii="Arial" w:hAnsi="Arial" w:eastAsia="Arial" w:cs="Arial"/>
      <w:b/>
      <w:bCs/>
      <w:sz w:val="26"/>
      <w:szCs w:val="26"/>
    </w:rPr>
  </w:style>
  <w:style w:type="character" w:styleId="848">
    <w:name w:val="Heading 4 Char"/>
    <w:basedOn w:val="1014"/>
    <w:link w:val="847"/>
    <w:uiPriority w:val="9"/>
    <w:rPr>
      <w:rFonts w:ascii="Arial" w:hAnsi="Arial" w:eastAsia="Arial" w:cs="Arial"/>
      <w:b/>
      <w:bCs/>
      <w:sz w:val="26"/>
      <w:szCs w:val="26"/>
    </w:rPr>
  </w:style>
  <w:style w:type="paragraph" w:styleId="849">
    <w:name w:val="Heading 5"/>
    <w:basedOn w:val="1012"/>
    <w:next w:val="1012"/>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basedOn w:val="1014"/>
    <w:link w:val="849"/>
    <w:uiPriority w:val="9"/>
    <w:rPr>
      <w:rFonts w:ascii="Arial" w:hAnsi="Arial" w:eastAsia="Arial" w:cs="Arial"/>
      <w:b/>
      <w:bCs/>
      <w:sz w:val="24"/>
      <w:szCs w:val="24"/>
    </w:rPr>
  </w:style>
  <w:style w:type="paragraph" w:styleId="851">
    <w:name w:val="Heading 6"/>
    <w:basedOn w:val="1012"/>
    <w:next w:val="1012"/>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basedOn w:val="1014"/>
    <w:link w:val="851"/>
    <w:uiPriority w:val="9"/>
    <w:rPr>
      <w:rFonts w:ascii="Arial" w:hAnsi="Arial" w:eastAsia="Arial" w:cs="Arial"/>
      <w:b/>
      <w:bCs/>
      <w:sz w:val="22"/>
      <w:szCs w:val="22"/>
    </w:rPr>
  </w:style>
  <w:style w:type="paragraph" w:styleId="853">
    <w:name w:val="Heading 7"/>
    <w:basedOn w:val="1012"/>
    <w:next w:val="1012"/>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basedOn w:val="1014"/>
    <w:link w:val="853"/>
    <w:uiPriority w:val="9"/>
    <w:rPr>
      <w:rFonts w:ascii="Arial" w:hAnsi="Arial" w:eastAsia="Arial" w:cs="Arial"/>
      <w:b/>
      <w:bCs/>
      <w:i/>
      <w:iCs/>
      <w:sz w:val="22"/>
      <w:szCs w:val="22"/>
    </w:rPr>
  </w:style>
  <w:style w:type="paragraph" w:styleId="855">
    <w:name w:val="Heading 8"/>
    <w:basedOn w:val="1012"/>
    <w:next w:val="1012"/>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basedOn w:val="1014"/>
    <w:link w:val="855"/>
    <w:uiPriority w:val="9"/>
    <w:rPr>
      <w:rFonts w:ascii="Arial" w:hAnsi="Arial" w:eastAsia="Arial" w:cs="Arial"/>
      <w:i/>
      <w:iCs/>
      <w:sz w:val="22"/>
      <w:szCs w:val="22"/>
    </w:rPr>
  </w:style>
  <w:style w:type="paragraph" w:styleId="857">
    <w:name w:val="Heading 9"/>
    <w:basedOn w:val="1012"/>
    <w:next w:val="1012"/>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basedOn w:val="1014"/>
    <w:link w:val="857"/>
    <w:uiPriority w:val="9"/>
    <w:rPr>
      <w:rFonts w:ascii="Arial" w:hAnsi="Arial" w:eastAsia="Arial" w:cs="Arial"/>
      <w:i/>
      <w:iCs/>
      <w:sz w:val="21"/>
      <w:szCs w:val="21"/>
    </w:rPr>
  </w:style>
  <w:style w:type="paragraph" w:styleId="859">
    <w:name w:val="List Paragraph"/>
    <w:basedOn w:val="1012"/>
    <w:uiPriority w:val="34"/>
    <w:qFormat/>
    <w:pPr>
      <w:contextualSpacing/>
      <w:ind w:left="720"/>
    </w:pPr>
  </w:style>
  <w:style w:type="paragraph" w:styleId="860">
    <w:name w:val="No Spacing"/>
    <w:uiPriority w:val="1"/>
    <w:qFormat/>
    <w:pPr>
      <w:spacing w:before="0" w:after="0" w:line="240" w:lineRule="auto"/>
    </w:pPr>
  </w:style>
  <w:style w:type="paragraph" w:styleId="861">
    <w:name w:val="Title"/>
    <w:basedOn w:val="1012"/>
    <w:next w:val="1012"/>
    <w:link w:val="862"/>
    <w:uiPriority w:val="10"/>
    <w:qFormat/>
    <w:pPr>
      <w:contextualSpacing/>
      <w:spacing w:before="300" w:after="200"/>
    </w:pPr>
    <w:rPr>
      <w:sz w:val="48"/>
      <w:szCs w:val="48"/>
    </w:rPr>
  </w:style>
  <w:style w:type="character" w:styleId="862">
    <w:name w:val="Title Char"/>
    <w:basedOn w:val="1014"/>
    <w:link w:val="861"/>
    <w:uiPriority w:val="10"/>
    <w:rPr>
      <w:sz w:val="48"/>
      <w:szCs w:val="48"/>
    </w:rPr>
  </w:style>
  <w:style w:type="paragraph" w:styleId="863">
    <w:name w:val="Subtitle"/>
    <w:basedOn w:val="1012"/>
    <w:next w:val="1012"/>
    <w:link w:val="864"/>
    <w:uiPriority w:val="11"/>
    <w:qFormat/>
    <w:pPr>
      <w:spacing w:before="200" w:after="200"/>
    </w:pPr>
    <w:rPr>
      <w:sz w:val="24"/>
      <w:szCs w:val="24"/>
    </w:rPr>
  </w:style>
  <w:style w:type="character" w:styleId="864">
    <w:name w:val="Subtitle Char"/>
    <w:basedOn w:val="1014"/>
    <w:link w:val="863"/>
    <w:uiPriority w:val="11"/>
    <w:rPr>
      <w:sz w:val="24"/>
      <w:szCs w:val="24"/>
    </w:rPr>
  </w:style>
  <w:style w:type="paragraph" w:styleId="865">
    <w:name w:val="Quote"/>
    <w:basedOn w:val="1012"/>
    <w:next w:val="1012"/>
    <w:link w:val="866"/>
    <w:uiPriority w:val="29"/>
    <w:qFormat/>
    <w:pPr>
      <w:ind w:left="720" w:right="720"/>
    </w:pPr>
    <w:rPr>
      <w:i/>
    </w:rPr>
  </w:style>
  <w:style w:type="character" w:styleId="866">
    <w:name w:val="Quote Char"/>
    <w:link w:val="865"/>
    <w:uiPriority w:val="29"/>
    <w:rPr>
      <w:i/>
    </w:rPr>
  </w:style>
  <w:style w:type="paragraph" w:styleId="867">
    <w:name w:val="Intense Quote"/>
    <w:basedOn w:val="1012"/>
    <w:next w:val="1012"/>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name w:val="Intense Quote Char"/>
    <w:link w:val="867"/>
    <w:uiPriority w:val="30"/>
    <w:rPr>
      <w:i/>
    </w:rPr>
  </w:style>
  <w:style w:type="character" w:styleId="869">
    <w:name w:val="Header Char"/>
    <w:basedOn w:val="1014"/>
    <w:link w:val="1027"/>
    <w:uiPriority w:val="99"/>
  </w:style>
  <w:style w:type="character" w:styleId="870">
    <w:name w:val="Footer Char"/>
    <w:basedOn w:val="1014"/>
    <w:link w:val="1025"/>
    <w:uiPriority w:val="99"/>
  </w:style>
  <w:style w:type="paragraph" w:styleId="871">
    <w:name w:val="Caption"/>
    <w:basedOn w:val="1012"/>
    <w:next w:val="1012"/>
    <w:uiPriority w:val="35"/>
    <w:semiHidden/>
    <w:unhideWhenUsed/>
    <w:qFormat/>
    <w:pPr>
      <w:spacing w:line="276" w:lineRule="auto"/>
    </w:pPr>
    <w:rPr>
      <w:b/>
      <w:bCs/>
      <w:color w:val="4f81bd" w:themeColor="accent1"/>
      <w:sz w:val="18"/>
      <w:szCs w:val="18"/>
    </w:rPr>
  </w:style>
  <w:style w:type="character" w:styleId="872">
    <w:name w:val="Caption Char"/>
    <w:basedOn w:val="871"/>
    <w:link w:val="1025"/>
    <w:uiPriority w:val="99"/>
  </w:style>
  <w:style w:type="table" w:styleId="873">
    <w:name w:val="Table Grid"/>
    <w:basedOn w:val="10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4">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10">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11">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12">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13">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14">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15">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5">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46">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47">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48">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49">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50">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2">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53">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54">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55">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56">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57">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66">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67">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68">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69">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70">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71">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73">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74">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75">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76">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77">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78">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0">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1">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2">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3">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4">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5">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7">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8">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9">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0">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1">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2">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Footnote Text Char"/>
    <w:link w:val="1029"/>
    <w:uiPriority w:val="99"/>
    <w:rPr>
      <w:sz w:val="18"/>
    </w:rPr>
  </w:style>
  <w:style w:type="paragraph" w:styleId="1000">
    <w:name w:val="endnote text"/>
    <w:basedOn w:val="1012"/>
    <w:link w:val="1001"/>
    <w:uiPriority w:val="99"/>
    <w:semiHidden/>
    <w:unhideWhenUsed/>
    <w:pPr>
      <w:spacing w:after="0" w:line="240" w:lineRule="auto"/>
    </w:pPr>
    <w:rPr>
      <w:sz w:val="20"/>
    </w:rPr>
  </w:style>
  <w:style w:type="character" w:styleId="1001">
    <w:name w:val="Endnote Text Char"/>
    <w:link w:val="1000"/>
    <w:uiPriority w:val="99"/>
    <w:rPr>
      <w:sz w:val="20"/>
    </w:rPr>
  </w:style>
  <w:style w:type="character" w:styleId="1002">
    <w:name w:val="endnote reference"/>
    <w:basedOn w:val="1014"/>
    <w:uiPriority w:val="99"/>
    <w:semiHidden/>
    <w:unhideWhenUsed/>
    <w:rPr>
      <w:vertAlign w:val="superscript"/>
    </w:rPr>
  </w:style>
  <w:style w:type="paragraph" w:styleId="1003">
    <w:name w:val="toc 2"/>
    <w:basedOn w:val="1012"/>
    <w:next w:val="1012"/>
    <w:uiPriority w:val="39"/>
    <w:unhideWhenUsed/>
    <w:pPr>
      <w:ind w:left="283" w:right="0" w:firstLine="0"/>
      <w:spacing w:after="57"/>
    </w:pPr>
  </w:style>
  <w:style w:type="paragraph" w:styleId="1004">
    <w:name w:val="toc 3"/>
    <w:basedOn w:val="1012"/>
    <w:next w:val="1012"/>
    <w:uiPriority w:val="39"/>
    <w:unhideWhenUsed/>
    <w:pPr>
      <w:ind w:left="567" w:right="0" w:firstLine="0"/>
      <w:spacing w:after="57"/>
    </w:pPr>
  </w:style>
  <w:style w:type="paragraph" w:styleId="1005">
    <w:name w:val="toc 4"/>
    <w:basedOn w:val="1012"/>
    <w:next w:val="1012"/>
    <w:uiPriority w:val="39"/>
    <w:unhideWhenUsed/>
    <w:pPr>
      <w:ind w:left="850" w:right="0" w:firstLine="0"/>
      <w:spacing w:after="57"/>
    </w:pPr>
  </w:style>
  <w:style w:type="paragraph" w:styleId="1006">
    <w:name w:val="toc 5"/>
    <w:basedOn w:val="1012"/>
    <w:next w:val="1012"/>
    <w:uiPriority w:val="39"/>
    <w:unhideWhenUsed/>
    <w:pPr>
      <w:ind w:left="1134" w:right="0" w:firstLine="0"/>
      <w:spacing w:after="57"/>
    </w:pPr>
  </w:style>
  <w:style w:type="paragraph" w:styleId="1007">
    <w:name w:val="toc 6"/>
    <w:basedOn w:val="1012"/>
    <w:next w:val="1012"/>
    <w:uiPriority w:val="39"/>
    <w:unhideWhenUsed/>
    <w:pPr>
      <w:ind w:left="1417" w:right="0" w:firstLine="0"/>
      <w:spacing w:after="57"/>
    </w:pPr>
  </w:style>
  <w:style w:type="paragraph" w:styleId="1008">
    <w:name w:val="toc 8"/>
    <w:basedOn w:val="1012"/>
    <w:next w:val="1012"/>
    <w:uiPriority w:val="39"/>
    <w:unhideWhenUsed/>
    <w:pPr>
      <w:ind w:left="1984" w:right="0" w:firstLine="0"/>
      <w:spacing w:after="57"/>
    </w:pPr>
  </w:style>
  <w:style w:type="paragraph" w:styleId="1009">
    <w:name w:val="toc 9"/>
    <w:basedOn w:val="1012"/>
    <w:next w:val="1012"/>
    <w:uiPriority w:val="39"/>
    <w:unhideWhenUsed/>
    <w:pPr>
      <w:ind w:left="2268" w:right="0" w:firstLine="0"/>
      <w:spacing w:after="57"/>
    </w:p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next w:val="1016"/>
    <w:uiPriority w:val="0"/>
    <w:qFormat/>
    <w:pPr>
      <w:ind w:left="1024"/>
      <w:jc w:val="both"/>
    </w:pPr>
    <w:rPr>
      <w:rFonts w:hint="default" w:ascii="Calibri" w:hAnsi="Calibri" w:eastAsia="宋体" w:cs="宋体"/>
    </w:rPr>
  </w:style>
  <w:style w:type="paragraph" w:styleId="1013">
    <w:name w:val="Heading 1"/>
    <w:basedOn w:val="1012"/>
    <w:next w:val="1012"/>
    <w:uiPriority w:val="0"/>
    <w:qFormat/>
    <w:pPr>
      <w:ind w:left="432" w:firstLine="18"/>
      <w:spacing w:before="340" w:after="330" w:line="578" w:lineRule="auto"/>
      <w:outlineLvl w:val="0"/>
    </w:pPr>
  </w:style>
  <w:style w:type="character" w:styleId="1014" w:default="1">
    <w:name w:val="Default Paragraph Font"/>
    <w:uiPriority w:val="0"/>
    <w:semiHidden/>
    <w:qFormat/>
  </w:style>
  <w:style w:type="table" w:styleId="1015" w:default="1">
    <w:name w:val="Normal Table"/>
    <w:uiPriority w:val="0"/>
    <w:semiHidden/>
    <w:qFormat/>
    <w:tblPr>
      <w:tblCellMar>
        <w:left w:w="108" w:type="dxa"/>
        <w:top w:w="0" w:type="dxa"/>
        <w:right w:w="108" w:type="dxa"/>
        <w:bottom w:w="0" w:type="dxa"/>
      </w:tblCellMar>
    </w:tblPr>
  </w:style>
  <w:style w:type="paragraph" w:styleId="1016">
    <w:name w:val="Body Text Indent"/>
    <w:basedOn w:val="1012"/>
    <w:next w:val="1012"/>
    <w:uiPriority w:val="0"/>
    <w:qFormat/>
    <w:pPr>
      <w:ind w:left="420" w:firstLine="1188"/>
      <w:spacing w:line="360" w:lineRule="exact"/>
    </w:pPr>
    <w:rPr>
      <w:rFonts w:ascii="Times New Roman" w:hAnsi="Times New Roman" w:cs="Times New Roman"/>
    </w:rPr>
  </w:style>
  <w:style w:type="paragraph" w:styleId="1017">
    <w:name w:val="toc 7"/>
    <w:basedOn w:val="1013"/>
    <w:next w:val="1012"/>
    <w:uiPriority w:val="0"/>
    <w:qFormat/>
    <w:pPr>
      <w:ind w:left="1640" w:firstLine="3784"/>
      <w:spacing w:before="0" w:after="0" w:line="360" w:lineRule="auto"/>
    </w:pPr>
    <w:rPr>
      <w:rFonts w:ascii="Times New Roman" w:hAnsi="Times New Roman" w:cs="Times New Roman"/>
    </w:rPr>
  </w:style>
  <w:style w:type="paragraph" w:styleId="1018">
    <w:name w:val="Normal Indent"/>
    <w:basedOn w:val="1012"/>
    <w:next w:val="1012"/>
    <w:uiPriority w:val="0"/>
    <w:qFormat/>
    <w:pPr>
      <w:ind w:left="420" w:firstLine="4772"/>
    </w:pPr>
  </w:style>
  <w:style w:type="paragraph" w:styleId="1019">
    <w:name w:val="index 5"/>
    <w:basedOn w:val="1012"/>
    <w:next w:val="1012"/>
    <w:uiPriority w:val="0"/>
    <w:qFormat/>
    <w:pPr>
      <w:ind w:left="800"/>
    </w:pPr>
  </w:style>
  <w:style w:type="paragraph" w:styleId="1020">
    <w:name w:val="Body Text"/>
    <w:basedOn w:val="1012"/>
    <w:next w:val="1012"/>
    <w:uiPriority w:val="0"/>
    <w:qFormat/>
    <w:pPr>
      <w:ind w:left="0" w:firstLine="2560"/>
    </w:pPr>
    <w:rPr>
      <w:rFonts w:ascii="Times New Roman" w:hAnsi="Times New Roman" w:cs="Times New Roman"/>
    </w:rPr>
  </w:style>
  <w:style w:type="paragraph" w:styleId="1021">
    <w:name w:val="List 2"/>
    <w:basedOn w:val="1013"/>
    <w:next w:val="1017"/>
    <w:uiPriority w:val="0"/>
    <w:qFormat/>
    <w:pPr>
      <w:ind w:left="100" w:firstLine="3640"/>
      <w:spacing w:before="0" w:after="0" w:line="240" w:lineRule="auto"/>
    </w:pPr>
    <w:rPr>
      <w:rFonts w:ascii="Times New Roman" w:hAnsi="Times New Roman" w:cs="Times New Roman"/>
    </w:rPr>
  </w:style>
  <w:style w:type="paragraph" w:styleId="1022">
    <w:name w:val="Block Text"/>
    <w:basedOn w:val="1013"/>
    <w:next w:val="1012"/>
    <w:uiPriority w:val="0"/>
    <w:qFormat/>
    <w:pPr>
      <w:ind w:left="420" w:right="33" w:firstLine="2560"/>
      <w:spacing w:before="0" w:after="0" w:line="240" w:lineRule="auto"/>
    </w:pPr>
    <w:rPr>
      <w:rFonts w:ascii="Times New Roman" w:hAnsi="Times New Roman" w:cs="Times New Roman"/>
    </w:rPr>
  </w:style>
  <w:style w:type="paragraph" w:styleId="1023">
    <w:name w:val="Date"/>
    <w:basedOn w:val="1013"/>
    <w:next w:val="1012"/>
    <w:uiPriority w:val="0"/>
    <w:qFormat/>
    <w:pPr>
      <w:ind w:left="0" w:firstLine="2560"/>
      <w:spacing w:before="0" w:after="0" w:line="240" w:lineRule="auto"/>
    </w:pPr>
    <w:rPr>
      <w:rFonts w:ascii="Times New Roman" w:hAnsi="Times New Roman" w:cs="Times New Roman"/>
    </w:rPr>
  </w:style>
  <w:style w:type="paragraph" w:styleId="1024">
    <w:name w:val="Balloon Text"/>
    <w:basedOn w:val="1012"/>
    <w:uiPriority w:val="99"/>
    <w:unhideWhenUsed/>
    <w:qFormat/>
    <w:rPr>
      <w:sz w:val="18"/>
      <w:szCs w:val="18"/>
    </w:rPr>
  </w:style>
  <w:style w:type="paragraph" w:styleId="1025">
    <w:name w:val="Footer"/>
    <w:basedOn w:val="1012"/>
    <w:next w:val="1026"/>
    <w:uiPriority w:val="0"/>
    <w:qFormat/>
    <w:pPr>
      <w:ind w:left="0" w:firstLine="3584"/>
    </w:pPr>
  </w:style>
  <w:style w:type="paragraph" w:styleId="1026" w:customStyle="1">
    <w:name w:val="Char Char Char Char Char Char Char Char Char Char Char Char Char"/>
    <w:basedOn w:val="1013"/>
    <w:next w:val="1012"/>
    <w:uiPriority w:val="0"/>
    <w:qFormat/>
    <w:pPr>
      <w:ind w:left="0" w:firstLine="3584"/>
      <w:spacing w:before="0" w:after="160" w:line="240" w:lineRule="exact"/>
    </w:pPr>
    <w:rPr>
      <w:rFonts w:ascii="Times New Roman" w:hAnsi="Times New Roman" w:cs="Times New Roman"/>
    </w:rPr>
  </w:style>
  <w:style w:type="paragraph" w:styleId="1027">
    <w:name w:val="Header"/>
    <w:basedOn w:val="1013"/>
    <w:next w:val="1023"/>
    <w:uiPriority w:val="0"/>
    <w:qFormat/>
    <w:pPr>
      <w:ind w:left="0" w:firstLine="3584"/>
      <w:jc w:val="center"/>
      <w:spacing w:before="0" w:after="0" w:line="240" w:lineRule="auto"/>
    </w:pPr>
  </w:style>
  <w:style w:type="paragraph" w:styleId="1028">
    <w:name w:val="toc 1"/>
    <w:basedOn w:val="1013"/>
    <w:next w:val="1012"/>
    <w:uiPriority w:val="39"/>
    <w:qFormat/>
    <w:pPr>
      <w:ind w:left="0" w:firstLine="4608"/>
      <w:spacing w:before="0" w:after="0" w:line="240" w:lineRule="auto"/>
    </w:pPr>
    <w:rPr>
      <w:rFonts w:ascii="Times New Roman" w:hAnsi="Times New Roman" w:cs="Times New Roman"/>
    </w:rPr>
  </w:style>
  <w:style w:type="paragraph" w:styleId="1029">
    <w:name w:val="footnote text"/>
    <w:basedOn w:val="1012"/>
    <w:next w:val="1019"/>
    <w:uiPriority w:val="0"/>
    <w:qFormat/>
    <w:pPr>
      <w:ind w:left="0" w:firstLine="3584"/>
      <w:spacing w:before="0" w:after="0" w:line="360" w:lineRule="auto"/>
    </w:pPr>
    <w:rPr>
      <w:rFonts w:ascii="Times New Roman" w:hAnsi="Times New Roman" w:cs="Times New Roman"/>
    </w:rPr>
  </w:style>
  <w:style w:type="paragraph" w:styleId="1030">
    <w:name w:val="Normal (Web)"/>
    <w:basedOn w:val="1012"/>
    <w:next w:val="1021"/>
    <w:uiPriority w:val="0"/>
    <w:qFormat/>
    <w:pPr>
      <w:ind w:left="15" w:right="15" w:firstLine="4608"/>
      <w:spacing w:before="60" w:after="60" w:line="312" w:lineRule="auto"/>
    </w:pPr>
    <w:rPr>
      <w:rFonts w:ascii="Times New Roman" w:hAnsi="Times New Roman" w:cs="Times New Roman"/>
    </w:rPr>
  </w:style>
  <w:style w:type="paragraph" w:styleId="1031">
    <w:name w:val="Body Text First Indent 2"/>
    <w:basedOn w:val="1016"/>
    <w:uiPriority w:val="0"/>
    <w:unhideWhenUsed/>
    <w:qFormat/>
    <w:pPr>
      <w:ind w:firstLine="420"/>
    </w:pPr>
  </w:style>
  <w:style w:type="character" w:styleId="1032">
    <w:name w:val="Hyperlink"/>
    <w:uiPriority w:val="99"/>
    <w:qFormat/>
    <w:rPr>
      <w:rFonts w:ascii="Times New Roman" w:hAnsi="Times New Roman" w:eastAsia="宋体" w:cs="Times New Roman"/>
      <w:color w:val="0000ff"/>
      <w:sz w:val="20"/>
      <w:u w:val="single"/>
    </w:rPr>
  </w:style>
  <w:style w:type="character" w:styleId="1033">
    <w:name w:val="footnote reference"/>
    <w:uiPriority w:val="0"/>
    <w:qFormat/>
    <w:rPr>
      <w:rFonts w:ascii="Times New Roman" w:hAnsi="Times New Roman" w:eastAsia="宋体" w:cs="Times New Roman"/>
      <w:vertAlign w:val="superscript"/>
    </w:rPr>
  </w:style>
  <w:style w:type="paragraph" w:styleId="1034" w:customStyle="1">
    <w:name w:val="首行缩进"/>
    <w:basedOn w:val="1012"/>
    <w:uiPriority w:val="0"/>
    <w:qFormat/>
    <w:pPr>
      <w:ind w:firstLine="480"/>
    </w:pPr>
    <w:rPr>
      <w:rFonts w:ascii="Times New Roman" w:hAnsi="Times New Roman" w:cs="Times New Roman"/>
      <w:lang w:val="zh-CN"/>
    </w:rPr>
  </w:style>
  <w:style w:type="character" w:styleId="1035" w:customStyle="1">
    <w:name w:val="_Style 332"/>
    <w:uiPriority w:val="0"/>
    <w:qFormat/>
    <w:rPr>
      <w:rFonts w:ascii="Times New Roman" w:hAnsi="Times New Roman" w:eastAsia="宋体" w:cs="Times New Roman"/>
      <w:i/>
      <w:color w:val="auto"/>
      <w:sz w:val="21"/>
    </w:rPr>
  </w:style>
  <w:style w:type="paragraph" w:styleId="1036" w:customStyle="1">
    <w:name w:val="纯文本3"/>
    <w:basedOn w:val="1012"/>
    <w:uiPriority w:val="0"/>
    <w:qFormat/>
    <w:rPr>
      <w:rFonts w:ascii="宋体" w:hAnsi="Courier New" w:cs="Times New Roman"/>
    </w:rPr>
  </w:style>
  <w:style w:type="paragraph" w:styleId="1037" w:customStyle="1">
    <w:name w:val="Table Paragraph"/>
    <w:basedOn w:val="1012"/>
    <w:uiPriority w:val="1"/>
    <w:qFormat/>
    <w:rPr>
      <w:rFonts w:ascii="宋体" w:hAnsi="宋体"/>
      <w:lang w:val="zh-CN" w:bidi="zh-CN"/>
    </w:rPr>
  </w:style>
  <w:style w:type="table" w:styleId="1038"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王二小</dc:creator>
  <cp:lastModifiedBy>王雯婧 </cp:lastModifiedBy>
  <cp:revision>3</cp:revision>
  <dcterms:created xsi:type="dcterms:W3CDTF">2024-12-04T10:54:00Z</dcterms:created>
  <dcterms:modified xsi:type="dcterms:W3CDTF">2024-12-16T04:17:45Z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DE310170BA8D4BD6ACF1BFA3043C792E_13</vt:lpwstr>
  </property>
</Properties>
</file>