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t xml:space="preserve"> </w:t>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140"/>
          <w:szCs w:val="140"/>
          <w:highlight w:val="none"/>
          <w14:textFill>
            <w14:solidFill>
              <w14:schemeClr w14:val="tx1"/>
            </w14:solidFill>
          </w14:textFill>
        </w:rPr>
      </w:pPr>
      <w:r/>
      <w:bookmarkStart w:id="0" w:name="_Toc24222"/>
      <w:r/>
      <w:bookmarkStart w:id="1" w:name="_Toc20707"/>
      <w:r>
        <w:rPr>
          <w:rFonts w:hint="eastAsia"/>
          <w:b/>
          <w:color w:val="000000" w:themeColor="text1"/>
          <w:sz w:val="96"/>
          <w:szCs w:val="96"/>
          <w:highlight w:val="none"/>
          <w:lang w:val="en-US" w:eastAsia="zh-CN"/>
          <w14:textFill>
            <w14:solidFill>
              <w14:schemeClr w14:val="tx1"/>
            </w14:solidFill>
          </w14:textFill>
        </w:rPr>
        <w:t xml:space="preserve">无锡市</w:t>
      </w:r>
      <w:r>
        <w:rPr>
          <w:b/>
          <w:color w:val="000000" w:themeColor="text1"/>
          <w:sz w:val="96"/>
          <w:szCs w:val="96"/>
          <w:highlight w:val="none"/>
          <w14:textFill>
            <w14:solidFill>
              <w14:schemeClr w14:val="tx1"/>
            </w14:solidFill>
          </w14:textFill>
        </w:rPr>
        <w:t xml:space="preserve">政府采购</w:t>
      </w:r>
      <w:bookmarkEnd w:id="0"/>
      <w:r/>
      <w:bookmarkEnd w:id="1"/>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bookmarkStart w:id="2" w:name="_Toc8186"/>
      <w:r/>
      <w:bookmarkStart w:id="3" w:name="_Toc6267"/>
      <w:r>
        <w:rPr>
          <w:rFonts w:hint="eastAsia"/>
          <w:b/>
          <w:color w:val="000000" w:themeColor="text1"/>
          <w:sz w:val="72"/>
          <w:szCs w:val="72"/>
          <w:highlight w:val="none"/>
          <w14:textFill>
            <w14:solidFill>
              <w14:schemeClr w14:val="tx1"/>
            </w14:solidFill>
          </w14:textFill>
        </w:rPr>
        <w:t xml:space="preserve">公开招标</w:t>
      </w:r>
      <w:r>
        <w:rPr>
          <w:b/>
          <w:color w:val="000000" w:themeColor="text1"/>
          <w:sz w:val="72"/>
          <w:szCs w:val="72"/>
          <w:highlight w:val="none"/>
          <w14:textFill>
            <w14:solidFill>
              <w14:schemeClr w14:val="tx1"/>
            </w14:solidFill>
          </w14:textFill>
        </w:rPr>
        <w:t xml:space="preserve">文</w:t>
      </w:r>
      <w:r>
        <w:rPr>
          <w:rFonts w:hint="eastAsia"/>
          <w:b/>
          <w:color w:val="000000" w:themeColor="text1"/>
          <w:sz w:val="72"/>
          <w:szCs w:val="72"/>
          <w:highlight w:val="none"/>
          <w14:textFill>
            <w14:solidFill>
              <w14:schemeClr w14:val="tx1"/>
            </w14:solidFill>
          </w14:textFill>
        </w:rPr>
        <w:t xml:space="preserve">件</w:t>
      </w:r>
      <w:bookmarkEnd w:id="2"/>
      <w:r/>
      <w:bookmarkEnd w:id="3"/>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28"/>
          <w:szCs w:val="28"/>
          <w:highlight w:val="none"/>
          <w14:textFill>
            <w14:solidFill>
              <w14:schemeClr w14:val="tx1"/>
            </w14:solidFill>
          </w14:textFill>
        </w:rPr>
      </w:pPr>
      <w:r/>
      <w:bookmarkStart w:id="4" w:name="_Toc607"/>
      <w:r/>
      <w:bookmarkStart w:id="5" w:name="_Toc9350"/>
      <w:r>
        <w:rPr>
          <w:rFonts w:hint="eastAsia"/>
          <w:b/>
          <w:color w:val="000000" w:themeColor="text1"/>
          <w:sz w:val="28"/>
          <w:szCs w:val="28"/>
          <w:highlight w:val="none"/>
          <w14:textFill>
            <w14:solidFill>
              <w14:schemeClr w14:val="tx1"/>
            </w14:solidFill>
          </w14:textFill>
        </w:rPr>
        <w:t xml:space="preserve">（全流程电子化）</w:t>
      </w:r>
      <w:bookmarkEnd w:id="4"/>
      <w:r/>
      <w:bookmarkEnd w:id="5"/>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bookmarkStart w:id="6" w:name="_Toc158"/>
      <w:r/>
      <w:bookmarkStart w:id="7" w:name="_Toc30450"/>
      <w:r>
        <w:rPr>
          <w:rFonts w:hint="eastAsia" w:ascii="宋体" w:hAnsi="宋体" w:cs="宋体"/>
          <w:color w:val="000000" w:themeColor="text1"/>
          <w:sz w:val="30"/>
          <w:szCs w:val="30"/>
          <w:highlight w:val="none"/>
          <w14:textFill>
            <w14:solidFill>
              <w14:schemeClr w14:val="tx1"/>
            </w14:solidFill>
          </w14:textFill>
        </w:rPr>
        <w:t xml:space="preserve">采购项目编号：</w:t>
      </w:r>
      <w:bookmarkEnd w:id="6"/>
      <w:r/>
      <w:bookmarkEnd w:id="7"/>
      <w:r>
        <w:rPr>
          <w:rFonts w:hint="eastAsia" w:ascii="宋体" w:hAnsi="宋体" w:cs="宋体"/>
          <w:color w:val="000000" w:themeColor="text1"/>
          <w:sz w:val="30"/>
          <w:szCs w:val="30"/>
          <w:highlight w:val="none"/>
          <w:lang w:eastAsia="zh-CN"/>
          <w14:textFill>
            <w14:solidFill>
              <w14:schemeClr w14:val="tx1"/>
            </w14:solidFill>
          </w14:textFill>
        </w:rPr>
        <w:t xml:space="preserve">JSZC-320292-JSAA-G2025-0014</w:t>
      </w:r>
      <w:r/>
    </w:p>
    <w:p>
      <w:pPr>
        <w:jc w:val="left"/>
        <w:spacing w:line="360" w:lineRule="auto"/>
        <w:shd w:val="clear" w:color="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30"/>
          <w:szCs w:val="30"/>
          <w:highlight w:val="none"/>
          <w:lang w:eastAsia="zh-CN"/>
          <w14:textFill>
            <w14:solidFill>
              <w14:schemeClr w14:val="tx1"/>
            </w14:solidFill>
          </w14:textFill>
        </w:rPr>
        <w:t xml:space="preserve">南湖家园老旧小区改造提升工程(EPC项目)等三个项目复审服务</w:t>
      </w:r>
      <w:r/>
    </w:p>
    <w:p>
      <w:pPr>
        <w:jc w:val="left"/>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江苏无锡经济开发区财政局</w:t>
      </w:r>
      <w:r/>
    </w:p>
    <w:p>
      <w:pP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bookmarkStart w:id="8" w:name="_Toc22627"/>
      <w:r/>
      <w:bookmarkStart w:id="9" w:name="_Toc12700"/>
      <w:r>
        <w:rPr>
          <w:rFonts w:hint="eastAsia" w:ascii="宋体" w:hAnsi="宋体" w:cs="宋体"/>
          <w:color w:val="000000" w:themeColor="text1"/>
          <w:sz w:val="30"/>
          <w:szCs w:val="30"/>
          <w:highlight w:val="none"/>
          <w14:textFill>
            <w14:solidFill>
              <w14:schemeClr w14:val="tx1"/>
            </w14:solidFill>
          </w14:textFill>
        </w:rPr>
        <w:t xml:space="preserve">采购代理机构：</w:t>
      </w:r>
      <w:bookmarkEnd w:id="8"/>
      <w:r/>
      <w:bookmarkEnd w:id="9"/>
      <w:r>
        <w:rPr>
          <w:rFonts w:hint="eastAsia" w:ascii="宋体" w:hAnsi="宋体" w:cs="宋体"/>
          <w:color w:val="000000" w:themeColor="text1"/>
          <w:sz w:val="30"/>
          <w:szCs w:val="30"/>
          <w:highlight w:val="none"/>
          <w:lang w:eastAsia="zh-CN"/>
          <w14:textFill>
            <w14:solidFill>
              <w14:schemeClr w14:val="tx1"/>
            </w14:solidFill>
          </w14:textFill>
        </w:rPr>
        <w:t xml:space="preserve">居上工程咨询（无锡）有限公司</w:t>
      </w:r>
      <w:r/>
    </w:p>
    <w:p>
      <w:pPr>
        <w:shd w:val="clear" w:color="auto"/>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shd w:val="clear" w:color="auto"/>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二〇二五</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jc w:val="center"/>
        <w:shd w:val="clear" w:color="auto"/>
        <w:rPr>
          <w:rStyle w:val="1292"/>
          <w:rFonts w:hint="eastAsia" w:eastAsia="黑体"/>
          <w:bCs/>
          <w:color w:val="000000" w:themeColor="text1"/>
          <w:sz w:val="48"/>
          <w:highlight w:val="none"/>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440" w:right="1800" w:bottom="1440" w:left="1800" w:header="851" w:footer="992" w:gutter="0"/>
          <w:pgNumType w:start="1"/>
          <w:cols w:num="1" w:sep="0" w:space="720" w:equalWidth="1"/>
          <w:docGrid w:linePitch="360"/>
        </w:sectPr>
      </w:pPr>
      <w:r/>
      <w:bookmarkStart w:id="10" w:name="_Toc27240"/>
      <w:r/>
      <w:r/>
    </w:p>
    <w:p>
      <w:pPr>
        <w:jc w:val="center"/>
        <w:shd w:val="clear" w:color="auto"/>
        <w:rPr>
          <w:rStyle w:val="1292"/>
          <w:rFonts w:hint="eastAsia" w:ascii="宋体" w:hAnsi="宋体" w:cs="宋体"/>
          <w:b/>
          <w:color w:val="000000" w:themeColor="text1"/>
          <w:sz w:val="44"/>
          <w:szCs w:val="44"/>
          <w:highlight w:val="none"/>
          <w14:textFill>
            <w14:solidFill>
              <w14:schemeClr w14:val="tx1"/>
            </w14:solidFill>
          </w14:textFill>
        </w:rPr>
      </w:pPr>
      <w:r/>
      <w:bookmarkStart w:id="11" w:name="_Toc23032"/>
      <w:r/>
      <w:bookmarkStart w:id="12" w:name="_Toc15618"/>
      <w:r/>
      <w:bookmarkStart w:id="13" w:name="_Toc32576"/>
      <w:r>
        <w:rPr>
          <w:rStyle w:val="1292"/>
          <w:rFonts w:hint="eastAsia" w:ascii="宋体" w:hAnsi="宋体" w:cs="宋体"/>
          <w:b/>
          <w:color w:val="000000" w:themeColor="text1"/>
          <w:sz w:val="44"/>
          <w:szCs w:val="44"/>
          <w:highlight w:val="none"/>
          <w14:textFill>
            <w14:solidFill>
              <w14:schemeClr w14:val="tx1"/>
            </w14:solidFill>
          </w14:textFill>
        </w:rPr>
        <w:t xml:space="preserve">目     录</w:t>
      </w:r>
      <w:bookmarkEnd w:id="10"/>
      <w:r/>
      <w:bookmarkEnd w:id="11"/>
      <w:r/>
      <w:bookmarkEnd w:id="12"/>
      <w:r/>
      <w:bookmarkEnd w:id="13"/>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8"/>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fldChar w:fldCharType="begin"/>
      </w:r>
      <w:r>
        <w:rPr>
          <w:rFonts w:hint="eastAsia" w:ascii="宋体" w:hAnsi="宋体" w:cs="宋体"/>
          <w:bCs/>
          <w:color w:val="000000" w:themeColor="text1"/>
          <w:sz w:val="28"/>
          <w:szCs w:val="28"/>
          <w:highlight w:val="none"/>
          <w14:textFill>
            <w14:solidFill>
              <w14:schemeClr w14:val="tx1"/>
            </w14:solidFill>
          </w14:textFill>
        </w:rPr>
        <w:instrText xml:space="preserve">TOC \o "1-1" \f \h \u </w:instrText>
      </w:r>
      <w:r>
        <w:rPr>
          <w:rFonts w:hint="eastAsia" w:ascii="宋体" w:hAnsi="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_Toc10721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一、投标邀请函</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_Toc10721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2</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8"/>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_Toc9899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二、投标人须知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_Toc9899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7</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8"/>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_Toc18751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三、项目技术要求和有关说明</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_Toc18751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14</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8"/>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_Toc21591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四、合同书（格式文本）</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_Toc21591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18</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8"/>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_Toc24961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五、附件</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_Toc24961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28</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ind w:firstLine="420"/>
        <w:spacing w:line="360" w:lineRule="auto"/>
        <w:shd w:val="clear" w:color="auto"/>
        <w:rPr>
          <w:rFonts w:ascii="宋体"/>
          <w:bCs/>
          <w:color w:val="000000" w:themeColor="text1"/>
          <w:sz w:val="32"/>
          <w:highlight w:val="none"/>
          <w14:textFill>
            <w14:solidFill>
              <w14:schemeClr w14:val="tx1"/>
            </w14:solidFill>
          </w14:textFill>
        </w:rPr>
      </w:pPr>
      <w:r>
        <w:rPr>
          <w:rFonts w:hint="eastAsia" w:ascii="宋体" w:hAnsi="宋体" w:cs="宋体"/>
          <w:bCs/>
          <w:color w:val="000000" w:themeColor="text1"/>
          <w:szCs w:val="28"/>
          <w:highlight w:val="none"/>
          <w:lang w:val="en-US" w:eastAsia="zh-CN"/>
          <w14:textFill>
            <w14:solidFill>
              <w14:schemeClr w14:val="tx1"/>
            </w14:solidFill>
          </w14:textFill>
        </w:rPr>
        <w:t xml:space="preserve"> </w:t>
      </w:r>
      <w:r>
        <w:rPr>
          <w:rFonts w:hint="eastAsia" w:ascii="宋体" w:hAnsi="宋体" w:cs="宋体"/>
          <w:bCs/>
          <w:color w:val="000000" w:themeColor="text1"/>
          <w:szCs w:val="28"/>
          <w:highlight w:val="none"/>
          <w14:textFill>
            <w14:solidFill>
              <w14:schemeClr w14:val="tx1"/>
            </w14:solidFill>
          </w14:textFill>
        </w:rPr>
        <w:fldChar w:fldCharType="end"/>
      </w:r>
      <w:r/>
    </w:p>
    <w:p>
      <w:pPr>
        <w:jc w:val="center"/>
        <w:spacing w:line="360" w:lineRule="auto"/>
        <w:shd w:val="clear" w:color="auto"/>
        <w:rPr>
          <w:rFonts w:hint="eastAsia" w:ascii="宋体" w:hAnsi="宋体" w:cs="宋体"/>
          <w:b/>
          <w:color w:val="000000" w:themeColor="text1"/>
          <w:sz w:val="30"/>
          <w:szCs w:val="30"/>
          <w:highlight w:val="none"/>
          <w14:textFill>
            <w14:solidFill>
              <w14:schemeClr w14:val="tx1"/>
            </w14:solidFill>
          </w14:textFill>
        </w:rPr>
        <w:sectPr>
          <w:headerReference w:type="default" r:id="rId11"/>
          <w:footerReference w:type="default" r:id="rId16"/>
          <w:footerReference w:type="even" r:id="rId17"/>
          <w:footerReference w:type="first" r:id="rId18"/>
          <w:footnotePr/>
          <w:endnotePr/>
          <w:type w:val="nextPage"/>
          <w:pgSz w:w="11906" w:h="16838" w:orient="portrait"/>
          <w:pgMar w:top="1440" w:right="1800" w:bottom="1440" w:left="1800" w:header="624" w:footer="907" w:gutter="0"/>
          <w:pgNumType w:start="1"/>
          <w:cols w:num="1" w:sep="0" w:space="720" w:equalWidth="1"/>
          <w:docGrid w:linePitch="360"/>
          <w:titlePg/>
        </w:sectPr>
        <w:outlineLvl w:val="0"/>
      </w:pPr>
      <w:r/>
      <w:bookmarkStart w:id="14" w:name="报价方须知前附表"/>
      <w:r/>
      <w:bookmarkEnd w:id="14"/>
      <w:r/>
      <w:bookmarkStart w:id="15" w:name="_Toc24814"/>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bookmarkStart w:id="16" w:name="_Toc13603"/>
      <w:r/>
      <w:bookmarkStart w:id="17" w:name="_Toc10721"/>
      <w:r>
        <w:rPr>
          <w:rFonts w:hint="eastAsia" w:hAnsi="宋体" w:cs="宋体"/>
          <w:b/>
          <w:bCs/>
          <w:color w:val="000000" w:themeColor="text1"/>
          <w:sz w:val="32"/>
          <w:szCs w:val="32"/>
          <w:highlight w:val="none"/>
          <w14:textFill>
            <w14:solidFill>
              <w14:schemeClr w14:val="tx1"/>
            </w14:solidFill>
          </w14:textFill>
        </w:rPr>
        <w:t xml:space="preserve">一、投标邀请函</w:t>
      </w:r>
      <w:bookmarkEnd w:id="15"/>
      <w:r/>
      <w:bookmarkEnd w:id="16"/>
      <w:r/>
      <w:bookmarkEnd w:id="17"/>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受</w:t>
      </w:r>
      <w:r>
        <w:rPr>
          <w:rFonts w:hint="eastAsia" w:ascii="宋体" w:hAnsi="宋体" w:cs="宋体"/>
          <w:color w:val="000000" w:themeColor="text1"/>
          <w:sz w:val="24"/>
          <w:szCs w:val="24"/>
          <w:highlight w:val="none"/>
          <w:lang w:eastAsia="zh-CN"/>
          <w14:textFill>
            <w14:solidFill>
              <w14:schemeClr w14:val="tx1"/>
            </w14:solidFill>
          </w14:textFill>
        </w:rPr>
        <w:t xml:space="preserve">江苏无锡经济开发区财政局</w:t>
      </w:r>
      <w:r>
        <w:rPr>
          <w:rFonts w:hint="eastAsia" w:ascii="宋体" w:hAnsi="宋体" w:cs="宋体"/>
          <w:color w:val="000000" w:themeColor="text1"/>
          <w:sz w:val="24"/>
          <w:szCs w:val="24"/>
          <w:highlight w:val="none"/>
          <w14:textFill>
            <w14:solidFill>
              <w14:schemeClr w14:val="tx1"/>
            </w14:solidFill>
          </w14:textFill>
        </w:rPr>
        <w:t xml:space="preserve">的委托，</w:t>
      </w:r>
      <w:r>
        <w:rPr>
          <w:rFonts w:hint="eastAsia" w:ascii="宋体" w:hAnsi="宋体" w:cs="宋体"/>
          <w:bCs/>
          <w:color w:val="000000" w:themeColor="text1"/>
          <w:sz w:val="24"/>
          <w:szCs w:val="24"/>
          <w:highlight w:val="none"/>
          <w14:textFill>
            <w14:solidFill>
              <w14:schemeClr w14:val="tx1"/>
            </w14:solidFill>
          </w14:textFill>
        </w:rPr>
        <w:t xml:space="preserve">对</w:t>
      </w:r>
      <w:r>
        <w:rPr>
          <w:rFonts w:hint="eastAsia" w:ascii="宋体" w:hAnsi="宋体" w:cs="宋体"/>
          <w:color w:val="000000" w:themeColor="text1"/>
          <w:sz w:val="24"/>
          <w:szCs w:val="24"/>
          <w:highlight w:val="none"/>
          <w:lang w:eastAsia="zh-CN"/>
          <w14:textFill>
            <w14:solidFill>
              <w14:schemeClr w14:val="tx1"/>
            </w14:solidFill>
          </w14:textFill>
        </w:rPr>
        <w:t xml:space="preserve">南湖家园老旧小区改造提升工程(EPC项目)等三个项目复审服务</w:t>
      </w:r>
      <w:r>
        <w:rPr>
          <w:rFonts w:hint="eastAsia" w:ascii="宋体" w:hAnsi="宋体" w:cs="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tbl>
      <w:tblPr>
        <w:tblStyle w:val="1066"/>
        <w:tblW w:w="9587" w:type="dxa"/>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8742"/>
      </w:tblGrid>
      <w:tr>
        <w:trPr>
          <w:trHeight w:val="460"/>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8742"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内容</w:t>
            </w:r>
            <w:r/>
          </w:p>
        </w:tc>
      </w:tr>
      <w:tr>
        <w:trPr>
          <w:trHeight w:val="1410"/>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南湖家园老旧小区改造提升工程(EPC项目)等三个项目复审服务</w:t>
            </w:r>
            <w:r/>
          </w:p>
          <w:p>
            <w:pPr>
              <w:spacing w:line="360" w:lineRule="auto"/>
              <w:shd w:val="clear" w:color="auto"/>
              <w:widowControl/>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JSZC-320292-JSAA-G2025-0014</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采购方式：公开招标</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8742" w:type="dxa"/>
            <w:vAlign w:val="center"/>
            <w:textDirection w:val="lrTb"/>
            <w:noWrap w:val="false"/>
          </w:tcPr>
          <w:p>
            <w:pPr>
              <w:ind w:firstLine="24"/>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江苏无锡经济开发区财政局</w:t>
            </w:r>
            <w:r/>
          </w:p>
          <w:p>
            <w:pPr>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采购人地址：</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江苏省无锡市滨湖区清舒道77号</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采购机构地址：</w:t>
            </w:r>
            <w:r>
              <w:rPr>
                <w:rFonts w:hint="eastAsia" w:ascii="宋体" w:hAnsi="宋体" w:cs="宋体"/>
                <w:color w:val="000000" w:themeColor="text1"/>
                <w:sz w:val="24"/>
                <w:szCs w:val="24"/>
                <w:highlight w:val="none"/>
                <w:lang w:val="zh-CN"/>
                <w14:textFill>
                  <w14:solidFill>
                    <w14:schemeClr w14:val="tx1"/>
                  </w14:solidFill>
                </w14:textFill>
              </w:rPr>
              <w:t xml:space="preserve">无锡市锡山区团结中路20号3-707</w:t>
            </w:r>
            <w:r/>
          </w:p>
        </w:tc>
      </w:tr>
      <w:tr>
        <w:trPr>
          <w:trHeight w:val="558"/>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8742" w:type="dxa"/>
            <w:vAlign w:val="center"/>
            <w:textDirection w:val="lrTb"/>
            <w:noWrap w:val="false"/>
          </w:tcPr>
          <w:p>
            <w:pPr>
              <w:pStyle w:val="1283"/>
              <w:spacing w:before="0" w:beforeAutospacing="0" w:after="0" w:afterAutospacing="0" w:line="360" w:lineRule="auto"/>
              <w:shd w:val="clear" w:color="auto"/>
              <w:tabs>
                <w:tab w:val="left" w:pos="360" w:leader="none"/>
                <w:tab w:val="left" w:pos="9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采购项目概况、要求：</w:t>
            </w:r>
            <w:r/>
          </w:p>
          <w:p>
            <w:pPr>
              <w:pStyle w:val="1283"/>
              <w:spacing w:before="0" w:beforeAutospacing="0" w:after="0" w:afterAutospacing="0" w:line="360" w:lineRule="auto"/>
              <w:shd w:val="clear" w:color="auto"/>
              <w:tabs>
                <w:tab w:val="left" w:pos="360" w:leader="none"/>
                <w:tab w:val="left" w:pos="9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1、采购内容：</w:t>
            </w:r>
            <w:r>
              <w:rPr>
                <w:rFonts w:hint="eastAsia" w:cs="宋体"/>
                <w:color w:val="000000" w:themeColor="text1"/>
                <w:sz w:val="24"/>
                <w:szCs w:val="24"/>
                <w:highlight w:val="none"/>
                <w:lang w:eastAsia="zh-CN"/>
                <w14:textFill>
                  <w14:solidFill>
                    <w14:schemeClr w14:val="tx1"/>
                  </w14:solidFill>
                </w14:textFill>
              </w:rPr>
              <w:t xml:space="preserve">南湖家园老旧小区改造提升工程(EPC项目)等三个项目复审服务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详见“三、项目技术要求和有关说明”。</w:t>
            </w:r>
            <w:r/>
          </w:p>
          <w:p>
            <w:pPr>
              <w:pStyle w:val="1283"/>
              <w:spacing w:before="0" w:beforeAutospacing="0" w:after="0" w:afterAutospacing="0" w:line="360" w:lineRule="auto"/>
              <w:shd w:val="clear" w:color="auto"/>
              <w:tabs>
                <w:tab w:val="left" w:pos="360" w:leader="none"/>
                <w:tab w:val="left" w:pos="96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2、服务期限：</w:t>
            </w:r>
            <w:r>
              <w:rPr>
                <w:rFonts w:hint="eastAsia"/>
                <w:bCs/>
                <w:color w:val="000000" w:themeColor="text1"/>
                <w:sz w:val="24"/>
                <w:highlight w:val="none"/>
                <w:lang w:eastAsia="zh-CN"/>
                <w14:textFill>
                  <w14:solidFill>
                    <w14:schemeClr w14:val="tx1"/>
                  </w14:solidFill>
                </w14:textFill>
              </w:rPr>
              <w:t xml:space="preserve">自合同签订生效之日起至对应中标项目由无锡市审计局出具竣工决算审计报告止。</w:t>
            </w:r>
            <w:r>
              <w:rPr>
                <w:rFonts w:hint="eastAsia"/>
                <w:color w:val="000000" w:themeColor="text1"/>
                <w:highlight w:val="none"/>
                <w:lang w:eastAsia="zh-CN"/>
                <w14:textFill>
                  <w14:solidFill>
                    <w14:schemeClr w14:val="tx1"/>
                  </w14:solidFill>
                </w14:textFill>
              </w:rPr>
              <w:t xml:space="preserve"> </w:t>
            </w:r>
            <w:r/>
          </w:p>
          <w:p>
            <w:pPr>
              <w:pStyle w:val="1283"/>
              <w:spacing w:before="0" w:beforeAutospacing="0" w:after="0" w:afterAutospacing="0" w:line="360" w:lineRule="auto"/>
              <w:shd w:val="clear" w:color="auto"/>
              <w:tabs>
                <w:tab w:val="left" w:pos="360" w:leader="none"/>
                <w:tab w:val="left" w:pos="96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3、质量要求：</w:t>
            </w:r>
            <w:r>
              <w:rPr>
                <w:rFonts w:hint="eastAsia"/>
                <w:color w:val="000000" w:themeColor="text1"/>
                <w:highlight w:val="none"/>
                <w:lang w:eastAsia="zh-CN"/>
                <w14:textFill>
                  <w14:solidFill>
                    <w14:schemeClr w14:val="tx1"/>
                  </w14:solidFill>
                </w14:textFill>
              </w:rPr>
              <w:t xml:space="preserve">合格标准，符合国家、省、市以及相关管理部门相关规定和行业规范。</w:t>
            </w:r>
            <w:r>
              <w:rPr>
                <w:rFonts w:hint="eastAsia"/>
                <w:color w:val="000000" w:themeColor="text1"/>
                <w:highlight w:val="none"/>
                <w:lang w:val="en-US" w:eastAsia="zh-CN"/>
                <w14:textFill>
                  <w14:solidFill>
                    <w14:schemeClr w14:val="tx1"/>
                  </w14:solidFill>
                </w14:textFill>
              </w:rPr>
              <w:t xml:space="preserve"> </w:t>
            </w:r>
            <w:r/>
          </w:p>
          <w:p>
            <w:pPr>
              <w:pStyle w:val="1283"/>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4、项目投标预算价</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194.14</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。其中：</w:t>
            </w:r>
            <w:r/>
          </w:p>
          <w:p>
            <w:pPr>
              <w:pStyle w:val="1283"/>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采购包1（蠡河道规划小学新建工程复审）项目预算为</w:t>
            </w:r>
            <w:r>
              <w:rPr>
                <w:rFonts w:hint="eastAsia"/>
                <w:bCs/>
                <w:color w:val="000000" w:themeColor="text1"/>
                <w:highlight w:val="none"/>
                <w:lang w:val="en-US" w:eastAsia="zh-CN"/>
                <w14:textFill>
                  <w14:solidFill>
                    <w14:schemeClr w14:val="tx1"/>
                  </w14:solidFill>
                </w14:textFill>
              </w:rPr>
              <w:t xml:space="preserve">102.48</w:t>
            </w:r>
            <w:r>
              <w:rPr>
                <w:rFonts w:hint="eastAsia"/>
                <w:bCs/>
                <w:color w:val="000000" w:themeColor="text1"/>
                <w:highlight w:val="none"/>
                <w14:textFill>
                  <w14:solidFill>
                    <w14:schemeClr w14:val="tx1"/>
                  </w14:solidFill>
                </w14:textFill>
              </w:rPr>
              <w:t xml:space="preserve">万元；</w:t>
            </w:r>
            <w:r/>
          </w:p>
          <w:p>
            <w:pPr>
              <w:pStyle w:val="1283"/>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采购包2（南湖家园老旧小区改造提升工程复审）项目预算为</w:t>
            </w:r>
            <w:r>
              <w:rPr>
                <w:rFonts w:hint="eastAsia"/>
                <w:bCs/>
                <w:color w:val="000000" w:themeColor="text1"/>
                <w:highlight w:val="none"/>
                <w:lang w:val="en-US" w:eastAsia="zh-CN"/>
                <w14:textFill>
                  <w14:solidFill>
                    <w14:schemeClr w14:val="tx1"/>
                  </w14:solidFill>
                </w14:textFill>
              </w:rPr>
              <w:t xml:space="preserve">63.93</w:t>
            </w:r>
            <w:r>
              <w:rPr>
                <w:rFonts w:hint="eastAsia"/>
                <w:bCs/>
                <w:color w:val="000000" w:themeColor="text1"/>
                <w:highlight w:val="none"/>
                <w14:textFill>
                  <w14:solidFill>
                    <w14:schemeClr w14:val="tx1"/>
                  </w14:solidFill>
                </w14:textFill>
              </w:rPr>
              <w:t xml:space="preserve">万元；</w:t>
            </w:r>
            <w:r/>
          </w:p>
          <w:p>
            <w:pPr>
              <w:pStyle w:val="1283"/>
              <w:spacing w:before="0" w:beforeAutospacing="0" w:after="0" w:afterAutospacing="0" w:line="360" w:lineRule="auto"/>
              <w:shd w:val="clear" w:color="auto"/>
              <w:tabs>
                <w:tab w:val="left" w:pos="360" w:leader="none"/>
                <w:tab w:val="left" w:pos="960" w:leader="none"/>
              </w:tabs>
              <w:rPr>
                <w:rFonts w:hint="eastAsia"/>
                <w:b/>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采购包3（贡湖大道(周新路-震泽路)道路及周边绿化景观提升工程复审）项目预算为</w:t>
            </w:r>
            <w:r>
              <w:rPr>
                <w:rFonts w:hint="eastAsia"/>
                <w:bCs/>
                <w:color w:val="000000" w:themeColor="text1"/>
                <w:highlight w:val="none"/>
                <w:lang w:val="en-US" w:eastAsia="zh-CN"/>
                <w14:textFill>
                  <w14:solidFill>
                    <w14:schemeClr w14:val="tx1"/>
                  </w14:solidFill>
                </w14:textFill>
              </w:rPr>
              <w:t xml:space="preserve">27.73</w:t>
            </w:r>
            <w:r>
              <w:rPr>
                <w:rFonts w:hint="eastAsia"/>
                <w:bCs/>
                <w:color w:val="000000" w:themeColor="text1"/>
                <w:highlight w:val="none"/>
                <w14:textFill>
                  <w14:solidFill>
                    <w14:schemeClr w14:val="tx1"/>
                  </w14:solidFill>
                </w14:textFill>
              </w:rPr>
              <w:t xml:space="preserve">万元；</w:t>
            </w:r>
            <w:r/>
          </w:p>
          <w:p>
            <w:pPr>
              <w:pStyle w:val="1283"/>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5、本项目</w:t>
            </w:r>
            <w:r>
              <w:rPr>
                <w:rFonts w:hint="eastAsia"/>
                <w:b/>
                <w:color w:val="000000" w:themeColor="text1"/>
                <w:highlight w:val="none"/>
                <w:u w:val="single"/>
                <w14:textFill>
                  <w14:solidFill>
                    <w14:schemeClr w14:val="tx1"/>
                  </w14:solidFill>
                </w14:textFill>
              </w:rPr>
              <w:t xml:space="preserve">不接受</w:t>
            </w:r>
            <w:r>
              <w:rPr>
                <w:rFonts w:hint="eastAsia"/>
                <w:bCs/>
                <w:color w:val="000000" w:themeColor="text1"/>
                <w:highlight w:val="none"/>
                <w14:textFill>
                  <w14:solidFill>
                    <w14:schemeClr w14:val="tx1"/>
                  </w14:solidFill>
                </w14:textFill>
              </w:rPr>
              <w:t xml:space="preserve">联合体投标。</w:t>
            </w:r>
            <w:r/>
          </w:p>
          <w:p>
            <w:pPr>
              <w:pStyle w:val="1283"/>
              <w:spacing w:before="0" w:beforeAutospacing="0" w:after="0" w:afterAutospacing="0" w:line="360" w:lineRule="auto"/>
              <w:shd w:val="clear" w:color="auto"/>
              <w:tabs>
                <w:tab w:val="left" w:pos="360" w:leader="none"/>
                <w:tab w:val="left" w:pos="960" w:leader="none"/>
              </w:tabs>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6、本项目是否专门面向</w:t>
            </w:r>
            <w:r>
              <w:rPr>
                <w:rFonts w:hint="eastAsia"/>
                <w:b/>
                <w:color w:val="000000" w:themeColor="text1"/>
                <w:highlight w:val="none"/>
                <w:lang w:val="en-US" w:eastAsia="zh-CN"/>
                <w14:textFill>
                  <w14:solidFill>
                    <w14:schemeClr w14:val="tx1"/>
                  </w14:solidFill>
                </w14:textFill>
              </w:rPr>
              <w:t xml:space="preserve">中</w:t>
            </w:r>
            <w:r>
              <w:rPr>
                <w:rFonts w:hint="eastAsia"/>
                <w:b/>
                <w:color w:val="000000" w:themeColor="text1"/>
                <w:highlight w:val="none"/>
                <w14:textFill>
                  <w14:solidFill>
                    <w14:schemeClr w14:val="tx1"/>
                  </w14:solidFill>
                </w14:textFill>
              </w:rPr>
              <w:t xml:space="preserve">小微企业：是。</w:t>
            </w:r>
            <w:r/>
          </w:p>
          <w:p>
            <w:pPr>
              <w:pStyle w:val="1283"/>
              <w:spacing w:before="0" w:beforeAutospacing="0" w:after="0" w:afterAutospacing="0" w:line="360" w:lineRule="auto"/>
              <w:shd w:val="clear" w:color="auto"/>
              <w:tabs>
                <w:tab w:val="left" w:pos="360" w:leader="none"/>
                <w:tab w:val="left" w:pos="960" w:leader="none"/>
              </w:tabs>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tc>
      </w:tr>
      <w:tr>
        <w:trPr/>
        <w:tc>
          <w:tcPr>
            <w:tcW w:w="845" w:type="dxa"/>
            <w:vAlign w:val="center"/>
            <w:textDirection w:val="lrTb"/>
            <w:noWrap w:val="false"/>
          </w:tcPr>
          <w:p>
            <w:pPr>
              <w:pStyle w:val="1283"/>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8742" w:type="dxa"/>
            <w:vAlign w:val="center"/>
            <w:textDirection w:val="lrTb"/>
            <w:noWrap w:val="false"/>
          </w:tcPr>
          <w:p>
            <w:pPr>
              <w:pStyle w:val="1283"/>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投标人资格要求：</w:t>
            </w:r>
            <w:r/>
          </w:p>
          <w:p>
            <w:pPr>
              <w:pStyle w:val="1283"/>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pStyle w:val="1283"/>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pStyle w:val="1283"/>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3.落实政府采购政策需满足的资格要求：本项目专门面向</w:t>
            </w:r>
            <w:r>
              <w:rPr>
                <w:rFonts w:hint="eastAsia"/>
                <w:color w:val="000000" w:themeColor="text1"/>
                <w:highlight w:val="none"/>
                <w:lang w:val="en-US" w:eastAsia="zh-CN"/>
                <w14:textFill>
                  <w14:solidFill>
                    <w14:schemeClr w14:val="tx1"/>
                  </w14:solidFill>
                </w14:textFill>
              </w:rPr>
              <w:t xml:space="preserve">中小微</w:t>
            </w:r>
            <w:r>
              <w:rPr>
                <w:rFonts w:hint="eastAsia"/>
                <w:color w:val="000000" w:themeColor="text1"/>
                <w:highlight w:val="none"/>
                <w14:textFill>
                  <w14:solidFill>
                    <w14:schemeClr w14:val="tx1"/>
                  </w14:solidFill>
                </w14:textFill>
              </w:rPr>
              <w:t xml:space="preserve">企业，投标供应商须提供《中小企业声明函》或《监狱企业证明文件》、《残疾人福利性单位声明函》；</w:t>
            </w:r>
            <w:r/>
          </w:p>
          <w:p>
            <w:pPr>
              <w:pStyle w:val="1283"/>
              <w:spacing w:before="0" w:beforeAutospacing="0" w:after="0" w:afterAutospacing="0" w:line="360" w:lineRule="auto"/>
              <w:shd w:val="clear" w:color="auto"/>
              <w:tabs>
                <w:tab w:val="left" w:pos="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、本项目的特定资格要求：</w:t>
            </w:r>
            <w:r>
              <w:rPr>
                <w:rFonts w:hint="eastAsia"/>
                <w:color w:val="000000" w:themeColor="text1"/>
                <w:highlight w:val="none"/>
                <w:lang w:val="en-US" w:eastAsia="zh-CN"/>
                <w14:textFill>
                  <w14:solidFill>
                    <w14:schemeClr w14:val="tx1"/>
                  </w14:solidFill>
                </w14:textFill>
              </w:rPr>
              <w:t xml:space="preserve">/。</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8742" w:type="dxa"/>
            <w:vAlign w:val="center"/>
            <w:textDirection w:val="lrTb"/>
            <w:noWrap w:val="false"/>
          </w:tcPr>
          <w:p>
            <w:pPr>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发售采购文件时间：</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获取采购文件时间：</w:t>
            </w:r>
            <w:r>
              <w:rPr>
                <w:rFonts w:hint="eastAsia" w:ascii="宋体" w:hAnsi="宋体"/>
                <w:bCs/>
                <w:color w:val="000000" w:themeColor="text1"/>
                <w:sz w:val="24"/>
                <w:highlight w:val="none"/>
                <w:u w:val="single"/>
                <w:lang w:val="en-US" w:eastAsia="zh-CN"/>
                <w14:textFill>
                  <w14:solidFill>
                    <w14:schemeClr w14:val="tx1"/>
                  </w14:solidFill>
                </w14:textFill>
              </w:rPr>
              <w:t xml:space="preserve">2025年10月11日</w:t>
            </w:r>
            <w:r>
              <w:rPr>
                <w:rFonts w:hint="eastAsia" w:ascii="宋体" w:hAnsi="宋体"/>
                <w:bCs/>
                <w:color w:val="000000" w:themeColor="text1"/>
                <w:sz w:val="24"/>
                <w:highlight w:val="none"/>
                <w:u w:val="single"/>
                <w14:textFill>
                  <w14:solidFill>
                    <w14:schemeClr w14:val="tx1"/>
                  </w14:solidFill>
                </w14:textFill>
              </w:rPr>
              <w:t xml:space="preserve">至202</w:t>
            </w:r>
            <w:r>
              <w:rPr>
                <w:rFonts w:hint="eastAsia" w:ascii="宋体" w:hAnsi="宋体"/>
                <w:bCs/>
                <w:color w:val="000000" w:themeColor="text1"/>
                <w:sz w:val="24"/>
                <w:highlight w:val="none"/>
                <w:u w:val="single"/>
                <w:lang w:val="en-US" w:eastAsia="zh-CN"/>
                <w14:textFill>
                  <w14:solidFill>
                    <w14:schemeClr w14:val="tx1"/>
                  </w14:solidFill>
                </w14:textFill>
              </w:rPr>
              <w:t xml:space="preserve">5</w:t>
            </w:r>
            <w:r>
              <w:rPr>
                <w:rFonts w:hint="eastAsia"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17</w:t>
            </w:r>
            <w:r>
              <w:rPr>
                <w:rFonts w:hint="eastAsia" w:ascii="宋体" w:hAnsi="宋体"/>
                <w:bCs/>
                <w:color w:val="000000" w:themeColor="text1"/>
                <w:sz w:val="24"/>
                <w:highlight w:val="none"/>
                <w:u w:val="single"/>
                <w14:textFill>
                  <w14:solidFill>
                    <w14:schemeClr w14:val="tx1"/>
                  </w14:solidFill>
                </w14:textFill>
              </w:rPr>
              <w:t xml:space="preserve">日</w:t>
            </w:r>
            <w:r>
              <w:rPr>
                <w:rFonts w:hint="eastAsia" w:ascii="宋体" w:hAnsi="宋体"/>
                <w:bCs/>
                <w:color w:val="000000" w:themeColor="text1"/>
                <w:sz w:val="24"/>
                <w:highlight w:val="none"/>
                <w14:textFill>
                  <w14:solidFill>
                    <w14:schemeClr w14:val="tx1"/>
                  </w14:solidFill>
                </w14:textFill>
              </w:rPr>
              <w:t xml:space="preserve">，每天上午0</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:00-12:00，下午12:00-23:59（北京时间，法定节假日除外）</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2、获取方式：本项目采用网上注册登记方式，网上注册登记成功</w:t>
            </w:r>
            <w:r>
              <w:rPr>
                <w:rFonts w:hint="eastAsia" w:ascii="宋体" w:hAnsi="宋体" w:cs="宋体"/>
                <w:bCs/>
                <w:color w:val="000000" w:themeColor="text1"/>
                <w:sz w:val="24"/>
                <w:szCs w:val="24"/>
                <w:highlight w:val="none"/>
                <w:lang w:eastAsia="zh-CN"/>
                <w14:textFill>
                  <w14:solidFill>
                    <w14:schemeClr w14:val="tx1"/>
                  </w14:solidFill>
                </w14:textFill>
              </w:rPr>
              <w:t xml:space="preserve">后在</w:t>
            </w:r>
            <w:r>
              <w:rPr>
                <w:rFonts w:hint="eastAsia" w:ascii="宋体" w:hAnsi="宋体" w:cs="宋体"/>
                <w:bCs/>
                <w:color w:val="000000" w:themeColor="text1"/>
                <w:sz w:val="24"/>
                <w:szCs w:val="24"/>
                <w:highlight w:val="none"/>
                <w14:textFill>
                  <w14:solidFill>
                    <w14:schemeClr w14:val="tx1"/>
                  </w14:solidFill>
                </w14:textFill>
              </w:rPr>
              <w:t xml:space="preserve">系统内免费下载。</w:t>
            </w:r>
            <w:r/>
          </w:p>
          <w:p>
            <w:pPr>
              <w:jc w:val="left"/>
              <w:keepLines w:val="0"/>
              <w:keepNext w:val="0"/>
              <w:pageBreakBefore w:val="0"/>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潜在报价供应商如确定投标，可在“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4、报价供应商应承担其编制响应文件以及递交响应文件所涉及的一切费用。无论投标结果如何，采购人对上述费用不负任何责任。</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无需</w:t>
            </w:r>
            <w:r>
              <w:rPr>
                <w:rFonts w:hint="eastAsia" w:ascii="宋体" w:hAnsi="宋体" w:cs="宋体"/>
                <w:bCs/>
                <w:color w:val="000000" w:themeColor="text1"/>
                <w:sz w:val="24"/>
                <w:szCs w:val="24"/>
                <w:highlight w:val="none"/>
                <w14:textFill>
                  <w14:solidFill>
                    <w14:schemeClr w14:val="tx1"/>
                  </w14:solidFill>
                </w14:textFill>
              </w:rPr>
              <w:t xml:space="preserve">缴纳投标保证金。</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8742" w:type="dxa"/>
            <w:vAlign w:val="center"/>
            <w:textDirection w:val="lrTb"/>
            <w:noWrap w:val="false"/>
          </w:tcPr>
          <w:p>
            <w:pPr>
              <w:spacing w:line="360" w:lineRule="auto"/>
              <w:shd w:val="clear" w:color="auto"/>
              <w:widowControl/>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投标供应商对采购文件提出修改、澄清要求的截止</w:t>
            </w:r>
            <w:r>
              <w:rPr>
                <w:rFonts w:hint="eastAsia" w:ascii="宋体" w:hAnsi="宋体" w:cs="宋体"/>
                <w:b w:val="0"/>
                <w:bCs w:val="0"/>
                <w:color w:val="000000" w:themeColor="text1"/>
                <w:sz w:val="24"/>
                <w:szCs w:val="24"/>
                <w:highlight w:val="none"/>
                <w14:textFill>
                  <w14:solidFill>
                    <w14:schemeClr w14:val="tx1"/>
                  </w14:solidFill>
                </w14:textFill>
              </w:rPr>
              <w:t xml:space="preserve">时间：</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202</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年</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月</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日</w:t>
            </w:r>
            <w:r>
              <w:rPr>
                <w:rFonts w:hint="eastAsia" w:ascii="宋体" w:hAnsi="宋体" w:cs="宋体"/>
                <w:b w:val="0"/>
                <w:bCs w:val="0"/>
                <w:color w:val="000000" w:themeColor="text1"/>
                <w:sz w:val="24"/>
                <w:szCs w:val="24"/>
                <w:highlight w:val="none"/>
                <w14:textFill>
                  <w14:solidFill>
                    <w14:schemeClr w14:val="tx1"/>
                  </w14:solidFill>
                </w14:textFill>
              </w:rPr>
              <w:t xml:space="preserve">10:00时，以书面传真形式和电子邮件形式发送给采购代理机构。</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采购人对采购文件修改、澄清的截止时间：</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202</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年</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月</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16:00时前，</w:t>
            </w:r>
            <w:r>
              <w:rPr>
                <w:rFonts w:hint="eastAsia" w:hAnsi="宋体" w:cs="宋体"/>
                <w:color w:val="000000" w:themeColor="text1"/>
                <w:sz w:val="24"/>
                <w:highlight w:val="none"/>
                <w14:textFill>
                  <w14:solidFill>
                    <w14:schemeClr w14:val="tx1"/>
                  </w14:solidFill>
                </w14:textFill>
              </w:rPr>
              <w:t xml:space="preserve">以电子邮件形式告知</w:t>
            </w:r>
            <w:r>
              <w:rPr>
                <w:rFonts w:hint="eastAsia" w:ascii="宋体" w:hAnsi="宋体" w:cs="宋体"/>
                <w:color w:val="000000" w:themeColor="text1"/>
                <w:sz w:val="24"/>
                <w:szCs w:val="24"/>
                <w:highlight w:val="none"/>
                <w14:textFill>
                  <w14:solidFill>
                    <w14:schemeClr w14:val="tx1"/>
                  </w14:solidFill>
                </w14:textFill>
              </w:rPr>
              <w:t xml:space="preserve">各报名投标供应商。</w:t>
            </w:r>
            <w:r/>
          </w:p>
        </w:tc>
      </w:tr>
      <w:tr>
        <w:trPr>
          <w:trHeight w:val="613"/>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本项目无需递交投标保证金</w:t>
            </w:r>
            <w:r/>
          </w:p>
        </w:tc>
      </w:tr>
      <w:tr>
        <w:trPr>
          <w:trHeight w:val="621"/>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投标有效期：投标截止之日起90天</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8742" w:type="dxa"/>
            <w:vAlign w:val="center"/>
            <w:textDirection w:val="lrTb"/>
            <w:noWrap w:val="false"/>
          </w:tcPr>
          <w:p>
            <w:pPr>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投标文件开始接收时间：</w:t>
            </w:r>
            <w:r>
              <w:rPr>
                <w:rFonts w:hint="eastAsia" w:ascii="宋体" w:hAnsi="宋体" w:cs="宋体"/>
                <w:b w:val="0"/>
                <w:bCs w:val="0"/>
                <w:color w:val="0000ff"/>
                <w:sz w:val="24"/>
                <w:szCs w:val="24"/>
                <w:highlight w:val="none"/>
                <w:u w:val="single"/>
              </w:rPr>
              <w:t xml:space="preserve">202</w:t>
            </w:r>
            <w:r>
              <w:rPr>
                <w:rFonts w:hint="eastAsia" w:ascii="宋体" w:hAnsi="宋体" w:cs="宋体"/>
                <w:b w:val="0"/>
                <w:bCs w:val="0"/>
                <w:color w:val="0000ff"/>
                <w:sz w:val="24"/>
                <w:szCs w:val="24"/>
                <w:highlight w:val="none"/>
                <w:u w:val="single"/>
                <w:lang w:val="en-US" w:eastAsia="zh-CN"/>
              </w:rPr>
              <w:t xml:space="preserve">5</w:t>
            </w:r>
            <w:r>
              <w:rPr>
                <w:rFonts w:hint="eastAsia" w:ascii="宋体" w:hAnsi="宋体" w:cs="宋体"/>
                <w:b w:val="0"/>
                <w:bCs w:val="0"/>
                <w:color w:val="0000ff"/>
                <w:sz w:val="24"/>
                <w:szCs w:val="24"/>
                <w:highlight w:val="none"/>
                <w:u w:val="single"/>
              </w:rPr>
              <w:t xml:space="preserve">年</w:t>
            </w:r>
            <w:r>
              <w:rPr>
                <w:rFonts w:hint="eastAsia" w:ascii="宋体" w:hAnsi="宋体" w:cs="宋体"/>
                <w:b w:val="0"/>
                <w:bCs w:val="0"/>
                <w:color w:val="0000ff"/>
                <w:sz w:val="24"/>
                <w:szCs w:val="24"/>
                <w:highlight w:val="none"/>
                <w:u w:val="single"/>
                <w:lang w:val="en-US" w:eastAsia="zh-CN"/>
              </w:rPr>
              <w:t xml:space="preserve">11</w:t>
            </w:r>
            <w:r>
              <w:rPr>
                <w:rFonts w:hint="eastAsia" w:ascii="宋体" w:hAnsi="宋体" w:cs="宋体"/>
                <w:b w:val="0"/>
                <w:bCs w:val="0"/>
                <w:color w:val="0000ff"/>
                <w:sz w:val="24"/>
                <w:szCs w:val="24"/>
                <w:highlight w:val="none"/>
                <w:u w:val="single"/>
              </w:rPr>
              <w:t xml:space="preserve">月</w:t>
            </w:r>
            <w:r>
              <w:rPr>
                <w:rFonts w:hint="eastAsia" w:ascii="宋体" w:hAnsi="宋体" w:cs="宋体"/>
                <w:b w:val="0"/>
                <w:bCs w:val="0"/>
                <w:color w:val="0000ff"/>
                <w:sz w:val="24"/>
                <w:szCs w:val="24"/>
                <w:highlight w:val="none"/>
                <w:u w:val="single"/>
                <w:lang w:val="en-US" w:eastAsia="zh-CN"/>
              </w:rPr>
              <w:t xml:space="preserve">12</w:t>
            </w:r>
            <w:r>
              <w:rPr>
                <w:rFonts w:hint="eastAsia" w:ascii="宋体" w:hAnsi="宋体" w:cs="宋体"/>
                <w:b w:val="0"/>
                <w:bCs w:val="0"/>
                <w:color w:val="0000ff"/>
                <w:sz w:val="24"/>
                <w:szCs w:val="24"/>
                <w:highlight w:val="none"/>
                <w:u w:val="single"/>
              </w:rPr>
              <w:t xml:space="preserve">日</w:t>
            </w:r>
            <w:r>
              <w:rPr>
                <w:rFonts w:hint="eastAsia" w:ascii="宋体" w:hAnsi="宋体" w:cs="宋体"/>
                <w:color w:val="0000ff"/>
                <w:sz w:val="24"/>
                <w:szCs w:val="24"/>
                <w:highlight w:val="none"/>
                <w:u w:val="single"/>
              </w:rPr>
              <w:t xml:space="preserve">9:00</w:t>
            </w:r>
            <w:r>
              <w:rPr>
                <w:rFonts w:hint="eastAsia" w:ascii="宋体" w:hAnsi="宋体" w:cs="宋体"/>
                <w:color w:val="0000ff"/>
                <w:sz w:val="24"/>
                <w:szCs w:val="24"/>
                <w:highlight w:val="none"/>
              </w:rPr>
              <w:t xml:space="preserve">；</w:t>
            </w:r>
            <w:r/>
          </w:p>
          <w:p>
            <w:pPr>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投标文件接收截止时间：</w:t>
            </w:r>
            <w:r>
              <w:rPr>
                <w:rFonts w:hint="eastAsia" w:ascii="宋体" w:hAnsi="宋体" w:cs="宋体"/>
                <w:b w:val="0"/>
                <w:bCs w:val="0"/>
                <w:color w:val="0000ff"/>
                <w:sz w:val="24"/>
                <w:szCs w:val="24"/>
                <w:highlight w:val="none"/>
                <w:u w:val="single"/>
              </w:rPr>
              <w:t xml:space="preserve">202</w:t>
            </w:r>
            <w:r>
              <w:rPr>
                <w:rFonts w:hint="eastAsia" w:ascii="宋体" w:hAnsi="宋体" w:cs="宋体"/>
                <w:b w:val="0"/>
                <w:bCs w:val="0"/>
                <w:color w:val="0000ff"/>
                <w:sz w:val="24"/>
                <w:szCs w:val="24"/>
                <w:highlight w:val="none"/>
                <w:u w:val="single"/>
                <w:lang w:val="en-US" w:eastAsia="zh-CN"/>
              </w:rPr>
              <w:t xml:space="preserve">5</w:t>
            </w:r>
            <w:r>
              <w:rPr>
                <w:rFonts w:hint="eastAsia" w:ascii="宋体" w:hAnsi="宋体" w:cs="宋体"/>
                <w:b w:val="0"/>
                <w:bCs w:val="0"/>
                <w:color w:val="0000ff"/>
                <w:sz w:val="24"/>
                <w:szCs w:val="24"/>
                <w:highlight w:val="none"/>
                <w:u w:val="single"/>
              </w:rPr>
              <w:t xml:space="preserve">年</w:t>
            </w:r>
            <w:r>
              <w:rPr>
                <w:rFonts w:hint="eastAsia" w:ascii="宋体" w:hAnsi="宋体" w:cs="宋体"/>
                <w:b w:val="0"/>
                <w:bCs w:val="0"/>
                <w:color w:val="0000ff"/>
                <w:sz w:val="24"/>
                <w:szCs w:val="24"/>
                <w:highlight w:val="none"/>
                <w:u w:val="single"/>
                <w:lang w:val="en-US" w:eastAsia="zh-CN"/>
              </w:rPr>
              <w:t xml:space="preserve">11</w:t>
            </w:r>
            <w:r>
              <w:rPr>
                <w:rFonts w:hint="eastAsia" w:ascii="宋体" w:hAnsi="宋体" w:cs="宋体"/>
                <w:b w:val="0"/>
                <w:bCs w:val="0"/>
                <w:color w:val="0000ff"/>
                <w:sz w:val="24"/>
                <w:szCs w:val="24"/>
                <w:highlight w:val="none"/>
                <w:u w:val="single"/>
              </w:rPr>
              <w:t xml:space="preserve">月</w:t>
            </w:r>
            <w:r>
              <w:rPr>
                <w:rFonts w:hint="eastAsia" w:ascii="宋体" w:hAnsi="宋体" w:cs="宋体"/>
                <w:b w:val="0"/>
                <w:bCs w:val="0"/>
                <w:color w:val="0000ff"/>
                <w:sz w:val="24"/>
                <w:szCs w:val="24"/>
                <w:highlight w:val="none"/>
                <w:u w:val="single"/>
                <w:lang w:val="en-US" w:eastAsia="zh-CN"/>
              </w:rPr>
              <w:t xml:space="preserve">12</w:t>
            </w:r>
            <w:r>
              <w:rPr>
                <w:rFonts w:hint="eastAsia" w:ascii="宋体" w:hAnsi="宋体" w:cs="宋体"/>
                <w:b w:val="0"/>
                <w:bCs w:val="0"/>
                <w:color w:val="0000ff"/>
                <w:sz w:val="24"/>
                <w:szCs w:val="24"/>
                <w:highlight w:val="none"/>
                <w:u w:val="single"/>
              </w:rPr>
              <w:t xml:space="preserve">日</w:t>
            </w:r>
            <w:r>
              <w:rPr>
                <w:rFonts w:hint="eastAsia" w:ascii="宋体" w:hAnsi="宋体" w:cs="宋体"/>
                <w:color w:val="0000ff"/>
                <w:sz w:val="24"/>
                <w:szCs w:val="24"/>
                <w:highlight w:val="none"/>
                <w:u w:val="single"/>
              </w:rPr>
              <w:t xml:space="preserve">9:30</w:t>
            </w:r>
            <w:r>
              <w:rPr>
                <w:rFonts w:hint="eastAsia" w:ascii="宋体" w:hAnsi="宋体" w:cs="宋体"/>
                <w:color w:val="0000ff"/>
                <w:sz w:val="24"/>
                <w:szCs w:val="24"/>
                <w:highlight w:val="none"/>
              </w:rPr>
              <w:t xml:space="preserve">。</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截止时间后的投标文件恕不接受。</w:t>
            </w:r>
            <w:r/>
          </w:p>
          <w:p>
            <w:pPr>
              <w:pStyle w:val="1283"/>
              <w:spacing w:before="0" w:beforeAutospacing="0" w:after="0" w:afterAutospacing="0" w:line="360" w:lineRule="auto"/>
              <w:shd w:val="clear" w:color="auto"/>
              <w:tabs>
                <w:tab w:val="left" w:pos="284"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投标方式：网上投标截止时间前苏采云投标客户端投标</w:t>
            </w:r>
            <w:r/>
          </w:p>
          <w:p>
            <w:pPr>
              <w:pStyle w:val="1283"/>
              <w:spacing w:before="0" w:beforeAutospacing="0" w:after="0" w:afterAutospacing="0" w:line="360" w:lineRule="auto"/>
              <w:shd w:val="clear" w:color="auto"/>
              <w:tabs>
                <w:tab w:val="left" w:pos="284"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投标地点：江苏省政府采购（苏采云）平台投标，线上不见面开标</w:t>
            </w:r>
            <w:r/>
          </w:p>
          <w:p>
            <w:pPr>
              <w:spacing w:line="360" w:lineRule="auto"/>
              <w:shd w:val="clear" w:color="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网上投标解密时间：开启解密后半小时；</w:t>
            </w:r>
            <w:r/>
          </w:p>
          <w:p>
            <w:pPr>
              <w:pStyle w:val="1259"/>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w:t>
            </w:r>
            <w:r/>
          </w:p>
          <w:p>
            <w:pPr>
              <w:pStyle w:val="1259"/>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pStyle w:val="125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2、若资格审查中或评审过程中，采购人/代理机构/评标委员会对响应文件存在疑问，报价供应商被授权代表须在接到在线询标函后</w:t>
            </w:r>
            <w:r>
              <w:rPr>
                <w:rFonts w:hint="eastAsia" w:ascii="宋体" w:hAnsi="宋体" w:eastAsia="宋体" w:cs="宋体"/>
                <w:b/>
                <w:bCs w:val="0"/>
                <w:color w:val="000000" w:themeColor="text1"/>
                <w:sz w:val="24"/>
                <w:szCs w:val="24"/>
                <w:highlight w:val="none"/>
                <w:shd w:val="clear" w:color="ffffff" w:fill="d9d9d9"/>
                <w14:textFill>
                  <w14:solidFill>
                    <w14:schemeClr w14:val="tx1"/>
                  </w14:solidFill>
                </w14:textFill>
              </w:rPr>
              <w:t xml:space="preserve">15分钟</w:t>
            </w:r>
            <w:r>
              <w:rPr>
                <w:rFonts w:hint="eastAsia" w:ascii="宋体" w:hAnsi="宋体" w:eastAsia="宋体" w:cs="宋体"/>
                <w:b/>
                <w:bCs w:val="0"/>
                <w:color w:val="000000" w:themeColor="text1"/>
                <w:sz w:val="24"/>
                <w:szCs w:val="24"/>
                <w:highlight w:val="none"/>
                <w14:textFill>
                  <w14:solidFill>
                    <w14:schemeClr w14:val="tx1"/>
                  </w14:solidFill>
                </w14:textFill>
              </w:rPr>
              <w:t xml:space="preserve">内，在开标界面在线以澄清函回复并签章；若报价供应商被授权代表未在规定时间内按上述要求</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出回复，则视为报价供应商默认资审结果或评审结果。</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8742" w:type="dxa"/>
            <w:vAlign w:val="center"/>
            <w:textDirection w:val="lrTb"/>
            <w:noWrap w:val="false"/>
          </w:tcPr>
          <w:p>
            <w:pPr>
              <w:keepLines w:val="0"/>
              <w:keepNext w:val="0"/>
              <w:pageBreakBefore w:val="0"/>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开标时间：</w:t>
            </w:r>
            <w:r>
              <w:rPr>
                <w:rFonts w:hint="eastAsia" w:ascii="宋体" w:hAnsi="宋体" w:cs="宋体"/>
                <w:b/>
                <w:bCs/>
                <w:color w:val="0000ff"/>
                <w:sz w:val="24"/>
                <w:szCs w:val="24"/>
                <w:highlight w:val="none"/>
                <w:u w:val="single"/>
              </w:rPr>
              <w:t xml:space="preserve">2025年11月</w:t>
            </w:r>
            <w:r>
              <w:rPr>
                <w:rFonts w:hint="eastAsia" w:ascii="宋体" w:hAnsi="宋体" w:cs="宋体"/>
                <w:b/>
                <w:bCs/>
                <w:color w:val="0000ff"/>
                <w:sz w:val="24"/>
                <w:szCs w:val="24"/>
                <w:highlight w:val="none"/>
                <w:u w:val="single"/>
                <w:lang w:val="en-US" w:eastAsia="zh-CN"/>
              </w:rPr>
              <w:t xml:space="preserve">12</w:t>
            </w:r>
            <w:r>
              <w:rPr>
                <w:rFonts w:hint="eastAsia" w:ascii="宋体" w:hAnsi="宋体" w:cs="宋体"/>
                <w:b/>
                <w:bCs/>
                <w:color w:val="0000ff"/>
                <w:sz w:val="24"/>
                <w:szCs w:val="24"/>
                <w:highlight w:val="none"/>
                <w:u w:val="single"/>
              </w:rPr>
              <w:t xml:space="preserve">日9:30</w:t>
            </w:r>
            <w:r/>
          </w:p>
          <w:p>
            <w:pPr>
              <w:keepLines w:val="0"/>
              <w:keepNext w:val="0"/>
              <w:pageBreakBefore w:val="0"/>
              <w:spacing w:line="360" w:lineRule="auto"/>
              <w:shd w:val="clear" w:color="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开标地点：“苏采云”系统（网址：http://jszfcg.jsczt.cn/）“开标大厅”</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tcW w:w="8742" w:type="dxa"/>
            <w:vAlign w:val="center"/>
            <w:textDirection w:val="lrTb"/>
            <w:noWrap w:val="false"/>
          </w:tcPr>
          <w:p>
            <w:pPr>
              <w:keepLines w:val="0"/>
              <w:keepNext w:val="0"/>
              <w:pageBreakBefore w:val="0"/>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确定中标单位时间：</w:t>
            </w:r>
            <w:r>
              <w:rPr>
                <w:rFonts w:hint="eastAsia" w:ascii="宋体" w:hAnsi="宋体" w:cs="宋体"/>
                <w:b/>
                <w:bCs/>
                <w:color w:val="0000ff"/>
                <w:sz w:val="24"/>
                <w:szCs w:val="24"/>
                <w:highlight w:val="none"/>
                <w:u w:val="single"/>
              </w:rPr>
              <w:t xml:space="preserve">2025年11月</w:t>
            </w:r>
            <w:r>
              <w:rPr>
                <w:rFonts w:hint="eastAsia" w:ascii="宋体" w:hAnsi="宋体" w:cs="宋体"/>
                <w:b/>
                <w:bCs/>
                <w:color w:val="0000ff"/>
                <w:sz w:val="24"/>
                <w:szCs w:val="24"/>
                <w:highlight w:val="none"/>
                <w:u w:val="single"/>
                <w:lang w:val="en-US" w:eastAsia="zh-CN"/>
              </w:rPr>
              <w:t xml:space="preserve">12</w:t>
            </w:r>
            <w:r>
              <w:rPr>
                <w:rFonts w:hint="eastAsia" w:ascii="宋体" w:hAnsi="宋体" w:cs="宋体"/>
                <w:b/>
                <w:bCs/>
                <w:color w:val="0000ff"/>
                <w:sz w:val="24"/>
                <w:szCs w:val="24"/>
                <w:highlight w:val="none"/>
                <w:u w:val="single"/>
              </w:rPr>
              <w:t xml:space="preserve">日</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确定中标单位地点：“苏采云”系统（网址：http://jszfcg.jsczt.cn/）“开标大厅”</w:t>
            </w:r>
            <w:r/>
          </w:p>
        </w:tc>
      </w:tr>
      <w:tr>
        <w:trPr>
          <w:trHeight w:val="933"/>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投标文件制作要求：</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1、本项目采用线上电子开评标，供应商在开标截止时间前网上上传电子投标文件。</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2、开标当天请供应商联系人保持通讯畅通。</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3、供应商请仔细阅读供应商注册流程和采购文件中关于电子开评标等相关事项，如有问题可发送邮件或电话咨询。</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4、本次采购采用“苏采云”系统进行采购活动，招标文件发布、报价、评审和中标结果发布全程电子化。</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5、中标供应商在收到中标通知书后与采购人签订合同前，必须提供与系统中电子投标文件一致的纸质投标文件一式两份（一正</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两</w:t>
            </w:r>
            <w:r>
              <w:rPr>
                <w:rFonts w:hint="eastAsia" w:ascii="宋体" w:hAnsi="宋体" w:cs="宋体"/>
                <w:b/>
                <w:color w:val="000000" w:themeColor="text1"/>
                <w:sz w:val="24"/>
                <w:szCs w:val="24"/>
                <w:highlight w:val="none"/>
                <w14:textFill>
                  <w14:solidFill>
                    <w14:schemeClr w14:val="tx1"/>
                  </w14:solidFill>
                </w14:textFill>
              </w:rPr>
              <w:t xml:space="preserve">副）。</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有关本次采购活动程序方面的问题，可来人、来函（传真）或电话联系。</w:t>
            </w:r>
            <w:r/>
          </w:p>
          <w:p>
            <w:pPr>
              <w:jc w:val="left"/>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江苏无锡经济开发区财政局</w:t>
            </w:r>
            <w:r/>
          </w:p>
          <w:p>
            <w:pPr>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联系地</w:t>
            </w:r>
            <w:r>
              <w:rPr>
                <w:rFonts w:hint="eastAsia" w:ascii="宋体" w:hAnsi="宋体" w:cs="宋体"/>
                <w:bCs/>
                <w:color w:val="000000" w:themeColor="text1"/>
                <w:sz w:val="24"/>
                <w:szCs w:val="24"/>
                <w:highlight w:val="none"/>
                <w:lang w:eastAsia="zh-CN"/>
                <w14:textFill>
                  <w14:solidFill>
                    <w14:schemeClr w14:val="tx1"/>
                  </w14:solidFill>
                </w14:textFill>
              </w:rPr>
              <w:t xml:space="preserve">址：江苏省无锡市滨湖区清舒道77号</w:t>
            </w:r>
            <w:r/>
          </w:p>
          <w:p>
            <w:pPr>
              <w:spacing w:line="360" w:lineRule="auto"/>
              <w:shd w:val="clear" w:color="auto"/>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采购单位联系人：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钱工</w:t>
            </w:r>
            <w:r/>
          </w:p>
          <w:p>
            <w:pPr>
              <w:spacing w:line="360" w:lineRule="auto"/>
              <w:shd w:val="clear" w:color="auto"/>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联系电话：0510-8058013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p>
          <w:p>
            <w:pPr>
              <w:jc w:val="left"/>
              <w:spacing w:line="360" w:lineRule="auto"/>
              <w:shd w:val="clear" w:color="auto"/>
              <w:widowControl/>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高工</w:t>
            </w:r>
            <w:r/>
          </w:p>
          <w:p>
            <w:pPr>
              <w:jc w:val="left"/>
              <w:spacing w:line="360" w:lineRule="auto"/>
              <w:shd w:val="clear" w:color="auto"/>
              <w:widowControl/>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15190250568</w:t>
            </w:r>
            <w:r/>
          </w:p>
          <w:p>
            <w:pPr>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w:t>
            </w:r>
            <w:r>
              <w:rPr>
                <w:rFonts w:hint="eastAsia" w:ascii="宋体" w:hAnsi="宋体" w:cs="宋体"/>
                <w:color w:val="000000" w:themeColor="text1"/>
                <w:sz w:val="24"/>
                <w:szCs w:val="24"/>
                <w:highlight w:val="none"/>
                <w:lang w:val="zh-CN"/>
                <w14:textFill>
                  <w14:solidFill>
                    <w14:schemeClr w14:val="tx1"/>
                  </w14:solidFill>
                </w14:textFill>
              </w:rPr>
              <w:t xml:space="preserve">无锡市锡山区团结中路20号3-707</w:t>
            </w:r>
            <w:r/>
          </w:p>
          <w:p>
            <w:pPr>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邮政编码：214000</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电子邮件地址：</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1327642402@qq.com</w:t>
            </w:r>
            <w:r/>
          </w:p>
        </w:tc>
      </w:tr>
      <w:t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14</w:t>
            </w:r>
            <w:r/>
          </w:p>
        </w:tc>
        <w:tc>
          <w:tcPr>
            <w:tcW w:w="8742" w:type="dxa"/>
            <w:vAlign w:val="center"/>
            <w:textDirection w:val="lrTb"/>
            <w:noWrap w:val="false"/>
          </w:tcPr>
          <w:p>
            <w:pPr>
              <w:spacing w:line="360" w:lineRule="auto"/>
              <w:shd w:val="clear" w:color="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 xml:space="preserve">潜在投标供应商访问江苏省政府采购（苏采云）平台的网络地址和方法：</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1、请有意参加本项目投标的供应商按以下流程进行操作：</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（1）访问“江苏省政府采购（苏采云）平台”——“用户注册”按钮进入注册界面进行账号注册并填写申请信息,也可以直接通过http://jszfcg.jscz.gov.cn/jszc/register进入注册界面。</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（2）领取CA：</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报价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（3）CA驱动下载：</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在“江苏省政府采购（苏采云）平台”账号登</w:t>
            </w:r>
            <w:r>
              <w:rPr>
                <w:rFonts w:hint="eastAsia" w:ascii="宋体" w:hAnsi="宋体" w:cs="宋体"/>
                <w:color w:val="000000" w:themeColor="text1"/>
                <w:sz w:val="24"/>
                <w:szCs w:val="24"/>
                <w:highlight w:val="none"/>
                <w:lang w:val="en-US" w:eastAsia="zh-CN"/>
                <w14:textFill>
                  <w14:solidFill>
                    <w14:schemeClr w14:val="tx1"/>
                  </w14:solidFill>
                </w14:textFill>
              </w:rPr>
              <w:t xml:space="preserve">录</w:t>
            </w:r>
            <w:r>
              <w:rPr>
                <w:rFonts w:hint="eastAsia" w:ascii="宋体" w:hAnsi="宋体" w:cs="宋体"/>
                <w:color w:val="000000" w:themeColor="text1"/>
                <w:sz w:val="24"/>
                <w:szCs w:val="24"/>
                <w:highlight w:val="none"/>
                <w:lang w:val="zh-CN"/>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（5）采购文件（后缀名为“.kedt”）、“苏采云”系统供应商操作手册及政府采购客户端工具也可通过“苏采云”系统--已参与项目--报名详情页面内相应链接进行下载。</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w:t>
            </w:r>
            <w:r>
              <w:rPr>
                <w:rFonts w:hint="eastAsia" w:ascii="宋体" w:hAnsi="宋体" w:cs="宋体"/>
                <w:color w:val="000000" w:themeColor="text1"/>
                <w:sz w:val="24"/>
                <w:szCs w:val="24"/>
                <w:highlight w:val="none"/>
                <w:lang w:val="en-US" w:eastAsia="zh-CN"/>
                <w14:textFill>
                  <w14:solidFill>
                    <w14:schemeClr w14:val="tx1"/>
                  </w14:solidFill>
                </w14:textFill>
              </w:rPr>
              <w:t xml:space="preserve">江苏</w:t>
            </w:r>
            <w:r>
              <w:rPr>
                <w:rFonts w:hint="eastAsia" w:ascii="宋体" w:hAnsi="宋体" w:cs="宋体"/>
                <w:color w:val="000000" w:themeColor="text1"/>
                <w:sz w:val="24"/>
                <w:szCs w:val="24"/>
                <w:highlight w:val="none"/>
                <w:lang w:val="zh-CN"/>
                <w14:textFill>
                  <w14:solidFill>
                    <w14:schemeClr w14:val="tx1"/>
                  </w14:solidFill>
                </w14:textFill>
              </w:rPr>
              <w:t xml:space="preserve">政府采购网--“苏采云”栏目下载《“苏采云”系统供应商操作手册》。</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（7）采购代理机构将数据电文形式的采购文件加载至“苏采云”系统，供潜在供应商下载或者查阅。</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（8）苏采云系统应使用谷歌浏览器参与不见面开标。</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3、有关本次招标的事项若存在变动或修改，敬请及时关注“江苏政府采购网”发布的信息。</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4、如投标人未按上述要求操作，由此所产生的损失及风险由投标人自行承担。</w:t>
            </w:r>
            <w:r/>
          </w:p>
        </w:tc>
      </w:tr>
    </w:tbl>
    <w:p>
      <w:pPr>
        <w:pStyle w:val="1288"/>
        <w:ind w:left="0" w:firstLine="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shd w:val="clear" w:color="auto"/>
        <w:rPr>
          <w:rStyle w:val="1248"/>
          <w:rFonts w:hint="eastAsia"/>
          <w:color w:val="000000" w:themeColor="text1"/>
          <w:highlight w:val="none"/>
          <w14:textFill>
            <w14:solidFill>
              <w14:schemeClr w14:val="tx1"/>
            </w14:solidFill>
          </w14:textFill>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bookmarkStart w:id="18" w:name="_Toc23923"/>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bookmarkStart w:id="19" w:name="_Toc9899"/>
      <w:r>
        <w:rPr>
          <w:rFonts w:hint="eastAsia" w:hAnsi="宋体" w:cs="宋体"/>
          <w:b/>
          <w:bCs/>
          <w:color w:val="000000" w:themeColor="text1"/>
          <w:sz w:val="32"/>
          <w:szCs w:val="32"/>
          <w:highlight w:val="none"/>
          <w14:textFill>
            <w14:solidFill>
              <w14:schemeClr w14:val="tx1"/>
            </w14:solidFill>
          </w14:textFill>
        </w:rPr>
        <w:t xml:space="preserve">二、投标人须知</w:t>
      </w:r>
      <w:bookmarkEnd w:id="18"/>
      <w:r/>
      <w:bookmarkEnd w:id="19"/>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(一)遵循原则：</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(二)招标文件：</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1．招标文件包括本文件目录所列全部内容，投标人应仔细阅读，并在投标文件中充分响应招标文件的所有要求。</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潜在投标人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4．招标文件仅作为本次招投标使用。</w:t>
      </w:r>
      <w:r/>
    </w:p>
    <w:p>
      <w:pPr>
        <w:pStyle w:val="1092"/>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5．招标文件中的“法定代表人”是指投标人的营业执照或相关部门的登记证明文件中的“法定代表人”或“负责人”。</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本文件的最终解释权归采购人及</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(四)招标文件的补充或修正：</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1．采购人或采购代理机构可在投标截止时间15日前对招标文件进行必要的澄清或者修改，不足15日的，将顺延提交投标文件的截止时间。</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居上工程咨询（无锡）有限公司将在</w:t>
      </w:r>
      <w:r>
        <w:rPr>
          <w:rFonts w:hint="eastAsia" w:ascii="宋体" w:hAnsi="宋体" w:cs="宋体"/>
          <w:bCs/>
          <w:color w:val="000000" w:themeColor="text1"/>
          <w:sz w:val="24"/>
          <w:szCs w:val="24"/>
          <w:highlight w:val="none"/>
          <w14:textFill>
            <w14:solidFill>
              <w14:schemeClr w14:val="tx1"/>
            </w14:solidFill>
          </w14:textFill>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cs="宋体"/>
          <w:bCs/>
          <w:color w:val="000000" w:themeColor="text1"/>
          <w:sz w:val="24"/>
          <w:szCs w:val="24"/>
          <w:highlight w:val="none"/>
          <w14:textFill>
            <w14:solidFill>
              <w14:schemeClr w14:val="tx1"/>
            </w14:solidFill>
          </w14:textFill>
        </w:rPr>
        <w:t xml:space="preserve">出答复。投标人在法定质疑期限外送达的质疑函或法定质疑期限内送达的质疑函不符合上述要求的均为无效质疑，</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(五)投标文件的组成</w:t>
      </w:r>
      <w:r>
        <w:rPr>
          <w:rFonts w:hint="eastAsia" w:ascii="宋体" w:hAnsi="宋体" w:cs="宋体"/>
          <w:b/>
          <w:color w:val="000000" w:themeColor="text1"/>
          <w:sz w:val="24"/>
          <w:szCs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2．资格、资信证明文件：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（2）具有独立承担民事责任能力的投标人营业执照或相关部门的登记证明文件原件扫描件；</w:t>
      </w:r>
      <w:r/>
    </w:p>
    <w:p>
      <w:pPr>
        <w:ind w:firstLine="480"/>
        <w:spacing w:line="360" w:lineRule="auto"/>
        <w:shd w:val="clear" w:color="auto"/>
        <w:tabs>
          <w:tab w:val="left" w:pos="945"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cs="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（4）投标人法定代表人身份证原件扫描件（正、反面）；</w:t>
      </w:r>
      <w:r/>
    </w:p>
    <w:p>
      <w:pPr>
        <w:ind w:firstLine="480"/>
        <w:spacing w:line="360" w:lineRule="auto"/>
        <w:shd w:val="clear" w:color="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（5）投标人法定代表人授权代表身份证</w:t>
      </w:r>
      <w:r>
        <w:rPr>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bookmarkStart w:id="20" w:name="_Hlk39128912"/>
      <w:r>
        <w:rPr>
          <w:rFonts w:hint="eastAsia" w:ascii="宋体" w:hAnsi="宋体" w:cs="宋体"/>
          <w:bCs/>
          <w:color w:val="000000" w:themeColor="text1"/>
          <w:sz w:val="24"/>
          <w:szCs w:val="24"/>
          <w:highlight w:val="none"/>
          <w14:textFill>
            <w14:solidFill>
              <w14:schemeClr w14:val="tx1"/>
            </w14:solidFill>
          </w14:textFill>
        </w:rPr>
        <w:t xml:space="preserve">（6）投标人近三个月中任意一个月份（不含开标当月）的财务状况报告（资产负债表和利润表）或由会计师事务所出具的近两年中任意一个年度的审计报告和所附已审财务报告原件扫描件；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（7）投标人近三个月中任意一个月份（不含开标当月）的依法缴纳税收的相关材料（提供相关主管部门证明或银行代扣证明）原件扫描件；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（8）投标人近三个月中任意一个月份（不含开标当月）的依法缴纳社会保障资金的相关材料（提供相关主管部门证明或银行代扣证明）原件扫描件；</w:t>
      </w:r>
      <w:bookmarkEnd w:id="20"/>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1050" w:leader="none"/>
        </w:tabs>
        <w:rPr>
          <w:rFonts w:eastAsia="华文中宋"/>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《中小企业声明函》</w:t>
      </w:r>
      <w:r>
        <w:rPr>
          <w:rFonts w:hint="eastAsia" w:ascii="宋体" w:hAnsi="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；如是残疾人福利性单位的，提供残疾人福利性单位声明函（格式见附件）；如是监狱企业的，提供由省级以上监狱管理局、戒毒管理局出具的属于监狱企业的证明文件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加盖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电子签章后上</w:t>
      </w:r>
      <w:r>
        <w:rPr>
          <w:rFonts w:hint="eastAsia" w:ascii="宋体" w:hAnsi="宋体" w:cs="宋体"/>
          <w:bCs/>
          <w:color w:val="000000" w:themeColor="text1"/>
          <w:sz w:val="24"/>
          <w:szCs w:val="24"/>
          <w:highlight w:val="none"/>
          <w14:textFill>
            <w14:solidFill>
              <w14:schemeClr w14:val="tx1"/>
            </w14:solidFill>
          </w14:textFill>
        </w:rPr>
        <w:t xml:space="preserve">传至</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bCs/>
          <w:color w:val="000000" w:themeColor="text1"/>
          <w:sz w:val="24"/>
          <w:szCs w:val="24"/>
          <w:highlight w:val="none"/>
          <w14:textFill>
            <w14:solidFill>
              <w14:schemeClr w14:val="tx1"/>
            </w14:solidFill>
          </w14:textFill>
        </w:rPr>
        <w:t xml:space="preserve">中。</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3．开标一览表（格式见附件）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分项报价表（格式见附件）</w:t>
      </w:r>
      <w:r/>
    </w:p>
    <w:p>
      <w:pPr>
        <w:ind w:firstLine="480"/>
        <w:spacing w:line="360" w:lineRule="auto"/>
        <w:shd w:val="clear" w:color="auto"/>
        <w:tabs>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 投标偏离表（</w:t>
      </w:r>
      <w:r>
        <w:rPr>
          <w:rFonts w:hint="eastAsia" w:ascii="宋体" w:hAnsi="宋体" w:cs="宋体"/>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．投标供应商基本情况表、项目人员配置清单（格式见附件）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．业绩汇总表（格式见附件）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评分标准中对应的所需证明材料（如有自行添加，格式自拟）及技术方案</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．要求采购人提供的配合（如有自行添加，格式自拟）</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（投标人认为有必要提供的声明和文件，如有格式自拟）</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(六)投标文件的制作：</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1．所有文件、往来函件均应使用简体中文（规格、型号辅助符号例外）。</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2．投标文件由投标人按给定格式如实填写(编写)，须有法人(盖章)、法定代表人或法定代表人授权代表签字或盖章，方为有效，未尽事宜可自行补充。</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3．如无特别说明，投标人报价一律以人民币为投标结算货币，结算单位为“元”。</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4．投标文件格式部分，应由投标人按给定格式提供，不得更改。</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5．投标费用自理。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(七)网上投标</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1.投标供应商应由其法定代表人或法定代表人授权代表在规定的网上投标时间内，凭CA数字证书登</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录</w:t>
      </w:r>
      <w:r>
        <w:rPr>
          <w:rFonts w:hint="eastAsia" w:ascii="宋体" w:hAnsi="宋体" w:cs="宋体"/>
          <w:bCs/>
          <w:color w:val="000000" w:themeColor="text1"/>
          <w:sz w:val="24"/>
          <w:szCs w:val="24"/>
          <w:highlight w:val="none"/>
          <w14:textFill>
            <w14:solidFill>
              <w14:schemeClr w14:val="tx1"/>
            </w14:solidFill>
          </w14:textFill>
        </w:rPr>
        <w:t xml:space="preserve">苏采云平台获取招标文件，在投标客户端制作投标文件（电子数据），并在投标截止时间之前上传投标文件。</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2"/>
        <w:jc w:val="left"/>
        <w:keepLines w:val="0"/>
        <w:keepNext w:val="0"/>
        <w:pageBreakBefore w:val="0"/>
        <w:spacing w:line="360" w:lineRule="auto"/>
        <w:shd w:val="clear" w:color="auto"/>
        <w:widowControl w:val="off"/>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6.投标供应商进行网上报价请参照《江苏省政府采购管理交易系统（苏采云）供应商操作指南》（网址：http://www.ccgp-jiangsu.gov.cn/jiangsu/zlxz/ee/ee3a4bc5a3454aa2b0d9312230633ce9.html）。</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1．投标人有下列情况之一者，投标文件无效：</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2．未按规定在无锡市政府采购供应商主体信息库注册的；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3．电子投标文件未按规定期限投标的；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4．电子投标文件未按招标文件要求签章的；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5．投标人未按招标文件要求解密电子投标文件的；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6．投标人的法定代表人授权代表，无法定代表人授权委托书的；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7．投标人的法定代表人或被授权代表，未准时参加开标会议的；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8．不具备招标文件中规定的资格要求或未按招标文件规定的要求提供资格、资信证明文件的；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9．被“信用中国”网站（www.creditchina.gov.cn）、中国政府采购网(www.ccgp.gov.cn)列入失信被执行人、重大税收违法案件当事人名单、政府采购严重违法失信行为记录名单的；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10．投标文件未按招标文件规定的内容和要求填写的；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11．投标文件书写潦草、字迹模糊不清、无法辨认的；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12．投标文件中有招标文件未允许提供的选择性内容；</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13．不同投标人委托同一单位或者个人办理投标事宜的；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14．不同投标人的单位负责人为同一人或者存在直接控股、管理关系的；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16．不同投标人的委托代理人、项目负责人以及其他相关人员有在同一个单位缴纳社会保险、同一投标文件中单位名称落款与公章不是同一单位的；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17．项目（标段）投标总价超过本项目（标段）预算或最高限价的；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18．提供虚假材料的（包括工商营业执照、财务报表、资格证明文件等）；</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19．投标文件含有采购人不能接受的附加条件的；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20．评标委员会认定投标人的报价明显低于其他通过符合性审</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查的</w:t>
      </w:r>
      <w:r>
        <w:rPr>
          <w:rFonts w:hint="eastAsia" w:ascii="宋体" w:hAnsi="宋体" w:cs="宋体"/>
          <w:bCs/>
          <w:color w:val="000000" w:themeColor="text1"/>
          <w:sz w:val="24"/>
          <w:szCs w:val="24"/>
          <w:highlight w:val="none"/>
          <w14:textFill>
            <w14:solidFill>
              <w14:schemeClr w14:val="tx1"/>
            </w14:solidFill>
          </w14:textFill>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21．除单一来源采购项目外，为采购项目提供整体设计、规范编制或者项目管理、监理、检测等服务的；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22．投标文件中无技术方案或技术方案编制粗糙、缺漏项较多</w:t>
      </w:r>
      <w:r>
        <w:rPr>
          <w:rFonts w:hint="eastAsia" w:ascii="宋体" w:hAnsi="宋体" w:cs="宋体"/>
          <w:bCs/>
          <w:color w:val="000000" w:themeColor="text1"/>
          <w:sz w:val="24"/>
          <w:szCs w:val="24"/>
          <w:highlight w:val="none"/>
          <w:lang w:eastAsia="zh-CN"/>
          <w14:textFill>
            <w14:solidFill>
              <w14:schemeClr w14:val="tx1"/>
            </w14:solidFill>
          </w14:textFill>
        </w:rPr>
        <w:t xml:space="preserve">；技术组织方案少于 30 页，多于 200 页。</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24．投标文件内容不全或不符合招标文件中规定的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25．法律法规和招标文件规定的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bookmarkStart w:id="21" w:name="_Toc14884"/>
      <w:r>
        <w:rPr>
          <w:rFonts w:hint="eastAsia" w:ascii="宋体" w:hAnsi="宋体" w:cs="宋体"/>
          <w:bCs/>
          <w:color w:val="000000" w:themeColor="text1"/>
          <w:sz w:val="24"/>
          <w:szCs w:val="24"/>
          <w:highlight w:val="none"/>
          <w14:textFill>
            <w14:solidFill>
              <w14:schemeClr w14:val="tx1"/>
            </w14:solidFill>
          </w14:textFill>
        </w:rPr>
        <w:t xml:space="preserve">(九)开标、评标：</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2．投标截止时间后参加投标的供应商或解密投标文件的供应商不足三家的，不开标；不进行开评标。</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(1)投标文件报价出现前后不一致的，按照下列规定修正：</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①投标文件中开标一览表内容与投标文件中相应内容不一致的，以开标一览表为准；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③总价金额与按折扣系数汇总金额不一致的，以折扣系数计算结果为准。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(2)对不同文字文本投标文件的解释发生异议的，以中文文本为准。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(3)投标人未参加开标的，视同认可开标结果。</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评标工作由采购人和采购代理机构负责组织，具体评标事务由依法组建的评标委员会负责。</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(1)投标文件初审。初审分为资格性检查和符合性检查。</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shd w:val="clear" w:color="auto"/>
        <w:tabs>
          <w:tab w:val="left" w:pos="525" w:leader="none"/>
          <w:tab w:val="left" w:pos="94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5．评标方法</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投标人通过初审的，方可进入比较与评价程序。</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w:t>
      </w:r>
      <w:r/>
    </w:p>
    <w:p>
      <w:pPr>
        <w:ind w:firstLine="480"/>
        <w:spacing w:line="360" w:lineRule="auto"/>
        <w:shd w:val="clear" w:color="auto"/>
        <w:tabs>
          <w:tab w:val="left" w:pos="525" w:leader="none"/>
          <w:tab w:val="left" w:pos="1050" w:leader="none"/>
        </w:tabs>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评标委员会遵循公平、公正、择优原则，独立按照评分标准分别评定投标人的分值；各投标人的评审后得分为各评委所评定分值的平均值，并按高低顺序排列。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为中标候选人。如总得分出现并列排名，按项目人员配置得分由高到低排列，如项目人员配置得分也相同，则按投标人综合情况得分由高到低排列，若项目人员配置、投标人综合情况得分均相同，则按投标人提供的协审方案得分情况排列，最优者确定为中标人。</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6．评标标准：详见附件。</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(十)定标：</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依法确定中标供应商。采购人将在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cs="宋体"/>
          <w:bCs/>
          <w:color w:val="000000" w:themeColor="text1"/>
          <w:sz w:val="24"/>
          <w:szCs w:val="24"/>
          <w:highlight w:val="none"/>
          <w14:textFill>
            <w14:solidFill>
              <w14:schemeClr w14:val="tx1"/>
            </w14:solidFill>
          </w14:textFill>
        </w:rPr>
        <w:t xml:space="preserve">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将向中标供应商发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出</w:t>
      </w:r>
      <w:r>
        <w:rPr>
          <w:rFonts w:hint="eastAsia" w:ascii="宋体" w:hAnsi="宋体" w:cs="宋体"/>
          <w:bCs/>
          <w:color w:val="000000" w:themeColor="text1"/>
          <w:sz w:val="24"/>
          <w:szCs w:val="24"/>
          <w:highlight w:val="none"/>
          <w14:textFill>
            <w14:solidFill>
              <w14:schemeClr w14:val="tx1"/>
            </w14:solidFill>
          </w14:textFill>
        </w:rPr>
        <w:t xml:space="preserve">中标通知书。</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0"/>
        <w:spacing w:line="360" w:lineRule="auto"/>
        <w:shd w:val="clear" w:color="auto"/>
        <w:rPr>
          <w:rFonts w:hint="eastAsia" w:ascii="宋体" w:hAnsi="宋体" w:cs="宋体"/>
          <w:b/>
          <w:bCs w:val="0"/>
          <w:color w:val="000000" w:themeColor="text1"/>
          <w:sz w:val="24"/>
          <w:szCs w:val="24"/>
          <w:highlight w:val="none"/>
          <w14:textFill>
            <w14:solidFill>
              <w14:schemeClr w14:val="tx1"/>
            </w14:solidFill>
          </w14:textFill>
        </w:rPr>
        <w:outlineLvl w:val="1"/>
      </w:pPr>
      <w:r>
        <w:rPr>
          <w:rFonts w:hint="eastAsia" w:ascii="宋体" w:hAnsi="宋体" w:cs="宋体"/>
          <w:b/>
          <w:bCs w:val="0"/>
          <w:color w:val="000000" w:themeColor="text1"/>
          <w:sz w:val="24"/>
          <w:szCs w:val="24"/>
          <w:highlight w:val="none"/>
          <w14:textFill>
            <w14:solidFill>
              <w14:schemeClr w14:val="tx1"/>
            </w14:solidFill>
          </w14:textFill>
        </w:rPr>
        <w:t xml:space="preserve">(十一)废标的确认：</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1．符合专业条件的投标人或者对招标文件作出实质性响应的投标人不足三家；</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3．投标人的报价均超过采购预算，采购人不能支付的；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4．因重大变故，采购任务取消。</w:t>
      </w:r>
      <w:r/>
    </w:p>
    <w:p>
      <w:pPr>
        <w:ind w:firstLine="480"/>
        <w:spacing w:line="360" w:lineRule="auto"/>
        <w:shd w:val="clear" w:color="auto"/>
        <w:rPr>
          <w:rFonts w:hint="eastAsia" w:ascii="宋体" w:hAnsi="宋体" w:cs="宋体"/>
          <w:b/>
          <w:bCs w:val="0"/>
          <w:color w:val="000000" w:themeColor="text1"/>
          <w:sz w:val="24"/>
          <w:szCs w:val="24"/>
          <w:highlight w:val="none"/>
          <w14:textFill>
            <w14:solidFill>
              <w14:schemeClr w14:val="tx1"/>
            </w14:solidFill>
          </w14:textFill>
        </w:rPr>
        <w:outlineLvl w:val="1"/>
      </w:pPr>
      <w:r>
        <w:rPr>
          <w:rFonts w:hint="eastAsia" w:ascii="宋体" w:hAnsi="宋体" w:cs="宋体"/>
          <w:b/>
          <w:bCs w:val="0"/>
          <w:color w:val="000000" w:themeColor="text1"/>
          <w:sz w:val="24"/>
          <w:szCs w:val="24"/>
          <w:highlight w:val="none"/>
          <w14:textFill>
            <w14:solidFill>
              <w14:schemeClr w14:val="tx1"/>
            </w14:solidFill>
          </w14:textFill>
        </w:rPr>
        <w:t xml:space="preserve">(十二)中标无效的确认：</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1．提供虚假材料谋取中标的；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2．采取不正当手段诋毁、排挤其他投标人的；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3．与招标采购单位、其他投标人恶意串通的；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4．向招标采购单位行贿或者提供其他不正当利益的；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shd w:val="clear" w:color="auto"/>
        <w:tabs>
          <w:tab w:val="left" w:pos="525" w:leader="none"/>
          <w:tab w:val="left" w:pos="1050" w:leader="none"/>
        </w:tabs>
        <w:rPr>
          <w:rFonts w:hint="default"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6．</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除单一来源采购项目外，为采购项目提供招标代理、清单编制、跟踪审计、初审、整体设计、规范编制或者项目管理、监理、检测等服务的。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投标人有上述</w:t>
      </w:r>
      <w:r>
        <w:rPr>
          <w:rFonts w:hint="eastAsia" w:ascii="宋体" w:hAnsi="宋体" w:cs="宋体"/>
          <w:b/>
          <w:bCs w:val="0"/>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至</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bookmarkStart w:id="22" w:name="_Toc32174"/>
      <w:r/>
      <w:bookmarkStart w:id="23" w:name="_Toc21337"/>
      <w:r>
        <w:rPr>
          <w:rFonts w:hint="eastAsia" w:ascii="宋体" w:hAnsi="宋体" w:cs="宋体"/>
          <w:bCs/>
          <w:color w:val="000000" w:themeColor="text1"/>
          <w:sz w:val="24"/>
          <w:szCs w:val="24"/>
          <w:highlight w:val="none"/>
          <w14:textFill>
            <w14:solidFill>
              <w14:schemeClr w14:val="tx1"/>
            </w14:solidFill>
          </w14:textFill>
        </w:rPr>
        <w:t xml:space="preserve">(十三)签订、履行合同：</w:t>
      </w:r>
      <w:bookmarkEnd w:id="22"/>
      <w:r/>
      <w:bookmarkEnd w:id="23"/>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cs="宋体"/>
          <w:bCs/>
          <w:color w:val="000000" w:themeColor="text1"/>
          <w:sz w:val="24"/>
          <w:szCs w:val="24"/>
          <w:highlight w:val="none"/>
          <w14:textFill>
            <w14:solidFill>
              <w14:schemeClr w14:val="tx1"/>
            </w14:solidFill>
          </w14:textFill>
        </w:rPr>
        <w:t xml:space="preserve">任何修改。</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监督合同的履行。中标方非因不可抗力未履行招、投标文件和合同规定的义务，一经查实，采购人将根据具体情况提请政府采购管理部门作出相应处理。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bookmarkStart w:id="24" w:name="_Toc598"/>
      <w:r/>
      <w:bookmarkStart w:id="25" w:name="_Toc28715"/>
      <w:r>
        <w:rPr>
          <w:rFonts w:hint="eastAsia" w:ascii="宋体" w:hAnsi="宋体" w:cs="宋体"/>
          <w:bCs/>
          <w:color w:val="000000" w:themeColor="text1"/>
          <w:sz w:val="24"/>
          <w:szCs w:val="24"/>
          <w:highlight w:val="none"/>
          <w14:textFill>
            <w14:solidFill>
              <w14:schemeClr w14:val="tx1"/>
            </w14:solidFill>
          </w14:textFill>
        </w:rPr>
        <w:t xml:space="preserve">(十四)注意事项：</w:t>
      </w:r>
      <w:bookmarkEnd w:id="24"/>
      <w:r/>
      <w:bookmarkEnd w:id="25"/>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(十五)政府采购信用担保</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合同融资，是指参与政府采购的供应商，凭</w:t>
      </w:r>
      <w:r>
        <w:rPr>
          <w:rFonts w:hint="eastAsia" w:ascii="宋体" w:hAnsi="宋体" w:cs="宋体"/>
          <w:bCs/>
          <w:color w:val="000000" w:themeColor="text1"/>
          <w:sz w:val="24"/>
          <w:szCs w:val="24"/>
          <w:highlight w:val="none"/>
          <w14:textFill>
            <w14:solidFill>
              <w14:schemeClr w14:val="tx1"/>
            </w14:solidFill>
          </w14:textFill>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w:t>
      </w:r>
      <w:r>
        <w:rPr>
          <w:rFonts w:hint="eastAsia" w:ascii="宋体" w:hAnsi="宋体" w:cs="宋体"/>
          <w:bCs/>
          <w:color w:val="000000" w:themeColor="text1"/>
          <w:sz w:val="24"/>
          <w:szCs w:val="24"/>
          <w:highlight w:val="none"/>
          <w14:textFill>
            <w14:solidFill>
              <w14:schemeClr w14:val="tx1"/>
            </w14:solidFill>
          </w14:textFill>
        </w:rPr>
        <w:t xml:space="preserve">政府采购网——政采贷专栏提供的银行名录内自主选择合作银行。</w:t>
      </w:r>
      <w:r/>
    </w:p>
    <w:p>
      <w:pPr>
        <w:ind w:firstLine="480"/>
        <w:spacing w:line="360" w:lineRule="auto"/>
        <w:shd w:val="clear" w:color="auto"/>
        <w:rPr>
          <w:rFonts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(十七)代理服务费：</w:t>
      </w:r>
      <w:r/>
    </w:p>
    <w:p>
      <w:pPr>
        <w:ind w:firstLine="480"/>
        <w:spacing w:line="360" w:lineRule="auto"/>
        <w:shd w:val="clear" w:color="auto"/>
        <w:rPr>
          <w:bCs/>
          <w:color w:val="000000" w:themeColor="text1"/>
          <w:sz w:val="24"/>
          <w:szCs w:val="24"/>
          <w:highlight w:val="none"/>
          <w14:textFill>
            <w14:solidFill>
              <w14:schemeClr w14:val="tx1"/>
            </w14:solidFill>
          </w14:textFill>
        </w:rPr>
        <w:outlineLvl w:val="1"/>
      </w:pPr>
      <w:r>
        <w:rPr>
          <w:rFonts w:hint="eastAsia" w:ascii="宋体" w:hAnsi="宋体"/>
          <w:bCs/>
          <w:color w:val="000000" w:themeColor="text1"/>
          <w:sz w:val="24"/>
          <w:szCs w:val="24"/>
          <w:highlight w:val="none"/>
          <w14:textFill>
            <w14:solidFill>
              <w14:schemeClr w14:val="tx1"/>
            </w14:solidFill>
          </w14:textFill>
        </w:rPr>
        <w:t xml:space="preserve">1.本项</w:t>
      </w:r>
      <w:r>
        <w:rPr>
          <w:rFonts w:hint="eastAsia"/>
          <w:bCs/>
          <w:color w:val="000000" w:themeColor="text1"/>
          <w:sz w:val="24"/>
          <w:szCs w:val="24"/>
          <w:highlight w:val="none"/>
          <w14:textFill>
            <w14:solidFill>
              <w14:schemeClr w14:val="tx1"/>
            </w14:solidFill>
          </w14:textFill>
        </w:rPr>
        <w:t xml:space="preserve">目代理费由</w:t>
      </w:r>
      <w:r>
        <w:rPr>
          <w:rFonts w:hint="eastAsia"/>
          <w:bCs/>
          <w:color w:val="000000" w:themeColor="text1"/>
          <w:sz w:val="24"/>
          <w:szCs w:val="24"/>
          <w:highlight w:val="none"/>
          <w:lang w:val="en-US" w:eastAsia="zh-CN"/>
          <w14:textFill>
            <w14:solidFill>
              <w14:schemeClr w14:val="tx1"/>
            </w14:solidFill>
          </w14:textFill>
        </w:rPr>
        <w:t xml:space="preserve">中标人</w:t>
      </w:r>
      <w:r>
        <w:rPr>
          <w:rFonts w:hint="eastAsia"/>
          <w:bCs/>
          <w:color w:val="000000" w:themeColor="text1"/>
          <w:sz w:val="24"/>
          <w:szCs w:val="24"/>
          <w:highlight w:val="none"/>
          <w14:textFill>
            <w14:solidFill>
              <w14:schemeClr w14:val="tx1"/>
            </w14:solidFill>
          </w14:textFill>
        </w:rPr>
        <w:t xml:space="preserve">支付。</w:t>
      </w:r>
      <w:r/>
    </w:p>
    <w:p>
      <w:pPr>
        <w:ind w:firstLine="480"/>
        <w:spacing w:line="360" w:lineRule="auto"/>
        <w:shd w:val="clear" w:color="auto"/>
        <w:rPr>
          <w:rFonts w:hint="eastAsia"/>
          <w:bCs/>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2.采购代理费按差额定率累进法，收费标准为中标金额100万以下费率为中标金额的1.5%，中标金额100万-500万费率为中标金额的0.8%。（各中标人按比例计取）。</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(十八)其他：</w:t>
      </w:r>
      <w:r/>
    </w:p>
    <w:p>
      <w:pPr>
        <w:ind w:firstLine="480"/>
        <w:spacing w:line="360" w:lineRule="auto"/>
        <w:shd w:val="clear" w:color="auto"/>
        <w:tabs>
          <w:tab w:val="left" w:pos="525" w:leader="none"/>
          <w:tab w:val="left" w:pos="105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采购文件的条款必须认真审阅，投标人应自行检查采购文件页数是否齐全。若有遗漏、重复或不清楚，需立刻通知采购人予以更正；凡属对条款的误解所造成的投标价格失误，由投标人负责。</w:t>
      </w:r>
      <w:r/>
    </w:p>
    <w:p>
      <w:pPr>
        <w:shd w:val="clear" w:color="auto"/>
        <w:rPr>
          <w:rFonts w:hint="eastAsia" w:hAnsi="宋体" w:cs="宋体"/>
          <w:b/>
          <w:bCs/>
          <w:color w:val="000000" w:themeColor="text1"/>
          <w:sz w:val="32"/>
          <w:szCs w:val="32"/>
          <w:highlight w:val="none"/>
          <w14:textFill>
            <w14:solidFill>
              <w14:schemeClr w14:val="tx1"/>
            </w14:solidFill>
          </w14:textFill>
        </w:rPr>
      </w:pPr>
      <w:r/>
      <w:bookmarkStart w:id="26" w:name="_Toc18751"/>
      <w:r/>
      <w:bookmarkStart w:id="27" w:name="_Toc27586"/>
      <w:r>
        <w:rPr>
          <w:rFonts w:hint="eastAsia" w:hAnsi="宋体" w:cs="宋体"/>
          <w:b/>
          <w:bCs/>
          <w:color w:val="000000" w:themeColor="text1"/>
          <w:sz w:val="32"/>
          <w:szCs w:val="32"/>
          <w:highlight w:val="none"/>
          <w14:textFill>
            <w14:solidFill>
              <w14:schemeClr w14:val="tx1"/>
            </w14:solidFill>
          </w14:textFill>
        </w:rPr>
        <w:br w:type="page" w:clear="all"/>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t xml:space="preserve">三、项目技术要求和有关说明</w:t>
      </w:r>
      <w:bookmarkEnd w:id="21"/>
      <w:r/>
      <w:bookmarkEnd w:id="26"/>
      <w:r/>
      <w:bookmarkEnd w:id="27"/>
      <w:r/>
      <w:r/>
    </w:p>
    <w:p>
      <w:pPr>
        <w:ind w:firstLine="480"/>
        <w:spacing w:line="360" w:lineRule="auto"/>
        <w:shd w:val="clear" w:color="auto"/>
        <w:rPr>
          <w:rFonts w:ascii="宋体" w:hAnsi="宋体"/>
          <w:color w:val="000000" w:themeColor="text1"/>
          <w:sz w:val="24"/>
          <w:highlight w:val="none"/>
          <w14:textFill>
            <w14:solidFill>
              <w14:schemeClr w14:val="tx1"/>
            </w14:solidFill>
          </w14:textFill>
        </w:rPr>
      </w:pPr>
      <w:r/>
      <w:bookmarkStart w:id="28" w:name="_Toc26"/>
      <w:r>
        <w:rPr>
          <w:rFonts w:hint="eastAsia" w:ascii="宋体" w:hAnsi="宋体"/>
          <w:color w:val="000000" w:themeColor="text1"/>
          <w:sz w:val="24"/>
          <w:highlight w:val="none"/>
          <w14:textFill>
            <w14:solidFill>
              <w14:schemeClr w14:val="tx1"/>
            </w14:solidFill>
          </w14:textFill>
        </w:rPr>
        <w:t xml:space="preserve">投标人所投内容必须满足以下要求，不得有负偏离。（本招标文件中所指投标人专业技术力量、项目人员配置包括投标人及其无锡（含江阴、宜兴）分支机构人员，注册造价工程师均为一级注册造价工程师）。</w:t>
      </w:r>
      <w:r/>
    </w:p>
    <w:p>
      <w:pPr>
        <w:ind w:left="0" w:firstLine="640"/>
        <w:jc w:val="left"/>
        <w:keepLines w:val="0"/>
        <w:keepNext w:val="0"/>
        <w:pageBreakBefore w:val="0"/>
        <w:spacing w:line="360" w:lineRule="auto"/>
        <w:shd w:val="clear" w:color="auto"/>
        <w:rPr>
          <w:rFonts w:hint="eastAsia" w:ascii="微软雅黑" w:hAnsi="微软雅黑" w:eastAsia="微软雅黑" w:cs="微软雅黑"/>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14:textFill>
            <w14:solidFill>
              <w14:schemeClr w14:val="tx1"/>
            </w14:solidFill>
          </w14:textFill>
        </w:rPr>
        <w:t xml:space="preserve">第一部分  项目技术要求</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本项目分为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个采购包，投标人可以根据自身能力及条件选择一个或几个采购包进行投标，但中标只能中其中一个采购包，即可兼投但不可兼中</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特殊情况除外</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具体规则详见</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五、附件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（一）项目技术要求：</w:t>
      </w:r>
      <w:r/>
    </w:p>
    <w:p>
      <w:pPr>
        <w:ind w:left="0" w:firstLine="482"/>
        <w:keepLines w:val="0"/>
        <w:keepNext w:val="0"/>
        <w:pageBreakBefore w:val="0"/>
        <w:spacing w:line="360" w:lineRule="auto"/>
        <w:shd w:val="clear" w:color="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本招标文件中所指的注册造价工程师均为一级注册造价工程师。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本项目最低配备一名土建专业一级注册造价工程师、一名安装专业一级注册造价工程师。</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1、服务内容：</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采购包1（蠡河道规划小学新建工程复审）</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采购包2（南湖家园老旧小区改造提升工程复审）</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采购包3（贡湖大道(周新路-震泽路)道路及周边绿化景观提升工程复审）</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实际项目总投资按各项目审计结算金额为准。</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人员配置要求：（以投标人填列的《项目人员配置清单》及按要求出具的证明材料为准，所有拟派专业技术人员均须提供投标人连续三个月(至少包含近三个月中任意一个月份(不含投标当月))为其缴纳社保的证明扫描件）</w:t>
      </w:r>
      <w:bookmarkStart w:id="50" w:name="_GoBack"/>
      <w:r/>
      <w:bookmarkEnd w:id="50"/>
      <w:r/>
      <w:r/>
    </w:p>
    <w:p>
      <w:pPr>
        <w:ind w:left="0" w:firstLine="482"/>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本项目投标人需根据项目的专业特点组成项目组。只有在拟派项目人员配置名单上的人员才能参与评分</w:t>
      </w:r>
      <w:r>
        <w:rPr>
          <w:rFonts w:hint="eastAsia" w:ascii="宋体" w:hAnsi="宋体" w:eastAsia="宋体" w:cs="宋体"/>
          <w:b/>
          <w:color w:val="7030a0"/>
          <w:sz w:val="24"/>
          <w:szCs w:val="24"/>
          <w:highlight w:val="none"/>
        </w:rPr>
        <w:t xml:space="preserve">（不得含有返聘、临聘及已退休人员）</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无锡市审计局</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bCs/>
          <w:color w:val="000000" w:themeColor="text1"/>
          <w:sz w:val="24"/>
          <w:szCs w:val="24"/>
          <w:highlight w:val="none"/>
          <w14:textFill>
            <w14:solidFill>
              <w14:schemeClr w14:val="tx1"/>
            </w14:solidFill>
          </w14:textFill>
        </w:rPr>
        <w:t xml:space="preserve">权根据工程特点要求中标单位配备符合项目需要的专业审核人员，中标单位须无条件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服从</w:t>
      </w:r>
      <w:r>
        <w:rPr>
          <w:rFonts w:hint="eastAsia" w:ascii="宋体" w:hAnsi="宋体" w:eastAsia="宋体" w:cs="宋体"/>
          <w:bCs/>
          <w:color w:val="000000" w:themeColor="text1"/>
          <w:sz w:val="24"/>
          <w:szCs w:val="24"/>
          <w:highlight w:val="none"/>
          <w14:textFill>
            <w14:solidFill>
              <w14:schemeClr w14:val="tx1"/>
            </w14:solidFill>
          </w14:textFill>
        </w:rPr>
        <w:t xml:space="preserve">无锡市审计局安排。</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协审单位</w:t>
      </w:r>
      <w:r>
        <w:rPr>
          <w:rFonts w:hint="eastAsia" w:ascii="宋体" w:hAnsi="宋体" w:eastAsia="宋体" w:cs="宋体"/>
          <w:bCs/>
          <w:color w:val="000000" w:themeColor="text1"/>
          <w:sz w:val="24"/>
          <w:szCs w:val="24"/>
          <w:highlight w:val="none"/>
          <w14:textFill>
            <w14:solidFill>
              <w14:schemeClr w14:val="tx1"/>
            </w14:solidFill>
          </w14:textFill>
        </w:rPr>
        <w:t xml:space="preserve">在履行政府投资项目后期对账期间拟派配置人员</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收到通知后，确保其指派配置人员在24小时内响应并到位。</w:t>
      </w:r>
      <w:r/>
    </w:p>
    <w:p>
      <w:pPr>
        <w:ind w:left="0" w:firstLine="482"/>
        <w:keepLines w:val="0"/>
        <w:keepNext w:val="0"/>
        <w:pageBreakBefore w:val="0"/>
        <w:spacing w:line="360" w:lineRule="auto"/>
        <w:shd w:val="clear" w:color="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投标人只需提交一个协审方案，无需分标段描述，但应同时包括01、02、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03</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标段的主要协审内容。</w:t>
      </w:r>
      <w:r/>
    </w:p>
    <w:p>
      <w:pPr>
        <w:ind w:left="0" w:firstLine="482"/>
        <w:keepLines w:val="0"/>
        <w:keepNext w:val="0"/>
        <w:pageBreakBefore w:val="0"/>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签订后，采购人有权对中标供应商的履约能力进行审查，在履行合同期限内，如发现中标供应商未能按照投标承诺提供相应人员服务的，则采购人有权依法解除协审服务合同，并通报行业主管部门或其他相关部门进行处理，并将相关情况报政府采购监督管理部门作为其虚假投标的证据，进行处理。</w:t>
      </w:r>
      <w:r/>
    </w:p>
    <w:p>
      <w:pPr>
        <w:contextualSpacing/>
        <w:ind w:left="0" w:firstLine="480"/>
        <w:jc w:val="left"/>
        <w:keepLines w:val="0"/>
        <w:keepNext w:val="0"/>
        <w:pageBreakBefore w:val="0"/>
        <w:spacing w:line="360" w:lineRule="auto"/>
        <w:shd w:val="clear" w:color="auto"/>
        <w:widowControl/>
        <w:tabs>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en-US"/>
          <w14:textFill>
            <w14:solidFill>
              <w14:schemeClr w14:val="tx1"/>
            </w14:solidFill>
          </w14:textFill>
        </w:rPr>
        <w:t xml:space="preserve">、中标人确定后的协议签订、协审内容、计费方法、费用支付：</w:t>
      </w:r>
      <w:r/>
    </w:p>
    <w:p>
      <w:pPr>
        <w:ind w:left="0" w:firstLine="480"/>
        <w:keepLines w:val="0"/>
        <w:keepNext w:val="0"/>
        <w:pageBreakBefore w:val="0"/>
        <w:spacing w:line="360" w:lineRule="auto"/>
        <w:shd w:val="clear" w:color="auto"/>
        <w:tabs>
          <w:tab w:val="left" w:pos="3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（1）签订协议</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中标单位与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江苏无锡经济开发区财政局</w:t>
      </w:r>
      <w:r>
        <w:rPr>
          <w:rFonts w:hint="eastAsia" w:ascii="宋体" w:hAnsi="宋体" w:eastAsia="宋体" w:cs="宋体"/>
          <w:color w:val="000000" w:themeColor="text1"/>
          <w:sz w:val="24"/>
          <w:szCs w:val="24"/>
          <w:highlight w:val="none"/>
          <w14:textFill>
            <w14:solidFill>
              <w14:schemeClr w14:val="tx1"/>
            </w14:solidFill>
          </w14:textFill>
        </w:rPr>
        <w:t xml:space="preserve">签订《合同书》。</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（2）协审内容</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详见《合同书》要求。</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（3）计费方法</w:t>
      </w:r>
      <w:r/>
    </w:p>
    <w:p>
      <w:pPr>
        <w:ind w:lef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无需报价，各标段费用按照附件规定的计费办法计算。投标人须在《开标一览表》（格式见附件）中填写是否响应招标文件规定的计费方法。工程费用计费基数为各中标单位所承接标段范围内的审定工程造价（包括采购方要求审核的管线迁移等费用，不含大型成套设备），不分项目、不分施工标段，不分专业。除此之外，包括因项目工期、资料延误、人身伤害保险等等在内的各种情况，中标单位不再收取其他任何费用，不得向与委托内容相关的施工等单位收取任何费用。</w:t>
      </w:r>
      <w:r/>
    </w:p>
    <w:p>
      <w:pPr>
        <w:ind w:left="0" w:firstLine="480"/>
        <w:jc w:val="left"/>
        <w:keepLines w:val="0"/>
        <w:keepNext w:val="0"/>
        <w:pageBreakBefore w:val="0"/>
        <w:spacing w:before="0" w:beforeAutospacing="0" w:after="0" w:afterAutospacing="0" w:line="360" w:lineRule="auto"/>
        <w:shd w:val="clear" w:color="auto"/>
        <w:widowControl/>
        <w:tabs>
          <w:tab w:val="left" w:pos="289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(4)费用支付</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审核费用由经开区财政预算安排，不列入项目建设成本。审核费用经无锡市审计局审核后，支付给协审机构。</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（5）审计费用与考核得分关系</w:t>
      </w:r>
      <w:r/>
    </w:p>
    <w:tbl>
      <w:tblPr>
        <w:tblStyle w:val="1066"/>
        <w:tblW w:w="4809" w:type="pct"/>
        <w:tblInd w:w="0" w:type="dxa"/>
        <w:tblLayout w:type="autofit"/>
        <w:tblCellMar>
          <w:left w:w="108" w:type="dxa"/>
          <w:top w:w="0" w:type="dxa"/>
          <w:right w:w="108" w:type="dxa"/>
          <w:bottom w:w="0" w:type="dxa"/>
        </w:tblCellMar>
        <w:tblLook w:val="04A0" w:firstRow="1" w:lastRow="0" w:firstColumn="1" w:lastColumn="0" w:noHBand="0" w:noVBand="1"/>
      </w:tblPr>
      <w:tblGrid>
        <w:gridCol w:w="790"/>
        <w:gridCol w:w="687"/>
        <w:gridCol w:w="2026"/>
        <w:gridCol w:w="1368"/>
        <w:gridCol w:w="670"/>
        <w:gridCol w:w="789"/>
        <w:gridCol w:w="756"/>
        <w:gridCol w:w="760"/>
        <w:gridCol w:w="756"/>
        <w:gridCol w:w="647"/>
        <w:gridCol w:w="1025"/>
      </w:tblGrid>
      <w:tr>
        <w:trPr>
          <w:cantSplit/>
          <w:trHeight w:val="330"/>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工程造价审计服务费用费率表</w:t>
            </w:r>
            <w:r/>
          </w:p>
        </w:tc>
      </w:tr>
      <w:tr>
        <w:trPr>
          <w:cantSplit/>
          <w:trHeight w:val="330"/>
        </w:trPr>
        <w:tc>
          <w:tcPr>
            <w:gridSpan w:val="3"/>
            <w:tcBorders>
              <w:top w:val="single" w:color="000000" w:sz="4" w:space="0"/>
              <w:left w:val="single" w:color="000000" w:sz="4" w:space="0"/>
              <w:bottom w:val="single" w:color="000000" w:sz="4" w:space="0"/>
              <w:right w:val="single" w:color="000000" w:sz="4" w:space="0"/>
            </w:tcBorders>
            <w:tcW w:w="1706"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项目类型</w:t>
            </w:r>
            <w:r/>
          </w:p>
        </w:tc>
        <w:tc>
          <w:tcPr>
            <w:tcBorders>
              <w:top w:val="single" w:color="000000" w:sz="4" w:space="0"/>
              <w:left w:val="single" w:color="000000" w:sz="4" w:space="0"/>
              <w:bottom w:val="single" w:color="000000" w:sz="4" w:space="0"/>
              <w:right w:val="single" w:color="000000" w:sz="4" w:space="0"/>
            </w:tcBorders>
            <w:tcW w:w="666"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计费基数</w:t>
            </w:r>
            <w:r/>
          </w:p>
        </w:tc>
        <w:tc>
          <w:tcPr>
            <w:gridSpan w:val="6"/>
            <w:tcBorders>
              <w:top w:val="single" w:color="000000" w:sz="4" w:space="0"/>
              <w:bottom w:val="single" w:color="000000" w:sz="4" w:space="0"/>
              <w:right w:val="single" w:color="000000" w:sz="4" w:space="0"/>
            </w:tcBorders>
            <w:tcW w:w="2129"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工程造价（采用差额定率分档累进方式）</w:t>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备注</w:t>
            </w:r>
            <w:r/>
          </w:p>
        </w:tc>
      </w:tr>
      <w:tr>
        <w:trPr>
          <w:cantSplit/>
          <w:trHeight w:val="1034"/>
        </w:trPr>
        <w:tc>
          <w:tcPr>
            <w:gridSpan w:val="3"/>
            <w:tcBorders>
              <w:top w:val="single" w:color="000000" w:sz="4" w:space="0"/>
              <w:left w:val="single" w:color="000000" w:sz="4" w:space="0"/>
              <w:bottom w:val="single" w:color="000000" w:sz="4" w:space="0"/>
              <w:right w:val="single" w:color="000000" w:sz="4" w:space="0"/>
            </w:tcBorders>
            <w:tcW w:w="1706"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bottom w:val="single" w:color="000000" w:sz="4" w:space="0"/>
              <w:right w:val="single" w:color="000000" w:sz="4" w:space="0"/>
            </w:tcBorders>
            <w:tcW w:w="32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100万元以内(含）</w:t>
            </w:r>
            <w:r/>
          </w:p>
        </w:tc>
        <w:tc>
          <w:tcPr>
            <w:tcBorders>
              <w:bottom w:val="single" w:color="000000" w:sz="4" w:space="0"/>
              <w:right w:val="single" w:color="000000" w:sz="4" w:space="0"/>
            </w:tcBorders>
            <w:tcW w:w="384"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101万元-500万元（含）</w:t>
            </w:r>
            <w:r/>
          </w:p>
        </w:tc>
        <w:tc>
          <w:tcPr>
            <w:tcBorders>
              <w:bottom w:val="single" w:color="000000" w:sz="4" w:space="0"/>
              <w:right w:val="single" w:color="000000" w:sz="4" w:space="0"/>
            </w:tcBorders>
            <w:tcW w:w="367"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501万元-1000万元（含）</w:t>
            </w:r>
            <w:r/>
          </w:p>
        </w:tc>
        <w:tc>
          <w:tcPr>
            <w:tcBorders>
              <w:bottom w:val="single" w:color="000000" w:sz="4" w:space="0"/>
              <w:right w:val="single" w:color="000000" w:sz="4" w:space="0"/>
            </w:tcBorders>
            <w:tcW w:w="370"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1001万元-5000万元（含）</w:t>
            </w:r>
            <w:r/>
          </w:p>
        </w:tc>
        <w:tc>
          <w:tcPr>
            <w:tcBorders>
              <w:bottom w:val="single" w:color="000000" w:sz="4" w:space="0"/>
              <w:right w:val="single" w:color="000000" w:sz="4" w:space="0"/>
            </w:tcBorders>
            <w:tcW w:w="367"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5001万元-1亿元（含）</w:t>
            </w:r>
            <w:r/>
          </w:p>
        </w:tc>
        <w:tc>
          <w:tcPr>
            <w:tcBorders>
              <w:bottom w:val="single" w:color="000000" w:sz="4" w:space="0"/>
              <w:right w:val="single" w:color="000000" w:sz="4" w:space="0"/>
            </w:tcBorders>
            <w:tcW w:w="311"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1亿元以上</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cantSplit/>
          <w:trHeight w:val="350"/>
        </w:trPr>
        <w:tc>
          <w:tcPr>
            <w:tcBorders>
              <w:left w:val="single" w:color="000000" w:sz="4" w:space="0"/>
              <w:right w:val="single" w:color="000000" w:sz="4" w:space="0"/>
            </w:tcBorders>
            <w:tcW w:w="385"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val="en-US" w:eastAsia="zh-CN"/>
                <w14:textFill>
                  <w14:solidFill>
                    <w14:schemeClr w14:val="tx1"/>
                  </w14:solidFill>
                </w14:textFill>
              </w:rPr>
              <w:t xml:space="preserve">复审</w:t>
            </w:r>
            <w:r/>
          </w:p>
          <w:p>
            <w:pPr>
              <w:jc w:val="center"/>
              <w:shd w:val="clear" w:color="auto"/>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val="en-US" w:eastAsia="zh-CN"/>
                <w14:textFill>
                  <w14:solidFill>
                    <w14:schemeClr w14:val="tx1"/>
                  </w14:solidFill>
                </w14:textFill>
              </w:rPr>
              <w:t xml:space="preserve">项目</w:t>
            </w:r>
            <w:r/>
          </w:p>
        </w:tc>
        <w:tc>
          <w:tcPr>
            <w:tcBorders>
              <w:left w:val="single" w:color="000000" w:sz="4" w:space="0"/>
              <w:bottom w:val="single" w:color="000000" w:sz="4" w:space="0"/>
              <w:right w:val="single" w:color="000000" w:sz="4" w:space="0"/>
            </w:tcBorders>
            <w:tcW w:w="335"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基本费用</w:t>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房屋建筑类</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送审工程造价</w:t>
            </w:r>
            <w:r/>
          </w:p>
        </w:tc>
        <w:tc>
          <w:tcPr>
            <w:tcBorders>
              <w:bottom w:val="single" w:color="000000" w:sz="4" w:space="0"/>
              <w:right w:val="single" w:color="000000" w:sz="4" w:space="0"/>
            </w:tcBorders>
            <w:tcW w:w="326"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1.44</w:t>
            </w:r>
            <w:r/>
          </w:p>
        </w:tc>
        <w:tc>
          <w:tcPr>
            <w:tcBorders>
              <w:bottom w:val="single" w:color="000000" w:sz="4" w:space="0"/>
              <w:right w:val="single" w:color="000000" w:sz="4" w:space="0"/>
            </w:tcBorders>
            <w:tcW w:w="384"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1.2</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1.08</w:t>
            </w:r>
            <w:r/>
          </w:p>
        </w:tc>
        <w:tc>
          <w:tcPr>
            <w:tcBorders>
              <w:bottom w:val="single" w:color="000000" w:sz="4" w:space="0"/>
              <w:right w:val="single" w:color="000000" w:sz="4" w:space="0"/>
            </w:tcBorders>
            <w:tcW w:w="370"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0.96</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0.84</w:t>
            </w:r>
            <w:r/>
          </w:p>
        </w:tc>
        <w:tc>
          <w:tcPr>
            <w:tcBorders>
              <w:bottom w:val="single" w:color="000000" w:sz="4" w:space="0"/>
              <w:right w:val="single" w:color="000000" w:sz="4" w:space="0"/>
            </w:tcBorders>
            <w:tcW w:w="311"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0.72</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费率：‰</w:t>
            </w:r>
            <w:r/>
          </w:p>
        </w:tc>
      </w:tr>
      <w:tr>
        <w:trPr>
          <w:cantSplit/>
          <w:trHeight w:val="500"/>
        </w:trPr>
        <w:tc>
          <w:tcPr>
            <w:tcBorders>
              <w:left w:val="single" w:color="000000" w:sz="4" w:space="0"/>
              <w:right w:val="single" w:color="000000" w:sz="4" w:space="0"/>
            </w:tcBorders>
            <w:tcW w:w="38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33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市政道桥，交通水利，景观绿化环境等</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送审工程造价</w:t>
            </w:r>
            <w:r/>
          </w:p>
        </w:tc>
        <w:tc>
          <w:tcPr>
            <w:tcBorders>
              <w:bottom w:val="single" w:color="000000" w:sz="4" w:space="0"/>
              <w:right w:val="single" w:color="000000" w:sz="4" w:space="0"/>
            </w:tcBorders>
            <w:tcW w:w="326"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1.32</w:t>
            </w:r>
            <w:r/>
          </w:p>
        </w:tc>
        <w:tc>
          <w:tcPr>
            <w:tcBorders>
              <w:bottom w:val="single" w:color="000000" w:sz="4" w:space="0"/>
              <w:right w:val="single" w:color="000000" w:sz="4" w:space="0"/>
            </w:tcBorders>
            <w:tcW w:w="384"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1.1</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0.99</w:t>
            </w:r>
            <w:r/>
          </w:p>
        </w:tc>
        <w:tc>
          <w:tcPr>
            <w:tcBorders>
              <w:bottom w:val="single" w:color="000000" w:sz="4" w:space="0"/>
              <w:right w:val="single" w:color="000000" w:sz="4" w:space="0"/>
            </w:tcBorders>
            <w:tcW w:w="370"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0.88</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0.77</w:t>
            </w:r>
            <w:r/>
          </w:p>
        </w:tc>
        <w:tc>
          <w:tcPr>
            <w:tcBorders>
              <w:bottom w:val="single" w:color="000000" w:sz="4" w:space="0"/>
              <w:right w:val="single" w:color="000000" w:sz="4" w:space="0"/>
            </w:tcBorders>
            <w:tcW w:w="311"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0.66</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费率：‰</w:t>
            </w:r>
            <w:r/>
          </w:p>
        </w:tc>
      </w:tr>
      <w:tr>
        <w:trPr>
          <w:cantSplit/>
          <w:trHeight w:val="479"/>
        </w:trPr>
        <w:tc>
          <w:tcPr>
            <w:tcBorders>
              <w:left w:val="single" w:color="000000" w:sz="4" w:space="0"/>
              <w:right w:val="single" w:color="000000" w:sz="4" w:space="0"/>
            </w:tcBorders>
            <w:tcW w:w="38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335"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追加费用</w:t>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房屋建筑类</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核减额</w:t>
            </w:r>
            <w:r/>
          </w:p>
        </w:tc>
        <w:tc>
          <w:tcPr>
            <w:gridSpan w:val="6"/>
            <w:tcBorders>
              <w:top w:val="single" w:color="000000" w:sz="4" w:space="0"/>
              <w:bottom w:val="single" w:color="000000" w:sz="4" w:space="0"/>
              <w:right w:val="single" w:color="000000" w:sz="4" w:space="0"/>
            </w:tcBorders>
            <w:tcW w:w="2129"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w:t>
            </w:r>
            <w:r/>
          </w:p>
        </w:tc>
      </w:tr>
      <w:tr>
        <w:trPr>
          <w:cantSplit/>
          <w:trHeight w:val="500"/>
        </w:trPr>
        <w:tc>
          <w:tcPr>
            <w:tcBorders>
              <w:left w:val="single" w:color="000000" w:sz="4" w:space="0"/>
              <w:bottom w:val="single" w:color="000000" w:sz="4" w:space="0"/>
              <w:right w:val="single" w:color="000000" w:sz="4" w:space="0"/>
            </w:tcBorders>
            <w:tcW w:w="38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33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市政道桥，交通水利，景观绿化环境等</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核减额</w:t>
            </w:r>
            <w:r/>
          </w:p>
        </w:tc>
        <w:tc>
          <w:tcPr>
            <w:gridSpan w:val="6"/>
            <w:tcBorders>
              <w:top w:val="single" w:color="000000" w:sz="4" w:space="0"/>
              <w:bottom w:val="single" w:color="000000" w:sz="4" w:space="0"/>
              <w:right w:val="single" w:color="000000" w:sz="4" w:space="0"/>
            </w:tcBorders>
            <w:tcW w:w="2129"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4.50%</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w:t>
            </w:r>
            <w:r/>
          </w:p>
        </w:tc>
      </w:tr>
    </w:tbl>
    <w:p>
      <w:pPr>
        <w:ind w:left="0" w:firstLine="480"/>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80"/>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最终审计费=（基本费+追加费）*考核系数</w:t>
      </w:r>
      <w:r/>
    </w:p>
    <w:p>
      <w:pPr>
        <w:ind w:left="0" w:firstLine="480"/>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①得分≥95分时，考核系数=1；</w:t>
      </w:r>
      <w:r/>
    </w:p>
    <w:p>
      <w:pPr>
        <w:ind w:left="0" w:firstLine="480"/>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②80分≤得分＜95分时，考核系数=[0.005*（得分-80)+0.9],考核系数在0.9—0.975内；</w:t>
      </w:r>
      <w:r/>
    </w:p>
    <w:p>
      <w:pPr>
        <w:ind w:left="0" w:firstLine="480"/>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③60分≤得分＜80分时，考核系数=[0.015*（得分-60)+0.6]，考核系数在0.6—0.9内；</w:t>
      </w:r>
      <w:r/>
    </w:p>
    <w:p>
      <w:pPr>
        <w:ind w:left="0" w:firstLine="480"/>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④得分＜60分时，考核系数=0.5，同时给予警告1次，并建议协审单位对项目负责人予以处理。</w:t>
      </w:r>
      <w:r/>
    </w:p>
    <w:p>
      <w:pPr>
        <w:ind w:left="0" w:firstLine="482"/>
        <w:keepLines w:val="0"/>
        <w:keepNext w:val="0"/>
        <w:pageBreakBefore w:val="0"/>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、考核：</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为了确保项目协审工作质量，无锡市审计局将对中标单位协审工作进行考核。对于不同意接受考核的协审单位，采购人有权终止协议。</w:t>
      </w:r>
      <w:r/>
    </w:p>
    <w:p>
      <w:pPr>
        <w:ind w:left="0" w:firstLine="482"/>
        <w:keepLines w:val="0"/>
        <w:keepNext w:val="0"/>
        <w:pageBreakBefore w:val="0"/>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、违约责任：</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（1）在本项目规定的服务有效期内如发现中标单位相关人员有行贿、受贿、经济犯罪等违法行为，一经查实，采购人有权单方解除协议。</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（2）中标单位涂改、倒卖、出租、出借资质证书，或者以其他形式非法转让资质证书；擅自变更、转让、租借承接的工程造价咨询业务；一经查实，采购人有权依法定程序解除协议。</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（3）在协审工作中，因中标单位原因造成违约或疏忽，延误工程实施进度或审核工作出现错误并造成重大影响的，将报相关监管部门处理，或采取法律手段解决索赔事宜。</w:t>
      </w:r>
      <w:r/>
    </w:p>
    <w:p>
      <w:pPr>
        <w:ind w:left="0" w:firstLine="480"/>
        <w:keepLines w:val="0"/>
        <w:keepNext w:val="0"/>
        <w:pageBreakBefore w:val="0"/>
        <w:spacing w:line="360" w:lineRule="auto"/>
        <w:shd w:val="clear" w:color="auto"/>
        <w:tabs>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（4）对提供不实或内容虚假的协审结果以及自行对外提供协审咨询报告的，由中标单位自行承担责任，情节严重的，依法提请有关部门追究事务所和相关责任人的法律责任。</w:t>
      </w:r>
      <w:r/>
    </w:p>
    <w:p>
      <w:pPr>
        <w:ind w:left="0" w:firstLine="482"/>
        <w:keepLines w:val="0"/>
        <w:keepNext w:val="0"/>
        <w:pageBreakBefore w:val="0"/>
        <w:spacing w:line="360" w:lineRule="auto"/>
        <w:shd w:val="clear" w:color="auto"/>
        <w:tabs>
          <w:tab w:val="left" w:pos="105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、其他事项：</w:t>
      </w:r>
      <w:r/>
    </w:p>
    <w:p>
      <w:pPr>
        <w:ind w:left="0" w:firstLine="480"/>
        <w:keepLines w:val="0"/>
        <w:keepNext w:val="0"/>
        <w:pageBreakBefore w:val="0"/>
        <w:spacing w:line="360" w:lineRule="auto"/>
        <w:shd w:val="clear" w:color="auto"/>
        <w:tabs>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（2）中标单位应加强对审核质量的控制，</w:t>
      </w:r>
      <w:r>
        <w:rPr>
          <w:rFonts w:hint="eastAsia" w:ascii="宋体" w:hAnsi="宋体" w:eastAsia="宋体" w:cs="宋体"/>
          <w:color w:val="000000" w:themeColor="text1"/>
          <w:sz w:val="24"/>
          <w:szCs w:val="24"/>
          <w:highlight w:val="none"/>
          <w:shd w:val="clear" w:color="auto"/>
          <w14:textFill>
            <w14:solidFill>
              <w14:schemeClr w14:val="tx1"/>
            </w14:solidFill>
          </w14:textFill>
        </w:rPr>
        <w:t xml:space="preserve">无锡市审计局可视情况对中标单位的审核成果进行</w:t>
      </w:r>
      <w:r>
        <w:rPr>
          <w:rFonts w:hint="eastAsia" w:ascii="宋体" w:hAnsi="宋体" w:cs="宋体"/>
          <w:color w:val="000000" w:themeColor="text1"/>
          <w:sz w:val="24"/>
          <w:szCs w:val="24"/>
          <w:highlight w:val="none"/>
          <w:shd w:val="clear" w:color="auto"/>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shd w:val="clear" w:color="auto"/>
          <w:lang w:val="en-US"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shd w:val="clear" w:color="auto"/>
          <w14:textFill>
            <w14:solidFill>
              <w14:schemeClr w14:val="tx1"/>
            </w14:solidFill>
          </w14:textFill>
        </w:rPr>
        <w:t xml:space="preserve">复核。复核范围可选择全部</w:t>
      </w:r>
      <w:r>
        <w:rPr>
          <w:rFonts w:hint="eastAsia" w:ascii="宋体" w:hAnsi="宋体" w:cs="宋体"/>
          <w:color w:val="000000" w:themeColor="text1"/>
          <w:sz w:val="24"/>
          <w:szCs w:val="24"/>
          <w:highlight w:val="none"/>
          <w:shd w:val="clear" w:color="auto"/>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shd w:val="clear" w:color="auto"/>
          <w:lang w:val="en-US"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shd w:val="clear" w:color="auto"/>
          <w14:textFill>
            <w14:solidFill>
              <w14:schemeClr w14:val="tx1"/>
            </w14:solidFill>
          </w14:textFill>
        </w:rPr>
        <w:t xml:space="preserve">复核或部分</w:t>
      </w:r>
      <w:r>
        <w:rPr>
          <w:rFonts w:hint="eastAsia" w:ascii="宋体" w:hAnsi="宋体" w:cs="宋体"/>
          <w:color w:val="000000" w:themeColor="text1"/>
          <w:sz w:val="24"/>
          <w:szCs w:val="24"/>
          <w:highlight w:val="none"/>
          <w:shd w:val="clear" w:color="auto"/>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shd w:val="clear" w:color="auto"/>
          <w:lang w:val="en-US"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shd w:val="clear" w:color="auto"/>
          <w14:textFill>
            <w14:solidFill>
              <w14:schemeClr w14:val="tx1"/>
            </w14:solidFill>
          </w14:textFill>
        </w:rPr>
        <w:t xml:space="preserve">复核，若采用部分复核方式时发现核减率过大，可进行全面复核。</w:t>
      </w:r>
      <w:r>
        <w:rPr>
          <w:rFonts w:hint="eastAsia" w:ascii="宋体" w:hAnsi="宋体" w:eastAsia="宋体" w:cs="宋体"/>
          <w:color w:val="000000" w:themeColor="text1"/>
          <w:sz w:val="24"/>
          <w:szCs w:val="24"/>
          <w:highlight w:val="none"/>
          <w14:textFill>
            <w14:solidFill>
              <w14:schemeClr w14:val="tx1"/>
            </w14:solidFill>
          </w14:textFill>
        </w:rPr>
        <w:t xml:space="preserve">复核方式可采用交叉复核、外聘单位复核等多种方式进行。</w:t>
      </w:r>
      <w:r/>
    </w:p>
    <w:p>
      <w:pPr>
        <w:ind w:left="0" w:firstLine="480"/>
        <w:keepLines w:val="0"/>
        <w:keepNext w:val="0"/>
        <w:pageBreakBefore w:val="0"/>
        <w:spacing w:line="360" w:lineRule="auto"/>
        <w:shd w:val="clear" w:color="auto"/>
        <w:tabs>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复核后，按考核办法相应条款进行扣分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调整结算金额，同时按以下方法进行协审费用处理：</w:t>
      </w:r>
      <w:r/>
    </w:p>
    <w:p>
      <w:pPr>
        <w:ind w:left="0" w:firstLine="480"/>
        <w:keepLines w:val="0"/>
        <w:keepNext w:val="0"/>
        <w:pageBreakBefore w:val="0"/>
        <w:spacing w:line="360" w:lineRule="auto"/>
        <w:shd w:val="clear" w:color="auto"/>
        <w:tabs>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①基本费按照复核结果进行计算。</w:t>
      </w:r>
      <w:r/>
    </w:p>
    <w:p>
      <w:pPr>
        <w:ind w:left="0" w:firstLine="480"/>
        <w:keepLines w:val="0"/>
        <w:keepNext w:val="0"/>
        <w:pageBreakBefore w:val="0"/>
        <w:spacing w:line="360" w:lineRule="auto"/>
        <w:shd w:val="clear" w:color="auto"/>
        <w:tabs>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②原协审单位追加费用的计取不含质量复核产生的核减金额。</w:t>
      </w:r>
      <w:r/>
    </w:p>
    <w:p>
      <w:pPr>
        <w:ind w:left="0" w:firstLine="480"/>
        <w:keepLines w:val="0"/>
        <w:keepNext w:val="0"/>
        <w:pageBreakBefore w:val="0"/>
        <w:spacing w:line="360" w:lineRule="auto"/>
        <w:shd w:val="clear" w:color="auto"/>
        <w:tabs>
          <w:tab w:val="left" w:pos="1050" w:leader="none"/>
        </w:tabs>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③根据复核结果按考核办法进行考评，根据考核系数计算最终审计费。</w:t>
      </w:r>
      <w:r/>
    </w:p>
    <w:p>
      <w:pPr>
        <w:ind w:firstLine="480"/>
        <w:spacing w:line="360" w:lineRule="auto"/>
        <w:shd w:val="clear" w:color="auto"/>
        <w:rPr>
          <w:rFonts w:ascii="黑体" w:hAnsi="宋体" w:eastAsia="黑体"/>
          <w:bCs/>
          <w:color w:val="000000" w:themeColor="text1"/>
          <w:sz w:val="24"/>
          <w:highlight w:val="none"/>
          <w14:textFill>
            <w14:solidFill>
              <w14:schemeClr w14:val="tx1"/>
            </w14:solidFill>
          </w14:textFill>
        </w:rPr>
      </w:pPr>
      <w:r>
        <w:rPr>
          <w:rFonts w:hint="eastAsia" w:ascii="黑体" w:hAnsi="宋体" w:eastAsia="黑体"/>
          <w:bCs/>
          <w:color w:val="000000" w:themeColor="text1"/>
          <w:sz w:val="24"/>
          <w:highlight w:val="none"/>
          <w14:textFill>
            <w14:solidFill>
              <w14:schemeClr w14:val="tx1"/>
            </w14:solidFill>
          </w14:textFill>
        </w:rPr>
        <w:t xml:space="preserve">（二）</w:t>
      </w:r>
      <w:r>
        <w:rPr>
          <w:rFonts w:ascii="黑体" w:hAnsi="宋体" w:eastAsia="黑体"/>
          <w:bCs/>
          <w:color w:val="000000" w:themeColor="text1"/>
          <w:sz w:val="24"/>
          <w:highlight w:val="none"/>
          <w14:textFill>
            <w14:solidFill>
              <w14:schemeClr w14:val="tx1"/>
            </w14:solidFill>
          </w14:textFill>
        </w:rPr>
        <w:t xml:space="preserve"> </w:t>
      </w:r>
      <w:r>
        <w:rPr>
          <w:rFonts w:hint="eastAsia" w:ascii="黑体" w:hAnsi="宋体" w:eastAsia="黑体"/>
          <w:bCs/>
          <w:color w:val="000000" w:themeColor="text1"/>
          <w:sz w:val="24"/>
          <w:highlight w:val="none"/>
          <w14:textFill>
            <w14:solidFill>
              <w14:schemeClr w14:val="tx1"/>
            </w14:solidFill>
          </w14:textFill>
        </w:rPr>
        <w:t xml:space="preserve">有关说明：</w:t>
      </w:r>
      <w:r>
        <w:rPr>
          <w:rFonts w:ascii="黑体" w:hAnsi="宋体" w:eastAsia="黑体"/>
          <w:bCs/>
          <w:color w:val="000000" w:themeColor="text1"/>
          <w:sz w:val="24"/>
          <w:highlight w:val="none"/>
          <w14:textFill>
            <w14:solidFill>
              <w14:schemeClr w14:val="tx1"/>
            </w14:solidFill>
          </w14:textFill>
        </w:rPr>
        <w:t xml:space="preserve"> </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审计费用包括满足本项目服务要求的从项目中标起到项目正式交付以及服务期内所发生的一切费用。</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通过中国海关报关验放进入中国境内且产自关境外的产品不在本项目的报价范围。</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投标人如有技术偏离请于投标偏离表中说明。</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服务期限：自合同签订生效之日起至对应中标项目由无锡市审计局出具竣工决算审计报告止。</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本项目合同履行地点：无锡经开区，具体地点以合同书约定为准。</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质量及验收：合格标准，符合国家、省、市以及相关管理部门相关规定和行业规范。</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bCs/>
          <w:color w:val="000000" w:themeColor="text1"/>
          <w:sz w:val="24"/>
          <w:highlight w:val="none"/>
          <w14:textFill>
            <w14:solidFill>
              <w14:schemeClr w14:val="tx1"/>
            </w14:solidFill>
          </w14:textFill>
        </w:rPr>
        <w:t xml:space="preserve">》第七十七条第一款的规定追究法律责任。</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采购人负责对本次采购产生的中标单位在履约期间的管理、考核及协审费用审核等工作。</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采购人保留对投标人提供的数据及证明材料进行外调核查的权力。</w:t>
      </w:r>
      <w:r/>
    </w:p>
    <w:p>
      <w:pPr>
        <w:pStyle w:val="1092"/>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360" w:lineRule="auto"/>
        <w:shd w:val="clear" w:color="auto"/>
        <w:rPr>
          <w:rFonts w:hint="eastAsia" w:hAnsi="宋体" w:cs="宋体"/>
          <w:b/>
          <w:bCs/>
          <w:color w:val="000000" w:themeColor="text1"/>
          <w:sz w:val="36"/>
          <w:szCs w:val="36"/>
          <w:highlight w:val="none"/>
          <w14:textFill>
            <w14:solidFill>
              <w14:schemeClr w14:val="tx1"/>
            </w14:solidFill>
          </w14:textFill>
        </w:rPr>
        <w:outlineLvl w:val="0"/>
      </w:pPr>
      <w:r/>
      <w:bookmarkStart w:id="29" w:name="_Toc21591"/>
      <w:r/>
      <w:bookmarkStart w:id="30" w:name="_Toc21985"/>
      <w:r>
        <w:rPr>
          <w:rFonts w:hint="eastAsia" w:hAnsi="宋体" w:cs="宋体"/>
          <w:b/>
          <w:bCs/>
          <w:color w:val="000000" w:themeColor="text1"/>
          <w:sz w:val="36"/>
          <w:szCs w:val="36"/>
          <w:highlight w:val="none"/>
          <w14:textFill>
            <w14:solidFill>
              <w14:schemeClr w14:val="tx1"/>
            </w14:solidFill>
          </w14:textFill>
        </w:rPr>
        <w:t xml:space="preserve">四、合同书（格式文本）</w:t>
      </w:r>
      <w:bookmarkEnd w:id="28"/>
      <w:r/>
      <w:bookmarkEnd w:id="29"/>
      <w:r/>
      <w:bookmarkEnd w:id="30"/>
      <w:r/>
      <w:r/>
    </w:p>
    <w:p>
      <w:pPr>
        <w:ind w:firstLine="480"/>
        <w:spacing w:line="400" w:lineRule="exact"/>
        <w:shd w:val="clear" w:color="auto"/>
        <w:rPr>
          <w:rFonts w:hint="default" w:ascii="宋体" w:hAnsi="宋体"/>
          <w:bCs/>
          <w:color w:val="000000" w:themeColor="text1"/>
          <w:sz w:val="24"/>
          <w:szCs w:val="21"/>
          <w:highlight w:val="none"/>
          <w14:textFill>
            <w14:solidFill>
              <w14:schemeClr w14:val="tx1"/>
            </w14:solidFill>
          </w14:textFill>
        </w:rPr>
      </w:pPr>
      <w:r/>
      <w:bookmarkStart w:id="31" w:name="_Toc16938559"/>
      <w:r/>
      <w:bookmarkStart w:id="32" w:name="_Toc20823315"/>
      <w:r/>
      <w:bookmarkStart w:id="33" w:name="_Toc513029243"/>
      <w:r/>
      <w:bookmarkStart w:id="34" w:name="_Toc4709"/>
      <w:r/>
      <w:bookmarkStart w:id="35" w:name="_Toc17918"/>
      <w:r>
        <w:rPr>
          <w:rFonts w:hint="eastAsia" w:ascii="宋体" w:hAnsi="宋体"/>
          <w:bCs/>
          <w:color w:val="000000" w:themeColor="text1"/>
          <w:sz w:val="24"/>
          <w:szCs w:val="21"/>
          <w:highlight w:val="none"/>
          <w14:textFill>
            <w14:solidFill>
              <w14:schemeClr w14:val="tx1"/>
            </w14:solidFill>
          </w14:textFill>
        </w:rPr>
        <w:t xml:space="preserve">以下为中标后</w:t>
      </w:r>
      <w:r>
        <w:rPr>
          <w:rFonts w:hint="eastAsia" w:ascii="宋体" w:hAnsi="宋体"/>
          <w:bCs/>
          <w:color w:val="000000" w:themeColor="text1"/>
          <w:sz w:val="24"/>
          <w:szCs w:val="21"/>
          <w:highlight w:val="none"/>
          <w:lang w:eastAsia="zh-CN"/>
          <w14:textFill>
            <w14:solidFill>
              <w14:schemeClr w14:val="tx1"/>
            </w14:solidFill>
          </w14:textFill>
        </w:rPr>
        <w:t xml:space="preserve">签订</w:t>
      </w:r>
      <w:r>
        <w:rPr>
          <w:rFonts w:hint="eastAsia" w:ascii="宋体" w:hAnsi="宋体"/>
          <w:bCs/>
          <w:color w:val="000000" w:themeColor="text1"/>
          <w:sz w:val="24"/>
          <w:szCs w:val="21"/>
          <w:highlight w:val="none"/>
          <w14:textFill>
            <w14:solidFill>
              <w14:schemeClr w14:val="tx1"/>
            </w14:solidFill>
          </w14:textFill>
        </w:rPr>
        <w:t xml:space="preserve">本项目合同的通用条款，中标人不得提出实质性的修改。</w:t>
      </w:r>
      <w:r/>
    </w:p>
    <w:p>
      <w:pPr>
        <w:jc w:val="center"/>
        <w:spacing w:line="400" w:lineRule="exact"/>
        <w:shd w:val="clear" w:color="auto"/>
        <w:rPr>
          <w:rFonts w:hint="default"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江苏省政府采购合同（服务）（合同编号）</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项目名称：                                       项目编号：</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甲方：（买方、需方、采购人）_________</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乙方：（卖方、供方、供应商）_________</w:t>
      </w:r>
      <w:r/>
    </w:p>
    <w:p>
      <w:pPr>
        <w:ind w:firstLine="480"/>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甲、乙双方根据</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项目公开招标的结果，签署本合同。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合同</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内容</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1.1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标的</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名称：</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标的质量：</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1.3 标的数量（规模）：</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1.4 履行时间（期限）：</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1.5 履行地点：</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6履行方式：</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二、合同金额</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2.1 本合同金额为（大写）：</w:t>
      </w:r>
      <w:r>
        <w:rPr>
          <w:rFonts w:hint="eastAsia" w:ascii="宋体" w:hAnsi="宋体" w:eastAsia="宋体" w:cs="Times New Roman"/>
          <w:color w:val="000000" w:themeColor="text1"/>
          <w:sz w:val="24"/>
          <w:szCs w:val="24"/>
          <w:highlight w:val="none"/>
          <w:u w:val="single"/>
          <w:shd w:val="clear" w:color="ffffff" w:fill="d9d9d9"/>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shd w:val="clear" w:color="ffffff" w:fill="d9d9d9"/>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元）人民币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或其他币种</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三、技术资料</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3.1乙方应按招标文件规定的时间向甲方提供服务</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（包含与服务相关的货物）</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的有关技术资料。</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3.2 没有甲方事先书面同意，乙方不得将由甲方提供的有关合同或任何合同条文、规格、计划、图纸、样品或资料提供</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给予</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履行本合同无关的任何其他人。即使向履行本合同有关的人员提供，也应注意保密并限于履行合同的必需范围。</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四、知识产权</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4.1乙</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jc w:val="both"/>
        <w:spacing w:line="400" w:lineRule="exact"/>
        <w:shd w:val="clear" w:color="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五、产权担保</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5.1 乙方保证所交付的</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服务（包含与服务相关的货物）</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的所有权完全属于乙方且无任何抵押、查封等产权瑕疵。</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六、履约保证金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6.1 乙方交纳人民币</w:t>
      </w:r>
      <w:r>
        <w:rPr>
          <w:rFonts w:hint="eastAsia" w:ascii="宋体" w:hAnsi="宋体" w:eastAsia="宋体" w:cs="Times New Roman"/>
          <w:color w:val="000000" w:themeColor="text1"/>
          <w:sz w:val="24"/>
          <w:szCs w:val="24"/>
          <w:highlight w:val="none"/>
          <w:u w:val="single"/>
          <w:shd w:val="clear" w:color="ffffff" w:fill="d9d9d9"/>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元作为本合同的履约保证金。</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（不得超过合同金额的10%）</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6.2合同履行结束后，甲方应及时退还交纳的履约保证金。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6.2.1履约保证金退还方式：</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6.2.2履约保证金退还时间：</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6.2.3履约保证金退还条件：</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6.2.4履约保证金不予退还的情形：</w:t>
      </w:r>
      <w:r/>
    </w:p>
    <w:p>
      <w:pPr>
        <w:ind w:firstLine="482"/>
        <w:spacing w:line="400" w:lineRule="exact"/>
        <w:shd w:val="clear" w:color="auto"/>
        <w:rPr>
          <w:rFonts w:hint="default"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shd w:val="clear" w:color="auto"/>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shd w:val="clear" w:color="auto"/>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shd w:val="clear" w:color="auto"/>
        <w:rPr>
          <w:rFonts w:hint="default" w:ascii="宋体" w:hAnsi="宋体" w:eastAsia="仿宋_GB2312"/>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八</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审核费用支付</w:t>
      </w:r>
      <w:r/>
    </w:p>
    <w:p>
      <w:pPr>
        <w:ind w:firstLine="480"/>
        <w:jc w:val="both"/>
        <w:spacing w:line="400" w:lineRule="exact"/>
        <w:shd w:val="clear" w:color="auto"/>
        <w:widowControl w:val="off"/>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最终审计费=（基本费+追加费）*考核系数</w:t>
      </w:r>
      <w:r/>
    </w:p>
    <w:p>
      <w:pPr>
        <w:ind w:firstLine="480"/>
        <w:jc w:val="both"/>
        <w:spacing w:line="400" w:lineRule="exact"/>
        <w:shd w:val="clear" w:color="auto"/>
        <w:widowControl w:val="off"/>
        <w:rPr>
          <w:rFonts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所有协审工作完成并提交审核结果报告（包括甲方及无锡市审计局要求的相关资料）和正规票据后，付至基本费用的75%，剩余25%的基本费用及追加费用，在项目决算批复后进行支付，具体付款进度以项目建设单位（丙方）实际付款为准。  </w:t>
      </w:r>
      <w:r/>
    </w:p>
    <w:p>
      <w:pPr>
        <w:ind w:firstLine="482"/>
        <w:spacing w:line="400" w:lineRule="exact"/>
        <w:shd w:val="clear" w:color="auto"/>
        <w:rPr>
          <w:rFonts w:hint="default"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shd w:val="clear" w:color="auto"/>
        <w:rPr>
          <w:rFonts w:hint="default"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hint="default"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jc w:val="both"/>
        <w:spacing w:line="4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项目</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验收</w:t>
      </w:r>
      <w:r/>
    </w:p>
    <w:p>
      <w:pPr>
        <w:ind w:firstLine="480"/>
        <w:jc w:val="both"/>
        <w:spacing w:line="400" w:lineRule="exact"/>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10.1 甲方及无锡市审计局依法组织履约验收工作。甲方及无锡市审计局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甲方及无锡市审计局根据国家有关规定、采购文件、供应商的投标文件以及合同约定的内容和验收标准进行验收。验收情况作为支付服务费用的依据。</w:t>
      </w:r>
      <w:r/>
    </w:p>
    <w:p>
      <w:pPr>
        <w:ind w:firstLine="482"/>
        <w:jc w:val="both"/>
        <w:spacing w:line="400" w:lineRule="exact"/>
        <w:shd w:val="clear" w:color="auto"/>
        <w:widowControl w:val="off"/>
        <w:rPr>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验收合格的项目,甲方及无锡市审计局根据采购合同的约定及时向乙方支付合同款项。验收不合格的项目，甲方及无锡市审计局依法及时处理。采购合同的履行、违约责任和解决争议的方式等适用《</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中华人民共和国民法典</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》。乙方在履约过程中有政府采购法律法规规定的违法违规情形的,甲方及无锡市审计局将及时报告本级财政部门。</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十一、</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违约责任</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 甲方无正当理由</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拒绝接受乙方提供服务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的，甲方向乙方偿付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拒绝接受服务合同价款</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总值</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10%</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的违约金。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 甲方无故逾期验收和办理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合同款项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支付手续的,甲方应按逾期付款总额</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每日向乙方支付违约金。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 乙方逾期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的，乙方应按逾期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提供服务合同</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总额每日千分之六向甲方支付违约金，由甲方从待付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合同款项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中扣除。逾期超过约定日期10个工作日不能</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的，甲方可解除本合同。乙方因逾期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或因其他违约行为导致甲方解除合同的，乙方应向甲方支付合同</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价款总额</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的违约金，如造成甲方损失超过违约金的，超出部分由乙方继续承担赔偿责任。 </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.4 乙方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所提供服务的标准</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不符合合同规定及招标文件规定标准的，甲方有权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拒绝接受服务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并</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可单方面解除合同。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二</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、不可抗力事件处理</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 在合同有效期内，任何一方因不可抗力事件导致不能履行合同，则合同履行期可延长，其延长期与不可抗力影响</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期相同。</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 不可抗力事件发生后，应立即通知对方，并寄送有关权威机构出具的证明。</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 不可抗力事件延续120天以上，双方应通过友好协商，确定是否继续履行合同。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三</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解决争议的方法</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.1双方在签订、履行合同中所发生的一切争议，应通过友好协商解决。如协商不成，由甲方住所地人民法院管辖。</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四</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、合同生效及其它</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 合同经双方法定代表人或授权委托代</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表</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人签字并加盖单位公章后生效。</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.2本合同未尽事宜，遵照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中华人民共和国民法典》《中华人民共和国政府采购法》等</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有关条文执行。</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 本合同正本一式</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两</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份，具有同等法律效力，甲</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乙方各执一份。</w:t>
      </w:r>
      <w:r/>
    </w:p>
    <w:p>
      <w:pPr>
        <w:ind w:left="480" w:hanging="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甲方：                        乙方： </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  地址：                       </w:t>
      </w:r>
      <w:r>
        <w:rPr>
          <w:rFonts w:hint="eastAsia" w:ascii="宋体" w:hAnsi="宋体" w:eastAsia="宋体" w:cs="Times New Roman"/>
          <w:color w:val="000000" w:themeColor="text1"/>
          <w:sz w:val="24"/>
          <w:szCs w:val="24"/>
          <w:highlight w:val="none"/>
          <w:lang w:val="en-US" w:eastAsia="en-US"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地址： </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法定代表人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或授权代表</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        法定代表人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或授权代表</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240"/>
        <w:jc w:val="both"/>
        <w:spacing w:line="400" w:lineRule="exact"/>
        <w:shd w:val="clear" w:color="auto"/>
        <w:widowControl w:val="off"/>
        <w:rPr>
          <w:rFonts w:ascii="宋体" w:hAnsi="Courier New" w:eastAsia="宋体" w:cs="Times New Roman"/>
          <w:color w:val="000000" w:themeColor="text1"/>
          <w:sz w:val="20"/>
          <w:szCs w:val="21"/>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联系电话：                    联系电话：          </w:t>
      </w:r>
      <w:r/>
    </w:p>
    <w:p>
      <w:pPr>
        <w:ind w:firstLine="480"/>
        <w:spacing w:line="400" w:lineRule="exact"/>
        <w:shd w:val="clear" w:color="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ind w:firstLine="480"/>
        <w:spacing w:line="400" w:lineRule="exact"/>
        <w:shd w:val="clear" w:color="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rFonts w:hint="default"/>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rFonts w:hint="default"/>
          <w:color w:val="000000" w:themeColor="text1"/>
          <w:sz w:val="24"/>
          <w:szCs w:val="24"/>
          <w:highlight w:val="none"/>
          <w14:textFill>
            <w14:solidFill>
              <w14:schemeClr w14:val="tx1"/>
            </w14:solidFill>
          </w14:textFill>
        </w:rPr>
        <w:t xml:space="preserve">日</w:t>
      </w:r>
      <w:r/>
    </w:p>
    <w:p>
      <w:pPr>
        <w:spacing w:line="400" w:lineRule="exact"/>
        <w:shd w:val="clear" w:color="auto"/>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t xml:space="preserve"> </w:t>
      </w:r>
      <w:r/>
    </w:p>
    <w:p>
      <w:pPr>
        <w:spacing w:line="400" w:lineRule="exact"/>
        <w:shd w:val="clear" w:color="auto"/>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p>
      <w:pPr>
        <w:ind w:firstLine="480"/>
        <w:spacing w:line="400" w:lineRule="exact"/>
        <w:shd w:val="clear" w:color="auto"/>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p>
      <w:pPr>
        <w:jc w:val="cente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br w:type="page" w:clear="all"/>
      </w:r>
      <w:bookmarkEnd w:id="31"/>
      <w:r/>
      <w:bookmarkEnd w:id="32"/>
      <w:r/>
      <w:bookmarkEnd w:id="33"/>
      <w:r/>
      <w:bookmarkStart w:id="36" w:name="_Hlt16619369"/>
      <w:r/>
      <w:bookmarkEnd w:id="36"/>
      <w:r>
        <w:rPr>
          <w:rFonts w:hint="eastAsia" w:ascii="黑体" w:eastAsia="黑体"/>
          <w:bCs/>
          <w:color w:val="000000" w:themeColor="text1"/>
          <w:sz w:val="36"/>
          <w:szCs w:val="36"/>
          <w:highlight w:val="none"/>
          <w14:textFill>
            <w14:solidFill>
              <w14:schemeClr w14:val="tx1"/>
            </w14:solidFill>
          </w14:textFill>
        </w:rPr>
        <w:t xml:space="preserve">合同条款</w:t>
      </w:r>
      <w:r/>
    </w:p>
    <w:p>
      <w:pPr>
        <w:ind w:firstLine="480"/>
        <w:jc w:val="center"/>
        <w:spacing w:line="336"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（根据相关法律规定以及</w:t>
      </w:r>
      <w:r>
        <w:rPr>
          <w:rFonts w:hint="eastAsia" w:ascii="宋体" w:hAnsi="宋体"/>
          <w:color w:val="000000" w:themeColor="text1"/>
          <w:sz w:val="24"/>
          <w:szCs w:val="24"/>
          <w:highlight w:val="none"/>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确定事项订立）</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甲方委托乙方承担采购项目名称：</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01采购包/□02采购包/□03采购包）</w:t>
      </w:r>
      <w:r>
        <w:rPr>
          <w:rFonts w:hint="eastAsia" w:ascii="宋体" w:hAnsi="宋体"/>
          <w:bCs/>
          <w:color w:val="000000" w:themeColor="text1"/>
          <w:sz w:val="24"/>
          <w:szCs w:val="24"/>
          <w:highlight w:val="none"/>
          <w:lang w:val="en-US" w:eastAsia="zh-CN"/>
          <w14:textFill>
            <w14:solidFill>
              <w14:schemeClr w14:val="tx1"/>
            </w14:solidFill>
          </w14:textFill>
        </w:rPr>
        <w:t xml:space="preserve">复审</w:t>
      </w:r>
      <w:r>
        <w:rPr>
          <w:rFonts w:hint="eastAsia" w:ascii="宋体" w:hAnsi="宋体"/>
          <w:bCs/>
          <w:color w:val="000000" w:themeColor="text1"/>
          <w:sz w:val="24"/>
          <w:szCs w:val="24"/>
          <w:highlight w:val="none"/>
          <w14:textFill>
            <w14:solidFill>
              <w14:schemeClr w14:val="tx1"/>
            </w14:solidFill>
          </w14:textFill>
        </w:rPr>
        <w:t xml:space="preserve">服务，经双方协商一致签订本协议书。无锡市审计局具体负责</w:t>
      </w:r>
      <w:r>
        <w:rPr>
          <w:rFonts w:hint="eastAsia" w:ascii="宋体" w:hAnsi="宋体"/>
          <w:bCs/>
          <w:color w:val="000000" w:themeColor="text1"/>
          <w:sz w:val="24"/>
          <w:szCs w:val="24"/>
          <w:highlight w:val="none"/>
          <w:lang w:val="en-US" w:eastAsia="zh-CN"/>
          <w14:textFill>
            <w14:solidFill>
              <w14:schemeClr w14:val="tx1"/>
            </w14:solidFill>
          </w14:textFill>
        </w:rPr>
        <w:t xml:space="preserve">复审服务</w:t>
      </w:r>
      <w:r>
        <w:rPr>
          <w:rFonts w:hint="eastAsia" w:ascii="宋体" w:hAnsi="宋体"/>
          <w:bCs/>
          <w:color w:val="000000" w:themeColor="text1"/>
          <w:sz w:val="24"/>
          <w:szCs w:val="24"/>
          <w:highlight w:val="none"/>
          <w14:textFill>
            <w14:solidFill>
              <w14:schemeClr w14:val="tx1"/>
            </w14:solidFill>
          </w14:textFill>
        </w:rPr>
        <w:t xml:space="preserve">工作，并负责对乙方在履约期间的管理、考核及复审费用审核等工作</w:t>
      </w:r>
      <w:r>
        <w:rPr>
          <w:rFonts w:hint="eastAsia" w:ascii="宋体" w:hAnsi="宋体"/>
          <w:bCs/>
          <w:color w:val="000000" w:themeColor="text1"/>
          <w:sz w:val="24"/>
          <w:szCs w:val="24"/>
          <w:highlight w:val="none"/>
          <w:lang w:val="en-US" w:eastAsia="zh-CN"/>
          <w14:textFill>
            <w14:solidFill>
              <w14:schemeClr w14:val="tx1"/>
            </w14:solidFill>
          </w14:textFill>
        </w:rPr>
        <w:t xml:space="preserve">并由江苏无锡经济开发区财政局进行协助管理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5"/>
        <w:spacing w:line="360" w:lineRule="auto"/>
        <w:shd w:val="clear" w:color="auto"/>
        <w:rPr>
          <w:rFonts w:hint="default"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一、项目基本情况：</w:t>
      </w:r>
      <w:r/>
    </w:p>
    <w:p>
      <w:pPr>
        <w:ind w:firstLine="480"/>
        <w:jc w:val="left"/>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本次委托</w:t>
      </w:r>
      <w:r>
        <w:rPr>
          <w:rFonts w:hint="eastAsia" w:ascii="宋体" w:hAnsi="宋体"/>
          <w:bCs/>
          <w:color w:val="000000" w:themeColor="text1"/>
          <w:sz w:val="24"/>
          <w:szCs w:val="24"/>
          <w:highlight w:val="none"/>
          <w:lang w:val="en-US" w:eastAsia="zh-CN"/>
          <w14:textFill>
            <w14:solidFill>
              <w14:schemeClr w14:val="tx1"/>
            </w14:solidFill>
          </w14:textFill>
        </w:rPr>
        <w:t xml:space="preserve">复审</w:t>
      </w:r>
      <w:r>
        <w:rPr>
          <w:rFonts w:hint="eastAsia" w:ascii="宋体" w:hAnsi="宋体"/>
          <w:bCs/>
          <w:color w:val="000000" w:themeColor="text1"/>
          <w:sz w:val="24"/>
          <w:szCs w:val="24"/>
          <w:highlight w:val="none"/>
          <w14:textFill>
            <w14:solidFill>
              <w14:schemeClr w14:val="tx1"/>
            </w14:solidFill>
          </w14:textFill>
        </w:rPr>
        <w:t xml:space="preserve">的项目</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服务费用估算</w:t>
      </w:r>
      <w:r>
        <w:rPr>
          <w:rFonts w:hint="eastAsia" w:ascii="宋体" w:hAnsi="宋体"/>
          <w:color w:val="000000" w:themeColor="text1"/>
          <w:sz w:val="24"/>
          <w:szCs w:val="24"/>
          <w:highlight w:val="none"/>
          <w:u w:val="single"/>
          <w14:textFill>
            <w14:solidFill>
              <w14:schemeClr w14:val="tx1"/>
            </w14:solidFill>
          </w14:textFill>
        </w:rPr>
        <w:t xml:space="preserve">              （最终费用按附件据实计算） </w:t>
      </w:r>
      <w:r>
        <w:rPr>
          <w:rFonts w:hint="eastAsia" w:ascii="宋体" w:hAnsi="宋体"/>
          <w:bCs/>
          <w:color w:val="000000" w:themeColor="text1"/>
          <w:sz w:val="24"/>
          <w:szCs w:val="24"/>
          <w:highlight w:val="none"/>
          <w14:textFill>
            <w14:solidFill>
              <w14:schemeClr w14:val="tx1"/>
            </w14:solidFill>
          </w14:textFill>
        </w:rPr>
        <w:t xml:space="preserve">   </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项目及复审标段基本情况：</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p>
    <w:p>
      <w:pPr>
        <w:ind w:firstLine="525"/>
        <w:spacing w:line="360" w:lineRule="auto"/>
        <w:shd w:val="clear" w:color="auto"/>
        <w:rPr>
          <w:rFonts w:hint="default"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二、委托复审范围及内容</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（一）复审范围：包括对上述建设范围工程实施复审</w:t>
      </w:r>
      <w:r>
        <w:rPr>
          <w:rFonts w:hint="eastAsia" w:ascii="宋体" w:hAnsi="宋体"/>
          <w:bCs/>
          <w:color w:val="000000" w:themeColor="text1"/>
          <w:sz w:val="24"/>
          <w:szCs w:val="24"/>
          <w:highlight w:val="none"/>
          <w:lang w:val="en-US" w:eastAsia="zh-CN"/>
          <w14:textFill>
            <w14:solidFill>
              <w14:schemeClr w14:val="tx1"/>
            </w14:solidFill>
          </w14:textFill>
        </w:rPr>
        <w:t xml:space="preserve">服务</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（二）复审内容：乙方应按照《江苏省工程造价咨询业务指导规程》、甲方及无锡市审计局关于基本建设项目审计的相关要求，实施下列工作内容：</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1、合同履约与风险控制检查。是否严格按照施工合同约定的条款执行;重大费用结算条款是否落实；建设或施工方是否按合同约定提供相关结算佐证材料；核查工期延误责任划分及违约金扣除是否落实。</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2、结算资料完整性核查。检查施工合同、招投标文件、竣工图纸、设计变更单、现场签证单等是否齐全；验证隐蔽工程验收记录、材料进场报验单等支撑性资料是否完整可追溯。</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工程量计算是否准确，是否符合江苏省颁布的计价规范和工程计价表等相关规定；跟踪协审单位是否在报送基础上重新列式计算或建模计算；核减（增）的依据是否充分，审核是否到位；工程内容是否与图纸、设计变更和现场签证相符。</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综合单价合规性审查。核对是否严格按投标单价执行，是否存在拆分清单项、调整工料机含量等变相调价行为；新增单价：检查是否按合同约定下浮，是否参考市场价或第三方询价记录。核查主材（如钢材、水泥）价格是否与施工期信息价或采购合同一致；对暂估价材料，检查认质认价程序是否合规。</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变更签证与费用调整审查。签证变更理由是否充分，是否存在增加造价单纯为施工单位提供施工便利的情形；价格确认是否有充分依据。对争议签证（如土方外运量、拆除工程量），调取施工日志、监理旁站记录及影像资料进行比对。措施费等其他项目费用是否按照当地工程造价管理部门颁发的文件、规定执行，是否根据施工合同约定以及批准的施工方案准确、合理地计取。</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6、针对工程量清单中的漏项、计量错误、描述不清、审批程序不完善、计价手续不全等问题，审计处理是否合理。</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.上述内容完成后，按照甲方及无锡市审计局要求的内容及要求提交审核成果文件（包括电子档案，审核过程中的“问题清单”等）。</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.接受并积极协助甲方及无锡市审计局完成对该项目的考核工作。</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.其他与项目建设有关的复审内容</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甲方及无锡市审计局交办的</w:t>
      </w:r>
      <w:r>
        <w:rPr>
          <w:rFonts w:hint="eastAsia" w:ascii="宋体" w:hAnsi="宋体"/>
          <w:bCs/>
          <w:color w:val="000000" w:themeColor="text1"/>
          <w:sz w:val="24"/>
          <w:szCs w:val="24"/>
          <w:highlight w:val="none"/>
          <w:lang w:eastAsia="zh-CN"/>
          <w14:textFill>
            <w14:solidFill>
              <w14:schemeClr w14:val="tx1"/>
            </w14:solidFill>
          </w14:textFill>
        </w:rPr>
        <w:t xml:space="preserve">其他事项</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5"/>
        <w:spacing w:line="360" w:lineRule="auto"/>
        <w:shd w:val="clear" w:color="auto"/>
        <w:rPr>
          <w:rFonts w:hint="default"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三、复审时限</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乙方必须以现行的国家、省、市关于基本建设方面的</w:t>
      </w:r>
      <w:r>
        <w:rPr>
          <w:rFonts w:hint="eastAsia" w:ascii="宋体" w:hAnsi="宋体"/>
          <w:bCs/>
          <w:color w:val="000000" w:themeColor="text1"/>
          <w:sz w:val="24"/>
          <w:szCs w:val="24"/>
          <w:highlight w:val="none"/>
          <w:lang w:eastAsia="zh-CN"/>
          <w14:textFill>
            <w14:solidFill>
              <w14:schemeClr w14:val="tx1"/>
            </w14:solidFill>
          </w14:textFill>
        </w:rPr>
        <w:t xml:space="preserve">法律法规</w:t>
      </w:r>
      <w:r>
        <w:rPr>
          <w:rFonts w:hint="eastAsia" w:ascii="宋体" w:hAnsi="宋体"/>
          <w:bCs/>
          <w:color w:val="000000" w:themeColor="text1"/>
          <w:sz w:val="24"/>
          <w:szCs w:val="24"/>
          <w:highlight w:val="none"/>
          <w14:textFill>
            <w14:solidFill>
              <w14:schemeClr w14:val="tx1"/>
            </w14:solidFill>
          </w14:textFill>
        </w:rPr>
        <w:t xml:space="preserve">、规章、定额以及合同等文件为依据，在甲方规定的时间内完成复审业务。</w:t>
      </w:r>
      <w:r/>
    </w:p>
    <w:tbl>
      <w:tblPr>
        <w:tblStyle w:val="1066"/>
        <w:tblpPr w:horzAnchor="page" w:tblpX="1053" w:vertAnchor="text" w:tblpY="584" w:leftFromText="180" w:topFromText="0" w:rightFromText="180" w:bottomFromText="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60" w:type="dxa"/>
          <w:top w:w="120" w:type="dxa"/>
          <w:right w:w="60" w:type="dxa"/>
          <w:bottom w:w="120" w:type="dxa"/>
        </w:tblCellMar>
        <w:tblLook w:val="04A0" w:firstRow="1" w:lastRow="0" w:firstColumn="1" w:lastColumn="0" w:noHBand="0" w:noVBand="1"/>
      </w:tblPr>
      <w:tblGrid>
        <w:gridCol w:w="1252"/>
        <w:gridCol w:w="4233"/>
        <w:gridCol w:w="5099"/>
      </w:tblGrid>
      <w:tr>
        <w:trPr>
          <w:trHeight w:val="454" w:hRule="exact"/>
        </w:trPr>
        <w:tc>
          <w:tcPr>
            <w:tcW w:w="591"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序号</w:t>
            </w:r>
            <w:r/>
          </w:p>
        </w:tc>
        <w:tc>
          <w:tcPr>
            <w:tcW w:w="1999"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移交金额</w:t>
            </w:r>
            <w:r/>
          </w:p>
        </w:tc>
        <w:tc>
          <w:tcPr>
            <w:tcW w:w="2408"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出具复审初稿时间</w:t>
            </w:r>
            <w:r/>
          </w:p>
        </w:tc>
      </w:tr>
      <w:tr>
        <w:trPr>
          <w:trHeight w:val="454" w:hRule="exact"/>
        </w:trPr>
        <w:tc>
          <w:tcPr>
            <w:tcW w:w="591"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1999"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500元万内</w:t>
            </w:r>
            <w:r/>
          </w:p>
        </w:tc>
        <w:tc>
          <w:tcPr>
            <w:tcW w:w="2408" w:type="pct"/>
            <w:vAlign w:val="center"/>
            <w:textDirection w:val="lrTb"/>
            <w:noWrap w:val="false"/>
          </w:tcPr>
          <w:p>
            <w:pPr>
              <w:jc w:val="center"/>
              <w:keepLines w:val="0"/>
              <w:keepNext w:val="0"/>
              <w:pageBreakBefore w:val="0"/>
              <w:shd w:val="clear" w:color="auto"/>
              <w:widowControl/>
              <w:rPr>
                <w:rFonts w:hint="default"/>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20个工作日</w:t>
            </w:r>
            <w:r/>
          </w:p>
        </w:tc>
      </w:tr>
      <w:tr>
        <w:trPr>
          <w:trHeight w:val="454" w:hRule="exact"/>
        </w:trPr>
        <w:tc>
          <w:tcPr>
            <w:tcW w:w="591"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2</w:t>
            </w:r>
            <w:r/>
          </w:p>
        </w:tc>
        <w:tc>
          <w:tcPr>
            <w:tcW w:w="1999"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500-2000万元内</w:t>
            </w:r>
            <w:r/>
          </w:p>
        </w:tc>
        <w:tc>
          <w:tcPr>
            <w:tcW w:w="2408"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30个工作日</w:t>
            </w:r>
            <w:r/>
          </w:p>
        </w:tc>
      </w:tr>
      <w:tr>
        <w:trPr>
          <w:trHeight w:val="441"/>
        </w:trPr>
        <w:tc>
          <w:tcPr>
            <w:tcW w:w="591"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1999"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2000万-5000万元内</w:t>
            </w:r>
            <w:r/>
          </w:p>
        </w:tc>
        <w:tc>
          <w:tcPr>
            <w:tcW w:w="2408" w:type="pct"/>
            <w:vAlign w:val="center"/>
            <w:textDirection w:val="lrTb"/>
            <w:noWrap w:val="false"/>
          </w:tcPr>
          <w:p>
            <w:pPr>
              <w:jc w:val="center"/>
              <w:keepLines w:val="0"/>
              <w:keepNext w:val="0"/>
              <w:pageBreakBefore w:val="0"/>
              <w:shd w:val="clear" w:color="auto"/>
              <w:widowControl/>
              <w:rPr>
                <w:rFonts w:hint="eastAsia"/>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45个工作日</w:t>
            </w:r>
            <w:r/>
          </w:p>
        </w:tc>
      </w:tr>
      <w:tr>
        <w:trPr>
          <w:trHeight w:val="342"/>
        </w:trPr>
        <w:tc>
          <w:tcPr>
            <w:tcW w:w="591" w:type="pct"/>
            <w:vAlign w:val="center"/>
            <w:textDirection w:val="lrTb"/>
            <w:noWrap w:val="false"/>
          </w:tcPr>
          <w:p>
            <w:pPr>
              <w:jc w:val="center"/>
              <w:keepLines w:val="0"/>
              <w:keepNext w:val="0"/>
              <w:shd w:val="clear" w:color="auto"/>
              <w:widowControl/>
              <w:rPr>
                <w:rFonts w:hint="default"/>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4</w:t>
            </w:r>
            <w:r/>
          </w:p>
        </w:tc>
        <w:tc>
          <w:tcPr>
            <w:tcW w:w="1999" w:type="pct"/>
            <w:vAlign w:val="center"/>
            <w:textDirection w:val="lrTb"/>
            <w:noWrap w:val="false"/>
          </w:tcPr>
          <w:p>
            <w:pPr>
              <w:jc w:val="center"/>
              <w:keepLines w:val="0"/>
              <w:keepNext w:val="0"/>
              <w:shd w:val="clear" w:color="auto"/>
              <w:widowControl/>
              <w:rPr>
                <w:rFonts w:hint="default"/>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5000万元（含以上）</w:t>
            </w:r>
            <w:r/>
          </w:p>
        </w:tc>
        <w:tc>
          <w:tcPr>
            <w:tcW w:w="2408" w:type="pct"/>
            <w:vAlign w:val="center"/>
            <w:textDirection w:val="lrTb"/>
            <w:noWrap w:val="false"/>
          </w:tcPr>
          <w:p>
            <w:pPr>
              <w:jc w:val="center"/>
              <w:keepLines w:val="0"/>
              <w:keepNext w:val="0"/>
              <w:shd w:val="clear" w:color="auto"/>
              <w:widowControl/>
              <w:rPr>
                <w:rFonts w:hint="default"/>
                <w:b w:val="0"/>
                <w:bCs w:val="0"/>
                <w:i w:val="0"/>
                <w:iCs w:val="0"/>
                <w:color w:val="000000" w:themeColor="text1"/>
                <w:szCs w:val="21"/>
                <w:highlight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60个工作日</w:t>
            </w:r>
            <w:r/>
          </w:p>
        </w:tc>
      </w:tr>
    </w:tbl>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1.复审时间从接收资料第2天开始至出具复审初稿为止,具体要求如下：</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注：上述为完成上限时间要求，具体以任务单时间为准。</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bCs/>
          <w:color w:val="000000" w:themeColor="text1"/>
          <w:sz w:val="24"/>
          <w:szCs w:val="24"/>
          <w:highlight w:val="none"/>
          <w14:textFill>
            <w14:solidFill>
              <w14:schemeClr w14:val="tx1"/>
            </w14:solidFill>
          </w14:textFill>
        </w:rPr>
        <w:t xml:space="preserve">在接到项目移交通知后，按约定的时间、地点办理资料交接手续，并现场检查资料的完整性。若交接资料中存在遗漏或不完整的，须及时报告。在工作过程中不得私自接收补充资料。</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bCs/>
          <w:color w:val="000000" w:themeColor="text1"/>
          <w:sz w:val="24"/>
          <w:szCs w:val="24"/>
          <w:highlight w:val="none"/>
          <w14:textFill>
            <w14:solidFill>
              <w14:schemeClr w14:val="tx1"/>
            </w14:solidFill>
          </w14:textFill>
        </w:rPr>
        <w:t xml:space="preserve">应严格按照行业规范开展复审工作，实施资料查看、现场踏勘（两人及以上）、量价费复核、与相关单位核对、提交阶段性成果文件等必要的工作程序。</w:t>
      </w:r>
      <w:r/>
    </w:p>
    <w:p>
      <w:pPr>
        <w:ind w:firstLine="525"/>
        <w:spacing w:line="360" w:lineRule="auto"/>
        <w:shd w:val="clear" w:color="auto"/>
        <w:rPr>
          <w:rFonts w:hint="default"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四、审计费用与考核得分关系</w:t>
      </w:r>
      <w:r/>
    </w:p>
    <w:tbl>
      <w:tblPr>
        <w:tblStyle w:val="1066"/>
        <w:tblW w:w="4809" w:type="pct"/>
        <w:tblInd w:w="0" w:type="dxa"/>
        <w:tblLayout w:type="autofit"/>
        <w:tblCellMar>
          <w:left w:w="108" w:type="dxa"/>
          <w:top w:w="0" w:type="dxa"/>
          <w:right w:w="108" w:type="dxa"/>
          <w:bottom w:w="0" w:type="dxa"/>
        </w:tblCellMar>
        <w:tblLook w:val="04A0" w:firstRow="1" w:lastRow="0" w:firstColumn="1" w:lastColumn="0" w:noHBand="0" w:noVBand="1"/>
      </w:tblPr>
      <w:tblGrid>
        <w:gridCol w:w="790"/>
        <w:gridCol w:w="687"/>
        <w:gridCol w:w="2026"/>
        <w:gridCol w:w="1368"/>
        <w:gridCol w:w="670"/>
        <w:gridCol w:w="789"/>
        <w:gridCol w:w="756"/>
        <w:gridCol w:w="760"/>
        <w:gridCol w:w="756"/>
        <w:gridCol w:w="647"/>
        <w:gridCol w:w="1025"/>
      </w:tblGrid>
      <w:tr>
        <w:trPr>
          <w:cantSplit/>
          <w:trHeight w:val="330"/>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工程造价审计服务费用费率表</w:t>
            </w:r>
            <w:r/>
          </w:p>
        </w:tc>
      </w:tr>
      <w:tr>
        <w:trPr>
          <w:cantSplit/>
          <w:trHeight w:val="330"/>
        </w:trPr>
        <w:tc>
          <w:tcPr>
            <w:gridSpan w:val="3"/>
            <w:tcBorders>
              <w:top w:val="single" w:color="000000" w:sz="4" w:space="0"/>
              <w:left w:val="single" w:color="000000" w:sz="4" w:space="0"/>
              <w:bottom w:val="single" w:color="000000" w:sz="4" w:space="0"/>
              <w:right w:val="single" w:color="000000" w:sz="4" w:space="0"/>
            </w:tcBorders>
            <w:tcW w:w="1706"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项目类型</w:t>
            </w:r>
            <w:r/>
          </w:p>
        </w:tc>
        <w:tc>
          <w:tcPr>
            <w:tcBorders>
              <w:top w:val="single" w:color="000000" w:sz="4" w:space="0"/>
              <w:left w:val="single" w:color="000000" w:sz="4" w:space="0"/>
              <w:bottom w:val="single" w:color="000000" w:sz="4" w:space="0"/>
              <w:right w:val="single" w:color="000000" w:sz="4" w:space="0"/>
            </w:tcBorders>
            <w:tcW w:w="666"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计费基数</w:t>
            </w:r>
            <w:r/>
          </w:p>
        </w:tc>
        <w:tc>
          <w:tcPr>
            <w:gridSpan w:val="6"/>
            <w:tcBorders>
              <w:top w:val="single" w:color="000000" w:sz="4" w:space="0"/>
              <w:bottom w:val="single" w:color="000000" w:sz="4" w:space="0"/>
              <w:right w:val="single" w:color="000000" w:sz="4" w:space="0"/>
            </w:tcBorders>
            <w:tcW w:w="2129"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工程造价（采用差额定率分档累进方式）</w:t>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备注</w:t>
            </w:r>
            <w:r/>
          </w:p>
        </w:tc>
      </w:tr>
      <w:tr>
        <w:trPr>
          <w:cantSplit/>
          <w:trHeight w:val="1034"/>
        </w:trPr>
        <w:tc>
          <w:tcPr>
            <w:gridSpan w:val="3"/>
            <w:tcBorders>
              <w:top w:val="single" w:color="000000" w:sz="4" w:space="0"/>
              <w:left w:val="single" w:color="000000" w:sz="4" w:space="0"/>
              <w:bottom w:val="single" w:color="000000" w:sz="4" w:space="0"/>
              <w:right w:val="single" w:color="000000" w:sz="4" w:space="0"/>
            </w:tcBorders>
            <w:tcW w:w="1706"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bottom w:val="single" w:color="000000" w:sz="4" w:space="0"/>
              <w:right w:val="single" w:color="000000" w:sz="4" w:space="0"/>
            </w:tcBorders>
            <w:tcW w:w="32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100万元以内(含）</w:t>
            </w:r>
            <w:r/>
          </w:p>
        </w:tc>
        <w:tc>
          <w:tcPr>
            <w:tcBorders>
              <w:bottom w:val="single" w:color="000000" w:sz="4" w:space="0"/>
              <w:right w:val="single" w:color="000000" w:sz="4" w:space="0"/>
            </w:tcBorders>
            <w:tcW w:w="384"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101万元-500万元（含）</w:t>
            </w:r>
            <w:r/>
          </w:p>
        </w:tc>
        <w:tc>
          <w:tcPr>
            <w:tcBorders>
              <w:bottom w:val="single" w:color="000000" w:sz="4" w:space="0"/>
              <w:right w:val="single" w:color="000000" w:sz="4" w:space="0"/>
            </w:tcBorders>
            <w:tcW w:w="367"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501万元-1000万元（含）</w:t>
            </w:r>
            <w:r/>
          </w:p>
        </w:tc>
        <w:tc>
          <w:tcPr>
            <w:tcBorders>
              <w:bottom w:val="single" w:color="000000" w:sz="4" w:space="0"/>
              <w:right w:val="single" w:color="000000" w:sz="4" w:space="0"/>
            </w:tcBorders>
            <w:tcW w:w="370"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1001万元-5000万元（含）</w:t>
            </w:r>
            <w:r/>
          </w:p>
        </w:tc>
        <w:tc>
          <w:tcPr>
            <w:tcBorders>
              <w:bottom w:val="single" w:color="000000" w:sz="4" w:space="0"/>
              <w:right w:val="single" w:color="000000" w:sz="4" w:space="0"/>
            </w:tcBorders>
            <w:tcW w:w="367"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5001万元-1亿元（含）</w:t>
            </w:r>
            <w:r/>
          </w:p>
        </w:tc>
        <w:tc>
          <w:tcPr>
            <w:tcBorders>
              <w:bottom w:val="single" w:color="000000" w:sz="4" w:space="0"/>
              <w:right w:val="single" w:color="000000" w:sz="4" w:space="0"/>
            </w:tcBorders>
            <w:tcW w:w="311"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1亿元以上</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cantSplit/>
          <w:trHeight w:val="350"/>
        </w:trPr>
        <w:tc>
          <w:tcPr>
            <w:tcBorders>
              <w:left w:val="single" w:color="000000" w:sz="4" w:space="0"/>
              <w:right w:val="single" w:color="000000" w:sz="4" w:space="0"/>
            </w:tcBorders>
            <w:tcW w:w="385"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val="en-US" w:eastAsia="zh-CN"/>
                <w14:textFill>
                  <w14:solidFill>
                    <w14:schemeClr w14:val="tx1"/>
                  </w14:solidFill>
                </w14:textFill>
              </w:rPr>
              <w:t xml:space="preserve">复审</w:t>
            </w:r>
            <w:r/>
          </w:p>
          <w:p>
            <w:pPr>
              <w:jc w:val="center"/>
              <w:shd w:val="clear" w:color="auto"/>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val="en-US" w:eastAsia="zh-CN"/>
                <w14:textFill>
                  <w14:solidFill>
                    <w14:schemeClr w14:val="tx1"/>
                  </w14:solidFill>
                </w14:textFill>
              </w:rPr>
              <w:t xml:space="preserve">项目</w:t>
            </w:r>
            <w:r/>
          </w:p>
        </w:tc>
        <w:tc>
          <w:tcPr>
            <w:tcBorders>
              <w:left w:val="single" w:color="000000" w:sz="4" w:space="0"/>
              <w:bottom w:val="single" w:color="000000" w:sz="4" w:space="0"/>
              <w:right w:val="single" w:color="000000" w:sz="4" w:space="0"/>
            </w:tcBorders>
            <w:tcW w:w="335"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基本费用</w:t>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房屋建筑类</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送审工程造价</w:t>
            </w:r>
            <w:r/>
          </w:p>
        </w:tc>
        <w:tc>
          <w:tcPr>
            <w:tcBorders>
              <w:bottom w:val="single" w:color="000000" w:sz="4" w:space="0"/>
              <w:right w:val="single" w:color="000000" w:sz="4" w:space="0"/>
            </w:tcBorders>
            <w:tcW w:w="326"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1.44</w:t>
            </w:r>
            <w:r/>
          </w:p>
        </w:tc>
        <w:tc>
          <w:tcPr>
            <w:tcBorders>
              <w:bottom w:val="single" w:color="000000" w:sz="4" w:space="0"/>
              <w:right w:val="single" w:color="000000" w:sz="4" w:space="0"/>
            </w:tcBorders>
            <w:tcW w:w="384"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1.2</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1.08</w:t>
            </w:r>
            <w:r/>
          </w:p>
        </w:tc>
        <w:tc>
          <w:tcPr>
            <w:tcBorders>
              <w:bottom w:val="single" w:color="000000" w:sz="4" w:space="0"/>
              <w:right w:val="single" w:color="000000" w:sz="4" w:space="0"/>
            </w:tcBorders>
            <w:tcW w:w="370"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0.96</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0.84</w:t>
            </w:r>
            <w:r/>
          </w:p>
        </w:tc>
        <w:tc>
          <w:tcPr>
            <w:tcBorders>
              <w:bottom w:val="single" w:color="000000" w:sz="4" w:space="0"/>
              <w:right w:val="single" w:color="000000" w:sz="4" w:space="0"/>
            </w:tcBorders>
            <w:tcW w:w="311"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0.72</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费率：‰</w:t>
            </w:r>
            <w:r/>
          </w:p>
        </w:tc>
      </w:tr>
      <w:tr>
        <w:trPr>
          <w:cantSplit/>
          <w:trHeight w:val="500"/>
        </w:trPr>
        <w:tc>
          <w:tcPr>
            <w:tcBorders>
              <w:left w:val="single" w:color="000000" w:sz="4" w:space="0"/>
              <w:right w:val="single" w:color="000000" w:sz="4" w:space="0"/>
            </w:tcBorders>
            <w:tcW w:w="38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33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市政道桥，交通水利，景观绿化环境等</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送审工程造价</w:t>
            </w:r>
            <w:r/>
          </w:p>
        </w:tc>
        <w:tc>
          <w:tcPr>
            <w:tcBorders>
              <w:bottom w:val="single" w:color="000000" w:sz="4" w:space="0"/>
              <w:right w:val="single" w:color="000000" w:sz="4" w:space="0"/>
            </w:tcBorders>
            <w:tcW w:w="326"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1.32</w:t>
            </w:r>
            <w:r/>
          </w:p>
        </w:tc>
        <w:tc>
          <w:tcPr>
            <w:tcBorders>
              <w:bottom w:val="single" w:color="000000" w:sz="4" w:space="0"/>
              <w:right w:val="single" w:color="000000" w:sz="4" w:space="0"/>
            </w:tcBorders>
            <w:tcW w:w="384"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1.1</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0.99</w:t>
            </w:r>
            <w:r/>
          </w:p>
        </w:tc>
        <w:tc>
          <w:tcPr>
            <w:tcBorders>
              <w:bottom w:val="single" w:color="000000" w:sz="4" w:space="0"/>
              <w:right w:val="single" w:color="000000" w:sz="4" w:space="0"/>
            </w:tcBorders>
            <w:tcW w:w="370"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0.88</w:t>
            </w:r>
            <w:r/>
          </w:p>
        </w:tc>
        <w:tc>
          <w:tcPr>
            <w:tcBorders>
              <w:bottom w:val="single" w:color="000000" w:sz="4" w:space="0"/>
              <w:right w:val="single" w:color="000000" w:sz="4" w:space="0"/>
            </w:tcBorders>
            <w:tcW w:w="367"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0.77</w:t>
            </w:r>
            <w:r/>
          </w:p>
        </w:tc>
        <w:tc>
          <w:tcPr>
            <w:tcBorders>
              <w:bottom w:val="single" w:color="000000" w:sz="4" w:space="0"/>
              <w:right w:val="single" w:color="000000" w:sz="4" w:space="0"/>
            </w:tcBorders>
            <w:tcW w:w="311" w:type="pct"/>
            <w:vAlign w:val="center"/>
            <w:textDirection w:val="lrTb"/>
            <w:noWrap/>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0.66</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费率：‰</w:t>
            </w:r>
            <w:r/>
          </w:p>
        </w:tc>
      </w:tr>
      <w:tr>
        <w:trPr>
          <w:cantSplit/>
          <w:trHeight w:val="479"/>
        </w:trPr>
        <w:tc>
          <w:tcPr>
            <w:tcBorders>
              <w:left w:val="single" w:color="000000" w:sz="4" w:space="0"/>
              <w:right w:val="single" w:color="000000" w:sz="4" w:space="0"/>
            </w:tcBorders>
            <w:tcW w:w="38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335" w:type="pct"/>
            <w:vAlign w:val="center"/>
            <w:vMerge w:val="restart"/>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追加费用</w:t>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房屋建筑类</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核减额</w:t>
            </w:r>
            <w:r/>
          </w:p>
        </w:tc>
        <w:tc>
          <w:tcPr>
            <w:gridSpan w:val="6"/>
            <w:tcBorders>
              <w:top w:val="single" w:color="000000" w:sz="4" w:space="0"/>
              <w:bottom w:val="single" w:color="000000" w:sz="4" w:space="0"/>
              <w:right w:val="single" w:color="000000" w:sz="4" w:space="0"/>
            </w:tcBorders>
            <w:tcW w:w="2129"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w:t>
            </w:r>
            <w:r/>
          </w:p>
        </w:tc>
      </w:tr>
      <w:tr>
        <w:trPr>
          <w:cantSplit/>
          <w:trHeight w:val="500"/>
        </w:trPr>
        <w:tc>
          <w:tcPr>
            <w:tcBorders>
              <w:left w:val="single" w:color="000000" w:sz="4" w:space="0"/>
              <w:bottom w:val="single" w:color="000000" w:sz="4" w:space="0"/>
              <w:right w:val="single" w:color="000000" w:sz="4" w:space="0"/>
            </w:tcBorders>
            <w:tcW w:w="38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335" w:type="pct"/>
            <w:vAlign w:val="center"/>
            <w:vMerge w:val="continue"/>
            <w:textDirection w:val="lrTb"/>
            <w:noWrap w:val="false"/>
          </w:tcPr>
          <w:p>
            <w:pPr>
              <w:jc w:val="left"/>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bottom w:val="single" w:color="000000" w:sz="4" w:space="0"/>
              <w:right w:val="single" w:color="000000" w:sz="4" w:space="0"/>
            </w:tcBorders>
            <w:tcW w:w="985" w:type="pct"/>
            <w:vAlign w:val="center"/>
            <w:textDirection w:val="lrTb"/>
            <w:noWrap w:val="false"/>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市政道桥，交通水利，景观绿化环境等</w:t>
            </w:r>
            <w:r/>
          </w:p>
        </w:tc>
        <w:tc>
          <w:tcPr>
            <w:tcBorders>
              <w:bottom w:val="single" w:color="000000" w:sz="4" w:space="0"/>
              <w:right w:val="single" w:color="000000" w:sz="4" w:space="0"/>
            </w:tcBorders>
            <w:tcW w:w="666"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核减额</w:t>
            </w:r>
            <w:r/>
          </w:p>
        </w:tc>
        <w:tc>
          <w:tcPr>
            <w:gridSpan w:val="6"/>
            <w:tcBorders>
              <w:top w:val="single" w:color="000000" w:sz="4" w:space="0"/>
              <w:bottom w:val="single" w:color="000000" w:sz="4" w:space="0"/>
              <w:right w:val="single" w:color="000000" w:sz="4" w:space="0"/>
            </w:tcBorders>
            <w:tcW w:w="2129" w:type="pct"/>
            <w:vAlign w:val="center"/>
            <w:textDirection w:val="lrTb"/>
            <w:noWrap w:val="false"/>
          </w:tcPr>
          <w:p>
            <w:pPr>
              <w:jc w:val="center"/>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4.50%</w:t>
            </w:r>
            <w:r/>
          </w:p>
        </w:tc>
        <w:tc>
          <w:tcPr>
            <w:tcBorders>
              <w:bottom w:val="single" w:color="000000" w:sz="4" w:space="0"/>
              <w:right w:val="single" w:color="000000" w:sz="4" w:space="0"/>
            </w:tcBorders>
            <w:tcW w:w="498" w:type="pct"/>
            <w:vAlign w:val="center"/>
            <w:textDirection w:val="lrTb"/>
            <w:noWrap/>
          </w:tcPr>
          <w:p>
            <w:pPr>
              <w:jc w:val="left"/>
              <w:shd w:val="clear" w:color="auto"/>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w:t>
            </w:r>
            <w:r/>
          </w:p>
        </w:tc>
      </w:tr>
    </w:tbl>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最终审计费=（基本费+追加费）*考核系数</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①得分≥95分时，考核系数=1；</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②80分≤得分＜95分时，考核系数=[0.005*（得分-80)+0.9],考核系数在0.9—0.975内；</w:t>
      </w:r>
      <w:r/>
    </w:p>
    <w:p>
      <w:pPr>
        <w:ind w:firstLine="525"/>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③60分≤得分＜80分时，考核系数=[0.015*（得分-60)+0.6]，考核系数在0.6—0.9内；</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④得分＜60分时，考核系数=0.5，同时给予警告1次，并建议协审单位对项目负责人予以处理。</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五、甲方权利义务</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（一）甲方及无锡市审计局提供复审范围内所需的有关资料。</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（二）履行协议期间，甲方及无锡市审计局应授权一名审计专业人员同乙方保持联系，协调处理有关事宜。</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（三）甲方及无锡市审计局对乙方复审实施的进度、质量情况以及复审人员的配备、廉洁自律情况进行监督检查及考核，并提出整改要求。</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六、乙方权利义务</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（一）乙方应按照本协议第二条约定的范围及内容、在甲方及无锡市审计局要求的时限内完成复审工作，严格落实质量控制责任，遵守相关法律法规，保证提供的工程造价审核结果的真实性、完整性、合规性。</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（二）在本协议履行期间，乙方应依法承担因乙方的单方过错造成的所有责任及损失。</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（三）乙方对本协议第二条约定内容不能及时完成，导致影响甲方及无锡市审计局正常完成审计工作的，乙方应承担相应责任。</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（四）乙方在接受相关审核资料后，若发现有资料不全的情况，须在3天内向资料提供方书面提出，并将书面材料向甲方及无锡市审计局备案。逾期不予提出，则视同对资料齐全无异议。</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strike w:val="0"/>
          <w:color w:val="000000" w:themeColor="text1"/>
          <w:sz w:val="24"/>
          <w:szCs w:val="24"/>
          <w:highlight w:val="none"/>
          <w14:textFill>
            <w14:solidFill>
              <w14:schemeClr w14:val="tx1"/>
            </w14:solidFill>
          </w14:textFill>
        </w:rPr>
        <w:t xml:space="preserve">（五）</w:t>
      </w:r>
      <w:r>
        <w:rPr>
          <w:rFonts w:hint="eastAsia" w:ascii="宋体" w:hAnsi="宋体"/>
          <w:bCs/>
          <w:color w:val="000000" w:themeColor="text1"/>
          <w:sz w:val="24"/>
          <w:szCs w:val="24"/>
          <w:highlight w:val="none"/>
          <w14:textFill>
            <w14:solidFill>
              <w14:schemeClr w14:val="tx1"/>
            </w14:solidFill>
          </w14:textFill>
        </w:rPr>
        <w:t xml:space="preserve">复审期间，乙方应指定专人对项目总负责，并将相关事宜及时向甲方及无锡市审计局汇报和沟通，项目负责人在未得到甲方及无锡市审计局同意的情况下不得随意变更。</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bCs/>
          <w:color w:val="000000" w:themeColor="text1"/>
          <w:sz w:val="24"/>
          <w:szCs w:val="24"/>
          <w:highlight w:val="none"/>
          <w14:textFill>
            <w14:solidFill>
              <w14:schemeClr w14:val="tx1"/>
            </w14:solidFill>
          </w14:textFill>
        </w:rPr>
        <w:t xml:space="preserve">）乙方在复审完毕后，应向甲方及无锡市审计局提供完整、准确的工程造价成果（含电子文档），并及时整理归档完整、准确的档案资料，以便查证。</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七、复审质量和廉政要求</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应遵循独立、客观、公正、诚实信用的原则，按照本协议第二条规定的复审范围和复审内容开展复审工作。应严格遵循无锡市建设工程造价管理办法（无锡市人民政府令第144号）、江苏省工程造价咨询业务指导规程以及甲方关于建设项目审计的相关要求，切实履行造价咨询的质量责任。</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应分别就复审质量和廉政建设向甲方作出承诺，并分别出具《政府投资项目协审质量承诺书》（附件1）、《政府投资项目协审廉政承诺书》（附件2），此两份承诺书作为本协议书的组成部分，具有同等法律效力。</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八、保密要求</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乙方未经甲方许可，不得将审核资料及相关审核成果（含审核报告、电子文件等）提供给第三方。</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乙方不得泄露审计知悉的国家秘密和被审计单位的有关技术或商业秘密，不得利用知晓的被审计单位的技术、商业秘密和内部信息，采取任何形式，为自己或他人谋利。</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九、争议和诉讼</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本协议在执行过程中如发生争议时，双方应及时协商解决，如未能达成一致，向甲方所在地人民法院提起诉讼。</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十、合同的解除</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（一）甲方和乙方协商一致，可以解除合同。</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（二）因建设单位原因或不可抗力，工程项目不予实施，双方可解除合同，互不追责。</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十一、本协议共陆份，甲乙双方各执叁份。本协议供需双方代表需签字并盖章后生效。</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附件：1.政府投资项目协审质量承诺书</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2.政府投资项目协审廉政承诺书</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3.复审项目考核评分表</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.项目负责人及主要参与人员汇总表</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.项目负责人授权委托书</w:t>
      </w:r>
      <w:r>
        <w:rPr>
          <w:rFonts w:hint="eastAsia" w:ascii="宋体" w:hAnsi="宋体"/>
          <w:bCs/>
          <w:color w:val="000000" w:themeColor="text1"/>
          <w:sz w:val="24"/>
          <w:szCs w:val="24"/>
          <w:highlight w:val="none"/>
          <w14:textFill>
            <w14:solidFill>
              <w14:schemeClr w14:val="tx1"/>
            </w14:solidFill>
          </w14:textFill>
        </w:rPr>
        <w:tab/>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委托方（采购人）：（盖章）               受托方（中标方）：（盖章）</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法定（授权）代表人：                   法定（授权）代表人：                   </w:t>
      </w:r>
      <w:r/>
    </w:p>
    <w:p>
      <w:pPr>
        <w:ind w:firstLine="525"/>
        <w:spacing w:line="360" w:lineRule="auto"/>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                        年     月     日</w:t>
      </w:r>
      <w:r/>
    </w:p>
    <w:p>
      <w:pPr>
        <w:shd w:val="clear" w:color="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p>
    <w:p>
      <w:pPr>
        <w:jc w:val="left"/>
        <w:shd w:val="clear" w:color="auto"/>
        <w:widowControl/>
        <w:rPr>
          <w:rFonts w:hint="default"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附件1：</w:t>
      </w:r>
      <w:r/>
    </w:p>
    <w:p>
      <w:pPr>
        <w:jc w:val="cente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政府投资项目协审质量承诺书</w:t>
      </w:r>
      <w:r/>
    </w:p>
    <w:p>
      <w:pPr>
        <w:spacing w:line="360" w:lineRule="auto"/>
        <w:shd w:val="clear" w:color="auto"/>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江苏无锡经济开发区财政局</w:t>
      </w:r>
      <w:r>
        <w:rPr>
          <w:rFonts w:hint="eastAsia" w:ascii="宋体" w:hAnsi="宋体"/>
          <w:color w:val="000000" w:themeColor="text1"/>
          <w:sz w:val="24"/>
          <w:szCs w:val="21"/>
          <w:highlight w:val="none"/>
          <w:lang w:eastAsia="zh-CN"/>
          <w14:textFill>
            <w14:solidFill>
              <w14:schemeClr w14:val="tx1"/>
            </w14:solidFill>
          </w14:textFill>
        </w:rPr>
        <w:t xml:space="preserve">：</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我单位受贵局的委托，参与的协审业务。在实施审计协审过程中，我单位承诺服从贵局的工作安排及监督指导，严格按照《考核办法》的要求开展协审工作，自觉接受你局对协审质量所进行的考核，并接受相关条款的约束。现郑重作出如下具体的质量承诺：</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严格按照现行的国家、省、市关于基本建设方面的法律、法规、规章、定额及合同等文件为依据，根据贵局的委托要求及协审实施方案开展协审工作，在规定的时间内完成各项协审工作，并承诺在接到该项目工程结算</w:t>
      </w:r>
      <w:r>
        <w:rPr>
          <w:rFonts w:hint="eastAsia" w:ascii="宋体" w:hAnsi="宋体"/>
          <w:color w:val="000000" w:themeColor="text1"/>
          <w:sz w:val="24"/>
          <w:szCs w:val="21"/>
          <w:highlight w:val="none"/>
          <w:lang w:val="en-US" w:eastAsia="zh-CN"/>
          <w14:textFill>
            <w14:solidFill>
              <w14:schemeClr w14:val="tx1"/>
            </w14:solidFill>
          </w14:textFill>
        </w:rPr>
        <w:t xml:space="preserve">审计</w:t>
      </w:r>
      <w:r>
        <w:rPr>
          <w:rFonts w:hint="eastAsia" w:ascii="宋体" w:hAnsi="宋体"/>
          <w:color w:val="000000" w:themeColor="text1"/>
          <w:sz w:val="24"/>
          <w:szCs w:val="21"/>
          <w:highlight w:val="none"/>
          <w14:textFill>
            <w14:solidFill>
              <w14:schemeClr w14:val="tx1"/>
            </w14:solidFill>
          </w14:textFill>
        </w:rPr>
        <w:t xml:space="preserve">完整资料后的规定时间内出具工程结算</w:t>
      </w:r>
      <w:r>
        <w:rPr>
          <w:rFonts w:hint="eastAsia" w:ascii="宋体" w:hAnsi="宋体"/>
          <w:color w:val="000000" w:themeColor="text1"/>
          <w:sz w:val="24"/>
          <w:szCs w:val="21"/>
          <w:highlight w:val="none"/>
          <w:lang w:val="en-US" w:eastAsia="zh-CN"/>
          <w14:textFill>
            <w14:solidFill>
              <w14:schemeClr w14:val="tx1"/>
            </w14:solidFill>
          </w14:textFill>
        </w:rPr>
        <w:t xml:space="preserve">复审意见单</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二、因存在严重协审质量问题给贵局、建设单位或第三者造成经济损失的，本单位愿承担赔偿责任。必要时可取消本单位的协审资格。</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三、协审期间,本单位还承诺将做到如下要求:</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（一）坚持客观公正、实事求是、依法审计的原则。</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（二）遵守职业道德，做到诚实守信、尽职尽责。</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（三）协审中不隐瞒、不曲解查出的事实，不提供内容虚假的审计报告。</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（四）协审工作不敷衍推诿、不粗心大意。</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（五）不徇私舞弊、不偏袒任何一方。</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（六）与被审计单位或审计事项有直接利害关系的应主动提出，并加以回避。</w:t>
      </w:r>
      <w:r/>
    </w:p>
    <w:p>
      <w:pPr>
        <w:ind w:firstLine="480"/>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四、本承诺书作为《协审协议书》的组成部分，具有同等法律效力。</w:t>
      </w:r>
      <w:r/>
    </w:p>
    <w:p>
      <w:pPr>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default" w:ascii="宋体" w:hAnsi="宋体"/>
          <w:color w:val="000000" w:themeColor="text1"/>
          <w:sz w:val="24"/>
          <w:szCs w:val="21"/>
          <w:highlight w:val="none"/>
          <w14:textFill>
            <w14:solidFill>
              <w14:schemeClr w14:val="tx1"/>
            </w14:solidFill>
          </w14:textFill>
        </w:rPr>
      </w:r>
      <w:r/>
    </w:p>
    <w:p>
      <w:pPr>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            协审项目负责人（签字）：</w:t>
      </w:r>
      <w:r/>
    </w:p>
    <w:p>
      <w:pPr>
        <w:spacing w:line="360" w:lineRule="auto"/>
        <w:shd w:val="clear" w:color="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（单位签章）     </w:t>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hd w:val="clear" w:color="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p>
    <w:p>
      <w:pP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附件2：</w:t>
      </w:r>
      <w:r/>
    </w:p>
    <w:p>
      <w:pPr>
        <w:jc w:val="center"/>
        <w:spacing w:line="360" w:lineRule="auto"/>
        <w:shd w:val="clear" w:color="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政府投资项目协审廉政承诺书</w:t>
      </w:r>
      <w:r/>
    </w:p>
    <w:p>
      <w:pPr>
        <w:spacing w:line="360" w:lineRule="auto"/>
        <w:shd w:val="clear" w:color="auto"/>
        <w:rPr>
          <w:rFonts w:hint="eastAsia"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江苏无锡经济开发区财政局</w:t>
      </w:r>
      <w:r>
        <w:rPr>
          <w:rFonts w:hint="eastAsia" w:ascii="宋体" w:hAnsi="宋体"/>
          <w:color w:val="000000" w:themeColor="text1"/>
          <w:sz w:val="22"/>
          <w:szCs w:val="20"/>
          <w:highlight w:val="none"/>
          <w:lang w:eastAsia="zh-CN"/>
          <w14:textFill>
            <w14:solidFill>
              <w14:schemeClr w14:val="tx1"/>
            </w14:solidFill>
          </w14:textFill>
        </w:rPr>
        <w:t xml:space="preserve">：</w:t>
      </w:r>
      <w:r/>
    </w:p>
    <w:p>
      <w:pPr>
        <w:ind w:firstLine="440"/>
        <w:keepLines w:val="0"/>
        <w:keepNext w:val="0"/>
        <w:pageBreakBefore w:val="0"/>
        <w:spacing w:line="360" w:lineRule="auto"/>
        <w:shd w:val="clear" w:color="auto"/>
        <w:widowControl w:val="off"/>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我单位受贵局的委托，参与的协审业务。现郑重作出如下协审廉政承诺：</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一、本协审项目廉政建设的第一责任人为 </w:t>
      </w:r>
      <w:r>
        <w:rPr>
          <w:rFonts w:hint="eastAsia" w:ascii="宋体" w:hAnsi="宋体"/>
          <w:color w:val="000000" w:themeColor="text1"/>
          <w:sz w:val="22"/>
          <w:szCs w:val="20"/>
          <w:highlight w:val="none"/>
          <w:u w:val="single"/>
          <w14:textFill>
            <w14:solidFill>
              <w14:schemeClr w14:val="tx1"/>
            </w14:solidFill>
          </w14:textFill>
        </w:rPr>
        <w:t xml:space="preserve">            </w:t>
      </w:r>
      <w:r>
        <w:rPr>
          <w:rFonts w:hint="eastAsia" w:ascii="宋体" w:hAnsi="宋体"/>
          <w:color w:val="000000" w:themeColor="text1"/>
          <w:sz w:val="22"/>
          <w:szCs w:val="20"/>
          <w:highlight w:val="none"/>
          <w14:textFill>
            <w14:solidFill>
              <w14:schemeClr w14:val="tx1"/>
            </w14:solidFill>
          </w14:textFill>
        </w:rPr>
        <w:t xml:space="preserve">同志（法定代表人），对协审廉政事项负总责，其主要职责是：选配政治思想好、专业技术精、廉政意识强的协审人员参加协审工作；对协审人员加强教育，注重防范，确保廉政规定的贯彻落实；做好协审人员执行廉政规定情况的督促和检查；根据有关规定处理协审人员执行廉政规定上的具体事宜。</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二、本协审项目的廉政建设的直接责任人为 </w:t>
      </w:r>
      <w:r>
        <w:rPr>
          <w:rFonts w:hint="eastAsia" w:ascii="宋体" w:hAnsi="宋体"/>
          <w:color w:val="000000" w:themeColor="text1"/>
          <w:sz w:val="22"/>
          <w:szCs w:val="20"/>
          <w:highlight w:val="none"/>
          <w:u w:val="single"/>
          <w14:textFill>
            <w14:solidFill>
              <w14:schemeClr w14:val="tx1"/>
            </w14:solidFill>
          </w14:textFill>
        </w:rPr>
        <w:t xml:space="preserve">            </w:t>
      </w:r>
      <w:r>
        <w:rPr>
          <w:rFonts w:hint="eastAsia" w:ascii="宋体" w:hAnsi="宋体"/>
          <w:color w:val="000000" w:themeColor="text1"/>
          <w:sz w:val="22"/>
          <w:szCs w:val="20"/>
          <w:highlight w:val="none"/>
          <w14:textFill>
            <w14:solidFill>
              <w14:schemeClr w14:val="tx1"/>
            </w14:solidFill>
          </w14:textFill>
        </w:rPr>
        <w:t xml:space="preserve">同志（协审项目负责人），对协审廉政事项负直接责任，其主要职责是：审计进点前，组织召开协审人员廉政教育会，增强协审人员的廉政意识；对协审中违反廉政规定和审计纪律的问题，应及时加以制止，并向贵局报告；项目结束后，总结协审人员执行廉政规定情况，并如实向贵局书面报告。</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三、按有关规定，协审人员做到以下“十不”：</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（一）不违反审计程序、超越审计权限，依法开展审计；</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（二）不徇私情，保持应有的独立性，实事求是，客观公正；</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（三）不隐瞒、变更或曲解查出的问题，如实提供审计结果；</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（四）不泄露审计知悉的国家秘密和被审计单位的商业秘密；</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（五）不向被审计单位提出与审计工作无关的要求；</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（六）不单独与被审计单位商谈审计事项的处理意见；</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（七）不在被审计单位报销任何因公因私的费用；</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（八）不接受被审计单位安排的宴请、旅游和娱乐等活动；</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（九）不接受被审计单位的礼品、礼金和有价证券；</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（十）不向承聘机关人员送礼及有价证券。</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四、若有违反上述廉政承诺的行为，根据情节轻重，我单位愿接受以下责任追究：</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（一）通报批评、限期整改，相关责任人作出检查；</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（二）如本单位或协审人员存在严重违反廉政规定的，可按《考核办法》第四章有关条款进行处理。</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（三）涉嫌犯罪的，移交司法机关处理；</w:t>
      </w:r>
      <w:r/>
    </w:p>
    <w:p>
      <w:pPr>
        <w:ind w:firstLine="44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（四）其他有关责任追究事项。</w:t>
      </w:r>
      <w:r/>
    </w:p>
    <w:p>
      <w:pPr>
        <w:ind w:firstLine="55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五、本承诺书作为《协审协议书》的组成部分，具有同等法律效力。</w:t>
      </w:r>
      <w:r/>
    </w:p>
    <w:p>
      <w:pPr>
        <w:ind w:firstLine="550"/>
        <w:spacing w:line="360" w:lineRule="auto"/>
        <w:shd w:val="clear" w:color="auto"/>
        <w:rPr>
          <w:rFonts w:hint="default" w:ascii="宋体" w:hAnsi="宋体"/>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法定代表人（签字）：            协审项目负责人（签字）：</w:t>
      </w:r>
      <w:r/>
    </w:p>
    <w:p>
      <w:pPr>
        <w:jc w:val="left"/>
        <w:spacing w:line="348" w:lineRule="auto"/>
        <w:shd w:val="clear" w:color="auto"/>
        <w:rPr>
          <w:rFonts w:hint="default" w:ascii="宋体" w:hAnsi="宋体"/>
          <w:bCs/>
          <w:color w:val="000000" w:themeColor="text1"/>
          <w:sz w:val="22"/>
          <w:szCs w:val="20"/>
          <w:highlight w:val="none"/>
          <w14:textFill>
            <w14:solidFill>
              <w14:schemeClr w14:val="tx1"/>
            </w14:solidFill>
          </w14:textFill>
        </w:rPr>
      </w:pPr>
      <w:r>
        <w:rPr>
          <w:rFonts w:hint="eastAsia" w:ascii="宋体" w:hAnsi="宋体"/>
          <w:color w:val="000000" w:themeColor="text1"/>
          <w:sz w:val="22"/>
          <w:szCs w:val="20"/>
          <w:highlight w:val="none"/>
          <w14:textFill>
            <w14:solidFill>
              <w14:schemeClr w14:val="tx1"/>
            </w14:solidFill>
          </w14:textFill>
        </w:rPr>
        <w:t xml:space="preserve">（单位签章）           </w:t>
      </w:r>
      <w:r/>
    </w:p>
    <w:p>
      <w:pPr>
        <w:jc w:val="left"/>
        <w:shd w:val="clear" w:color="auto"/>
        <w:widowControl/>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b/>
          <w:bCs w:val="0"/>
          <w:color w:val="000000" w:themeColor="text1"/>
          <w:sz w:val="24"/>
          <w:szCs w:val="21"/>
          <w:highlight w:val="none"/>
          <w14:textFill>
            <w14:solidFill>
              <w14:schemeClr w14:val="tx1"/>
            </w14:solidFill>
          </w14:textFill>
        </w:rPr>
        <w:br w:type="page" w:clear="all"/>
      </w:r>
      <w:r/>
    </w:p>
    <w:p>
      <w:pPr>
        <w:jc w:val="left"/>
        <w:spacing w:line="348" w:lineRule="auto"/>
        <w:shd w:val="clear" w:color="auto"/>
        <w:rPr>
          <w:rFonts w:hint="default" w:ascii="宋体" w:hAnsi="宋体"/>
          <w:b/>
          <w:bCs w:val="0"/>
          <w:color w:val="000000" w:themeColor="text1"/>
          <w:sz w:val="24"/>
          <w:szCs w:val="21"/>
          <w:highlight w:val="none"/>
          <w14:textFill>
            <w14:solidFill>
              <w14:schemeClr w14:val="tx1"/>
            </w14:solidFill>
          </w14:textFill>
        </w:rPr>
      </w:pPr>
      <w:r>
        <w:rPr>
          <w:rFonts w:hint="eastAsia" w:ascii="宋体" w:hAnsi="宋体"/>
          <w:b/>
          <w:bCs w:val="0"/>
          <w:color w:val="000000" w:themeColor="text1"/>
          <w:sz w:val="24"/>
          <w:szCs w:val="21"/>
          <w:highlight w:val="none"/>
          <w14:textFill>
            <w14:solidFill>
              <w14:schemeClr w14:val="tx1"/>
            </w14:solidFill>
          </w14:textFill>
        </w:rPr>
        <w:t xml:space="preserve">附件3：复审项目考核评分表</w:t>
      </w:r>
      <w:r/>
    </w:p>
    <w:tbl>
      <w:tblPr>
        <w:tblStyle w:val="1066"/>
        <w:tblW w:w="10494"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9"/>
        <w:gridCol w:w="1482"/>
        <w:gridCol w:w="635"/>
        <w:gridCol w:w="5708"/>
        <w:gridCol w:w="888"/>
        <w:gridCol w:w="1052"/>
      </w:tblGrid>
      <w:tr>
        <w:trPr>
          <w:trHeight w:val="448"/>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8"/>
                <w:szCs w:val="28"/>
                <w:highlight w:val="none"/>
                <w:u w:val="none"/>
                <w:lang w:val="en-US" w:eastAsia="zh-CN" w:bidi="ar"/>
                <w14:textFill>
                  <w14:solidFill>
                    <w14:schemeClr w14:val="tx1"/>
                  </w14:solidFill>
                </w14:textFill>
              </w:rPr>
              <w:t xml:space="preserve">复审项目考核评分表</w:t>
            </w:r>
            <w:r/>
          </w:p>
        </w:tc>
      </w:tr>
      <w:tr>
        <w:trPr>
          <w:trHeight w:val="425"/>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tcPr>
          <w:p>
            <w:pPr>
              <w:jc w:val="left"/>
              <w:keepLines w:val="0"/>
              <w:keepNext w:val="0"/>
              <w:shd w:val="clear" w:color="auto"/>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协审机构（盖章）： </w:t>
            </w:r>
            <w:r>
              <w:rPr>
                <w:rFonts w:hint="eastAsia" w:ascii="宋体" w:hAnsi="宋体" w:cs="宋体"/>
                <w:b/>
                <w:bCs/>
                <w:color w:val="000000" w:themeColor="text1"/>
                <w:sz w:val="22"/>
                <w:szCs w:val="22"/>
                <w:highlight w:val="none"/>
                <w:u w:val="none"/>
                <w:lang w:val="en-US" w:eastAsia="zh-CN" w:bidi="ar"/>
                <w14:textFill>
                  <w14:solidFill>
                    <w14:schemeClr w14:val="tx1"/>
                  </w14:solidFill>
                </w14:textFill>
              </w:rPr>
              <w:t xml:space="preserve">               项目名称：                      项目负责人：   </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满分</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考核要点</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考核情况简要说明</w:t>
            </w:r>
            <w:r/>
          </w:p>
        </w:tc>
      </w:tr>
      <w:tr>
        <w:trPr>
          <w:trHeight w:val="282"/>
        </w:trPr>
        <w:tc>
          <w:tcPr>
            <w:shd w:val="clear" w:color="auto" w:fill="auto"/>
            <w:tcBorders>
              <w:top w:val="single" w:color="000000" w:sz="4" w:space="0"/>
              <w:left w:val="single" w:color="000000" w:sz="4" w:space="0"/>
              <w:bottom w:val="none" w:color="000000" w:sz="4" w:space="0"/>
              <w:right w:val="single" w:color="000000" w:sz="4" w:space="0"/>
            </w:tcBorders>
            <w:tcW w:w="729"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none" w:color="000000" w:sz="4" w:space="0"/>
              <w:right w:val="single" w:color="000000" w:sz="4" w:space="0"/>
            </w:tcBorders>
            <w:tcW w:w="1482"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基本分</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评分内容</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人与到位情况</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default"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未经允许私自更换复审人员或安排无资质复审人员参与项目审计的。出现一次扣2分。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复审人员不符合工作要求，经更换后仍不符合审计工作要求的。出现一次扣3分。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资料交接情况</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复审单位未按约定时间、地点交接项目资料的。出现一次扣4分。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对账记录情况</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未及时做对账记录的。出现一次扣4分。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出具报告情况</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未按规定时限出具初步复审报告的。出现一次扣5分。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归档管理</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复审结束，未及时退回复审移交资料（含电子档）的。出现一次扣5分。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复审服务质量</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复审报告审计文稿出现错误性描述的或数据统计出现错误的。出现一次扣2分。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重大问题未发现或者重大问题发现后未按照规定汇报及处理的。出现一次扣2分。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对于应核减未核减、不应核减而核减的。出现一次扣2.5分。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其他影响复审质量、效率的情形。出现一次扣2.5分。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审计过程中，由于管理不当造成审计资料损坏或遗失。出现一次扣5分。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不接受无锡市审计局工作安排的。出现一次扣5分。</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gridSpan w:val="4"/>
            <w:shd w:val="clear" w:color="auto" w:fill="f2f2f2"/>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小计</w:t>
            </w:r>
            <w:r/>
          </w:p>
        </w:tc>
        <w:tc>
          <w:tcPr>
            <w:shd w:val="clear" w:color="auto" w:fill="f2f2f2"/>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f2f2f2"/>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jc w:val="center"/>
              <w:keepLines w:val="0"/>
              <w:keepNext w:val="0"/>
              <w:shd w:val="clear" w:color="auto"/>
              <w:widowControl/>
              <w:rPr>
                <w:rFonts w:hint="eastAsia" w:ascii="新宋体" w:hAnsi="新宋体" w:eastAsia="新宋体" w:cs="新宋体"/>
                <w:b/>
                <w:bCs/>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b/>
                <w:bCs/>
                <w:i w:val="0"/>
                <w:iCs w:val="0"/>
                <w:color w:val="000000" w:themeColor="text1"/>
                <w:sz w:val="20"/>
                <w:szCs w:val="20"/>
                <w:highlight w:val="none"/>
                <w:u w:val="none"/>
                <w:lang w:val="en-US" w:eastAsia="zh-CN" w:bidi="ar"/>
                <w14:textFill>
                  <w14:solidFill>
                    <w14:schemeClr w14:val="tx1"/>
                  </w14:solidFill>
                </w14:textFill>
              </w:rPr>
              <w:t xml:space="preserve">评分内容</w:t>
            </w:r>
            <w:r/>
          </w:p>
        </w:tc>
      </w:tr>
      <w:tr>
        <w:trPr>
          <w:trHeight w:val="282"/>
        </w:trPr>
        <w:tc>
          <w:tcPr>
            <w:shd w:val="clear" w:color="auto" w:fill="auto"/>
            <w:tcBorders>
              <w:top w:val="single" w:color="000000" w:sz="4" w:space="0"/>
              <w:left w:val="single" w:color="000000" w:sz="4" w:space="0"/>
              <w:bottom w:val="none" w:color="000000" w:sz="4" w:space="0"/>
              <w:right w:val="single" w:color="000000" w:sz="4" w:space="0"/>
            </w:tcBorders>
            <w:tcW w:w="72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加分内容</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复审过程中发现有价值的案件线索的</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none" w:color="000000" w:sz="4" w:space="0"/>
              <w:right w:val="single" w:color="000000" w:sz="4" w:space="0"/>
            </w:tcBorders>
            <w:tcW w:w="729"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复审过程中提供的审计建议被采用的</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shd w:val="clear" w:color="auto" w:fill="auto"/>
            <w:tcBorders>
              <w:top w:val="single" w:color="000000" w:sz="4" w:space="0"/>
              <w:left w:val="single" w:color="000000" w:sz="4" w:space="0"/>
              <w:bottom w:val="none" w:color="000000" w:sz="4" w:space="0"/>
              <w:right w:val="single" w:color="000000" w:sz="4" w:space="0"/>
            </w:tcBorders>
            <w:tcW w:w="729"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82"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5708" w:type="dxa"/>
            <w:vAlign w:val="center"/>
            <w:textDirection w:val="lrTb"/>
            <w:noWrap w:val="false"/>
          </w:tcPr>
          <w:p>
            <w:pPr>
              <w:jc w:val="left"/>
              <w:keepLines w:val="0"/>
              <w:keepNext w:val="0"/>
              <w:shd w:val="clear" w:color="auto"/>
              <w:widowControl/>
              <w:rPr>
                <w:rFonts w:hint="eastAsia" w:ascii="新宋体" w:hAnsi="新宋体" w:eastAsia="新宋体" w:cs="新宋体"/>
                <w:i w:val="0"/>
                <w:iCs w:val="0"/>
                <w:color w:val="000000" w:themeColor="text1"/>
                <w:sz w:val="20"/>
                <w:szCs w:val="20"/>
                <w:highlight w:val="none"/>
                <w:u w:val="none"/>
                <w14:textFill>
                  <w14:solidFill>
                    <w14:schemeClr w14:val="tx1"/>
                  </w14:solidFill>
                </w14:textFill>
              </w:rPr>
              <w:suppressLineNumbers w:val="0"/>
            </w:pPr>
            <w:r>
              <w:rPr>
                <w:rFonts w:hint="eastAsia" w:ascii="新宋体" w:hAnsi="新宋体" w:eastAsia="新宋体" w:cs="新宋体"/>
                <w:i w:val="0"/>
                <w:iCs w:val="0"/>
                <w:color w:val="000000" w:themeColor="text1"/>
                <w:sz w:val="20"/>
                <w:szCs w:val="20"/>
                <w:highlight w:val="none"/>
                <w:u w:val="none"/>
                <w:lang w:val="en-US" w:eastAsia="zh-CN" w:bidi="ar"/>
                <w14:textFill>
                  <w14:solidFill>
                    <w14:schemeClr w14:val="tx1"/>
                  </w14:solidFill>
                </w14:textFill>
              </w:rPr>
              <w:t xml:space="preserve">复审过程中形成有价值的、且被相关媒体采用的审计信息、宣传</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2"/>
        </w:trPr>
        <w:tc>
          <w:tcPr>
            <w:gridSpan w:val="4"/>
            <w:shd w:val="clear" w:color="auto" w:fill="f2f2f2"/>
            <w:tcBorders>
              <w:top w:val="single" w:color="000000" w:sz="4" w:space="0"/>
              <w:left w:val="single" w:color="000000" w:sz="4" w:space="0"/>
              <w:bottom w:val="single" w:color="000000" w:sz="4" w:space="0"/>
              <w:right w:val="single" w:color="000000" w:sz="4" w:space="0"/>
            </w:tcBorders>
            <w:tcW w:w="8554"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小计</w:t>
            </w:r>
            <w:r/>
          </w:p>
        </w:tc>
        <w:tc>
          <w:tcPr>
            <w:shd w:val="clear" w:color="auto" w:fill="f2f2f2"/>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f2f2f2"/>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7"/>
        </w:trPr>
        <w:tc>
          <w:tcPr>
            <w:gridSpan w:val="4"/>
            <w:shd w:val="clear" w:color="auto" w:fill="d9d9d9"/>
            <w:tcBorders>
              <w:top w:val="single" w:color="000000" w:sz="4" w:space="0"/>
              <w:left w:val="single" w:color="000000" w:sz="4" w:space="0"/>
              <w:bottom w:val="single" w:color="000000" w:sz="4" w:space="0"/>
              <w:right w:val="single" w:color="000000" w:sz="4" w:space="0"/>
            </w:tcBorders>
            <w:tcW w:w="8554"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合计</w:t>
            </w:r>
            <w:r/>
          </w:p>
        </w:tc>
        <w:tc>
          <w:tcPr>
            <w:shd w:val="clear" w:color="auto" w:fill="d9d9d9"/>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left"/>
              <w:shd w:val="clear" w:color="auto"/>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d9d9d9"/>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left"/>
              <w:shd w:val="clear" w:color="auto"/>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10494" w:type="dxa"/>
            <w:vAlign w:val="center"/>
            <w:textDirection w:val="lrTb"/>
            <w:noWrap/>
          </w:tcPr>
          <w:p>
            <w:pPr>
              <w:jc w:val="left"/>
              <w:shd w:val="clear" w:color="auto"/>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0"/>
                <w:szCs w:val="20"/>
                <w:highlight w:val="none"/>
                <w:u w:val="none"/>
                <w:lang w:val="en-US" w:eastAsia="zh-CN"/>
                <w14:textFill>
                  <w14:solidFill>
                    <w14:schemeClr w14:val="tx1"/>
                  </w14:solidFill>
                </w14:textFill>
              </w:rPr>
              <w:t xml:space="preserve">*注：</w:t>
            </w:r>
            <w:r>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t xml:space="preserve">如有下列情况发生，则本此考核为0分。</w:t>
            </w:r>
            <w:r/>
          </w:p>
          <w:p>
            <w:pPr>
              <w:jc w:val="left"/>
              <w:shd w:val="clear" w:color="auto"/>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t xml:space="preserve">1.将复审项目转包或分包给其他单位和个人的；</w:t>
            </w:r>
            <w:r/>
          </w:p>
          <w:p>
            <w:pPr>
              <w:jc w:val="left"/>
              <w:shd w:val="clear" w:color="auto"/>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t xml:space="preserve">2.隐瞒审计发现的问题或者与相关单位串通舞弊，导致发生严重审计质量问题的；</w:t>
            </w:r>
            <w:r/>
          </w:p>
          <w:p>
            <w:pPr>
              <w:jc w:val="left"/>
              <w:shd w:val="clear" w:color="auto"/>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t xml:space="preserve">3.与审计项目有利害关系而未主动回避的；</w:t>
            </w:r>
            <w:r/>
          </w:p>
          <w:p>
            <w:pPr>
              <w:jc w:val="left"/>
              <w:shd w:val="clear" w:color="auto"/>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0"/>
                <w:szCs w:val="20"/>
                <w:highlight w:val="none"/>
                <w:u w:val="none"/>
                <w14:textFill>
                  <w14:solidFill>
                    <w14:schemeClr w14:val="tx1"/>
                  </w14:solidFill>
                </w14:textFill>
              </w:rPr>
              <w:t xml:space="preserve">4.违反廉政相关规定和审计纪律的。</w:t>
            </w:r>
            <w:r/>
          </w:p>
        </w:tc>
      </w:tr>
      <w:tr>
        <w:trPr>
          <w:trHeight w:val="358"/>
        </w:trPr>
        <w:tc>
          <w:tcPr>
            <w:gridSpan w:val="6"/>
            <w:shd w:val="clear" w:color="auto" w:fill="auto"/>
            <w:tcBorders>
              <w:top w:val="single" w:color="000000" w:sz="4" w:space="0"/>
              <w:left w:val="single" w:color="000000" w:sz="4" w:space="0"/>
              <w:bottom w:val="single" w:color="000000" w:sz="4" w:space="0"/>
              <w:right w:val="single" w:color="000000" w:sz="4" w:space="0"/>
            </w:tcBorders>
            <w:tcW w:w="10494" w:type="dxa"/>
            <w:vAlign w:val="center"/>
            <w:textDirection w:val="lrTb"/>
            <w:noWrap w:val="false"/>
          </w:tcPr>
          <w:p>
            <w:pPr>
              <w:jc w:val="left"/>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其他情况说明：</w:t>
            </w:r>
            <w:r/>
          </w:p>
        </w:tc>
      </w:tr>
      <w:tr>
        <w:trPr>
          <w:trHeight w:val="282"/>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备注：</w:t>
            </w:r>
            <w:r/>
          </w:p>
        </w:tc>
      </w:tr>
      <w:tr>
        <w:trPr>
          <w:trHeight w:val="282"/>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1.协审单位为考核主体责任人，负责提供符合审计要求的考核佐证材料。</w:t>
            </w:r>
            <w:r/>
          </w:p>
        </w:tc>
      </w:tr>
      <w:tr>
        <w:trPr>
          <w:trHeight w:val="282"/>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2.单项分值扣完为止，不再倒扣。</w:t>
            </w:r>
            <w:r/>
          </w:p>
        </w:tc>
      </w:tr>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3.计分规则：结算项目实施一次性考核，考核得分即为项目最终得分。</w:t>
            </w:r>
            <w:r/>
          </w:p>
        </w:tc>
      </w:tr>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0494" w:type="dxa"/>
            <w:vAlign w:val="center"/>
            <w:textDirection w:val="lrTb"/>
            <w:noWrap w:val="false"/>
          </w:tcPr>
          <w:p>
            <w:pPr>
              <w:jc w:val="left"/>
              <w:shd w:val="clear" w:color="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最终审计费=（基本费+追加费）*考核系数</w:t>
            </w:r>
            <w:r/>
          </w:p>
          <w:p>
            <w:pPr>
              <w:jc w:val="left"/>
              <w:shd w:val="clear" w:color="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①得分≥95分时，考核系数=1；</w:t>
            </w:r>
            <w:r/>
          </w:p>
          <w:p>
            <w:pPr>
              <w:jc w:val="left"/>
              <w:shd w:val="clear" w:color="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②80分≤得分＜95分时，考核系数=[0.005*（得分-80)+0.9],考核系数在0.9—0.975内；</w:t>
            </w:r>
            <w:r/>
          </w:p>
          <w:p>
            <w:pPr>
              <w:jc w:val="left"/>
              <w:shd w:val="clear" w:color="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③60分≤得分＜80分时，考核系数=[0.015*（得分-60)+0.6]，考核系数在0.6—0.9内；</w:t>
            </w:r>
            <w:r/>
          </w:p>
          <w:p>
            <w:pPr>
              <w:jc w:val="left"/>
              <w:shd w:val="clear" w:color="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④得分＜60分时，考核系数=0.5，同时给予警告1次，并建议协审单位对项目负责人予以处理。</w:t>
            </w:r>
            <w:r/>
          </w:p>
          <w:p>
            <w:pPr>
              <w:jc w:val="left"/>
              <w:shd w:val="clear" w:color="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审核服务收费按照招标文件附表“审核服务费用费率表”中的相应收费标准，金额在1500元以下时，可按1500元收取。</w:t>
            </w:r>
            <w:r/>
          </w:p>
        </w:tc>
      </w:tr>
    </w:tbl>
    <w:p>
      <w:pPr>
        <w:jc w:val="center"/>
        <w:shd w:val="clear" w:color="auto"/>
        <w:widowControl/>
        <w:rPr>
          <w:rFonts w:hint="default" w:eastAsia="宋体"/>
          <w:color w:val="000000" w:themeColor="text1"/>
          <w:sz w:val="44"/>
          <w:szCs w:val="44"/>
          <w:highlight w:val="none"/>
          <w14:textFill>
            <w14:solidFill>
              <w14:schemeClr w14:val="tx1"/>
            </w14:solidFill>
          </w14:textFill>
        </w:rPr>
        <w:sectPr>
          <w:footerReference w:type="default" r:id="rId20"/>
          <w:footnotePr/>
          <w:endnotePr/>
          <w:type w:val="nextPage"/>
          <w:pgSz w:w="11906" w:h="16838" w:orient="portrait"/>
          <w:pgMar w:top="720" w:right="720" w:bottom="720" w:left="720" w:header="850" w:footer="624" w:gutter="0"/>
          <w:cols w:num="1" w:sep="0" w:space="425" w:equalWidth="1"/>
          <w:docGrid w:linePitch="360"/>
        </w:sectPr>
      </w:pPr>
      <w:r>
        <w:rPr>
          <w:rFonts w:hint="default" w:eastAsia="宋体"/>
          <w:color w:val="000000" w:themeColor="text1"/>
          <w:sz w:val="44"/>
          <w:szCs w:val="44"/>
          <w:highlight w:val="none"/>
          <w14:textFill>
            <w14:solidFill>
              <w14:schemeClr w14:val="tx1"/>
            </w14:solidFill>
          </w14:textFill>
        </w:rPr>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bookmarkStart w:id="37" w:name="_Toc24961"/>
      <w:r>
        <w:rPr>
          <w:rFonts w:hint="eastAsia" w:hAnsi="宋体" w:cs="宋体"/>
          <w:b/>
          <w:bCs/>
          <w:color w:val="000000" w:themeColor="text1"/>
          <w:sz w:val="32"/>
          <w:szCs w:val="32"/>
          <w:highlight w:val="none"/>
          <w14:textFill>
            <w14:solidFill>
              <w14:schemeClr w14:val="tx1"/>
            </w14:solidFill>
          </w14:textFill>
        </w:rPr>
        <w:t xml:space="preserve">五、附件</w:t>
      </w:r>
      <w:bookmarkEnd w:id="34"/>
      <w:r/>
      <w:bookmarkEnd w:id="35"/>
      <w:r/>
      <w:bookmarkEnd w:id="37"/>
      <w:r/>
      <w:r/>
    </w:p>
    <w:p>
      <w:pPr>
        <w:ind w:firstLine="602"/>
        <w:jc w:val="center"/>
        <w:spacing w:before="0" w:after="0" w:line="500" w:lineRule="exact"/>
        <w:shd w:val="clear" w:color="auto"/>
        <w:widowControl w:val="off"/>
        <w:rPr>
          <w:rFonts w:ascii="Arial" w:hAnsi="Arial" w:eastAsia="宋体" w:cs="Arial"/>
          <w:b/>
          <w:color w:val="000000" w:themeColor="text1"/>
          <w:sz w:val="30"/>
          <w:szCs w:val="30"/>
          <w:highlight w:val="none"/>
          <w14:textFill>
            <w14:solidFill>
              <w14:schemeClr w14:val="tx1"/>
            </w14:solidFill>
          </w14:textFill>
        </w:rPr>
      </w:pPr>
      <w:r>
        <w:rPr>
          <w:rFonts w:hint="eastAsia" w:ascii="Arial" w:hAnsi="Arial" w:eastAsia="宋体" w:cs="Arial"/>
          <w:b/>
          <w:color w:val="000000" w:themeColor="text1"/>
          <w:sz w:val="30"/>
          <w:szCs w:val="30"/>
          <w:highlight w:val="none"/>
          <w:lang w:val="en-US" w:eastAsia="zh-CN" w:bidi="ar-SA"/>
          <w14:textFill>
            <w14:solidFill>
              <w14:schemeClr w14:val="tx1"/>
            </w14:solidFill>
          </w14:textFill>
        </w:rPr>
        <w:t xml:space="preserve">第一部分  评标方法</w:t>
      </w:r>
      <w:r/>
    </w:p>
    <w:p>
      <w:pPr>
        <w:ind w:firstLine="480"/>
        <w:jc w:val="left"/>
        <w:spacing w:before="0" w:after="0" w:line="500" w:lineRule="exact"/>
        <w:shd w:val="clear" w:color="auto"/>
        <w:widowControl w:val="off"/>
        <w:rPr>
          <w:rFonts w:ascii="Arial" w:hAnsi="Arial" w:eastAsia="宋体" w:cs="Arial"/>
          <w:color w:val="000000" w:themeColor="text1"/>
          <w:sz w:val="24"/>
          <w:szCs w:val="24"/>
          <w:highlight w:val="none"/>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 xml:space="preserve">投标人通过初审的，方可进入比较与评价程序。</w:t>
      </w:r>
      <w:r/>
    </w:p>
    <w:p>
      <w:pPr>
        <w:ind w:firstLine="480"/>
        <w:jc w:val="left"/>
        <w:spacing w:before="0" w:after="0" w:line="500" w:lineRule="exact"/>
        <w:shd w:val="clear" w:color="auto"/>
        <w:widowControl w:val="off"/>
        <w:rPr>
          <w:rFonts w:ascii="Arial" w:hAnsi="Arial" w:eastAsia="宋体" w:cs="Arial"/>
          <w:color w:val="000000" w:themeColor="text1"/>
          <w:sz w:val="24"/>
          <w:szCs w:val="24"/>
          <w:highlight w:val="none"/>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 xml:space="preserve">比较与评价采用综合评分法。</w:t>
      </w:r>
      <w:r/>
    </w:p>
    <w:p>
      <w:pPr>
        <w:ind w:firstLine="480"/>
        <w:jc w:val="left"/>
        <w:spacing w:before="0" w:after="0" w:line="500" w:lineRule="exact"/>
        <w:shd w:val="clear" w:color="auto"/>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投标文件满足招标文件全部实质性要求，且按照评审因素的量化指标评审得分。评标委员会遵循公平、公正、择优原则，独立按照评分标准分别评定投标人的分值；各投标人的评审后得分为各评委所评定分值的平均值，并按高低顺序排列。排除本项目已中标的且需回避本标段的投标单位，本标段得分第一名的投标人为本标段中标单位。如总得分出现并列排名，按项目人员配置得分由高到低排列，如项目人员配置得分也相同，则协审方案得分由高到低排列，协审方案得分也相同，由评审小组随机抽签确定。</w:t>
      </w:r>
      <w:r/>
    </w:p>
    <w:p>
      <w:pPr>
        <w:ind w:firstLine="480"/>
        <w:jc w:val="left"/>
        <w:spacing w:before="0" w:after="0" w:line="500" w:lineRule="exact"/>
        <w:shd w:val="clear" w:color="auto"/>
        <w:widowControl w:val="off"/>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本项目分为3个采购包，评标时评标委员会将根据招标文件规定的评标方法与评标标准，并按照采购包1、采购包2、采购包3的顺序分别进行评审。</w:t>
      </w:r>
      <w:r/>
    </w:p>
    <w:p>
      <w:pPr>
        <w:ind w:firstLine="480"/>
        <w:jc w:val="left"/>
        <w:spacing w:before="0" w:after="0" w:line="500" w:lineRule="exact"/>
        <w:shd w:val="clear" w:color="auto"/>
        <w:widowControl w:val="off"/>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采购包1：按招标文件规定选取中标候选人，采购人须按招标文件规定确定排名第一的中标候选人为中标单位。若有效投标单位不足三家，则本项目作流标处理。</w:t>
      </w:r>
      <w:r/>
    </w:p>
    <w:p>
      <w:pPr>
        <w:ind w:firstLine="480"/>
        <w:jc w:val="left"/>
        <w:spacing w:before="0" w:after="0" w:line="500" w:lineRule="exact"/>
        <w:shd w:val="clear" w:color="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采购包2：按招标文件规定选取中标候选人，采购人须按招标文件规定确定排名第一的中标候选人为中标单位。已被确定为采购包 1 中标候选人的单位，仍可参与采购包 2 的评标环节，但该单位不得被确定为采购包 2 中标候选人，若仍为采购包2的中标候选人，需顺延至第二名投标人为中标候选人。若有效投标单位不足三家，则本项目作流标处理。</w:t>
      </w:r>
      <w:r/>
    </w:p>
    <w:p>
      <w:pPr>
        <w:ind w:firstLine="480"/>
        <w:jc w:val="left"/>
        <w:spacing w:before="0" w:after="0" w:line="500" w:lineRule="exact"/>
        <w:shd w:val="clear" w:color="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采购包3：按招标文件规定选取中标候选人，采购人须按招标文件规定确定排名第一的中标候选人为中标单位。已被确定为采购包 1</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或采购包2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 中标候选人的单位，仍可参与采购包 </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的评标环节，但该单位不得被确定为采购包 </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中标候选人，若仍为采购包</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的中标候选人，需顺延至第二名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或第三名</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投标人为中标候选人。若有效投标单位不足三家，则本项目作流标处理。</w:t>
      </w:r>
      <w:r/>
    </w:p>
    <w:p>
      <w:pPr>
        <w:ind w:firstLine="480"/>
        <w:jc w:val="left"/>
        <w:spacing w:before="0" w:after="0" w:line="500" w:lineRule="exact"/>
        <w:shd w:val="clear" w:color="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480"/>
        <w:jc w:val="left"/>
        <w:spacing w:before="0" w:after="0" w:line="500" w:lineRule="exact"/>
        <w:shd w:val="clear" w:color="auto"/>
        <w:widowControl w:val="off"/>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r>
      <w:r/>
    </w:p>
    <w:p>
      <w:pPr>
        <w:ind w:firstLine="480"/>
        <w:jc w:val="center"/>
        <w:spacing w:before="0" w:after="0" w:line="500" w:lineRule="exact"/>
        <w:shd w:val="clear" w:color="auto"/>
        <w:widowControl w:val="off"/>
        <w:rPr>
          <w:rFonts w:ascii="Arial" w:hAnsi="Arial" w:eastAsia="宋体" w:cs="Arial"/>
          <w:b/>
          <w:color w:val="000000" w:themeColor="text1"/>
          <w:sz w:val="30"/>
          <w:szCs w:val="30"/>
          <w:highlight w:val="none"/>
          <w14:textFill>
            <w14:solidFill>
              <w14:schemeClr w14:val="tx1"/>
            </w14:solidFill>
          </w14:textFill>
        </w:rPr>
      </w:pPr>
      <w:r>
        <w:rPr>
          <w:rFonts w:hint="eastAsia" w:ascii="Arial" w:hAnsi="Arial" w:eastAsia="宋体" w:cs="Arial"/>
          <w:b/>
          <w:color w:val="000000" w:themeColor="text1"/>
          <w:sz w:val="30"/>
          <w:szCs w:val="30"/>
          <w:highlight w:val="none"/>
          <w:lang w:val="en-US" w:eastAsia="zh-CN" w:bidi="ar-SA"/>
          <w14:textFill>
            <w14:solidFill>
              <w14:schemeClr w14:val="tx1"/>
            </w14:solidFill>
          </w14:textFill>
        </w:rPr>
        <w:t xml:space="preserve">第二部分  评标标准</w:t>
      </w:r>
      <w:r/>
    </w:p>
    <w:p>
      <w:pPr>
        <w:ind w:firstLine="562"/>
        <w:jc w:val="left"/>
        <w:spacing w:before="0" w:after="0" w:line="500" w:lineRule="exact"/>
        <w:shd w:val="clear" w:color="auto"/>
        <w:widowControl w:val="off"/>
        <w:rPr>
          <w:rFonts w:hint="eastAsia" w:ascii="宋体" w:hAnsi="宋体" w:eastAsia="宋体" w:cs="Times New Roman"/>
          <w:b/>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bidi="ar-SA"/>
          <w14:textFill>
            <w14:solidFill>
              <w14:schemeClr w14:val="tx1"/>
            </w14:solidFill>
          </w14:textFill>
        </w:rPr>
        <w:t xml:space="preserve">一、评分标准</w:t>
      </w:r>
      <w:r/>
    </w:p>
    <w:p>
      <w:pPr>
        <w:ind w:left="0" w:firstLine="640"/>
        <w:jc w:val="center"/>
        <w:keepLines w:val="0"/>
        <w:keepNext w:val="0"/>
        <w:pageBreakBefore w:val="0"/>
        <w:spacing w:before="0" w:after="0" w:line="360" w:lineRule="auto"/>
        <w:shd w:val="clear" w:color="auto"/>
        <w:widowControl w:val="off"/>
        <w:rPr>
          <w:rFonts w:ascii="宋体" w:hAnsi="宋体" w:eastAsia="宋体" w:cs="Times New Roman"/>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lang w:val="en-US" w:eastAsia="zh-CN" w:bidi="ar-SA"/>
          <w14:textFill>
            <w14:solidFill>
              <w14:schemeClr w14:val="tx1"/>
            </w14:solidFill>
          </w14:textFill>
        </w:rPr>
        <w:t xml:space="preserve">A.商务部分（58分）</w:t>
      </w:r>
      <w:r/>
    </w:p>
    <w:p>
      <w:pPr>
        <w:ind w:left="0" w:firstLine="480"/>
        <w:jc w:val="left"/>
        <w:keepLines w:val="0"/>
        <w:keepNext w:val="0"/>
        <w:pageBreakBefore w:val="0"/>
        <w:spacing w:line="360" w:lineRule="auto"/>
        <w:shd w:val="clear" w:color="auto"/>
        <w:widowControl w:val="off"/>
        <w:rPr>
          <w:rFonts w:hint="eastAsia" w:ascii="微软雅黑" w:hAnsi="微软雅黑" w:eastAsia="微软雅黑" w:cs="微软雅黑"/>
          <w:b/>
          <w:bCs w:val="0"/>
          <w:color w:val="000000" w:themeColor="text1"/>
          <w:sz w:val="24"/>
          <w:szCs w:val="24"/>
          <w:highlight w:val="none"/>
          <w14:textFill>
            <w14:solidFill>
              <w14:schemeClr w14:val="tx1"/>
            </w14:solidFill>
          </w14:textFill>
        </w:rPr>
      </w:pPr>
      <w:r>
        <w:rPr>
          <w:rFonts w:hint="eastAsia" w:ascii="微软雅黑" w:hAnsi="微软雅黑" w:eastAsia="微软雅黑" w:cs="微软雅黑"/>
          <w:b/>
          <w:bCs w:val="0"/>
          <w:color w:val="000000" w:themeColor="text1"/>
          <w:sz w:val="24"/>
          <w:szCs w:val="24"/>
          <w:highlight w:val="none"/>
          <w:lang w:val="en-US" w:eastAsia="zh-CN"/>
          <w14:textFill>
            <w14:solidFill>
              <w14:schemeClr w14:val="tx1"/>
            </w14:solidFill>
          </w14:textFill>
        </w:rPr>
        <w:t xml:space="preserve">一、</w:t>
      </w:r>
      <w:r>
        <w:rPr>
          <w:rFonts w:hint="eastAsia" w:ascii="微软雅黑" w:hAnsi="微软雅黑" w:eastAsia="微软雅黑" w:cs="微软雅黑"/>
          <w:b/>
          <w:bCs w:val="0"/>
          <w:color w:val="000000" w:themeColor="text1"/>
          <w:sz w:val="24"/>
          <w:szCs w:val="24"/>
          <w:highlight w:val="none"/>
          <w14:textFill>
            <w14:solidFill>
              <w14:schemeClr w14:val="tx1"/>
            </w14:solidFill>
          </w14:textFill>
        </w:rPr>
        <w:t xml:space="preserve">投标人综合情况（6分）：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default" w:asci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b/>
          <w:bCs w:val="0"/>
          <w:color w:val="000000" w:themeColor="text1"/>
          <w:sz w:val="24"/>
          <w:szCs w:val="24"/>
          <w:highlight w:val="none"/>
          <w14:textFill>
            <w14:solidFill>
              <w14:schemeClr w14:val="tx1"/>
            </w14:solidFill>
          </w14:textFill>
        </w:rPr>
        <w:t xml:space="preserve">业绩</w:t>
      </w:r>
      <w:r>
        <w:rPr>
          <w:rFonts w:hint="default" w:ascii="宋体" w:hAnsi="宋体"/>
          <w:b/>
          <w:bCs w:val="0"/>
          <w:color w:val="000000" w:themeColor="text1"/>
          <w:sz w:val="24"/>
          <w:szCs w:val="24"/>
          <w:highlight w:val="none"/>
          <w14:textFill>
            <w14:solidFill>
              <w14:schemeClr w14:val="tx1"/>
            </w14:solidFill>
          </w14:textFill>
        </w:rPr>
        <w:t xml:space="preserve">(6</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default"/>
          <w:color w:val="000000" w:themeColor="text1"/>
          <w:szCs w:val="21"/>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投标人近五年来（时间截止至本项目开标当天，以下解释同）以</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b w:val="0"/>
          <w:bCs/>
          <w:color w:val="000000" w:themeColor="text1"/>
          <w:sz w:val="24"/>
          <w:szCs w:val="24"/>
          <w:highlight w:val="none"/>
          <w14:textFill>
            <w14:solidFill>
              <w14:schemeClr w14:val="tx1"/>
            </w14:solidFill>
          </w14:textFill>
        </w:rPr>
        <w:t xml:space="preserve">填列的《业绩汇总表》及按要求提供的证明材料为准。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具有政府投资项目全过程跟踪审核（含结算审核）</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业绩的有一个得2分，最高得2分；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）具有政府投资项目结算审核业绩的有一个得2分，最高得2分；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color w:val="000000" w:themeColor="text1"/>
          <w:szCs w:val="21"/>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 xml:space="preserve">（3）具有政府投资项目复审服务业绩的有一个得2分，最高得2分。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*相关说明：</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①业绩认定的政府投资项目仅指根据《政府投资条例》由政府审批立项的项目，以审批部门审批的项目立项为单位。核准制、备案制项目业绩均不予得分。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②业绩必须为审核已完成的项目，全过程跟踪审核（含结算审核）、结算审核 以最终的结算审核报告出具时间为准，复审服务以最终的复审审核报告（或复审意见单）出具时间为准。仅完成跟踪的全过程跟踪项目（结算未完成）或单纯的跟踪项目不予得分。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③证明材料：⑴业绩对应的政府投资项目批复文件，必需提供项目立项(项目建议书)批复、或可行性研究批复、或初步设计批复的扫描件；⑵项目委托合同的原件扫描件；⑶与委托合同相对应的项目结算审核报告的原件扫描件，以及和结算审核报告相对应的审定单的原件扫描件，如有多份审定单，则应提供相对应的审定单汇总表；如为复审项目提供与委托合同相对应的项目复审审核报告（或复审意见单）的原件扫描件。否则不予得分。</w:t>
      </w:r>
      <w:r/>
    </w:p>
    <w:p>
      <w:pPr>
        <w:ind w:left="0" w:firstLine="480"/>
        <w:jc w:val="left"/>
        <w:keepLines w:val="0"/>
        <w:keepNext w:val="0"/>
        <w:pageBreakBefore w:val="0"/>
        <w:spacing w:line="360" w:lineRule="auto"/>
        <w:shd w:val="clear" w:color="auto"/>
        <w:widowControl w:val="off"/>
        <w:rPr>
          <w:rFonts w:hint="eastAsia" w:ascii="微软雅黑" w:hAnsi="微软雅黑" w:eastAsia="微软雅黑" w:cs="微软雅黑"/>
          <w:b/>
          <w:bCs w:val="0"/>
          <w:color w:val="000000" w:themeColor="text1"/>
          <w:sz w:val="24"/>
          <w:szCs w:val="24"/>
          <w:highlight w:val="none"/>
          <w14:textFill>
            <w14:solidFill>
              <w14:schemeClr w14:val="tx1"/>
            </w14:solidFill>
          </w14:textFill>
        </w:rPr>
      </w:pPr>
      <w:r>
        <w:rPr>
          <w:rFonts w:hint="eastAsia" w:ascii="微软雅黑" w:hAnsi="微软雅黑" w:eastAsia="微软雅黑" w:cs="微软雅黑"/>
          <w:b/>
          <w:bCs w:val="0"/>
          <w:color w:val="000000" w:themeColor="text1"/>
          <w:sz w:val="24"/>
          <w:szCs w:val="24"/>
          <w:highlight w:val="none"/>
          <w:lang w:val="en-US" w:eastAsia="zh-CN"/>
          <w14:textFill>
            <w14:solidFill>
              <w14:schemeClr w14:val="tx1"/>
            </w14:solidFill>
          </w14:textFill>
        </w:rPr>
        <w:t xml:space="preserve">二、项目人员配置（52分）: </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以投标人填列的《项目人员配置清单》及按要求提供的证明材料（人员证书原件</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扫描件</w:t>
      </w:r>
      <w:r>
        <w:rPr>
          <w:rFonts w:hint="eastAsia" w:ascii="仿宋" w:hAnsi="仿宋" w:eastAsia="仿宋" w:cs="仿宋"/>
          <w:b w:val="0"/>
          <w:bCs/>
          <w:color w:val="000000" w:themeColor="text1"/>
          <w:sz w:val="24"/>
          <w:szCs w:val="24"/>
          <w:highlight w:val="none"/>
          <w14:textFill>
            <w14:solidFill>
              <w14:schemeClr w14:val="tx1"/>
            </w14:solidFill>
          </w14:textFill>
        </w:rPr>
        <w:t xml:space="preserve">和投标人为其缴纳的连续三个月(至少包含近三个月中任意一个月份（不含投标当月</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14:textFill>
            <w14:solidFill>
              <w14:schemeClr w14:val="tx1"/>
            </w14:solidFill>
          </w14:textFill>
        </w:rPr>
        <w:t xml:space="preserve">的社保缴纳证明材料）为准。投标时须提供以下人员证书原件的扫描件，否则不得分。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default" w:ascii="宋体" w:hAnsi="宋体"/>
          <w:b/>
          <w:bCs w:val="0"/>
          <w:color w:val="000000" w:themeColor="text1"/>
          <w:sz w:val="24"/>
          <w:szCs w:val="24"/>
          <w:highlight w:val="none"/>
          <w14:textFill>
            <w14:solidFill>
              <w14:schemeClr w14:val="tx1"/>
            </w14:solidFill>
          </w14:textFill>
        </w:rPr>
        <w:t xml:space="preserve">1</w:t>
      </w:r>
      <w:r>
        <w:rPr>
          <w:rFonts w:hint="eastAsia" w:ascii="宋体" w:hAnsi="宋体"/>
          <w:b/>
          <w:bCs w:val="0"/>
          <w:color w:val="000000" w:themeColor="text1"/>
          <w:sz w:val="24"/>
          <w:szCs w:val="24"/>
          <w:highlight w:val="none"/>
          <w14:textFill>
            <w14:solidFill>
              <w14:schemeClr w14:val="tx1"/>
            </w14:solidFill>
          </w14:textFill>
        </w:rPr>
        <w:t xml:space="preserve">、拟派项目负责人（</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）拟派项目负责人为一级注册造价师的，得</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）拟派项目负责人具备工程类高级及以上职称的，得</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default" w:ascii="仿宋" w:hAnsi="仿宋" w:eastAsia="仿宋" w:cs="仿宋"/>
          <w:b/>
          <w:bCs w:val="0"/>
          <w:color w:val="000000" w:themeColor="text1"/>
          <w:sz w:val="24"/>
          <w:szCs w:val="24"/>
          <w:highlight w:val="none"/>
          <w14:textFill>
            <w14:solidFill>
              <w14:schemeClr w14:val="tx1"/>
            </w14:solidFill>
          </w14:textFill>
        </w:rPr>
      </w:pPr>
      <w:r>
        <w:rPr>
          <w:rFonts w:hint="default" w:ascii="仿宋" w:hAnsi="仿宋" w:eastAsia="仿宋" w:cs="仿宋"/>
          <w:b/>
          <w:bCs w:val="0"/>
          <w:color w:val="000000" w:themeColor="text1"/>
          <w:sz w:val="24"/>
          <w:szCs w:val="24"/>
          <w:highlight w:val="none"/>
          <w:lang w:val="en-US" w:eastAsia="zh-CN"/>
          <w14:textFill>
            <w14:solidFill>
              <w14:schemeClr w14:val="tx1"/>
            </w14:solidFill>
          </w14:textFill>
        </w:rPr>
        <w:t xml:space="preserve">须提供投标人连续三个月(至少包含近三个月中任意一个月份(不含投标当月))为其缴纳社保的证明扫描件）</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default" w:asci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bCs w:val="0"/>
          <w:color w:val="000000" w:themeColor="text1"/>
          <w:sz w:val="24"/>
          <w:szCs w:val="24"/>
          <w:highlight w:val="none"/>
          <w14:textFill>
            <w14:solidFill>
              <w14:schemeClr w14:val="tx1"/>
            </w14:solidFill>
          </w14:textFill>
        </w:rPr>
        <w:t xml:space="preserve">、</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人员综合实力（</w:t>
      </w:r>
      <w:r>
        <w:rPr>
          <w:rFonts w:hint="eastAsia" w:ascii="宋体" w:hAnsi="宋体"/>
          <w:b/>
          <w:bCs w:val="0"/>
          <w:color w:val="000000" w:themeColor="text1"/>
          <w:sz w:val="24"/>
          <w:szCs w:val="24"/>
          <w:highlight w:val="none"/>
          <w14:textFill>
            <w14:solidFill>
              <w14:schemeClr w14:val="tx1"/>
            </w14:solidFill>
          </w14:textFill>
        </w:rPr>
        <w:t xml:space="preserve">不含项目负责人</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b/>
          <w:bCs w:val="0"/>
          <w:color w:val="000000" w:themeColor="text1"/>
          <w:sz w:val="24"/>
          <w:szCs w:val="24"/>
          <w:highlight w:val="none"/>
          <w14:textFill>
            <w14:solidFill>
              <w14:schemeClr w14:val="tx1"/>
            </w14:solidFill>
          </w14:textFill>
        </w:rPr>
        <w:t xml:space="preserve">（</w:t>
      </w:r>
      <w:r>
        <w:rPr>
          <w:rFonts w:hint="default" w:ascii="宋体" w:hAnsi="宋体"/>
          <w:b/>
          <w:bCs w:val="0"/>
          <w:color w:val="000000" w:themeColor="text1"/>
          <w:sz w:val="24"/>
          <w:szCs w:val="24"/>
          <w:highlight w:val="none"/>
          <w14:textFill>
            <w14:solidFill>
              <w14:schemeClr w14:val="tx1"/>
            </w14:solidFill>
          </w14:textFill>
        </w:rPr>
        <w:t xml:space="preserve">15</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）具备土建专业一级注册造价工程师，每人得</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分，本项总分最高为</w:t>
      </w:r>
      <w:r>
        <w:rPr>
          <w:rFonts w:hint="default" w:ascii="宋体" w:hAnsi="宋体"/>
          <w:b w:val="0"/>
          <w:bCs/>
          <w:color w:val="000000" w:themeColor="text1"/>
          <w:sz w:val="24"/>
          <w:szCs w:val="24"/>
          <w:highlight w:val="none"/>
          <w14:textFill>
            <w14:solidFill>
              <w14:schemeClr w14:val="tx1"/>
            </w14:solidFill>
          </w14:textFill>
        </w:rPr>
        <w:t xml:space="preserve">6</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）具备安装专业一级注册造价工程师，每人得</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分</w:t>
      </w:r>
      <w:r>
        <w:rPr>
          <w:rFonts w:hint="default" w:ascii="宋体"/>
          <w:b w:val="0"/>
          <w:bCs/>
          <w:color w:val="000000" w:themeColor="text1"/>
          <w:sz w:val="24"/>
          <w:szCs w:val="24"/>
          <w:highlight w:val="none"/>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该项总分最高为3分。</w:t>
      </w:r>
      <w:r/>
    </w:p>
    <w:p>
      <w:pPr>
        <w:ind w:left="0" w:firstLine="480"/>
        <w:keepLines w:val="0"/>
        <w:keepNext w:val="0"/>
        <w:pageBreakBefore w:val="0"/>
        <w:spacing w:line="360" w:lineRule="auto"/>
        <w:shd w:val="clear" w:color="auto"/>
        <w:widowControl w:val="off"/>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上述人员</w:t>
      </w:r>
      <w:r>
        <w:rPr>
          <w:rFonts w:hint="eastAsia" w:ascii="宋体" w:hAnsi="宋体"/>
          <w:b w:val="0"/>
          <w:bCs/>
          <w:color w:val="000000" w:themeColor="text1"/>
          <w:sz w:val="24"/>
          <w:szCs w:val="24"/>
          <w:highlight w:val="none"/>
          <w14:textFill>
            <w14:solidFill>
              <w14:schemeClr w14:val="tx1"/>
            </w14:solidFill>
          </w14:textFill>
        </w:rPr>
        <w:t xml:space="preserve">具备工程类高级及以上职称的，每人得</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分；具备工程类中级专业技术职称的，每人得</w:t>
      </w:r>
      <w:r>
        <w:rPr>
          <w:rFonts w:hint="default" w:ascii="宋体" w:hAnsi="宋体"/>
          <w:b w:val="0"/>
          <w:bCs/>
          <w:color w:val="000000" w:themeColor="text1"/>
          <w:sz w:val="24"/>
          <w:szCs w:val="24"/>
          <w:highlight w:val="none"/>
          <w14:textFill>
            <w14:solidFill>
              <w14:schemeClr w14:val="tx1"/>
            </w14:solidFill>
          </w14:textFill>
        </w:rPr>
        <w:t xml:space="preserve">0.5</w:t>
      </w:r>
      <w:r>
        <w:rPr>
          <w:rFonts w:hint="eastAsia" w:ascii="宋体" w:hAnsi="宋体"/>
          <w:b w:val="0"/>
          <w:bCs/>
          <w:color w:val="000000" w:themeColor="text1"/>
          <w:sz w:val="24"/>
          <w:szCs w:val="24"/>
          <w:highlight w:val="none"/>
          <w14:textFill>
            <w14:solidFill>
              <w14:schemeClr w14:val="tx1"/>
            </w14:solidFill>
          </w14:textFill>
        </w:rPr>
        <w:t xml:space="preserve">分，该项得分最高</w:t>
      </w:r>
      <w:r>
        <w:rPr>
          <w:rFonts w:hint="default" w:ascii="宋体" w:hAnsi="宋体"/>
          <w:b w:val="0"/>
          <w:bCs/>
          <w:color w:val="000000" w:themeColor="text1"/>
          <w:sz w:val="24"/>
          <w:szCs w:val="24"/>
          <w:highlight w:val="none"/>
          <w14:textFill>
            <w14:solidFill>
              <w14:schemeClr w14:val="tx1"/>
            </w14:solidFill>
          </w14:textFill>
        </w:rPr>
        <w:t xml:space="preserve">6</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b/>
          <w:bCs w:val="0"/>
          <w:color w:val="000000" w:themeColor="text1"/>
          <w:sz w:val="24"/>
          <w:szCs w:val="24"/>
          <w:highlight w:val="none"/>
          <w14:textFill>
            <w14:solidFill>
              <w14:schemeClr w14:val="tx1"/>
            </w14:solidFill>
          </w14:textFill>
        </w:rPr>
        <w:t xml:space="preserve">备注：</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①</w:t>
      </w:r>
      <w:r>
        <w:rPr>
          <w:rFonts w:hint="eastAsia" w:ascii="仿宋" w:hAnsi="仿宋" w:eastAsia="仿宋" w:cs="仿宋"/>
          <w:b/>
          <w:bCs w:val="0"/>
          <w:color w:val="000000" w:themeColor="text1"/>
          <w:sz w:val="24"/>
          <w:szCs w:val="24"/>
          <w:highlight w:val="none"/>
          <w14:textFill>
            <w14:solidFill>
              <w14:schemeClr w14:val="tx1"/>
            </w14:solidFill>
          </w14:textFill>
        </w:rPr>
        <w:t xml:space="preserve">由附件《项目人员配置清单》中明确的其他协审人员参与评分。</w:t>
      </w:r>
      <w:r/>
    </w:p>
    <w:p>
      <w:pPr>
        <w:numPr>
          <w:ilvl w:val="0"/>
          <w:numId w:val="0"/>
        </w:num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7030a0"/>
          <w:sz w:val="24"/>
          <w:szCs w:val="24"/>
          <w:highlight w:val="none"/>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②</w:t>
      </w:r>
      <w:r>
        <w:rPr>
          <w:rFonts w:hint="eastAsia" w:ascii="仿宋" w:hAnsi="仿宋" w:eastAsia="仿宋" w:cs="仿宋"/>
          <w:b/>
          <w:bCs w:val="0"/>
          <w:color w:val="7030a0"/>
          <w:sz w:val="24"/>
          <w:szCs w:val="24"/>
          <w:highlight w:val="none"/>
        </w:rPr>
        <w:t xml:space="preserve">返聘、临聘、已退休人员均不计分。 </w:t>
      </w:r>
      <w:r/>
    </w:p>
    <w:p>
      <w:pPr>
        <w:numPr>
          <w:ilvl w:val="0"/>
          <w:numId w:val="0"/>
        </w:num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③</w:t>
      </w:r>
      <w:r>
        <w:rPr>
          <w:rFonts w:hint="eastAsia" w:ascii="仿宋" w:hAnsi="仿宋" w:eastAsia="仿宋" w:cs="仿宋"/>
          <w:b/>
          <w:bCs w:val="0"/>
          <w:color w:val="000000" w:themeColor="text1"/>
          <w:sz w:val="24"/>
          <w:szCs w:val="24"/>
          <w:highlight w:val="none"/>
          <w14:textFill>
            <w14:solidFill>
              <w14:schemeClr w14:val="tx1"/>
            </w14:solidFill>
          </w14:textFill>
        </w:rPr>
        <w:t xml:space="preserve">已通过造价师考试，但尚未拿到注册证书的，不予计分。</w:t>
      </w:r>
      <w:r/>
    </w:p>
    <w:p>
      <w:p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④同一人具备工程类中级、工程类高级专业技术职称不可兼得分。</w:t>
      </w:r>
      <w:r/>
    </w:p>
    <w:p>
      <w:pPr>
        <w:ind w:firstLine="482"/>
        <w:keepLines w:val="0"/>
        <w:keepNext w:val="0"/>
        <w:pageBreakBefore w:val="0"/>
        <w:spacing w:line="360" w:lineRule="auto"/>
        <w:shd w:val="clear" w:color="auto"/>
        <w:widowControl w:val="off"/>
        <w:tabs>
          <w:tab w:val="left" w:pos="945" w:leader="none"/>
          <w:tab w:val="left" w:pos="1155" w:leader="none"/>
        </w:tabs>
        <w:rPr>
          <w:rFonts w:hint="default"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⑤须提供投标人连续三个月(至少包含近三个月中任意一个月份(不含投标当月))为其缴纳社保的证明扫描件）</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default" w:ascii="宋体"/>
          <w:b/>
          <w:bCs w:val="0"/>
          <w:color w:val="000000" w:themeColor="text1"/>
          <w:sz w:val="24"/>
          <w:szCs w:val="24"/>
          <w:highlight w:val="none"/>
          <w14:textFill>
            <w14:solidFill>
              <w14:schemeClr w14:val="tx1"/>
            </w14:solidFill>
          </w14:textFill>
        </w:rPr>
      </w:pPr>
      <w:r>
        <w:rPr>
          <w:rFonts w:hint="default" w:ascii="宋体" w:hAnsi="宋体"/>
          <w:b/>
          <w:bCs w:val="0"/>
          <w:color w:val="000000" w:themeColor="text1"/>
          <w:sz w:val="24"/>
          <w:szCs w:val="24"/>
          <w:highlight w:val="none"/>
          <w14:textFill>
            <w14:solidFill>
              <w14:schemeClr w14:val="tx1"/>
            </w14:solidFill>
          </w14:textFill>
        </w:rPr>
        <w:t xml:space="preserve">4</w:t>
      </w:r>
      <w:r>
        <w:rPr>
          <w:rFonts w:hint="eastAsia" w:ascii="宋体" w:hAnsi="宋体"/>
          <w:b/>
          <w:bCs w:val="0"/>
          <w:color w:val="000000" w:themeColor="text1"/>
          <w:sz w:val="24"/>
          <w:szCs w:val="24"/>
          <w:highlight w:val="none"/>
          <w14:textFill>
            <w14:solidFill>
              <w14:schemeClr w14:val="tx1"/>
            </w14:solidFill>
          </w14:textFill>
        </w:rPr>
        <w:t xml:space="preserve">、拟派项目人员业绩（</w:t>
      </w:r>
      <w:r>
        <w:rPr>
          <w:rFonts w:hint="default" w:ascii="宋体" w:hAnsi="宋体"/>
          <w:b/>
          <w:bCs w:val="0"/>
          <w:color w:val="000000" w:themeColor="text1"/>
          <w:sz w:val="24"/>
          <w:szCs w:val="24"/>
          <w:highlight w:val="none"/>
          <w14:textFill>
            <w14:solidFill>
              <w14:schemeClr w14:val="tx1"/>
            </w14:solidFill>
          </w14:textFill>
        </w:rPr>
        <w:t xml:space="preserve">31</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）拟派项目负责人业绩（</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19</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ascii="宋体" w:hAnsi="宋体"/>
          <w:b w:val="0"/>
          <w:bCs/>
          <w:color w:val="000000" w:themeColor="text1"/>
          <w:sz w:val="24"/>
          <w:szCs w:val="24"/>
          <w:highlight w:val="none"/>
          <w14:textFill>
            <w14:solidFill>
              <w14:schemeClr w14:val="tx1"/>
            </w14:solidFill>
          </w14:textFill>
        </w:rPr>
      </w:pPr>
      <w:r>
        <w:rPr>
          <w:rFonts w:hint="default" w:ascii="宋体" w:hAnsi="宋体"/>
          <w:b w:val="0"/>
          <w:bCs/>
          <w:color w:val="000000" w:themeColor="text1"/>
          <w:sz w:val="24"/>
          <w:szCs w:val="24"/>
          <w:highlight w:val="none"/>
          <w14:textFill>
            <w14:solidFill>
              <w14:schemeClr w14:val="tx1"/>
            </w14:solidFill>
          </w14:textFill>
        </w:rPr>
        <w:t xml:space="preserve">a.</w:t>
      </w:r>
      <w:r>
        <w:rPr>
          <w:rFonts w:hint="eastAsia" w:ascii="宋体" w:hAnsi="宋体"/>
          <w:b w:val="0"/>
          <w:bCs/>
          <w:color w:val="000000" w:themeColor="text1"/>
          <w:sz w:val="24"/>
          <w:szCs w:val="24"/>
          <w:highlight w:val="none"/>
          <w14:textFill>
            <w14:solidFill>
              <w14:schemeClr w14:val="tx1"/>
            </w14:solidFill>
          </w14:textFill>
        </w:rPr>
        <w:t xml:space="preserve">具有作为项目负责人近五年（时间截止至本项目投标截止之日）已完成政府投资项目</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的</w:t>
      </w:r>
      <w:r>
        <w:rPr>
          <w:rFonts w:hint="eastAsia" w:ascii="宋体" w:hAnsi="宋体"/>
          <w:b w:val="0"/>
          <w:bCs/>
          <w:color w:val="000000" w:themeColor="text1"/>
          <w:sz w:val="24"/>
          <w:szCs w:val="24"/>
          <w:highlight w:val="none"/>
          <w14:textFill>
            <w14:solidFill>
              <w14:schemeClr w14:val="tx1"/>
            </w14:solidFill>
          </w14:textFill>
        </w:rPr>
        <w:t xml:space="preserve">全过程跟踪审核（含结算审核）</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或结算审核或</w:t>
      </w:r>
      <w:r>
        <w:rPr>
          <w:rFonts w:hint="eastAsia" w:ascii="宋体" w:hAnsi="宋体"/>
          <w:b w:val="0"/>
          <w:bCs/>
          <w:color w:val="000000" w:themeColor="text1"/>
          <w:sz w:val="24"/>
          <w:szCs w:val="24"/>
          <w:highlight w:val="none"/>
          <w:shd w:val="clear" w:color="auto"/>
          <w:lang w:val="en-US" w:eastAsia="zh-CN"/>
          <w14:textFill>
            <w14:solidFill>
              <w14:schemeClr w14:val="tx1"/>
            </w14:solidFill>
          </w14:textFill>
        </w:rPr>
        <w:t xml:space="preserve">复审</w:t>
      </w:r>
      <w:r>
        <w:rPr>
          <w:rFonts w:hint="eastAsia" w:ascii="宋体" w:hAnsi="宋体"/>
          <w:b w:val="0"/>
          <w:bCs/>
          <w:color w:val="000000" w:themeColor="text1"/>
          <w:sz w:val="24"/>
          <w:szCs w:val="24"/>
          <w:highlight w:val="none"/>
          <w14:textFill>
            <w14:solidFill>
              <w14:schemeClr w14:val="tx1"/>
            </w14:solidFill>
          </w14:textFill>
        </w:rPr>
        <w:t xml:space="preserve">业绩的，</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有一个</w:t>
      </w:r>
      <w:r>
        <w:rPr>
          <w:rFonts w:hint="eastAsia" w:ascii="宋体" w:hAnsi="宋体"/>
          <w:b w:val="0"/>
          <w:bCs/>
          <w:color w:val="000000" w:themeColor="text1"/>
          <w:sz w:val="24"/>
          <w:szCs w:val="24"/>
          <w:highlight w:val="none"/>
          <w14:textFill>
            <w14:solidFill>
              <w14:schemeClr w14:val="tx1"/>
            </w14:solidFill>
          </w14:textFill>
        </w:rPr>
        <w:t xml:space="preserve">得</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分，该项总分最高为</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b w:val="0"/>
          <w:bCs/>
          <w:color w:val="000000" w:themeColor="text1"/>
          <w:sz w:val="24"/>
          <w:szCs w:val="24"/>
          <w:highlight w:val="none"/>
          <w14:textFill>
            <w14:solidFill>
              <w14:schemeClr w14:val="tx1"/>
            </w14:solidFill>
          </w14:textFill>
        </w:rPr>
        <w:t xml:space="preserve">分。</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                  </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*备注：</w:t>
      </w:r>
      <w:r>
        <w:rPr>
          <w:rFonts w:hint="eastAsia" w:ascii="仿宋" w:hAnsi="仿宋" w:eastAsia="仿宋" w:cs="仿宋"/>
          <w:b/>
          <w:bCs w:val="0"/>
          <w:color w:val="000000" w:themeColor="text1"/>
          <w:sz w:val="24"/>
          <w:szCs w:val="24"/>
          <w:highlight w:val="none"/>
          <w14:textFill>
            <w14:solidFill>
              <w14:schemeClr w14:val="tx1"/>
            </w14:solidFill>
          </w14:textFill>
        </w:rPr>
        <w:t xml:space="preserve">项目负责人业绩认定以项目负责人在审定单上</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或复审意见单上</w:t>
      </w:r>
      <w:r>
        <w:rPr>
          <w:rFonts w:hint="eastAsia" w:ascii="仿宋" w:hAnsi="仿宋" w:eastAsia="仿宋" w:cs="仿宋"/>
          <w:b/>
          <w:bCs w:val="0"/>
          <w:color w:val="000000" w:themeColor="text1"/>
          <w:sz w:val="24"/>
          <w:szCs w:val="24"/>
          <w:highlight w:val="none"/>
          <w14:textFill>
            <w14:solidFill>
              <w14:schemeClr w14:val="tx1"/>
            </w14:solidFill>
          </w14:textFill>
        </w:rPr>
        <w:t xml:space="preserve">的签字或盖章为准，</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业绩必须为审核已完成的项目，全过程跟踪审核（含结算审核）、结算审核 以最终的结算审核报告出具时间为准，复审服务以最终的复审审核报告（或复审意见单）出具时间为准。仅完成跟踪的全过程跟踪项目（结算未完成）或单纯的跟踪项目不予得分。</w:t>
      </w:r>
      <w:r>
        <w:rPr>
          <w:rFonts w:hint="eastAsia" w:ascii="仿宋" w:hAnsi="仿宋" w:eastAsia="仿宋" w:cs="仿宋"/>
          <w:b/>
          <w:bCs w:val="0"/>
          <w:color w:val="000000" w:themeColor="text1"/>
          <w:sz w:val="24"/>
          <w:szCs w:val="24"/>
          <w:highlight w:val="none"/>
          <w14:textFill>
            <w14:solidFill>
              <w14:schemeClr w14:val="tx1"/>
            </w14:solidFill>
          </w14:textFill>
        </w:rPr>
        <w:t xml:space="preserve">同时该名人员必须为委托合同内明确的项目负责人，如委托合同未明确项目负责人或人员发生更换的，需提供委托方相关证明材料。</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eastAsia" w:ascii="宋体" w:hAnsi="宋体"/>
          <w:b w:val="0"/>
          <w:bCs/>
          <w:color w:val="000000" w:themeColor="text1"/>
          <w:sz w:val="24"/>
          <w:szCs w:val="24"/>
          <w:highlight w:val="none"/>
          <w14:textFill>
            <w14:solidFill>
              <w14:schemeClr w14:val="tx1"/>
            </w14:solidFill>
          </w14:textFill>
        </w:rPr>
      </w:pPr>
      <w:r>
        <w:rPr>
          <w:rFonts w:hint="default" w:ascii="宋体" w:hAnsi="宋体"/>
          <w:b w:val="0"/>
          <w:bCs/>
          <w:color w:val="000000" w:themeColor="text1"/>
          <w:sz w:val="24"/>
          <w:szCs w:val="24"/>
          <w:highlight w:val="none"/>
          <w14:textFill>
            <w14:solidFill>
              <w14:schemeClr w14:val="tx1"/>
            </w14:solidFill>
          </w14:textFill>
        </w:rPr>
        <w:t xml:space="preserve">b.</w:t>
      </w:r>
      <w:r>
        <w:rPr>
          <w:rFonts w:hint="eastAsia" w:ascii="宋体" w:hAnsi="宋体"/>
          <w:b w:val="0"/>
          <w:bCs/>
          <w:color w:val="000000" w:themeColor="text1"/>
          <w:sz w:val="24"/>
          <w:szCs w:val="24"/>
          <w:highlight w:val="none"/>
          <w14:textFill>
            <w14:solidFill>
              <w14:schemeClr w14:val="tx1"/>
            </w14:solidFill>
          </w14:textFill>
        </w:rPr>
        <w:t xml:space="preserve">具有作为非项目</w:t>
      </w:r>
      <w:r>
        <w:rPr>
          <w:rFonts w:hint="eastAsia" w:ascii="宋体" w:hAnsi="宋体"/>
          <w:b w:val="0"/>
          <w:bCs/>
          <w:color w:val="000000" w:themeColor="text1"/>
          <w:sz w:val="24"/>
          <w:szCs w:val="24"/>
          <w:highlight w:val="none"/>
          <w:lang w:eastAsia="zh-CN"/>
          <w14:textFill>
            <w14:solidFill>
              <w14:schemeClr w14:val="tx1"/>
            </w14:solidFill>
          </w14:textFill>
        </w:rPr>
        <w:t xml:space="preserve">负责人</w:t>
      </w:r>
      <w:r>
        <w:rPr>
          <w:rFonts w:hint="eastAsia" w:ascii="宋体" w:hAnsi="宋体"/>
          <w:b w:val="0"/>
          <w:bCs/>
          <w:color w:val="000000" w:themeColor="text1"/>
          <w:sz w:val="24"/>
          <w:szCs w:val="24"/>
          <w:highlight w:val="none"/>
          <w14:textFill>
            <w14:solidFill>
              <w14:schemeClr w14:val="tx1"/>
            </w14:solidFill>
          </w14:textFill>
        </w:rPr>
        <w:t xml:space="preserve">近五年（时间截止至本项目投标截止之日）已完成政府投资项目</w:t>
      </w:r>
      <w:r>
        <w:rPr>
          <w:rFonts w:hint="eastAsia" w:ascii="宋体" w:hAnsi="宋体"/>
          <w:b w:val="0"/>
          <w:bCs/>
          <w:color w:val="000000" w:themeColor="text1"/>
          <w:sz w:val="24"/>
          <w:szCs w:val="24"/>
          <w:highlight w:val="none"/>
          <w:shd w:val="clear" w:color="auto"/>
          <w14:textFill>
            <w14:solidFill>
              <w14:schemeClr w14:val="tx1"/>
            </w14:solidFill>
          </w14:textFill>
        </w:rPr>
        <w:t xml:space="preserve">的</w:t>
      </w:r>
      <w:r>
        <w:rPr>
          <w:rFonts w:hint="eastAsia" w:ascii="宋体" w:hAnsi="宋体"/>
          <w:b w:val="0"/>
          <w:bCs/>
          <w:color w:val="000000" w:themeColor="text1"/>
          <w:sz w:val="24"/>
          <w:szCs w:val="24"/>
          <w:highlight w:val="none"/>
          <w:shd w:val="clear" w:color="auto"/>
          <w:lang w:val="en-US" w:eastAsia="zh-CN"/>
          <w14:textFill>
            <w14:solidFill>
              <w14:schemeClr w14:val="tx1"/>
            </w14:solidFill>
          </w14:textFill>
        </w:rPr>
        <w:t xml:space="preserve">全过程跟踪审核（含结算审核）或结算审核或复审</w:t>
      </w:r>
      <w:r>
        <w:rPr>
          <w:rFonts w:hint="eastAsia" w:ascii="宋体" w:hAnsi="宋体"/>
          <w:b w:val="0"/>
          <w:bCs/>
          <w:color w:val="000000" w:themeColor="text1"/>
          <w:sz w:val="24"/>
          <w:szCs w:val="24"/>
          <w:highlight w:val="none"/>
          <w:shd w:val="clear" w:color="auto"/>
          <w14:textFill>
            <w14:solidFill>
              <w14:schemeClr w14:val="tx1"/>
            </w14:solidFill>
          </w14:textFill>
        </w:rPr>
        <w:t xml:space="preserve">业</w:t>
      </w:r>
      <w:r>
        <w:rPr>
          <w:rFonts w:hint="eastAsia" w:ascii="宋体" w:hAnsi="宋体"/>
          <w:b w:val="0"/>
          <w:bCs/>
          <w:color w:val="000000" w:themeColor="text1"/>
          <w:sz w:val="24"/>
          <w:szCs w:val="24"/>
          <w:highlight w:val="none"/>
          <w14:textFill>
            <w14:solidFill>
              <w14:schemeClr w14:val="tx1"/>
            </w14:solidFill>
          </w14:textFill>
        </w:rPr>
        <w:t xml:space="preserve">绩的，</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有一个</w:t>
      </w:r>
      <w:r>
        <w:rPr>
          <w:rFonts w:hint="eastAsia" w:ascii="宋体" w:hAnsi="宋体"/>
          <w:b w:val="0"/>
          <w:bCs/>
          <w:color w:val="000000" w:themeColor="text1"/>
          <w:sz w:val="24"/>
          <w:szCs w:val="24"/>
          <w:highlight w:val="none"/>
          <w14:textFill>
            <w14:solidFill>
              <w14:schemeClr w14:val="tx1"/>
            </w14:solidFill>
          </w14:textFill>
        </w:rPr>
        <w:t xml:space="preserve">得</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分。该项总分最高为</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宋体" w:hAnsi="宋体" w:eastAsia="宋体"/>
          <w:b w:val="0"/>
          <w:bCs/>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*备注：业绩认定以项目负责人在</w:t>
      </w:r>
      <w:r>
        <w:rPr>
          <w:rFonts w:hint="eastAsia" w:ascii="仿宋" w:hAnsi="仿宋" w:eastAsia="仿宋" w:cs="仿宋"/>
          <w:b/>
          <w:bCs w:val="0"/>
          <w:color w:val="0000ff"/>
          <w:sz w:val="24"/>
          <w:szCs w:val="24"/>
          <w:highlight w:val="none"/>
          <w:lang w:val="en-US" w:eastAsia="zh-CN"/>
        </w:rPr>
        <w:t xml:space="preserve">结算审核报告或审定单或复审意见单</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的签字或盖章为准</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）拟派</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其他协审</w:t>
      </w:r>
      <w:r>
        <w:rPr>
          <w:rFonts w:hint="eastAsia" w:ascii="宋体" w:hAnsi="宋体"/>
          <w:b w:val="0"/>
          <w:bCs/>
          <w:color w:val="000000" w:themeColor="text1"/>
          <w:sz w:val="24"/>
          <w:szCs w:val="24"/>
          <w:highlight w:val="none"/>
          <w14:textFill>
            <w14:solidFill>
              <w14:schemeClr w14:val="tx1"/>
            </w14:solidFill>
          </w14:textFill>
        </w:rPr>
        <w:t xml:space="preserve">人员业绩（</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widowControl w:val="off"/>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近五年（时间截止至本项目开标之日）已完成的政府投资项目的</w:t>
      </w:r>
      <w:r>
        <w:rPr>
          <w:rFonts w:hint="eastAsia" w:ascii="宋体" w:hAnsi="宋体"/>
          <w:b w:val="0"/>
          <w:bCs/>
          <w:color w:val="000000" w:themeColor="text1"/>
          <w:sz w:val="24"/>
          <w:szCs w:val="24"/>
          <w:highlight w:val="none"/>
          <w:shd w:val="clear" w:color="auto"/>
          <w:lang w:val="en-US" w:eastAsia="zh-CN"/>
          <w14:textFill>
            <w14:solidFill>
              <w14:schemeClr w14:val="tx1"/>
            </w14:solidFill>
          </w14:textFill>
        </w:rPr>
        <w:t xml:space="preserve">全过程跟踪审计（含结算审计）或结算审计或结算复审</w:t>
      </w:r>
      <w:r>
        <w:rPr>
          <w:rFonts w:hint="eastAsia" w:ascii="宋体" w:hAnsi="宋体"/>
          <w:b w:val="0"/>
          <w:bCs/>
          <w:color w:val="000000" w:themeColor="text1"/>
          <w:sz w:val="24"/>
          <w:szCs w:val="24"/>
          <w:highlight w:val="none"/>
          <w14:textFill>
            <w14:solidFill>
              <w14:schemeClr w14:val="tx1"/>
            </w14:solidFill>
          </w14:textFill>
        </w:rPr>
        <w:t xml:space="preserve">业绩的，每有一个得</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b w:val="0"/>
          <w:bCs/>
          <w:color w:val="000000" w:themeColor="text1"/>
          <w:sz w:val="24"/>
          <w:szCs w:val="24"/>
          <w:highlight w:val="none"/>
          <w14:textFill>
            <w14:solidFill>
              <w14:schemeClr w14:val="tx1"/>
            </w14:solidFill>
          </w14:textFill>
        </w:rPr>
        <w:t xml:space="preserve">分，该项最高</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*备注：</w:t>
      </w:r>
      <w:r/>
    </w:p>
    <w:p>
      <w:p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①由附件《项目人员配置清单》中明确的其他协审人员参与评分。</w:t>
      </w:r>
      <w:r/>
    </w:p>
    <w:p>
      <w:p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②业绩证明材料所附资料与投标人业绩一致；</w:t>
      </w:r>
      <w:r/>
    </w:p>
    <w:p>
      <w:p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③所有业绩不重复得分，如</w:t>
      </w:r>
      <w:r>
        <w:rPr>
          <w:rFonts w:hint="eastAsia" w:ascii="仿宋" w:hAnsi="仿宋" w:eastAsia="仿宋" w:cs="仿宋"/>
          <w:b/>
          <w:bCs w:val="0"/>
          <w:color w:val="0000ff"/>
          <w:sz w:val="24"/>
          <w:szCs w:val="24"/>
          <w:highlight w:val="none"/>
          <w:lang w:val="en-US" w:eastAsia="zh-CN"/>
        </w:rPr>
        <w:t xml:space="preserve">审核报告或审定单或复审意见单</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的审核人员若为多人签署，则仅能作为一人业绩；</w:t>
      </w:r>
      <w:r/>
    </w:p>
    <w:p>
      <w:pPr>
        <w:ind w:firstLine="482"/>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④业绩以相关人员在</w:t>
      </w:r>
      <w:r>
        <w:rPr>
          <w:rFonts w:hint="eastAsia" w:ascii="仿宋" w:hAnsi="仿宋" w:eastAsia="仿宋" w:cs="仿宋"/>
          <w:b/>
          <w:bCs w:val="0"/>
          <w:color w:val="0000ff"/>
          <w:sz w:val="24"/>
          <w:szCs w:val="24"/>
          <w:highlight w:val="none"/>
          <w:lang w:val="en-US" w:eastAsia="zh-CN"/>
        </w:rPr>
        <w:t xml:space="preserve">审核报告或审定单或复审意见单</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的签字或盖章为准。</w:t>
      </w:r>
      <w:r/>
    </w:p>
    <w:p>
      <w:pPr>
        <w:ind w:firstLine="640"/>
        <w:jc w:val="center"/>
        <w:keepLines w:val="0"/>
        <w:keepNext w:val="0"/>
        <w:pageBreakBefore w:val="0"/>
        <w:spacing w:before="181" w:after="0" w:line="312" w:lineRule="auto"/>
        <w:shd w:val="clear" w:color="auto"/>
        <w:widowControl w:val="off"/>
        <w:rPr>
          <w:rFonts w:hint="eastAsia" w:ascii="微软雅黑" w:hAnsi="微软雅黑" w:eastAsia="微软雅黑" w:cs="微软雅黑"/>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lang w:val="en-US" w:eastAsia="zh-CN" w:bidi="ar-SA"/>
          <w14:textFill>
            <w14:solidFill>
              <w14:schemeClr w14:val="tx1"/>
            </w14:solidFill>
          </w14:textFill>
        </w:rPr>
        <w:t xml:space="preserve">B.技术部分（42分）</w:t>
      </w:r>
      <w:r/>
    </w:p>
    <w:p>
      <w:pPr>
        <w:ind w:left="0" w:firstLine="480"/>
        <w:jc w:val="center"/>
        <w:keepLines w:val="0"/>
        <w:keepNext w:val="0"/>
        <w:pageBreakBefore w:val="0"/>
        <w:spacing w:line="360" w:lineRule="auto"/>
        <w:shd w:val="clear" w:color="auto"/>
        <w:widowControl w:val="off"/>
        <w:tabs>
          <w:tab w:val="left" w:pos="945" w:leader="none"/>
          <w:tab w:val="left" w:pos="1155" w:leader="none"/>
        </w:tabs>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（技术方案正文部分总页数控制在100页内。）</w:t>
      </w:r>
      <w:r/>
    </w:p>
    <w:p>
      <w:pPr>
        <w:numPr>
          <w:ilvl w:val="0"/>
          <w:numId w:val="3"/>
        </w:numPr>
        <w:ind w:firstLine="482"/>
        <w:keepLines w:val="0"/>
        <w:keepNext w:val="0"/>
        <w:pageBreakBefore w:val="0"/>
        <w:spacing w:line="360" w:lineRule="auto"/>
        <w:shd w:val="clear" w:color="auto"/>
        <w:widowControl w:val="off"/>
        <w:tabs>
          <w:tab w:val="left" w:pos="945" w:leader="none"/>
          <w:tab w:val="left" w:pos="115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复审方案（</w:t>
      </w:r>
      <w:r>
        <w:rPr>
          <w:rFonts w:hint="default" w:ascii="宋体" w:hAnsi="宋体"/>
          <w:b/>
          <w:bCs w:val="0"/>
          <w:color w:val="000000" w:themeColor="text1"/>
          <w:sz w:val="24"/>
          <w:szCs w:val="24"/>
          <w:highlight w:val="none"/>
          <w14:textFill>
            <w14:solidFill>
              <w14:schemeClr w14:val="tx1"/>
            </w14:solidFill>
          </w14:textFill>
        </w:rPr>
        <w:t xml:space="preserve">20</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复审实施大纲。结合政府投资项目特点，针对本次招标项目，列出投标单位自身的技术优势，并提交科学、合理、操作性强的项目协审实施大纲，大纲应包含协审人员管理、造价控制流程、造价审核方法、关键环节控制、协审质量及效率保证措施、档案管理、廉洁管理</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EPC协审特点阐述</w:t>
      </w:r>
      <w:r>
        <w:rPr>
          <w:rFonts w:hint="eastAsia" w:ascii="宋体" w:hAnsi="宋体"/>
          <w:b w:val="0"/>
          <w:bCs/>
          <w:color w:val="000000" w:themeColor="text1"/>
          <w:sz w:val="24"/>
          <w:szCs w:val="24"/>
          <w:highlight w:val="none"/>
          <w14:textFill>
            <w14:solidFill>
              <w14:schemeClr w14:val="tx1"/>
            </w14:solidFill>
          </w14:textFill>
        </w:rPr>
        <w:t xml:space="preserve">等，由评审专家比较与评价后按如下要求打分。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大纲思路清晰、简洁明了、目标明确、内容全面、科学合理、操作性强的</w:t>
      </w:r>
      <w:r>
        <w:rPr>
          <w:rFonts w:hint="default" w:ascii="宋体" w:hAnsi="宋体"/>
          <w:b w:val="0"/>
          <w:bCs/>
          <w:color w:val="000000" w:themeColor="text1"/>
          <w:sz w:val="24"/>
          <w:szCs w:val="24"/>
          <w:highlight w:val="none"/>
          <w14:textFill>
            <w14:solidFill>
              <w14:schemeClr w14:val="tx1"/>
            </w14:solidFill>
          </w14:textFill>
        </w:rPr>
        <w:t xml:space="preserve">10</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大纲思路较清晰、较简洁明了、目标较明确、内容较全面、较科学合理、操作性较强的</w:t>
      </w:r>
      <w:r>
        <w:rPr>
          <w:rFonts w:hint="default" w:ascii="宋体" w:hAnsi="宋体"/>
          <w:b w:val="0"/>
          <w:bCs/>
          <w:color w:val="000000" w:themeColor="text1"/>
          <w:sz w:val="24"/>
          <w:szCs w:val="24"/>
          <w:highlight w:val="none"/>
          <w14:textFill>
            <w14:solidFill>
              <w14:schemeClr w14:val="tx1"/>
            </w14:solidFill>
          </w14:textFill>
        </w:rPr>
        <w:t xml:space="preserve">8</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大纲思路一般、简洁明了程度一般、目标明确度一般、内容全面性一般、科学合理性一般、操作性一般的</w:t>
      </w:r>
      <w:r>
        <w:rPr>
          <w:rFonts w:hint="default" w:ascii="宋体" w:hAnsi="宋体"/>
          <w:b w:val="0"/>
          <w:bCs/>
          <w:color w:val="000000" w:themeColor="text1"/>
          <w:sz w:val="24"/>
          <w:szCs w:val="24"/>
          <w:highlight w:val="none"/>
          <w14:textFill>
            <w14:solidFill>
              <w14:schemeClr w14:val="tx1"/>
            </w14:solidFill>
          </w14:textFill>
        </w:rPr>
        <w:t xml:space="preserve">7</w:t>
      </w:r>
      <w:r>
        <w:rPr>
          <w:rFonts w:hint="eastAsia" w:ascii="宋体" w:hAnsi="宋体"/>
          <w:b w:val="0"/>
          <w:bCs/>
          <w:color w:val="000000" w:themeColor="text1"/>
          <w:sz w:val="24"/>
          <w:szCs w:val="24"/>
          <w:highlight w:val="none"/>
          <w14:textFill>
            <w14:solidFill>
              <w14:schemeClr w14:val="tx1"/>
            </w14:solidFill>
          </w14:textFill>
        </w:rPr>
        <w:t xml:space="preserve">分；</w:t>
      </w:r>
      <w:r>
        <w:rPr>
          <w:rFonts w:hint="default" w:ascii="宋体" w:hAnsi="宋体"/>
          <w:b w:val="0"/>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大纲思路基本清晰、目标基本明确、内容基本较全的</w:t>
      </w:r>
      <w:r>
        <w:rPr>
          <w:rFonts w:hint="default" w:ascii="宋体" w:hAnsi="宋体"/>
          <w:b w:val="0"/>
          <w:bCs/>
          <w:color w:val="000000" w:themeColor="text1"/>
          <w:sz w:val="24"/>
          <w:szCs w:val="24"/>
          <w:highlight w:val="none"/>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无方案不得分。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）复审重点及思路建议。剖析本次招标项目的审核重点、难点，并提出本项目造价控制精细化管理思路及合理化建议，由评审专家比较与评价后按如下要求打分。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紧密结合项目特点、针对性强、重点罗列清晰明确、措施有效性强、重点难点突出、进度质量措施科学合理、思路建议可行性强的</w:t>
      </w:r>
      <w:r>
        <w:rPr>
          <w:rFonts w:hint="default" w:ascii="宋体" w:hAnsi="宋体"/>
          <w:b w:val="0"/>
          <w:bCs/>
          <w:color w:val="000000" w:themeColor="text1"/>
          <w:sz w:val="24"/>
          <w:szCs w:val="24"/>
          <w:highlight w:val="none"/>
          <w14:textFill>
            <w14:solidFill>
              <w14:schemeClr w14:val="tx1"/>
            </w14:solidFill>
          </w14:textFill>
        </w:rPr>
        <w:t xml:space="preserve">10</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结合项目特点较紧密、针对性较强、重点罗列较清晰明确、措施有效性较强、重点难点较突出、进度质量措施较科学合理、思路建议可行性较强的</w:t>
      </w:r>
      <w:r>
        <w:rPr>
          <w:rFonts w:hint="default" w:ascii="宋体" w:hAnsi="宋体"/>
          <w:b w:val="0"/>
          <w:bCs/>
          <w:color w:val="000000" w:themeColor="text1"/>
          <w:sz w:val="24"/>
          <w:szCs w:val="24"/>
          <w:highlight w:val="none"/>
          <w14:textFill>
            <w14:solidFill>
              <w14:schemeClr w14:val="tx1"/>
            </w14:solidFill>
          </w14:textFill>
        </w:rPr>
        <w:t xml:space="preserve">8</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结合项目特点一般、针对性一般、重点罗列基本清晰明确、措施有效性一般、重点难点突出性一般、进度质量措施一般、思路建议一般的</w:t>
      </w:r>
      <w:r>
        <w:rPr>
          <w:rFonts w:hint="default" w:ascii="宋体" w:hAnsi="宋体"/>
          <w:b w:val="0"/>
          <w:bCs/>
          <w:color w:val="000000" w:themeColor="text1"/>
          <w:sz w:val="24"/>
          <w:szCs w:val="24"/>
          <w:highlight w:val="none"/>
          <w14:textFill>
            <w14:solidFill>
              <w14:schemeClr w14:val="tx1"/>
            </w14:solidFill>
          </w14:textFill>
        </w:rPr>
        <w:t xml:space="preserve">7</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基本能结合项目特点、有基本措施、有基本进度质量措施、内容基本全面的</w:t>
      </w:r>
      <w:r>
        <w:rPr>
          <w:rFonts w:hint="default" w:ascii="宋体" w:hAnsi="宋体"/>
          <w:b w:val="0"/>
          <w:bCs/>
          <w:color w:val="000000" w:themeColor="text1"/>
          <w:sz w:val="24"/>
          <w:szCs w:val="24"/>
          <w:highlight w:val="none"/>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无方案不得分。</w:t>
      </w:r>
      <w:r/>
    </w:p>
    <w:p>
      <w:pPr>
        <w:ind w:firstLine="482"/>
        <w:keepLines w:val="0"/>
        <w:keepNext w:val="0"/>
        <w:pageBreakBefore w:val="0"/>
        <w:spacing w:line="360" w:lineRule="auto"/>
        <w:shd w:val="clear" w:color="auto"/>
        <w:widowControl w:val="off"/>
        <w:rPr>
          <w:rFonts w:hint="eastAsia" w:ascii="宋体" w:eastAsia="宋体"/>
          <w:b/>
          <w:bCs w:val="0"/>
          <w:color w:val="000000" w:themeColor="text1"/>
          <w:sz w:val="24"/>
          <w:szCs w:val="24"/>
          <w:highlight w:val="none"/>
          <w14:textFill>
            <w14:solidFill>
              <w14:schemeClr w14:val="tx1"/>
            </w14:solidFill>
          </w14:textFill>
        </w:rPr>
      </w:pPr>
      <w:r>
        <w:rPr>
          <w:rFonts w:hint="default" w:ascii="宋体" w:hAnsi="宋体"/>
          <w:b/>
          <w:bCs w:val="0"/>
          <w:color w:val="000000" w:themeColor="text1"/>
          <w:sz w:val="24"/>
          <w:szCs w:val="24"/>
          <w:highlight w:val="none"/>
          <w14:textFill>
            <w14:solidFill>
              <w14:schemeClr w14:val="tx1"/>
            </w14:solidFill>
          </w14:textFill>
        </w:rPr>
        <w:t xml:space="preserve">2</w:t>
      </w:r>
      <w:r>
        <w:rPr>
          <w:rFonts w:hint="eastAsia" w:ascii="宋体" w:hAnsi="宋体"/>
          <w:b/>
          <w:bCs w:val="0"/>
          <w:color w:val="000000" w:themeColor="text1"/>
          <w:sz w:val="24"/>
          <w:szCs w:val="24"/>
          <w:highlight w:val="none"/>
          <w14:textFill>
            <w14:solidFill>
              <w14:schemeClr w14:val="tx1"/>
            </w14:solidFill>
          </w14:textFill>
        </w:rPr>
        <w:t xml:space="preserve">、审核质效控制制度和信息化管理（</w:t>
      </w:r>
      <w:r>
        <w:rPr>
          <w:rFonts w:hint="default" w:ascii="宋体" w:hAnsi="宋体"/>
          <w:b/>
          <w:bCs w:val="0"/>
          <w:color w:val="000000" w:themeColor="text1"/>
          <w:sz w:val="24"/>
          <w:szCs w:val="24"/>
          <w:highlight w:val="none"/>
          <w14:textFill>
            <w14:solidFill>
              <w14:schemeClr w14:val="tx1"/>
            </w14:solidFill>
          </w14:textFill>
        </w:rPr>
        <w:t xml:space="preserve">10</w:t>
      </w:r>
      <w:r>
        <w:rPr>
          <w:rFonts w:hint="eastAsia" w:ascii="宋体" w:hAnsi="宋体"/>
          <w:b/>
          <w:bCs w:val="0"/>
          <w:color w:val="000000" w:themeColor="text1"/>
          <w:sz w:val="24"/>
          <w:szCs w:val="24"/>
          <w:highlight w:val="none"/>
          <w14:textFill>
            <w14:solidFill>
              <w14:schemeClr w14:val="tx1"/>
            </w14:solidFill>
          </w14:textFill>
        </w:rPr>
        <w:t xml:space="preserve">分）</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）内部控制制度</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提交投标单位为保障审核质量、审核效率等制订并现行实施的相关内部控制制度材料，由评审专家比较与评价后按如下要求打分。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制度内容条理清晰、合理、详细、全面、针对性强、可行性强的</w:t>
      </w:r>
      <w:r>
        <w:rPr>
          <w:rFonts w:hint="default" w:ascii="宋体" w:hAnsi="宋体"/>
          <w:b w:val="0"/>
          <w:bCs/>
          <w:color w:val="000000" w:themeColor="text1"/>
          <w:sz w:val="24"/>
          <w:szCs w:val="24"/>
          <w:highlight w:val="none"/>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制度内容条理较清晰、较合理、较详细、较全面、针对性较强、可行性较强的</w:t>
      </w:r>
      <w:r>
        <w:rPr>
          <w:rFonts w:hint="default" w:ascii="宋体" w:hAnsi="宋体"/>
          <w:b w:val="0"/>
          <w:bCs/>
          <w:color w:val="000000" w:themeColor="text1"/>
          <w:sz w:val="24"/>
          <w:szCs w:val="24"/>
          <w:highlight w:val="none"/>
          <w14:textFill>
            <w14:solidFill>
              <w14:schemeClr w14:val="tx1"/>
            </w14:solidFill>
          </w14:textFill>
        </w:rPr>
        <w:t xml:space="preserve">4</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制度内容条理清晰性一般、合理性一般、基本详细、基本全面、针对性一般、可行性一般的</w:t>
      </w:r>
      <w:r>
        <w:rPr>
          <w:rFonts w:hint="default" w:ascii="宋体" w:hAnsi="宋体"/>
          <w:b w:val="0"/>
          <w:bCs/>
          <w:color w:val="000000" w:themeColor="text1"/>
          <w:sz w:val="24"/>
          <w:szCs w:val="24"/>
          <w:highlight w:val="none"/>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制度内容基本合理、内容基本全面的</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eastAsia="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无制度不得分、无信息化管理不得分。</w:t>
      </w:r>
      <w:r/>
    </w:p>
    <w:p>
      <w:pPr>
        <w:ind w:firstLine="480"/>
        <w:keepLines w:val="0"/>
        <w:keepNext w:val="0"/>
        <w:pageBreakBefore w:val="0"/>
        <w:spacing w:line="360" w:lineRule="auto"/>
        <w:shd w:val="clear" w:color="auto"/>
        <w:widowControl w:val="off"/>
        <w:rPr>
          <w:rFonts w:hint="default"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）信息化系统</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提交投标单位目前正在使用的，自行或委托开发建设的项目审核管理方面的信息化系统的说明材料，说明材料应描述系统主要模块、系统功能、系统亮点，由评审专家比较与评价后按如下要求打分。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提供的说明材料条理清晰、合理、详细、齐全、针对性强、可行性强的</w:t>
      </w:r>
      <w:r>
        <w:rPr>
          <w:rFonts w:hint="default" w:ascii="宋体" w:hAnsi="宋体"/>
          <w:b w:val="0"/>
          <w:bCs/>
          <w:color w:val="000000" w:themeColor="text1"/>
          <w:sz w:val="24"/>
          <w:szCs w:val="24"/>
          <w:highlight w:val="none"/>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提供的说明材料条理较清晰、较合理、较详细、较全面、针对性较强、可行性较强的</w:t>
      </w:r>
      <w:r>
        <w:rPr>
          <w:rFonts w:hint="default" w:ascii="宋体" w:hAnsi="宋体"/>
          <w:b w:val="0"/>
          <w:bCs/>
          <w:color w:val="000000" w:themeColor="text1"/>
          <w:sz w:val="24"/>
          <w:szCs w:val="24"/>
          <w:highlight w:val="none"/>
          <w14:textFill>
            <w14:solidFill>
              <w14:schemeClr w14:val="tx1"/>
            </w14:solidFill>
          </w14:textFill>
        </w:rPr>
        <w:t xml:space="preserve">4</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提供的说明材料条理清晰性一般、合理性一般、基本详细、基本全面、针对性一般、可行性一般的</w:t>
      </w:r>
      <w:r>
        <w:rPr>
          <w:rFonts w:hint="default" w:ascii="宋体" w:hAnsi="宋体"/>
          <w:b w:val="0"/>
          <w:bCs/>
          <w:color w:val="000000" w:themeColor="text1"/>
          <w:sz w:val="24"/>
          <w:szCs w:val="24"/>
          <w:highlight w:val="none"/>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提供的说明材料内容基本合理、内容基本全面的</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无制度不得分、无信息化管理不得分。</w:t>
      </w:r>
      <w:r/>
    </w:p>
    <w:p>
      <w:pPr>
        <w:ind w:firstLine="482"/>
        <w:keepLines w:val="0"/>
        <w:keepNext w:val="0"/>
        <w:pageBreakBefore w:val="0"/>
        <w:spacing w:line="360" w:lineRule="auto"/>
        <w:shd w:val="clear" w:color="auto"/>
        <w:widowControl w:val="off"/>
        <w:tabs>
          <w:tab w:val="left" w:pos="945" w:leader="none"/>
          <w:tab w:val="left" w:pos="1155" w:leader="none"/>
        </w:tabs>
        <w:rPr>
          <w:rFonts w:hint="eastAsia" w:ascii="宋体" w:eastAsia="宋体"/>
          <w:b/>
          <w:bCs w:val="0"/>
          <w:color w:val="000000" w:themeColor="text1"/>
          <w:sz w:val="24"/>
          <w:szCs w:val="24"/>
          <w:highlight w:val="none"/>
          <w14:textFill>
            <w14:solidFill>
              <w14:schemeClr w14:val="tx1"/>
            </w14:solidFill>
          </w14:textFill>
        </w:rPr>
      </w:pPr>
      <w:r>
        <w:rPr>
          <w:rFonts w:hint="default" w:ascii="宋体" w:hAnsi="宋体"/>
          <w:b/>
          <w:bCs w:val="0"/>
          <w:color w:val="000000" w:themeColor="text1"/>
          <w:sz w:val="24"/>
          <w:szCs w:val="24"/>
          <w:highlight w:val="none"/>
          <w14:textFill>
            <w14:solidFill>
              <w14:schemeClr w14:val="tx1"/>
            </w14:solidFill>
          </w14:textFill>
        </w:rPr>
        <w:t xml:space="preserve">3</w:t>
      </w:r>
      <w:r>
        <w:rPr>
          <w:rFonts w:hint="eastAsia" w:ascii="宋体" w:hAnsi="宋体"/>
          <w:b/>
          <w:bCs w:val="0"/>
          <w:color w:val="000000" w:themeColor="text1"/>
          <w:sz w:val="24"/>
          <w:szCs w:val="24"/>
          <w:highlight w:val="none"/>
          <w14:textFill>
            <w14:solidFill>
              <w14:schemeClr w14:val="tx1"/>
            </w14:solidFill>
          </w14:textFill>
        </w:rPr>
        <w:t xml:space="preserve">、服务承诺（</w:t>
      </w:r>
      <w:r>
        <w:rPr>
          <w:rFonts w:hint="default" w:ascii="宋体" w:hAnsi="宋体"/>
          <w:b/>
          <w:bCs w:val="0"/>
          <w:color w:val="000000" w:themeColor="text1"/>
          <w:sz w:val="24"/>
          <w:szCs w:val="24"/>
          <w:highlight w:val="none"/>
          <w14:textFill>
            <w14:solidFill>
              <w14:schemeClr w14:val="tx1"/>
            </w14:solidFill>
          </w14:textFill>
        </w:rPr>
        <w:t xml:space="preserve">10</w:t>
      </w:r>
      <w:r>
        <w:rPr>
          <w:rFonts w:hint="eastAsia" w:ascii="宋体" w:hAnsi="宋体"/>
          <w:b/>
          <w:bCs w:val="0"/>
          <w:color w:val="000000" w:themeColor="text1"/>
          <w:sz w:val="24"/>
          <w:szCs w:val="24"/>
          <w:highlight w:val="none"/>
          <w14:textFill>
            <w14:solidFill>
              <w14:schemeClr w14:val="tx1"/>
            </w14:solidFill>
          </w14:textFill>
        </w:rPr>
        <w:t xml:space="preserve">分）</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响应能力</w:t>
      </w:r>
      <w:r>
        <w:rPr>
          <w:rFonts w:hint="eastAsia" w:ascii="宋体" w:hAnsi="宋体"/>
          <w:b w:val="0"/>
          <w:bCs/>
          <w:color w:val="000000" w:themeColor="text1"/>
          <w:sz w:val="24"/>
          <w:szCs w:val="24"/>
          <w:highlight w:val="none"/>
          <w14:textFill>
            <w14:solidFill>
              <w14:schemeClr w14:val="tx1"/>
            </w14:solidFill>
          </w14:textFill>
        </w:rPr>
        <w:t xml:space="preserve">承诺：主要对投标人的响应能力进行综合评审，包括中标后的人员与各方面的沟通、现场响应时间、设置情况等由评审专家比较与评价后按如下要求打分。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承诺内容清晰、合理、详细、全面、针对性强、可行性强的</w:t>
      </w:r>
      <w:r>
        <w:rPr>
          <w:rFonts w:hint="default" w:ascii="宋体" w:hAnsi="宋体"/>
          <w:b w:val="0"/>
          <w:bCs/>
          <w:color w:val="000000" w:themeColor="text1"/>
          <w:sz w:val="24"/>
          <w:szCs w:val="24"/>
          <w:highlight w:val="none"/>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承诺内容较清晰、较合理、较详细、较全面、针对性较强、可行性较强的</w:t>
      </w:r>
      <w:r>
        <w:rPr>
          <w:rFonts w:hint="default" w:ascii="宋体" w:hAnsi="宋体"/>
          <w:b w:val="0"/>
          <w:bCs/>
          <w:color w:val="000000" w:themeColor="text1"/>
          <w:sz w:val="24"/>
          <w:szCs w:val="24"/>
          <w:highlight w:val="none"/>
          <w14:textFill>
            <w14:solidFill>
              <w14:schemeClr w14:val="tx1"/>
            </w14:solidFill>
          </w14:textFill>
        </w:rPr>
        <w:t xml:space="preserve">4</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承诺内容清晰性一般、合理性一般、基本详细、基本全面、针对性一般、可行性一般的</w:t>
      </w:r>
      <w:r>
        <w:rPr>
          <w:rFonts w:hint="default" w:ascii="宋体" w:hAnsi="宋体"/>
          <w:b w:val="0"/>
          <w:bCs/>
          <w:color w:val="000000" w:themeColor="text1"/>
          <w:sz w:val="24"/>
          <w:szCs w:val="24"/>
          <w:highlight w:val="none"/>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承诺内容基本合理、内容基本全面的</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eastAsia="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无承诺不得分</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shd w:val="clear" w:color="auto"/>
        <w:widowControl w:val="off"/>
        <w:tabs>
          <w:tab w:val="left" w:pos="945" w:leader="none"/>
          <w:tab w:val="left" w:pos="1155"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个性化服务承诺：主要考察投标人在满足招标文件要求的基础上提出的服务质量、审核误差、协审成果、质量考核、运用信息化软件、对建设过程关键环节（如对控制价、中标价、送审价、结算价的准确性、差异性的横向对比分析）开展大数据分析相关的附加增值服务，以达到提升跟踪审核精度、更好规范项目建设等方面的个性化服务承诺，由评审专家比较与评价后按如下要求打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承诺内容清晰、合理、详细、全面、针对性强、可行性强的</w:t>
      </w:r>
      <w:r>
        <w:rPr>
          <w:rFonts w:hint="default" w:ascii="宋体" w:hAnsi="宋体"/>
          <w:b w:val="0"/>
          <w:bCs/>
          <w:color w:val="000000" w:themeColor="text1"/>
          <w:sz w:val="24"/>
          <w:szCs w:val="24"/>
          <w:highlight w:val="none"/>
          <w14:textFill>
            <w14:solidFill>
              <w14:schemeClr w14:val="tx1"/>
            </w14:solidFill>
          </w14:textFill>
        </w:rPr>
        <w:t xml:space="preserve">5</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承诺内容较清晰、较合理、较详细、较全面、针对性较强、可行性较强的</w:t>
      </w:r>
      <w:r>
        <w:rPr>
          <w:rFonts w:hint="default" w:ascii="宋体" w:hAnsi="宋体"/>
          <w:b w:val="0"/>
          <w:bCs/>
          <w:color w:val="000000" w:themeColor="text1"/>
          <w:sz w:val="24"/>
          <w:szCs w:val="24"/>
          <w:highlight w:val="none"/>
          <w14:textFill>
            <w14:solidFill>
              <w14:schemeClr w14:val="tx1"/>
            </w14:solidFill>
          </w14:textFill>
        </w:rPr>
        <w:t xml:space="preserve">4</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default" w:asci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承诺内容清晰性一般、合理性一般、基本详细、基本全面、针对性一般、可行性一般的</w:t>
      </w:r>
      <w:r>
        <w:rPr>
          <w:rFonts w:hint="default" w:ascii="宋体" w:hAnsi="宋体"/>
          <w:b w:val="0"/>
          <w:bCs/>
          <w:color w:val="000000" w:themeColor="text1"/>
          <w:sz w:val="24"/>
          <w:szCs w:val="24"/>
          <w:highlight w:val="none"/>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承诺内容基本合理、内容基本全面的</w:t>
      </w:r>
      <w:r>
        <w:rPr>
          <w:rFonts w:hint="default"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无承诺不得分。</w:t>
      </w:r>
      <w:r/>
    </w:p>
    <w:p>
      <w:pPr>
        <w:numPr>
          <w:ilvl w:val="0"/>
          <w:numId w:val="4"/>
        </w:numPr>
        <w:ind w:firstLine="482"/>
        <w:keepLines w:val="0"/>
        <w:keepNext w:val="0"/>
        <w:pageBreakBefore w:val="0"/>
        <w:spacing w:line="360" w:lineRule="auto"/>
        <w:shd w:val="clear" w:color="auto"/>
        <w:widowControl w:val="off"/>
        <w:tabs>
          <w:tab w:val="left" w:pos="525" w:leader="none"/>
          <w:tab w:val="left" w:pos="945" w:leader="none"/>
          <w:tab w:val="left" w:pos="1155" w:leader="none"/>
          <w:tab w:val="left" w:pos="3823"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投标文件的评价（</w:t>
      </w:r>
      <w:r>
        <w:rPr>
          <w:rFonts w:hint="default" w:ascii="宋体" w:hAnsi="宋体"/>
          <w:b/>
          <w:bCs w:val="0"/>
          <w:color w:val="000000" w:themeColor="text1"/>
          <w:sz w:val="24"/>
          <w:szCs w:val="24"/>
          <w:highlight w:val="none"/>
          <w14:textFill>
            <w14:solidFill>
              <w14:schemeClr w14:val="tx1"/>
            </w14:solidFill>
          </w14:textFill>
        </w:rPr>
        <w:t xml:space="preserve">2</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shd w:val="clear" w:color="auto"/>
        <w:widowControl w:val="off"/>
        <w:tabs>
          <w:tab w:val="left" w:pos="510" w:leader="none"/>
        </w:tabs>
        <w:rPr>
          <w:rFonts w:hint="eastAsia" w:ascii="宋体" w:hAnsi="宋体"/>
          <w:b w:val="0"/>
          <w:bCs/>
          <w:color w:val="0000ff"/>
          <w:sz w:val="24"/>
          <w:szCs w:val="24"/>
          <w:highlight w:val="none"/>
        </w:rPr>
      </w:pPr>
      <w:r>
        <w:rPr>
          <w:rFonts w:hint="eastAsia" w:ascii="宋体" w:hAnsi="宋体"/>
          <w:b w:val="0"/>
          <w:bCs/>
          <w:color w:val="0000ff"/>
          <w:sz w:val="24"/>
          <w:szCs w:val="24"/>
          <w:highlight w:val="none"/>
        </w:rPr>
        <w:t xml:space="preserve">投标文件内容按照评分标准做对应位置绑定的，得1.5分，未按照评分标准做对应位置绑定的，此项不得分。对技术方案正文部分满足总页数控制要求的，得0.5分，对技术方案正文部分总页数超过控制要求的，此项不得分。（技术方案正文部分总页数控制在100页内。）</w:t>
      </w:r>
      <w:r>
        <w:rPr>
          <w:rFonts w:hint="eastAsia" w:ascii="宋体" w:hAnsi="宋体"/>
          <w:b w:val="0"/>
          <w:bCs/>
          <w:color w:val="0000ff"/>
          <w:sz w:val="24"/>
          <w:szCs w:val="24"/>
          <w:highlight w:val="none"/>
          <w:lang w:val="en-US" w:eastAsia="zh-CN"/>
        </w:rPr>
        <w:t xml:space="preserve">  </w:t>
      </w:r>
      <w:r/>
    </w:p>
    <w:p>
      <w:pPr>
        <w:jc w:val="left"/>
        <w:spacing w:line="360" w:lineRule="auto"/>
        <w:shd w:val="clear" w:color="auto"/>
        <w:tabs>
          <w:tab w:val="left" w:pos="945" w:leader="none"/>
          <w:tab w:val="left" w:pos="1155" w:leader="none"/>
        </w:tabs>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r>
      <w:r/>
    </w:p>
    <w:p>
      <w:pPr>
        <w:ind w:firstLine="480"/>
        <w:jc w:val="left"/>
        <w:spacing w:line="360" w:lineRule="auto"/>
        <w:shd w:val="clear" w:color="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sectPr>
          <w:headerReference w:type="default" r:id="rId12"/>
          <w:footerReference w:type="default" r:id="rId21"/>
          <w:footerReference w:type="first" r:id="rId22"/>
          <w:footnotePr/>
          <w:endnotePr/>
          <w:type w:val="nextPage"/>
          <w:pgSz w:w="11906" w:h="16838" w:orient="portrait"/>
          <w:pgMar w:top="1440" w:right="1451" w:bottom="1440" w:left="1451" w:header="624" w:footer="907" w:gutter="0"/>
          <w:cols w:num="1" w:sep="0" w:space="720"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jc w:val="left"/>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附件二：投标文件格式</w:t>
      </w:r>
      <w:r/>
    </w:p>
    <w:p>
      <w:pPr>
        <w:shd w:val="clear" w:color="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shd w:val="clear" w:color="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投</w:t>
      </w:r>
      <w:r/>
    </w:p>
    <w:p>
      <w:pPr>
        <w:jc w:val="center"/>
        <w:shd w:val="clear" w:color="auto"/>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标</w:t>
      </w:r>
      <w:r/>
    </w:p>
    <w:p>
      <w:pPr>
        <w:jc w:val="center"/>
        <w:shd w:val="clear" w:color="auto"/>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文</w:t>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件</w:t>
      </w:r>
      <w:r/>
    </w:p>
    <w:p>
      <w:pPr>
        <w:pStyle w:val="1272"/>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r>
      <w:r/>
    </w:p>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840"/>
        <w:spacing w:line="500" w:lineRule="exact"/>
        <w:shd w:val="clear" w:color="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政府采购编号：</w:t>
      </w:r>
      <w:r>
        <w:rPr>
          <w:rFonts w:hint="eastAsia" w:eastAsia="黑体"/>
          <w:bCs/>
          <w:color w:val="000000" w:themeColor="text1"/>
          <w:sz w:val="28"/>
          <w:szCs w:val="28"/>
          <w:highlight w:val="none"/>
          <w14:textFill>
            <w14:solidFill>
              <w14:schemeClr w14:val="tx1"/>
            </w14:solidFill>
          </w14:textFill>
        </w:rPr>
        <w:t xml:space="preserve"> </w:t>
      </w:r>
      <w:r/>
    </w:p>
    <w:p>
      <w:pPr>
        <w:ind w:firstLine="840"/>
        <w:spacing w:line="500" w:lineRule="exact"/>
        <w:shd w:val="clear" w:color="auto"/>
        <w:rPr>
          <w:rFonts w:hint="eastAsia"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采购项目名称</w:t>
      </w:r>
      <w:r>
        <w:rPr>
          <w:rFonts w:eastAsia="黑体"/>
          <w:bCs/>
          <w:color w:val="000000" w:themeColor="text1"/>
          <w:sz w:val="24"/>
          <w:szCs w:val="24"/>
          <w:highlight w:val="none"/>
          <w14:textFill>
            <w14:solidFill>
              <w14:schemeClr w14:val="tx1"/>
            </w14:solidFill>
          </w14:textFill>
        </w:rPr>
        <w:t xml:space="preserve">：</w:t>
      </w:r>
      <w:r/>
    </w:p>
    <w:p>
      <w:pPr>
        <w:ind w:left="1118" w:hanging="280"/>
        <w:spacing w:line="500" w:lineRule="exact"/>
        <w:shd w:val="clear" w:color="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投标人：</w:t>
      </w:r>
      <w:r/>
    </w:p>
    <w:p>
      <w:pP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年  月  日</w:t>
      </w:r>
      <w:bookmarkStart w:id="38" w:name="一．报价函（格式）"/>
      <w:r/>
      <w:bookmarkEnd w:id="38"/>
      <w:r/>
      <w:r/>
    </w:p>
    <w:p>
      <w:pPr>
        <w:jc w:val="center"/>
        <w:shd w:val="clear" w:color="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000000" w:themeColor="text1"/>
          <w:sz w:val="28"/>
          <w:szCs w:val="28"/>
          <w:highlight w:val="none"/>
          <w14:textFill>
            <w14:solidFill>
              <w14:schemeClr w14:val="tx1"/>
            </w14:solidFill>
          </w14:textFill>
        </w:rPr>
      </w:r>
      <w:r/>
    </w:p>
    <w:p>
      <w:pPr>
        <w:shd w:val="clear" w:color="auto"/>
        <w:rPr>
          <w:rFonts w:ascii="黑体" w:hAnsi="宋体" w:eastAsia="黑体"/>
          <w:bCs/>
          <w:color w:val="000000" w:themeColor="text1"/>
          <w:sz w:val="24"/>
          <w:szCs w:val="24"/>
          <w:highlight w:val="none"/>
          <w14:textFill>
            <w14:solidFill>
              <w14:schemeClr w14:val="tx1"/>
            </w14:solidFill>
          </w14:textFill>
        </w:rPr>
        <w:outlineLvl w:val="0"/>
      </w:pPr>
      <w:r/>
      <w:bookmarkStart w:id="39" w:name="_Toc23010"/>
      <w:r>
        <w:rPr>
          <w:rFonts w:hint="eastAsia" w:ascii="黑体" w:hAnsi="宋体" w:eastAsia="黑体"/>
          <w:bCs/>
          <w:color w:val="000000" w:themeColor="text1"/>
          <w:sz w:val="24"/>
          <w:szCs w:val="24"/>
          <w:highlight w:val="none"/>
          <w14:textFill>
            <w14:solidFill>
              <w14:schemeClr w14:val="tx1"/>
            </w14:solidFill>
          </w14:textFill>
        </w:rPr>
        <w:t xml:space="preserve">（一）投标函（格式）：</w:t>
      </w:r>
      <w:bookmarkEnd w:id="39"/>
      <w:r/>
      <w:r/>
    </w:p>
    <w:p>
      <w:pPr>
        <w:shd w:val="clear" w:color="auto"/>
        <w:rPr>
          <w:rFonts w:ascii="宋体"/>
          <w:b/>
          <w:bCs/>
          <w:color w:val="000000" w:themeColor="text1"/>
          <w:sz w:val="24"/>
          <w:szCs w:val="24"/>
          <w:highlight w:val="none"/>
          <w14:textFill>
            <w14:solidFill>
              <w14:schemeClr w14:val="tx1"/>
            </w14:solidFill>
          </w14:textFill>
        </w:rPr>
        <w:outlineLvl w:val="0"/>
      </w:pPr>
      <w:r>
        <w:rPr>
          <w:rFonts w:ascii="宋体"/>
          <w:b/>
          <w:bCs/>
          <w:color w:val="000000" w:themeColor="text1"/>
          <w:sz w:val="24"/>
          <w:szCs w:val="24"/>
          <w:highlight w:val="none"/>
          <w14:textFill>
            <w14:solidFill>
              <w14:schemeClr w14:val="tx1"/>
            </w14:solidFill>
          </w14:textFill>
        </w:rPr>
      </w:r>
      <w:r/>
    </w:p>
    <w:p>
      <w:pPr>
        <w:jc w:val="cente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投  标  函</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w:t>
      </w:r>
      <w:r>
        <w:rPr>
          <w:rFonts w:ascii="宋体" w:hAnsi="宋体"/>
          <w:bCs/>
          <w:color w:val="000000" w:themeColor="text1"/>
          <w:sz w:val="24"/>
          <w:szCs w:val="24"/>
          <w:highlight w:val="none"/>
          <w14:textFill>
            <w14:solidFill>
              <w14:schemeClr w14:val="tx1"/>
            </w14:solidFill>
          </w14:textFill>
        </w:rPr>
        <w:t xml:space="preserve">收到</w:t>
      </w:r>
      <w:r>
        <w:rPr>
          <w:rFonts w:hint="eastAsia" w:ascii="宋体" w:hAnsi="宋体"/>
          <w:bCs/>
          <w:color w:val="000000" w:themeColor="text1"/>
          <w:sz w:val="24"/>
          <w:szCs w:val="24"/>
          <w:highlight w:val="none"/>
          <w14:textFill>
            <w14:solidFill>
              <w14:schemeClr w14:val="tx1"/>
            </w14:solidFill>
          </w14:textFill>
        </w:rPr>
        <w:t xml:space="preserve">贵方</w:t>
      </w:r>
      <w:r>
        <w:rPr>
          <w:rFonts w:ascii="宋体" w:hAnsi="宋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招标文件，经仔细阅读和研究，</w:t>
      </w:r>
      <w:r>
        <w:rPr>
          <w:rFonts w:hint="eastAsia" w:ascii="宋体" w:hAnsi="宋体"/>
          <w:bCs/>
          <w:color w:val="000000" w:themeColor="text1"/>
          <w:sz w:val="24"/>
          <w:szCs w:val="24"/>
          <w:highlight w:val="none"/>
          <w14:textFill>
            <w14:solidFill>
              <w14:schemeClr w14:val="tx1"/>
            </w14:solidFill>
          </w14:textFill>
        </w:rPr>
        <w:t xml:space="preserve">我方</w:t>
      </w:r>
      <w:r>
        <w:rPr>
          <w:rFonts w:ascii="宋体" w:hAnsi="宋体"/>
          <w:bCs/>
          <w:color w:val="000000" w:themeColor="text1"/>
          <w:sz w:val="24"/>
          <w:szCs w:val="24"/>
          <w:highlight w:val="none"/>
          <w14:textFill>
            <w14:solidFill>
              <w14:schemeClr w14:val="tx1"/>
            </w14:solidFill>
          </w14:textFill>
        </w:rPr>
        <w:t xml:space="preserve">决定参加此次</w:t>
      </w:r>
      <w:r>
        <w:rPr>
          <w:rFonts w:hint="eastAsia" w:ascii="宋体" w:hAnsi="宋体"/>
          <w:bCs/>
          <w:color w:val="000000" w:themeColor="text1"/>
          <w:sz w:val="24"/>
          <w:szCs w:val="24"/>
          <w:highlight w:val="none"/>
          <w14:textFill>
            <w14:solidFill>
              <w14:schemeClr w14:val="tx1"/>
            </w14:solidFill>
          </w14:textFill>
        </w:rPr>
        <w:t xml:space="preserve">项目</w:t>
      </w:r>
      <w:r>
        <w:rPr>
          <w:rFonts w:ascii="宋体" w:hAnsi="宋体"/>
          <w:bCs/>
          <w:color w:val="000000" w:themeColor="text1"/>
          <w:sz w:val="24"/>
          <w:szCs w:val="24"/>
          <w:highlight w:val="none"/>
          <w14:textFill>
            <w14:solidFill>
              <w14:schemeClr w14:val="tx1"/>
            </w14:solidFill>
          </w14:textFill>
        </w:rPr>
        <w:t xml:space="preserve">的投标。</w:t>
      </w:r>
      <w:r/>
    </w:p>
    <w:p>
      <w:pPr>
        <w:ind w:firstLine="480"/>
        <w:spacing w:line="360" w:lineRule="auto"/>
        <w:shd w:val="clear" w:color="auto"/>
        <w:tabs>
          <w:tab w:val="left" w:pos="315" w:leader="none"/>
          <w:tab w:val="left" w:pos="840" w:leader="none"/>
          <w:tab w:val="left" w:pos="945" w:leader="none"/>
          <w:tab w:val="left" w:pos="105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293"/>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shd w:val="clear" w:color="auto"/>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十、我方承诺不非法转包、分包。</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bCs/>
          <w:color w:val="000000" w:themeColor="text1"/>
          <w:sz w:val="24"/>
          <w:szCs w:val="24"/>
          <w:highlight w:val="none"/>
          <w14:textFill>
            <w14:solidFill>
              <w14:schemeClr w14:val="tx1"/>
            </w14:solidFill>
          </w14:textFill>
        </w:rPr>
        <w:t xml:space="preserve">、我方不存在为本项目提供整体设计、规范编制或者项目管理、监理、检测等服务。</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bCs/>
          <w:color w:val="000000" w:themeColor="text1"/>
          <w:sz w:val="24"/>
          <w:szCs w:val="24"/>
          <w:highlight w:val="none"/>
          <w14:textFill>
            <w14:solidFill>
              <w14:schemeClr w14:val="tx1"/>
            </w14:solidFill>
          </w14:textFill>
        </w:rPr>
        <w:t xml:space="preserve">、我方绝不提供虚假材料谋取中标、绝不采取不正当手段诋毁、排挤其他供应商、绝不与采购人、其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bCs/>
          <w:color w:val="000000" w:themeColor="text1"/>
          <w:sz w:val="24"/>
          <w:szCs w:val="24"/>
          <w:highlight w:val="none"/>
          <w14:textFill>
            <w14:solidFill>
              <w14:schemeClr w14:val="tx1"/>
            </w14:solidFill>
          </w14:textFill>
        </w:rPr>
        <w:t xml:space="preserve">出的行政处罚。</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bCs/>
          <w:color w:val="000000" w:themeColor="text1"/>
          <w:sz w:val="24"/>
          <w:highlight w:val="none"/>
          <w14:textFill>
            <w14:solidFill>
              <w14:schemeClr w14:val="tx1"/>
            </w14:solidFill>
          </w14:textFill>
        </w:rPr>
        <w:t xml:space="preserve">。</w:t>
      </w:r>
      <w:r/>
    </w:p>
    <w:p>
      <w:pPr>
        <w:pStyle w:val="1259"/>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投标人(盖章)：     </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通讯地址：                          邮编：</w:t>
      </w:r>
      <w:r/>
    </w:p>
    <w:p>
      <w:pPr>
        <w:spacing w:line="360" w:lineRule="auto"/>
        <w:shd w:val="clear" w:color="auto"/>
        <w:rPr>
          <w:rFonts w:eastAsia="黑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bookmarkStart w:id="40" w:name="_Toc20376"/>
      <w:r>
        <w:rPr>
          <w:rFonts w:hint="eastAsia" w:eastAsia="黑体"/>
          <w:bCs/>
          <w:color w:val="000000" w:themeColor="text1"/>
          <w:sz w:val="24"/>
          <w:szCs w:val="24"/>
          <w:highlight w:val="none"/>
          <w14:textFill>
            <w14:solidFill>
              <w14:schemeClr w14:val="tx1"/>
            </w14:solidFill>
          </w14:textFill>
        </w:rPr>
        <w:t xml:space="preserve">（二）</w:t>
      </w:r>
      <w:r>
        <w:rPr>
          <w:rFonts w:eastAsia="黑体"/>
          <w:bCs/>
          <w:color w:val="000000" w:themeColor="text1"/>
          <w:sz w:val="24"/>
          <w:szCs w:val="24"/>
          <w:highlight w:val="none"/>
          <w14:textFill>
            <w14:solidFill>
              <w14:schemeClr w14:val="tx1"/>
            </w14:solidFill>
          </w14:textFill>
        </w:rPr>
        <w:t xml:space="preserve">关于资格的声明函(格式)：</w:t>
      </w:r>
      <w:bookmarkEnd w:id="40"/>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bookmarkStart w:id="41" w:name="报价方关于资格的声明函（格式）"/>
      <w:r/>
      <w:bookmarkEnd w:id="41"/>
      <w:r/>
      <w:bookmarkStart w:id="42" w:name="_Toc22170"/>
      <w:r>
        <w:rPr>
          <w:rFonts w:eastAsia="黑体"/>
          <w:bCs/>
          <w:color w:val="000000" w:themeColor="text1"/>
          <w:sz w:val="28"/>
          <w:szCs w:val="28"/>
          <w:highlight w:val="none"/>
          <w14:textFill>
            <w14:solidFill>
              <w14:schemeClr w14:val="tx1"/>
            </w14:solidFill>
          </w14:textFill>
        </w:rPr>
        <w:t xml:space="preserve">关于资格的声明函</w:t>
      </w:r>
      <w:bookmarkEnd w:id="42"/>
      <w:r/>
      <w:r/>
    </w:p>
    <w:p>
      <w:pPr>
        <w:jc w:val="center"/>
        <w:spacing w:line="360" w:lineRule="auto"/>
        <w:shd w:val="clear" w:color="auto"/>
        <w:rPr>
          <w:rFonts w:eastAsia="黑体"/>
          <w:bCs/>
          <w:color w:val="000000" w:themeColor="text1"/>
          <w:sz w:val="32"/>
          <w:highlight w:val="none"/>
          <w14:textFill>
            <w14:solidFill>
              <w14:schemeClr w14:val="tx1"/>
            </w14:solidFill>
          </w14:textFill>
        </w:rPr>
      </w:pPr>
      <w:r>
        <w:rPr>
          <w:rFonts w:eastAsia="黑体"/>
          <w:bCs/>
          <w:color w:val="000000" w:themeColor="text1"/>
          <w:sz w:val="32"/>
          <w:highlight w:val="none"/>
          <w14:textFill>
            <w14:solidFill>
              <w14:schemeClr w14:val="tx1"/>
            </w14:solidFill>
          </w14:textFill>
        </w:rPr>
      </w:r>
      <w:r/>
    </w:p>
    <w:p>
      <w:pPr>
        <w:jc w:val="center"/>
        <w:spacing w:line="360" w:lineRule="auto"/>
        <w:shd w:val="clear" w:color="auto"/>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14:textFill>
            <w14:solidFill>
              <w14:schemeClr w14:val="tx1"/>
            </w14:solidFill>
          </w14:textFill>
        </w:rPr>
        <w:t xml:space="preserve"> </w:t>
      </w:r>
      <w:r/>
    </w:p>
    <w:p>
      <w:pPr>
        <w:jc w:val="center"/>
        <w:spacing w:line="360" w:lineRule="auto"/>
        <w:shd w:val="clear" w:color="auto"/>
        <w:tabs>
          <w:tab w:val="left" w:pos="6300"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日期：</w:t>
      </w:r>
      <w:r/>
    </w:p>
    <w:p>
      <w:pPr>
        <w:spacing w:line="360" w:lineRule="auto"/>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我公司(单位)愿针对本次项目</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进行投标。</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我公司</w:t>
      </w:r>
      <w:r>
        <w:rPr>
          <w:bCs/>
          <w:color w:val="000000" w:themeColor="text1"/>
          <w:sz w:val="24"/>
          <w:szCs w:val="24"/>
          <w:highlight w:val="none"/>
          <w14:textFill>
            <w14:solidFill>
              <w14:schemeClr w14:val="tx1"/>
            </w14:solidFill>
          </w14:textFill>
        </w:rPr>
        <w:t xml:space="preserve">(单位)</w:t>
      </w:r>
      <w:r>
        <w:rPr>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若有违背，我公司(单位)愿意承担由此而产生的一切后果。</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投标人(盖章)：</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法定代表人(签字或盖章)：</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63"/>
        <w:ind w:left="126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63"/>
        <w:ind w:left="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rPr>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较大数额罚款</w:t>
      </w:r>
      <w:r>
        <w:rPr>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bCs/>
          <w:color w:val="000000" w:themeColor="text1"/>
          <w:sz w:val="24"/>
          <w:szCs w:val="24"/>
          <w:highlight w:val="none"/>
          <w:lang w:eastAsia="zh-CN"/>
          <w14:textFill>
            <w14:solidFill>
              <w14:schemeClr w14:val="tx1"/>
            </w14:solidFill>
          </w14:textFill>
        </w:rPr>
        <w:t xml:space="preserve">〔2022〕3号</w:t>
      </w:r>
      <w:r>
        <w:rPr>
          <w:rFonts w:hint="eastAsia"/>
          <w:bCs/>
          <w:color w:val="000000" w:themeColor="text1"/>
          <w:sz w:val="24"/>
          <w:szCs w:val="24"/>
          <w:highlight w:val="none"/>
          <w14:textFill>
            <w14:solidFill>
              <w14:schemeClr w14:val="tx1"/>
            </w14:solidFill>
          </w14:textFill>
        </w:rPr>
        <w:t xml:space="preserve">为准]</w:t>
      </w:r>
      <w:r/>
    </w:p>
    <w:p>
      <w:pPr>
        <w:spacing w:line="360" w:lineRule="auto"/>
        <w:shd w:val="clear" w:color="auto"/>
        <w:rPr>
          <w:rFonts w:eastAsia="黑体"/>
          <w:bCs/>
          <w:color w:val="000000" w:themeColor="text1"/>
          <w:sz w:val="32"/>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14:textFill>
            <w14:solidFill>
              <w14:schemeClr w14:val="tx1"/>
            </w14:solidFill>
          </w14:textFill>
        </w:rPr>
        <w:t xml:space="preserve">（三）</w:t>
      </w:r>
      <w:r>
        <w:rPr>
          <w:rFonts w:eastAsia="黑体"/>
          <w:bCs/>
          <w:color w:val="000000" w:themeColor="text1"/>
          <w:sz w:val="24"/>
          <w:szCs w:val="24"/>
          <w:highlight w:val="none"/>
          <w14:textFill>
            <w14:solidFill>
              <w14:schemeClr w14:val="tx1"/>
            </w14:solidFill>
          </w14:textFill>
        </w:rPr>
        <w:t xml:space="preserve">法定代表人授权委托书(格式)：</w:t>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bookmarkStart w:id="43" w:name="_Toc15128"/>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t xml:space="preserve">法定代表人授权委托书</w:t>
      </w:r>
      <w:bookmarkEnd w:id="43"/>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spacing w:line="360" w:lineRule="auto"/>
        <w:shd w:val="clear" w:color="auto"/>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14:textFill>
            <w14:solidFill>
              <w14:schemeClr w14:val="tx1"/>
            </w14:solidFill>
          </w14:textFill>
        </w:rPr>
        <w:t xml:space="preserve"> </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日期：</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居上工程咨询（无锡）有限公司</w:t>
      </w:r>
      <w:r>
        <w:rPr>
          <w:bCs/>
          <w:color w:val="000000" w:themeColor="text1"/>
          <w:sz w:val="24"/>
          <w:szCs w:val="24"/>
          <w:highlight w:val="none"/>
          <w14:textFill>
            <w14:solidFill>
              <w14:schemeClr w14:val="tx1"/>
            </w14:solidFill>
          </w14:textFill>
        </w:rPr>
        <w:t xml:space="preserve">：</w:t>
      </w:r>
      <w:r/>
    </w:p>
    <w:p>
      <w:pPr>
        <w:ind w:firstLine="240"/>
        <w:spacing w:line="360" w:lineRule="auto"/>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系中华人民共和国合法企业</w:t>
      </w:r>
      <w:r>
        <w:rPr>
          <w:rFonts w:hint="eastAsia"/>
          <w:bCs/>
          <w:color w:val="000000" w:themeColor="text1"/>
          <w:sz w:val="24"/>
          <w:szCs w:val="24"/>
          <w:highlight w:val="none"/>
          <w14:textFill>
            <w14:solidFill>
              <w14:schemeClr w14:val="tx1"/>
            </w14:solidFill>
          </w14:textFill>
        </w:rPr>
        <w:t xml:space="preserve">（单位）</w:t>
      </w:r>
      <w:r>
        <w:rPr>
          <w:bCs/>
          <w:color w:val="000000" w:themeColor="text1"/>
          <w:sz w:val="24"/>
          <w:szCs w:val="24"/>
          <w:highlight w:val="none"/>
          <w14:textFill>
            <w14:solidFill>
              <w14:schemeClr w14:val="tx1"/>
            </w14:solidFill>
          </w14:textFill>
        </w:rPr>
        <w:t xml:space="preserve">，特授权</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代表我公司(单位)全权办理针对本项目</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被授权人情况：</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姓名：性别：电话：</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单位名称(盖章)：</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法定代表人(签字或盖章)：</w:t>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br w:type="page" w:clear="all"/>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投标人法定代表人身份证</w:t>
      </w:r>
      <w:r>
        <w:rPr>
          <w:rFonts w:hint="eastAsia"/>
          <w:bCs/>
          <w:color w:val="000000" w:themeColor="text1"/>
          <w:sz w:val="24"/>
          <w:szCs w:val="24"/>
          <w:highlight w:val="none"/>
          <w14:textFill>
            <w14:solidFill>
              <w14:schemeClr w14:val="tx1"/>
            </w14:solidFill>
          </w14:textFill>
        </w:rPr>
        <w:t xml:space="preserve">扫描件：</w:t>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642110"/>
                <wp:effectExtent l="0" t="0" r="0" b="0"/>
                <wp:docPr id="11" name="文本框 15"/>
                <wp:cNvGraphicFramePr/>
                <a:graphic xmlns:a="http://schemas.openxmlformats.org/drawingml/2006/main">
                  <a:graphicData uri="http://schemas.microsoft.com/office/word/2010/wordprocessingShape">
                    <wps:wsp>
                      <wps:cNvPr id="0" name=""/>
                      <wps:cNvSpPr txBox="1"/>
                      <wps:spPr bwMode="auto">
                        <a:xfrm>
                          <a:off x="0" y="0"/>
                          <a:ext cx="2807334" cy="164211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221.0pt;height:129.3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638300"/>
                <wp:effectExtent l="0" t="0" r="0" b="0"/>
                <wp:docPr id="12" name="文本框 16"/>
                <wp:cNvGraphicFramePr/>
                <a:graphic xmlns:a="http://schemas.openxmlformats.org/drawingml/2006/main">
                  <a:graphicData uri="http://schemas.microsoft.com/office/word/2010/wordprocessingShape">
                    <wps:wsp>
                      <wps:cNvPr id="0" name=""/>
                      <wps:cNvSpPr txBox="1"/>
                      <wps:spPr bwMode="auto">
                        <a:xfrm>
                          <a:off x="0" y="0"/>
                          <a:ext cx="2804160" cy="16383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220.8pt;height:129.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hd w:val="clear" w:color="auto"/>
        <w:rPr>
          <w:rFonts w:hint="eastAsia" w:hAnsi="宋体"/>
          <w:b/>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w:t>
      </w:r>
      <w:r>
        <w:rPr>
          <w:rFonts w:hint="eastAsia"/>
          <w:bCs/>
          <w:color w:val="000000" w:themeColor="text1"/>
          <w:sz w:val="24"/>
          <w:szCs w:val="24"/>
          <w:highlight w:val="none"/>
          <w14:textFill>
            <w14:solidFill>
              <w14:schemeClr w14:val="tx1"/>
            </w14:solidFill>
          </w14:textFill>
        </w:rPr>
        <w:t xml:space="preserve">扫描件：</w:t>
      </w:r>
      <w:r>
        <w:rPr>
          <w:rFonts w:hint="eastAsia"/>
          <w:b/>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法定代表人亲自参与投标的除外</w:t>
      </w:r>
      <w:r>
        <w:rPr>
          <w:rFonts w:hint="eastAsia" w:hAnsi="宋体"/>
          <w:b/>
          <w:bCs/>
          <w:color w:val="000000" w:themeColor="text1"/>
          <w:sz w:val="24"/>
          <w:szCs w:val="24"/>
          <w:highlight w:val="none"/>
          <w14:textFill>
            <w14:solidFill>
              <w14:schemeClr w14:val="tx1"/>
            </w14:solidFill>
          </w14:textFill>
        </w:rPr>
        <w:t xml:space="preserve">）</w:t>
      </w:r>
      <w:r/>
    </w:p>
    <w:p>
      <w:pPr>
        <w:shd w:val="clear" w:color="auto"/>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r>
      <w:r/>
    </w:p>
    <w:p>
      <w:pPr>
        <w:shd w:val="clear" w:color="auto"/>
        <w:rPr>
          <w:rFonts w:ascii="黑体" w:eastAsia="黑体"/>
          <w:color w:val="000000" w:themeColor="text1"/>
          <w:sz w:val="32"/>
          <w:szCs w:val="32"/>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0" t="0" r="0" b="0"/>
                <wp:docPr id="13" name="文本框 17"/>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2" o:spid="_x0000_s12"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0" t="0" r="0" b="0"/>
                <wp:docPr id="14" name="文本框 1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3" o:spid="_x0000_s13"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hd w:val="clear" w:color="auto"/>
        <w:rPr>
          <w:rFonts w:hint="eastAsia" w:ascii="宋体" w:hAnsi="宋体" w:cs="宋体"/>
          <w:b/>
          <w:color w:val="000000" w:themeColor="text1"/>
          <w:sz w:val="24"/>
          <w:szCs w:val="24"/>
          <w:highlight w:val="none"/>
          <w14:textFill>
            <w14:solidFill>
              <w14:schemeClr w14:val="tx1"/>
            </w14:solidFill>
          </w14:textFill>
        </w:rPr>
        <w:outlineLvl w:val="2"/>
      </w:pPr>
      <w:r>
        <w:rPr>
          <w:rFonts w:ascii="宋体" w:hAnsi="宋体"/>
          <w:b/>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法定代表人亲自参加投标的需提供：</w:t>
      </w:r>
      <w:r/>
    </w:p>
    <w:p>
      <w:pPr>
        <w:jc w:val="center"/>
        <w:spacing w:line="360" w:lineRule="auto"/>
        <w:shd w:val="clear" w:color="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shd w:val="clear" w:color="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2"/>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    名</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性别：</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职务：</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ind w:firstLine="4320"/>
        <w:spacing w:line="600" w:lineRule="auto"/>
        <w:shd w:val="clear" w:color="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r/>
    </w:p>
    <w:p>
      <w:pPr>
        <w:ind w:right="480" w:firstLine="5280"/>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15"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4" o:spid="_x0000_s14"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16"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5" o:spid="_x0000_s15"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hd w:val="clear" w:color="auto"/>
        <w:rPr>
          <w:rFonts w:hint="eastAsia" w:eastAsia="黑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14:textFill>
            <w14:solidFill>
              <w14:schemeClr w14:val="tx1"/>
            </w14:solidFill>
          </w14:textFill>
        </w:rPr>
        <w:t xml:space="preserve">（四）承诺书(格式)：</w:t>
      </w:r>
      <w:r/>
    </w:p>
    <w:p>
      <w:pPr>
        <w:jc w:val="center"/>
        <w:shd w:val="clear" w:color="auto"/>
        <w:rPr>
          <w:rFonts w:hAnsi="宋体"/>
          <w:b/>
          <w:bCs/>
          <w:color w:val="000000" w:themeColor="text1"/>
          <w:sz w:val="36"/>
          <w:szCs w:val="36"/>
          <w:highlight w:val="none"/>
          <w14:textFill>
            <w14:solidFill>
              <w14:schemeClr w14:val="tx1"/>
            </w14:solidFill>
          </w14:textFill>
        </w:rPr>
      </w:pPr>
      <w:r>
        <w:rPr>
          <w:rFonts w:hAnsi="宋体"/>
          <w:b/>
          <w:bCs/>
          <w:color w:val="000000" w:themeColor="text1"/>
          <w:sz w:val="36"/>
          <w:szCs w:val="36"/>
          <w:highlight w:val="none"/>
          <w14:textFill>
            <w14:solidFill>
              <w14:schemeClr w14:val="tx1"/>
            </w14:solidFill>
          </w14:textFill>
        </w:rPr>
        <w:t xml:space="preserve">承诺书</w:t>
      </w:r>
      <w:r/>
    </w:p>
    <w:p>
      <w:pPr>
        <w:spacing w:line="480" w:lineRule="auto"/>
        <w:shd w:val="clear" w:color="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480" w:lineRule="auto"/>
        <w:shd w:val="clear" w:color="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65"/>
        <w:spacing w:line="360" w:lineRule="auto"/>
        <w:shd w:val="clear" w:color="auto"/>
        <w:tabs>
          <w:tab w:val="left" w:pos="94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具备履行合同所必备的设备和专业技术能力；</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cs="宋体"/>
          <w:color w:val="000000" w:themeColor="text1"/>
          <w:sz w:val="24"/>
          <w:szCs w:val="24"/>
          <w:highlight w:val="none"/>
          <w14:textFill>
            <w14:solidFill>
              <w14:schemeClr w14:val="tx1"/>
            </w14:solidFill>
          </w14:textFill>
        </w:rPr>
        <w:t xml:space="preserve">具有依法缴纳税收和社会保障资金的良好记录；</w:t>
      </w:r>
      <w:r/>
    </w:p>
    <w:p>
      <w:pPr>
        <w:ind w:firstLine="465"/>
        <w:spacing w:line="360" w:lineRule="auto"/>
        <w:shd w:val="clear" w:color="auto"/>
        <w:tabs>
          <w:tab w:val="left" w:pos="945" w:leader="none"/>
        </w:tabs>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本公司（单位）参加本次政府采购活动前三年内，在经营活动中没有重大违法记录；</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6、本公司（单位）对本项目（ ）所提供的货物和服务均满足招标文件</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能够接受采购方为保证政府投资审核独立性和不重复委托而提出的回避原则。承诺在中标后不再接受由建设单位或其他单位委托的与本项目建设投资或工程造价有关的工作（包括但不限于招标代理、清单编制、造价审核</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含标底审核）等</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本公司将严格履行招标文件中确定的收费标准承接由无锡市审计局委托工程造价协审业务，并同意按其规定的方式和时间结算相关业务费用；并接受本招标文件及附件约定的考核管理和考核应用；同意无锡市审计局关于违约责任的认定方式和相关对违约责任的处罚；</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ascii="宋体" w:hAnsi="宋体"/>
          <w:bCs/>
          <w:color w:val="000000" w:themeColor="text1"/>
          <w:sz w:val="24"/>
          <w:szCs w:val="24"/>
          <w:highlight w:val="none"/>
          <w14:textFill>
            <w14:solidFill>
              <w14:schemeClr w14:val="tx1"/>
            </w14:solidFill>
          </w14:textFill>
        </w:rPr>
        <w:t xml:space="preserve">…………………</w:t>
      </w:r>
      <w:r/>
    </w:p>
    <w:p>
      <w:pPr>
        <w:ind w:firstLine="96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shd w:val="clear" w:color="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5400"/>
        <w:spacing w:line="480" w:lineRule="auto"/>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720"/>
        <w:spacing w:line="480" w:lineRule="auto"/>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480" w:lineRule="auto"/>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注：以上内容由投标单位根据采购要求自行完善。</w:t>
      </w:r>
      <w:r/>
    </w:p>
    <w:p>
      <w:pPr>
        <w:pStyle w:val="1281"/>
        <w:shd w:val="clear" w:color="auto"/>
        <w:tabs>
          <w:tab w:val="left" w:pos="540" w:leader="none"/>
        </w:tabs>
        <w:rPr>
          <w:rFonts w:ascii="Arial" w:hAnsi="Arial" w:eastAsia="黑体"/>
          <w:bCs/>
          <w:color w:val="000000" w:themeColor="text1"/>
          <w:sz w:val="24"/>
          <w:szCs w:val="32"/>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ascii="Arial" w:hAnsi="Arial" w:eastAsia="黑体"/>
          <w:bCs/>
          <w:color w:val="000000" w:themeColor="text1"/>
          <w:sz w:val="24"/>
          <w:szCs w:val="32"/>
          <w:highlight w:val="none"/>
          <w14:textFill>
            <w14:solidFill>
              <w14:schemeClr w14:val="tx1"/>
            </w14:solidFill>
          </w14:textFill>
        </w:rPr>
        <w:t xml:space="preserve">（五）中小企业声明函</w:t>
      </w:r>
      <w:r>
        <w:rPr>
          <w:rFonts w:hint="eastAsia" w:ascii="黑体" w:eastAsia="黑体"/>
          <w:bCs/>
          <w:color w:val="000000" w:themeColor="text1"/>
          <w:sz w:val="24"/>
          <w:highlight w:val="none"/>
          <w14:textFill>
            <w14:solidFill>
              <w14:schemeClr w14:val="tx1"/>
            </w14:solidFill>
          </w14:textFill>
        </w:rPr>
        <w:t xml:space="preserve">（格式）</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hd w:val="clear" w:color="auto"/>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中小企业声明函（服务）</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hint="eastAsia" w:ascii="宋体" w:hAnsi="宋体"/>
          <w:bCs/>
          <w:color w:val="000000" w:themeColor="text1"/>
          <w:sz w:val="24"/>
          <w:szCs w:val="24"/>
          <w:highlight w:val="none"/>
          <w:u w:val="single"/>
          <w14:textFill>
            <w14:solidFill>
              <w14:schemeClr w14:val="tx1"/>
            </w14:solidFill>
          </w14:textFill>
        </w:rPr>
        <w:t xml:space="preserve">（联合体）</w:t>
      </w:r>
      <w:r>
        <w:rPr>
          <w:rFonts w:hint="eastAsia" w:ascii="宋体" w:hAnsi="宋体"/>
          <w:bCs/>
          <w:color w:val="000000" w:themeColor="text1"/>
          <w:sz w:val="24"/>
          <w:szCs w:val="24"/>
          <w:highlight w:val="none"/>
          <w14:textFill>
            <w14:solidFill>
              <w14:schemeClr w14:val="tx1"/>
            </w14:solidFill>
          </w14:textFill>
        </w:rPr>
        <w:t xml:space="preserve">参加</w:t>
      </w:r>
      <w:r>
        <w:rPr>
          <w:rFonts w:hint="eastAsia" w:ascii="宋体" w:hAnsi="宋体"/>
          <w:bCs/>
          <w:color w:val="000000" w:themeColor="text1"/>
          <w:sz w:val="24"/>
          <w:szCs w:val="24"/>
          <w:highlight w:val="none"/>
          <w:u w:val="single"/>
          <w14:textFill>
            <w14:solidFill>
              <w14:schemeClr w14:val="tx1"/>
            </w14:solidFill>
          </w14:textFill>
        </w:rPr>
        <w:t xml:space="preserve">（单位名称）</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color w:val="000000" w:themeColor="text1"/>
          <w:sz w:val="24"/>
          <w:szCs w:val="24"/>
          <w:highlight w:val="none"/>
          <w:u w:val="single"/>
          <w14:textFill>
            <w14:solidFill>
              <w14:schemeClr w14:val="tx1"/>
            </w14:solidFill>
          </w14:textFill>
        </w:rPr>
        <w:t xml:space="preserve">（项目名称）</w:t>
      </w:r>
      <w:r>
        <w:rPr>
          <w:rFonts w:hint="eastAsia"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u w:val="single"/>
          <w14:textFill>
            <w14:solidFill>
              <w14:schemeClr w14:val="tx1"/>
            </w14:solidFill>
          </w14:textFill>
        </w:rPr>
        <w:t xml:space="preserve"> （标的名称） </w:t>
      </w:r>
      <w:r>
        <w:rPr>
          <w:rFonts w:hint="eastAsia" w:ascii="宋体" w:hAnsi="宋体"/>
          <w:bCs/>
          <w:color w:val="000000" w:themeColor="text1"/>
          <w:sz w:val="24"/>
          <w:szCs w:val="24"/>
          <w:highlight w:val="none"/>
          <w14:textFill>
            <w14:solidFill>
              <w14:schemeClr w14:val="tx1"/>
            </w14:solidFill>
          </w14:textFill>
        </w:rPr>
        <w:t xml:space="preserve">，属于</w:t>
      </w:r>
      <w:r>
        <w:rPr>
          <w:rFonts w:hint="eastAsia"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szCs w:val="24"/>
          <w:highlight w:val="none"/>
          <w14:textFill>
            <w14:solidFill>
              <w14:schemeClr w14:val="tx1"/>
            </w14:solidFill>
          </w14:textFill>
        </w:rPr>
        <w:t xml:space="preserve">； 承建（承接）企业为</w:t>
      </w:r>
      <w:r>
        <w:rPr>
          <w:rFonts w:hint="eastAsia" w:ascii="宋体" w:hAnsi="宋体"/>
          <w:bCs/>
          <w:color w:val="000000" w:themeColor="text1"/>
          <w:sz w:val="24"/>
          <w:szCs w:val="24"/>
          <w:highlight w:val="none"/>
          <w:u w:val="single"/>
          <w14:textFill>
            <w14:solidFill>
              <w14:schemeClr w14:val="tx1"/>
            </w14:solidFill>
          </w14:textFill>
        </w:rPr>
        <w:t xml:space="preserve">（企业名称）</w:t>
      </w:r>
      <w:r>
        <w:rPr>
          <w:rFonts w:hint="eastAsia"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万元，属于</w:t>
      </w:r>
      <w:r>
        <w:rPr>
          <w:rFonts w:hint="eastAsia"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u w:val="single"/>
          <w14:textFill>
            <w14:solidFill>
              <w14:schemeClr w14:val="tx1"/>
            </w14:solidFill>
          </w14:textFill>
        </w:rPr>
        <w:t xml:space="preserve"> （标的名称） </w:t>
      </w:r>
      <w:r>
        <w:rPr>
          <w:rFonts w:hint="eastAsia" w:ascii="宋体" w:hAnsi="宋体"/>
          <w:bCs/>
          <w:color w:val="000000" w:themeColor="text1"/>
          <w:sz w:val="24"/>
          <w:szCs w:val="24"/>
          <w:highlight w:val="none"/>
          <w14:textFill>
            <w14:solidFill>
              <w14:schemeClr w14:val="tx1"/>
            </w14:solidFill>
          </w14:textFill>
        </w:rPr>
        <w:t xml:space="preserve">，属于</w:t>
      </w:r>
      <w:r>
        <w:rPr>
          <w:rFonts w:hint="eastAsia"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szCs w:val="24"/>
          <w:highlight w:val="none"/>
          <w14:textFill>
            <w14:solidFill>
              <w14:schemeClr w14:val="tx1"/>
            </w14:solidFill>
          </w14:textFill>
        </w:rPr>
        <w:t xml:space="preserve">； 承建（承接）企业为</w:t>
      </w:r>
      <w:r>
        <w:rPr>
          <w:rFonts w:hint="eastAsia" w:ascii="宋体" w:hAnsi="宋体"/>
          <w:bCs/>
          <w:color w:val="000000" w:themeColor="text1"/>
          <w:sz w:val="24"/>
          <w:szCs w:val="24"/>
          <w:highlight w:val="none"/>
          <w:u w:val="single"/>
          <w14:textFill>
            <w14:solidFill>
              <w14:schemeClr w14:val="tx1"/>
            </w14:solidFill>
          </w14:textFill>
        </w:rPr>
        <w:t xml:space="preserve">（企业名称）</w:t>
      </w:r>
      <w:r>
        <w:rPr>
          <w:rFonts w:hint="eastAsia"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万元，属于</w:t>
      </w:r>
      <w:r>
        <w:rPr>
          <w:rFonts w:hint="eastAsia"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lang w:bidi="ar"/>
          <w14:textFill>
            <w14:solidFill>
              <w14:schemeClr w14:val="tx1"/>
            </w14:solidFill>
          </w14:textFill>
        </w:rPr>
        <w:t xml:space="preserve"> </w:t>
      </w:r>
      <w:r/>
    </w:p>
    <w:p>
      <w:pPr>
        <w:ind w:firstLine="576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r>
      <w:r/>
    </w:p>
    <w:p>
      <w:pPr>
        <w:ind w:firstLine="576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lang w:bidi="ar"/>
          <w14:textFill>
            <w14:solidFill>
              <w14:schemeClr w14:val="tx1"/>
            </w14:solidFill>
          </w14:textFill>
        </w:rPr>
        <w:t xml:space="preserve">企业名称（盖章）： </w:t>
      </w:r>
      <w:r/>
    </w:p>
    <w:p>
      <w:pPr>
        <w:ind w:firstLine="576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lang w:bidi="ar"/>
          <w14:textFill>
            <w14:solidFill>
              <w14:schemeClr w14:val="tx1"/>
            </w14:solidFill>
          </w14:textFill>
        </w:rPr>
        <w:t xml:space="preserve">日 期：</w:t>
      </w:r>
      <w:r/>
    </w:p>
    <w:p>
      <w:pPr>
        <w:shd w:val="clear" w:color="auto"/>
        <w:rPr>
          <w:rFonts w:ascii="宋体" w:hAnsi="宋体" w:cs="Courier New"/>
          <w:color w:val="000000" w:themeColor="text1"/>
          <w:sz w:val="24"/>
          <w:highlight w:val="none"/>
          <w14:textFill>
            <w14:solidFill>
              <w14:schemeClr w14:val="tx1"/>
            </w14:solidFill>
          </w14:textFill>
        </w:rPr>
      </w:pPr>
      <w:r>
        <w:rPr>
          <w:rFonts w:ascii="宋体" w:hAnsi="宋体" w:cs="Courier New"/>
          <w:color w:val="000000" w:themeColor="text1"/>
          <w:sz w:val="24"/>
          <w:highlight w:val="none"/>
          <w14:textFill>
            <w14:solidFill>
              <w14:schemeClr w14:val="tx1"/>
            </w14:solidFill>
          </w14:textFill>
        </w:rPr>
        <w:t xml:space="preserve">说明： </w:t>
      </w:r>
      <w:r/>
    </w:p>
    <w:p>
      <w:pPr>
        <w:ind w:right="-216"/>
        <w:jc w:val="left"/>
        <w:shd w:val="clear" w:color="auto"/>
        <w:rPr>
          <w:rFonts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 xml:space="preserve">1.</w:t>
      </w:r>
      <w:r>
        <w:rPr>
          <w:rFonts w:ascii="宋体" w:hAnsi="宋体" w:cs="Courier New"/>
          <w:color w:val="000000" w:themeColor="text1"/>
          <w:sz w:val="24"/>
          <w:highlight w:val="none"/>
          <w14:textFill>
            <w14:solidFill>
              <w14:schemeClr w14:val="tx1"/>
            </w14:solidFill>
          </w14:textFill>
        </w:rPr>
        <w:t xml:space="preserve">从业人员、营业收入、资产总额填报上一年度数据，无上一年度数据的新成立企业可不填报。 </w:t>
      </w:r>
      <w:r/>
    </w:p>
    <w:p>
      <w:pPr>
        <w:ind w:right="-216"/>
        <w:jc w:val="left"/>
        <w:shd w:val="clear" w:color="auto"/>
        <w:rPr>
          <w:rFonts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 xml:space="preserve">2.</w:t>
      </w:r>
      <w:r>
        <w:rPr>
          <w:rFonts w:ascii="宋体" w:hAnsi="宋体" w:cs="Courier New"/>
          <w:color w:val="000000" w:themeColor="text1"/>
          <w:sz w:val="24"/>
          <w:highlight w:val="none"/>
          <w14:textFill>
            <w14:solidFill>
              <w14:schemeClr w14:val="tx1"/>
            </w14:solidFill>
          </w14:textFill>
        </w:rPr>
        <w:t xml:space="preserve">供应商根据《工业和信息化部、国家统计局、国家发展和改革委员会、财政部关于印发中小企业划型标准规定的通知》（工信部联企业</w:t>
      </w:r>
      <w:r>
        <w:rPr>
          <w:rFonts w:hint="eastAsia" w:ascii="宋体" w:hAnsi="宋体" w:cs="Courier New"/>
          <w:color w:val="000000" w:themeColor="text1"/>
          <w:sz w:val="24"/>
          <w:highlight w:val="none"/>
          <w:lang w:eastAsia="zh-CN"/>
          <w14:textFill>
            <w14:solidFill>
              <w14:schemeClr w14:val="tx1"/>
            </w14:solidFill>
          </w14:textFill>
        </w:rPr>
        <w:t xml:space="preserve">〔2011〕</w:t>
      </w:r>
      <w:r>
        <w:rPr>
          <w:rFonts w:ascii="宋体" w:hAnsi="宋体" w:cs="Courier New"/>
          <w:color w:val="000000" w:themeColor="text1"/>
          <w:sz w:val="24"/>
          <w:highlight w:val="none"/>
          <w14:textFill>
            <w14:solidFill>
              <w14:schemeClr w14:val="tx1"/>
            </w14:solidFill>
          </w14:textFill>
        </w:rPr>
        <w:t xml:space="preserve">300 号）规定的划分标准填写中小企业声明函。</w:t>
      </w:r>
      <w:r/>
    </w:p>
    <w:p>
      <w:pPr>
        <w:ind w:right="-216"/>
        <w:jc w:val="left"/>
        <w:shd w:val="clear" w:color="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 xml:space="preserve">3</w:t>
      </w:r>
      <w:r>
        <w:rPr>
          <w:rFonts w:ascii="宋体" w:hAnsi="宋体" w:cs="Courier New"/>
          <w:color w:val="000000" w:themeColor="text1"/>
          <w:sz w:val="24"/>
          <w:highlight w:val="none"/>
          <w14:textFill>
            <w14:solidFill>
              <w14:schemeClr w14:val="tx1"/>
            </w14:solidFill>
          </w14:textFill>
        </w:rPr>
        <w:t xml:space="preserve">.供应商提供的声明函与事实不符的，依照《</w:t>
      </w:r>
      <w:r>
        <w:rPr>
          <w:rFonts w:hint="eastAsia" w:ascii="宋体" w:hAnsi="宋体" w:cs="Courier New"/>
          <w:color w:val="000000" w:themeColor="text1"/>
          <w:sz w:val="24"/>
          <w:highlight w:val="none"/>
          <w:lang w:eastAsia="zh-CN"/>
          <w14:textFill>
            <w14:solidFill>
              <w14:schemeClr w14:val="tx1"/>
            </w14:solidFill>
          </w14:textFill>
        </w:rPr>
        <w:t xml:space="preserve">中华人民共和国政府采购法</w:t>
      </w:r>
      <w:r>
        <w:rPr>
          <w:rFonts w:ascii="宋体" w:hAnsi="宋体" w:cs="Courier New"/>
          <w:color w:val="000000" w:themeColor="text1"/>
          <w:sz w:val="24"/>
          <w:highlight w:val="none"/>
          <w14:textFill>
            <w14:solidFill>
              <w14:schemeClr w14:val="tx1"/>
            </w14:solidFill>
          </w14:textFill>
        </w:rPr>
        <w:t xml:space="preserve">》第七十七条第一款的规定追究法律责任。</w:t>
      </w:r>
      <w:r/>
    </w:p>
    <w:p>
      <w:pP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shd w:val="clear" w:color="auto"/>
        <w:rPr>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（六）残疾人福利性单位声明函（格式）：</w:t>
      </w:r>
      <w:r/>
    </w:p>
    <w:p>
      <w:pPr>
        <w:spacing w:line="588" w:lineRule="exact"/>
        <w:shd w:val="clear" w:color="auto"/>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jc w:val="center"/>
        <w:shd w:val="clear" w:color="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shd w:val="clear" w:color="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单位的</w:t>
      </w:r>
      <w:r>
        <w:rPr>
          <w:rFonts w:hint="eastAsia" w:ascii="宋体" w:hAnsi="宋体"/>
          <w:b/>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hd w:val="clear" w:color="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bookmarkStart w:id="44" w:name="_Toc19263"/>
      <w:r>
        <w:rPr>
          <w:rFonts w:hint="eastAsia" w:eastAsia="黑体"/>
          <w:bCs/>
          <w:color w:val="000000" w:themeColor="text1"/>
          <w:sz w:val="24"/>
          <w:szCs w:val="24"/>
          <w:highlight w:val="none"/>
          <w14:textFill>
            <w14:solidFill>
              <w14:schemeClr w14:val="tx1"/>
            </w14:solidFill>
          </w14:textFill>
        </w:rPr>
        <w:t xml:space="preserve">（七）</w:t>
      </w:r>
      <w:r>
        <w:rPr>
          <w:rFonts w:eastAsia="黑体"/>
          <w:bCs/>
          <w:color w:val="000000" w:themeColor="text1"/>
          <w:sz w:val="24"/>
          <w:szCs w:val="24"/>
          <w:highlight w:val="none"/>
          <w14:textFill>
            <w14:solidFill>
              <w14:schemeClr w14:val="tx1"/>
            </w14:solidFill>
          </w14:textFill>
        </w:rPr>
        <w:t xml:space="preserve">开标一览表(格式)：</w:t>
      </w:r>
      <w:bookmarkEnd w:id="44"/>
      <w:r/>
      <w:r/>
    </w:p>
    <w:p>
      <w:pPr>
        <w:jc w:val="center"/>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default" w:ascii="黑体" w:eastAsia="黑体"/>
          <w:bCs/>
          <w:color w:val="000000" w:themeColor="text1"/>
          <w:sz w:val="28"/>
          <w:szCs w:val="28"/>
          <w:highlight w:val="none"/>
          <w14:textFill>
            <w14:solidFill>
              <w14:schemeClr w14:val="tx1"/>
            </w14:solidFill>
          </w14:textFill>
        </w:rPr>
      </w:r>
      <w:r/>
    </w:p>
    <w:p>
      <w:pP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JSZC-320292-JSAA-G2025-0014</w:t>
      </w:r>
      <w:r>
        <w:rPr>
          <w:rFonts w:hint="eastAsia" w:ascii="黑体" w:eastAsia="黑体"/>
          <w:bCs/>
          <w:color w:val="000000" w:themeColor="text1"/>
          <w:sz w:val="24"/>
          <w:szCs w:val="24"/>
          <w:highlight w:val="none"/>
          <w:lang w:val="en-US" w:eastAsia="zh-CN"/>
          <w14:textFill>
            <w14:solidFill>
              <w14:schemeClr w14:val="tx1"/>
            </w14:solidFill>
          </w14:textFill>
        </w:rPr>
        <w:t xml:space="preserve">            所投采购包：采购包（  ）</w:t>
      </w:r>
      <w:r/>
    </w:p>
    <w:tbl>
      <w:tblPr>
        <w:tblStyle w:val="1066"/>
        <w:tblW w:w="972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4028"/>
      </w:tblGrid>
      <w:tr>
        <w:trPr>
          <w:cantSplit/>
          <w:trHeight w:val="567"/>
        </w:trPr>
        <w:tc>
          <w:tcPr>
            <w:tcW w:w="5697" w:type="dxa"/>
            <w:vAlign w:val="center"/>
            <w:textDirection w:val="lrTb"/>
            <w:noWrap w:val="false"/>
          </w:tcPr>
          <w:p>
            <w:pPr>
              <w:jc w:val="center"/>
              <w:shd w:val="clear" w:color="auto"/>
              <w:rPr>
                <w:rFonts w:hint="default"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4028" w:type="dxa"/>
            <w:vAlign w:val="center"/>
            <w:textDirection w:val="lrTb"/>
            <w:noWrap w:val="false"/>
          </w:tcPr>
          <w:p>
            <w:pPr>
              <w:jc w:val="center"/>
              <w:shd w:val="clear" w:color="auto"/>
              <w:rPr>
                <w:rFonts w:hint="default"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w:t>
            </w:r>
            <w:r>
              <w:rPr>
                <w:rFonts w:hint="default"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小写</w:t>
            </w:r>
            <w:r>
              <w:rPr>
                <w:rFonts w:hint="default" w:ascii="宋体" w:hAnsi="宋体"/>
                <w:b/>
                <w:bCs/>
                <w:color w:val="000000" w:themeColor="text1"/>
                <w:sz w:val="24"/>
                <w:szCs w:val="24"/>
                <w:highlight w:val="none"/>
                <w14:textFill>
                  <w14:solidFill>
                    <w14:schemeClr w14:val="tx1"/>
                  </w14:solidFill>
                </w14:textFill>
              </w:rPr>
              <w:t xml:space="preserve">)</w:t>
            </w:r>
            <w:r/>
          </w:p>
        </w:tc>
      </w:tr>
      <w:tr>
        <w:trPr>
          <w:cantSplit/>
          <w:trHeight w:val="1630"/>
        </w:trPr>
        <w:tc>
          <w:tcPr>
            <w:tcW w:w="5697" w:type="dxa"/>
            <w:vAlign w:val="center"/>
            <w:textDirection w:val="lrTb"/>
            <w:noWrap w:val="false"/>
          </w:tcPr>
          <w:p>
            <w:pPr>
              <w:jc w:val="center"/>
              <w:spacing w:line="400" w:lineRule="exact"/>
              <w:shd w:val="clear" w:color="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南湖家园老旧小区改造提升工程(EPC项目)等三个项目复审服务</w:t>
            </w:r>
            <w:r/>
          </w:p>
        </w:tc>
        <w:tc>
          <w:tcPr>
            <w:tcW w:w="4028" w:type="dxa"/>
            <w:vAlign w:val="center"/>
            <w:textDirection w:val="lrTb"/>
            <w:noWrap w:val="false"/>
          </w:tcPr>
          <w:p>
            <w:pPr>
              <w:jc w:val="both"/>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r>
            <w:r/>
          </w:p>
        </w:tc>
      </w:tr>
      <w:tr>
        <w:trPr>
          <w:cantSplit/>
          <w:trHeight w:val="1894"/>
        </w:trPr>
        <w:tc>
          <w:tcPr>
            <w:gridSpan w:val="2"/>
            <w:tcW w:w="9725" w:type="dxa"/>
            <w:vAlign w:val="center"/>
            <w:textDirection w:val="lrTb"/>
            <w:noWrap w:val="false"/>
          </w:tcPr>
          <w:p>
            <w:pPr>
              <w:shd w:val="clear" w:color="auto"/>
              <w:rPr>
                <w:rFonts w:hint="default"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szCs w:val="21"/>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shd w:val="clear" w:color="auto"/>
        <w:rPr>
          <w:rFonts w:hint="default"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default" w:ascii="黑体" w:eastAsia="黑体"/>
          <w:bCs/>
          <w:color w:val="000000" w:themeColor="text1"/>
          <w:sz w:val="24"/>
          <w:szCs w:val="24"/>
          <w:highlight w:val="none"/>
          <w14:textFill>
            <w14:solidFill>
              <w14:schemeClr w14:val="tx1"/>
            </w14:solidFill>
          </w14:textFill>
        </w:rPr>
      </w:r>
      <w:r/>
    </w:p>
    <w:p>
      <w:pP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default" w:ascii="黑体" w:eastAsia="黑体"/>
          <w:bCs/>
          <w:color w:val="000000" w:themeColor="text1"/>
          <w:sz w:val="24"/>
          <w:szCs w:val="24"/>
          <w:highlight w:val="none"/>
          <w14:textFill>
            <w14:solidFill>
              <w14:schemeClr w14:val="tx1"/>
            </w14:solidFill>
          </w14:textFill>
        </w:rPr>
      </w:r>
      <w:r/>
    </w:p>
    <w:p>
      <w:pPr>
        <w:jc w:val="left"/>
        <w:spacing w:line="360" w:lineRule="auto"/>
        <w:shd w:val="clear" w:color="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t xml:space="preserve">注：投标总报价请按所投采购包的预算直接填写（如投采购包1，则填写</w:t>
      </w:r>
      <w:r>
        <w:rPr>
          <w:rFonts w:hint="eastAsia" w:hAnsi="宋体"/>
          <w:b/>
          <w:color w:val="000000" w:themeColor="text1"/>
          <w:szCs w:val="24"/>
          <w:highlight w:val="none"/>
          <w:lang w:val="en-US" w:eastAsia="zh-CN"/>
          <w14:textFill>
            <w14:solidFill>
              <w14:schemeClr w14:val="tx1"/>
            </w14:solidFill>
          </w14:textFill>
        </w:rPr>
        <w:t xml:space="preserve">最高限价</w:t>
      </w:r>
      <w:r>
        <w:rPr>
          <w:rFonts w:hint="eastAsia" w:hAnsi="宋体"/>
          <w:b/>
          <w:color w:val="000000" w:themeColor="text1"/>
          <w:szCs w:val="24"/>
          <w:highlight w:val="none"/>
          <w14:textFill>
            <w14:solidFill>
              <w14:schemeClr w14:val="tx1"/>
            </w14:solidFill>
          </w14:textFill>
        </w:rPr>
        <w:t xml:space="preserve">即可），否则作为无效投标文件。</w:t>
      </w:r>
      <w:r/>
    </w:p>
    <w:p>
      <w:pPr>
        <w:jc w:val="left"/>
        <w:spacing w:line="360" w:lineRule="auto"/>
        <w:shd w:val="clear" w:color="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p>
      <w:pPr>
        <w:shd w:val="clear" w:color="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br w:type="page" w:clear="all"/>
      </w:r>
      <w:r/>
    </w:p>
    <w:p>
      <w:pPr>
        <w:jc w:val="left"/>
        <w:spacing w:line="400" w:lineRule="exact"/>
        <w:shd w:val="clear" w:color="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黑体" w:eastAsia="黑体"/>
          <w:bCs/>
          <w:color w:val="000000" w:themeColor="text1"/>
          <w:sz w:val="28"/>
          <w:szCs w:val="28"/>
          <w:highlight w:val="none"/>
          <w:lang w:val="en-US" w:eastAsia="zh-CN"/>
          <w14:textFill>
            <w14:solidFill>
              <w14:schemeClr w14:val="tx1"/>
            </w14:solidFill>
          </w14:textFill>
        </w:rPr>
        <w:t xml:space="preserve">八</w:t>
      </w:r>
      <w:r>
        <w:rPr>
          <w:rFonts w:hint="eastAsia" w:ascii="黑体" w:eastAsia="黑体"/>
          <w:bCs/>
          <w:color w:val="000000" w:themeColor="text1"/>
          <w:sz w:val="28"/>
          <w:szCs w:val="28"/>
          <w:highlight w:val="none"/>
          <w14:textFill>
            <w14:solidFill>
              <w14:schemeClr w14:val="tx1"/>
            </w14:solidFill>
          </w14:textFill>
        </w:rPr>
        <w:t xml:space="preserve">）分项报价表(格式)：</w:t>
      </w:r>
      <w:r/>
    </w:p>
    <w:p>
      <w:pPr>
        <w:jc w:val="center"/>
        <w:spacing w:line="400" w:lineRule="exact"/>
        <w:shd w:val="clear" w:color="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shd w:val="clear" w:color="auto"/>
        <w:tabs>
          <w:tab w:val="left" w:pos="7247" w:leader="none"/>
        </w:tabs>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JSZC-320292-JSAA-G2025-0014</w:t>
      </w:r>
      <w:r>
        <w:rPr>
          <w:rFonts w:hint="eastAsia" w:ascii="黑体" w:eastAsia="黑体"/>
          <w:bCs/>
          <w:color w:val="000000" w:themeColor="text1"/>
          <w:sz w:val="24"/>
          <w:szCs w:val="24"/>
          <w:highlight w:val="none"/>
          <w:lang w:val="en-US" w:eastAsia="zh-CN"/>
          <w14:textFill>
            <w14:solidFill>
              <w14:schemeClr w14:val="tx1"/>
            </w14:solidFill>
          </w14:textFill>
        </w:rPr>
        <w:t xml:space="preserve">           所投采购包：</w:t>
      </w:r>
      <w:r>
        <w:rPr>
          <w:rFonts w:hint="eastAsia" w:ascii="黑体" w:eastAsia="黑体"/>
          <w:bCs/>
          <w:color w:val="000000" w:themeColor="text1"/>
          <w:sz w:val="24"/>
          <w:szCs w:val="24"/>
          <w:highlight w:val="none"/>
          <w:lang w:eastAsia="zh-CN"/>
          <w14:textFill>
            <w14:solidFill>
              <w14:schemeClr w14:val="tx1"/>
            </w14:solidFill>
          </w14:textFill>
        </w:rPr>
        <w:t xml:space="preserve">采购包（  ）</w:t>
      </w:r>
      <w:r/>
    </w:p>
    <w:tbl>
      <w:tblPr>
        <w:tblStyle w:val="1066"/>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8"/>
        <w:gridCol w:w="4752"/>
        <w:gridCol w:w="851"/>
        <w:gridCol w:w="850"/>
        <w:gridCol w:w="1134"/>
        <w:gridCol w:w="1276"/>
      </w:tblGrid>
      <w:tr>
        <w:trPr>
          <w:cantSplit/>
          <w:jc w:val="center"/>
          <w:trHeight w:val="495"/>
        </w:trPr>
        <w:tc>
          <w:tcPr>
            <w:tcMar>
              <w:left w:w="15" w:type="dxa"/>
              <w:top w:w="15" w:type="dxa"/>
              <w:right w:w="15" w:type="dxa"/>
              <w:bottom w:w="0" w:type="dxa"/>
            </w:tcMar>
            <w:tcW w:w="598" w:type="dxa"/>
            <w:vAlign w:val="center"/>
            <w:textDirection w:val="lrTb"/>
            <w:noWrap/>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序号</w:t>
            </w:r>
            <w:r/>
          </w:p>
        </w:tc>
        <w:tc>
          <w:tcPr>
            <w:tcMar>
              <w:left w:w="15" w:type="dxa"/>
              <w:top w:w="15" w:type="dxa"/>
              <w:right w:w="15" w:type="dxa"/>
              <w:bottom w:w="0" w:type="dxa"/>
            </w:tcMar>
            <w:tcW w:w="4752" w:type="dxa"/>
            <w:vAlign w:val="center"/>
            <w:textDirection w:val="lrTb"/>
            <w:noWrap/>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default"/>
                <w:color w:val="000000" w:themeColor="text1"/>
                <w:sz w:val="18"/>
                <w:szCs w:val="21"/>
                <w:highlight w:val="none"/>
                <w14:textFill>
                  <w14:solidFill>
                    <w14:schemeClr w14:val="tx1"/>
                  </w14:solidFill>
                </w14:textFill>
              </w:rPr>
              <w:t xml:space="preserve">服务内容</w:t>
            </w:r>
            <w:r/>
          </w:p>
        </w:tc>
        <w:tc>
          <w:tcPr>
            <w:tcW w:w="851" w:type="dxa"/>
            <w:vAlign w:val="center"/>
            <w:textDirection w:val="lrTb"/>
            <w:noWrap w:val="false"/>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数量</w:t>
            </w:r>
            <w:r/>
          </w:p>
        </w:tc>
        <w:tc>
          <w:tcPr>
            <w:tcMar>
              <w:left w:w="15" w:type="dxa"/>
              <w:top w:w="15" w:type="dxa"/>
              <w:right w:w="15" w:type="dxa"/>
              <w:bottom w:w="0" w:type="dxa"/>
            </w:tcMar>
            <w:tcW w:w="850" w:type="dxa"/>
            <w:vAlign w:val="center"/>
            <w:textDirection w:val="lrTb"/>
            <w:noWrap/>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单位</w:t>
            </w:r>
            <w:r/>
          </w:p>
        </w:tc>
        <w:tc>
          <w:tcPr>
            <w:tcW w:w="1134" w:type="dxa"/>
            <w:vAlign w:val="center"/>
            <w:textDirection w:val="lrTb"/>
            <w:noWrap w:val="false"/>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单报价</w:t>
            </w:r>
            <w:r/>
          </w:p>
        </w:tc>
        <w:tc>
          <w:tcPr>
            <w:tcW w:w="1276" w:type="dxa"/>
            <w:vAlign w:val="center"/>
            <w:textDirection w:val="lrTb"/>
            <w:noWrap w:val="false"/>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598" w:type="dxa"/>
            <w:vAlign w:val="center"/>
            <w:textDirection w:val="lrTb"/>
            <w:noWrap/>
          </w:tcPr>
          <w:p>
            <w:pPr>
              <w:jc w:val="center"/>
              <w:spacing w:before="5"/>
              <w:shd w:val="clear" w:color="auto"/>
              <w:widowControl w:val="off"/>
              <w:rPr>
                <w:rFonts w:ascii="宋体" w:hAnsi="Times New Roman" w:eastAsia="宋体" w:cs="Times New Roman"/>
                <w:color w:val="000000" w:themeColor="text1"/>
                <w:sz w:val="18"/>
                <w:szCs w:val="18"/>
                <w:highlight w:val="none"/>
                <w14:textFill>
                  <w14:solidFill>
                    <w14:schemeClr w14:val="tx1"/>
                  </w14:solidFill>
                </w14:textFill>
              </w:rPr>
              <w:pBdr>
                <w:bottom w:val="none" w:color="000000" w:sz="0" w:space="0"/>
              </w:pBdr>
            </w:pPr>
            <w:r>
              <w:rPr>
                <w:rFonts w:hint="eastAsia" w:ascii="宋体"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p>
        </w:tc>
        <w:tc>
          <w:tcPr>
            <w:tcMar>
              <w:left w:w="15" w:type="dxa"/>
              <w:top w:w="15" w:type="dxa"/>
              <w:right w:w="15" w:type="dxa"/>
              <w:bottom w:w="0" w:type="dxa"/>
            </w:tcMar>
            <w:tcW w:w="4752"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851"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1134"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598" w:type="dxa"/>
            <w:vAlign w:val="center"/>
            <w:textDirection w:val="lrTb"/>
            <w:noWrap/>
          </w:tcPr>
          <w:p>
            <w:pPr>
              <w:jc w:val="center"/>
              <w:shd w:val="clear" w:color="auto"/>
              <w:rPr>
                <w:rFonts w:hint="default" w:ascii="宋体"/>
                <w:color w:val="000000" w:themeColor="text1"/>
                <w:sz w:val="18"/>
                <w:szCs w:val="21"/>
                <w:highlight w:val="none"/>
                <w14:textFill>
                  <w14:solidFill>
                    <w14:schemeClr w14:val="tx1"/>
                  </w14:solidFill>
                </w14:textFill>
              </w:rPr>
            </w:pPr>
            <w:r>
              <w:rPr>
                <w:rFonts w:hint="eastAsia" w:ascii="宋体"/>
                <w:color w:val="000000" w:themeColor="text1"/>
                <w:sz w:val="18"/>
                <w:szCs w:val="21"/>
                <w:highlight w:val="none"/>
                <w14:textFill>
                  <w14:solidFill>
                    <w14:schemeClr w14:val="tx1"/>
                  </w14:solidFill>
                </w14:textFill>
              </w:rPr>
              <w:t xml:space="preserve">2</w:t>
            </w:r>
            <w:r/>
          </w:p>
        </w:tc>
        <w:tc>
          <w:tcPr>
            <w:tcMar>
              <w:left w:w="15" w:type="dxa"/>
              <w:top w:w="15" w:type="dxa"/>
              <w:right w:w="15" w:type="dxa"/>
              <w:bottom w:w="0" w:type="dxa"/>
            </w:tcMar>
            <w:tcW w:w="4752"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851"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1134"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598" w:type="dxa"/>
            <w:vAlign w:val="center"/>
            <w:textDirection w:val="lrTb"/>
            <w:noWrap/>
          </w:tcPr>
          <w:p>
            <w:pPr>
              <w:jc w:val="center"/>
              <w:shd w:val="clear" w:color="auto"/>
              <w:rPr>
                <w:rFonts w:hint="default" w:ascii="宋体"/>
                <w:color w:val="000000" w:themeColor="text1"/>
                <w:sz w:val="18"/>
                <w:szCs w:val="21"/>
                <w:highlight w:val="none"/>
                <w14:textFill>
                  <w14:solidFill>
                    <w14:schemeClr w14:val="tx1"/>
                  </w14:solidFill>
                </w14:textFill>
              </w:rPr>
            </w:pPr>
            <w:r>
              <w:rPr>
                <w:rFonts w:hint="default" w:ascii="宋体"/>
                <w:color w:val="000000" w:themeColor="text1"/>
                <w:sz w:val="18"/>
                <w:szCs w:val="21"/>
                <w:highlight w:val="none"/>
                <w14:textFill>
                  <w14:solidFill>
                    <w14:schemeClr w14:val="tx1"/>
                  </w14:solidFill>
                </w14:textFill>
              </w:rPr>
            </w:r>
            <w:r/>
          </w:p>
        </w:tc>
        <w:tc>
          <w:tcPr>
            <w:tcMar>
              <w:left w:w="15" w:type="dxa"/>
              <w:top w:w="15" w:type="dxa"/>
              <w:right w:w="15" w:type="dxa"/>
              <w:bottom w:w="0" w:type="dxa"/>
            </w:tcMar>
            <w:tcW w:w="4752" w:type="dxa"/>
            <w:vAlign w:val="center"/>
            <w:textDirection w:val="lrTb"/>
            <w:noWrap/>
          </w:tcPr>
          <w:p>
            <w:pPr>
              <w:jc w:val="center"/>
              <w:shd w:val="clear" w:color="auto"/>
              <w:rPr>
                <w:rFonts w:hint="default" w:ascii="黑体" w:eastAsia="黑体"/>
                <w:b/>
                <w:bCs/>
                <w:color w:val="000000" w:themeColor="text1"/>
                <w:szCs w:val="21"/>
                <w:highlight w:val="none"/>
                <w14:textFill>
                  <w14:solidFill>
                    <w14:schemeClr w14:val="tx1"/>
                  </w14:solidFill>
                </w14:textFill>
              </w:rPr>
            </w:pPr>
            <w:r>
              <w:rPr>
                <w:rFonts w:hint="default" w:ascii="黑体" w:eastAsia="黑体"/>
                <w:b/>
                <w:bCs/>
                <w:color w:val="000000" w:themeColor="text1"/>
                <w:szCs w:val="21"/>
                <w:highlight w:val="none"/>
                <w14:textFill>
                  <w14:solidFill>
                    <w14:schemeClr w14:val="tx1"/>
                  </w14:solidFill>
                </w14:textFill>
              </w:rPr>
              <w:t xml:space="preserve">……</w:t>
            </w:r>
            <w:r/>
          </w:p>
        </w:tc>
        <w:tc>
          <w:tcPr>
            <w:tcW w:w="851"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shd w:val="clear" w:color="auto"/>
              <w:rPr>
                <w:rFonts w:hint="default" w:ascii="黑体" w:eastAsia="黑体"/>
                <w:b/>
                <w:bCs/>
                <w:color w:val="000000" w:themeColor="text1"/>
                <w:szCs w:val="21"/>
                <w:highlight w:val="none"/>
                <w14:textFill>
                  <w14:solidFill>
                    <w14:schemeClr w14:val="tx1"/>
                  </w14:solidFill>
                </w14:textFill>
              </w:rPr>
            </w:pPr>
            <w:r>
              <w:rPr>
                <w:rFonts w:hint="default" w:ascii="黑体" w:eastAsia="黑体"/>
                <w:b/>
                <w:bCs/>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r>
    </w:tbl>
    <w:p>
      <w:pPr>
        <w:spacing w:before="5" w:line="560" w:lineRule="atLeast"/>
        <w:shd w:val="clear" w:color="auto"/>
        <w:rPr>
          <w:rFonts w:hint="default"/>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shd w:val="clear" w:color="auto"/>
        <w:rPr>
          <w:rFonts w:hint="default" w:ascii="宋体" w:hAnsi="宋体"/>
          <w:b/>
          <w:color w:val="000000" w:themeColor="text1"/>
          <w:szCs w:val="21"/>
          <w:highlight w:val="none"/>
          <w14:textFill>
            <w14:solidFill>
              <w14:schemeClr w14:val="tx1"/>
            </w14:solidFill>
          </w14:textFill>
        </w:rPr>
        <w:outlineLvl w:val="0"/>
      </w:pPr>
      <w:r>
        <w:rPr>
          <w:rFonts w:hint="default" w:ascii="宋体" w:hAnsi="宋体"/>
          <w:b/>
          <w:color w:val="000000" w:themeColor="text1"/>
          <w:szCs w:val="21"/>
          <w:highlight w:val="none"/>
          <w14:textFill>
            <w14:solidFill>
              <w14:schemeClr w14:val="tx1"/>
            </w14:solidFill>
          </w14:textFill>
        </w:rPr>
      </w:r>
      <w:r/>
    </w:p>
    <w:p>
      <w:pPr>
        <w:jc w:val="left"/>
        <w:spacing w:line="360" w:lineRule="auto"/>
        <w:shd w:val="clear" w:color="auto"/>
        <w:rPr>
          <w:rFonts w:hint="eastAsia" w:hAnsi="宋体"/>
          <w:b/>
          <w:color w:val="000000" w:themeColor="text1"/>
          <w:szCs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hAnsi="宋体"/>
          <w:b/>
          <w:color w:val="000000" w:themeColor="text1"/>
          <w:szCs w:val="24"/>
          <w:highlight w:val="none"/>
          <w14:textFill>
            <w14:solidFill>
              <w14:schemeClr w14:val="tx1"/>
            </w14:solidFill>
          </w14:textFill>
        </w:rPr>
        <w:t xml:space="preserve">本项目无分项报价，各投标供应商只需直接填写“无”即可。（本项需盖章并提交，否则作为无效投标文件）</w:t>
      </w:r>
      <w:r/>
    </w:p>
    <w:p>
      <w:pPr>
        <w:jc w:val="cente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p>
    <w:p>
      <w:pPr>
        <w:jc w:val="left"/>
        <w:spacing w:line="400" w:lineRule="exact"/>
        <w:shd w:val="clear" w:color="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黑体" w:eastAsia="黑体"/>
          <w:bCs/>
          <w:color w:val="000000" w:themeColor="text1"/>
          <w:sz w:val="28"/>
          <w:szCs w:val="28"/>
          <w:highlight w:val="none"/>
          <w:lang w:val="en-US" w:eastAsia="zh-CN"/>
          <w14:textFill>
            <w14:solidFill>
              <w14:schemeClr w14:val="tx1"/>
            </w14:solidFill>
          </w14:textFill>
        </w:rPr>
        <w:t xml:space="preserve">九</w:t>
      </w:r>
      <w:r>
        <w:rPr>
          <w:rFonts w:hint="eastAsia" w:ascii="黑体" w:eastAsia="黑体"/>
          <w:bCs/>
          <w:color w:val="000000" w:themeColor="text1"/>
          <w:sz w:val="28"/>
          <w:szCs w:val="28"/>
          <w:highlight w:val="none"/>
          <w14:textFill>
            <w14:solidFill>
              <w14:schemeClr w14:val="tx1"/>
            </w14:solidFill>
          </w14:textFill>
        </w:rPr>
        <w:t xml:space="preserve">）投标偏离表(格式)：</w:t>
      </w:r>
      <w:r/>
    </w:p>
    <w:p>
      <w:pPr>
        <w:jc w:val="cente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jc w:val="center"/>
        <w:spacing w:line="360" w:lineRule="auto"/>
        <w:shd w:val="clear" w:color="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投标偏离表（格式）</w:t>
      </w:r>
      <w:r/>
    </w:p>
    <w:p>
      <w:pPr>
        <w:spacing w:line="400" w:lineRule="exact"/>
        <w:shd w:val="clear" w:color="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spacing w:line="400" w:lineRule="exact"/>
        <w:shd w:val="clear" w:color="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spacing w:line="400" w:lineRule="exact"/>
        <w:shd w:val="clear" w:color="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政府采购编号：</w:t>
      </w:r>
      <w:r/>
    </w:p>
    <w:tbl>
      <w:tblPr>
        <w:tblStyle w:val="1066"/>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shd w:val="clear" w:color="auto"/>
        <w:rPr>
          <w:b/>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法定代表人或其授权代表（签字或盖章）：</w:t>
      </w:r>
      <w:r/>
    </w:p>
    <w:p>
      <w:pPr>
        <w:shd w:val="clear" w:color="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shd w:val="clear" w:color="auto"/>
        <w:rPr>
          <w:rFonts w:hint="eastAsia" w:ascii="宋体" w:hAnsi="宋体"/>
          <w:bCs/>
          <w:color w:val="000000" w:themeColor="text1"/>
          <w:sz w:val="24"/>
          <w:highlight w:val="none"/>
          <w14:textFill>
            <w14:solidFill>
              <w14:schemeClr w14:val="tx1"/>
            </w14:solidFill>
          </w14:textFill>
        </w:rPr>
        <w:outlineLvl w:val="0"/>
      </w:pPr>
      <w:r/>
      <w:bookmarkStart w:id="45" w:name="_Toc32029"/>
      <w:r>
        <w:rPr>
          <w:rFonts w:hint="eastAsia" w:ascii="宋体" w:hAnsi="宋体"/>
          <w:bCs/>
          <w:color w:val="000000" w:themeColor="text1"/>
          <w:sz w:val="24"/>
          <w:highlight w:val="none"/>
          <w14:textFill>
            <w14:solidFill>
              <w14:schemeClr w14:val="tx1"/>
            </w14:solidFill>
          </w14:textFill>
        </w:rPr>
        <w:t xml:space="preserve">注：</w:t>
      </w:r>
      <w:bookmarkEnd w:id="45"/>
      <w:r/>
      <w:r/>
    </w:p>
    <w:p>
      <w:pPr>
        <w:ind w:firstLine="420"/>
        <w:shd w:val="clear" w:color="auto"/>
        <w:rPr>
          <w:rFonts w:hint="eastAsia" w:ascii="宋体" w:hAnsi="宋体"/>
          <w:bCs/>
          <w:color w:val="000000" w:themeColor="text1"/>
          <w:sz w:val="24"/>
          <w:highlight w:val="none"/>
          <w14:textFill>
            <w14:solidFill>
              <w14:schemeClr w14:val="tx1"/>
            </w14:solidFill>
          </w14:textFill>
        </w:rPr>
        <w:outlineLvl w:val="0"/>
      </w:pPr>
      <w:r/>
      <w:bookmarkStart w:id="46" w:name="_Toc5773"/>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）本表不得删除；</w:t>
      </w:r>
      <w:bookmarkEnd w:id="46"/>
      <w:r/>
      <w:r/>
    </w:p>
    <w:p>
      <w:pPr>
        <w:ind w:firstLine="420"/>
        <w:shd w:val="clear" w:color="auto"/>
        <w:rPr>
          <w:rFonts w:hint="eastAsia" w:ascii="宋体" w:hAnsi="宋体"/>
          <w:bCs/>
          <w:color w:val="000000" w:themeColor="text1"/>
          <w:sz w:val="24"/>
          <w:highlight w:val="none"/>
          <w14:textFill>
            <w14:solidFill>
              <w14:schemeClr w14:val="tx1"/>
            </w14:solidFill>
          </w14:textFill>
        </w:rPr>
        <w:outlineLvl w:val="0"/>
      </w:pPr>
      <w:r/>
      <w:bookmarkStart w:id="47" w:name="_Toc12064"/>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）如无任何偏离，请于本表 “偏离说明”中注明“无偏离”；</w:t>
      </w:r>
      <w:bookmarkEnd w:id="47"/>
      <w:r/>
      <w:r/>
    </w:p>
    <w:p>
      <w:pPr>
        <w:ind w:firstLine="420"/>
        <w:shd w:val="clear" w:color="auto"/>
        <w:rPr>
          <w:rFonts w:ascii="宋体" w:hAnsi="宋体"/>
          <w:bCs/>
          <w:color w:val="000000" w:themeColor="text1"/>
          <w:sz w:val="24"/>
          <w:highlight w:val="none"/>
          <w14:textFill>
            <w14:solidFill>
              <w14:schemeClr w14:val="tx1"/>
            </w14:solidFill>
          </w14:textFill>
        </w:rPr>
        <w:outlineLvl w:val="0"/>
      </w:pPr>
      <w:r/>
      <w:bookmarkStart w:id="48" w:name="_Toc27440"/>
      <w:r>
        <w:rPr>
          <w:rFonts w:hint="eastAsia" w:ascii="宋体" w:hAnsi="宋体"/>
          <w:bCs/>
          <w:color w:val="000000" w:themeColor="text1"/>
          <w:sz w:val="24"/>
          <w:highlight w:val="none"/>
          <w14:textFill>
            <w14:solidFill>
              <w14:schemeClr w14:val="tx1"/>
            </w14:solidFill>
          </w14:textFill>
        </w:rPr>
        <w:t xml:space="preserve">（3）如有偏离项，请于本表中列明偏离内容，如需要可自行延长，其余无偏离内容不须赘述。</w:t>
      </w:r>
      <w:bookmarkEnd w:id="48"/>
      <w:r/>
      <w:r/>
    </w:p>
    <w:p>
      <w:pPr>
        <w:ind w:firstLine="900"/>
        <w:shd w:val="clear" w:color="auto"/>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ind w:firstLine="900"/>
        <w:shd w:val="clear" w:color="auto"/>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ind w:firstLine="900"/>
        <w:shd w:val="clear" w:color="auto"/>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八</w:t>
      </w:r>
      <w:r>
        <w:rPr>
          <w:rFonts w:eastAsia="黑体"/>
          <w:bCs/>
          <w:color w:val="000000" w:themeColor="text1"/>
          <w:sz w:val="24"/>
          <w:szCs w:val="24"/>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投标供应商基本情况表</w:t>
      </w:r>
      <w:r/>
    </w:p>
    <w:p>
      <w:pPr>
        <w:jc w:val="center"/>
        <w:spacing w:before="100" w:beforeAutospacing="1" w:line="360" w:lineRule="auto"/>
        <w:shd w:val="clear" w:color="auto"/>
        <w:rPr>
          <w:rFonts w:hint="eastAsia" w:eastAsia="黑体"/>
          <w:bCs/>
          <w:color w:val="000000" w:themeColor="text1"/>
          <w:sz w:val="32"/>
          <w:szCs w:val="32"/>
          <w:highlight w:val="none"/>
          <w14:textFill>
            <w14:solidFill>
              <w14:schemeClr w14:val="tx1"/>
            </w14:solidFill>
          </w14:textFill>
        </w:rPr>
      </w:pPr>
      <w:r>
        <w:rPr>
          <w:rFonts w:hint="eastAsia" w:eastAsia="黑体"/>
          <w:bCs/>
          <w:color w:val="000000" w:themeColor="text1"/>
          <w:sz w:val="32"/>
          <w:szCs w:val="32"/>
          <w:highlight w:val="none"/>
          <w14:textFill>
            <w14:solidFill>
              <w14:schemeClr w14:val="tx1"/>
            </w14:solidFill>
          </w14:textFill>
        </w:rPr>
        <w:t xml:space="preserve">投标供应商情况表</w:t>
      </w:r>
      <w:r/>
    </w:p>
    <w:tbl>
      <w:tblPr>
        <w:tblStyle w:val="1066"/>
        <w:tblW w:w="10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0"/>
        <w:gridCol w:w="1080"/>
        <w:gridCol w:w="1628"/>
        <w:gridCol w:w="714"/>
        <w:gridCol w:w="726"/>
        <w:gridCol w:w="1252"/>
        <w:gridCol w:w="180"/>
        <w:gridCol w:w="184"/>
        <w:gridCol w:w="902"/>
        <w:gridCol w:w="1440"/>
      </w:tblGrid>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单位名称</w:t>
            </w:r>
            <w:r/>
          </w:p>
        </w:tc>
        <w:tc>
          <w:tcPr>
            <w:gridSpan w:val="9"/>
            <w:tcW w:w="81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注册地址</w:t>
            </w:r>
            <w:r/>
          </w:p>
        </w:tc>
        <w:tc>
          <w:tcPr>
            <w:gridSpan w:val="4"/>
            <w:tcW w:w="414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125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邮政编码</w:t>
            </w:r>
            <w:r/>
          </w:p>
        </w:tc>
        <w:tc>
          <w:tcPr>
            <w:gridSpan w:val="4"/>
            <w:tcW w:w="27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vMerge w:val="restart"/>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联系方式</w:t>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联系人</w:t>
            </w:r>
            <w:r/>
          </w:p>
        </w:tc>
        <w:tc>
          <w:tcPr>
            <w:gridSpan w:val="3"/>
            <w:tcW w:w="306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125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电话</w:t>
            </w:r>
            <w:r/>
          </w:p>
        </w:tc>
        <w:tc>
          <w:tcPr>
            <w:gridSpan w:val="4"/>
            <w:tcW w:w="27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传真</w:t>
            </w:r>
            <w:r/>
          </w:p>
        </w:tc>
        <w:tc>
          <w:tcPr>
            <w:gridSpan w:val="3"/>
            <w:tcW w:w="306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125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网址</w:t>
            </w:r>
            <w:r/>
          </w:p>
        </w:tc>
        <w:tc>
          <w:tcPr>
            <w:gridSpan w:val="4"/>
            <w:tcW w:w="27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法定代表人</w:t>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姓名</w:t>
            </w:r>
            <w:r/>
          </w:p>
        </w:tc>
        <w:tc>
          <w:tcPr>
            <w:tcW w:w="162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2"/>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技术职称</w:t>
            </w:r>
            <w:r/>
          </w:p>
        </w:tc>
        <w:tc>
          <w:tcPr>
            <w:gridSpan w:val="3"/>
            <w:tcW w:w="161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90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电话</w:t>
            </w:r>
            <w:r/>
          </w:p>
        </w:tc>
        <w:tc>
          <w:tcPr>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技术负责人</w:t>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姓名</w:t>
            </w:r>
            <w:r/>
          </w:p>
        </w:tc>
        <w:tc>
          <w:tcPr>
            <w:tcW w:w="162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2"/>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技术职称</w:t>
            </w:r>
            <w:r/>
          </w:p>
        </w:tc>
        <w:tc>
          <w:tcPr>
            <w:gridSpan w:val="3"/>
            <w:tcW w:w="161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90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电话</w:t>
            </w:r>
            <w:r/>
          </w:p>
        </w:tc>
        <w:tc>
          <w:tcPr>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成立时间</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7"/>
            <w:tcW w:w="539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员工总人数：</w:t>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统一社会信用代码</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restart"/>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其中</w:t>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高级职称人员</w:t>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注册资本</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中级职称人员</w:t>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开户银行</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初级职称人员</w:t>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账号</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1701"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经营范围</w:t>
            </w:r>
            <w:r/>
          </w:p>
        </w:tc>
        <w:tc>
          <w:tcPr>
            <w:gridSpan w:val="9"/>
            <w:tcW w:w="810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备注</w:t>
            </w:r>
            <w:r/>
          </w:p>
        </w:tc>
        <w:tc>
          <w:tcPr>
            <w:gridSpan w:val="9"/>
            <w:tcW w:w="810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bl>
    <w:p>
      <w:pPr>
        <w:jc w:val="center"/>
        <w:spacing w:line="300" w:lineRule="auto"/>
        <w:shd w:val="clear" w:color="auto"/>
        <w:rPr>
          <w:rFonts w:eastAsia="黑体"/>
          <w:bCs/>
          <w:color w:val="000000" w:themeColor="text1"/>
          <w:sz w:val="32"/>
          <w:szCs w:val="32"/>
          <w:highlight w:val="none"/>
          <w14:textFill>
            <w14:solidFill>
              <w14:schemeClr w14:val="tx1"/>
            </w14:solidFill>
          </w14:textFill>
        </w:rPr>
      </w:pPr>
      <w:r>
        <w:rPr>
          <w:rFonts w:eastAsia="黑体"/>
          <w:bCs/>
          <w:color w:val="000000" w:themeColor="text1"/>
          <w:sz w:val="32"/>
          <w:szCs w:val="32"/>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hint="eastAsia"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br w:type="page" w:clear="all"/>
      </w:r>
      <w:r/>
    </w:p>
    <w:p>
      <w:pPr>
        <w:shd w:val="clear" w:color="auto"/>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lang w:val="en-US" w:eastAsia="zh-CN"/>
          <w14:textFill>
            <w14:solidFill>
              <w14:schemeClr w14:val="tx1"/>
            </w14:solidFill>
          </w14:textFill>
        </w:rPr>
        <w:t xml:space="preserve">九</w:t>
      </w:r>
      <w:r>
        <w:rPr>
          <w:rFonts w:hint="eastAsia" w:eastAsia="黑体"/>
          <w:bCs/>
          <w:color w:val="000000" w:themeColor="text1"/>
          <w:sz w:val="24"/>
          <w:szCs w:val="24"/>
          <w:highlight w:val="none"/>
          <w14:textFill>
            <w14:solidFill>
              <w14:schemeClr w14:val="tx1"/>
            </w14:solidFill>
          </w14:textFill>
        </w:rPr>
        <w:t xml:space="preserve">）项目人员配置清单（格式）</w:t>
      </w:r>
      <w:r/>
    </w:p>
    <w:p>
      <w:pPr>
        <w:jc w:val="center"/>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shd w:val="clear" w:color="auto"/>
        <w:rPr>
          <w:rFonts w:hint="default" w:ascii="黑体" w:eastAsia="黑体"/>
          <w:bCs/>
          <w:color w:val="000000" w:themeColor="text1"/>
          <w:sz w:val="28"/>
          <w:szCs w:val="28"/>
          <w:highlight w:val="none"/>
          <w14:textFill>
            <w14:solidFill>
              <w14:schemeClr w14:val="tx1"/>
            </w14:solidFill>
          </w14:textFill>
        </w:rPr>
      </w:pPr>
      <w:r>
        <w:rPr>
          <w:rFonts w:hint="default" w:ascii="黑体" w:eastAsia="黑体"/>
          <w:bCs/>
          <w:color w:val="000000" w:themeColor="text1"/>
          <w:sz w:val="28"/>
          <w:szCs w:val="28"/>
          <w:highlight w:val="none"/>
          <w14:textFill>
            <w14:solidFill>
              <w14:schemeClr w14:val="tx1"/>
            </w14:solidFill>
          </w14:textFill>
        </w:rPr>
      </w:r>
      <w:r/>
    </w:p>
    <w:p>
      <w:pPr>
        <w:ind w:firstLine="490"/>
        <w:jc w:val="center"/>
        <w:shd w:val="clear" w:color="auto"/>
        <w:rPr>
          <w:rFonts w:hint="default" w:ascii="黑体" w:hAnsi="宋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shd w:val="clear" w:color="auto"/>
        <w:rPr>
          <w:rFonts w:hint="default" w:ascii="黑体" w:eastAsia="黑体"/>
          <w:bCs/>
          <w:color w:val="000000" w:themeColor="text1"/>
          <w:sz w:val="28"/>
          <w:szCs w:val="28"/>
          <w:highlight w:val="none"/>
          <w14:textFill>
            <w14:solidFill>
              <w14:schemeClr w14:val="tx1"/>
            </w14:solidFill>
          </w14:textFill>
        </w:rPr>
      </w:pPr>
      <w:r>
        <w:rPr>
          <w:rFonts w:hint="default" w:ascii="黑体" w:eastAsia="黑体"/>
          <w:bCs/>
          <w:color w:val="000000" w:themeColor="text1"/>
          <w:sz w:val="28"/>
          <w:szCs w:val="28"/>
          <w:highlight w:val="none"/>
          <w14:textFill>
            <w14:solidFill>
              <w14:schemeClr w14:val="tx1"/>
            </w14:solidFill>
          </w14:textFill>
        </w:rPr>
      </w:r>
      <w:r/>
    </w:p>
    <w:p>
      <w:pPr>
        <w:ind w:firstLine="480"/>
        <w:shd w:val="clear" w:color="auto"/>
        <w:rPr>
          <w:rFonts w:hint="default"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p>
    <w:tbl>
      <w:tblPr>
        <w:tblStyle w:val="1066"/>
        <w:tblW w:w="9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568"/>
        <w:gridCol w:w="802"/>
        <w:gridCol w:w="962"/>
        <w:gridCol w:w="1214"/>
        <w:gridCol w:w="1574"/>
        <w:gridCol w:w="1676"/>
        <w:gridCol w:w="831"/>
        <w:gridCol w:w="881"/>
        <w:gridCol w:w="765"/>
      </w:tblGrid>
      <w:tr>
        <w:trPr>
          <w:jc w:val="center"/>
          <w:trHeight w:val="960"/>
        </w:trPr>
        <w:tc>
          <w:tcPr>
            <w:tcW w:w="518"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序号</w:t>
            </w:r>
            <w:r/>
          </w:p>
        </w:tc>
        <w:tc>
          <w:tcPr>
            <w:tcW w:w="568"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姓名</w:t>
            </w:r>
            <w:r/>
          </w:p>
        </w:tc>
        <w:tc>
          <w:tcPr>
            <w:tcW w:w="802"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专业</w:t>
            </w:r>
            <w:r/>
          </w:p>
        </w:tc>
        <w:tc>
          <w:tcPr>
            <w:tcW w:w="962"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职称</w:t>
            </w:r>
            <w:r/>
          </w:p>
        </w:tc>
        <w:tc>
          <w:tcPr>
            <w:tcW w:w="1214"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本项目岗位(项目负责人/其他协审人员/档案管理员)</w:t>
            </w:r>
            <w:r/>
          </w:p>
        </w:tc>
        <w:tc>
          <w:tcPr>
            <w:tcW w:w="1574"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注册造价工程师资格或工程类中级及以上专业技术职称情况（填写注册证书编号）</w:t>
            </w:r>
            <w:r/>
          </w:p>
        </w:tc>
        <w:tc>
          <w:tcPr>
            <w:tcW w:w="1676"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在投标单位社保缴纳开始年月</w:t>
            </w:r>
            <w:r/>
          </w:p>
        </w:tc>
        <w:tc>
          <w:tcPr>
            <w:tcW w:w="831"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联系</w:t>
            </w:r>
            <w:r/>
          </w:p>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电话</w:t>
            </w:r>
            <w:r/>
          </w:p>
        </w:tc>
        <w:tc>
          <w:tcPr>
            <w:tcW w:w="881"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人员对应页码</w:t>
            </w:r>
            <w:r/>
          </w:p>
        </w:tc>
        <w:tc>
          <w:tcPr>
            <w:tcW w:w="76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技能竞赛获奖情况</w:t>
            </w:r>
            <w:r/>
          </w:p>
        </w:tc>
      </w:tr>
      <w:tr>
        <w:trPr>
          <w:jc w:val="center"/>
          <w:trHeight w:val="240"/>
        </w:trPr>
        <w:tc>
          <w:tcPr>
            <w:tcW w:w="51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56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02"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962"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21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57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67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31"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81"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765"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40"/>
        </w:trPr>
        <w:tc>
          <w:tcPr>
            <w:tcW w:w="51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56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02"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962"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21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57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67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31"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81"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765"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40"/>
        </w:trPr>
        <w:tc>
          <w:tcPr>
            <w:tcW w:w="51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56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02"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962"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21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57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67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31"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81"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765"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bl>
    <w:p>
      <w:pPr>
        <w:shd w:val="clear" w:color="auto"/>
        <w:rPr>
          <w:rFonts w:hint="default"/>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r>
      <w:r/>
    </w:p>
    <w:p>
      <w:pPr>
        <w:ind w:firstLine="42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shd w:val="clear" w:color="auto"/>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注：1. 表格不够可自行延长。</w:t>
      </w:r>
      <w:r/>
    </w:p>
    <w:p>
      <w:pPr>
        <w:shd w:val="clear" w:color="auto"/>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2.上表内容须提供连续三个月(至少包含近三个月中任意一个月份(不含投标当月))经社保部门确认的社保缴纳名单扫描件（标注各人员所处位置）附在本表之后。</w:t>
      </w:r>
      <w:r/>
    </w:p>
    <w:p>
      <w:pPr>
        <w:shd w:val="clear" w:color="auto"/>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3.评分标准中要求提供的证明材料附在本表之后。</w:t>
      </w:r>
      <w:r/>
    </w:p>
    <w:p>
      <w:pPr>
        <w:shd w:val="clear" w:color="auto"/>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r>
      <w:r/>
    </w:p>
    <w:p>
      <w:pPr>
        <w:jc w:val="left"/>
        <w:shd w:val="clear" w:color="auto"/>
        <w:widowControl/>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br w:type="page" w:clear="all"/>
      </w:r>
      <w:r/>
    </w:p>
    <w:p>
      <w:pPr>
        <w:shd w:val="clear" w:color="auto"/>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r>
      <w:r/>
    </w:p>
    <w:p>
      <w:pPr>
        <w:ind w:firstLine="420"/>
        <w:shd w:val="clear" w:color="auto"/>
        <w:rPr>
          <w:rFonts w:hint="default"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十</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业绩汇总表（格式）</w:t>
      </w:r>
      <w:r/>
    </w:p>
    <w:p>
      <w:pPr>
        <w:ind w:firstLine="490"/>
        <w:jc w:val="center"/>
        <w:spacing w:line="360" w:lineRule="auto"/>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业绩汇总表</w:t>
      </w:r>
      <w:r/>
    </w:p>
    <w:p>
      <w:pPr>
        <w:ind w:firstLine="360"/>
        <w:shd w:val="clear" w:color="auto"/>
        <w:rPr>
          <w:rFonts w:hint="default" w:ascii="宋体" w:hAnsi="宋体"/>
          <w:bCs/>
          <w:color w:val="000000" w:themeColor="text1"/>
          <w:sz w:val="24"/>
          <w:szCs w:val="21"/>
          <w:highlight w:val="none"/>
          <w14:textFill>
            <w14:solidFill>
              <w14:schemeClr w14:val="tx1"/>
            </w14:solidFill>
          </w14:textFill>
        </w:rPr>
        <w:outlineLvl w:val="0"/>
      </w:pPr>
      <w:r>
        <w:rPr>
          <w:rFonts w:hint="eastAsia" w:ascii="宋体" w:hAnsi="宋体"/>
          <w:bCs/>
          <w:color w:val="000000" w:themeColor="text1"/>
          <w:sz w:val="24"/>
          <w:szCs w:val="21"/>
          <w:highlight w:val="none"/>
          <w14:textFill>
            <w14:solidFill>
              <w14:schemeClr w14:val="tx1"/>
            </w14:solidFill>
          </w14:textFill>
        </w:rPr>
        <w:t xml:space="preserve">投标人名称（盖章）                  采购项目编号：</w:t>
      </w:r>
      <w:r/>
    </w:p>
    <w:tbl>
      <w:tblPr>
        <w:tblStyle w:val="1066"/>
        <w:tblW w:w="10132"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1164"/>
        <w:gridCol w:w="795"/>
        <w:gridCol w:w="1815"/>
        <w:gridCol w:w="726"/>
        <w:gridCol w:w="1255"/>
        <w:gridCol w:w="1140"/>
        <w:gridCol w:w="1458"/>
        <w:gridCol w:w="1069"/>
      </w:tblGrid>
      <w:tr>
        <w:trPr>
          <w:jc w:val="center"/>
          <w:trHeight w:val="97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164"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合同（项目）及服务名称</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委托方/建设方</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bCs/>
                <w:color w:val="0000ff"/>
                <w:sz w:val="24"/>
                <w:szCs w:val="24"/>
                <w:highlight w:val="none"/>
              </w:rPr>
              <w:t xml:space="preserve">全过程跟踪审核(含结算审核)/结算审核/复审服务</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在实施/已完成</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审核报告出具时间（在实施的无需填写）</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建设单位联络人姓名、职务、联系方式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对应页码</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备注</w:t>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bl>
    <w:p>
      <w:pPr>
        <w:ind w:firstLine="1325"/>
        <w:spacing w:line="360" w:lineRule="auto"/>
        <w:shd w:val="clear" w:color="auto"/>
        <w:rPr>
          <w:rFonts w:hint="default" w:ascii="宋体" w:hAnsi="宋体"/>
          <w:b/>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法定代表人或法定代表人授权代表签字或盖章：</w:t>
      </w:r>
      <w:r/>
    </w:p>
    <w:p>
      <w:pPr>
        <w:shd w:val="clear" w:color="auto"/>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 1.表格不够可自行延长。</w:t>
      </w:r>
      <w:r/>
    </w:p>
    <w:p>
      <w:pPr>
        <w:numPr>
          <w:ilvl w:val="0"/>
          <w:numId w:val="5"/>
        </w:numPr>
        <w:shd w:val="clear" w:color="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请投标人按此表要求进行</w:t>
      </w:r>
      <w:r>
        <w:rPr>
          <w:rFonts w:hint="eastAsia"/>
          <w:color w:val="0000ff"/>
          <w:szCs w:val="21"/>
          <w:highlight w:val="none"/>
        </w:rPr>
        <w:t xml:space="preserve">业绩</w:t>
      </w:r>
      <w:r>
        <w:rPr>
          <w:rFonts w:hint="eastAsia"/>
          <w:color w:val="000000" w:themeColor="text1"/>
          <w:szCs w:val="21"/>
          <w:highlight w:val="none"/>
          <w14:textFill>
            <w14:solidFill>
              <w14:schemeClr w14:val="tx1"/>
            </w14:solidFill>
          </w14:textFill>
        </w:rPr>
        <w:t xml:space="preserve">汇总。</w:t>
      </w:r>
      <w:r/>
    </w:p>
    <w:p>
      <w:pPr>
        <w:numPr>
          <w:ilvl w:val="0"/>
          <w:numId w:val="0"/>
        </w:numPr>
        <w:shd w:val="clear" w:color="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jc w:val="center"/>
        <w:spacing w:line="360" w:lineRule="auto"/>
        <w:shd w:val="clear" w:color="auto"/>
        <w:rPr>
          <w:rFonts w:hint="default"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t xml:space="preserve">拟派项目负责人业绩明细表</w:t>
      </w:r>
      <w:r/>
    </w:p>
    <w:p>
      <w:pPr>
        <w:jc w:val="center"/>
        <w:spacing w:line="240" w:lineRule="exact"/>
        <w:shd w:val="clear" w:color="auto"/>
        <w:rPr>
          <w:rFonts w:hint="default" w:ascii="黑体" w:hAnsi="宋体" w:eastAsia="黑体"/>
          <w:bCs/>
          <w:color w:val="000000" w:themeColor="text1"/>
          <w:sz w:val="28"/>
          <w:szCs w:val="28"/>
          <w:highlight w:val="none"/>
          <w14:textFill>
            <w14:solidFill>
              <w14:schemeClr w14:val="tx1"/>
            </w14:solidFill>
          </w14:textFill>
        </w:rPr>
      </w:pPr>
      <w:r>
        <w:rPr>
          <w:rFonts w:hint="default" w:ascii="黑体" w:hAnsi="宋体" w:eastAsia="黑体"/>
          <w:bCs/>
          <w:color w:val="000000" w:themeColor="text1"/>
          <w:sz w:val="28"/>
          <w:szCs w:val="28"/>
          <w:highlight w:val="none"/>
          <w14:textFill>
            <w14:solidFill>
              <w14:schemeClr w14:val="tx1"/>
            </w14:solidFill>
          </w14:textFill>
        </w:rPr>
      </w:r>
      <w:r/>
    </w:p>
    <w:p>
      <w:pPr>
        <w:ind w:firstLine="360"/>
        <w:shd w:val="clear" w:color="auto"/>
        <w:rPr>
          <w:rFonts w:hint="default" w:ascii="宋体" w:hAnsi="宋体"/>
          <w:b/>
          <w:color w:val="000000" w:themeColor="text1"/>
          <w:sz w:val="28"/>
          <w:szCs w:val="28"/>
          <w:highlight w:val="none"/>
          <w14:textFill>
            <w14:solidFill>
              <w14:schemeClr w14:val="tx1"/>
            </w14:solidFill>
          </w14:textFill>
        </w:rPr>
        <w:outlineLvl w:val="0"/>
      </w:pPr>
      <w:r>
        <w:rPr>
          <w:rFonts w:hint="eastAsia" w:ascii="宋体" w:hAnsi="宋体"/>
          <w:bCs/>
          <w:color w:val="000000" w:themeColor="text1"/>
          <w:sz w:val="24"/>
          <w:szCs w:val="21"/>
          <w:highlight w:val="none"/>
          <w14:textFill>
            <w14:solidFill>
              <w14:schemeClr w14:val="tx1"/>
            </w14:solidFill>
          </w14:textFill>
        </w:rPr>
        <w:t xml:space="preserve">投标人名称（盖章）                    采购项目编号：</w:t>
      </w:r>
      <w:r/>
    </w:p>
    <w:tbl>
      <w:tblPr>
        <w:tblStyle w:val="1066"/>
        <w:tblW w:w="10030" w:type="dxa"/>
        <w:jc w:val="center"/>
        <w:tblLayout w:type="autofit"/>
        <w:tblCellMar>
          <w:left w:w="108" w:type="dxa"/>
          <w:top w:w="0" w:type="dxa"/>
          <w:right w:w="108" w:type="dxa"/>
          <w:bottom w:w="0" w:type="dxa"/>
        </w:tblCellMar>
        <w:tblLook w:val="04A0" w:firstRow="1" w:lastRow="0" w:firstColumn="1" w:lastColumn="0" w:noHBand="0" w:noVBand="1"/>
      </w:tblPr>
      <w:tblGrid>
        <w:gridCol w:w="527"/>
        <w:gridCol w:w="1281"/>
        <w:gridCol w:w="1276"/>
        <w:gridCol w:w="1418"/>
        <w:gridCol w:w="1275"/>
        <w:gridCol w:w="1701"/>
        <w:gridCol w:w="993"/>
        <w:gridCol w:w="708"/>
        <w:gridCol w:w="851"/>
      </w:tblGrid>
      <w:tr>
        <w:trPr>
          <w:jc w:val="center"/>
          <w:trHeight w:val="480"/>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项目负责人姓名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委托方/建设方</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建设单位联络人姓名、职务、联系方式</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业绩对应立项项目</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业绩对应的施工合同/委托合同名称</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审核报告或审定单出具时间</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业绩所在页码</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Height w:val="285"/>
        </w:trPr>
        <w:tc>
          <w:tcPr>
            <w:tcBorders>
              <w:top w:val="none" w:color="000000" w:sz="4" w:space="0"/>
              <w:left w:val="single" w:color="auto" w:sz="4" w:space="0"/>
              <w:right w:val="single" w:color="auto" w:sz="4" w:space="0"/>
            </w:tcBorders>
            <w:tcW w:w="527"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81"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bl>
    <w:p>
      <w:pPr>
        <w:shd w:val="clear" w:color="auto"/>
        <w:rPr>
          <w:rFonts w:hint="default" w:ascii="宋体" w:hAnsi="宋体"/>
          <w:b/>
          <w:bCs/>
          <w:color w:val="000000" w:themeColor="text1"/>
          <w:sz w:val="24"/>
          <w:szCs w:val="24"/>
          <w:highlight w:val="none"/>
          <w14:textFill>
            <w14:solidFill>
              <w14:schemeClr w14:val="tx1"/>
            </w14:solidFill>
          </w14:textFill>
        </w:rPr>
        <w:outlineLvl w:val="0"/>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注：1.该名人员必须为拟派项目人员配置名单中明确的项目负责人，否则不予计分。</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2.拟派项目负责人配置项的业绩，表格中填对应的委托合同名称；拟派项目人员</w:t>
      </w:r>
      <w:r>
        <w:rPr>
          <w:rFonts w:hint="eastAsia" w:ascii="宋体" w:hAnsi="宋体"/>
          <w:color w:val="000000" w:themeColor="text1"/>
          <w:sz w:val="24"/>
          <w:szCs w:val="21"/>
          <w:highlight w:val="none"/>
          <w14:textFill>
            <w14:solidFill>
              <w14:schemeClr w14:val="tx1"/>
            </w14:solidFill>
          </w14:textFill>
        </w:rPr>
        <w:t xml:space="preserve">业绩</w:t>
      </w:r>
      <w:r>
        <w:rPr>
          <w:rFonts w:hint="eastAsia" w:ascii="宋体" w:hAnsi="宋体"/>
          <w:bCs/>
          <w:color w:val="000000" w:themeColor="text1"/>
          <w:sz w:val="24"/>
          <w:szCs w:val="24"/>
          <w:highlight w:val="none"/>
          <w14:textFill>
            <w14:solidFill>
              <w14:schemeClr w14:val="tx1"/>
            </w14:solidFill>
          </w14:textFill>
        </w:rPr>
        <w:t xml:space="preserve">中项目负责人的业绩，表格中填对应的施工合</w:t>
      </w:r>
      <w:r>
        <w:rPr>
          <w:rFonts w:hint="eastAsia" w:ascii="宋体" w:hAnsi="宋体"/>
          <w:color w:val="000000" w:themeColor="text1"/>
          <w:sz w:val="24"/>
          <w:szCs w:val="21"/>
          <w:highlight w:val="none"/>
          <w14:textFill>
            <w14:solidFill>
              <w14:schemeClr w14:val="tx1"/>
            </w14:solidFill>
          </w14:textFill>
        </w:rPr>
        <w:t xml:space="preserve">同名称。</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3.本表可自行延长。</w:t>
      </w:r>
      <w:r/>
    </w:p>
    <w:p>
      <w:pPr>
        <w:shd w:val="clear" w:color="auto"/>
        <w:rPr>
          <w:rFonts w:hint="default"/>
          <w:color w:val="000000" w:themeColor="text1"/>
          <w:szCs w:val="21"/>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br w:type="page" w:clear="all"/>
      </w:r>
      <w:r/>
    </w:p>
    <w:p>
      <w:pPr>
        <w:ind w:firstLine="480"/>
        <w:shd w:val="clear" w:color="auto"/>
        <w:rPr>
          <w:rFonts w:hint="default" w:ascii="黑体" w:hAnsi="宋体" w:eastAsia="黑体"/>
          <w:bCs/>
          <w:color w:val="000000" w:themeColor="text1"/>
          <w:sz w:val="24"/>
          <w:szCs w:val="21"/>
          <w:highlight w:val="none"/>
          <w14:textFill>
            <w14:solidFill>
              <w14:schemeClr w14:val="tx1"/>
            </w14:solidFill>
          </w14:textFill>
        </w:rPr>
        <w:outlineLvl w:val="0"/>
      </w:pPr>
      <w:r>
        <w:rPr>
          <w:rFonts w:hint="eastAsia" w:ascii="黑体" w:hAnsi="宋体" w:eastAsia="黑体"/>
          <w:bCs/>
          <w:color w:val="000000" w:themeColor="text1"/>
          <w:sz w:val="24"/>
          <w:szCs w:val="21"/>
          <w:highlight w:val="none"/>
          <w14:textFill>
            <w14:solidFill>
              <w14:schemeClr w14:val="tx1"/>
            </w14:solidFill>
          </w14:textFill>
        </w:rPr>
        <w:t xml:space="preserve">拟派其他协审人员业绩明细表（格式）：</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jc w:val="center"/>
        <w:spacing w:line="360" w:lineRule="auto"/>
        <w:shd w:val="clear" w:color="auto"/>
        <w:rPr>
          <w:rFonts w:hint="default" w:ascii="宋体" w:hAnsi="宋体"/>
          <w:b/>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t xml:space="preserve">拟派其他协审人员业绩明细表</w:t>
      </w:r>
      <w:r/>
    </w:p>
    <w:p>
      <w:pPr>
        <w:spacing w:line="360" w:lineRule="auto"/>
        <w:shd w:val="clear" w:color="auto"/>
        <w:rPr>
          <w:rFonts w:hint="default"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投标人名称（盖章）                          采购项目编号：</w:t>
      </w:r>
      <w:r/>
    </w:p>
    <w:tbl>
      <w:tblPr>
        <w:tblStyle w:val="1066"/>
        <w:tblW w:w="10134" w:type="dxa"/>
        <w:jc w:val="center"/>
        <w:tblLayout w:type="autofit"/>
        <w:tblCellMar>
          <w:left w:w="108" w:type="dxa"/>
          <w:top w:w="0" w:type="dxa"/>
          <w:right w:w="108" w:type="dxa"/>
          <w:bottom w:w="0" w:type="dxa"/>
        </w:tblCellMar>
        <w:tblLook w:val="04A0" w:firstRow="1" w:lastRow="0" w:firstColumn="1" w:lastColumn="0" w:noHBand="0" w:noVBand="1"/>
      </w:tblPr>
      <w:tblGrid>
        <w:gridCol w:w="666"/>
        <w:gridCol w:w="1233"/>
        <w:gridCol w:w="1389"/>
        <w:gridCol w:w="1389"/>
        <w:gridCol w:w="1389"/>
        <w:gridCol w:w="1704"/>
        <w:gridCol w:w="991"/>
        <w:gridCol w:w="686"/>
        <w:gridCol w:w="687"/>
      </w:tblGrid>
      <w:tr>
        <w:trPr>
          <w:jc w:val="center"/>
          <w:trHeight w:val="48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委托方/建设方</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建设单位联络人姓名、职务、联系方式</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业绩对应立项项目</w:t>
            </w:r>
            <w:r/>
          </w:p>
        </w:tc>
        <w:tc>
          <w:tcPr>
            <w:tcBorders>
              <w:top w:val="single" w:color="auto"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业绩对应的施工合同名称</w:t>
            </w:r>
            <w:r/>
          </w:p>
        </w:tc>
        <w:tc>
          <w:tcPr>
            <w:tcBorders>
              <w:top w:val="single" w:color="auto"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审核报告或审定单出具时间</w:t>
            </w:r>
            <w:r/>
          </w:p>
        </w:tc>
        <w:tc>
          <w:tcPr>
            <w:tcBorders>
              <w:top w:val="single" w:color="auto"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业绩所在页码</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Height w:val="285"/>
        </w:trPr>
        <w:tc>
          <w:tcPr>
            <w:tcBorders>
              <w:top w:val="none" w:color="000000" w:sz="4" w:space="0"/>
              <w:left w:val="single" w:color="auto" w:sz="4" w:space="0"/>
              <w:right w:val="single" w:color="auto" w:sz="4" w:space="0"/>
            </w:tcBorders>
            <w:tcW w:w="666"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top w:val="none" w:color="000000" w:sz="4" w:space="0"/>
              <w:left w:val="single" w:color="auto" w:sz="4" w:space="0"/>
              <w:right w:val="single" w:color="auto" w:sz="4" w:space="0"/>
            </w:tcBorders>
            <w:tcW w:w="666"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top w:val="none" w:color="000000" w:sz="4" w:space="0"/>
              <w:left w:val="single" w:color="auto" w:sz="4" w:space="0"/>
              <w:right w:val="single" w:color="auto" w:sz="4" w:space="0"/>
            </w:tcBorders>
            <w:tcW w:w="666"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bl>
    <w:p>
      <w:pPr>
        <w:shd w:val="clear" w:color="auto"/>
        <w:rPr>
          <w:rFonts w:hint="default" w:ascii="宋体" w:hAnsi="宋体"/>
          <w:b/>
          <w:bCs/>
          <w:color w:val="000000" w:themeColor="text1"/>
          <w:sz w:val="24"/>
          <w:szCs w:val="24"/>
          <w:highlight w:val="none"/>
          <w14:textFill>
            <w14:solidFill>
              <w14:schemeClr w14:val="tx1"/>
            </w14:solidFill>
          </w14:textFill>
        </w:rPr>
        <w:outlineLvl w:val="0"/>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hint="default" w:ascii="宋体" w:hAnsi="宋体"/>
          <w:b/>
          <w:bCs/>
          <w:color w:val="000000" w:themeColor="text1"/>
          <w:sz w:val="24"/>
          <w:szCs w:val="24"/>
          <w:highlight w:val="none"/>
          <w14:textFill>
            <w14:solidFill>
              <w14:schemeClr w14:val="tx1"/>
            </w14:solidFill>
          </w14:textFill>
        </w:rPr>
        <w:outlineLvl w:val="0"/>
      </w:pPr>
      <w:r>
        <w:rPr>
          <w:rFonts w:hint="default" w:ascii="宋体" w:hAnsi="宋体"/>
          <w:b/>
          <w:bCs/>
          <w:color w:val="000000" w:themeColor="text1"/>
          <w:sz w:val="24"/>
          <w:szCs w:val="24"/>
          <w:highlight w:val="none"/>
          <w14:textFill>
            <w14:solidFill>
              <w14:schemeClr w14:val="tx1"/>
            </w14:solidFill>
          </w14:textFill>
        </w:rPr>
      </w:r>
      <w:r/>
    </w:p>
    <w:p>
      <w:pPr>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注：1.拟派其他协审人员必须为拟派项目人员配置名单中明确的</w:t>
      </w:r>
      <w:r>
        <w:rPr>
          <w:rFonts w:hint="eastAsia" w:ascii="宋体" w:hAnsi="宋体" w:cs="宋体"/>
          <w:color w:val="000000" w:themeColor="text1"/>
          <w:sz w:val="24"/>
          <w:szCs w:val="21"/>
          <w:highlight w:val="none"/>
          <w14:textFill>
            <w14:solidFill>
              <w14:schemeClr w14:val="tx1"/>
            </w14:solidFill>
          </w14:textFill>
        </w:rPr>
        <w:t xml:space="preserve">其他协审人员</w:t>
      </w:r>
      <w:r>
        <w:rPr>
          <w:rFonts w:hint="eastAsia" w:ascii="宋体" w:hAnsi="宋体"/>
          <w:bCs/>
          <w:color w:val="000000" w:themeColor="text1"/>
          <w:sz w:val="24"/>
          <w:szCs w:val="24"/>
          <w:highlight w:val="none"/>
          <w14:textFill>
            <w14:solidFill>
              <w14:schemeClr w14:val="tx1"/>
            </w14:solidFill>
          </w14:textFill>
        </w:rPr>
        <w:t xml:space="preserve">，否则不予计分。</w:t>
      </w:r>
      <w:r/>
    </w:p>
    <w:p>
      <w:pPr>
        <w:ind w:firstLine="360"/>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2.本表可自行延长。</w:t>
      </w:r>
      <w:r/>
    </w:p>
    <w:p>
      <w:pPr>
        <w:jc w:val="center"/>
        <w:spacing w:line="40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87"/>
        <w:ind w:firstLine="30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0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40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7"/>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1"/>
        <w:shd w:val="clear" w:color="auto"/>
        <w:tabs>
          <w:tab w:val="left" w:pos="540" w:leader="none"/>
        </w:tabs>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（十</w:t>
      </w:r>
      <w:r>
        <w:rPr>
          <w:rFonts w:hint="eastAsia" w:ascii="黑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eastAsia="黑体"/>
          <w:bCs/>
          <w:color w:val="000000" w:themeColor="text1"/>
          <w:sz w:val="24"/>
          <w:szCs w:val="24"/>
          <w:highlight w:val="none"/>
          <w14:textFill>
            <w14:solidFill>
              <w14:schemeClr w14:val="tx1"/>
            </w14:solidFill>
          </w14:textFill>
        </w:rPr>
        <w:t xml:space="preserve">）评分标准中对应的所需证明材料（如有）及技术方案：</w:t>
      </w:r>
      <w:r/>
    </w:p>
    <w:p>
      <w:pPr>
        <w:pStyle w:val="1315"/>
        <w:shd w:val="clear" w:color="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pStyle w:val="1315"/>
        <w:shd w:val="clear" w:color="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pStyle w:val="1315"/>
        <w:ind w:firstLine="480"/>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1315"/>
        <w:ind w:firstLine="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注：投标人应按评分点提供证明材料及编制完整的技术方案，以便评审。</w:t>
      </w:r>
      <w:r/>
    </w:p>
    <w:p>
      <w:pP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bookmarkStart w:id="49" w:name="_Toc112006949"/>
      <w:r>
        <w:rPr>
          <w:color w:val="000000" w:themeColor="text1"/>
          <w:szCs w:val="21"/>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（十</w:t>
      </w:r>
      <w:r>
        <w:rPr>
          <w:rFonts w:hint="eastAsia" w:ascii="黑体" w:eastAsia="黑体"/>
          <w:bCs/>
          <w:color w:val="000000" w:themeColor="text1"/>
          <w:sz w:val="24"/>
          <w:szCs w:val="24"/>
          <w:highlight w:val="none"/>
          <w:lang w:val="en-US" w:eastAsia="zh-CN"/>
          <w14:textFill>
            <w14:solidFill>
              <w14:schemeClr w14:val="tx1"/>
            </w14:solidFill>
          </w14:textFill>
        </w:rPr>
        <w:t xml:space="preserve">三</w:t>
      </w:r>
      <w:r>
        <w:rPr>
          <w:rFonts w:hint="eastAsia" w:ascii="黑体" w:eastAsia="黑体"/>
          <w:bCs/>
          <w:color w:val="000000" w:themeColor="text1"/>
          <w:sz w:val="24"/>
          <w:szCs w:val="24"/>
          <w:highlight w:val="none"/>
          <w14:textFill>
            <w14:solidFill>
              <w14:schemeClr w14:val="tx1"/>
            </w14:solidFill>
          </w14:textFill>
        </w:rPr>
        <w:t xml:space="preserve">）其他材料</w:t>
      </w:r>
      <w:bookmarkEnd w:id="49"/>
      <w:r>
        <w:rPr>
          <w:rFonts w:hint="eastAsia" w:ascii="黑体" w:eastAsia="黑体"/>
          <w:bCs/>
          <w:color w:val="000000" w:themeColor="text1"/>
          <w:sz w:val="24"/>
          <w:szCs w:val="24"/>
          <w:highlight w:val="none"/>
          <w14:textFill>
            <w14:solidFill>
              <w14:schemeClr w14:val="tx1"/>
            </w14:solidFill>
          </w14:textFill>
        </w:rPr>
        <w:t xml:space="preserve">：</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投标人认为有必要提供的声明和文件，如有自拟并自行添加</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投标人名称(公章)：</w:t>
      </w:r>
      <w:r/>
    </w:p>
    <w:p>
      <w:pPr>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法定代表人或授权委托人(签字)：</w:t>
      </w:r>
      <w:r/>
    </w:p>
    <w:p>
      <w:pPr>
        <w:jc w:val="center"/>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r/>
    </w:p>
    <w:sectPr>
      <w:headerReference w:type="default" r:id="rId13"/>
      <w:footerReference w:type="default" r:id="rId23"/>
      <w:footnotePr/>
      <w:endnotePr/>
      <w:type w:val="nextPage"/>
      <w:pgSz w:w="11907" w:h="16840" w:orient="portrait"/>
      <w:pgMar w:top="1440" w:right="1417"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rPr>
        <w:rStyle w:val="1291"/>
      </w:rPr>
      <w:framePr w:wrap="around" w:vAnchor="text" w:hAnchor="margin" w:xAlign="center" w:y="1"/>
    </w:pPr>
    <w:r>
      <w:rPr>
        <w:rStyle w:val="1291"/>
      </w:rPr>
      <w:fldChar w:fldCharType="begin"/>
    </w:r>
    <w:r>
      <w:rPr>
        <w:rStyle w:val="1291"/>
      </w:rPr>
      <w:instrText xml:space="preserve">PAGE  </w:instrText>
    </w:r>
    <w:r>
      <w:rPr>
        <w:rStyle w:val="1291"/>
      </w:rPr>
      <w:fldChar w:fldCharType="separate"/>
    </w:r>
    <w:r>
      <w:rPr>
        <w:rStyle w:val="1291"/>
      </w:rPr>
      <w:t xml:space="preserve">1</w:t>
    </w:r>
    <w:r>
      <w:rPr>
        <w:rStyle w:val="1291"/>
      </w:rPr>
      <w:fldChar w:fldCharType="end"/>
    </w:r>
    <w:r/>
  </w:p>
  <w:p>
    <w:pPr>
      <w:pStyle w:val="127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宋体" w:hAnsi="宋体" w:eastAsia="宋体" w:cs="宋体"/>
        <w:sz w:val="18"/>
        <w:szCs w:val="18"/>
        <w:lang w:val="en-US" w:eastAsia="en-US" w:bidi="ar-SA"/>
      </w:rPr>
    </w:pPr>
    <w:r>
      <w:rPr>
        <w:rFonts w:hint="eastAsia" w:ascii="宋体" w:hAnsi="宋体" w:eastAsia="宋体" w:cs="宋体"/>
        <w:sz w:val="18"/>
        <w:szCs w:val="18"/>
        <w:lang w:val="en-US" w:eastAsia="en-US" w:bidi="ar-SA"/>
      </w:rPr>
      <w:fldChar w:fldCharType="begin"/>
    </w:r>
    <w:r>
      <w:rPr>
        <w:rFonts w:hint="eastAsia" w:ascii="宋体" w:hAnsi="宋体" w:eastAsia="宋体" w:cs="宋体"/>
        <w:sz w:val="18"/>
        <w:szCs w:val="18"/>
        <w:lang w:val="en-US" w:eastAsia="en-US" w:bidi="ar-SA"/>
      </w:rPr>
      <w:instrText xml:space="preserve"> PAGE   \* MERGEFORMAT </w:instrText>
    </w:r>
    <w:r>
      <w:rPr>
        <w:rFonts w:hint="eastAsia" w:ascii="宋体" w:hAnsi="宋体" w:eastAsia="宋体" w:cs="宋体"/>
        <w:sz w:val="18"/>
        <w:szCs w:val="18"/>
        <w:lang w:val="en-US" w:eastAsia="en-US" w:bidi="ar-SA"/>
      </w:rPr>
      <w:fldChar w:fldCharType="separate"/>
    </w:r>
    <w:r>
      <w:rPr>
        <w:rFonts w:hint="eastAsia" w:ascii="宋体" w:hAnsi="宋体" w:eastAsia="宋体" w:cs="宋体"/>
        <w:sz w:val="18"/>
        <w:szCs w:val="18"/>
        <w:lang w:val="zh-CN" w:eastAsia="en-US" w:bidi="ar-SA"/>
      </w:rPr>
      <w:t xml:space="preserve">28</w:t>
    </w:r>
    <w:r>
      <w:rPr>
        <w:rFonts w:hint="eastAsia" w:ascii="宋体" w:hAnsi="宋体" w:eastAsia="宋体" w:cs="宋体"/>
        <w:sz w:val="18"/>
        <w:szCs w:val="18"/>
        <w:lang w:val="zh-CN" w:eastAsia="en-US"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en-US" w:bidi="ar-SA"/>
      </w:rPr>
    </w:pPr>
    <w:r>
      <w:rPr>
        <w:rFonts w:ascii="Times New Roman" w:hAnsi="Times New Roman" w:eastAsia="宋体" w:cs="Times New Roman"/>
        <w:sz w:val="18"/>
        <w:szCs w:val="18"/>
        <w:lang w:val="en-US" w:eastAsia="en-US"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pPr>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pPr>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both"/>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ind w:firstLine="3410"/>
      <w:jc w:val="both"/>
      <w:rPr>
        <w:rFonts w:hint="eastAsia" w:eastAsia="楷体_GB2312"/>
      </w:rPr>
      <w:pBdr>
        <w:bottom w:val="none" w:color="000000" w:sz="0" w:space="1"/>
      </w:pBdr>
    </w:pPr>
    <w:r>
      <w:rPr>
        <w:rFonts w:hint="eastAsia" w:eastAsia="楷体_GB2312"/>
        <w:sz w:val="22"/>
        <w:szCs w:val="22"/>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both"/>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both"/>
      <w:rPr>
        <w:rFonts w:hint="eastAsia" w:eastAsia="楷体_GB2312"/>
      </w:rPr>
      <w:pBdr>
        <w:bottom w:val="none" w:color="000000" w:sz="0" w:space="1"/>
      </w:pBdr>
    </w:pP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p>
  <w:p>
    <w:pPr>
      <w:rPr>
        <w:rFonts w:hint="eastAsia" w:eastAsia="楷体_GB2312"/>
      </w:rPr>
    </w:pPr>
    <w:r>
      <w:rPr>
        <w:rFonts w:hint="eastAsia"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upperLetter"/>
      <w:pStyle w:val="124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5" w:default="1">
    <w:name w:val="Normal"/>
    <w:link w:val="1318"/>
    <w:uiPriority w:val="0"/>
    <w:qFormat/>
    <w:pPr>
      <w:jc w:val="both"/>
      <w:widowControl w:val="off"/>
    </w:pPr>
    <w:rPr>
      <w:rFonts w:hint="default" w:ascii="Times New Roman" w:hAnsi="Times New Roman" w:eastAsia="宋体" w:cs="Times New Roman"/>
      <w:sz w:val="21"/>
      <w:lang w:val="en-US" w:eastAsia="zh-CN" w:bidi="ar-SA"/>
    </w:rPr>
  </w:style>
  <w:style w:type="paragraph" w:styleId="1056">
    <w:name w:val="Heading 1"/>
    <w:basedOn w:val="1055"/>
    <w:next w:val="1055"/>
    <w:link w:val="1094"/>
    <w:uiPriority w:val="9"/>
    <w:qFormat/>
    <w:pPr>
      <w:keepLines/>
      <w:keepNext/>
      <w:spacing w:before="480" w:after="200"/>
      <w:outlineLvl w:val="0"/>
    </w:pPr>
    <w:rPr>
      <w:rFonts w:ascii="Arial" w:hAnsi="Arial" w:eastAsia="Arial" w:cs="Arial"/>
      <w:sz w:val="40"/>
      <w:szCs w:val="40"/>
    </w:rPr>
  </w:style>
  <w:style w:type="paragraph" w:styleId="1057">
    <w:name w:val="Heading 2"/>
    <w:basedOn w:val="1055"/>
    <w:next w:val="1055"/>
    <w:link w:val="1095"/>
    <w:uiPriority w:val="9"/>
    <w:unhideWhenUsed/>
    <w:qFormat/>
    <w:pPr>
      <w:keepLines/>
      <w:keepNext/>
      <w:spacing w:before="360" w:after="200"/>
      <w:outlineLvl w:val="1"/>
    </w:pPr>
    <w:rPr>
      <w:rFonts w:ascii="Arial" w:hAnsi="Arial" w:eastAsia="Arial" w:cs="Arial"/>
      <w:sz w:val="34"/>
    </w:rPr>
  </w:style>
  <w:style w:type="paragraph" w:styleId="1058">
    <w:name w:val="Heading 3"/>
    <w:basedOn w:val="1055"/>
    <w:next w:val="1055"/>
    <w:link w:val="1096"/>
    <w:uiPriority w:val="9"/>
    <w:unhideWhenUsed/>
    <w:qFormat/>
    <w:pPr>
      <w:keepLines/>
      <w:keepNext/>
      <w:spacing w:before="320" w:after="200"/>
      <w:outlineLvl w:val="2"/>
    </w:pPr>
    <w:rPr>
      <w:rFonts w:ascii="Arial" w:hAnsi="Arial" w:eastAsia="Arial" w:cs="Arial"/>
      <w:sz w:val="30"/>
      <w:szCs w:val="30"/>
    </w:rPr>
  </w:style>
  <w:style w:type="paragraph" w:styleId="1059">
    <w:name w:val="Heading 4"/>
    <w:basedOn w:val="1055"/>
    <w:next w:val="1055"/>
    <w:link w:val="1097"/>
    <w:uiPriority w:val="9"/>
    <w:unhideWhenUsed/>
    <w:qFormat/>
    <w:pPr>
      <w:keepLines/>
      <w:keepNext/>
      <w:spacing w:before="320" w:after="200"/>
      <w:outlineLvl w:val="3"/>
    </w:pPr>
    <w:rPr>
      <w:rFonts w:ascii="Arial" w:hAnsi="Arial" w:eastAsia="Arial" w:cs="Arial"/>
      <w:b/>
      <w:bCs/>
      <w:sz w:val="26"/>
      <w:szCs w:val="26"/>
    </w:rPr>
  </w:style>
  <w:style w:type="paragraph" w:styleId="1060">
    <w:name w:val="Heading 5"/>
    <w:basedOn w:val="1055"/>
    <w:next w:val="1055"/>
    <w:link w:val="1098"/>
    <w:uiPriority w:val="9"/>
    <w:unhideWhenUsed/>
    <w:qFormat/>
    <w:pPr>
      <w:keepLines/>
      <w:keepNext/>
      <w:spacing w:before="320" w:after="200"/>
      <w:outlineLvl w:val="4"/>
    </w:pPr>
    <w:rPr>
      <w:rFonts w:ascii="Arial" w:hAnsi="Arial" w:eastAsia="Arial" w:cs="Arial"/>
      <w:b/>
      <w:bCs/>
      <w:sz w:val="24"/>
      <w:szCs w:val="24"/>
    </w:rPr>
  </w:style>
  <w:style w:type="paragraph" w:styleId="1061">
    <w:name w:val="Heading 6"/>
    <w:basedOn w:val="1055"/>
    <w:next w:val="1055"/>
    <w:link w:val="1099"/>
    <w:uiPriority w:val="9"/>
    <w:unhideWhenUsed/>
    <w:qFormat/>
    <w:pPr>
      <w:keepLines/>
      <w:keepNext/>
      <w:spacing w:before="320" w:after="200"/>
      <w:outlineLvl w:val="5"/>
    </w:pPr>
    <w:rPr>
      <w:rFonts w:ascii="Arial" w:hAnsi="Arial" w:eastAsia="Arial" w:cs="Arial"/>
      <w:b/>
      <w:bCs/>
      <w:sz w:val="22"/>
      <w:szCs w:val="22"/>
    </w:rPr>
  </w:style>
  <w:style w:type="paragraph" w:styleId="1062">
    <w:name w:val="Heading 7"/>
    <w:basedOn w:val="1055"/>
    <w:next w:val="1055"/>
    <w:link w:val="1100"/>
    <w:uiPriority w:val="9"/>
    <w:unhideWhenUsed/>
    <w:qFormat/>
    <w:pPr>
      <w:keepLines/>
      <w:keepNext/>
      <w:spacing w:before="320" w:after="200"/>
      <w:outlineLvl w:val="6"/>
    </w:pPr>
    <w:rPr>
      <w:rFonts w:ascii="Arial" w:hAnsi="Arial" w:eastAsia="Arial" w:cs="Arial"/>
      <w:b/>
      <w:bCs/>
      <w:i/>
      <w:iCs/>
      <w:sz w:val="22"/>
      <w:szCs w:val="22"/>
    </w:rPr>
  </w:style>
  <w:style w:type="paragraph" w:styleId="1063">
    <w:name w:val="Heading 8"/>
    <w:basedOn w:val="1055"/>
    <w:next w:val="1055"/>
    <w:link w:val="1101"/>
    <w:uiPriority w:val="9"/>
    <w:unhideWhenUsed/>
    <w:qFormat/>
    <w:pPr>
      <w:keepLines/>
      <w:keepNext/>
      <w:spacing w:before="320" w:after="200"/>
      <w:outlineLvl w:val="7"/>
    </w:pPr>
    <w:rPr>
      <w:rFonts w:ascii="Arial" w:hAnsi="Arial" w:eastAsia="Arial" w:cs="Arial"/>
      <w:i/>
      <w:iCs/>
      <w:sz w:val="22"/>
      <w:szCs w:val="22"/>
    </w:rPr>
  </w:style>
  <w:style w:type="paragraph" w:styleId="1064">
    <w:name w:val="Heading 9"/>
    <w:basedOn w:val="1055"/>
    <w:next w:val="1055"/>
    <w:link w:val="1102"/>
    <w:uiPriority w:val="9"/>
    <w:unhideWhenUsed/>
    <w:qFormat/>
    <w:pPr>
      <w:keepLines/>
      <w:keepNext/>
      <w:spacing w:before="320" w:after="200"/>
      <w:outlineLvl w:val="8"/>
    </w:pPr>
    <w:rPr>
      <w:rFonts w:ascii="Arial" w:hAnsi="Arial" w:eastAsia="Arial" w:cs="Arial"/>
      <w:i/>
      <w:iCs/>
      <w:sz w:val="21"/>
      <w:szCs w:val="21"/>
    </w:rPr>
  </w:style>
  <w:style w:type="character" w:styleId="1065" w:default="1">
    <w:name w:val="Default Paragraph Font"/>
    <w:uiPriority w:val="1"/>
    <w:semiHidden/>
    <w:unhideWhenUsed/>
    <w:qFormat/>
  </w:style>
  <w:style w:type="table" w:styleId="1066" w:default="1">
    <w:name w:val="Normal Table"/>
    <w:uiPriority w:val="99"/>
    <w:semiHidden/>
    <w:unhideWhenUsed/>
    <w:qFormat/>
    <w:tblPr>
      <w:tblCellMar>
        <w:left w:w="108" w:type="dxa"/>
        <w:top w:w="0" w:type="dxa"/>
        <w:right w:w="108" w:type="dxa"/>
        <w:bottom w:w="0" w:type="dxa"/>
      </w:tblCellMar>
    </w:tblPr>
  </w:style>
  <w:style w:type="paragraph" w:styleId="1067">
    <w:name w:val="toc 7"/>
    <w:basedOn w:val="1055"/>
    <w:next w:val="1055"/>
    <w:uiPriority w:val="39"/>
    <w:unhideWhenUsed/>
    <w:qFormat/>
    <w:pPr>
      <w:ind w:left="1701" w:right="0" w:firstLine="0"/>
      <w:spacing w:after="57"/>
    </w:pPr>
  </w:style>
  <w:style w:type="paragraph" w:styleId="1068">
    <w:name w:val="Caption"/>
    <w:basedOn w:val="1055"/>
    <w:next w:val="10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69">
    <w:name w:val="annotation text"/>
    <w:basedOn w:val="1055"/>
    <w:uiPriority w:val="0"/>
    <w:qFormat/>
    <w:pPr>
      <w:jc w:val="left"/>
    </w:pPr>
  </w:style>
  <w:style w:type="paragraph" w:styleId="1070">
    <w:name w:val="Body Text"/>
    <w:basedOn w:val="1055"/>
    <w:uiPriority w:val="99"/>
    <w:unhideWhenUsed/>
    <w:qFormat/>
    <w:pPr>
      <w:spacing w:after="120"/>
    </w:pPr>
  </w:style>
  <w:style w:type="paragraph" w:styleId="1071">
    <w:name w:val="Body Text Indent"/>
    <w:basedOn w:val="1055"/>
    <w:uiPriority w:val="0"/>
    <w:unhideWhenUsed/>
    <w:qFormat/>
    <w:pPr>
      <w:ind w:firstLine="576"/>
    </w:pPr>
    <w:rPr>
      <w:b/>
      <w:sz w:val="30"/>
    </w:rPr>
  </w:style>
  <w:style w:type="paragraph" w:styleId="1072">
    <w:name w:val="toc 5"/>
    <w:basedOn w:val="1055"/>
    <w:next w:val="1055"/>
    <w:uiPriority w:val="39"/>
    <w:unhideWhenUsed/>
    <w:qFormat/>
    <w:pPr>
      <w:ind w:left="1134" w:right="0" w:firstLine="0"/>
      <w:spacing w:after="57"/>
    </w:pPr>
  </w:style>
  <w:style w:type="paragraph" w:styleId="1073">
    <w:name w:val="toc 3"/>
    <w:basedOn w:val="1055"/>
    <w:next w:val="1055"/>
    <w:uiPriority w:val="39"/>
    <w:unhideWhenUsed/>
    <w:qFormat/>
    <w:pPr>
      <w:ind w:left="567" w:right="0" w:firstLine="0"/>
      <w:spacing w:after="57"/>
    </w:pPr>
  </w:style>
  <w:style w:type="paragraph" w:styleId="1074">
    <w:name w:val="toc 8"/>
    <w:basedOn w:val="1055"/>
    <w:next w:val="1055"/>
    <w:uiPriority w:val="39"/>
    <w:unhideWhenUsed/>
    <w:qFormat/>
    <w:pPr>
      <w:ind w:left="1984" w:right="0" w:firstLine="0"/>
      <w:spacing w:after="57"/>
    </w:pPr>
  </w:style>
  <w:style w:type="paragraph" w:styleId="1075">
    <w:name w:val="endnote text"/>
    <w:basedOn w:val="1055"/>
    <w:link w:val="1239"/>
    <w:uiPriority w:val="99"/>
    <w:semiHidden/>
    <w:unhideWhenUsed/>
    <w:qFormat/>
    <w:pPr>
      <w:spacing w:after="0" w:line="240" w:lineRule="auto"/>
    </w:pPr>
    <w:rPr>
      <w:sz w:val="20"/>
    </w:rPr>
  </w:style>
  <w:style w:type="paragraph" w:styleId="1076">
    <w:name w:val="Footer"/>
    <w:basedOn w:val="1055"/>
    <w:link w:val="1112"/>
    <w:uiPriority w:val="99"/>
    <w:unhideWhenUsed/>
    <w:qFormat/>
    <w:pPr>
      <w:spacing w:after="0" w:line="240" w:lineRule="auto"/>
      <w:tabs>
        <w:tab w:val="center" w:pos="7143" w:leader="none"/>
        <w:tab w:val="right" w:pos="14287" w:leader="none"/>
      </w:tabs>
    </w:pPr>
  </w:style>
  <w:style w:type="paragraph" w:styleId="1077">
    <w:name w:val="Header"/>
    <w:basedOn w:val="1055"/>
    <w:link w:val="1110"/>
    <w:uiPriority w:val="99"/>
    <w:unhideWhenUsed/>
    <w:qFormat/>
    <w:pPr>
      <w:spacing w:after="0" w:line="240" w:lineRule="auto"/>
      <w:tabs>
        <w:tab w:val="center" w:pos="7143" w:leader="none"/>
        <w:tab w:val="right" w:pos="14287" w:leader="none"/>
      </w:tabs>
    </w:pPr>
  </w:style>
  <w:style w:type="paragraph" w:styleId="1078">
    <w:name w:val="toc 1"/>
    <w:basedOn w:val="1055"/>
    <w:next w:val="1055"/>
    <w:uiPriority w:val="39"/>
    <w:unhideWhenUsed/>
    <w:qFormat/>
  </w:style>
  <w:style w:type="paragraph" w:styleId="1079">
    <w:name w:val="toc 4"/>
    <w:basedOn w:val="1055"/>
    <w:next w:val="1055"/>
    <w:uiPriority w:val="39"/>
    <w:unhideWhenUsed/>
    <w:qFormat/>
    <w:pPr>
      <w:ind w:left="850" w:right="0" w:firstLine="0"/>
      <w:spacing w:after="57"/>
    </w:pPr>
  </w:style>
  <w:style w:type="paragraph" w:styleId="1080">
    <w:name w:val="Subtitle"/>
    <w:basedOn w:val="1055"/>
    <w:next w:val="1055"/>
    <w:link w:val="1105"/>
    <w:uiPriority w:val="11"/>
    <w:qFormat/>
    <w:pPr>
      <w:spacing w:before="200" w:after="200"/>
    </w:pPr>
    <w:rPr>
      <w:sz w:val="24"/>
      <w:szCs w:val="24"/>
    </w:rPr>
  </w:style>
  <w:style w:type="paragraph" w:styleId="1081">
    <w:name w:val="footnote text"/>
    <w:basedOn w:val="1055"/>
    <w:link w:val="1238"/>
    <w:uiPriority w:val="99"/>
    <w:semiHidden/>
    <w:unhideWhenUsed/>
    <w:qFormat/>
    <w:pPr>
      <w:spacing w:after="40" w:line="240" w:lineRule="auto"/>
    </w:pPr>
    <w:rPr>
      <w:sz w:val="18"/>
    </w:rPr>
  </w:style>
  <w:style w:type="paragraph" w:styleId="1082">
    <w:name w:val="toc 6"/>
    <w:basedOn w:val="1055"/>
    <w:next w:val="1055"/>
    <w:uiPriority w:val="39"/>
    <w:unhideWhenUsed/>
    <w:qFormat/>
    <w:pPr>
      <w:ind w:left="1417" w:right="0" w:firstLine="0"/>
      <w:spacing w:after="57"/>
    </w:pPr>
  </w:style>
  <w:style w:type="paragraph" w:styleId="1083">
    <w:name w:val="table of figures"/>
    <w:basedOn w:val="1055"/>
    <w:next w:val="1055"/>
    <w:uiPriority w:val="99"/>
    <w:unhideWhenUsed/>
    <w:qFormat/>
    <w:pPr>
      <w:spacing w:after="0" w:afterAutospacing="0"/>
    </w:pPr>
  </w:style>
  <w:style w:type="paragraph" w:styleId="1084">
    <w:name w:val="toc 2"/>
    <w:basedOn w:val="1055"/>
    <w:next w:val="1055"/>
    <w:uiPriority w:val="39"/>
    <w:qFormat/>
    <w:pPr>
      <w:ind w:left="210" w:firstLine="150"/>
      <w:jc w:val="left"/>
      <w:tabs>
        <w:tab w:val="right" w:pos="9170" w:leader="dot"/>
      </w:tabs>
    </w:pPr>
    <w:rPr>
      <w:smallCaps/>
      <w:sz w:val="20"/>
    </w:rPr>
  </w:style>
  <w:style w:type="paragraph" w:styleId="1085">
    <w:name w:val="toc 9"/>
    <w:basedOn w:val="1055"/>
    <w:next w:val="1055"/>
    <w:uiPriority w:val="39"/>
    <w:unhideWhenUsed/>
    <w:qFormat/>
    <w:pPr>
      <w:ind w:left="2268" w:right="0" w:firstLine="0"/>
      <w:spacing w:after="57"/>
    </w:pPr>
  </w:style>
  <w:style w:type="paragraph" w:styleId="1086">
    <w:name w:val="Title"/>
    <w:basedOn w:val="1055"/>
    <w:next w:val="1055"/>
    <w:link w:val="1104"/>
    <w:uiPriority w:val="10"/>
    <w:qFormat/>
    <w:pPr>
      <w:contextualSpacing/>
      <w:spacing w:before="300" w:after="200"/>
    </w:pPr>
    <w:rPr>
      <w:sz w:val="48"/>
      <w:szCs w:val="48"/>
    </w:rPr>
  </w:style>
  <w:style w:type="paragraph" w:styleId="1087">
    <w:name w:val="Body Text First Indent"/>
    <w:basedOn w:val="1055"/>
    <w:uiPriority w:val="0"/>
    <w:qFormat/>
    <w:pPr>
      <w:ind w:firstLine="420"/>
      <w:jc w:val="left"/>
      <w:spacing w:after="120"/>
      <w:widowControl/>
    </w:pPr>
    <w:rPr>
      <w:sz w:val="30"/>
    </w:rPr>
  </w:style>
  <w:style w:type="table" w:styleId="10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name w:val="endnote reference"/>
    <w:uiPriority w:val="99"/>
    <w:semiHidden/>
    <w:unhideWhenUsed/>
    <w:qFormat/>
    <w:rPr>
      <w:vertAlign w:val="superscript"/>
    </w:rPr>
  </w:style>
  <w:style w:type="character" w:styleId="1090">
    <w:name w:val="Hyperlink"/>
    <w:uiPriority w:val="99"/>
    <w:unhideWhenUsed/>
    <w:qFormat/>
    <w:rPr>
      <w:color w:val="0000ff" w:themeColor="hyperlink"/>
      <w:u w:val="single"/>
      <w14:textFill>
        <w14:solidFill>
          <w14:schemeClr w14:val="hlink"/>
        </w14:solidFill>
      </w14:textFill>
    </w:rPr>
  </w:style>
  <w:style w:type="character" w:styleId="1091">
    <w:name w:val="footnote reference"/>
    <w:uiPriority w:val="99"/>
    <w:unhideWhenUsed/>
    <w:qFormat/>
    <w:rPr>
      <w:vertAlign w:val="superscript"/>
    </w:rPr>
  </w:style>
  <w:style w:type="paragraph" w:styleId="1092">
    <w:name w:val="List Paragraph"/>
    <w:basedOn w:val="1055"/>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093"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1094" w:customStyle="1">
    <w:name w:val="Heading 1 Char"/>
    <w:link w:val="1056"/>
    <w:uiPriority w:val="9"/>
    <w:qFormat/>
    <w:rPr>
      <w:rFonts w:ascii="Arial" w:hAnsi="Arial" w:eastAsia="Arial" w:cs="Arial"/>
      <w:sz w:val="40"/>
      <w:szCs w:val="40"/>
    </w:rPr>
  </w:style>
  <w:style w:type="character" w:styleId="1095" w:customStyle="1">
    <w:name w:val="Heading 2 Char"/>
    <w:link w:val="1057"/>
    <w:uiPriority w:val="9"/>
    <w:qFormat/>
    <w:rPr>
      <w:rFonts w:ascii="Arial" w:hAnsi="Arial" w:eastAsia="Arial" w:cs="Arial"/>
      <w:sz w:val="34"/>
    </w:rPr>
  </w:style>
  <w:style w:type="character" w:styleId="1096" w:customStyle="1">
    <w:name w:val="Heading 3 Char"/>
    <w:link w:val="1058"/>
    <w:uiPriority w:val="9"/>
    <w:qFormat/>
    <w:rPr>
      <w:rFonts w:ascii="Arial" w:hAnsi="Arial" w:eastAsia="Arial" w:cs="Arial"/>
      <w:sz w:val="30"/>
      <w:szCs w:val="30"/>
    </w:rPr>
  </w:style>
  <w:style w:type="character" w:styleId="1097" w:customStyle="1">
    <w:name w:val="Heading 4 Char"/>
    <w:link w:val="1059"/>
    <w:uiPriority w:val="9"/>
    <w:qFormat/>
    <w:rPr>
      <w:rFonts w:ascii="Arial" w:hAnsi="Arial" w:eastAsia="Arial" w:cs="Arial"/>
      <w:b/>
      <w:bCs/>
      <w:sz w:val="26"/>
      <w:szCs w:val="26"/>
    </w:rPr>
  </w:style>
  <w:style w:type="character" w:styleId="1098" w:customStyle="1">
    <w:name w:val="Heading 5 Char"/>
    <w:link w:val="1060"/>
    <w:uiPriority w:val="9"/>
    <w:qFormat/>
    <w:rPr>
      <w:rFonts w:ascii="Arial" w:hAnsi="Arial" w:eastAsia="Arial" w:cs="Arial"/>
      <w:b/>
      <w:bCs/>
      <w:sz w:val="24"/>
      <w:szCs w:val="24"/>
    </w:rPr>
  </w:style>
  <w:style w:type="character" w:styleId="1099" w:customStyle="1">
    <w:name w:val="Heading 6 Char"/>
    <w:link w:val="1061"/>
    <w:uiPriority w:val="9"/>
    <w:qFormat/>
    <w:rPr>
      <w:rFonts w:ascii="Arial" w:hAnsi="Arial" w:eastAsia="Arial" w:cs="Arial"/>
      <w:b/>
      <w:bCs/>
      <w:sz w:val="22"/>
      <w:szCs w:val="22"/>
    </w:rPr>
  </w:style>
  <w:style w:type="character" w:styleId="1100" w:customStyle="1">
    <w:name w:val="Heading 7 Char"/>
    <w:link w:val="1062"/>
    <w:uiPriority w:val="9"/>
    <w:qFormat/>
    <w:rPr>
      <w:rFonts w:ascii="Arial" w:hAnsi="Arial" w:eastAsia="Arial" w:cs="Arial"/>
      <w:b/>
      <w:bCs/>
      <w:i/>
      <w:iCs/>
      <w:sz w:val="22"/>
      <w:szCs w:val="22"/>
    </w:rPr>
  </w:style>
  <w:style w:type="character" w:styleId="1101" w:customStyle="1">
    <w:name w:val="Heading 8 Char"/>
    <w:link w:val="1063"/>
    <w:uiPriority w:val="9"/>
    <w:qFormat/>
    <w:rPr>
      <w:rFonts w:ascii="Arial" w:hAnsi="Arial" w:eastAsia="Arial" w:cs="Arial"/>
      <w:i/>
      <w:iCs/>
      <w:sz w:val="22"/>
      <w:szCs w:val="22"/>
    </w:rPr>
  </w:style>
  <w:style w:type="character" w:styleId="1102" w:customStyle="1">
    <w:name w:val="Heading 9 Char"/>
    <w:link w:val="1064"/>
    <w:uiPriority w:val="9"/>
    <w:qFormat/>
    <w:rPr>
      <w:rFonts w:ascii="Arial" w:hAnsi="Arial" w:eastAsia="Arial" w:cs="Arial"/>
      <w:i/>
      <w:iCs/>
      <w:sz w:val="21"/>
      <w:szCs w:val="21"/>
    </w:rPr>
  </w:style>
  <w:style w:type="paragraph" w:styleId="1103">
    <w:name w:val="No Spacing"/>
    <w:uiPriority w:val="1"/>
    <w:qFormat/>
    <w:pPr>
      <w:spacing w:before="0" w:after="0" w:line="240" w:lineRule="auto"/>
    </w:pPr>
    <w:rPr>
      <w:rFonts w:hint="default" w:ascii="Times New Roman" w:hAnsi="Times New Roman" w:eastAsia="宋体" w:cs="Times New Roman"/>
    </w:rPr>
  </w:style>
  <w:style w:type="character" w:styleId="1104" w:customStyle="1">
    <w:name w:val="Title Char"/>
    <w:link w:val="1086"/>
    <w:uiPriority w:val="10"/>
    <w:qFormat/>
    <w:rPr>
      <w:sz w:val="48"/>
      <w:szCs w:val="48"/>
    </w:rPr>
  </w:style>
  <w:style w:type="character" w:styleId="1105" w:customStyle="1">
    <w:name w:val="Subtitle Char"/>
    <w:link w:val="1080"/>
    <w:uiPriority w:val="11"/>
    <w:qFormat/>
    <w:rPr>
      <w:sz w:val="24"/>
      <w:szCs w:val="24"/>
    </w:rPr>
  </w:style>
  <w:style w:type="paragraph" w:styleId="1106">
    <w:name w:val="Quote"/>
    <w:basedOn w:val="1055"/>
    <w:next w:val="1055"/>
    <w:link w:val="1107"/>
    <w:uiPriority w:val="29"/>
    <w:qFormat/>
    <w:pPr>
      <w:ind w:left="720" w:right="720"/>
    </w:pPr>
    <w:rPr>
      <w:i/>
    </w:rPr>
  </w:style>
  <w:style w:type="character" w:styleId="1107" w:customStyle="1">
    <w:name w:val="Quote Char"/>
    <w:link w:val="1106"/>
    <w:uiPriority w:val="29"/>
    <w:qFormat/>
    <w:rPr>
      <w:i/>
    </w:rPr>
  </w:style>
  <w:style w:type="paragraph" w:styleId="1108">
    <w:name w:val="Intense Quote"/>
    <w:basedOn w:val="1055"/>
    <w:next w:val="1055"/>
    <w:link w:val="11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9" w:customStyle="1">
    <w:name w:val="Intense Quote Char"/>
    <w:link w:val="1108"/>
    <w:uiPriority w:val="30"/>
    <w:qFormat/>
    <w:rPr>
      <w:i/>
    </w:rPr>
  </w:style>
  <w:style w:type="character" w:styleId="1110" w:customStyle="1">
    <w:name w:val="Header Char"/>
    <w:link w:val="1077"/>
    <w:uiPriority w:val="99"/>
    <w:qFormat/>
  </w:style>
  <w:style w:type="character" w:styleId="1111" w:customStyle="1">
    <w:name w:val="Footer Char"/>
    <w:link w:val="1076"/>
    <w:uiPriority w:val="99"/>
    <w:qFormat/>
  </w:style>
  <w:style w:type="character" w:styleId="1112" w:customStyle="1">
    <w:name w:val="Caption Char"/>
    <w:link w:val="1076"/>
    <w:uiPriority w:val="99"/>
    <w:qFormat/>
  </w:style>
  <w:style w:type="table" w:styleId="11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8" w:customStyle="1">
    <w:name w:val="Footnote Text Char"/>
    <w:link w:val="1081"/>
    <w:uiPriority w:val="99"/>
    <w:qFormat/>
    <w:rPr>
      <w:sz w:val="18"/>
    </w:rPr>
  </w:style>
  <w:style w:type="character" w:styleId="1239" w:customStyle="1">
    <w:name w:val="Endnote Text Char"/>
    <w:link w:val="1075"/>
    <w:uiPriority w:val="99"/>
    <w:qFormat/>
    <w:rPr>
      <w:sz w:val="20"/>
    </w:rPr>
  </w:style>
  <w:style w:type="paragraph" w:styleId="1240" w:customStyle="1">
    <w:name w:val="TOC Heading"/>
    <w:uiPriority w:val="39"/>
    <w:unhideWhenUsed/>
    <w:qFormat/>
    <w:rPr>
      <w:rFonts w:hint="default" w:ascii="Times New Roman" w:hAnsi="Times New Roman" w:eastAsia="宋体" w:cs="Times New Roman"/>
    </w:rPr>
  </w:style>
  <w:style w:type="paragraph" w:styleId="1241" w:customStyle="1">
    <w:name w:val="标题 11"/>
    <w:basedOn w:val="1055"/>
    <w:next w:val="1055"/>
    <w:link w:val="1248"/>
    <w:uiPriority w:val="0"/>
    <w:qFormat/>
    <w:pPr>
      <w:jc w:val="center"/>
      <w:keepNext/>
      <w:outlineLvl w:val="0"/>
    </w:pPr>
    <w:rPr>
      <w:rFonts w:ascii="楷体_GB2312" w:hAnsi="楷体_GB2312" w:eastAsia="宋体"/>
      <w:b/>
      <w:sz w:val="28"/>
      <w:szCs w:val="32"/>
    </w:rPr>
  </w:style>
  <w:style w:type="paragraph" w:styleId="1242" w:customStyle="1">
    <w:name w:val="标题 21"/>
    <w:basedOn w:val="1055"/>
    <w:next w:val="1055"/>
    <w:link w:val="1249"/>
    <w:uiPriority w:val="0"/>
    <w:qFormat/>
    <w:pPr>
      <w:jc w:val="center"/>
      <w:keepNext/>
      <w:outlineLvl w:val="1"/>
    </w:pPr>
    <w:rPr>
      <w:rFonts w:ascii="楷体_GB2312" w:eastAsia="楷体_GB2312"/>
      <w:b/>
      <w:bCs/>
      <w:sz w:val="18"/>
    </w:rPr>
  </w:style>
  <w:style w:type="paragraph" w:styleId="1243" w:customStyle="1">
    <w:name w:val="标题 31"/>
    <w:basedOn w:val="1055"/>
    <w:next w:val="1055"/>
    <w:link w:val="1250"/>
    <w:uiPriority w:val="0"/>
    <w:qFormat/>
    <w:pPr>
      <w:jc w:val="center"/>
      <w:keepNext/>
      <w:outlineLvl w:val="2"/>
    </w:pPr>
    <w:rPr>
      <w:rFonts w:eastAsia="楷体_GB2312"/>
      <w:b/>
      <w:bCs/>
      <w:sz w:val="15"/>
    </w:rPr>
  </w:style>
  <w:style w:type="paragraph" w:styleId="1244" w:customStyle="1">
    <w:name w:val="标题 411"/>
    <w:basedOn w:val="1055"/>
    <w:next w:val="1055"/>
    <w:link w:val="1251"/>
    <w:uiPriority w:val="0"/>
    <w:qFormat/>
    <w:pPr>
      <w:jc w:val="center"/>
      <w:keepNext/>
      <w:outlineLvl w:val="3"/>
    </w:pPr>
    <w:rPr>
      <w:rFonts w:eastAsia="楷体_GB2312"/>
      <w:b/>
      <w:bCs/>
      <w:sz w:val="13"/>
    </w:rPr>
  </w:style>
  <w:style w:type="paragraph" w:styleId="1245" w:customStyle="1">
    <w:name w:val="标题 51"/>
    <w:basedOn w:val="1055"/>
    <w:next w:val="1055"/>
    <w:link w:val="1252"/>
    <w:uiPriority w:val="0"/>
    <w:qFormat/>
    <w:pPr>
      <w:numPr>
        <w:ilvl w:val="0"/>
        <w:numId w:val="1"/>
      </w:numPr>
      <w:keepNext/>
      <w:outlineLvl w:val="4"/>
    </w:pPr>
    <w:rPr>
      <w:rFonts w:ascii="楷体_GB2312" w:eastAsia="楷体_GB2312"/>
      <w:bCs/>
      <w:sz w:val="28"/>
    </w:rPr>
  </w:style>
  <w:style w:type="character" w:styleId="1246" w:customStyle="1">
    <w:name w:val="默认段落字体1"/>
    <w:link w:val="1055"/>
    <w:uiPriority w:val="1"/>
    <w:unhideWhenUsed/>
    <w:qFormat/>
  </w:style>
  <w:style w:type="table" w:styleId="1247" w:customStyle="1">
    <w:name w:val="普通表格1"/>
    <w:uiPriority w:val="99"/>
    <w:unhideWhenUsed/>
    <w:qFormat/>
    <w:tblPr/>
  </w:style>
  <w:style w:type="character" w:styleId="1248" w:customStyle="1">
    <w:name w:val="标题 1 字符"/>
    <w:link w:val="1241"/>
    <w:uiPriority w:val="0"/>
    <w:qFormat/>
    <w:rPr>
      <w:rFonts w:ascii="楷体_GB2312" w:hAnsi="楷体_GB2312" w:eastAsia="宋体" w:cs="Times New Roman"/>
      <w:b/>
      <w:sz w:val="28"/>
      <w:szCs w:val="32"/>
    </w:rPr>
  </w:style>
  <w:style w:type="character" w:styleId="1249" w:customStyle="1">
    <w:name w:val="标题 2 字符"/>
    <w:link w:val="1242"/>
    <w:uiPriority w:val="0"/>
    <w:qFormat/>
    <w:rPr>
      <w:rFonts w:ascii="楷体_GB2312" w:hAnsi="Times New Roman" w:eastAsia="楷体_GB2312" w:cs="Times New Roman"/>
      <w:b/>
      <w:bCs/>
      <w:sz w:val="18"/>
      <w:szCs w:val="20"/>
    </w:rPr>
  </w:style>
  <w:style w:type="character" w:styleId="1250" w:customStyle="1">
    <w:name w:val="标题 3 字符"/>
    <w:link w:val="1243"/>
    <w:uiPriority w:val="0"/>
    <w:qFormat/>
    <w:rPr>
      <w:rFonts w:ascii="Times New Roman" w:hAnsi="Times New Roman" w:eastAsia="楷体_GB2312" w:cs="Times New Roman"/>
      <w:b/>
      <w:bCs/>
      <w:sz w:val="15"/>
      <w:szCs w:val="20"/>
    </w:rPr>
  </w:style>
  <w:style w:type="character" w:styleId="1251" w:customStyle="1">
    <w:name w:val="标题 4 字符"/>
    <w:link w:val="1244"/>
    <w:uiPriority w:val="0"/>
    <w:qFormat/>
    <w:rPr>
      <w:rFonts w:ascii="Times New Roman" w:hAnsi="Times New Roman" w:eastAsia="楷体_GB2312" w:cs="Times New Roman"/>
      <w:b/>
      <w:bCs/>
      <w:sz w:val="13"/>
      <w:szCs w:val="20"/>
    </w:rPr>
  </w:style>
  <w:style w:type="character" w:styleId="1252" w:customStyle="1">
    <w:name w:val="标题 5 字符"/>
    <w:link w:val="1245"/>
    <w:uiPriority w:val="0"/>
    <w:qFormat/>
    <w:rPr>
      <w:rFonts w:ascii="楷体_GB2312" w:hAnsi="Times New Roman" w:eastAsia="楷体_GB2312" w:cs="Times New Roman"/>
      <w:bCs/>
      <w:sz w:val="28"/>
      <w:szCs w:val="20"/>
    </w:rPr>
  </w:style>
  <w:style w:type="paragraph" w:styleId="1253" w:customStyle="1">
    <w:name w:val="正文缩进1"/>
    <w:basedOn w:val="1055"/>
    <w:link w:val="1254"/>
    <w:uiPriority w:val="0"/>
    <w:unhideWhenUsed/>
    <w:qFormat/>
    <w:pPr>
      <w:ind w:firstLine="420"/>
    </w:pPr>
  </w:style>
  <w:style w:type="character" w:styleId="1254" w:customStyle="1">
    <w:name w:val="正文缩进 字符"/>
    <w:link w:val="1253"/>
    <w:uiPriority w:val="0"/>
    <w:semiHidden/>
    <w:qFormat/>
    <w:rPr>
      <w:rFonts w:ascii="Times New Roman" w:hAnsi="Times New Roman"/>
      <w:sz w:val="21"/>
    </w:rPr>
  </w:style>
  <w:style w:type="paragraph" w:styleId="1255" w:customStyle="1">
    <w:name w:val="文档结构图1"/>
    <w:basedOn w:val="1055"/>
    <w:link w:val="1256"/>
    <w:uiPriority w:val="0"/>
    <w:semiHidden/>
    <w:qFormat/>
    <w:pPr>
      <w:shd w:val="clear" w:color="auto" w:fill="000080"/>
    </w:pPr>
    <w:rPr>
      <w:sz w:val="20"/>
    </w:rPr>
  </w:style>
  <w:style w:type="character" w:styleId="1256" w:customStyle="1">
    <w:name w:val="文档结构图 字符"/>
    <w:link w:val="1255"/>
    <w:uiPriority w:val="0"/>
    <w:semiHidden/>
    <w:qFormat/>
    <w:rPr>
      <w:rFonts w:ascii="Times New Roman" w:hAnsi="Times New Roman" w:eastAsia="宋体" w:cs="Times New Roman"/>
      <w:szCs w:val="20"/>
      <w:shd w:val="clear" w:color="auto" w:fill="000080"/>
    </w:rPr>
  </w:style>
  <w:style w:type="paragraph" w:styleId="1257" w:customStyle="1">
    <w:name w:val="批注文字1"/>
    <w:basedOn w:val="1055"/>
    <w:link w:val="1258"/>
    <w:uiPriority w:val="99"/>
    <w:semiHidden/>
    <w:qFormat/>
    <w:pPr>
      <w:jc w:val="left"/>
    </w:pPr>
    <w:rPr>
      <w:sz w:val="20"/>
      <w:szCs w:val="24"/>
    </w:rPr>
  </w:style>
  <w:style w:type="character" w:styleId="1258" w:customStyle="1">
    <w:name w:val="批注文字 字符"/>
    <w:link w:val="1257"/>
    <w:uiPriority w:val="99"/>
    <w:semiHidden/>
    <w:qFormat/>
    <w:rPr>
      <w:rFonts w:ascii="Times New Roman" w:hAnsi="Times New Roman" w:eastAsia="宋体" w:cs="Times New Roman"/>
      <w:szCs w:val="24"/>
    </w:rPr>
  </w:style>
  <w:style w:type="paragraph" w:styleId="1259" w:customStyle="1">
    <w:name w:val="正文文本11"/>
    <w:basedOn w:val="1055"/>
    <w:next w:val="1055"/>
    <w:link w:val="1260"/>
    <w:uiPriority w:val="99"/>
    <w:qFormat/>
    <w:rPr>
      <w:rFonts w:ascii="华文中宋" w:eastAsia="华文中宋"/>
      <w:bCs/>
      <w:sz w:val="28"/>
    </w:rPr>
  </w:style>
  <w:style w:type="character" w:styleId="1260" w:customStyle="1">
    <w:name w:val="正文文本 字符"/>
    <w:link w:val="1259"/>
    <w:uiPriority w:val="99"/>
    <w:qFormat/>
    <w:rPr>
      <w:rFonts w:ascii="华文中宋" w:hAnsi="Times New Roman" w:eastAsia="华文中宋" w:cs="Times New Roman"/>
      <w:bCs/>
      <w:sz w:val="28"/>
      <w:szCs w:val="20"/>
    </w:rPr>
  </w:style>
  <w:style w:type="paragraph" w:styleId="1261" w:customStyle="1">
    <w:name w:val="正文文本缩进1"/>
    <w:basedOn w:val="1055"/>
    <w:link w:val="1262"/>
    <w:uiPriority w:val="0"/>
    <w:qFormat/>
    <w:pPr>
      <w:ind w:firstLine="576"/>
    </w:pPr>
    <w:rPr>
      <w:b/>
      <w:sz w:val="30"/>
    </w:rPr>
  </w:style>
  <w:style w:type="character" w:styleId="1262" w:customStyle="1">
    <w:name w:val="正文文本缩进 字符"/>
    <w:link w:val="1261"/>
    <w:uiPriority w:val="0"/>
    <w:qFormat/>
    <w:rPr>
      <w:rFonts w:ascii="Times New Roman" w:hAnsi="Times New Roman" w:eastAsia="宋体" w:cs="Times New Roman"/>
      <w:b/>
      <w:sz w:val="30"/>
      <w:szCs w:val="20"/>
    </w:rPr>
  </w:style>
  <w:style w:type="paragraph" w:styleId="1263" w:customStyle="1">
    <w:name w:val="索引 41"/>
    <w:basedOn w:val="1055"/>
    <w:next w:val="1055"/>
    <w:uiPriority w:val="99"/>
    <w:qFormat/>
    <w:pPr>
      <w:ind w:left="600"/>
    </w:pPr>
    <w:rPr>
      <w:szCs w:val="24"/>
    </w:rPr>
  </w:style>
  <w:style w:type="paragraph" w:styleId="1264" w:customStyle="1">
    <w:name w:val="纯文本1"/>
    <w:basedOn w:val="1055"/>
    <w:link w:val="1265"/>
    <w:uiPriority w:val="99"/>
    <w:qFormat/>
    <w:rPr>
      <w:rFonts w:ascii="宋体" w:hAnsi="Courier New"/>
    </w:rPr>
  </w:style>
  <w:style w:type="character" w:styleId="1265" w:customStyle="1">
    <w:name w:val="纯文本 字符"/>
    <w:link w:val="1264"/>
    <w:uiPriority w:val="99"/>
    <w:qFormat/>
    <w:rPr>
      <w:rFonts w:ascii="宋体" w:hAnsi="Courier New"/>
      <w:sz w:val="21"/>
    </w:rPr>
  </w:style>
  <w:style w:type="paragraph" w:styleId="1266" w:customStyle="1">
    <w:name w:val="日期1"/>
    <w:basedOn w:val="1055"/>
    <w:next w:val="1055"/>
    <w:link w:val="1267"/>
    <w:uiPriority w:val="0"/>
    <w:qFormat/>
    <w:rPr>
      <w:rFonts w:eastAsia="黑体"/>
      <w:b/>
      <w:sz w:val="36"/>
    </w:rPr>
  </w:style>
  <w:style w:type="character" w:styleId="1267" w:customStyle="1">
    <w:name w:val="日期 字符"/>
    <w:link w:val="1266"/>
    <w:uiPriority w:val="0"/>
    <w:qFormat/>
    <w:rPr>
      <w:rFonts w:ascii="Times New Roman" w:hAnsi="Times New Roman" w:eastAsia="黑体" w:cs="Times New Roman"/>
      <w:b/>
      <w:sz w:val="36"/>
      <w:szCs w:val="20"/>
    </w:rPr>
  </w:style>
  <w:style w:type="paragraph" w:styleId="1268" w:customStyle="1">
    <w:name w:val="正文文本缩进 21"/>
    <w:basedOn w:val="1055"/>
    <w:link w:val="1269"/>
    <w:uiPriority w:val="0"/>
    <w:qFormat/>
    <w:pPr>
      <w:ind w:left="900"/>
    </w:pPr>
    <w:rPr>
      <w:rFonts w:ascii="楷体_GB2312" w:eastAsia="楷体_GB2312"/>
      <w:b/>
      <w:sz w:val="28"/>
    </w:rPr>
  </w:style>
  <w:style w:type="character" w:styleId="1269" w:customStyle="1">
    <w:name w:val="正文文本缩进 2 字符"/>
    <w:link w:val="1268"/>
    <w:uiPriority w:val="0"/>
    <w:qFormat/>
    <w:rPr>
      <w:rFonts w:ascii="楷体_GB2312" w:hAnsi="Times New Roman" w:eastAsia="楷体_GB2312" w:cs="Times New Roman"/>
      <w:b/>
      <w:sz w:val="28"/>
      <w:szCs w:val="20"/>
    </w:rPr>
  </w:style>
  <w:style w:type="paragraph" w:styleId="1270" w:customStyle="1">
    <w:name w:val="批注框文本1"/>
    <w:basedOn w:val="1055"/>
    <w:link w:val="1271"/>
    <w:uiPriority w:val="99"/>
    <w:unhideWhenUsed/>
    <w:qFormat/>
    <w:rPr>
      <w:sz w:val="18"/>
      <w:szCs w:val="18"/>
    </w:rPr>
  </w:style>
  <w:style w:type="character" w:styleId="1271" w:customStyle="1">
    <w:name w:val="批注框文本 字符"/>
    <w:link w:val="1270"/>
    <w:uiPriority w:val="99"/>
    <w:semiHidden/>
    <w:qFormat/>
    <w:rPr>
      <w:rFonts w:ascii="Times New Roman" w:hAnsi="Times New Roman" w:eastAsia="宋体" w:cs="Times New Roman"/>
      <w:sz w:val="18"/>
      <w:szCs w:val="18"/>
    </w:rPr>
  </w:style>
  <w:style w:type="paragraph" w:styleId="1272" w:customStyle="1">
    <w:name w:val="页脚1"/>
    <w:basedOn w:val="1055"/>
    <w:next w:val="1273"/>
    <w:link w:val="1274"/>
    <w:uiPriority w:val="0"/>
    <w:unhideWhenUsed/>
    <w:qFormat/>
    <w:pPr>
      <w:jc w:val="left"/>
      <w:tabs>
        <w:tab w:val="center" w:pos="4153" w:leader="none"/>
        <w:tab w:val="right" w:pos="8306" w:leader="none"/>
      </w:tabs>
    </w:pPr>
    <w:rPr>
      <w:sz w:val="18"/>
      <w:szCs w:val="18"/>
    </w:rPr>
  </w:style>
  <w:style w:type="paragraph" w:styleId="1273" w:customStyle="1">
    <w:name w:val="TOC Heading1"/>
    <w:next w:val="1055"/>
    <w:uiPriority w:val="0"/>
    <w:qFormat/>
    <w:rPr>
      <w:rFonts w:hint="default" w:ascii="Times New Roman" w:hAnsi="Times New Roman" w:eastAsia="宋体" w:cs="Times New Roman"/>
      <w:sz w:val="32"/>
      <w:lang w:val="en-US" w:eastAsia="zh-CN" w:bidi="ar-SA"/>
    </w:rPr>
  </w:style>
  <w:style w:type="character" w:styleId="1274" w:customStyle="1">
    <w:name w:val="页脚 字符"/>
    <w:link w:val="1272"/>
    <w:uiPriority w:val="0"/>
    <w:qFormat/>
    <w:rPr>
      <w:sz w:val="18"/>
      <w:szCs w:val="18"/>
    </w:rPr>
  </w:style>
  <w:style w:type="paragraph" w:styleId="1275" w:customStyle="1">
    <w:name w:val="寄信人地址1"/>
    <w:basedOn w:val="1055"/>
    <w:uiPriority w:val="0"/>
    <w:qFormat/>
    <w:rPr>
      <w:rFonts w:ascii="Arial" w:hAnsi="Arial"/>
    </w:rPr>
  </w:style>
  <w:style w:type="paragraph" w:styleId="1276" w:customStyle="1">
    <w:name w:val="页眉1"/>
    <w:basedOn w:val="1055"/>
    <w:link w:val="127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77" w:customStyle="1">
    <w:name w:val="页眉 字符"/>
    <w:link w:val="1276"/>
    <w:uiPriority w:val="0"/>
    <w:qFormat/>
    <w:rPr>
      <w:sz w:val="18"/>
      <w:szCs w:val="18"/>
    </w:rPr>
  </w:style>
  <w:style w:type="paragraph" w:styleId="1278" w:customStyle="1">
    <w:name w:val="列表1"/>
    <w:basedOn w:val="1055"/>
    <w:uiPriority w:val="0"/>
    <w:qFormat/>
    <w:pPr>
      <w:ind w:left="420" w:hanging="420"/>
      <w:spacing w:after="20" w:line="288" w:lineRule="auto"/>
      <w:tabs>
        <w:tab w:val="left" w:pos="420" w:leader="none"/>
      </w:tabs>
    </w:pPr>
    <w:rPr>
      <w:szCs w:val="20"/>
      <w:lang w:val="en-GB"/>
    </w:rPr>
  </w:style>
  <w:style w:type="paragraph" w:styleId="1279" w:customStyle="1">
    <w:name w:val="正文文本缩进 31"/>
    <w:basedOn w:val="1055"/>
    <w:link w:val="1280"/>
    <w:uiPriority w:val="0"/>
    <w:qFormat/>
    <w:pPr>
      <w:ind w:left="359" w:firstLine="359"/>
    </w:pPr>
    <w:rPr>
      <w:sz w:val="20"/>
    </w:rPr>
  </w:style>
  <w:style w:type="character" w:styleId="1280" w:customStyle="1">
    <w:name w:val="正文文本缩进 3 字符"/>
    <w:link w:val="1279"/>
    <w:uiPriority w:val="0"/>
    <w:qFormat/>
    <w:rPr>
      <w:rFonts w:ascii="Times New Roman" w:hAnsi="Times New Roman" w:eastAsia="宋体" w:cs="Times New Roman"/>
      <w:szCs w:val="20"/>
    </w:rPr>
  </w:style>
  <w:style w:type="paragraph" w:styleId="1281" w:customStyle="1">
    <w:name w:val="正文文本 21"/>
    <w:basedOn w:val="1055"/>
    <w:link w:val="1282"/>
    <w:uiPriority w:val="0"/>
    <w:qFormat/>
    <w:pPr>
      <w:spacing w:after="120" w:line="480" w:lineRule="auto"/>
    </w:pPr>
    <w:rPr>
      <w:sz w:val="20"/>
    </w:rPr>
  </w:style>
  <w:style w:type="character" w:styleId="1282" w:customStyle="1">
    <w:name w:val="正文文本 2 字符"/>
    <w:link w:val="1281"/>
    <w:uiPriority w:val="0"/>
    <w:qFormat/>
    <w:rPr>
      <w:rFonts w:ascii="Times New Roman" w:hAnsi="Times New Roman" w:eastAsia="宋体" w:cs="Times New Roman"/>
      <w:szCs w:val="20"/>
    </w:rPr>
  </w:style>
  <w:style w:type="paragraph" w:styleId="1283" w:customStyle="1">
    <w:name w:val="普通(网站)1"/>
    <w:basedOn w:val="1055"/>
    <w:uiPriority w:val="99"/>
    <w:qFormat/>
    <w:pPr>
      <w:jc w:val="left"/>
      <w:spacing w:before="100" w:beforeAutospacing="1" w:after="100" w:afterAutospacing="1"/>
      <w:widowControl/>
    </w:pPr>
    <w:rPr>
      <w:rFonts w:ascii="宋体" w:hAnsi="宋体" w:cs="宋体"/>
      <w:sz w:val="24"/>
      <w:szCs w:val="24"/>
    </w:rPr>
  </w:style>
  <w:style w:type="paragraph" w:styleId="1284" w:customStyle="1">
    <w:name w:val="批注主题1"/>
    <w:basedOn w:val="1257"/>
    <w:next w:val="1257"/>
    <w:link w:val="1285"/>
    <w:uiPriority w:val="99"/>
    <w:semiHidden/>
    <w:qFormat/>
    <w:rPr>
      <w:b/>
      <w:bCs/>
    </w:rPr>
  </w:style>
  <w:style w:type="character" w:styleId="1285" w:customStyle="1">
    <w:name w:val="批注主题 字符"/>
    <w:link w:val="1284"/>
    <w:uiPriority w:val="99"/>
    <w:semiHidden/>
    <w:qFormat/>
    <w:rPr>
      <w:rFonts w:ascii="Times New Roman" w:hAnsi="Times New Roman" w:eastAsia="宋体" w:cs="Times New Roman"/>
      <w:b/>
      <w:bCs/>
      <w:szCs w:val="24"/>
    </w:rPr>
  </w:style>
  <w:style w:type="paragraph" w:styleId="1286" w:customStyle="1">
    <w:name w:val="正文文本首行缩进"/>
    <w:basedOn w:val="1259"/>
    <w:link w:val="1287"/>
    <w:uiPriority w:val="0"/>
    <w:qFormat/>
    <w:pPr>
      <w:ind w:firstLine="420"/>
      <w:spacing w:after="120"/>
    </w:pPr>
    <w:rPr>
      <w:rFonts w:ascii="Times New Roman" w:eastAsia="宋体"/>
      <w:sz w:val="21"/>
      <w:szCs w:val="24"/>
    </w:rPr>
  </w:style>
  <w:style w:type="character" w:styleId="1287" w:customStyle="1">
    <w:name w:val="正文文本首行缩进 字符"/>
    <w:link w:val="1286"/>
    <w:uiPriority w:val="0"/>
    <w:qFormat/>
    <w:rPr>
      <w:rFonts w:ascii="Times New Roman" w:eastAsia="宋体"/>
      <w:sz w:val="21"/>
      <w:szCs w:val="24"/>
    </w:rPr>
  </w:style>
  <w:style w:type="paragraph" w:styleId="1288" w:customStyle="1">
    <w:name w:val="正文文本首行缩进 2"/>
    <w:basedOn w:val="1261"/>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289" w:customStyle="1">
    <w:name w:val="网格型1"/>
    <w:basedOn w:val="1247"/>
    <w:uiPriority w:val="0"/>
    <w:qFormat/>
    <w:pPr>
      <w:jc w:val="both"/>
      <w:widowControl w:val="off"/>
    </w:pPr>
    <w:tblPr/>
  </w:style>
  <w:style w:type="character" w:styleId="1290" w:customStyle="1">
    <w:name w:val="要点1"/>
    <w:link w:val="1055"/>
    <w:uiPriority w:val="99"/>
    <w:qFormat/>
    <w:rPr>
      <w:rFonts w:cs="Times New Roman"/>
      <w:b/>
      <w:bCs/>
    </w:rPr>
  </w:style>
  <w:style w:type="character" w:styleId="1291" w:customStyle="1">
    <w:name w:val="页码1"/>
    <w:link w:val="1055"/>
    <w:uiPriority w:val="0"/>
    <w:qFormat/>
    <w:rPr>
      <w:rFonts w:cs="Times New Roman"/>
    </w:rPr>
  </w:style>
  <w:style w:type="character" w:styleId="1292" w:customStyle="1">
    <w:name w:val="访问过的超链接"/>
    <w:link w:val="1055"/>
    <w:uiPriority w:val="99"/>
    <w:qFormat/>
    <w:rPr>
      <w:rFonts w:cs="Times New Roman"/>
      <w:color w:val="000000"/>
      <w:u w:val="none"/>
    </w:rPr>
  </w:style>
  <w:style w:type="character" w:styleId="1293" w:customStyle="1">
    <w:name w:val="HTML 打字机1"/>
    <w:link w:val="1055"/>
    <w:uiPriority w:val="99"/>
    <w:qFormat/>
    <w:rPr>
      <w:rFonts w:ascii="宋体" w:hAnsi="宋体" w:eastAsia="宋体" w:cs="宋体"/>
      <w:sz w:val="24"/>
      <w:szCs w:val="24"/>
    </w:rPr>
  </w:style>
  <w:style w:type="character" w:styleId="1294" w:customStyle="1">
    <w:name w:val="超链接1"/>
    <w:link w:val="1055"/>
    <w:uiPriority w:val="0"/>
    <w:qFormat/>
    <w:rPr>
      <w:color w:val="000000"/>
      <w:u w:val="none"/>
    </w:rPr>
  </w:style>
  <w:style w:type="paragraph" w:styleId="1295" w:customStyle="1">
    <w:name w:val="_Style 1"/>
    <w:basedOn w:val="1055"/>
    <w:uiPriority w:val="99"/>
    <w:qFormat/>
    <w:pPr>
      <w:ind w:firstLine="420"/>
    </w:pPr>
    <w:rPr>
      <w:rFonts w:ascii="Calibri" w:hAnsi="Calibri" w:eastAsia="宋体" w:cs="Calibri"/>
      <w:sz w:val="34"/>
      <w:szCs w:val="34"/>
    </w:rPr>
  </w:style>
  <w:style w:type="character" w:styleId="1296" w:customStyle="1">
    <w:name w:val="日期 Char1"/>
    <w:link w:val="1055"/>
    <w:uiPriority w:val="0"/>
    <w:semiHidden/>
    <w:qFormat/>
    <w:rPr>
      <w:rFonts w:ascii="Times New Roman" w:hAnsi="Times New Roman" w:eastAsia="宋体" w:cs="Times New Roman"/>
      <w:szCs w:val="20"/>
    </w:rPr>
  </w:style>
  <w:style w:type="character" w:styleId="1297" w:customStyle="1">
    <w:name w:val="正文文本缩进 Char1"/>
    <w:link w:val="1055"/>
    <w:uiPriority w:val="0"/>
    <w:semiHidden/>
    <w:qFormat/>
    <w:rPr>
      <w:rFonts w:ascii="Times New Roman" w:hAnsi="Times New Roman" w:eastAsia="宋体" w:cs="Times New Roman"/>
      <w:szCs w:val="20"/>
    </w:rPr>
  </w:style>
  <w:style w:type="character" w:styleId="1298" w:customStyle="1">
    <w:name w:val="正文文本缩进 2 Char1"/>
    <w:link w:val="1055"/>
    <w:uiPriority w:val="0"/>
    <w:semiHidden/>
    <w:qFormat/>
    <w:rPr>
      <w:rFonts w:ascii="Times New Roman" w:hAnsi="Times New Roman" w:eastAsia="宋体" w:cs="Times New Roman"/>
      <w:szCs w:val="20"/>
    </w:rPr>
  </w:style>
  <w:style w:type="character" w:styleId="1299" w:customStyle="1">
    <w:name w:val="正文文本缩进 3 Char1"/>
    <w:link w:val="1055"/>
    <w:uiPriority w:val="0"/>
    <w:semiHidden/>
    <w:qFormat/>
    <w:rPr>
      <w:rFonts w:ascii="Times New Roman" w:hAnsi="Times New Roman" w:eastAsia="宋体" w:cs="Times New Roman"/>
      <w:sz w:val="16"/>
      <w:szCs w:val="16"/>
    </w:rPr>
  </w:style>
  <w:style w:type="paragraph" w:styleId="1300" w:customStyle="1">
    <w:name w:val="普通文字"/>
    <w:basedOn w:val="1055"/>
    <w:next w:val="1055"/>
    <w:uiPriority w:val="0"/>
    <w:qFormat/>
    <w:rPr>
      <w:rFonts w:ascii="宋体"/>
      <w:sz w:val="24"/>
    </w:rPr>
  </w:style>
  <w:style w:type="character" w:styleId="1301" w:customStyle="1">
    <w:name w:val="文档结构图 Char1"/>
    <w:link w:val="1055"/>
    <w:uiPriority w:val="0"/>
    <w:semiHidden/>
    <w:qFormat/>
    <w:rPr>
      <w:rFonts w:ascii="宋体" w:hAnsi="Times New Roman" w:eastAsia="宋体" w:cs="Times New Roman"/>
      <w:sz w:val="18"/>
      <w:szCs w:val="18"/>
    </w:rPr>
  </w:style>
  <w:style w:type="character" w:styleId="1302" w:customStyle="1">
    <w:name w:val="正文文本 2 Char1"/>
    <w:link w:val="1055"/>
    <w:uiPriority w:val="0"/>
    <w:semiHidden/>
    <w:qFormat/>
    <w:rPr>
      <w:rFonts w:ascii="Times New Roman" w:hAnsi="Times New Roman" w:eastAsia="宋体" w:cs="Times New Roman"/>
      <w:szCs w:val="20"/>
    </w:rPr>
  </w:style>
  <w:style w:type="paragraph" w:styleId="1303" w:customStyle="1">
    <w:name w:val="列表段落"/>
    <w:basedOn w:val="1055"/>
    <w:uiPriority w:val="34"/>
    <w:qFormat/>
    <w:pPr>
      <w:ind w:firstLine="420"/>
    </w:pPr>
  </w:style>
  <w:style w:type="character" w:styleId="1304" w:customStyle="1">
    <w:name w:val="批注框文本 Char1"/>
    <w:link w:val="1055"/>
    <w:uiPriority w:val="99"/>
    <w:semiHidden/>
    <w:qFormat/>
    <w:rPr>
      <w:rFonts w:ascii="Times New Roman" w:hAnsi="Times New Roman" w:eastAsia="宋体" w:cs="Times New Roman"/>
      <w:sz w:val="18"/>
      <w:szCs w:val="18"/>
    </w:rPr>
  </w:style>
  <w:style w:type="paragraph" w:styleId="1305" w:customStyle="1">
    <w:name w:val="样式 小四 段前: 5 磅 段后: 5 磅 首行缩进:  2 字符"/>
    <w:basedOn w:val="1055"/>
    <w:uiPriority w:val="0"/>
    <w:qFormat/>
    <w:pPr>
      <w:jc w:val="center"/>
      <w:spacing w:line="360" w:lineRule="auto"/>
    </w:pPr>
    <w:rPr>
      <w:rFonts w:ascii="宋体" w:hAnsi="宋体"/>
      <w:bCs/>
      <w:color w:val="ff0000"/>
      <w:sz w:val="24"/>
      <w:szCs w:val="24"/>
    </w:rPr>
  </w:style>
  <w:style w:type="character" w:styleId="1306" w:customStyle="1">
    <w:name w:val="正文首行缩进两字 Char"/>
    <w:link w:val="1307"/>
    <w:uiPriority w:val="0"/>
    <w:qFormat/>
    <w:rPr>
      <w:sz w:val="24"/>
      <w:szCs w:val="24"/>
      <w:lang w:val="en-US" w:eastAsia="zh-CN" w:bidi="ar-SA"/>
    </w:rPr>
  </w:style>
  <w:style w:type="paragraph" w:styleId="1307" w:customStyle="1">
    <w:name w:val="正文首行缩进两字"/>
    <w:link w:val="1306"/>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308" w:customStyle="1">
    <w:name w:val="p0 paragraphindent"/>
    <w:basedOn w:val="1055"/>
    <w:uiPriority w:val="0"/>
    <w:qFormat/>
    <w:pPr>
      <w:jc w:val="left"/>
      <w:spacing w:before="100" w:beforeAutospacing="1" w:after="100" w:afterAutospacing="1"/>
      <w:widowControl/>
    </w:pPr>
    <w:rPr>
      <w:rFonts w:ascii="宋体" w:hAnsi="宋体" w:cs="宋体"/>
      <w:sz w:val="24"/>
      <w:szCs w:val="24"/>
    </w:rPr>
  </w:style>
  <w:style w:type="paragraph" w:styleId="1309" w:customStyle="1">
    <w:name w:val="一级条标题"/>
    <w:next w:val="1055"/>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10"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11" w:customStyle="1">
    <w:name w:val="二级无"/>
    <w:basedOn w:val="1055"/>
    <w:uiPriority w:val="0"/>
    <w:qFormat/>
    <w:pPr>
      <w:ind w:left="552" w:hanging="420"/>
      <w:jc w:val="left"/>
      <w:widowControl/>
      <w:tabs>
        <w:tab w:val="left" w:pos="552" w:leader="none"/>
      </w:tabs>
      <w:outlineLvl w:val="3"/>
    </w:pPr>
    <w:rPr>
      <w:rFonts w:ascii="宋体"/>
      <w:szCs w:val="21"/>
    </w:rPr>
  </w:style>
  <w:style w:type="character" w:styleId="1312" w:customStyle="1">
    <w:name w:val="case31"/>
    <w:link w:val="1055"/>
    <w:uiPriority w:val="0"/>
    <w:qFormat/>
    <w:rPr>
      <w:spacing w:val="390"/>
      <w:sz w:val="21"/>
      <w:szCs w:val="21"/>
    </w:rPr>
  </w:style>
  <w:style w:type="character" w:styleId="1313" w:customStyle="1">
    <w:name w:val="NormalCharacter1"/>
    <w:link w:val="1314"/>
    <w:uiPriority w:val="99"/>
    <w:qFormat/>
    <w:rPr>
      <w:sz w:val="20"/>
    </w:rPr>
  </w:style>
  <w:style w:type="paragraph" w:styleId="1314" w:customStyle="1">
    <w:name w:val="UserStyle_4"/>
    <w:basedOn w:val="1055"/>
    <w:link w:val="1313"/>
    <w:uiPriority w:val="99"/>
    <w:qFormat/>
    <w:pPr>
      <w:widowControl/>
    </w:pPr>
    <w:rPr>
      <w:sz w:val="20"/>
    </w:rPr>
  </w:style>
  <w:style w:type="paragraph" w:styleId="1315" w:customStyle="1">
    <w:name w:val="List Paragraph1"/>
    <w:basedOn w:val="1055"/>
    <w:uiPriority w:val="0"/>
    <w:qFormat/>
    <w:pPr>
      <w:ind w:firstLine="420"/>
    </w:pPr>
    <w:rPr>
      <w:szCs w:val="21"/>
    </w:rPr>
  </w:style>
  <w:style w:type="character" w:styleId="1316" w:customStyle="1">
    <w:name w:val="font11"/>
    <w:link w:val="1055"/>
    <w:uiPriority w:val="0"/>
    <w:qFormat/>
    <w:rPr>
      <w:rFonts w:hint="eastAsia" w:ascii="宋体" w:hAnsi="宋体" w:eastAsia="宋体" w:cs="宋体"/>
      <w:color w:val="000000"/>
      <w:sz w:val="20"/>
      <w:szCs w:val="20"/>
      <w:u w:val="none"/>
    </w:rPr>
  </w:style>
  <w:style w:type="character" w:styleId="1317" w:customStyle="1">
    <w:name w:val="font21"/>
    <w:link w:val="1055"/>
    <w:uiPriority w:val="0"/>
    <w:qFormat/>
    <w:rPr>
      <w:rFonts w:hint="eastAsia" w:ascii="仿宋" w:hAnsi="仿宋" w:eastAsia="仿宋" w:cs="仿宋"/>
      <w:color w:val="000000"/>
      <w:sz w:val="24"/>
      <w:szCs w:val="24"/>
      <w:u w:val="none"/>
    </w:rPr>
  </w:style>
  <w:style w:type="character" w:styleId="1318" w:customStyle="1">
    <w:name w:val="font31"/>
    <w:link w:val="1055"/>
    <w:uiPriority w:val="0"/>
    <w:qFormat/>
    <w:rPr>
      <w:rFonts w:hint="eastAsia" w:ascii="仿宋" w:hAnsi="仿宋" w:eastAsia="仿宋" w:cs="仿宋"/>
      <w:color w:val="000000"/>
      <w:sz w:val="24"/>
      <w:szCs w:val="24"/>
      <w:u w:val="none"/>
    </w:rPr>
  </w:style>
  <w:style w:type="paragraph" w:styleId="1319" w:customStyle="1">
    <w:name w:val="首行缩进"/>
    <w:basedOn w:val="1055"/>
    <w:uiPriority w:val="0"/>
    <w:qFormat/>
    <w:pPr>
      <w:ind w:firstLine="480"/>
    </w:pPr>
    <w:rPr>
      <w:szCs w:val="20"/>
      <w:lang w:val="zh-CN"/>
    </w:rPr>
  </w:style>
  <w:style w:type="paragraph" w:styleId="1320" w:customStyle="1">
    <w:name w:val="标题 41"/>
    <w:basedOn w:val="1055"/>
    <w:next w:val="1055"/>
    <w:uiPriority w:val="0"/>
    <w:qFormat/>
    <w:pPr>
      <w:jc w:val="center"/>
      <w:keepNext/>
      <w:outlineLvl w:val="3"/>
    </w:pPr>
    <w:rPr>
      <w:rFonts w:eastAsia="楷体_GB2312"/>
      <w:b/>
      <w:bCs/>
      <w:sz w:val="13"/>
    </w:rPr>
  </w:style>
  <w:style w:type="paragraph" w:styleId="1321" w:customStyle="1">
    <w:name w:val="正文文本1"/>
    <w:basedOn w:val="1055"/>
    <w:next w:val="1055"/>
    <w:uiPriority w:val="0"/>
    <w:qFormat/>
    <w:rPr>
      <w:rFonts w:ascii="仿宋_GB2312" w:hAnsi="Times New Roman" w:eastAsia="仿宋_GB2312"/>
      <w:sz w:val="28"/>
      <w:szCs w:val="20"/>
    </w:rPr>
  </w:style>
  <w:style w:type="paragraph" w:styleId="1322" w:customStyle="1">
    <w:name w:val="pf0"/>
    <w:basedOn w:val="1055"/>
    <w:uiPriority w:val="0"/>
    <w:qFormat/>
    <w:pPr>
      <w:jc w:val="left"/>
      <w:spacing w:before="100" w:beforeAutospacing="1" w:after="100" w:afterAutospacing="1"/>
      <w:widowControl/>
    </w:pPr>
    <w:rPr>
      <w:rFonts w:ascii="宋体" w:hAnsi="宋体" w:cs="宋体"/>
      <w:sz w:val="24"/>
      <w:szCs w:val="24"/>
    </w:rPr>
  </w:style>
  <w:style w:type="paragraph" w:styleId="1323" w:customStyle="1">
    <w:name w:val="_Style 3"/>
    <w:basedOn w:val="1055"/>
    <w:uiPriority w:val="0"/>
    <w:qFormat/>
    <w:pPr>
      <w:ind w:firstLine="420"/>
    </w:pPr>
  </w:style>
  <w:style w:type="paragraph" w:styleId="1324" w:customStyle="1">
    <w:name w:val="列出段落1"/>
    <w:basedOn w:val="1055"/>
    <w:uiPriority w:val="0"/>
    <w:qFormat/>
    <w:pPr>
      <w:ind w:firstLine="420"/>
    </w:pPr>
    <w:rPr>
      <w:rFonts w:ascii="Calibri" w:hAnsi="Calibri"/>
      <w:szCs w:val="22"/>
    </w:rPr>
  </w:style>
  <w:style w:type="paragraph" w:styleId="1325" w:customStyle="1">
    <w:name w:val=" Char Char1 Char Char Char"/>
    <w:basedOn w:val="1055"/>
    <w:uiPriority w:val="0"/>
    <w:qFormat/>
    <w:rPr>
      <w:szCs w:val="24"/>
    </w:rPr>
  </w:style>
  <w:style w:type="numbering" w:styleId="137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高天依</cp:lastModifiedBy>
  <cp:revision>16</cp:revision>
  <dcterms:created xsi:type="dcterms:W3CDTF">2024-05-23T06:35:00Z</dcterms:created>
  <dcterms:modified xsi:type="dcterms:W3CDTF">2025-10-27T07:12:48Z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D0C83D6B93F749A586D67ABE1636BA60_13</vt:lpwstr>
  </property>
  <property fmtid="{D5CDD505-2E9C-101B-9397-08002B2CF9AE}" pid="4" name="KSOTemplateDocerSaveRecord">
    <vt:lpwstr>eyJoZGlkIjoiZmZlZThjYWY3ZjNjYjI3Njk2ODE4N2E0ZDhiNDY5ZGUiLCJ1c2VySWQiOiIxOTM3MjIwNTUifQ==</vt:lpwstr>
  </property>
</Properties>
</file>