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36"/>
          <w:szCs w:val="36"/>
          <w:highlight w:val="none"/>
        </w:rPr>
      </w:pPr>
      <w:r>
        <w:rPr>
          <w:b/>
          <w:color w:val="auto"/>
          <w:sz w:val="36"/>
          <w:szCs w:val="36"/>
          <w:highlight w:val="none"/>
        </w:rPr>
      </w:r>
      <w:r>
        <w:rPr>
          <w:b/>
          <w:color w:val="auto"/>
          <w:sz w:val="36"/>
          <w:szCs w:val="36"/>
          <w:highlight w:val="none"/>
        </w:rPr>
      </w:r>
      <w:r/>
    </w:p>
    <w:p>
      <w:pPr>
        <w:jc w:val="center"/>
        <w:rPr>
          <w:b/>
          <w:bCs/>
          <w:color w:val="auto"/>
          <w:sz w:val="36"/>
          <w:szCs w:val="36"/>
          <w:highlight w:val="none"/>
        </w:rPr>
      </w:pPr>
      <w:r>
        <w:rPr>
          <w:b/>
          <w:bCs/>
          <w:color w:val="auto"/>
          <w:sz w:val="36"/>
          <w:szCs w:val="36"/>
          <w:highlight w:val="none"/>
        </w:rPr>
      </w: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rPr>
          <w:b/>
          <w:bCs/>
          <w:color w:val="auto"/>
          <w:sz w:val="36"/>
          <w:szCs w:val="36"/>
          <w:highlight w:val="none"/>
        </w:rPr>
      </w:r>
      <w:r/>
    </w:p>
    <w:p>
      <w:pPr>
        <w:jc w:val="center"/>
        <w:rPr>
          <w:b/>
          <w:bCs/>
          <w:color w:val="auto"/>
          <w:sz w:val="36"/>
          <w:szCs w:val="36"/>
          <w:highlight w:val="none"/>
        </w:rPr>
      </w:pPr>
      <w:r>
        <w:rPr>
          <w:b/>
          <w:color w:val="auto"/>
          <w:sz w:val="36"/>
          <w:szCs w:val="36"/>
          <w:highlight w:val="none"/>
        </w:rPr>
      </w:r>
      <w:r/>
    </w:p>
    <w:p>
      <w:pPr>
        <w:pStyle w:val="926"/>
        <w:ind w:firstLine="0"/>
        <w:jc w:val="center"/>
        <w:spacing w:line="240" w:lineRule="auto"/>
        <w:rPr>
          <w:rFonts w:hint="eastAsia" w:ascii="方正小标宋简体" w:eastAsia="方正小标宋简体"/>
          <w:color w:val="auto"/>
          <w:sz w:val="52"/>
          <w:szCs w:val="52"/>
          <w:highlight w:val="none"/>
        </w:rPr>
        <w:outlineLvl w:val="9"/>
      </w:pPr>
      <w:r>
        <w:rPr>
          <w:rFonts w:hint="eastAsia" w:ascii="方正小标宋简体" w:eastAsia="方正小标宋简体"/>
          <w:bCs/>
          <w:color w:val="auto"/>
          <w:sz w:val="52"/>
          <w:szCs w:val="52"/>
          <w:highlight w:val="none"/>
        </w:rPr>
        <w:t xml:space="preserve">如皋市政府采购公开招标文件</w:t>
      </w:r>
      <w:r/>
    </w:p>
    <w:p>
      <w:pPr>
        <w:pStyle w:val="926"/>
        <w:ind w:firstLine="0"/>
        <w:jc w:val="center"/>
        <w:spacing w:line="240" w:lineRule="auto"/>
        <w:rPr>
          <w:rFonts w:ascii="方正小标宋简体" w:eastAsia="方正小标宋简体"/>
          <w:color w:val="auto"/>
          <w:sz w:val="52"/>
          <w:szCs w:val="52"/>
          <w:highlight w:val="none"/>
        </w:rPr>
        <w:outlineLvl w:val="9"/>
      </w:pPr>
      <w:r>
        <w:rPr>
          <w:rFonts w:hint="eastAsia" w:ascii="方正小标宋简体" w:eastAsia="方正小标宋简体"/>
          <w:bCs/>
          <w:color w:val="auto"/>
          <w:sz w:val="52"/>
          <w:szCs w:val="52"/>
          <w:highlight w:val="none"/>
        </w:rPr>
      </w:r>
      <w:r>
        <w:rPr>
          <w:rFonts w:hint="eastAsia" w:ascii="方正小标宋简体" w:eastAsia="方正小标宋简体"/>
          <w:bCs/>
          <w:color w:val="auto"/>
          <w:sz w:val="52"/>
          <w:szCs w:val="52"/>
          <w:highlight w:val="none"/>
        </w:rPr>
      </w:r>
      <w:r/>
    </w:p>
    <w:p>
      <w:pPr>
        <w:pStyle w:val="926"/>
        <w:ind w:firstLine="0"/>
        <w:jc w:val="center"/>
        <w:spacing w:line="240" w:lineRule="auto"/>
        <w:rPr>
          <w:rFonts w:ascii="方正小标宋简体" w:eastAsia="方正小标宋简体"/>
          <w:bCs/>
          <w:color w:val="auto"/>
          <w:sz w:val="44"/>
          <w:szCs w:val="44"/>
          <w:highlight w:val="none"/>
        </w:rPr>
        <w:outlineLvl w:val="9"/>
      </w:pPr>
      <w:r>
        <w:rPr>
          <w:rFonts w:ascii="方正小标宋简体" w:eastAsia="方正小标宋简体"/>
          <w:bCs/>
          <w:color w:val="auto"/>
          <w:sz w:val="44"/>
          <w:szCs w:val="44"/>
          <w:highlight w:val="none"/>
        </w:rPr>
      </w:r>
      <w:r/>
    </w:p>
    <w:p>
      <w:pPr>
        <w:pStyle w:val="926"/>
        <w:spacing w:line="240" w:lineRule="auto"/>
        <w:rPr>
          <w:rFonts w:hint="eastAsia" w:eastAsia="宋体"/>
          <w:b/>
          <w:bCs/>
          <w:color w:val="auto"/>
          <w:sz w:val="32"/>
          <w:highlight w:val="none"/>
          <w:u w:val="single"/>
          <w:lang w:val="en-US" w:eastAsia="zh-CN"/>
        </w:rPr>
        <w:outlineLvl w:val="9"/>
      </w:pPr>
      <w:r>
        <w:rPr>
          <w:b/>
          <w:bCs/>
          <w:color w:val="auto"/>
          <w:sz w:val="32"/>
          <w:highlight w:val="none"/>
        </w:rPr>
        <w:t xml:space="preserve">项目名称：</w:t>
      </w:r>
      <w:r>
        <w:rPr>
          <w:rFonts w:hint="eastAsia"/>
          <w:b/>
          <w:bCs/>
          <w:color w:val="auto"/>
          <w:sz w:val="32"/>
          <w:highlight w:val="none"/>
          <w:u w:val="single"/>
          <w:lang w:val="en-US" w:eastAsia="zh-CN"/>
        </w:rPr>
        <w:t xml:space="preserve">南通市如皋生态环境监测站规范化能力提升项目</w:t>
      </w:r>
      <w:r/>
    </w:p>
    <w:p>
      <w:pPr>
        <w:pStyle w:val="926"/>
        <w:spacing w:line="240" w:lineRule="auto"/>
        <w:rPr>
          <w:rFonts w:hint="eastAsia" w:eastAsia="宋体"/>
          <w:b/>
          <w:bCs/>
          <w:color w:val="auto"/>
          <w:sz w:val="32"/>
          <w:highlight w:val="none"/>
          <w:u w:val="single"/>
          <w:lang w:val="en-US" w:eastAsia="zh-CN"/>
        </w:rPr>
        <w:outlineLvl w:val="9"/>
      </w:pPr>
      <w:r>
        <w:rPr>
          <w:rFonts w:hint="eastAsia"/>
          <w:b/>
          <w:bCs/>
          <w:color w:val="auto"/>
          <w:sz w:val="32"/>
          <w:highlight w:val="none"/>
        </w:rPr>
        <w:t xml:space="preserve">项目编号：</w:t>
      </w:r>
      <w:r>
        <w:rPr>
          <w:rFonts w:hint="eastAsia"/>
          <w:b/>
          <w:bCs/>
          <w:color w:val="auto"/>
          <w:sz w:val="32"/>
          <w:highlight w:val="none"/>
          <w:u w:val="single"/>
          <w:lang w:val="en-US" w:eastAsia="zh-CN"/>
        </w:rPr>
        <w:t xml:space="preserve">JSZC-320682-NTJW-G2024-0089</w:t>
      </w:r>
      <w:r/>
    </w:p>
    <w:p>
      <w:pPr>
        <w:pStyle w:val="926"/>
        <w:ind w:firstLine="0"/>
        <w:jc w:val="center"/>
        <w:spacing w:line="240" w:lineRule="auto"/>
        <w:rPr>
          <w:b/>
          <w:bCs/>
          <w:color w:val="auto"/>
          <w:sz w:val="32"/>
          <w:highlight w:val="none"/>
        </w:rPr>
        <w:outlineLvl w:val="9"/>
      </w:pPr>
      <w:r/>
      <w:bookmarkStart w:id="179" w:name="_GoBack"/>
      <w:r/>
      <w:bookmarkEnd w:id="179"/>
      <w:r/>
      <w:r/>
    </w:p>
    <w:p>
      <w:pPr>
        <w:pStyle w:val="926"/>
        <w:ind w:firstLine="0"/>
        <w:jc w:val="center"/>
        <w:spacing w:line="240" w:lineRule="auto"/>
        <w:rPr>
          <w:b/>
          <w:bCs/>
          <w:color w:val="auto"/>
          <w:sz w:val="32"/>
          <w:highlight w:val="none"/>
        </w:rPr>
        <w:outlineLvl w:val="9"/>
      </w:pPr>
      <w:r>
        <w:rPr>
          <w:b/>
          <w:bCs/>
          <w:color w:val="auto"/>
          <w:sz w:val="32"/>
          <w:highlight w:val="none"/>
        </w:rPr>
      </w:r>
      <w:r/>
    </w:p>
    <w:p>
      <w:pPr>
        <w:pStyle w:val="926"/>
        <w:ind w:firstLine="0"/>
        <w:jc w:val="center"/>
        <w:spacing w:line="240" w:lineRule="auto"/>
        <w:rPr>
          <w:b/>
          <w:bCs/>
          <w:color w:val="auto"/>
          <w:sz w:val="32"/>
          <w:highlight w:val="none"/>
        </w:rPr>
        <w:outlineLvl w:val="9"/>
      </w:pPr>
      <w:r>
        <w:rPr>
          <w:b/>
          <w:bCs/>
          <w:color w:val="auto"/>
          <w:sz w:val="32"/>
          <w:highlight w:val="none"/>
        </w:rPr>
      </w:r>
      <w:r/>
    </w:p>
    <w:p>
      <w:pPr>
        <w:pStyle w:val="926"/>
        <w:ind w:firstLine="0"/>
        <w:jc w:val="center"/>
        <w:spacing w:line="240" w:lineRule="auto"/>
        <w:rPr>
          <w:b/>
          <w:bCs/>
          <w:color w:val="auto"/>
          <w:sz w:val="32"/>
          <w:highlight w:val="none"/>
        </w:rPr>
        <w:outlineLvl w:val="9"/>
      </w:pPr>
      <w:r>
        <w:rPr>
          <w:b/>
          <w:bCs/>
          <w:color w:val="auto"/>
          <w:sz w:val="32"/>
          <w:highlight w:val="none"/>
        </w:rPr>
      </w:r>
      <w:r/>
    </w:p>
    <w:p>
      <w:pPr>
        <w:pStyle w:val="926"/>
        <w:ind w:firstLine="0"/>
        <w:jc w:val="center"/>
        <w:spacing w:line="240" w:lineRule="auto"/>
        <w:rPr>
          <w:b/>
          <w:bCs/>
          <w:color w:val="auto"/>
          <w:sz w:val="32"/>
          <w:szCs w:val="32"/>
          <w:highlight w:val="none"/>
        </w:rPr>
        <w:outlineLvl w:val="9"/>
      </w:pPr>
      <w:r>
        <w:rPr>
          <w:b/>
          <w:bCs/>
          <w:color w:val="auto"/>
          <w:sz w:val="32"/>
          <w:highlight w:val="none"/>
        </w:rPr>
      </w:r>
      <w:r>
        <w:rPr>
          <w:b/>
          <w:bCs/>
          <w:color w:val="auto"/>
          <w:sz w:val="32"/>
          <w:highlight w:val="none"/>
        </w:rPr>
      </w:r>
      <w:r/>
    </w:p>
    <w:p>
      <w:pPr>
        <w:pStyle w:val="926"/>
        <w:ind w:firstLine="0"/>
        <w:jc w:val="center"/>
        <w:spacing w:line="240" w:lineRule="auto"/>
        <w:rPr>
          <w:b/>
          <w:bCs/>
          <w:color w:val="auto"/>
          <w:sz w:val="32"/>
          <w:szCs w:val="32"/>
          <w:highlight w:val="none"/>
        </w:rPr>
        <w:outlineLvl w:val="9"/>
      </w:pPr>
      <w:r>
        <w:rPr>
          <w:b/>
          <w:bCs/>
          <w:color w:val="auto"/>
          <w:sz w:val="32"/>
          <w:szCs w:val="32"/>
          <w:highlight w:val="none"/>
        </w:rPr>
      </w:r>
      <w:r>
        <w:rPr>
          <w:b/>
          <w:bCs/>
          <w:color w:val="auto"/>
          <w:sz w:val="32"/>
          <w:szCs w:val="32"/>
          <w:highlight w:val="none"/>
        </w:rPr>
      </w:r>
      <w:r/>
    </w:p>
    <w:p>
      <w:pPr>
        <w:pStyle w:val="926"/>
        <w:ind w:firstLine="0"/>
        <w:jc w:val="center"/>
        <w:spacing w:line="240" w:lineRule="auto"/>
        <w:rPr>
          <w:b/>
          <w:bCs/>
          <w:color w:val="auto"/>
          <w:sz w:val="32"/>
          <w:szCs w:val="32"/>
          <w:highlight w:val="none"/>
        </w:rPr>
        <w:outlineLvl w:val="9"/>
      </w:pPr>
      <w:r>
        <w:rPr>
          <w:b/>
          <w:bCs/>
          <w:color w:val="auto"/>
          <w:sz w:val="32"/>
          <w:szCs w:val="32"/>
          <w:highlight w:val="none"/>
        </w:rPr>
      </w:r>
      <w:r>
        <w:rPr>
          <w:b/>
          <w:bCs/>
          <w:color w:val="auto"/>
          <w:sz w:val="32"/>
          <w:szCs w:val="32"/>
          <w:highlight w:val="none"/>
        </w:rPr>
      </w:r>
      <w:r/>
    </w:p>
    <w:p>
      <w:pPr>
        <w:pStyle w:val="926"/>
        <w:ind w:firstLine="0"/>
        <w:jc w:val="center"/>
        <w:spacing w:line="240" w:lineRule="auto"/>
        <w:rPr>
          <w:b/>
          <w:bCs/>
          <w:color w:val="auto"/>
          <w:sz w:val="32"/>
          <w:szCs w:val="32"/>
          <w:highlight w:val="none"/>
        </w:rPr>
        <w:outlineLvl w:val="9"/>
      </w:pPr>
      <w:r>
        <w:rPr>
          <w:b/>
          <w:bCs/>
          <w:color w:val="auto"/>
          <w:sz w:val="32"/>
          <w:szCs w:val="32"/>
          <w:highlight w:val="none"/>
        </w:rPr>
      </w:r>
      <w:r>
        <w:rPr>
          <w:b/>
          <w:bCs/>
          <w:color w:val="auto"/>
          <w:sz w:val="32"/>
          <w:szCs w:val="32"/>
          <w:highlight w:val="none"/>
        </w:rPr>
      </w:r>
      <w:r/>
    </w:p>
    <w:p>
      <w:pPr>
        <w:pStyle w:val="926"/>
        <w:ind w:firstLine="0"/>
        <w:jc w:val="center"/>
        <w:spacing w:line="240" w:lineRule="auto"/>
        <w:rPr>
          <w:b/>
          <w:bCs/>
          <w:color w:val="auto"/>
          <w:sz w:val="32"/>
          <w:szCs w:val="32"/>
          <w:highlight w:val="none"/>
        </w:rPr>
        <w:outlineLvl w:val="9"/>
      </w:pPr>
      <w:r>
        <w:rPr>
          <w:b/>
          <w:bCs/>
          <w:color w:val="auto"/>
          <w:sz w:val="32"/>
          <w:szCs w:val="32"/>
          <w:highlight w:val="none"/>
        </w:rPr>
      </w:r>
      <w:r>
        <w:rPr>
          <w:b/>
          <w:bCs/>
          <w:color w:val="auto"/>
          <w:sz w:val="32"/>
          <w:szCs w:val="32"/>
          <w:highlight w:val="none"/>
        </w:rPr>
      </w:r>
      <w:r/>
    </w:p>
    <w:p>
      <w:pPr>
        <w:pStyle w:val="926"/>
        <w:ind w:firstLine="0"/>
        <w:jc w:val="center"/>
        <w:spacing w:line="240" w:lineRule="auto"/>
        <w:rPr>
          <w:b/>
          <w:bCs/>
          <w:color w:val="auto"/>
          <w:sz w:val="32"/>
          <w:szCs w:val="32"/>
          <w:highlight w:val="none"/>
        </w:rPr>
        <w:outlineLvl w:val="9"/>
      </w:pPr>
      <w:r>
        <w:rPr>
          <w:b/>
          <w:bCs/>
          <w:color w:val="auto"/>
          <w:sz w:val="32"/>
          <w:highlight w:val="none"/>
        </w:rPr>
      </w:r>
      <w:r/>
    </w:p>
    <w:p>
      <w:pPr>
        <w:pStyle w:val="926"/>
        <w:ind w:firstLine="0"/>
        <w:jc w:val="center"/>
        <w:spacing w:line="240" w:lineRule="auto"/>
        <w:rPr>
          <w:b/>
          <w:bCs/>
          <w:color w:val="auto"/>
          <w:sz w:val="32"/>
          <w:highlight w:val="none"/>
        </w:rPr>
        <w:outlineLvl w:val="9"/>
      </w:pPr>
      <w:r>
        <w:rPr>
          <w:b/>
          <w:bCs/>
          <w:color w:val="auto"/>
          <w:sz w:val="32"/>
          <w:highlight w:val="none"/>
        </w:rPr>
      </w:r>
      <w:r/>
    </w:p>
    <w:p>
      <w:pPr>
        <w:pStyle w:val="926"/>
        <w:ind w:firstLine="993"/>
        <w:jc w:val="both"/>
        <w:spacing w:line="240" w:lineRule="auto"/>
        <w:rPr>
          <w:rFonts w:hint="eastAsia"/>
          <w:b/>
          <w:bCs/>
          <w:color w:val="auto"/>
          <w:sz w:val="32"/>
          <w:highlight w:val="none"/>
          <w:u w:val="single"/>
          <w:lang w:val="en-US" w:eastAsia="zh-CN"/>
        </w:rPr>
        <w:outlineLvl w:val="9"/>
      </w:pPr>
      <w:r>
        <w:rPr>
          <w:rFonts w:hint="eastAsia"/>
          <w:b/>
          <w:bCs/>
          <w:color w:val="auto"/>
          <w:sz w:val="32"/>
          <w:highlight w:val="none"/>
        </w:rPr>
        <w:t xml:space="preserve">采购人名称：</w:t>
      </w:r>
      <w:r>
        <w:rPr>
          <w:rFonts w:hint="eastAsia"/>
          <w:b/>
          <w:bCs/>
          <w:color w:val="auto"/>
          <w:sz w:val="32"/>
          <w:highlight w:val="none"/>
          <w:u w:val="single"/>
          <w:lang w:val="en-US" w:eastAsia="zh-CN"/>
        </w:rPr>
        <w:t xml:space="preserve">南通市如皋生态环境局</w:t>
      </w:r>
      <w:r/>
    </w:p>
    <w:p>
      <w:pPr>
        <w:pStyle w:val="926"/>
        <w:ind w:firstLine="993"/>
        <w:spacing w:line="240" w:lineRule="auto"/>
        <w:rPr>
          <w:b/>
          <w:bCs/>
          <w:color w:val="auto"/>
          <w:sz w:val="32"/>
          <w:highlight w:val="none"/>
        </w:rPr>
        <w:outlineLvl w:val="9"/>
      </w:pPr>
      <w:r>
        <w:rPr>
          <w:rFonts w:hint="eastAsia"/>
          <w:b/>
          <w:bCs/>
          <w:color w:val="auto"/>
          <w:sz w:val="32"/>
          <w:highlight w:val="none"/>
        </w:rPr>
        <w:t xml:space="preserve">采购代理机构名称：南通泾天纬地项目管理有限公司</w:t>
      </w:r>
      <w:r/>
    </w:p>
    <w:p>
      <w:pPr>
        <w:pStyle w:val="926"/>
        <w:ind w:firstLine="0"/>
        <w:jc w:val="center"/>
        <w:spacing w:line="240" w:lineRule="auto"/>
        <w:rPr>
          <w:b/>
          <w:bCs/>
          <w:color w:val="auto"/>
          <w:sz w:val="32"/>
          <w:highlight w:val="none"/>
        </w:rPr>
        <w:outlineLvl w:val="9"/>
      </w:pPr>
      <w:r>
        <w:rPr>
          <w:rFonts w:hint="eastAsia"/>
          <w:b/>
          <w:bCs/>
          <w:color w:val="auto"/>
          <w:sz w:val="32"/>
          <w:highlight w:val="none"/>
          <w:lang w:val="en-US" w:eastAsia="zh-CN"/>
        </w:rPr>
        <w:t xml:space="preserve">2024</w:t>
      </w:r>
      <w:r>
        <w:rPr>
          <w:rFonts w:hint="eastAsia"/>
          <w:b/>
          <w:bCs/>
          <w:color w:val="auto"/>
          <w:sz w:val="32"/>
          <w:highlight w:val="none"/>
        </w:rPr>
        <w:t xml:space="preserve">年</w:t>
      </w:r>
      <w:r>
        <w:rPr>
          <w:rFonts w:hint="eastAsia"/>
          <w:b/>
          <w:bCs/>
          <w:color w:val="auto"/>
          <w:sz w:val="32"/>
          <w:highlight w:val="none"/>
          <w:lang w:val="en-US" w:eastAsia="zh-CN"/>
        </w:rPr>
        <w:t xml:space="preserve">9</w:t>
      </w:r>
      <w:r>
        <w:rPr>
          <w:rFonts w:hint="eastAsia"/>
          <w:b/>
          <w:bCs/>
          <w:color w:val="auto"/>
          <w:sz w:val="32"/>
          <w:highlight w:val="none"/>
        </w:rPr>
        <w:t xml:space="preserve">月</w:t>
      </w:r>
      <w:r>
        <w:rPr>
          <w:rFonts w:hint="eastAsia"/>
          <w:b/>
          <w:bCs/>
          <w:color w:val="auto"/>
          <w:sz w:val="32"/>
          <w:highlight w:val="none"/>
          <w:lang w:val="en-US" w:eastAsia="zh-CN"/>
        </w:rPr>
        <w:t xml:space="preserve">29</w:t>
      </w:r>
      <w:r>
        <w:rPr>
          <w:rFonts w:hint="eastAsia"/>
          <w:b/>
          <w:bCs/>
          <w:color w:val="auto"/>
          <w:sz w:val="32"/>
          <w:highlight w:val="none"/>
        </w:rPr>
        <w:t xml:space="preserve">日</w:t>
      </w:r>
      <w:r/>
    </w:p>
    <w:p>
      <w:pPr>
        <w:outlineLvl w:val="9"/>
      </w:pPr>
      <w:r>
        <w:rPr>
          <w:b/>
          <w:bCs/>
          <w:color w:val="auto"/>
          <w:sz w:val="32"/>
          <w:highlight w:val="none"/>
        </w:rPr>
        <w:br w:type="page" w:clear="all"/>
      </w:r>
      <w:r/>
    </w:p>
    <w:sdt>
      <w:sdtPr>
        <w15:appearance w15:val="boundingBox"/>
        <w15:color w:val="dbdbdb"/>
        <w:id w:val="147471282"/>
        <w:docPartObj>
          <w:docPartGallery w:val="Table of Contents"/>
          <w:docPartUnique w:val="true"/>
        </w:docPartObj>
        <w:rPr>
          <w:rFonts w:ascii="宋体" w:hAnsi="宋体" w:eastAsia="宋体" w:cs="Times New Roman"/>
          <w:sz w:val="21"/>
          <w:szCs w:val="24"/>
          <w:lang w:val="en-US" w:eastAsia="zh-CN" w:bidi="ar-SA"/>
        </w:rPr>
      </w:sdtPr>
      <w:sdtContent>
        <w:p>
          <w:pPr>
            <w:jc w:val="center"/>
            <w:outlineLvl w:val="9"/>
          </w:pPr>
          <w:r>
            <w:rPr>
              <w:rFonts w:ascii="宋体" w:hAnsi="宋体" w:eastAsia="宋体"/>
              <w:sz w:val="21"/>
            </w:rPr>
            <w:t xml:space="preserve">目录</w:t>
          </w:r>
          <w:r/>
        </w:p>
        <w:p>
          <w:pPr>
            <w:pStyle w:val="905"/>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fldChar w:fldCharType="begin"/>
          </w:r>
          <w:r>
            <w:instrText xml:space="preserve">TOC \o "1-2" \h \u </w:instrText>
          </w:r>
          <w:r>
            <w:fldChar w:fldCharType="separate"/>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_Toc11972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第1章 公开招标公告</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_Toc11972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_Toc1775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一、项目基本情况</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_Toc1775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_Toc23097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二、投标人的资格要求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_Toc23097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_Toc20589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三、获取公开招标文件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_Toc20589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6</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_Toc21322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四、提交投标文件截止时间、开标时间和地点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_Toc21322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_Toc14643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五、公告期限</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_Toc14643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_Toc7978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六、其他补充事宜</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_Toc7978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_Toc15516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七、凡对本次采购提出询问，请按以下方式联系。</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_Toc15516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5"/>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_Toc29425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第2章 投标须知</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_Toc29425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9</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_Toc28134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 投标费用</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_Toc28134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9</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_Toc1373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 招标文件的约束力</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_Toc1373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9</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_Toc16226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3.投标文件编制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_Toc16226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9</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_Toc968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4. 投标文件提交、撤回和修改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_Toc968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10</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_Toc17448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 开标和评标</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_Toc17448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11</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_Toc27521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6. 中标和合同</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_Toc27521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13</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_Toc18556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7.政府采购政策功能落实</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_Toc18556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14</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_Toc21287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8.无效投标和招标活动终止</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_Toc21287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21</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_Toc15941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9. 询问、质疑和投诉</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_Toc15941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_Toc19392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10. 政府采购合同信用融资扶持政策</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_Toc19392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25</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_Toc9792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11. 采购代理服务费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_Toc9792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26</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_Toc32669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w:t>
          </w:r>
          <w:r>
            <w:rPr>
              <w:rFonts w:hint="eastAsia" w:ascii="黑体" w:hAnsi="黑体" w:eastAsia="黑体" w:cs="黑体"/>
              <w:sz w:val="24"/>
              <w:szCs w:val="24"/>
              <w:highlight w:val="none"/>
              <w:lang w:val="en-US" w:eastAsia="zh-CN"/>
            </w:rPr>
            <w:t xml:space="preserve">2</w:t>
          </w:r>
          <w:r>
            <w:rPr>
              <w:rFonts w:hint="eastAsia" w:ascii="黑体" w:hAnsi="黑体" w:eastAsia="黑体" w:cs="黑体"/>
              <w:sz w:val="24"/>
              <w:szCs w:val="24"/>
              <w:highlight w:val="none"/>
            </w:rPr>
            <w:t xml:space="preserve">.其他事项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_Toc32669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26</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5"/>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_Toc9180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第3章 采购需求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_Toc9180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_Toc9550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一、项目简介</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_Toc9550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_Toc6366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二、采购内容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_Toc6366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_Toc20288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三、</w:t>
          </w:r>
          <w:r>
            <w:rPr>
              <w:rFonts w:hint="eastAsia" w:ascii="黑体" w:hAnsi="黑体" w:eastAsia="黑体" w:cs="黑体"/>
              <w:sz w:val="24"/>
              <w:szCs w:val="24"/>
              <w:highlight w:val="none"/>
              <w:lang w:val="en-US" w:eastAsia="zh-CN"/>
            </w:rPr>
            <w:t xml:space="preserve">基本</w:t>
          </w:r>
          <w:r>
            <w:rPr>
              <w:rFonts w:hint="eastAsia" w:ascii="黑体" w:hAnsi="黑体" w:eastAsia="黑体" w:cs="黑体"/>
              <w:sz w:val="24"/>
              <w:szCs w:val="24"/>
              <w:highlight w:val="none"/>
            </w:rPr>
            <w:t xml:space="preserve">技术要求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_Toc20288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30</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_Toc9281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四、质量标准</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_Toc9281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30</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_Toc10982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五、交货期限和地点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_Toc10982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31</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_Toc13742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六、验收方案</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_Toc13742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31</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_Toc27166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七、质量保证期限</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_Toc27166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_Toc31651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八、售后服务</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_Toc31651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_Toc29450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九、付款方式</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_Toc29450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_Toc8098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十、其他要求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_Toc8098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5"/>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_Toc23904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第4章 合同文本</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_Toc23904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34</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5"/>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_Toc9669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第5章 评标标准和方法</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_Toc9669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_Toc8998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一、综合评分法</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_Toc8998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5"/>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_Toc21766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第6章 投标文件组成</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_Toc21766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46</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_Toc30802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如皋市政府采购投标文件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_Toc30802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46</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_Toc32471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一、开标一览表</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_Toc32471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47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_Toc2173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二、资格证明文件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_Toc2173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48</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_Toc2202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三、商务技术文件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_Toc2202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55</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_Toc24901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四、报价文件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_Toc24901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60</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_Toc26449 </w:instrText>
          </w:r>
          <w:r>
            <w:rPr>
              <w:rFonts w:hint="eastAsia" w:ascii="黑体" w:hAnsi="黑体" w:eastAsia="黑体" w:cs="黑体"/>
              <w:sz w:val="24"/>
              <w:szCs w:val="24"/>
              <w:highlight w:val="none"/>
            </w:rPr>
            <w:fldChar w:fldCharType="separate"/>
          </w:r>
          <w:r>
            <w:rPr>
              <w:rFonts w:hint="eastAsia" w:ascii="黑体" w:hAnsi="黑体" w:eastAsia="黑体" w:cs="黑体"/>
              <w:bCs w:val="0"/>
              <w:sz w:val="24"/>
              <w:szCs w:val="24"/>
              <w:highlight w:val="none"/>
            </w:rPr>
            <w:t xml:space="preserve">附件1：</w:t>
          </w:r>
          <w:r>
            <w:rPr>
              <w:rFonts w:hint="eastAsia" w:ascii="黑体" w:hAnsi="黑体" w:eastAsia="黑体" w:cs="黑体"/>
              <w:bCs w:val="0"/>
              <w:sz w:val="24"/>
              <w:szCs w:val="24"/>
              <w:highlight w:val="none"/>
              <w:lang w:eastAsia="zh-CN"/>
            </w:rPr>
            <w:t xml:space="preserve">采购包</w:t>
          </w:r>
          <w:r>
            <w:rPr>
              <w:rFonts w:hint="eastAsia" w:ascii="黑体" w:hAnsi="黑体" w:eastAsia="黑体" w:cs="黑体"/>
              <w:bCs w:val="0"/>
              <w:sz w:val="24"/>
              <w:szCs w:val="24"/>
              <w:highlight w:val="none"/>
            </w:rPr>
            <w:t xml:space="preserve">1技术参数要求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_Toc26449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67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_Toc12271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lang w:val="en-US" w:eastAsia="zh-CN" w:bidi="ar"/>
            </w:rPr>
            <w:t xml:space="preserve">附近2：采购包2技术参数</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_Toc12271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83</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_Toc3845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lang w:val="en-US" w:eastAsia="zh-CN" w:bidi="ar"/>
            </w:rPr>
            <w:t xml:space="preserve">附件3：采购包3技术参数要求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_Toc3845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92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_Toc11111 </w:instrText>
          </w:r>
          <w:r>
            <w:rPr>
              <w:rFonts w:hint="eastAsia" w:ascii="黑体" w:hAnsi="黑体" w:eastAsia="黑体" w:cs="黑体"/>
              <w:sz w:val="24"/>
              <w:szCs w:val="24"/>
              <w:highlight w:val="none"/>
            </w:rPr>
            <w:fldChar w:fldCharType="separate"/>
          </w:r>
          <w:r>
            <w:rPr>
              <w:rFonts w:hint="eastAsia" w:ascii="黑体" w:hAnsi="黑体" w:eastAsia="黑体" w:cs="黑体"/>
              <w:bCs w:val="0"/>
              <w:sz w:val="24"/>
              <w:szCs w:val="24"/>
              <w:highlight w:val="none"/>
            </w:rPr>
            <w:t xml:space="preserve">附件4：</w:t>
          </w:r>
          <w:r>
            <w:rPr>
              <w:rFonts w:hint="eastAsia" w:ascii="黑体" w:hAnsi="黑体" w:eastAsia="黑体" w:cs="黑体"/>
              <w:bCs w:val="0"/>
              <w:sz w:val="24"/>
              <w:szCs w:val="24"/>
              <w:highlight w:val="none"/>
              <w:lang w:eastAsia="zh-CN"/>
            </w:rPr>
            <w:t xml:space="preserve">采购包</w:t>
          </w:r>
          <w:r>
            <w:rPr>
              <w:rFonts w:hint="eastAsia" w:ascii="黑体" w:hAnsi="黑体" w:eastAsia="黑体" w:cs="黑体"/>
              <w:bCs w:val="0"/>
              <w:sz w:val="24"/>
              <w:szCs w:val="24"/>
              <w:highlight w:val="none"/>
            </w:rPr>
            <w:t xml:space="preserve">1技术部分正负偏离表</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_Toc11111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105</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_Toc15363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lang w:val="en-US" w:eastAsia="zh-CN" w:bidi="ar"/>
            </w:rPr>
            <w:t xml:space="preserve">附近5：采购包2技术部分正负偏离表</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_Toc15363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126</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907"/>
            <w:keepLines w:val="0"/>
            <w:keepNext w:val="0"/>
            <w:pageBreakBefore w:val="0"/>
            <w:spacing w:line="360" w:lineRule="auto"/>
            <w:widowControl w:val="off"/>
            <w:tabs>
              <w:tab w:val="right" w:pos="9354" w:leader="dot"/>
            </w:tabs>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_Toc24794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lang w:val="en-US" w:eastAsia="zh-CN" w:bidi="ar"/>
            </w:rPr>
            <w:t xml:space="preserve">附件6：采购包3技术部分正负偏离表</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_Toc24794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137</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rPr>
              <w:b/>
            </w:rPr>
          </w:pPr>
          <w:r>
            <w:fldChar w:fldCharType="end"/>
          </w:r>
          <w:r/>
        </w:p>
      </w:sdtContent>
    </w:sdt>
    <w:p>
      <w:pPr>
        <w:rPr>
          <w:b/>
        </w:rPr>
      </w:pPr>
      <w:r>
        <w:rPr>
          <w:b/>
        </w:rPr>
      </w:r>
      <w:r/>
    </w:p>
    <w:p>
      <w:pPr>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br w:type="page" w:clear="all"/>
      </w:r>
      <w:r/>
    </w:p>
    <w:p>
      <w:pPr>
        <w:pStyle w:val="926"/>
        <w:ind w:firstLine="0"/>
        <w:jc w:val="center"/>
        <w:spacing w:line="240" w:lineRule="auto"/>
        <w:rPr>
          <w:rFonts w:hint="eastAsia" w:ascii="黑体" w:hAnsi="黑体" w:eastAsia="黑体" w:cs="黑体"/>
          <w:bCs/>
          <w:color w:val="auto"/>
          <w:sz w:val="32"/>
          <w:szCs w:val="32"/>
          <w:highlight w:val="none"/>
        </w:rPr>
        <w:outlineLvl w:val="0"/>
      </w:pPr>
      <w:r/>
      <w:bookmarkStart w:id="0" w:name="_Toc11972"/>
      <w:r>
        <w:rPr>
          <w:rFonts w:hint="eastAsia" w:ascii="黑体" w:hAnsi="黑体" w:eastAsia="黑体" w:cs="黑体"/>
          <w:bCs/>
          <w:color w:val="auto"/>
          <w:sz w:val="32"/>
          <w:szCs w:val="32"/>
          <w:highlight w:val="none"/>
        </w:rPr>
        <w:t xml:space="preserve">第1章 公开招标公告</w:t>
      </w:r>
      <w:bookmarkEnd w:id="0"/>
      <w:r/>
      <w:r/>
    </w:p>
    <w:p>
      <w:pPr>
        <w:pStyle w:val="899"/>
        <w:ind w:firstLine="560"/>
        <w:spacing w:after="0" w:line="500" w:lineRule="exact"/>
        <w:rPr>
          <w:rFonts w:ascii="黑体" w:hAnsi="黑体" w:eastAsia="黑体"/>
          <w:color w:val="auto"/>
          <w:sz w:val="28"/>
          <w:szCs w:val="28"/>
          <w:highlight w:val="none"/>
        </w:rPr>
        <w:outlineLvl w:val="1"/>
      </w:pPr>
      <w:r/>
      <w:bookmarkStart w:id="1" w:name="_Toc35393798"/>
      <w:r/>
      <w:bookmarkStart w:id="2" w:name="_Toc28359012"/>
      <w:r/>
      <w:bookmarkStart w:id="3" w:name="_Toc1775"/>
      <w:r/>
      <w:bookmarkStart w:id="4" w:name="_Toc28359089"/>
      <w:r/>
      <w:bookmarkStart w:id="5" w:name="_Toc35393629"/>
      <w:r/>
      <w:bookmarkStart w:id="6" w:name="OLE_LINK2"/>
      <w:r>
        <w:rPr>
          <w:rFonts w:hint="eastAsia" w:ascii="黑体" w:hAnsi="黑体" w:eastAsia="黑体"/>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 项目名称：</w:t>
      </w:r>
      <w:r>
        <w:rPr>
          <w:rFonts w:hint="eastAsia" w:ascii="仿宋" w:hAnsi="仿宋" w:eastAsia="仿宋"/>
          <w:color w:val="auto"/>
          <w:sz w:val="28"/>
          <w:szCs w:val="28"/>
          <w:highlight w:val="none"/>
          <w:lang w:val="en-US" w:eastAsia="zh-CN"/>
        </w:rPr>
        <w:t xml:space="preserve">南通市如皋生态环境监测站规范化能力提升项目</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 项目编号：</w:t>
      </w:r>
      <w:r>
        <w:rPr>
          <w:rFonts w:hint="eastAsia" w:ascii="仿宋" w:hAnsi="仿宋" w:eastAsia="仿宋"/>
          <w:color w:val="auto"/>
          <w:sz w:val="28"/>
          <w:szCs w:val="28"/>
          <w:highlight w:val="none"/>
          <w:lang w:val="en-US" w:eastAsia="zh-CN"/>
        </w:rPr>
        <w:t xml:space="preserve">JSZC-320682-NTJW-G2024-0089</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 预算金额：</w:t>
      </w:r>
      <w:r>
        <w:rPr>
          <w:rFonts w:hint="eastAsia" w:ascii="仿宋" w:hAnsi="仿宋" w:eastAsia="仿宋"/>
          <w:color w:val="auto"/>
          <w:sz w:val="28"/>
          <w:szCs w:val="28"/>
          <w:highlight w:val="none"/>
          <w:lang w:val="en-US" w:eastAsia="zh-CN"/>
        </w:rPr>
        <w:t xml:space="preserve">人民币671.94万元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 最高限价：</w:t>
      </w:r>
      <w:r>
        <w:rPr>
          <w:rFonts w:hint="eastAsia" w:ascii="仿宋" w:hAnsi="仿宋" w:eastAsia="仿宋"/>
          <w:color w:val="auto"/>
          <w:sz w:val="28"/>
          <w:szCs w:val="28"/>
          <w:highlight w:val="none"/>
          <w:lang w:val="en-US" w:eastAsia="zh-CN"/>
        </w:rPr>
        <w:t xml:space="preserve">人民币671.94万元，本项目分为三个采购包，其中采购包1最高限价282.32万元；采购包2最高限价228万元；采购包3最高限价161.62万元。各采购包报价超过最高限价视为无效响应。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 采购需求：详见第三章。</w:t>
      </w:r>
      <w:r/>
    </w:p>
    <w:p>
      <w:pPr>
        <w:ind w:firstLine="560"/>
        <w:spacing w:line="50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6. 合同履行期限：</w:t>
      </w:r>
      <w:r>
        <w:rPr>
          <w:rFonts w:hint="eastAsia" w:ascii="仿宋" w:hAnsi="仿宋" w:eastAsia="仿宋"/>
          <w:b/>
          <w:bCs/>
          <w:color w:val="auto"/>
          <w:sz w:val="28"/>
          <w:szCs w:val="28"/>
          <w:highlight w:val="none"/>
          <w:lang w:val="en-US" w:eastAsia="zh-CN"/>
        </w:rPr>
        <w:t xml:space="preserve">合同签订后采购包1、采购包3须在30日内完成供货、安装、调试；采购包2须在40日内完成供货、安装、调试，具体以采购人通知为准。</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 本项目是否接受进口产品：否。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 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 本项目是否专门面向中小企业采购：</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 项目类型：货物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 项目所属行业：</w:t>
      </w:r>
      <w:r>
        <w:rPr>
          <w:rFonts w:ascii="仿宋" w:hAnsi="仿宋" w:eastAsia="仿宋"/>
          <w:color w:val="auto"/>
          <w:sz w:val="28"/>
          <w:szCs w:val="28"/>
          <w:highlight w:val="none"/>
        </w:rPr>
        <w:t xml:space="preserve">工业</w:t>
      </w:r>
      <w:r/>
    </w:p>
    <w:p>
      <w:pPr>
        <w:pStyle w:val="899"/>
        <w:ind w:firstLine="560"/>
        <w:spacing w:after="0" w:line="500" w:lineRule="exact"/>
        <w:rPr>
          <w:rFonts w:ascii="黑体" w:hAnsi="黑体" w:eastAsia="黑体"/>
          <w:color w:val="auto"/>
          <w:sz w:val="28"/>
          <w:szCs w:val="28"/>
          <w:highlight w:val="none"/>
        </w:rPr>
        <w:outlineLvl w:val="1"/>
      </w:pPr>
      <w:r/>
      <w:bookmarkStart w:id="7" w:name="_Toc28359090"/>
      <w:r/>
      <w:bookmarkStart w:id="8" w:name="_Toc28359013"/>
      <w:r/>
      <w:bookmarkStart w:id="9" w:name="_Toc35393799"/>
      <w:r/>
      <w:bookmarkStart w:id="10" w:name="_Toc35393630"/>
      <w:r/>
      <w:bookmarkStart w:id="11" w:name="_Toc23097"/>
      <w:r>
        <w:rPr>
          <w:rFonts w:hint="eastAsia" w:ascii="黑体" w:hAnsi="黑体" w:eastAsia="黑体"/>
          <w:color w:val="auto"/>
          <w:sz w:val="28"/>
          <w:szCs w:val="28"/>
          <w:highlight w:val="none"/>
        </w:rPr>
        <w:t xml:space="preserve">二、投标人的资格要求</w:t>
      </w:r>
      <w:bookmarkEnd w:id="7"/>
      <w:r/>
      <w:bookmarkEnd w:id="8"/>
      <w:r/>
      <w:bookmarkEnd w:id="9"/>
      <w:r/>
      <w:bookmarkEnd w:id="10"/>
      <w:r/>
      <w:bookmarkEnd w:id="1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90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12" w:name="_Toc28359014"/>
      <w:r/>
      <w:bookmarkStart w:id="13" w:name="_Toc28359091"/>
      <w:r>
        <w:rPr>
          <w:rFonts w:hint="eastAsia" w:ascii="仿宋" w:hAnsi="仿宋" w:eastAsia="仿宋" w:cs="Times New Roman"/>
          <w:color w:val="auto"/>
          <w:sz w:val="28"/>
          <w:szCs w:val="28"/>
          <w:highlight w:val="none"/>
        </w:rPr>
        <w:t xml:space="preserve">（1）具有独立承担民事责任的能力</w:t>
      </w:r>
      <w:r>
        <w:rPr>
          <w:rFonts w:hint="eastAsia" w:ascii="仿宋" w:hAnsi="仿宋" w:eastAsia="仿宋" w:cs="Times New Roman"/>
          <w:color w:val="auto"/>
          <w:sz w:val="28"/>
          <w:szCs w:val="28"/>
          <w:highlight w:val="none"/>
          <w:lang w:eastAsia="zh-CN"/>
        </w:rPr>
        <w:t xml:space="preserve">；</w:t>
      </w:r>
      <w:r/>
    </w:p>
    <w:p>
      <w:pPr>
        <w:pStyle w:val="90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rPr>
          <w:rFonts w:hint="eastAsia" w:ascii="仿宋" w:hAnsi="仿宋" w:eastAsia="仿宋" w:cs="Times New Roman"/>
          <w:color w:val="auto"/>
          <w:sz w:val="28"/>
          <w:szCs w:val="28"/>
          <w:highlight w:val="none"/>
          <w:lang w:eastAsia="zh-CN"/>
        </w:rPr>
        <w:t xml:space="preserve">；</w:t>
      </w:r>
      <w:r/>
    </w:p>
    <w:p>
      <w:pPr>
        <w:pStyle w:val="90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rPr>
          <w:rFonts w:hint="eastAsia" w:ascii="仿宋" w:hAnsi="仿宋" w:eastAsia="仿宋" w:cs="Times New Roman"/>
          <w:color w:val="auto"/>
          <w:sz w:val="28"/>
          <w:szCs w:val="28"/>
          <w:highlight w:val="none"/>
          <w:lang w:eastAsia="zh-CN"/>
        </w:rPr>
        <w:t xml:space="preserve">；</w:t>
      </w:r>
      <w:r/>
    </w:p>
    <w:p>
      <w:pPr>
        <w:pStyle w:val="90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rPr>
          <w:rFonts w:hint="eastAsia" w:ascii="仿宋" w:hAnsi="仿宋" w:eastAsia="仿宋" w:cs="Times New Roman"/>
          <w:color w:val="auto"/>
          <w:sz w:val="28"/>
          <w:szCs w:val="28"/>
          <w:highlight w:val="none"/>
          <w:lang w:eastAsia="zh-CN"/>
        </w:rPr>
        <w:t xml:space="preserve">；</w:t>
      </w:r>
      <w:r/>
    </w:p>
    <w:p>
      <w:pPr>
        <w:pStyle w:val="90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rPr>
          <w:rFonts w:hint="eastAsia" w:ascii="仿宋" w:hAnsi="仿宋" w:eastAsia="仿宋" w:cs="Times New Roman"/>
          <w:color w:val="auto"/>
          <w:sz w:val="28"/>
          <w:szCs w:val="28"/>
          <w:highlight w:val="none"/>
          <w:lang w:eastAsia="zh-CN"/>
        </w:rPr>
        <w:t xml:space="preserve">；</w:t>
      </w:r>
      <w:r/>
    </w:p>
    <w:p>
      <w:pPr>
        <w:pStyle w:val="90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908"/>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908"/>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投标产品属于财政部、国家发改委公布的“节能产品品目清单”范围内的，须提供国家确定的认证机构出具的、处于有效期之内的节能产品认证证书复印件</w:t>
      </w:r>
      <w:r>
        <w:rPr>
          <w:rFonts w:hint="eastAsia" w:ascii="仿宋" w:hAnsi="仿宋" w:eastAsia="仿宋"/>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908"/>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908"/>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iCs/>
          <w:color w:val="auto"/>
          <w:sz w:val="28"/>
          <w:szCs w:val="28"/>
          <w:highlight w:val="none"/>
          <w:lang w:val="en-US" w:eastAsia="zh-CN"/>
        </w:rPr>
      </w:pPr>
      <w:r>
        <w:rPr>
          <w:rFonts w:hint="eastAsia" w:ascii="仿宋" w:hAnsi="仿宋" w:eastAsia="仿宋"/>
          <w:color w:val="auto"/>
          <w:sz w:val="28"/>
          <w:szCs w:val="28"/>
          <w:highlight w:val="none"/>
        </w:rPr>
        <w:t xml:space="preserve">4. 本项目的特定资格要求：</w:t>
      </w:r>
      <w:r>
        <w:rPr>
          <w:rFonts w:hint="eastAsia" w:ascii="仿宋" w:hAnsi="仿宋" w:eastAsia="仿宋"/>
          <w:color w:val="auto"/>
          <w:sz w:val="28"/>
          <w:szCs w:val="28"/>
          <w:highlight w:val="none"/>
          <w:lang w:val="en-US" w:eastAsia="zh-CN"/>
        </w:rPr>
        <w:t xml:space="preserve">无</w:t>
      </w:r>
      <w:r/>
    </w:p>
    <w:p>
      <w:pPr>
        <w:pStyle w:val="908"/>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color w:val="auto"/>
          <w:sz w:val="28"/>
          <w:szCs w:val="28"/>
          <w:highlight w:val="none"/>
        </w:rPr>
        <w:t xml:space="preserve">授权委托书。</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6.未被“信用中国（www.creditchina.gov.cn）</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中国政府采购网（http://www.ccgp.gov.cn/）”网站列入失信被执行人或重大税收违法案件当事人名单或政府采购严重失信行为记录名单，查询结果以评审过程中现场网络截图为准。</w:t>
      </w:r>
      <w:r/>
    </w:p>
    <w:p>
      <w:pPr>
        <w:pStyle w:val="899"/>
        <w:ind w:firstLine="560"/>
        <w:spacing w:after="0" w:line="500" w:lineRule="exact"/>
        <w:rPr>
          <w:rFonts w:ascii="黑体" w:hAnsi="黑体" w:eastAsia="黑体"/>
          <w:color w:val="auto"/>
          <w:sz w:val="28"/>
          <w:szCs w:val="28"/>
          <w:highlight w:val="none"/>
        </w:rPr>
        <w:outlineLvl w:val="1"/>
      </w:pPr>
      <w:r/>
      <w:bookmarkStart w:id="14" w:name="_Toc35393800"/>
      <w:r/>
      <w:bookmarkStart w:id="15" w:name="_Toc20589"/>
      <w:r/>
      <w:bookmarkStart w:id="16" w:name="_Toc35393631"/>
      <w:r>
        <w:rPr>
          <w:rFonts w:hint="eastAsia" w:ascii="黑体" w:hAnsi="黑体" w:eastAsia="黑体"/>
          <w:color w:val="auto"/>
          <w:sz w:val="28"/>
          <w:szCs w:val="28"/>
          <w:highlight w:val="none"/>
        </w:rPr>
        <w:t xml:space="preserve">三、获取公开招标文件</w:t>
      </w:r>
      <w:bookmarkEnd w:id="12"/>
      <w:r/>
      <w:bookmarkEnd w:id="13"/>
      <w:r/>
      <w:bookmarkEnd w:id="14"/>
      <w:r/>
      <w:bookmarkEnd w:id="15"/>
      <w:r/>
      <w:bookmarkEnd w:id="16"/>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1.时间：</w:t>
      </w:r>
      <w:r>
        <w:rPr>
          <w:rFonts w:hint="eastAsia" w:ascii="仿宋" w:hAnsi="仿宋" w:eastAsia="仿宋" w:cs="仿宋"/>
          <w:color w:val="auto"/>
          <w:sz w:val="30"/>
          <w:highlight w:val="none"/>
          <w:lang w:val="en-US" w:eastAsia="zh-CN"/>
        </w:rPr>
        <w:t xml:space="preserve">招标公告发布之日起5个工作日内</w:t>
      </w:r>
      <w:r>
        <w:rPr>
          <w:rFonts w:hint="eastAsia" w:ascii="仿宋" w:hAnsi="仿宋" w:eastAsia="仿宋" w:cs="仿宋"/>
          <w:color w:val="auto"/>
          <w:sz w:val="30"/>
          <w:highlight w:val="none"/>
        </w:rPr>
        <w:t xml:space="preserve">。</w:t>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2.地点：江苏省政府采购网。</w:t>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3.方式：本项目采用“苏采云”系统网上注册登记方式，具体详见《江苏省政府采购管理交易系统（苏采云）投标人操作手册》。</w:t>
      </w:r>
      <w:r/>
    </w:p>
    <w:p>
      <w:pPr>
        <w:pStyle w:val="899"/>
        <w:ind w:firstLine="560"/>
        <w:spacing w:after="0" w:line="500" w:lineRule="exact"/>
        <w:rPr>
          <w:rFonts w:ascii="黑体" w:hAnsi="黑体" w:eastAsia="黑体"/>
          <w:color w:val="auto"/>
          <w:sz w:val="28"/>
          <w:szCs w:val="28"/>
          <w:highlight w:val="none"/>
        </w:rPr>
        <w:outlineLvl w:val="1"/>
      </w:pPr>
      <w:r/>
      <w:bookmarkStart w:id="17" w:name="_Toc28359092"/>
      <w:r/>
      <w:bookmarkStart w:id="18" w:name="_Toc28359015"/>
      <w:r/>
      <w:bookmarkStart w:id="19" w:name="_Toc35393801"/>
      <w:r/>
      <w:bookmarkStart w:id="20" w:name="_Toc35393632"/>
      <w:r/>
      <w:bookmarkStart w:id="21" w:name="_Toc21322"/>
      <w:r>
        <w:rPr>
          <w:rFonts w:hint="eastAsia" w:ascii="黑体" w:hAnsi="黑体" w:eastAsia="黑体"/>
          <w:color w:val="auto"/>
          <w:sz w:val="28"/>
          <w:szCs w:val="28"/>
          <w:highlight w:val="none"/>
        </w:rPr>
        <w:t xml:space="preserve">四、提交投标文件</w:t>
      </w:r>
      <w:bookmarkEnd w:id="17"/>
      <w:r/>
      <w:bookmarkEnd w:id="18"/>
      <w:r/>
      <w:bookmarkEnd w:id="19"/>
      <w:r/>
      <w:bookmarkEnd w:id="20"/>
      <w:r>
        <w:rPr>
          <w:rFonts w:hint="eastAsia" w:ascii="黑体" w:hAnsi="黑体" w:eastAsia="黑体"/>
          <w:color w:val="auto"/>
          <w:sz w:val="28"/>
          <w:szCs w:val="28"/>
          <w:highlight w:val="none"/>
        </w:rPr>
        <w:t xml:space="preserve">截止时间、开标时间和地点</w:t>
      </w:r>
      <w:bookmarkEnd w:id="21"/>
      <w:r/>
      <w:r/>
    </w:p>
    <w:p>
      <w:pPr>
        <w:ind w:firstLine="560"/>
        <w:spacing w:line="500" w:lineRule="exact"/>
        <w:rPr>
          <w:rFonts w:hint="default" w:ascii="仿宋" w:hAnsi="仿宋" w:eastAsia="仿宋"/>
          <w:bCs/>
          <w:color w:val="auto"/>
          <w:sz w:val="28"/>
          <w:szCs w:val="28"/>
          <w:highlight w:val="none"/>
          <w:u w:val="single"/>
          <w:lang w:val="en-US" w:eastAsia="zh-CN"/>
        </w:rPr>
      </w:pPr>
      <w:r>
        <w:rPr>
          <w:rFonts w:hint="eastAsia" w:ascii="仿宋" w:hAnsi="仿宋" w:eastAsia="仿宋"/>
          <w:color w:val="auto"/>
          <w:sz w:val="28"/>
          <w:szCs w:val="28"/>
          <w:highlight w:val="none"/>
        </w:rPr>
        <w:t xml:space="preserve">截止时间：</w:t>
      </w:r>
      <w:r>
        <w:rPr>
          <w:rFonts w:hint="eastAsia" w:ascii="仿宋" w:hAnsi="仿宋" w:eastAsia="仿宋"/>
          <w:bCs/>
          <w:color w:val="auto"/>
          <w:sz w:val="28"/>
          <w:szCs w:val="28"/>
          <w:highlight w:val="none"/>
          <w:lang w:val="en-US" w:eastAsia="zh-CN"/>
        </w:rPr>
        <w:t xml:space="preserve">详见招标公告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开标时间：</w:t>
      </w:r>
      <w:r>
        <w:rPr>
          <w:rFonts w:hint="eastAsia" w:ascii="仿宋" w:hAnsi="仿宋" w:eastAsia="仿宋"/>
          <w:bCs/>
          <w:color w:val="auto"/>
          <w:sz w:val="28"/>
          <w:szCs w:val="28"/>
          <w:highlight w:val="none"/>
          <w:lang w:val="en-US" w:eastAsia="zh-CN"/>
        </w:rPr>
        <w:t xml:space="preserve">详见招标公告</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开标地点：</w:t>
      </w:r>
      <w:r>
        <w:rPr>
          <w:rFonts w:ascii="仿宋" w:hAnsi="仿宋" w:eastAsia="仿宋"/>
          <w:color w:val="auto"/>
          <w:sz w:val="28"/>
          <w:szCs w:val="28"/>
          <w:highlight w:val="none"/>
        </w:rPr>
        <w:t xml:space="preserve">“苏采云”系统（网址：http://jszfcg.jsczt.cn/）“开标大厅”。</w:t>
      </w:r>
      <w:r/>
    </w:p>
    <w:p>
      <w:pPr>
        <w:pStyle w:val="899"/>
        <w:ind w:firstLine="560"/>
        <w:spacing w:after="0" w:line="500" w:lineRule="exact"/>
        <w:rPr>
          <w:rFonts w:ascii="黑体" w:hAnsi="黑体" w:eastAsia="黑体"/>
          <w:color w:val="auto"/>
          <w:sz w:val="28"/>
          <w:szCs w:val="28"/>
          <w:highlight w:val="none"/>
        </w:rPr>
        <w:outlineLvl w:val="1"/>
      </w:pPr>
      <w:r/>
      <w:bookmarkStart w:id="22" w:name="_Toc14643"/>
      <w:r/>
      <w:bookmarkStart w:id="23" w:name="_Toc28359017"/>
      <w:r/>
      <w:bookmarkStart w:id="24" w:name="_Toc35393634"/>
      <w:r/>
      <w:bookmarkStart w:id="25" w:name="_Toc28359094"/>
      <w:r/>
      <w:bookmarkStart w:id="26" w:name="_Toc35393803"/>
      <w:r>
        <w:rPr>
          <w:rFonts w:hint="eastAsia" w:ascii="黑体" w:hAnsi="黑体" w:eastAsia="黑体"/>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自本公告发布之日起5个工作日。</w:t>
      </w:r>
      <w:r/>
    </w:p>
    <w:p>
      <w:pPr>
        <w:pStyle w:val="899"/>
        <w:ind w:firstLine="560"/>
        <w:spacing w:after="0" w:line="500" w:lineRule="exact"/>
        <w:rPr>
          <w:rFonts w:ascii="黑体" w:hAnsi="黑体" w:eastAsia="黑体"/>
          <w:color w:val="auto"/>
          <w:sz w:val="28"/>
          <w:szCs w:val="28"/>
          <w:highlight w:val="none"/>
        </w:rPr>
        <w:outlineLvl w:val="1"/>
      </w:pPr>
      <w:r/>
      <w:bookmarkStart w:id="27" w:name="_Toc35393804"/>
      <w:r/>
      <w:bookmarkStart w:id="28" w:name="_Toc7978"/>
      <w:r/>
      <w:bookmarkStart w:id="29" w:name="_Toc35393635"/>
      <w:r>
        <w:rPr>
          <w:rFonts w:hint="eastAsia" w:ascii="黑体" w:hAnsi="黑体" w:eastAsia="黑体"/>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rPr>
          <w:rFonts w:hint="eastAsia" w:ascii="仿宋" w:hAnsi="仿宋" w:eastAsia="仿宋" w:cs="宋体"/>
          <w:bCs/>
          <w:color w:val="auto"/>
          <w:sz w:val="28"/>
          <w:szCs w:val="28"/>
          <w:highlight w:val="none"/>
          <w:lang w:eastAsia="zh-CN"/>
        </w:rPr>
        <w:t xml:space="preserve">/</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w:t>
      </w:r>
      <w:r>
        <w:rPr>
          <w:rFonts w:hint="eastAsia" w:ascii="仿宋" w:hAnsi="仿宋" w:eastAsia="仿宋" w:cs="仿宋"/>
          <w:color w:val="auto"/>
          <w:sz w:val="28"/>
          <w:szCs w:val="28"/>
          <w:highlight w:val="none"/>
        </w:rPr>
        <w:t xml:space="preserve">投标人</w:t>
      </w:r>
      <w:r>
        <w:rPr>
          <w:rFonts w:hint="eastAsia" w:ascii="仿宋" w:hAnsi="仿宋" w:eastAsia="仿宋" w:cs="宋体"/>
          <w:bCs/>
          <w:color w:val="auto"/>
          <w:sz w:val="28"/>
          <w:szCs w:val="28"/>
          <w:highlight w:val="none"/>
        </w:rPr>
        <w:t xml:space="preserve">需办理“CA 数字证书”的，可参阅“江苏省政府采购网/办事指南/资料下载”中有关资料。</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480"/>
        <w:spacing w:line="500" w:lineRule="exact"/>
        <w:rPr>
          <w:rFonts w:ascii="仿宋" w:hAnsi="仿宋" w:eastAsia="仿宋"/>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w:t>
      </w:r>
      <w:r>
        <w:rPr>
          <w:rFonts w:ascii="仿宋" w:hAnsi="仿宋" w:eastAsia="仿宋" w:cs="宋体"/>
          <w:color w:val="auto"/>
          <w:sz w:val="28"/>
          <w:szCs w:val="28"/>
          <w:highlight w:val="none"/>
        </w:rPr>
        <w:t xml:space="preserve">投标保证金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p>
    <w:p>
      <w:pPr>
        <w:pStyle w:val="899"/>
        <w:ind w:firstLine="560"/>
        <w:spacing w:after="0" w:line="500" w:lineRule="exact"/>
        <w:rPr>
          <w:rFonts w:ascii="黑体" w:hAnsi="黑体" w:cs="宋体"/>
          <w:b/>
          <w:color w:val="auto"/>
          <w:sz w:val="28"/>
          <w:szCs w:val="28"/>
          <w:highlight w:val="none"/>
        </w:rPr>
        <w:outlineLvl w:val="1"/>
      </w:pPr>
      <w:r/>
      <w:bookmarkStart w:id="30" w:name="_Toc28359095"/>
      <w:r/>
      <w:bookmarkStart w:id="31" w:name="_Toc35393805"/>
      <w:r/>
      <w:bookmarkStart w:id="32" w:name="_Toc28359018"/>
      <w:r/>
      <w:bookmarkStart w:id="33" w:name="_Toc15516"/>
      <w:r/>
      <w:bookmarkStart w:id="34" w:name="_Toc35393636"/>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color w:val="auto"/>
          <w:sz w:val="28"/>
          <w:szCs w:val="28"/>
          <w:highlight w:val="none"/>
        </w:rPr>
      </w:pPr>
      <w:r/>
      <w:bookmarkStart w:id="35" w:name="_Toc35393806"/>
      <w:r/>
      <w:bookmarkStart w:id="36" w:name="_Toc35393637"/>
      <w:r/>
      <w:bookmarkStart w:id="37" w:name="_Toc28359019"/>
      <w:r/>
      <w:bookmarkStart w:id="38" w:name="_Toc28359096"/>
      <w:r>
        <w:rPr>
          <w:rFonts w:hint="eastAsia" w:ascii="仿宋" w:hAnsi="仿宋" w:eastAsia="仿宋" w:cs="宋体"/>
          <w:color w:val="auto"/>
          <w:sz w:val="28"/>
          <w:szCs w:val="28"/>
          <w:highlight w:val="none"/>
        </w:rPr>
        <w:t xml:space="preserve">1. 采购人信息</w:t>
      </w:r>
      <w:bookmarkEnd w:id="35"/>
      <w:r/>
      <w:bookmarkEnd w:id="36"/>
      <w:r/>
      <w:bookmarkEnd w:id="37"/>
      <w:r/>
      <w:bookmarkEnd w:id="38"/>
      <w:r/>
      <w:r/>
    </w:p>
    <w:p>
      <w:pPr>
        <w:ind w:left="1129" w:hanging="35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u w:val="single"/>
          <w:lang w:val="en-US" w:eastAsia="zh-CN"/>
        </w:rPr>
        <w:t xml:space="preserve">南通市如皋生态环境局</w:t>
      </w:r>
      <w:r/>
    </w:p>
    <w:p>
      <w:pPr>
        <w:ind w:left="1129" w:hanging="350"/>
        <w:jc w:val="left"/>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u w:val="single"/>
          <w:lang w:val="en-US" w:eastAsia="zh-CN"/>
        </w:rPr>
        <w:t xml:space="preserve">如皋市如城街道解放西路</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程晓春、张跃君</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u w:val="single"/>
          <w:lang w:val="en-US" w:eastAsia="zh-CN"/>
        </w:rPr>
        <w:t xml:space="preserve">13773833558</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lang w:val="en-US" w:eastAsia="zh-CN"/>
        </w:rPr>
        <w:t xml:space="preserve">18252829551</w:t>
      </w:r>
      <w:r>
        <w:rPr>
          <w:rFonts w:hint="eastAsia" w:ascii="仿宋" w:hAnsi="仿宋" w:eastAsia="仿宋"/>
          <w:color w:val="auto"/>
          <w:sz w:val="28"/>
          <w:szCs w:val="28"/>
          <w:highlight w:val="none"/>
          <w:u w:val="single"/>
        </w:rPr>
        <w:t xml:space="preserve">　</w:t>
      </w:r>
      <w:r/>
    </w:p>
    <w:p>
      <w:pPr>
        <w:ind w:firstLine="540"/>
        <w:spacing w:line="500" w:lineRule="exact"/>
        <w:rPr>
          <w:rFonts w:ascii="仿宋" w:hAnsi="仿宋" w:eastAsia="仿宋" w:cs="宋体"/>
          <w:color w:val="auto"/>
          <w:sz w:val="28"/>
          <w:szCs w:val="28"/>
          <w:highlight w:val="none"/>
        </w:rPr>
      </w:pPr>
      <w:r/>
      <w:bookmarkStart w:id="39" w:name="_Toc35393807"/>
      <w:r/>
      <w:bookmarkStart w:id="40" w:name="_Toc35393638"/>
      <w:r/>
      <w:bookmarkStart w:id="41" w:name="_Toc28359097"/>
      <w:r/>
      <w:bookmarkStart w:id="42" w:name="_Toc28359020"/>
      <w:r>
        <w:rPr>
          <w:rFonts w:hint="eastAsia" w:ascii="仿宋" w:hAnsi="仿宋" w:eastAsia="仿宋" w:cs="宋体"/>
          <w:color w:val="auto"/>
          <w:sz w:val="28"/>
          <w:szCs w:val="28"/>
          <w:highlight w:val="none"/>
        </w:rPr>
        <w:t xml:space="preserve">2. 采购代理机构信息（如有）</w:t>
      </w:r>
      <w:bookmarkEnd w:id="39"/>
      <w:r/>
      <w:bookmarkEnd w:id="40"/>
      <w:r/>
      <w:bookmarkEnd w:id="41"/>
      <w:r/>
      <w:bookmarkEnd w:id="42"/>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名</w:t>
      </w:r>
      <w:r>
        <w:rPr>
          <w:rFonts w:hint="eastAsia" w:ascii="仿宋" w:hAnsi="仿宋" w:eastAsia="仿宋" w:cs="宋体"/>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称：</w:t>
      </w:r>
      <w:r>
        <w:rPr>
          <w:rFonts w:hint="eastAsia" w:ascii="仿宋" w:hAnsi="仿宋" w:eastAsia="仿宋" w:cs="仿宋"/>
          <w:color w:val="auto"/>
          <w:sz w:val="28"/>
          <w:szCs w:val="28"/>
          <w:highlight w:val="none"/>
          <w:u w:val="single"/>
          <w:lang w:val="en-US" w:eastAsia="zh-CN" w:bidi="ar"/>
        </w:rPr>
        <w:t xml:space="preserve">南通泾天纬地项目管理有限公司</w:t>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u w:val="single"/>
        </w:rPr>
        <w:suppressLineNumbers w:val="0"/>
      </w:pPr>
      <w:r>
        <w:rPr>
          <w:rFonts w:hint="eastAsia" w:ascii="仿宋" w:hAnsi="仿宋" w:eastAsia="仿宋" w:cs="仿宋"/>
          <w:color w:val="auto"/>
          <w:sz w:val="28"/>
          <w:szCs w:val="28"/>
          <w:highlight w:val="none"/>
          <w:lang w:val="en-US" w:eastAsia="zh-CN" w:bidi="ar"/>
        </w:rPr>
        <w:t xml:space="preserve">地</w:t>
      </w:r>
      <w:r>
        <w:rPr>
          <w:rFonts w:hint="eastAsia" w:ascii="仿宋" w:hAnsi="仿宋" w:eastAsia="仿宋" w:cs="宋体"/>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址：</w:t>
      </w:r>
      <w:r>
        <w:rPr>
          <w:rFonts w:hint="eastAsia" w:ascii="仿宋" w:hAnsi="仿宋" w:eastAsia="仿宋" w:cs="仿宋"/>
          <w:color w:val="auto"/>
          <w:sz w:val="28"/>
          <w:szCs w:val="28"/>
          <w:highlight w:val="none"/>
          <w:u w:val="single"/>
          <w:lang w:val="en-US" w:eastAsia="zh-CN" w:bidi="ar"/>
        </w:rPr>
        <w:t xml:space="preserve">如皋市如城街道惠政路269号纪庄大楼9层</w:t>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项目经办人姓名：</w:t>
      </w:r>
      <w:r>
        <w:rPr>
          <w:rFonts w:hint="eastAsia" w:ascii="仿宋" w:hAnsi="仿宋" w:eastAsia="仿宋" w:cs="宋体"/>
          <w:color w:val="auto"/>
          <w:sz w:val="28"/>
          <w:szCs w:val="28"/>
          <w:highlight w:val="none"/>
          <w:lang w:val="en-US" w:eastAsia="zh-CN" w:bidi="ar"/>
        </w:rPr>
        <w:t xml:space="preserve"> </w:t>
      </w:r>
      <w:r>
        <w:rPr>
          <w:rFonts w:hint="eastAsia" w:ascii="仿宋" w:hAnsi="仿宋" w:eastAsia="仿宋" w:cs="仿宋"/>
          <w:color w:val="auto"/>
          <w:sz w:val="28"/>
          <w:szCs w:val="28"/>
          <w:highlight w:val="none"/>
          <w:u w:val="single"/>
          <w:lang w:val="en-US" w:eastAsia="zh-CN" w:bidi="ar"/>
        </w:rPr>
        <w:t xml:space="preserve">纪巧丽</w:t>
      </w:r>
      <w:r>
        <w:rPr>
          <w:rFonts w:hint="eastAsia" w:ascii="仿宋" w:hAnsi="仿宋" w:eastAsia="仿宋" w:cs="宋体"/>
          <w:color w:val="auto"/>
          <w:sz w:val="28"/>
          <w:szCs w:val="28"/>
          <w:highlight w:val="none"/>
          <w:lang w:val="en-US" w:eastAsia="zh-CN" w:bidi="ar"/>
        </w:rPr>
        <w:t xml:space="preserve"> </w:t>
      </w:r>
      <w:r/>
    </w:p>
    <w:p>
      <w:pPr>
        <w:ind w:left="0" w:right="0" w:firstLine="840"/>
        <w:jc w:val="both"/>
        <w:keepLines w:val="0"/>
        <w:keepNext w:val="0"/>
        <w:spacing w:before="0" w:beforeAutospacing="0" w:after="0" w:afterAutospacing="0"/>
        <w:widowControl w:val="off"/>
        <w:rPr>
          <w:rFonts w:hint="default" w:ascii="Times New Roman" w:hAnsi="Times New Roman" w:eastAsia="宋体" w:cs="Times New Roman"/>
          <w:color w:val="auto"/>
          <w:sz w:val="21"/>
          <w:szCs w:val="21"/>
          <w:highlight w:val="none"/>
        </w:rPr>
        <w:suppressLineNumbers w:val="0"/>
      </w:pPr>
      <w:r>
        <w:rPr>
          <w:rFonts w:hint="eastAsia" w:ascii="仿宋" w:hAnsi="仿宋" w:eastAsia="仿宋" w:cs="仿宋"/>
          <w:color w:val="auto"/>
          <w:sz w:val="28"/>
          <w:szCs w:val="28"/>
          <w:highlight w:val="none"/>
          <w:lang w:val="en-US" w:eastAsia="zh-CN" w:bidi="ar"/>
        </w:rPr>
        <w:t xml:space="preserve">项目经办人联系方式：</w:t>
      </w:r>
      <w:r>
        <w:rPr>
          <w:rFonts w:hint="eastAsia" w:ascii="仿宋" w:hAnsi="仿宋" w:eastAsia="仿宋" w:cs="仿宋"/>
          <w:color w:val="auto"/>
          <w:sz w:val="28"/>
          <w:szCs w:val="28"/>
          <w:highlight w:val="none"/>
          <w:u w:val="single"/>
          <w:lang w:val="en-US" w:eastAsia="zh-CN" w:bidi="ar"/>
        </w:rPr>
        <w:t xml:space="preserve">0513-87610696</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outlineLvl w:val="9"/>
      </w:pPr>
      <w:r>
        <w:rPr>
          <w:rFonts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 1.办理政采贷和履约保函（保险）告知函</w:t>
      </w:r>
      <w:r/>
    </w:p>
    <w:p>
      <w:pPr>
        <w:ind w:firstLine="843"/>
        <w:spacing w:line="500" w:lineRule="exact"/>
        <w:rPr>
          <w:rFonts w:ascii="仿宋" w:hAnsi="仿宋" w:eastAsia="仿宋"/>
          <w:b/>
          <w:color w:val="auto"/>
          <w:sz w:val="28"/>
          <w:szCs w:val="28"/>
          <w:highlight w:val="none"/>
        </w:rPr>
        <w:outlineLvl w:val="9"/>
      </w:pPr>
      <w:r>
        <w:rPr>
          <w:rFonts w:hint="eastAsia" w:ascii="仿宋" w:hAnsi="仿宋" w:eastAsia="仿宋"/>
          <w:b/>
          <w:color w:val="auto"/>
          <w:sz w:val="28"/>
          <w:szCs w:val="28"/>
          <w:highlight w:val="none"/>
        </w:rPr>
        <w:t xml:space="preserve">2.</w:t>
      </w:r>
      <w:r>
        <w:rPr>
          <w:rFonts w:ascii="仿宋" w:hAnsi="仿宋" w:eastAsia="仿宋"/>
          <w:b/>
          <w:color w:val="auto"/>
          <w:sz w:val="28"/>
          <w:szCs w:val="28"/>
          <w:highlight w:val="none"/>
        </w:rPr>
        <w:t xml:space="preserve">招标文件</w:t>
      </w:r>
      <w:r/>
    </w:p>
    <w:p>
      <w:pPr>
        <w:ind w:firstLine="843"/>
        <w:spacing w:line="500" w:lineRule="exact"/>
        <w:rPr>
          <w:rFonts w:ascii="仿宋" w:hAnsi="仿宋" w:eastAsia="仿宋"/>
          <w:b/>
          <w:color w:val="auto"/>
          <w:sz w:val="28"/>
          <w:szCs w:val="28"/>
          <w:highlight w:val="none"/>
        </w:rPr>
        <w:outlineLvl w:val="9"/>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ind w:firstLine="840"/>
        <w:jc w:val="center"/>
        <w:rPr>
          <w:rFonts w:ascii="方正小标宋简体" w:eastAsia="方正小标宋简体"/>
          <w:bCs/>
          <w:color w:val="auto"/>
          <w:sz w:val="32"/>
          <w:szCs w:val="32"/>
          <w:highlight w:val="none"/>
        </w:rPr>
        <w:outlineLvl w:val="0"/>
      </w:pPr>
      <w:r>
        <w:rPr>
          <w:rFonts w:ascii="仿宋" w:hAnsi="仿宋" w:eastAsia="仿宋"/>
          <w:color w:val="auto"/>
          <w:sz w:val="28"/>
          <w:szCs w:val="28"/>
          <w:highlight w:val="none"/>
          <w:u w:val="single"/>
        </w:rPr>
        <w:br w:type="page" w:clear="all"/>
      </w:r>
      <w:bookmarkStart w:id="43" w:name="_Toc29425"/>
      <w:r>
        <w:rPr>
          <w:rFonts w:hint="eastAsia" w:ascii="方正小标宋简体" w:eastAsia="方正小标宋简体"/>
          <w:bCs/>
          <w:color w:val="auto"/>
          <w:sz w:val="32"/>
          <w:szCs w:val="32"/>
          <w:highlight w:val="none"/>
        </w:rPr>
        <w:t xml:space="preserve">第2章 投标须知</w:t>
      </w:r>
      <w:bookmarkEnd w:id="43"/>
      <w:r/>
      <w:r/>
    </w:p>
    <w:p>
      <w:pPr>
        <w:ind w:firstLine="548"/>
        <w:spacing w:line="500" w:lineRule="exact"/>
        <w:rPr>
          <w:rFonts w:ascii="黑体" w:hAnsi="黑体" w:eastAsia="黑体"/>
          <w:color w:val="auto"/>
          <w:sz w:val="28"/>
          <w:szCs w:val="28"/>
          <w:highlight w:val="none"/>
        </w:rPr>
        <w:outlineLvl w:val="1"/>
      </w:pPr>
      <w:r/>
      <w:bookmarkStart w:id="44" w:name="_Toc28134"/>
      <w:r>
        <w:rPr>
          <w:rFonts w:hint="eastAsia" w:ascii="黑体" w:hAnsi="黑体" w:eastAsia="黑体"/>
          <w:color w:val="auto"/>
          <w:sz w:val="28"/>
          <w:szCs w:val="28"/>
          <w:highlight w:val="none"/>
        </w:rPr>
        <w:t xml:space="preserve">1. 投标费用</w:t>
      </w:r>
      <w:bookmarkEnd w:id="44"/>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color w:val="auto"/>
          <w:sz w:val="28"/>
          <w:szCs w:val="28"/>
          <w:highlight w:val="none"/>
        </w:rPr>
        <w:outlineLvl w:val="1"/>
      </w:pPr>
      <w:r/>
      <w:bookmarkStart w:id="45" w:name="_Toc1373"/>
      <w:r>
        <w:rPr>
          <w:rFonts w:hint="eastAsia" w:ascii="黑体" w:hAnsi="黑体" w:eastAsia="黑体"/>
          <w:color w:val="auto"/>
          <w:sz w:val="28"/>
          <w:szCs w:val="28"/>
          <w:highlight w:val="none"/>
        </w:rPr>
        <w:t xml:space="preserve">2. 招标文件的约束力</w:t>
      </w:r>
      <w:bookmarkEnd w:id="45"/>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w:t>
      </w:r>
      <w:r>
        <w:rPr>
          <w:rFonts w:hint="eastAsia" w:ascii="仿宋" w:hAnsi="仿宋" w:eastAsia="仿宋"/>
          <w:color w:val="auto"/>
          <w:sz w:val="28"/>
          <w:szCs w:val="28"/>
          <w:highlight w:val="none"/>
          <w:lang w:eastAsia="zh-CN"/>
        </w:rPr>
        <w:t xml:space="preserve">，以及</w:t>
      </w:r>
      <w:r>
        <w:rPr>
          <w:rFonts w:hint="eastAsia" w:ascii="仿宋" w:hAnsi="仿宋" w:eastAsia="仿宋"/>
          <w:color w:val="auto"/>
          <w:sz w:val="28"/>
          <w:szCs w:val="28"/>
          <w:highlight w:val="none"/>
        </w:rPr>
        <w:t xml:space="preserve">“苏采云”系统相关要求等部分组成。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color w:val="auto"/>
          <w:sz w:val="28"/>
          <w:szCs w:val="28"/>
          <w:highlight w:val="none"/>
        </w:rPr>
        <w:outlineLvl w:val="1"/>
      </w:pPr>
      <w:r/>
      <w:bookmarkStart w:id="46" w:name="_Hlt26670354"/>
      <w:r/>
      <w:bookmarkEnd w:id="46"/>
      <w:r/>
      <w:bookmarkStart w:id="47" w:name="_Hlt26670345"/>
      <w:r/>
      <w:bookmarkEnd w:id="47"/>
      <w:r/>
      <w:bookmarkStart w:id="48" w:name="_Hlt26668969"/>
      <w:r/>
      <w:bookmarkEnd w:id="48"/>
      <w:r/>
      <w:bookmarkStart w:id="49" w:name="_Hlt26954828"/>
      <w:r/>
      <w:bookmarkEnd w:id="49"/>
      <w:r/>
      <w:bookmarkStart w:id="50" w:name="_Hlt26954832"/>
      <w:r/>
      <w:bookmarkEnd w:id="50"/>
      <w:r/>
      <w:bookmarkStart w:id="51" w:name="_Hlt26954830"/>
      <w:r/>
      <w:bookmarkEnd w:id="51"/>
      <w:r/>
      <w:bookmarkStart w:id="52" w:name="_Hlt26670348"/>
      <w:r/>
      <w:bookmarkEnd w:id="52"/>
      <w:r/>
      <w:bookmarkStart w:id="53" w:name="_Toc16226"/>
      <w:r>
        <w:rPr>
          <w:rFonts w:hint="eastAsia" w:ascii="黑体" w:hAnsi="黑体" w:eastAsia="黑体"/>
          <w:color w:val="auto"/>
          <w:sz w:val="28"/>
          <w:szCs w:val="28"/>
          <w:highlight w:val="none"/>
        </w:rPr>
        <w:t xml:space="preserve">3.投标文件编制</w:t>
      </w:r>
      <w:bookmarkEnd w:id="5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除技术性能另有规定外，投标文件所使用的度量衡单位，均须采用国家法定计量单位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 投标文件由开标一览表、资格审查文件、商务技术文件和报价文件等四部分组成，</w:t>
      </w:r>
      <w:r>
        <w:rPr>
          <w:rFonts w:hint="eastAsia" w:ascii="仿宋" w:hAnsi="仿宋" w:eastAsia="仿宋"/>
          <w:bCs/>
          <w:color w:val="auto"/>
          <w:sz w:val="28"/>
          <w:szCs w:val="28"/>
          <w:highlight w:val="none"/>
        </w:rPr>
        <w:t xml:space="preserve">具体按照“第6章 投标文件组成”要求编写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54" w:name="_Toc968"/>
      <w:r>
        <w:rPr>
          <w:rFonts w:hint="eastAsia" w:ascii="黑体" w:hAnsi="黑体" w:eastAsia="黑体"/>
          <w:color w:val="auto"/>
          <w:sz w:val="28"/>
          <w:szCs w:val="28"/>
          <w:highlight w:val="none"/>
        </w:rPr>
        <w:t xml:space="preserve">4. 投标文件提交、撤回和修改</w:t>
      </w:r>
      <w:bookmarkEnd w:id="54"/>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w:t>
      </w:r>
      <w:r>
        <w:rPr>
          <w:rFonts w:hint="eastAsia" w:ascii="仿宋" w:hAnsi="仿宋" w:eastAsia="仿宋"/>
          <w:bCs/>
          <w:color w:val="auto"/>
          <w:sz w:val="28"/>
          <w:szCs w:val="28"/>
          <w:highlight w:val="none"/>
          <w:lang w:eastAsia="zh-CN"/>
        </w:rPr>
        <w:t xml:space="preserve">后果</w:t>
      </w:r>
      <w:r>
        <w:rPr>
          <w:rFonts w:hint="eastAsia" w:ascii="仿宋" w:hAnsi="仿宋" w:eastAsia="仿宋"/>
          <w:bCs/>
          <w:color w:val="auto"/>
          <w:sz w:val="28"/>
          <w:szCs w:val="28"/>
          <w:highlight w:val="none"/>
        </w:rPr>
        <w:t xml:space="preserve">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供应商应当在投标文件提交截止时间前，通过“苏采云”系统提交电子投标文件。逾期提交的投标文件，“苏采云”系统将自动拒收。供应商应</w:t>
      </w:r>
      <w:r>
        <w:rPr>
          <w:rFonts w:hint="eastAsia" w:ascii="仿宋" w:hAnsi="仿宋" w:eastAsia="仿宋"/>
          <w:bCs/>
          <w:color w:val="auto"/>
          <w:sz w:val="28"/>
          <w:szCs w:val="28"/>
          <w:highlight w:val="none"/>
          <w:lang w:eastAsia="zh-CN"/>
        </w:rPr>
        <w:t xml:space="preserve">充分考虑</w:t>
      </w:r>
      <w:r>
        <w:rPr>
          <w:rFonts w:hint="eastAsia" w:ascii="仿宋" w:hAnsi="仿宋" w:eastAsia="仿宋"/>
          <w:bCs/>
          <w:color w:val="auto"/>
          <w:sz w:val="28"/>
          <w:szCs w:val="28"/>
          <w:highlight w:val="none"/>
        </w:rPr>
        <w:t xml:space="preserve">网络环境、网络带宽等风险因素，如因供应商自身原因造成的电子投标文件上传不成功由供应商自行承担全部责任。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供应商可在投标文件提交截止时间前，撤回其电子投标文件，具体操作方法见《江苏省政府采购（供应商）CA数字证书及电子签章办理指南》。供应商撤回电子投标文件的，则认为其不再参与本项目招标活动。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color w:val="auto"/>
          <w:sz w:val="28"/>
          <w:szCs w:val="28"/>
          <w:highlight w:val="none"/>
        </w:rPr>
        <w:outlineLvl w:val="1"/>
      </w:pPr>
      <w:r/>
      <w:bookmarkStart w:id="55" w:name="_Toc17448"/>
      <w:r>
        <w:rPr>
          <w:rFonts w:hint="eastAsia" w:ascii="黑体" w:hAnsi="黑体" w:eastAsia="黑体"/>
          <w:color w:val="auto"/>
          <w:sz w:val="28"/>
          <w:szCs w:val="28"/>
          <w:highlight w:val="none"/>
        </w:rPr>
        <w:t xml:space="preserve">5. 开标和评标</w:t>
      </w:r>
      <w:bookmarkEnd w:id="55"/>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w:t>
      </w:r>
      <w:r>
        <w:rPr>
          <w:rFonts w:hint="eastAsia" w:ascii="仿宋" w:hAnsi="仿宋" w:eastAsia="仿宋"/>
          <w:bCs/>
          <w:color w:val="auto"/>
          <w:sz w:val="28"/>
          <w:szCs w:val="28"/>
          <w:highlight w:val="none"/>
        </w:rPr>
        <w:t xml:space="preserve">供应商在评标全过程中应保持通讯畅通，并安排专人与采购人或采购代理机构及评标委员会联系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5.6 开标结束后，</w:t>
      </w:r>
      <w:r>
        <w:rPr>
          <w:rFonts w:ascii="仿宋" w:hAnsi="仿宋" w:eastAsia="仿宋"/>
          <w:bCs/>
          <w:color w:val="auto"/>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w:t>
      </w:r>
      <w:r>
        <w:rPr>
          <w:rFonts w:ascii="仿宋" w:hAnsi="仿宋" w:eastAsia="仿宋"/>
          <w:color w:val="auto"/>
          <w:sz w:val="28"/>
          <w:szCs w:val="28"/>
          <w:highlight w:val="none"/>
        </w:rPr>
        <w:t xml:space="preserve">评标委员会由采购人代表和评审专家组成，成员人数应当为5人以上单数，其中评审专家不得少于成员总数的三分之二。对于</w:t>
      </w:r>
      <w:r>
        <w:rPr>
          <w:color w:val="auto"/>
          <w:highlight w:val="none"/>
        </w:rPr>
        <w:fldChar w:fldCharType="begin"/>
      </w:r>
      <w:r>
        <w:rPr>
          <w:color w:val="auto"/>
          <w:highlight w:val="none"/>
        </w:rPr>
        <w:instrText xml:space="preserve"> HYPERLINK "https://baike.baidu.com/item/%E9%87%87%E8%B4%AD%E9%A2%84%E7%AE%97/6362950?fromModule=lemma_inlink" \t "_blank" </w:instrText>
      </w:r>
      <w:r>
        <w:rPr>
          <w:color w:val="auto"/>
          <w:highlight w:val="none"/>
        </w:rPr>
        <w:fldChar w:fldCharType="separate"/>
      </w:r>
      <w:r>
        <w:rPr>
          <w:rFonts w:ascii="仿宋" w:hAnsi="仿宋" w:eastAsia="仿宋"/>
          <w:color w:val="auto"/>
          <w:sz w:val="28"/>
          <w:szCs w:val="28"/>
          <w:highlight w:val="none"/>
        </w:rPr>
        <w:t xml:space="preserve">预算</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 xml:space="preserve">金额在1000万元以上</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技术复杂</w:t>
      </w:r>
      <w:r>
        <w:rPr>
          <w:rFonts w:hint="eastAsia" w:ascii="仿宋" w:hAnsi="仿宋" w:eastAsia="仿宋"/>
          <w:color w:val="auto"/>
          <w:sz w:val="28"/>
          <w:szCs w:val="28"/>
          <w:highlight w:val="none"/>
        </w:rPr>
        <w:t xml:space="preserve">或者</w:t>
      </w:r>
      <w:r>
        <w:rPr>
          <w:rFonts w:ascii="仿宋" w:hAnsi="仿宋" w:eastAsia="仿宋"/>
          <w:color w:val="auto"/>
          <w:sz w:val="28"/>
          <w:szCs w:val="28"/>
          <w:highlight w:val="none"/>
        </w:rPr>
        <w:t xml:space="preserve">社会影响较大的采购项目，评标委员会成员人数应当为7人以上单数</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ascii="仿宋" w:hAnsi="仿宋" w:eastAsia="仿宋"/>
          <w:color w:val="auto"/>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ascii="仿宋" w:hAnsi="仿宋" w:eastAsia="仿宋"/>
          <w:color w:val="auto"/>
          <w:sz w:val="28"/>
          <w:szCs w:val="28"/>
          <w:highlight w:val="none"/>
        </w:rPr>
        <w:t xml:space="preserve">对技术复杂、专业性强的采购项目，通过随机方式难以确定合适评审专家的，经主管</w:t>
      </w:r>
      <w:r>
        <w:rPr>
          <w:color w:val="auto"/>
          <w:highlight w:val="none"/>
        </w:rPr>
        <w:fldChar w:fldCharType="begin"/>
      </w:r>
      <w:r>
        <w:rPr>
          <w:color w:val="auto"/>
          <w:highlight w:val="none"/>
        </w:rPr>
        <w:instrText xml:space="preserve"> HYPERLINK "https://baike.baidu.com/item/%E9%A2%84%E7%AE%97%E5%8D%95%E4%BD%8D/2793664?fromModule=lemma_inlink" \t "_blank" </w:instrText>
      </w:r>
      <w:r>
        <w:rPr>
          <w:color w:val="auto"/>
          <w:highlight w:val="none"/>
        </w:rPr>
        <w:fldChar w:fldCharType="separate"/>
      </w:r>
      <w:r>
        <w:rPr>
          <w:rFonts w:ascii="仿宋" w:hAnsi="仿宋" w:eastAsia="仿宋"/>
          <w:color w:val="auto"/>
          <w:sz w:val="28"/>
          <w:szCs w:val="28"/>
          <w:highlight w:val="none"/>
        </w:rPr>
        <w:t xml:space="preserve">预算单位</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 xml:space="preserve">同意，采购人可以自行选定相应专业领域的评审专家。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 除了第5.9条规定的情形之外，</w:t>
      </w:r>
      <w:r>
        <w:rPr>
          <w:rFonts w:ascii="仿宋" w:hAnsi="仿宋" w:eastAsia="仿宋"/>
          <w:color w:val="auto"/>
          <w:sz w:val="28"/>
          <w:szCs w:val="28"/>
          <w:highlight w:val="none"/>
        </w:rPr>
        <w:t xml:space="preserve">评审专家对本单位的采购项目只能作为采购人代表参与评标。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5.13 </w:t>
      </w:r>
      <w:r>
        <w:rPr>
          <w:rFonts w:hint="eastAsia" w:ascii="仿宋" w:hAnsi="仿宋" w:eastAsia="仿宋"/>
          <w:bCs/>
          <w:color w:val="auto"/>
          <w:sz w:val="28"/>
          <w:szCs w:val="28"/>
          <w:highlight w:val="none"/>
        </w:rPr>
        <w:t xml:space="preserve">接到澄清要求的供应商，应在评标委员会规定的时间内做出澄清，澄清的内容作为投标文件的补充部分，</w:t>
      </w:r>
      <w:r>
        <w:rPr>
          <w:rFonts w:hint="eastAsia" w:ascii="仿宋" w:hAnsi="仿宋" w:eastAsia="仿宋"/>
          <w:color w:val="auto"/>
          <w:sz w:val="28"/>
          <w:szCs w:val="28"/>
          <w:highlight w:val="none"/>
        </w:rPr>
        <w:t xml:space="preserve">但澄清、说明或者更正不得超出投标文件的范围或者改变投标文件的实质性内容。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5.14评标委员会认为投标人的报价明显低于其他通过符合性审查投标人的报价，有可能影响产品质量或者不能诚信履约的，可以通过视频会议，要求供应商在合理的时间内提供说明，必要时提交相关证明材料。</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5.15.2大写金额和小写金额不一致的，以大写金额为准；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5.18</w:t>
      </w:r>
      <w:r>
        <w:rPr>
          <w:rFonts w:ascii="仿宋" w:hAnsi="仿宋" w:eastAsia="仿宋"/>
          <w:color w:val="auto"/>
          <w:sz w:val="28"/>
          <w:szCs w:val="28"/>
          <w:highlight w:val="none"/>
        </w:rPr>
        <w:t xml:space="preserve"> 评标结果汇总完成后，除</w:t>
      </w:r>
      <w:r>
        <w:rPr>
          <w:rFonts w:hint="eastAsia" w:ascii="仿宋" w:hAnsi="仿宋" w:eastAsia="仿宋"/>
          <w:color w:val="auto"/>
          <w:sz w:val="28"/>
          <w:szCs w:val="28"/>
          <w:highlight w:val="none"/>
        </w:rPr>
        <w:t xml:space="preserve">了</w:t>
      </w:r>
      <w:r>
        <w:rPr>
          <w:rFonts w:ascii="仿宋" w:hAnsi="仿宋" w:eastAsia="仿宋"/>
          <w:color w:val="auto"/>
          <w:sz w:val="28"/>
          <w:szCs w:val="28"/>
          <w:highlight w:val="none"/>
        </w:rPr>
        <w:t xml:space="preserve">分值汇总计算错误</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分项评分超出评分标准范围</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评标委员会成员对客观评审因素评分不一致</w:t>
      </w:r>
      <w:r>
        <w:rPr>
          <w:rFonts w:hint="eastAsia" w:ascii="仿宋" w:hAnsi="仿宋" w:eastAsia="仿宋"/>
          <w:color w:val="auto"/>
          <w:sz w:val="28"/>
          <w:szCs w:val="28"/>
          <w:highlight w:val="none"/>
          <w:lang w:eastAsia="zh-CN"/>
        </w:rPr>
        <w:t xml:space="preserve">，或者</w:t>
      </w:r>
      <w:r>
        <w:rPr>
          <w:rFonts w:ascii="仿宋" w:hAnsi="仿宋" w:eastAsia="仿宋"/>
          <w:color w:val="auto"/>
          <w:sz w:val="28"/>
          <w:szCs w:val="28"/>
          <w:highlight w:val="none"/>
        </w:rPr>
        <w:t xml:space="preserve">经评标委员会认定评分畸高、畸低</w:t>
      </w:r>
      <w:r>
        <w:rPr>
          <w:rFonts w:hint="eastAsia" w:ascii="仿宋" w:hAnsi="仿宋" w:eastAsia="仿宋"/>
          <w:color w:val="auto"/>
          <w:sz w:val="28"/>
          <w:szCs w:val="28"/>
          <w:highlight w:val="none"/>
        </w:rPr>
        <w:t xml:space="preserve">等</w:t>
      </w:r>
      <w:r>
        <w:rPr>
          <w:rFonts w:ascii="仿宋" w:hAnsi="仿宋" w:eastAsia="仿宋"/>
          <w:color w:val="auto"/>
          <w:sz w:val="28"/>
          <w:szCs w:val="28"/>
          <w:highlight w:val="none"/>
        </w:rPr>
        <w:t xml:space="preserve">情形之外，任何人不得修改评标结果</w:t>
      </w:r>
      <w:r>
        <w:rPr>
          <w:rFonts w:hint="eastAsia"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56" w:name="_Toc27521"/>
      <w:r>
        <w:rPr>
          <w:rFonts w:hint="eastAsia" w:ascii="黑体" w:hAnsi="黑体" w:eastAsia="黑体"/>
          <w:color w:val="auto"/>
          <w:sz w:val="28"/>
          <w:szCs w:val="28"/>
          <w:highlight w:val="none"/>
        </w:rPr>
        <w:t xml:space="preserve">6. 中标和合同</w:t>
      </w:r>
      <w:bookmarkEnd w:id="5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outlineLvl w:val="1"/>
      </w:pPr>
      <w:r/>
      <w:bookmarkStart w:id="57" w:name="_Toc18556"/>
      <w:r>
        <w:rPr>
          <w:rFonts w:hint="eastAsia" w:ascii="黑体" w:hAnsi="黑体" w:eastAsia="黑体"/>
          <w:bCs/>
          <w:color w:val="auto"/>
          <w:sz w:val="28"/>
          <w:szCs w:val="28"/>
          <w:highlight w:val="none"/>
        </w:rPr>
        <w:t xml:space="preserve">7.政府采购政策功能落实</w:t>
      </w:r>
      <w:bookmarkEnd w:id="57"/>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货物类或者服务类采购项目，采购人、采购代理机构应当对符合《政府采购促进中小企业发展管理办法》（财库〔2020〕46号）规定的小微企业报价给予10%的扣除；给予用扣除后的价格参加评审。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w:t>
      </w:r>
      <w:r>
        <w:rPr>
          <w:rFonts w:hint="eastAsia" w:ascii="仿宋" w:hAnsi="仿宋" w:eastAsia="仿宋"/>
          <w:color w:val="auto"/>
          <w:sz w:val="28"/>
          <w:szCs w:val="28"/>
          <w:highlight w:val="none"/>
          <w:lang w:eastAsia="zh-CN"/>
        </w:rPr>
        <w:t xml:space="preserve">采购包</w:t>
      </w:r>
      <w:r>
        <w:rPr>
          <w:rFonts w:hint="eastAsia" w:ascii="仿宋" w:hAnsi="仿宋" w:eastAsia="仿宋"/>
          <w:color w:val="auto"/>
          <w:sz w:val="28"/>
          <w:szCs w:val="28"/>
          <w:highlight w:val="none"/>
        </w:rPr>
        <w:t xml:space="preserve">的货物类或者服务类采购项目，对于联合协议或者</w:t>
      </w:r>
      <w:r>
        <w:rPr>
          <w:rFonts w:hint="eastAsia" w:ascii="仿宋" w:hAnsi="仿宋" w:eastAsia="仿宋"/>
          <w:color w:val="auto"/>
          <w:sz w:val="28"/>
          <w:szCs w:val="28"/>
          <w:highlight w:val="none"/>
          <w:lang w:eastAsia="zh-CN"/>
        </w:rPr>
        <w:t xml:space="preserve">采购包</w:t>
      </w:r>
      <w:r>
        <w:rPr>
          <w:rFonts w:hint="eastAsia" w:ascii="仿宋" w:hAnsi="仿宋" w:eastAsia="仿宋"/>
          <w:color w:val="auto"/>
          <w:sz w:val="28"/>
          <w:szCs w:val="28"/>
          <w:highlight w:val="none"/>
        </w:rPr>
        <w:t xml:space="preserve">意向协议约定小微企业的合同份额占到合同总金额 30%以上的，采购人、采购代理机构应当对联合体或者大中型企业的报价给予 4%的扣除；用扣除后的价格参加评审。组成联合体或者接受</w:t>
      </w:r>
      <w:r>
        <w:rPr>
          <w:rFonts w:hint="eastAsia" w:ascii="仿宋" w:hAnsi="仿宋" w:eastAsia="仿宋"/>
          <w:color w:val="auto"/>
          <w:sz w:val="28"/>
          <w:szCs w:val="28"/>
          <w:highlight w:val="none"/>
          <w:lang w:eastAsia="zh-CN"/>
        </w:rPr>
        <w:t xml:space="preserve">采购包</w:t>
      </w:r>
      <w:r>
        <w:rPr>
          <w:rFonts w:hint="eastAsia" w:ascii="仿宋" w:hAnsi="仿宋" w:eastAsia="仿宋"/>
          <w:color w:val="auto"/>
          <w:sz w:val="28"/>
          <w:szCs w:val="28"/>
          <w:highlight w:val="none"/>
        </w:rPr>
        <w:t xml:space="preserve">的小微企业与联合体内其他企业、</w:t>
      </w:r>
      <w:r>
        <w:rPr>
          <w:rFonts w:hint="eastAsia" w:ascii="仿宋" w:hAnsi="仿宋" w:eastAsia="仿宋"/>
          <w:color w:val="auto"/>
          <w:sz w:val="28"/>
          <w:szCs w:val="28"/>
          <w:highlight w:val="none"/>
          <w:lang w:eastAsia="zh-CN"/>
        </w:rPr>
        <w:t xml:space="preserve">采购包</w:t>
      </w:r>
      <w:r>
        <w:rPr>
          <w:rFonts w:hint="eastAsia" w:ascii="仿宋" w:hAnsi="仿宋" w:eastAsia="仿宋"/>
          <w:color w:val="auto"/>
          <w:sz w:val="28"/>
          <w:szCs w:val="28"/>
          <w:highlight w:val="none"/>
        </w:rPr>
        <w:t xml:space="preserve">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w:t>
      </w:r>
      <w:r>
        <w:rPr>
          <w:rFonts w:hint="eastAsia" w:ascii="仿宋" w:hAnsi="仿宋" w:eastAsia="仿宋"/>
          <w:color w:val="auto"/>
          <w:sz w:val="28"/>
          <w:szCs w:val="28"/>
          <w:highlight w:val="none"/>
          <w:lang w:eastAsia="zh-CN"/>
        </w:rPr>
        <w:t xml:space="preserve">供的</w:t>
      </w:r>
      <w:r>
        <w:rPr>
          <w:rFonts w:hint="eastAsia" w:ascii="仿宋" w:hAnsi="仿宋" w:eastAsia="仿宋"/>
          <w:color w:val="auto"/>
          <w:sz w:val="28"/>
          <w:szCs w:val="28"/>
          <w:highlight w:val="none"/>
        </w:rPr>
        <w:t xml:space="preserve">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891"/>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行业名称</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指标名称</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计量</w:t>
            </w:r>
            <w:r/>
          </w:p>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单位</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中型</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小型</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auto"/>
                <w:highlight w:val="none"/>
              </w:rPr>
              <w:suppressLineNumbers w:val="0"/>
            </w:pPr>
            <w:r>
              <w:rPr>
                <w:rFonts w:hint="default" w:ascii="仿宋" w:hAnsi="仿宋" w:eastAsia="仿宋"/>
                <w:b/>
                <w:color w:val="auto"/>
                <w:highlight w:val="none"/>
              </w:rPr>
              <w:t xml:space="preserve">微型</w:t>
            </w:r>
            <w:r/>
          </w:p>
        </w:tc>
      </w:tr>
      <w:tr>
        <w:trPr>
          <w:cantSplit/>
          <w:jc w:val="center"/>
        </w:trPr>
        <w:tc>
          <w:tcPr>
            <w:tcW w:w="219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农、林、牧、渔</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500≤Y&lt;20000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50≤Y&lt;500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Y&lt;50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工业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300≤X&lt;1000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20≤X&lt;300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X&lt;20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2000≤Y&lt;40000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300≤Y&lt;2000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Y&lt;300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建筑业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6000≤Y&lt;80000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300≤Y&lt;6000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Y&lt;300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资产</w:t>
            </w:r>
            <w:r>
              <w:rPr>
                <w:rFonts w:hint="default"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5000≤Z &lt;80000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300≤Z &lt;5000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Z&lt;300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批发业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20≤X&lt;200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5≤X&lt;20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X&lt;5</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5000≤Y&lt;50000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1000≤Y&lt;5000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零售业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50≤X&lt;300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10≤X&lt;50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500≤Y&lt;20000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100≤Y&lt;500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交通</w:t>
            </w:r>
            <w:r>
              <w:rPr>
                <w:rFonts w:hint="default" w:ascii="仿宋" w:hAnsi="仿宋" w:eastAsia="仿宋"/>
                <w:color w:val="auto"/>
                <w:highlight w:val="none"/>
              </w:rPr>
              <w:t xml:space="preserve">运输业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300≤X&lt;1000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20≤X&lt;300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X&lt;20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3000≤Y&lt;30000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200≤Y&lt;3000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Y&lt;200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仓储</w:t>
            </w:r>
            <w:r>
              <w:rPr>
                <w:rFonts w:hint="default" w:ascii="仿宋" w:hAnsi="仿宋" w:eastAsia="仿宋"/>
                <w:color w:val="auto"/>
                <w:highlight w:val="none"/>
              </w:rPr>
              <w:t xml:space="preserve">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100≤X&lt;200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20≤X&lt;100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X&lt;20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1000≤Y&lt;30000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100≤Y&lt;1000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邮</w:t>
            </w:r>
            <w:r>
              <w:rPr>
                <w:rFonts w:hint="default" w:ascii="仿宋" w:hAnsi="仿宋" w:eastAsia="仿宋"/>
                <w:color w:val="auto"/>
                <w:highlight w:val="none"/>
              </w:rPr>
              <w:t xml:space="preserve">政业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300≤X&lt;1000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20≤X&lt;300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X&lt;20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2000≤Y&lt;30000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100≤Y&lt;2000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住</w:t>
            </w:r>
            <w:r>
              <w:rPr>
                <w:rFonts w:hint="default" w:ascii="仿宋" w:hAnsi="仿宋" w:eastAsia="仿宋"/>
                <w:color w:val="auto"/>
                <w:highlight w:val="none"/>
              </w:rPr>
              <w:t xml:space="preserve">宿业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2000≤Y&lt;10000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100≤Y&lt;2000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餐饮</w:t>
            </w:r>
            <w:r>
              <w:rPr>
                <w:rFonts w:hint="default" w:ascii="仿宋" w:hAnsi="仿宋" w:eastAsia="仿宋"/>
                <w:color w:val="auto"/>
                <w:highlight w:val="none"/>
              </w:rPr>
              <w:t xml:space="preserve">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2000≤Y&lt;10000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100≤Y&lt;2000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信息</w:t>
            </w:r>
            <w:r>
              <w:rPr>
                <w:rFonts w:hint="default" w:ascii="仿宋" w:hAnsi="仿宋" w:eastAsia="仿宋"/>
                <w:color w:val="auto"/>
                <w:highlight w:val="none"/>
              </w:rPr>
              <w:t xml:space="preserve">传输业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100≤X&lt;2000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1000≤Y&lt;100000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100≤Y&lt;1000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219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仿宋" w:hAnsi="仿宋" w:eastAsia="仿宋"/>
                <w:color w:val="auto"/>
                <w:highlight w:val="none"/>
              </w:rPr>
              <w:suppressLineNumbers w:val="0"/>
            </w:pPr>
            <w:r>
              <w:rPr>
                <w:rFonts w:hint="eastAsia" w:ascii="仿宋" w:hAnsi="仿宋" w:eastAsia="仿宋"/>
                <w:color w:val="auto"/>
                <w:highlight w:val="none"/>
              </w:rPr>
              <w:t xml:space="preserve">软件</w:t>
            </w:r>
            <w:r>
              <w:rPr>
                <w:rFonts w:hint="default" w:ascii="仿宋" w:hAnsi="仿宋" w:eastAsia="仿宋"/>
                <w:color w:val="auto"/>
                <w:highlight w:val="none"/>
              </w:rPr>
              <w:t xml:space="preserve">和信息技术服务业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1000≤Y&lt;10000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50≤Y&lt;1000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Y&lt;50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房</w:t>
            </w:r>
            <w:r>
              <w:rPr>
                <w:rFonts w:hint="default" w:ascii="仿宋" w:hAnsi="仿宋" w:eastAsia="仿宋"/>
                <w:color w:val="auto"/>
                <w:highlight w:val="none"/>
              </w:rPr>
              <w:t xml:space="preserve">地产开发经营</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1000≤Y&lt;200000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100≤Y&lt;1000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Y&lt;100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资产</w:t>
            </w:r>
            <w:r>
              <w:rPr>
                <w:rFonts w:hint="default"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5000≤Z &lt;10000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2000≤Z &lt;5000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Z&lt;2000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物业管理</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300≤X&lt;1000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1000≤Y&lt;5000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500≤Y&lt;1000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Y&lt;500</w:t>
            </w:r>
            <w:r/>
          </w:p>
        </w:tc>
      </w:tr>
      <w:tr>
        <w:trPr>
          <w:cantSplit/>
          <w:jc w:val="center"/>
        </w:trPr>
        <w:tc>
          <w:tcPr>
            <w:tcW w:w="219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租赁</w:t>
            </w:r>
            <w:r>
              <w:rPr>
                <w:rFonts w:hint="default" w:ascii="仿宋" w:hAnsi="仿宋" w:eastAsia="仿宋"/>
                <w:color w:val="auto"/>
                <w:highlight w:val="none"/>
              </w:rPr>
              <w:t xml:space="preserve">和商务服务业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r>
        <w:trPr>
          <w:cantSplit/>
          <w:jc w:val="center"/>
        </w:trPr>
        <w:tc>
          <w:tcPr>
            <w:tcW w:w="219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资产</w:t>
            </w:r>
            <w:r>
              <w:rPr>
                <w:rFonts w:hint="default"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万元</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8000≤Z &lt;120000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100≤Z &lt;8000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Z&lt;100</w:t>
            </w:r>
            <w:r/>
          </w:p>
        </w:tc>
      </w:tr>
      <w:tr>
        <w:trPr>
          <w:cantSplit/>
          <w:jc w:val="center"/>
        </w:trPr>
        <w:tc>
          <w:tcPr>
            <w:tcW w:w="219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eastAsia" w:ascii="仿宋" w:hAnsi="仿宋" w:eastAsia="仿宋"/>
                <w:color w:val="auto"/>
                <w:highlight w:val="none"/>
              </w:rPr>
              <w:t xml:space="preserve">其</w:t>
            </w:r>
            <w:r>
              <w:rPr>
                <w:rFonts w:hint="default" w:ascii="仿宋" w:hAnsi="仿宋" w:eastAsia="仿宋"/>
                <w:color w:val="auto"/>
                <w:highlight w:val="none"/>
              </w:rPr>
              <w:t xml:space="preserve">他未列明行业</w:t>
            </w:r>
            <w:r/>
          </w:p>
        </w:tc>
        <w:tc>
          <w:tcPr>
            <w:tcW w:w="1625"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highlight w:val="none"/>
              </w:rPr>
              <w:suppressLineNumbers w:val="0"/>
            </w:pPr>
            <w:r>
              <w:rPr>
                <w:rFonts w:hint="default" w:ascii="仿宋" w:hAnsi="仿宋" w:eastAsia="仿宋"/>
                <w:color w:val="auto"/>
                <w:highlight w:val="none"/>
              </w:rPr>
              <w:t xml:space="preserve">人</w:t>
            </w:r>
            <w:r/>
          </w:p>
        </w:tc>
        <w:tc>
          <w:tcPr>
            <w:tcW w:w="205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100≤X&lt;300</w:t>
            </w:r>
            <w:r/>
          </w:p>
        </w:tc>
        <w:tc>
          <w:tcPr>
            <w:tcW w:w="1765"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10≤X&lt;100</w:t>
            </w:r>
            <w:r/>
          </w:p>
        </w:tc>
        <w:tc>
          <w:tcPr>
            <w:tcW w:w="1164"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auto"/>
                <w:highlight w:val="none"/>
              </w:rPr>
              <w:suppressLineNumbers w:val="0"/>
            </w:pPr>
            <w:r>
              <w:rPr>
                <w:rFonts w:hint="default"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w:t>
      </w:r>
      <w:r>
        <w:rPr>
          <w:rFonts w:hint="eastAsia" w:ascii="仿宋" w:hAnsi="仿宋" w:eastAsia="仿宋"/>
          <w:color w:val="auto"/>
          <w:highlight w:val="none"/>
          <w:lang w:eastAsia="zh-CN"/>
        </w:rPr>
        <w:t xml:space="preserve">只需</w:t>
      </w:r>
      <w:r>
        <w:rPr>
          <w:rFonts w:hint="eastAsia" w:ascii="仿宋" w:hAnsi="仿宋" w:eastAsia="仿宋"/>
          <w:color w:val="auto"/>
          <w:highlight w:val="none"/>
        </w:rPr>
        <w:t xml:space="preserve">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设区的市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含新疆生产建设兵团</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w:t>
      </w:r>
      <w:r>
        <w:rPr>
          <w:rFonts w:hint="eastAsia" w:ascii="仿宋" w:hAnsi="仿宋" w:eastAsia="仿宋"/>
          <w:color w:val="auto"/>
          <w:sz w:val="28"/>
          <w:szCs w:val="28"/>
          <w:highlight w:val="none"/>
          <w:lang w:eastAsia="zh-CN"/>
        </w:rPr>
        <w:t xml:space="preserve">冷却</w:t>
      </w:r>
      <w:r>
        <w:rPr>
          <w:rFonts w:hint="eastAsia" w:ascii="仿宋" w:hAnsi="仿宋" w:eastAsia="仿宋"/>
          <w:color w:val="auto"/>
          <w:sz w:val="28"/>
          <w:szCs w:val="28"/>
          <w:highlight w:val="none"/>
        </w:rPr>
        <w:t xml:space="preserve">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 根据《江苏省政府采购供应商监督管理暂行办法》的规定，诚信记录分每减10分，给予本项目总分值2%的扣分，扣分最多不超过本项目总分值6%。</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7.7.商品包装环保要求：应当按《关于印发〈商品包装政府采购需求标准（试行）〉、〈快递包装政府采购需求标准（试行）〉的通知》（财办库〔2020〕123号）文件执行。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7.7.1商品包装层数不得超过</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3 层，空隙率不大于 40%；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7.7.2商品包装尽可能使用单一材质的包装材料，如因功能需求必需使用不同材质，不同材质间应便于分离；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7.7.3商品包装中铅、汞、镉、六价铬的总含量应不大于100mg/kg；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7.7.4商品包装印刷使用的油墨中挥发性有机化合物（VOCs）含量应不大于 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7.7.5塑料材质商品包装上呈现的印刷颜色不得超过</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6 色；</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7.7.6纸质商品包装应使用</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75%以上的可再生纤维原料生产；</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7.7.7木质商品包装的原料应来源于可持续性森林。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7.8快递包装环保要求：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7.8.1快递包装中重金属（铅、汞、镉、六价铬）总量应不大于</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7.8.2快递包装印刷使用的油墨中不应添加邻苯二甲酸酯，其挥发性有机化合物（VOCs）含量应不大于5%（以重量计）；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7.8.3快递包装中使用纸基材的包装材料，纸基材中的有机氯的含量应不大于</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150 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7.8.5快递中使用的塑料包装袋不得使用聚氯乙烯作为原料，且原料应为单一材质制成，生物分解率大于60%；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7.8.6快递中使用的充气类填充物不得使用聚氯乙烯作为原料，且原料为单一材质制成，生物分解率大于60%；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7.8.7快递中使用的集装袋应为单一材质制成，其重复使用次数应不小于</w:t>
      </w:r>
      <w:r>
        <w:rPr>
          <w:rFonts w:hint="eastAsia" w:ascii="仿宋" w:hAnsi="仿宋" w:eastAsia="仿宋" w:cs="Times New Roman"/>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en-US" w:eastAsia="zh-CN" w:bidi="ar"/>
        </w:rPr>
        <w:t xml:space="preserve">80 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7.8.8快递中应使用幅宽不大于45mm 的生物降解胶带；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7.8.9快递包装中不得使用溶剂型胶粘剂；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7.8.10快递应使用电子面单；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7.8.11直接使用商品包装作为快递包装的商品，其商品包装满足《商品包装政府采购需求标准（试行）》即可；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7.8.12快递包装产品质量和封装方式应符合相关国家或行业标准技术指标要求。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7.9绿色数据中心（如有）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7.9.1采购数据中心相关设备、运维服务，应当有利于节约能源、环境保护和资源循环利用。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7.9.3成交供应商未按合同约定提供设备或服务的，采购人依法追究其违约责任。对供应商提供虚假材料谋取中标、成交的，依法由相关部门予以处理。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7.12绿色低碳管理目标和服务要求：在物业、合同能源管理等服务类采购项目中，要强化绿色低碳管理目标和服务要求，促进绿色产品和服务推广应用。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7.12商务技术分部分新增：（综合评分法需增加相关内容）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含量的有效证明材料，不提供不得分）。</w:t>
      </w:r>
      <w:r/>
    </w:p>
    <w:p>
      <w:pPr>
        <w:ind w:firstLine="560"/>
        <w:spacing w:line="500" w:lineRule="exact"/>
        <w:rPr>
          <w:rFonts w:ascii="黑体" w:hAnsi="黑体" w:eastAsia="黑体"/>
          <w:bCs/>
          <w:color w:val="auto"/>
          <w:sz w:val="28"/>
          <w:szCs w:val="28"/>
          <w:highlight w:val="none"/>
        </w:rPr>
        <w:outlineLvl w:val="1"/>
      </w:pPr>
      <w:r/>
      <w:bookmarkStart w:id="58" w:name="_Toc21287"/>
      <w:r>
        <w:rPr>
          <w:rFonts w:hint="eastAsia" w:ascii="黑体" w:hAnsi="黑体" w:eastAsia="黑体"/>
          <w:bCs/>
          <w:color w:val="auto"/>
          <w:sz w:val="28"/>
          <w:szCs w:val="28"/>
          <w:highlight w:val="none"/>
        </w:rPr>
        <w:t xml:space="preserve">8.无效投标和招标活动终止</w:t>
      </w:r>
      <w:bookmarkEnd w:id="5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出现下列情形之一的，作无效投标处理。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不具备招标文件中规定的资格要求的。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和招标文件中规定的其他实质性要求的。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投标文件含有采购人不能接受的附加条件的。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环境标志产品品目清单”强制采购范围，而供应商所投标产品不在强制采购范围内的。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投标文件未按照招标文件要求加盖电子签章。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供应商在系统规定的时间内未成功解密电子投标文件的。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未完整上传投标文件电子文档的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不同的供应商投标文件制作机器码、文件创建标识码一致的。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 不同投标人委托同一单位或者个人办理投标事宜。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8.1.16其他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及本招标文件规定的属无效投标的情形。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出现下列情形之一的，本次招标活动将被终止：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合格</w:t>
      </w:r>
      <w:r>
        <w:rPr>
          <w:rFonts w:ascii="仿宋" w:hAnsi="仿宋" w:eastAsia="仿宋"/>
          <w:color w:val="auto"/>
          <w:sz w:val="28"/>
          <w:szCs w:val="28"/>
          <w:highlight w:val="none"/>
        </w:rPr>
        <w:t xml:space="preserve">投标人不足</w:t>
      </w:r>
      <w:r>
        <w:rPr>
          <w:rFonts w:hint="eastAsia" w:ascii="仿宋" w:hAnsi="仿宋" w:eastAsia="仿宋"/>
          <w:color w:val="auto"/>
          <w:sz w:val="28"/>
          <w:szCs w:val="28"/>
          <w:highlight w:val="none"/>
        </w:rPr>
        <w:t xml:space="preserve">3家</w:t>
      </w:r>
      <w:r>
        <w:rPr>
          <w:rFonts w:ascii="仿宋" w:hAnsi="仿宋" w:eastAsia="仿宋"/>
          <w:color w:val="auto"/>
          <w:sz w:val="28"/>
          <w:szCs w:val="28"/>
          <w:highlight w:val="none"/>
        </w:rPr>
        <w:t xml:space="preserve">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因重大变故，采购任务取消的。</w:t>
      </w:r>
      <w:r/>
    </w:p>
    <w:p>
      <w:pPr>
        <w:ind w:firstLine="560"/>
        <w:spacing w:line="500" w:lineRule="exact"/>
        <w:rPr>
          <w:rFonts w:ascii="黑体" w:hAnsi="黑体" w:eastAsia="黑体"/>
          <w:color w:val="auto"/>
          <w:sz w:val="28"/>
          <w:szCs w:val="28"/>
          <w:highlight w:val="none"/>
        </w:rPr>
        <w:outlineLvl w:val="1"/>
      </w:pPr>
      <w:r/>
      <w:bookmarkStart w:id="59" w:name="_Toc15941"/>
      <w:r>
        <w:rPr>
          <w:rFonts w:hint="eastAsia" w:ascii="黑体" w:hAnsi="黑体" w:eastAsia="黑体"/>
          <w:color w:val="auto"/>
          <w:sz w:val="28"/>
          <w:szCs w:val="28"/>
          <w:highlight w:val="none"/>
        </w:rPr>
        <w:t xml:space="preserve">9. 询问、质疑和投诉</w:t>
      </w:r>
      <w:bookmarkEnd w:id="59"/>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，见招标文件第</w:t>
      </w:r>
      <w:r>
        <w:rPr>
          <w:rFonts w:hint="eastAsia" w:ascii="仿宋" w:hAnsi="仿宋" w:eastAsia="仿宋"/>
          <w:b/>
          <w:color w:val="auto"/>
          <w:sz w:val="28"/>
          <w:szCs w:val="28"/>
          <w:highlight w:val="none"/>
        </w:rPr>
        <w:t xml:space="preserve">1章</w:t>
      </w:r>
      <w:r>
        <w:rPr>
          <w:rFonts w:ascii="仿宋" w:hAnsi="仿宋" w:eastAsia="仿宋"/>
          <w:b/>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质疑函</w:t>
      </w:r>
      <w:r/>
    </w:p>
    <w:p>
      <w:pPr>
        <w:spacing w:line="360" w:lineRule="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地址：邮编：</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联系人：联系电话：</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授权代表：联系电话：</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地址：邮编：</w:t>
      </w:r>
      <w:r/>
    </w:p>
    <w:p>
      <w:pPr>
        <w:spacing w:line="360" w:lineRule="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质疑项目的编号：包号：</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p>
    <w:p>
      <w:pPr>
        <w:spacing w:line="360" w:lineRule="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p>
    <w:p>
      <w:pPr>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签字</w:t>
      </w:r>
      <w:r>
        <w:rPr>
          <w:rFonts w:hint="eastAsia" w:ascii="仿宋_GB2312" w:eastAsia="仿宋_GB2312"/>
          <w:color w:val="auto"/>
          <w:sz w:val="24"/>
          <w:szCs w:val="24"/>
          <w:highlight w:val="none"/>
          <w:lang w:eastAsia="zh-CN"/>
        </w:rPr>
        <w:t xml:space="preserve">（</w:t>
      </w:r>
      <w:r>
        <w:rPr>
          <w:rFonts w:hint="eastAsia" w:ascii="仿宋_GB2312" w:eastAsia="仿宋_GB2312"/>
          <w:color w:val="auto"/>
          <w:sz w:val="24"/>
          <w:szCs w:val="24"/>
          <w:highlight w:val="none"/>
        </w:rPr>
        <w:t xml:space="preserve">签章</w:t>
      </w:r>
      <w:r>
        <w:rPr>
          <w:rFonts w:hint="eastAsia" w:ascii="仿宋_GB2312" w:eastAsia="仿宋_GB2312"/>
          <w:color w:val="auto"/>
          <w:sz w:val="24"/>
          <w:szCs w:val="24"/>
          <w:highlight w:val="none"/>
          <w:lang w:eastAsia="zh-CN"/>
        </w:rPr>
        <w:t xml:space="preserve">）</w:t>
      </w:r>
      <w:r>
        <w:rPr>
          <w:rFonts w:hint="eastAsia" w:ascii="仿宋_GB2312" w:eastAsia="仿宋_GB2312"/>
          <w:color w:val="auto"/>
          <w:sz w:val="24"/>
          <w:szCs w:val="24"/>
          <w:highlight w:val="none"/>
        </w:rPr>
        <w:t xml:space="preserve">：              公章：                      </w:t>
      </w:r>
      <w:r/>
    </w:p>
    <w:p>
      <w:pPr>
        <w:ind w:right="560" w:firstLine="480"/>
        <w:spacing w:line="500" w:lineRule="exact"/>
        <w:rPr>
          <w:rFonts w:ascii="仿宋" w:hAnsi="仿宋" w:eastAsia="仿宋"/>
          <w:color w:val="auto"/>
          <w:sz w:val="24"/>
          <w:szCs w:val="24"/>
          <w:highlight w:val="none"/>
        </w:rPr>
      </w:pPr>
      <w:r>
        <w:rPr>
          <w:rFonts w:hint="eastAsia" w:ascii="仿宋_GB2312" w:eastAsia="仿宋_GB2312"/>
          <w:color w:val="auto"/>
          <w:sz w:val="24"/>
          <w:szCs w:val="24"/>
          <w:highlight w:val="none"/>
        </w:rPr>
        <w:t xml:space="preserve">日期：</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9.11 投诉人投诉时</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应当提交投诉书和必要的证明材料，并按照被投诉采购人、采购代理机构（以下简称被投诉人）和与投诉事项有关的供应商数量提供投诉书的副本。</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9.12 </w:t>
      </w:r>
      <w:r>
        <w:rPr>
          <w:rFonts w:ascii="仿宋" w:hAnsi="仿宋" w:eastAsia="仿宋"/>
          <w:color w:val="auto"/>
          <w:sz w:val="24"/>
          <w:szCs w:val="24"/>
          <w:highlight w:val="none"/>
        </w:rPr>
        <w:t xml:space="preserve">投诉人投诉时</w:t>
      </w:r>
      <w:r>
        <w:rPr>
          <w:rFonts w:hint="eastAsia" w:ascii="仿宋" w:hAnsi="仿宋" w:eastAsia="仿宋"/>
          <w:color w:val="auto"/>
          <w:sz w:val="24"/>
          <w:szCs w:val="24"/>
          <w:highlight w:val="none"/>
          <w:lang w:eastAsia="zh-CN"/>
        </w:rPr>
        <w:t xml:space="preserve">，</w:t>
      </w:r>
      <w:r>
        <w:rPr>
          <w:rFonts w:ascii="仿宋" w:hAnsi="仿宋" w:eastAsia="仿宋"/>
          <w:color w:val="auto"/>
          <w:sz w:val="24"/>
          <w:szCs w:val="24"/>
          <w:highlight w:val="none"/>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4"/>
          <w:szCs w:val="24"/>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480"/>
        <w:jc w:val="left"/>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9.13 投诉人应当将投诉书送达如皋市财政局政府采购管理科（</w:t>
      </w:r>
      <w:r>
        <w:rPr>
          <w:rFonts w:ascii="仿宋" w:hAnsi="仿宋" w:eastAsia="仿宋"/>
          <w:color w:val="auto"/>
          <w:sz w:val="24"/>
          <w:szCs w:val="24"/>
          <w:highlight w:val="none"/>
        </w:rPr>
        <w:t xml:space="preserve">如皋市解放路199号，行政中心</w:t>
      </w:r>
      <w:r>
        <w:rPr>
          <w:rFonts w:hint="eastAsia" w:ascii="仿宋" w:hAnsi="仿宋" w:eastAsia="仿宋"/>
          <w:color w:val="auto"/>
          <w:sz w:val="24"/>
          <w:szCs w:val="24"/>
          <w:highlight w:val="none"/>
        </w:rPr>
        <w:t xml:space="preserve">A座814室，联系电话0513-87623860）。</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9.14 投诉书范本</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投诉书</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一、投诉相关主体基本情况</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投诉人：</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地     址：邮编：</w:t>
      </w:r>
      <w:r/>
    </w:p>
    <w:p>
      <w:pPr>
        <w:jc w:val="left"/>
        <w:tabs>
          <w:tab w:val="left" w:pos="6510" w:leader="none"/>
        </w:tabs>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法定代表人/主要负责人：联系电话：</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授权代表：联系电话：</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地     址：邮编：</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被投诉人1：</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地     址：邮编：</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联系人：联系电话：</w:t>
      </w:r>
      <w:r/>
    </w:p>
    <w:p>
      <w:pPr>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被投诉人2</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相关供应商：</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地     址：邮编：</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联系人：联系电话：</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二、投诉项目基本情况</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采购项目名称：</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采购项目编号：包号：</w:t>
      </w:r>
      <w:r/>
    </w:p>
    <w:p>
      <w:pPr>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采购人名称：</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代理机构名称：</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采购文件公告</w:t>
      </w:r>
      <w:r>
        <w:rPr>
          <w:rFonts w:hint="eastAsia" w:ascii="仿宋_GB2312" w:eastAsia="仿宋_GB2312"/>
          <w:color w:val="auto"/>
          <w:sz w:val="24"/>
          <w:szCs w:val="24"/>
          <w:highlight w:val="none"/>
          <w:lang w:eastAsia="zh-CN"/>
        </w:rPr>
        <w:t xml:space="preserve">：</w:t>
      </w:r>
      <w:r>
        <w:rPr>
          <w:rFonts w:hint="eastAsia" w:ascii="仿宋_GB2312" w:eastAsia="仿宋_GB2312"/>
          <w:color w:val="auto"/>
          <w:sz w:val="24"/>
          <w:szCs w:val="24"/>
          <w:highlight w:val="none"/>
          <w:u w:val="single"/>
        </w:rPr>
        <w:t xml:space="preserve">是/否 </w:t>
      </w:r>
      <w:r>
        <w:rPr>
          <w:rFonts w:hint="eastAsia" w:ascii="仿宋_GB2312" w:eastAsia="仿宋_GB2312"/>
          <w:color w:val="auto"/>
          <w:sz w:val="24"/>
          <w:szCs w:val="24"/>
          <w:highlight w:val="none"/>
        </w:rPr>
        <w:t xml:space="preserve">公告期限：</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采购结果公告</w:t>
      </w:r>
      <w:r>
        <w:rPr>
          <w:rFonts w:hint="eastAsia" w:ascii="仿宋_GB2312" w:eastAsia="仿宋_GB2312"/>
          <w:color w:val="auto"/>
          <w:sz w:val="24"/>
          <w:szCs w:val="24"/>
          <w:highlight w:val="none"/>
          <w:lang w:eastAsia="zh-CN"/>
        </w:rPr>
        <w:t xml:space="preserve">：</w:t>
      </w:r>
      <w:r>
        <w:rPr>
          <w:rFonts w:hint="eastAsia" w:ascii="仿宋_GB2312" w:eastAsia="仿宋_GB2312"/>
          <w:color w:val="auto"/>
          <w:sz w:val="24"/>
          <w:szCs w:val="24"/>
          <w:highlight w:val="none"/>
          <w:u w:val="single"/>
        </w:rPr>
        <w:t xml:space="preserve">是/否 </w:t>
      </w:r>
      <w:r>
        <w:rPr>
          <w:rFonts w:hint="eastAsia" w:ascii="仿宋_GB2312" w:eastAsia="仿宋_GB2312"/>
          <w:color w:val="auto"/>
          <w:sz w:val="24"/>
          <w:szCs w:val="24"/>
          <w:highlight w:val="none"/>
        </w:rPr>
        <w:t xml:space="preserve">公告期限：</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三、质疑基本情况</w:t>
      </w:r>
      <w:r/>
    </w:p>
    <w:p>
      <w:pPr>
        <w:ind w:firstLine="480"/>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投诉人于年月日,向</w:t>
      </w:r>
      <w:r>
        <w:rPr>
          <w:rFonts w:hint="eastAsia" w:ascii="仿宋_GB2312" w:eastAsia="仿宋_GB2312"/>
          <w:color w:val="auto"/>
          <w:sz w:val="24"/>
          <w:szCs w:val="24"/>
          <w:highlight w:val="none"/>
          <w:u w:val="single"/>
          <w:lang w:val="en-US" w:eastAsia="zh-CN"/>
        </w:rPr>
        <w:t xml:space="preserve">     </w:t>
      </w:r>
      <w:r>
        <w:rPr>
          <w:rFonts w:hint="eastAsia" w:ascii="仿宋_GB2312" w:eastAsia="仿宋_GB2312"/>
          <w:color w:val="auto"/>
          <w:sz w:val="24"/>
          <w:szCs w:val="24"/>
          <w:highlight w:val="none"/>
        </w:rPr>
        <w:t xml:space="preserve">提出质疑，质疑事项为：</w:t>
      </w:r>
      <w:r/>
    </w:p>
    <w:p>
      <w:pPr>
        <w:rPr>
          <w:rFonts w:ascii="仿宋_GB2312" w:eastAsia="仿宋_GB2312"/>
          <w:color w:val="auto"/>
          <w:sz w:val="24"/>
          <w:szCs w:val="24"/>
          <w:highlight w:val="none"/>
          <w:u w:val="single"/>
        </w:rPr>
      </w:pPr>
      <w:r>
        <w:rPr>
          <w:rFonts w:ascii="仿宋_GB2312" w:eastAsia="仿宋_GB2312"/>
          <w:color w:val="auto"/>
          <w:sz w:val="24"/>
          <w:szCs w:val="24"/>
          <w:highlight w:val="none"/>
          <w:u w:val="single"/>
        </w:rPr>
      </w:r>
      <w:r/>
    </w:p>
    <w:p>
      <w:pPr>
        <w:ind w:firstLine="360"/>
        <w:rPr>
          <w:rFonts w:ascii="仿宋_GB2312" w:eastAsia="仿宋_GB2312"/>
          <w:color w:val="auto"/>
          <w:sz w:val="24"/>
          <w:szCs w:val="24"/>
          <w:highlight w:val="none"/>
        </w:rPr>
      </w:pPr>
      <w:r>
        <w:rPr>
          <w:rFonts w:hint="eastAsia" w:ascii="仿宋_GB2312" w:eastAsia="仿宋_GB2312"/>
          <w:color w:val="auto"/>
          <w:sz w:val="24"/>
          <w:szCs w:val="24"/>
          <w:highlight w:val="none"/>
          <w:u w:val="single"/>
        </w:rPr>
        <w:t xml:space="preserve">采购人/代理机构</w:t>
      </w:r>
      <w:r>
        <w:rPr>
          <w:rFonts w:hint="eastAsia" w:ascii="仿宋_GB2312" w:eastAsia="仿宋_GB2312"/>
          <w:color w:val="auto"/>
          <w:sz w:val="24"/>
          <w:szCs w:val="24"/>
          <w:highlight w:val="none"/>
        </w:rPr>
        <w:t xml:space="preserve">于年月日</w:t>
      </w:r>
      <w:r>
        <w:rPr>
          <w:rFonts w:hint="eastAsia" w:ascii="仿宋_GB2312" w:eastAsia="仿宋_GB2312"/>
          <w:color w:val="auto"/>
          <w:sz w:val="24"/>
          <w:szCs w:val="24"/>
          <w:highlight w:val="none"/>
          <w:lang w:eastAsia="zh-CN"/>
        </w:rPr>
        <w:t xml:space="preserve">，</w:t>
      </w:r>
      <w:r>
        <w:rPr>
          <w:rFonts w:hint="eastAsia" w:ascii="仿宋_GB2312" w:eastAsia="仿宋_GB2312"/>
          <w:color w:val="auto"/>
          <w:sz w:val="24"/>
          <w:szCs w:val="24"/>
          <w:highlight w:val="none"/>
        </w:rPr>
        <w:t xml:space="preserve">就质疑事项作出了答复/没有在法定期限内作出答复。</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四、投诉事项具体内容</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投诉事项 1：</w:t>
      </w:r>
      <w:r/>
    </w:p>
    <w:p>
      <w:pPr>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事实依据：</w:t>
      </w:r>
      <w:r/>
    </w:p>
    <w:p>
      <w:pPr>
        <w:rPr>
          <w:rFonts w:ascii="仿宋_GB2312" w:eastAsia="仿宋_GB2312"/>
          <w:color w:val="auto"/>
          <w:sz w:val="24"/>
          <w:szCs w:val="24"/>
          <w:highlight w:val="none"/>
          <w:u w:val="single"/>
        </w:rPr>
      </w:pPr>
      <w:r>
        <w:rPr>
          <w:rFonts w:ascii="仿宋_GB2312" w:eastAsia="仿宋_GB2312"/>
          <w:color w:val="auto"/>
          <w:sz w:val="24"/>
          <w:szCs w:val="24"/>
          <w:highlight w:val="none"/>
          <w:u w:val="single"/>
        </w:rPr>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法律依据：</w:t>
      </w:r>
      <w:r/>
    </w:p>
    <w:p>
      <w:pPr>
        <w:rPr>
          <w:rFonts w:ascii="仿宋_GB2312" w:eastAsia="仿宋_GB2312"/>
          <w:color w:val="auto"/>
          <w:sz w:val="24"/>
          <w:szCs w:val="24"/>
          <w:highlight w:val="none"/>
          <w:u w:val="single"/>
        </w:rPr>
      </w:pPr>
      <w:r>
        <w:rPr>
          <w:rFonts w:ascii="仿宋_GB2312" w:eastAsia="仿宋_GB2312"/>
          <w:color w:val="auto"/>
          <w:sz w:val="24"/>
          <w:szCs w:val="24"/>
          <w:highlight w:val="none"/>
          <w:u w:val="single"/>
        </w:rPr>
      </w:r>
      <w:r/>
    </w:p>
    <w:p>
      <w:pPr>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投诉事项2</w:t>
      </w:r>
      <w:r/>
    </w:p>
    <w:p>
      <w:pPr>
        <w:rPr>
          <w:rFonts w:ascii="仿宋_GB2312" w:eastAsia="仿宋_GB2312"/>
          <w:color w:val="auto"/>
          <w:sz w:val="24"/>
          <w:szCs w:val="24"/>
          <w:highlight w:val="none"/>
          <w:u w:val="single"/>
        </w:rPr>
      </w:pPr>
      <w:r>
        <w:rPr>
          <w:rFonts w:hint="eastAsia" w:ascii="仿宋_GB2312" w:eastAsia="仿宋_GB2312"/>
          <w:color w:val="auto"/>
          <w:sz w:val="24"/>
          <w:szCs w:val="24"/>
          <w:highlight w:val="none"/>
        </w:rPr>
        <w:t xml:space="preserve">……</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五、与投诉事项相关的投诉请求</w:t>
      </w:r>
      <w:r/>
    </w:p>
    <w:p>
      <w:pPr>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请求：</w:t>
      </w:r>
      <w:r/>
    </w:p>
    <w:p>
      <w:pPr>
        <w:rPr>
          <w:rFonts w:ascii="仿宋_GB2312" w:eastAsia="仿宋_GB2312"/>
          <w:color w:val="auto"/>
          <w:sz w:val="24"/>
          <w:szCs w:val="24"/>
          <w:highlight w:val="none"/>
          <w:u w:val="single"/>
        </w:rPr>
      </w:pPr>
      <w:r>
        <w:rPr>
          <w:rFonts w:ascii="仿宋_GB2312" w:eastAsia="仿宋_GB2312"/>
          <w:color w:val="auto"/>
          <w:sz w:val="24"/>
          <w:szCs w:val="24"/>
          <w:highlight w:val="none"/>
          <w:u w:val="single"/>
        </w:rPr>
      </w:r>
      <w:r/>
    </w:p>
    <w:p>
      <w:pPr>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签字</w:t>
      </w:r>
      <w:r>
        <w:rPr>
          <w:rFonts w:hint="eastAsia" w:ascii="仿宋_GB2312" w:eastAsia="仿宋_GB2312"/>
          <w:color w:val="auto"/>
          <w:sz w:val="24"/>
          <w:szCs w:val="24"/>
          <w:highlight w:val="none"/>
          <w:lang w:eastAsia="zh-CN"/>
        </w:rPr>
        <w:t xml:space="preserve">（</w:t>
      </w:r>
      <w:r>
        <w:rPr>
          <w:rFonts w:hint="eastAsia" w:ascii="仿宋_GB2312" w:eastAsia="仿宋_GB2312"/>
          <w:color w:val="auto"/>
          <w:sz w:val="24"/>
          <w:szCs w:val="24"/>
          <w:highlight w:val="none"/>
        </w:rPr>
        <w:t xml:space="preserve">签章</w:t>
      </w:r>
      <w:r>
        <w:rPr>
          <w:rFonts w:hint="eastAsia" w:ascii="仿宋_GB2312" w:eastAsia="仿宋_GB2312"/>
          <w:color w:val="auto"/>
          <w:sz w:val="24"/>
          <w:szCs w:val="24"/>
          <w:highlight w:val="none"/>
          <w:lang w:eastAsia="zh-CN"/>
        </w:rPr>
        <w:t xml:space="preserve">）</w:t>
      </w:r>
      <w:r>
        <w:rPr>
          <w:rFonts w:hint="eastAsia" w:ascii="仿宋_GB2312" w:eastAsia="仿宋_GB2312"/>
          <w:color w:val="auto"/>
          <w:sz w:val="24"/>
          <w:szCs w:val="24"/>
          <w:highlight w:val="none"/>
        </w:rPr>
        <w:t xml:space="preserve">：                   公章：                      </w:t>
      </w:r>
      <w:r/>
    </w:p>
    <w:p>
      <w:pPr>
        <w:ind w:firstLine="480"/>
        <w:spacing w:line="500" w:lineRule="exact"/>
        <w:rPr>
          <w:rFonts w:ascii="仿宋" w:hAnsi="仿宋" w:eastAsia="仿宋"/>
          <w:color w:val="auto"/>
          <w:sz w:val="24"/>
          <w:szCs w:val="24"/>
          <w:highlight w:val="none"/>
        </w:rPr>
      </w:pPr>
      <w:r>
        <w:rPr>
          <w:rFonts w:hint="eastAsia" w:ascii="仿宋_GB2312" w:eastAsia="仿宋_GB2312"/>
          <w:color w:val="auto"/>
          <w:sz w:val="24"/>
          <w:szCs w:val="24"/>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bookmarkStart w:id="60" w:name="_Toc19392"/>
      <w:r>
        <w:rPr>
          <w:rFonts w:hint="eastAsia" w:ascii="黑体" w:hAnsi="黑体" w:eastAsia="黑体"/>
          <w:color w:val="auto"/>
          <w:sz w:val="28"/>
          <w:szCs w:val="28"/>
          <w:highlight w:val="none"/>
        </w:rPr>
        <w:t xml:space="preserve">10. 政府采购合同信用融资扶持政策</w:t>
      </w:r>
      <w:bookmarkEnd w:id="60"/>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中标供应商如需获得合同信用融资支持，可凭政府采购合同办理“政采贷”融资贷款，详情请见南通市政府采购网 “易企服”综合服务平台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金融产品全周期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贷款产品专栏。</w:t>
      </w:r>
      <w:r/>
    </w:p>
    <w:p>
      <w:pPr>
        <w:ind w:firstLine="560"/>
        <w:spacing w:line="500" w:lineRule="exact"/>
        <w:rPr>
          <w:rFonts w:ascii="黑体" w:hAnsi="黑体" w:eastAsia="黑体"/>
          <w:color w:val="auto"/>
          <w:sz w:val="28"/>
          <w:szCs w:val="28"/>
          <w:highlight w:val="none"/>
        </w:rPr>
        <w:outlineLvl w:val="1"/>
      </w:pPr>
      <w:r/>
      <w:bookmarkStart w:id="61" w:name="_Toc9792"/>
      <w:r>
        <w:rPr>
          <w:rFonts w:hint="eastAsia" w:ascii="黑体" w:hAnsi="黑体" w:eastAsia="黑体"/>
          <w:color w:val="auto"/>
          <w:sz w:val="28"/>
          <w:szCs w:val="28"/>
          <w:highlight w:val="none"/>
        </w:rPr>
        <w:t xml:space="preserve">11. 采购代理服务费</w:t>
      </w:r>
      <w:bookmarkEnd w:id="61"/>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 采购代理服务费收取标准：采购代理服务费以成交价为基数，采用差额定率累进法（100万元以下部分，费率为1.5%；100万元（含）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500万元部分，费率为1.1%；500万元（含）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1000万元部分,费率为0.8%；1000万元（含）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5000万元部分,费率为0.5%；）分段计算后汇总，不足叁仟按叁仟元计取，由中标供应商承担。本项目预算中包含此费用，投标供应商在报价中需考虑此费用的代付，采购人不再另行支付。</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（1）收款单位名称为：南通泾天纬地项目管理有限公司；</w:t>
      </w:r>
      <w:r/>
    </w:p>
    <w:p>
      <w:pPr>
        <w:ind w:firstLine="560"/>
        <w:jc w:val="left"/>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（2）账户号码：32050164723600005459；</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（3）开户行：建设银行如皋支行，行号：105306200016；</w:t>
      </w:r>
      <w:r/>
    </w:p>
    <w:p>
      <w:pPr>
        <w:ind w:firstLine="560"/>
        <w:spacing w:line="500" w:lineRule="exact"/>
        <w:rPr>
          <w:rFonts w:hint="eastAsia" w:ascii="仿宋" w:hAnsi="仿宋" w:eastAsia="仿宋"/>
          <w:color w:val="auto"/>
          <w:sz w:val="28"/>
          <w:szCs w:val="28"/>
          <w:highlight w:val="none"/>
        </w:rPr>
        <w:outlineLvl w:val="1"/>
      </w:pPr>
      <w:r/>
      <w:bookmarkStart w:id="62" w:name="_Toc32669"/>
      <w:r>
        <w:rPr>
          <w:rFonts w:hint="eastAsia" w:ascii="黑体" w:hAnsi="黑体" w:eastAsia="黑体"/>
          <w:color w:val="auto"/>
          <w:sz w:val="28"/>
          <w:szCs w:val="28"/>
          <w:highlight w:val="none"/>
        </w:rPr>
        <w:t xml:space="preserve">1</w:t>
      </w:r>
      <w:r>
        <w:rPr>
          <w:rFonts w:hint="eastAsia" w:ascii="黑体" w:hAnsi="黑体" w:eastAsia="黑体"/>
          <w:color w:val="auto"/>
          <w:sz w:val="28"/>
          <w:szCs w:val="28"/>
          <w:highlight w:val="none"/>
          <w:lang w:val="en-US" w:eastAsia="zh-CN"/>
        </w:rPr>
        <w:t xml:space="preserve">2</w:t>
      </w:r>
      <w:r>
        <w:rPr>
          <w:rFonts w:hint="eastAsia" w:ascii="黑体" w:hAnsi="黑体" w:eastAsia="黑体"/>
          <w:color w:val="auto"/>
          <w:sz w:val="28"/>
          <w:szCs w:val="28"/>
          <w:highlight w:val="none"/>
        </w:rPr>
        <w:t xml:space="preserve">.其他事项</w:t>
      </w:r>
      <w:bookmarkEnd w:id="62"/>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（一）产品要求：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（二）产品品牌与型号：</w:t>
      </w:r>
      <w:r/>
    </w:p>
    <w:p>
      <w:pPr>
        <w:ind w:left="0" w:right="0" w:firstLine="560"/>
        <w:jc w:val="both"/>
        <w:keepLines w:val="0"/>
        <w:keepNext w:val="0"/>
        <w:spacing w:before="0" w:beforeAutospacing="0" w:after="0" w:afterAutospacing="0" w:line="500" w:lineRule="exact"/>
        <w:widowControl w:val="off"/>
        <w:rPr>
          <w:rFonts w:ascii="仿宋" w:hAnsi="仿宋" w:eastAsia="仿宋"/>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供应商响应文件中必须明确主要产品的品牌、规格型号、性能指标等内容，可附产品介绍图文资料。供应商响应文件未明确主要产品的品牌、规格型号、性能指标等内容的，视为无效响应文件。</w:t>
      </w:r>
      <w:bookmarkEnd w:id="6"/>
      <w:r/>
      <w:r/>
    </w:p>
    <w:p>
      <w:pPr>
        <w:jc w:val="center"/>
        <w:spacing w:line="600" w:lineRule="exact"/>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63" w:name="_Toc9180"/>
      <w:r>
        <w:rPr>
          <w:rFonts w:hint="eastAsia" w:ascii="方正小标宋简体" w:eastAsia="方正小标宋简体"/>
          <w:bCs/>
          <w:color w:val="auto"/>
          <w:sz w:val="32"/>
          <w:szCs w:val="32"/>
          <w:highlight w:val="none"/>
        </w:rPr>
        <w:t xml:space="preserve">第3章 采购需求</w:t>
      </w:r>
      <w:bookmarkEnd w:id="63"/>
      <w:r/>
      <w:r/>
    </w:p>
    <w:p>
      <w:pPr>
        <w:ind w:firstLine="562"/>
        <w:jc w:val="center"/>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投标人在制作投标文件时仔细研究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w:t>
      </w:r>
      <w:r>
        <w:rPr>
          <w:rFonts w:hint="eastAsia" w:ascii="仿宋" w:hAnsi="仿宋" w:eastAsia="仿宋"/>
          <w:b/>
          <w:bCs/>
          <w:color w:val="auto"/>
          <w:sz w:val="28"/>
          <w:szCs w:val="28"/>
          <w:highlight w:val="none"/>
          <w:lang w:eastAsia="zh-CN"/>
        </w:rPr>
        <w:t xml:space="preserve">：</w:t>
      </w:r>
      <w:r>
        <w:rPr>
          <w:rFonts w:ascii="仿宋" w:hAnsi="仿宋" w:eastAsia="仿宋"/>
          <w:b/>
          <w:bCs/>
          <w:color w:val="auto"/>
          <w:sz w:val="28"/>
          <w:szCs w:val="28"/>
          <w:highlight w:val="none"/>
        </w:rPr>
        <w:t xml:space="preserve">技术要求是指对采购标的功能和质量要求，包括性能、材料、结构、外观、安全，或者服务内容和标准等</w:t>
      </w:r>
      <w:r>
        <w:rPr>
          <w:rFonts w:hint="eastAsia" w:ascii="仿宋" w:hAnsi="仿宋" w:eastAsia="仿宋"/>
          <w:b/>
          <w:bCs/>
          <w:color w:val="auto"/>
          <w:sz w:val="28"/>
          <w:szCs w:val="28"/>
          <w:highlight w:val="none"/>
          <w:lang w:eastAsia="zh-CN"/>
        </w:rPr>
        <w:t xml:space="preserve">；</w:t>
      </w:r>
      <w:r>
        <w:rPr>
          <w:rFonts w:ascii="仿宋" w:hAnsi="仿宋" w:eastAsia="仿宋"/>
          <w:b/>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olor w:val="auto"/>
          <w:sz w:val="28"/>
          <w:szCs w:val="28"/>
          <w:highlight w:val="none"/>
        </w:rPr>
      </w:pPr>
      <w:r>
        <w:rPr>
          <w:rFonts w:ascii="仿宋" w:hAnsi="仿宋" w:eastAsia="仿宋"/>
          <w:b/>
          <w:bCs/>
          <w:color w:val="auto"/>
          <w:sz w:val="28"/>
          <w:szCs w:val="28"/>
          <w:highlight w:val="none"/>
        </w:rPr>
        <w:t xml:space="preserve">投标人不能简单照搬照抄招标文件项目需求说明中的技术、商务要求，必须</w:t>
      </w:r>
      <w:r>
        <w:rPr>
          <w:rFonts w:hint="eastAsia" w:ascii="仿宋" w:hAnsi="仿宋" w:eastAsia="仿宋"/>
          <w:b/>
          <w:bCs/>
          <w:color w:val="auto"/>
          <w:sz w:val="28"/>
          <w:szCs w:val="28"/>
          <w:highlight w:val="none"/>
          <w:lang w:eastAsia="zh-CN"/>
        </w:rPr>
        <w:t xml:space="preserve">做</w:t>
      </w:r>
      <w:r>
        <w:rPr>
          <w:rFonts w:ascii="仿宋" w:hAnsi="仿宋" w:eastAsia="仿宋"/>
          <w:b/>
          <w:bCs/>
          <w:color w:val="auto"/>
          <w:sz w:val="28"/>
          <w:szCs w:val="28"/>
          <w:highlight w:val="none"/>
        </w:rPr>
        <w:t xml:space="preserve">实事求是</w:t>
      </w:r>
      <w:r>
        <w:rPr>
          <w:rFonts w:hint="eastAsia" w:ascii="仿宋" w:hAnsi="仿宋" w:eastAsia="仿宋"/>
          <w:b/>
          <w:bCs/>
          <w:color w:val="auto"/>
          <w:sz w:val="28"/>
          <w:szCs w:val="28"/>
          <w:highlight w:val="none"/>
          <w:lang w:eastAsia="zh-CN"/>
        </w:rPr>
        <w:t xml:space="preserve">地</w:t>
      </w:r>
      <w:r>
        <w:rPr>
          <w:rFonts w:ascii="仿宋" w:hAnsi="仿宋" w:eastAsia="仿宋"/>
          <w:b/>
          <w:bCs/>
          <w:color w:val="auto"/>
          <w:sz w:val="28"/>
          <w:szCs w:val="28"/>
          <w:highlight w:val="none"/>
        </w:rPr>
        <w:t xml:space="preserve">响应。如投标人提供的货物和服务同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64" w:name="_Toc9550"/>
      <w:r>
        <w:rPr>
          <w:rFonts w:hint="eastAsia" w:ascii="黑体" w:hAnsi="黑体" w:eastAsia="黑体"/>
          <w:color w:val="auto"/>
          <w:sz w:val="28"/>
          <w:szCs w:val="28"/>
          <w:highlight w:val="none"/>
        </w:rPr>
        <w:t xml:space="preserve">一、项目简介</w:t>
      </w:r>
      <w:bookmarkEnd w:id="64"/>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本项目为南通市如皋生态环境局采购检测设备一批。包括：实验分析设备、现场监测及应急监测等仪器。</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本项目分为三个采购包，投标人可参与一个或多个采购包的竞争，但只能中其中一个采购包。评审时按采购包一、采购包二、采购包三的顺序依次评审，已经成为采购包1第一中标候选人的投标人不得成为采购包2的第一中标候选人，其余类推。</w:t>
      </w:r>
      <w:r/>
    </w:p>
    <w:p>
      <w:pPr>
        <w:ind w:firstLine="560"/>
        <w:spacing w:line="500" w:lineRule="exact"/>
        <w:rPr>
          <w:rFonts w:ascii="黑体" w:hAnsi="黑体" w:eastAsia="黑体"/>
          <w:color w:val="auto"/>
          <w:sz w:val="28"/>
          <w:szCs w:val="28"/>
          <w:highlight w:val="none"/>
        </w:rPr>
        <w:outlineLvl w:val="1"/>
      </w:pPr>
      <w:r/>
      <w:bookmarkStart w:id="65" w:name="_Toc6366"/>
      <w:r>
        <w:rPr>
          <w:rFonts w:hint="eastAsia" w:ascii="黑体" w:hAnsi="黑体" w:eastAsia="黑体"/>
          <w:color w:val="auto"/>
          <w:sz w:val="28"/>
          <w:szCs w:val="28"/>
          <w:highlight w:val="none"/>
        </w:rPr>
        <w:t xml:space="preserve">二、采购内容</w:t>
      </w:r>
      <w:bookmarkEnd w:id="65"/>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本项目分为三个采购包，具体如下：</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（一）采购包一</w:t>
      </w:r>
      <w:r/>
    </w:p>
    <w:tbl>
      <w:tblPr>
        <w:tblStyle w:val="910"/>
        <w:tblW w:w="8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9"/>
        <w:gridCol w:w="931"/>
        <w:gridCol w:w="2850"/>
        <w:gridCol w:w="1140"/>
        <w:gridCol w:w="1589"/>
        <w:gridCol w:w="833"/>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类别</w:t>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单价最高限价（万元）</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restart"/>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实验分析</w:t>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万分之一分析天平</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color w:val="auto"/>
                <w:sz w:val="24"/>
                <w:szCs w:val="24"/>
                <w:highlight w:val="none"/>
                <w:lang w:val="en-US" w:eastAsia="zh-CN"/>
              </w:rPr>
              <w:suppressLineNumbers w:val="0"/>
            </w:pPr>
            <w:r>
              <w:rPr>
                <w:rFonts w:hint="default" w:ascii="仿宋" w:hAnsi="仿宋" w:eastAsia="仿宋" w:cs="仿宋"/>
                <w:color w:val="auto"/>
                <w:sz w:val="24"/>
                <w:szCs w:val="24"/>
                <w:highlight w:val="none"/>
                <w:lang w:val="en-US" w:eastAsia="zh-CN"/>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全自动石墨炉消解仪</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color w:val="auto"/>
                <w:sz w:val="24"/>
                <w:szCs w:val="24"/>
                <w:highlight w:val="none"/>
                <w:lang w:val="en-US"/>
              </w:rPr>
              <w:suppressLineNumbers w:val="0"/>
            </w:pPr>
            <w:r>
              <w:rPr>
                <w:rFonts w:hint="default" w:ascii="仿宋" w:hAnsi="仿宋" w:eastAsia="仿宋" w:cs="仿宋"/>
                <w:color w:val="auto"/>
                <w:sz w:val="24"/>
                <w:szCs w:val="24"/>
                <w:highlight w:val="none"/>
                <w:lang w:val="en-U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COD自动分析仪</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
              </w:rPr>
              <w:t xml:space="preserve">22.5</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总磷、总氮自动检测仪</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960"/>
              <w:jc w:val="both"/>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台式pH计</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降尘自动蒸发仪</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全自动氨氮分析仪</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960"/>
              <w:jc w:val="both"/>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漩涡混匀器</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全自动热脱附仪</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全自动阴离子表面活性剂/挥发酚测定仪</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隔水式恒温培养箱</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电热恒温鼓风干燥箱</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全自动气袋清洗器</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离子活度计</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高锰酸盐指数自动分析仪</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全自动氰化物分析仪</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气相分子吸收光谱仪</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931" w:type="dxa"/>
            <w:vAlign w:val="center"/>
            <w:vMerge w:val="continue"/>
            <w:textDirection w:val="lrTb"/>
            <w:noWrap w:val="false"/>
          </w:tcPr>
          <w:p>
            <w:pPr>
              <w:ind w:left="0" w:right="0"/>
              <w:jc w:val="both"/>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超纯水机</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gridSpan w:val="5"/>
            <w:shd w:val="clear" w:color="auto" w:fill="auto"/>
            <w:tcBorders>
              <w:top w:val="single" w:color="auto" w:sz="4" w:space="0"/>
              <w:left w:val="single" w:color="auto" w:sz="4" w:space="0"/>
              <w:bottom w:val="single" w:color="auto" w:sz="4" w:space="0"/>
              <w:right w:val="single" w:color="auto" w:sz="4" w:space="0"/>
            </w:tcBorders>
            <w:tcW w:w="723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最高限价：282.32万元  </w:t>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r>
            <w:r/>
          </w:p>
        </w:tc>
      </w:tr>
    </w:tbl>
    <w:p>
      <w:pPr>
        <w:ind w:firstLine="560"/>
        <w:spacing w:line="500" w:lineRule="exact"/>
        <w:rPr>
          <w:rFonts w:hint="eastAsia"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采购包一核心产品为：</w:t>
      </w:r>
      <w:r>
        <w:rPr>
          <w:rFonts w:hint="eastAsia" w:ascii="仿宋" w:hAnsi="仿宋" w:eastAsia="仿宋"/>
          <w:color w:val="auto"/>
          <w:sz w:val="28"/>
          <w:szCs w:val="28"/>
          <w:highlight w:val="none"/>
          <w:u w:val="single"/>
          <w:lang w:val="en-US" w:eastAsia="zh-CN"/>
        </w:rPr>
        <w:t xml:space="preserve">全自动热脱附仪</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（二）采购包二</w:t>
      </w:r>
      <w:r/>
    </w:p>
    <w:tbl>
      <w:tblPr>
        <w:tblStyle w:val="891"/>
        <w:tblW w:w="8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51" w:type="dxa"/>
          <w:top w:w="0" w:type="dxa"/>
          <w:right w:w="51" w:type="dxa"/>
          <w:bottom w:w="0" w:type="dxa"/>
        </w:tblCellMar>
        <w:tblLook w:val="04A0" w:firstRow="1" w:lastRow="0" w:firstColumn="1" w:lastColumn="0" w:noHBand="0" w:noVBand="1"/>
      </w:tblPr>
      <w:tblGrid>
        <w:gridCol w:w="621"/>
        <w:gridCol w:w="881"/>
        <w:gridCol w:w="3681"/>
        <w:gridCol w:w="727"/>
        <w:gridCol w:w="1457"/>
        <w:gridCol w:w="712"/>
      </w:tblGrid>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368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7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4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单价最高限价（万元）</w:t>
            </w:r>
            <w:r/>
          </w:p>
        </w:tc>
        <w:tc>
          <w:tcPr>
            <w:shd w:val="clear" w:color="auto" w:fill="auto"/>
            <w:tcBorders>
              <w:top w:val="single" w:color="auto" w:sz="4" w:space="0"/>
              <w:left w:val="none" w:color="000000" w:sz="4" w:space="0"/>
              <w:bottom w:val="single" w:color="auto" w:sz="4"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rPr>
              <w:t xml:space="preserve">备注</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实验分析</w:t>
            </w:r>
            <w:r/>
          </w:p>
        </w:tc>
        <w:tc>
          <w:tcPr>
            <w:shd w:val="clear" w:color="auto" w:fill="auto"/>
            <w:tcBorders>
              <w:top w:val="single" w:color="auto" w:sz="4" w:space="0"/>
              <w:left w:val="none" w:color="000000" w:sz="4" w:space="0"/>
              <w:bottom w:val="single" w:color="auto" w:sz="4" w:space="0"/>
              <w:right w:val="single" w:color="auto" w:sz="4" w:space="0"/>
            </w:tcBorders>
            <w:tcW w:w="368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气相色谱仪+气体进样装置+顶空进样器+</w:t>
            </w:r>
            <w:r>
              <w:rPr>
                <w:rFonts w:hint="eastAsia" w:ascii="仿宋" w:hAnsi="仿宋" w:eastAsia="仿宋" w:cs="仿宋"/>
                <w:color w:val="auto"/>
                <w:sz w:val="24"/>
                <w:szCs w:val="24"/>
                <w:highlight w:val="none"/>
                <w:lang w:val="en-US" w:eastAsia="zh-CN" w:bidi="ar"/>
              </w:rPr>
              <w:t xml:space="preserve">30KVA UPS1小时延时电池组+高纯度氢气发生器（含1台A3彩色打印一体机）</w:t>
            </w:r>
            <w:r/>
          </w:p>
        </w:tc>
        <w:tc>
          <w:tcPr>
            <w:shd w:val="clear" w:color="auto" w:fill="auto"/>
            <w:tcBorders>
              <w:top w:val="single" w:color="auto" w:sz="4" w:space="0"/>
              <w:left w:val="none" w:color="000000" w:sz="4" w:space="0"/>
              <w:bottom w:val="single" w:color="auto" w:sz="4" w:space="0"/>
              <w:right w:val="single" w:color="auto" w:sz="4" w:space="0"/>
            </w:tcBorders>
            <w:tcW w:w="7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5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8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等离子发射光谱质谱联用仪ICP-MS+自动进样器（含</w:t>
            </w:r>
            <w:r>
              <w:rPr>
                <w:rFonts w:hint="eastAsia" w:ascii="仿宋" w:hAnsi="仿宋" w:eastAsia="仿宋" w:cs="仿宋"/>
                <w:color w:val="auto"/>
                <w:sz w:val="24"/>
                <w:szCs w:val="24"/>
                <w:highlight w:val="none"/>
                <w:lang w:val="en-US" w:eastAsia="zh-CN" w:bidi="ar"/>
              </w:rPr>
              <w:t xml:space="preserve">1台A3彩色打印一体机</w:t>
            </w:r>
            <w:r>
              <w:rPr>
                <w:rFonts w:hint="eastAsia" w:ascii="仿宋" w:hAnsi="仿宋" w:eastAsia="仿宋" w:cs="仿宋"/>
                <w:color w:val="auto"/>
                <w:sz w:val="24"/>
                <w:szCs w:val="24"/>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5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120</w:t>
            </w:r>
            <w:r/>
          </w:p>
        </w:tc>
        <w:tc>
          <w:tcPr>
            <w:shd w:val="clear" w:color="auto" w:fill="auto"/>
            <w:tcBorders>
              <w:top w:val="single" w:color="auto" w:sz="4" w:space="0"/>
              <w:left w:val="none" w:color="000000" w:sz="4" w:space="0"/>
              <w:bottom w:val="single" w:color="auto" w:sz="4"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1"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81"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ECD检测器</w:t>
            </w:r>
            <w:r/>
          </w:p>
        </w:tc>
        <w:tc>
          <w:tcPr>
            <w:shd w:val="clear" w:color="auto" w:fill="auto"/>
            <w:tcBorders>
              <w:top w:val="single" w:color="auto" w:sz="4" w:space="0"/>
              <w:left w:val="none" w:color="000000" w:sz="4" w:space="0"/>
              <w:bottom w:val="single" w:color="auto" w:sz="4" w:space="0"/>
              <w:right w:val="single" w:color="auto" w:sz="4" w:space="0"/>
            </w:tcBorders>
            <w:tcW w:w="727"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jc w:val="center"/>
          <w:trHeight w:val="454"/>
        </w:trPr>
        <w:tc>
          <w:tcPr>
            <w:gridSpan w:val="5"/>
            <w:shd w:val="clear" w:color="auto" w:fill="auto"/>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最高限价：228万元</w:t>
            </w:r>
            <w:r/>
          </w:p>
        </w:tc>
        <w:tc>
          <w:tcPr>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r>
            <w:r/>
          </w:p>
        </w:tc>
      </w:tr>
    </w:tbl>
    <w:p>
      <w:pPr>
        <w:ind w:left="0" w:right="0" w:firstLine="562"/>
        <w:jc w:val="both"/>
        <w:keepLines w:val="0"/>
        <w:keepNext w:val="0"/>
        <w:spacing w:before="0" w:beforeAutospacing="0" w:after="0" w:afterAutospacing="0" w:line="500" w:lineRule="exact"/>
        <w:widowControl w:val="off"/>
        <w:rPr>
          <w:rFonts w:hint="eastAsia" w:ascii="仿宋" w:hAnsi="仿宋" w:eastAsia="仿宋" w:cs="Times New Roman"/>
          <w:b/>
          <w:bCs/>
          <w:color w:val="auto"/>
          <w:sz w:val="28"/>
          <w:szCs w:val="28"/>
          <w:highlight w:val="none"/>
        </w:rPr>
        <w:suppressLineNumbers w:val="0"/>
      </w:pPr>
      <w:r>
        <w:rPr>
          <w:rFonts w:hint="eastAsia" w:ascii="仿宋" w:hAnsi="仿宋" w:eastAsia="仿宋" w:cs="仿宋"/>
          <w:b/>
          <w:bCs/>
          <w:color w:val="auto"/>
          <w:sz w:val="28"/>
          <w:szCs w:val="28"/>
          <w:highlight w:val="none"/>
          <w:lang w:val="en-US" w:eastAsia="zh-CN" w:bidi="ar"/>
        </w:rPr>
        <w:t xml:space="preserve">采购包二核心产品：</w:t>
      </w:r>
      <w:r>
        <w:rPr>
          <w:rFonts w:hint="eastAsia" w:ascii="仿宋" w:hAnsi="仿宋" w:eastAsia="仿宋" w:cs="仿宋"/>
          <w:b/>
          <w:bCs/>
          <w:color w:val="auto"/>
          <w:sz w:val="28"/>
          <w:szCs w:val="28"/>
          <w:highlight w:val="none"/>
          <w:u w:val="single"/>
          <w:lang w:val="en-US" w:eastAsia="zh-CN" w:bidi="ar"/>
        </w:rPr>
        <w:t xml:space="preserve">等离子发射光谱质谱联用仪ICP-MS+自动进样器</w:t>
      </w:r>
      <w:r/>
    </w:p>
    <w:p>
      <w:pPr>
        <w:ind w:firstLine="560"/>
        <w:spacing w:line="50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r>
      <w:r/>
    </w:p>
    <w:p>
      <w:pPr>
        <w:ind w:firstLine="560"/>
        <w:spacing w:line="500" w:lineRule="exact"/>
        <w:rPr>
          <w:rFonts w:hint="eastAsia"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 xml:space="preserve">（三）采购包三</w:t>
      </w:r>
      <w:r/>
    </w:p>
    <w:tbl>
      <w:tblPr>
        <w:tblStyle w:val="910"/>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4"/>
        <w:gridCol w:w="714"/>
        <w:gridCol w:w="3465"/>
        <w:gridCol w:w="915"/>
        <w:gridCol w:w="1986"/>
        <w:gridCol w:w="626"/>
      </w:tblGrid>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类别</w:t>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单价最高限价（万元）</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rPr>
              <w:t xml:space="preserve">备注</w:t>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现场监测</w:t>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Style w:val="936"/>
                <w:rFonts w:hint="eastAsia" w:ascii="仿宋" w:hAnsi="仿宋" w:eastAsia="仿宋" w:cs="仿宋"/>
                <w:color w:val="auto"/>
                <w:sz w:val="24"/>
                <w:szCs w:val="24"/>
                <w:highlight w:val="none"/>
                <w:lang w:val="en-US" w:eastAsia="zh-CN" w:bidi="ar"/>
              </w:rPr>
              <w:t xml:space="preserve">降水采样器</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Style w:val="936"/>
                <w:rFonts w:hint="eastAsia" w:ascii="仿宋" w:hAnsi="仿宋" w:eastAsia="仿宋" w:cs="仿宋"/>
                <w:color w:val="auto"/>
                <w:sz w:val="24"/>
                <w:szCs w:val="24"/>
                <w:highlight w:val="none"/>
                <w:lang w:val="en-US" w:eastAsia="zh-CN" w:bidi="ar"/>
              </w:rPr>
              <w:t xml:space="preserve">便携式流速测量仪</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Style w:val="936"/>
                <w:rFonts w:hint="eastAsia" w:ascii="仿宋" w:hAnsi="仿宋" w:eastAsia="仿宋" w:cs="仿宋"/>
                <w:color w:val="auto"/>
                <w:sz w:val="24"/>
                <w:szCs w:val="24"/>
                <w:highlight w:val="none"/>
                <w:lang w:val="en-US" w:eastAsia="zh-CN" w:bidi="ar"/>
              </w:rPr>
              <w:t xml:space="preserve">便携式氧化还原电位仪</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环境空气气采样器</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4"/>
                <w:highlight w:val="none"/>
                <w:lang w:val="en-US" w:eastAsia="zh-CN" w:bidi="ar-SA"/>
              </w:rPr>
              <w:suppressLineNumbers w:val="0"/>
            </w:pPr>
            <w:r>
              <w:rPr>
                <w:rFonts w:hint="eastAsia" w:ascii="宋体" w:hAnsi="宋体" w:cs="宋体"/>
                <w:color w:val="auto"/>
                <w:sz w:val="21"/>
                <w:szCs w:val="24"/>
                <w:highlight w:val="none"/>
                <w:lang w:val="en-US" w:eastAsia="zh-CN" w:bidi="ar-SA"/>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825"/>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both"/>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便携式智能烟气流速仪（含烟温、动静压、流速、湿度等烟气参数）</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934"/>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Style w:val="936"/>
                <w:rFonts w:hint="eastAsia" w:ascii="仿宋" w:hAnsi="仿宋" w:eastAsia="仿宋" w:cs="仿宋"/>
                <w:color w:val="auto"/>
                <w:sz w:val="24"/>
                <w:szCs w:val="24"/>
                <w:highlight w:val="none"/>
                <w:lang w:val="en-US" w:eastAsia="zh-CN" w:bidi="ar"/>
              </w:rPr>
              <w:suppressLineNumbers w:val="0"/>
            </w:pPr>
            <w:r>
              <w:rPr>
                <w:rStyle w:val="936"/>
                <w:rFonts w:hint="eastAsia" w:ascii="仿宋" w:hAnsi="仿宋" w:eastAsia="仿宋" w:cs="仿宋"/>
                <w:color w:val="auto"/>
                <w:sz w:val="24"/>
                <w:szCs w:val="24"/>
                <w:highlight w:val="none"/>
                <w:lang w:val="en-US" w:eastAsia="zh-CN" w:bidi="ar"/>
              </w:rPr>
              <w:t xml:space="preserve">固定剂箱</w:t>
            </w:r>
            <w:r/>
          </w:p>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Style w:val="936"/>
                <w:rFonts w:hint="eastAsia" w:ascii="仿宋" w:hAnsi="仿宋" w:eastAsia="仿宋" w:cs="仿宋"/>
                <w:color w:val="auto"/>
                <w:sz w:val="24"/>
                <w:szCs w:val="24"/>
                <w:highlight w:val="none"/>
                <w:lang w:val="en-US" w:eastAsia="zh-CN" w:bidi="ar"/>
              </w:rPr>
              <w:t xml:space="preserve">（含</w:t>
            </w:r>
            <w:r>
              <w:rPr>
                <w:rStyle w:val="938"/>
                <w:rFonts w:hint="eastAsia" w:ascii="仿宋" w:hAnsi="仿宋" w:eastAsia="仿宋" w:cs="仿宋"/>
                <w:color w:val="auto"/>
                <w:sz w:val="24"/>
                <w:szCs w:val="24"/>
                <w:highlight w:val="none"/>
                <w:lang w:val="en-US" w:eastAsia="zh-CN" w:bidi="ar"/>
              </w:rPr>
              <w:t xml:space="preserve">6</w:t>
            </w:r>
            <w:r>
              <w:rPr>
                <w:rStyle w:val="936"/>
                <w:rFonts w:hint="eastAsia" w:ascii="仿宋" w:hAnsi="仿宋" w:eastAsia="仿宋" w:cs="仿宋"/>
                <w:color w:val="auto"/>
                <w:sz w:val="24"/>
                <w:szCs w:val="24"/>
                <w:highlight w:val="none"/>
                <w:lang w:val="en-US" w:eastAsia="zh-CN" w:bidi="ar"/>
              </w:rPr>
              <w:t xml:space="preserve">个瓶口分配器）</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Style w:val="936"/>
                <w:rFonts w:hint="eastAsia" w:ascii="仿宋" w:hAnsi="仿宋" w:eastAsia="仿宋" w:cs="仿宋"/>
                <w:color w:val="auto"/>
                <w:sz w:val="24"/>
                <w:szCs w:val="24"/>
                <w:highlight w:val="none"/>
                <w:lang w:val="en-US" w:eastAsia="zh-CN" w:bidi="ar"/>
              </w:rPr>
              <w:t xml:space="preserve">声级计</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声校准器</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轻便式风速风向仪</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Style w:val="936"/>
                <w:rFonts w:hint="eastAsia" w:ascii="仿宋" w:hAnsi="仿宋" w:eastAsia="仿宋" w:cs="仿宋"/>
                <w:color w:val="auto"/>
                <w:sz w:val="24"/>
                <w:szCs w:val="24"/>
                <w:highlight w:val="none"/>
                <w:lang w:val="en-US" w:eastAsia="zh-CN" w:bidi="ar"/>
              </w:rPr>
              <w:t xml:space="preserve">应急电源</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应急监测</w:t>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便携式</w:t>
            </w:r>
            <w:r>
              <w:rPr>
                <w:rStyle w:val="937"/>
                <w:rFonts w:hint="eastAsia" w:ascii="仿宋" w:hAnsi="仿宋" w:eastAsia="仿宋" w:cs="仿宋"/>
                <w:color w:val="auto"/>
                <w:sz w:val="24"/>
                <w:szCs w:val="24"/>
                <w:highlight w:val="none"/>
                <w:lang w:val="en-US" w:eastAsia="zh-CN" w:bidi="ar"/>
              </w:rPr>
              <w:t xml:space="preserve">GC-MS  </w:t>
            </w:r>
            <w:r>
              <w:rPr>
                <w:rFonts w:hint="eastAsia" w:ascii="仿宋" w:hAnsi="仿宋" w:eastAsia="仿宋" w:cs="仿宋"/>
                <w:i w:val="0"/>
                <w:iCs w:val="0"/>
                <w:color w:val="auto"/>
                <w:sz w:val="24"/>
                <w:szCs w:val="24"/>
                <w:highlight w:val="none"/>
                <w:lang w:val="en-US" w:eastAsia="zh-CN" w:bidi="ar"/>
              </w:rPr>
              <w:t xml:space="preserve">色谱柱</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eastAsia="宋体" w:cs="宋体"/>
                <w:color w:val="auto"/>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1284"/>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便携式傅里叶红外监测仪</w:t>
            </w:r>
            <w:r/>
          </w:p>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（含湿量、</w:t>
            </w:r>
            <w:r>
              <w:rPr>
                <w:rStyle w:val="937"/>
                <w:rFonts w:hint="eastAsia" w:ascii="仿宋" w:hAnsi="仿宋" w:eastAsia="仿宋" w:cs="仿宋"/>
                <w:color w:val="auto"/>
                <w:sz w:val="24"/>
                <w:szCs w:val="24"/>
                <w:highlight w:val="none"/>
                <w:lang w:val="en-US" w:eastAsia="zh-CN" w:bidi="ar"/>
              </w:rPr>
              <w:t xml:space="preserve">CO</w:t>
            </w:r>
            <w:r>
              <w:rPr>
                <w:rFonts w:hint="eastAsia" w:ascii="仿宋" w:hAnsi="仿宋" w:eastAsia="仿宋" w:cs="仿宋"/>
                <w:color w:val="auto"/>
                <w:sz w:val="24"/>
                <w:szCs w:val="24"/>
                <w:highlight w:val="none"/>
                <w:vertAlign w:val="subscript"/>
                <w:lang w:val="en-US" w:eastAsia="zh-CN" w:bidi="ar"/>
              </w:rPr>
              <w:t xml:space="preserve">2</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CO</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NO</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NO</w:t>
            </w:r>
            <w:r>
              <w:rPr>
                <w:rFonts w:hint="eastAsia" w:ascii="仿宋" w:hAnsi="仿宋" w:eastAsia="仿宋" w:cs="仿宋"/>
                <w:color w:val="auto"/>
                <w:sz w:val="24"/>
                <w:szCs w:val="24"/>
                <w:highlight w:val="none"/>
                <w:vertAlign w:val="subscript"/>
                <w:lang w:val="en-US" w:eastAsia="zh-CN" w:bidi="ar"/>
              </w:rPr>
              <w:t xml:space="preserve">2</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N</w:t>
            </w:r>
            <w:r>
              <w:rPr>
                <w:rFonts w:hint="eastAsia" w:ascii="仿宋" w:hAnsi="仿宋" w:eastAsia="仿宋" w:cs="仿宋"/>
                <w:color w:val="auto"/>
                <w:sz w:val="24"/>
                <w:szCs w:val="24"/>
                <w:highlight w:val="none"/>
                <w:vertAlign w:val="subscript"/>
                <w:lang w:val="en-US" w:eastAsia="zh-CN" w:bidi="ar"/>
              </w:rPr>
              <w:t xml:space="preserve">2</w:t>
            </w:r>
            <w:r>
              <w:rPr>
                <w:rStyle w:val="937"/>
                <w:rFonts w:hint="eastAsia" w:ascii="仿宋" w:hAnsi="仿宋" w:eastAsia="仿宋" w:cs="仿宋"/>
                <w:color w:val="auto"/>
                <w:sz w:val="24"/>
                <w:szCs w:val="24"/>
                <w:highlight w:val="none"/>
                <w:lang w:val="en-US" w:eastAsia="zh-CN" w:bidi="ar"/>
              </w:rPr>
              <w:t xml:space="preserve">O</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SO</w:t>
            </w:r>
            <w:r>
              <w:rPr>
                <w:rFonts w:hint="eastAsia" w:ascii="仿宋" w:hAnsi="仿宋" w:eastAsia="仿宋" w:cs="仿宋"/>
                <w:color w:val="auto"/>
                <w:sz w:val="24"/>
                <w:szCs w:val="24"/>
                <w:highlight w:val="none"/>
                <w:vertAlign w:val="subscript"/>
                <w:lang w:val="en-US" w:eastAsia="zh-CN" w:bidi="ar"/>
              </w:rPr>
              <w:t xml:space="preserve">2</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NH</w:t>
            </w:r>
            <w:r>
              <w:rPr>
                <w:rFonts w:hint="eastAsia" w:ascii="仿宋" w:hAnsi="仿宋" w:eastAsia="仿宋" w:cs="仿宋"/>
                <w:color w:val="auto"/>
                <w:sz w:val="24"/>
                <w:szCs w:val="24"/>
                <w:highlight w:val="none"/>
                <w:vertAlign w:val="subscript"/>
                <w:lang w:val="en-US" w:eastAsia="zh-CN" w:bidi="ar"/>
              </w:rPr>
              <w:t xml:space="preserve">3</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HCL</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HF</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CH</w:t>
            </w:r>
            <w:r>
              <w:rPr>
                <w:rFonts w:hint="eastAsia" w:ascii="仿宋" w:hAnsi="仿宋" w:eastAsia="仿宋" w:cs="仿宋"/>
                <w:color w:val="auto"/>
                <w:sz w:val="24"/>
                <w:szCs w:val="24"/>
                <w:highlight w:val="none"/>
                <w:vertAlign w:val="subscript"/>
                <w:lang w:val="en-US" w:eastAsia="zh-CN" w:bidi="ar"/>
              </w:rPr>
              <w:t xml:space="preserve">4</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O</w:t>
            </w:r>
            <w:r>
              <w:rPr>
                <w:rFonts w:hint="eastAsia" w:ascii="仿宋" w:hAnsi="仿宋" w:eastAsia="仿宋" w:cs="仿宋"/>
                <w:color w:val="auto"/>
                <w:sz w:val="24"/>
                <w:szCs w:val="24"/>
                <w:highlight w:val="none"/>
                <w:vertAlign w:val="subscript"/>
                <w:lang w:val="en-US" w:eastAsia="zh-CN" w:bidi="ar"/>
              </w:rPr>
              <w:t xml:space="preserve">2</w:t>
            </w:r>
            <w:r>
              <w:rPr>
                <w:rStyle w:val="939"/>
                <w:rFonts w:hint="eastAsia" w:ascii="仿宋" w:hAnsi="仿宋" w:eastAsia="仿宋" w:cs="仿宋"/>
                <w:color w:val="auto"/>
                <w:sz w:val="24"/>
                <w:szCs w:val="24"/>
                <w:highlight w:val="none"/>
                <w:vertAlign w:val="subscript"/>
                <w:lang w:val="en-US" w:eastAsia="zh-CN" w:bidi="ar"/>
              </w:rPr>
              <w:t xml:space="preserve">、</w:t>
            </w:r>
            <w:r>
              <w:rPr>
                <w:rFonts w:hint="eastAsia" w:ascii="仿宋" w:hAnsi="仿宋" w:eastAsia="仿宋" w:cs="仿宋"/>
                <w:i w:val="0"/>
                <w:iCs w:val="0"/>
                <w:color w:val="auto"/>
                <w:sz w:val="24"/>
                <w:szCs w:val="24"/>
                <w:highlight w:val="none"/>
                <w:lang w:val="en-US" w:eastAsia="zh-CN" w:bidi="ar"/>
              </w:rPr>
              <w:t xml:space="preserve">苯、甲苯、氯苯等五十多种物质）</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eastAsia="宋体" w:cs="宋体"/>
                <w:color w:val="auto"/>
                <w:highlight w:val="none"/>
                <w:lang w:val="en-US" w:eastAsia="zh-CN"/>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800"/>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应急检测管/检测试纸</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1、水质：CODcr、TP、NH</w:t>
            </w:r>
            <w:r>
              <w:rPr>
                <w:rStyle w:val="939"/>
                <w:rFonts w:hint="eastAsia" w:ascii="仿宋" w:hAnsi="仿宋" w:eastAsia="仿宋" w:cs="仿宋"/>
                <w:color w:val="auto"/>
                <w:sz w:val="24"/>
                <w:szCs w:val="24"/>
                <w:highlight w:val="none"/>
                <w:vertAlign w:val="subscript"/>
                <w:lang w:val="en-US" w:eastAsia="zh-CN" w:bidi="ar"/>
              </w:rPr>
              <w:t xml:space="preserve">3</w:t>
            </w:r>
            <w:r>
              <w:rPr>
                <w:rFonts w:hint="eastAsia" w:ascii="仿宋" w:hAnsi="仿宋" w:eastAsia="仿宋" w:cs="仿宋"/>
                <w:i w:val="0"/>
                <w:iCs w:val="0"/>
                <w:color w:val="auto"/>
                <w:sz w:val="24"/>
                <w:szCs w:val="24"/>
                <w:highlight w:val="none"/>
                <w:lang w:val="en-US" w:eastAsia="zh-CN" w:bidi="ar"/>
              </w:rPr>
              <w:t xml:space="preserve">-N、TN</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2、气：氯气、光气</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3、金属快筛试纸：铜、锌、铅、镉、铁、锰、镍、六价铬 </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4、快筛试纸：化学需氧量、氨氮、总磷、总氮、总氯、余氯、硝酸盐氮、亚硝酸盐氮等</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5、余氯 </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6、水质重金属试剂：铁、锰、铜、镍、铝、锌等</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7、ATP(三磷酸腺苷)</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各2套</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934"/>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i w:val="0"/>
                <w:iCs w:val="0"/>
                <w:color w:val="auto"/>
                <w:sz w:val="24"/>
                <w:szCs w:val="24"/>
                <w:highlight w:val="none"/>
                <w:lang w:val="en-US" w:eastAsia="zh-CN" w:bidi="ar"/>
              </w:rPr>
              <w:t xml:space="preserve">便携式</w:t>
            </w:r>
            <w:r>
              <w:rPr>
                <w:rStyle w:val="937"/>
                <w:rFonts w:hint="eastAsia" w:ascii="仿宋" w:hAnsi="仿宋" w:eastAsia="仿宋" w:cs="仿宋"/>
                <w:b/>
                <w:bCs/>
                <w:color w:val="auto"/>
                <w:sz w:val="24"/>
                <w:szCs w:val="24"/>
                <w:highlight w:val="none"/>
                <w:lang w:val="en-US" w:eastAsia="zh-CN" w:bidi="ar"/>
              </w:rPr>
              <w:t xml:space="preserve">X</w:t>
            </w:r>
            <w:r>
              <w:rPr>
                <w:rFonts w:hint="eastAsia" w:ascii="仿宋" w:hAnsi="仿宋" w:eastAsia="仿宋" w:cs="仿宋"/>
                <w:b/>
                <w:bCs/>
                <w:i w:val="0"/>
                <w:iCs w:val="0"/>
                <w:color w:val="auto"/>
                <w:sz w:val="24"/>
                <w:szCs w:val="24"/>
                <w:highlight w:val="none"/>
                <w:lang w:val="en-US" w:eastAsia="zh-CN" w:bidi="ar"/>
              </w:rPr>
              <w:t xml:space="preserve">射线荧光分析仪（土壤金属）</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eastAsia="宋体" w:cs="宋体"/>
                <w:color w:val="auto"/>
                <w:highlight w:val="none"/>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生物毒性检测仪</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手持式光离子化检测仪</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425" w:right="0" w:hanging="425"/>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i w:val="0"/>
                <w:iCs w:val="0"/>
                <w:color w:val="auto"/>
                <w:sz w:val="24"/>
                <w:szCs w:val="24"/>
                <w:highlight w:val="none"/>
                <w:lang w:val="en-US" w:eastAsia="zh-CN" w:bidi="ar"/>
              </w:rPr>
              <w:t xml:space="preserve">便携式氢火焰离子化检测仪</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72"/>
        </w:trPr>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exact"/>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Style w:val="940"/>
                <w:rFonts w:hint="eastAsia" w:ascii="仿宋" w:hAnsi="仿宋" w:eastAsia="仿宋" w:cs="仿宋"/>
                <w:color w:val="auto"/>
                <w:sz w:val="24"/>
                <w:szCs w:val="24"/>
                <w:highlight w:val="none"/>
                <w:lang w:val="en-US" w:eastAsia="zh-CN" w:bidi="ar"/>
              </w:rPr>
              <w:t xml:space="preserve">高倍望远镜</w: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4"/>
                <w:highlight w:val="none"/>
                <w:lang w:val="en-US" w:eastAsia="zh-CN" w:bidi="ar-SA"/>
              </w:rPr>
              <w:suppressLineNumbers w:val="0"/>
            </w:pPr>
            <w:r>
              <w:rPr>
                <w:rFonts w:hint="eastAsia" w:ascii="宋体" w:hAnsi="宋体" w:cs="宋体"/>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r>
      <w:tr>
        <w:trPr>
          <w:jc w:val="center"/>
          <w:trHeight w:val="482"/>
        </w:trPr>
        <w:tc>
          <w:tcPr>
            <w:gridSpan w:val="5"/>
            <w:shd w:val="clear" w:color="auto" w:fill="auto"/>
            <w:tcBorders>
              <w:top w:val="single" w:color="auto" w:sz="4" w:space="0"/>
              <w:left w:val="single" w:color="auto" w:sz="4" w:space="0"/>
              <w:bottom w:val="single" w:color="auto" w:sz="4" w:space="0"/>
              <w:right w:val="single" w:color="auto" w:sz="4" w:space="0"/>
            </w:tcBorders>
            <w:tcW w:w="7884"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Fonts w:hint="eastAsia" w:ascii="仿宋" w:hAnsi="仿宋" w:eastAsia="仿宋" w:cs="仿宋"/>
                <w:b/>
                <w:bCs/>
                <w:color w:val="auto"/>
                <w:sz w:val="24"/>
                <w:szCs w:val="24"/>
                <w:highlight w:val="none"/>
              </w:rPr>
              <w:suppressLineNumbers w:val="0"/>
            </w:pPr>
            <w:r>
              <w:rPr>
                <w:rStyle w:val="940"/>
                <w:rFonts w:hint="eastAsia" w:ascii="仿宋" w:hAnsi="仿宋" w:eastAsia="仿宋" w:cs="仿宋"/>
                <w:b/>
                <w:bCs/>
                <w:color w:val="auto"/>
                <w:sz w:val="24"/>
                <w:szCs w:val="24"/>
                <w:highlight w:val="none"/>
                <w:lang w:val="en-US" w:eastAsia="zh-CN" w:bidi="ar"/>
              </w:rPr>
              <w:t xml:space="preserve">最高限价：161.62万元</w:t>
            </w:r>
            <w:r/>
          </w:p>
        </w:tc>
        <w:tc>
          <w:tcPr>
            <w:shd w:val="clear" w:color="auto" w:fill="auto"/>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val="off"/>
              <w:rPr>
                <w:rStyle w:val="940"/>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r>
            <w:r/>
          </w:p>
        </w:tc>
      </w:tr>
    </w:tbl>
    <w:p>
      <w:pPr>
        <w:ind w:firstLine="562"/>
        <w:spacing w:line="500" w:lineRule="exact"/>
        <w:rPr>
          <w:rFonts w:hint="eastAsia" w:ascii="仿宋" w:hAnsi="仿宋" w:eastAsia="仿宋" w:cs="仿宋"/>
          <w:i w:val="0"/>
          <w:iCs w:val="0"/>
          <w:color w:val="auto"/>
          <w:sz w:val="24"/>
          <w:szCs w:val="24"/>
          <w:highlight w:val="none"/>
          <w:u w:val="single"/>
          <w:lang w:val="en-US" w:eastAsia="zh-CN" w:bidi="ar"/>
        </w:rPr>
        <w:outlineLvl w:val="9"/>
      </w:pPr>
      <w:r/>
      <w:bookmarkStart w:id="66" w:name="_Toc20266"/>
      <w:r>
        <w:rPr>
          <w:rFonts w:hint="eastAsia" w:ascii="仿宋" w:hAnsi="仿宋" w:eastAsia="仿宋"/>
          <w:b/>
          <w:color w:val="auto"/>
          <w:sz w:val="28"/>
          <w:szCs w:val="28"/>
          <w:highlight w:val="none"/>
          <w:lang w:val="en-US" w:eastAsia="zh-CN"/>
        </w:rPr>
        <w:t xml:space="preserve">采购包三</w:t>
      </w:r>
      <w:r>
        <w:rPr>
          <w:rFonts w:hint="eastAsia" w:ascii="仿宋" w:hAnsi="仿宋" w:eastAsia="仿宋"/>
          <w:b/>
          <w:color w:val="auto"/>
          <w:sz w:val="28"/>
          <w:szCs w:val="28"/>
          <w:highlight w:val="none"/>
        </w:rPr>
        <w:t xml:space="preserve">核心产品为：</w:t>
      </w:r>
      <w:r>
        <w:rPr>
          <w:rFonts w:hint="eastAsia" w:ascii="仿宋" w:hAnsi="仿宋" w:eastAsia="仿宋" w:cs="仿宋"/>
          <w:i w:val="0"/>
          <w:iCs w:val="0"/>
          <w:color w:val="auto"/>
          <w:sz w:val="24"/>
          <w:szCs w:val="24"/>
          <w:highlight w:val="none"/>
          <w:u w:val="single"/>
          <w:lang w:val="en-US" w:eastAsia="zh-CN" w:bidi="ar"/>
        </w:rPr>
        <w:t xml:space="preserve">便携式傅里叶红外监测仪</w:t>
      </w:r>
      <w:bookmarkEnd w:id="66"/>
      <w:r/>
      <w:r/>
    </w:p>
    <w:p>
      <w:pPr>
        <w:ind w:firstLine="560"/>
        <w:spacing w:line="500" w:lineRule="exact"/>
        <w:rPr>
          <w:rFonts w:ascii="黑体" w:hAnsi="黑体" w:eastAsia="黑体"/>
          <w:color w:val="auto"/>
          <w:sz w:val="28"/>
          <w:szCs w:val="28"/>
          <w:highlight w:val="none"/>
        </w:rPr>
        <w:outlineLvl w:val="1"/>
      </w:pPr>
      <w:r/>
      <w:bookmarkStart w:id="67" w:name="_Toc20288"/>
      <w:r>
        <w:rPr>
          <w:rFonts w:hint="eastAsia" w:ascii="黑体" w:hAnsi="黑体" w:eastAsia="黑体"/>
          <w:color w:val="auto"/>
          <w:sz w:val="28"/>
          <w:szCs w:val="28"/>
          <w:highlight w:val="none"/>
        </w:rPr>
        <w:t xml:space="preserve">三、</w:t>
      </w:r>
      <w:r>
        <w:rPr>
          <w:rFonts w:hint="eastAsia" w:ascii="黑体" w:hAnsi="黑体" w:eastAsia="黑体"/>
          <w:color w:val="auto"/>
          <w:sz w:val="28"/>
          <w:szCs w:val="28"/>
          <w:highlight w:val="none"/>
          <w:lang w:val="en-US" w:eastAsia="zh-CN"/>
        </w:rPr>
        <w:t xml:space="preserve">基本</w:t>
      </w:r>
      <w:r>
        <w:rPr>
          <w:rFonts w:hint="eastAsia" w:ascii="黑体" w:hAnsi="黑体" w:eastAsia="黑体"/>
          <w:color w:val="auto"/>
          <w:sz w:val="28"/>
          <w:szCs w:val="28"/>
          <w:highlight w:val="none"/>
        </w:rPr>
        <w:t xml:space="preserve">技术要求</w:t>
      </w:r>
      <w:bookmarkEnd w:id="67"/>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1.采购包一产品技术参数要求详见附件1；</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w:t>
      </w:r>
      <w:r>
        <w:rPr>
          <w:rFonts w:hint="default"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lang w:val="en-US" w:eastAsia="zh-CN"/>
        </w:rPr>
        <w:t xml:space="preserve">采购包</w:t>
      </w:r>
      <w:r>
        <w:rPr>
          <w:rFonts w:hint="default" w:ascii="仿宋" w:hAnsi="仿宋" w:eastAsia="仿宋"/>
          <w:color w:val="auto"/>
          <w:sz w:val="28"/>
          <w:szCs w:val="28"/>
          <w:highlight w:val="none"/>
          <w:lang w:val="en-US" w:eastAsia="zh-CN"/>
        </w:rPr>
        <w:t xml:space="preserve">一产品技术参数要求详见附件</w:t>
      </w:r>
      <w:r>
        <w:rPr>
          <w:rFonts w:hint="eastAsia" w:ascii="仿宋" w:hAnsi="仿宋" w:eastAsia="仿宋"/>
          <w:color w:val="auto"/>
          <w:sz w:val="28"/>
          <w:szCs w:val="28"/>
          <w:highlight w:val="none"/>
          <w:lang w:val="en-US" w:eastAsia="zh-CN"/>
        </w:rPr>
        <w:t xml:space="preserve">2；</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3.采购包一产品技术参数要求详见附件3；</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4.说明：</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附件1、附件2、附件3</w:t>
      </w:r>
      <w:r>
        <w:rPr>
          <w:rFonts w:hint="eastAsia" w:ascii="仿宋" w:hAnsi="仿宋" w:eastAsia="仿宋"/>
          <w:color w:val="auto"/>
          <w:sz w:val="28"/>
          <w:szCs w:val="28"/>
          <w:highlight w:val="none"/>
        </w:rPr>
        <w:t xml:space="preserve">中所有</w:t>
      </w:r>
      <w:r>
        <w:rPr>
          <w:rFonts w:hint="eastAsia" w:ascii="仿宋" w:hAnsi="仿宋" w:eastAsia="仿宋"/>
          <w:color w:val="auto"/>
          <w:sz w:val="28"/>
          <w:szCs w:val="28"/>
          <w:highlight w:val="none"/>
          <w:lang w:val="en-US" w:eastAsia="zh-CN"/>
        </w:rPr>
        <w:t xml:space="preserve">产品所列</w:t>
      </w:r>
      <w:r>
        <w:rPr>
          <w:rFonts w:hint="eastAsia" w:ascii="仿宋" w:hAnsi="仿宋" w:eastAsia="仿宋"/>
          <w:color w:val="auto"/>
          <w:sz w:val="28"/>
          <w:szCs w:val="28"/>
          <w:highlight w:val="none"/>
        </w:rPr>
        <w:t xml:space="preserve">技术参数均为基本技术参数要求，不满足将视为无效响应。</w:t>
      </w:r>
      <w:r>
        <w:rPr>
          <w:rFonts w:hint="eastAsia" w:ascii="仿宋" w:hAnsi="仿宋" w:eastAsia="仿宋"/>
          <w:b/>
          <w:bCs/>
          <w:color w:val="auto"/>
          <w:sz w:val="28"/>
          <w:szCs w:val="28"/>
          <w:highlight w:val="none"/>
          <w:lang w:val="en-US" w:eastAsia="zh-CN"/>
        </w:rPr>
        <w:t xml:space="preserve">响应文件中须提供参数证明资料，包括但不限于制造商公开发布的彩页、技术白皮书、产品使用说明书、产品检验报告及其投标人须依据对其所投产品的品牌、型号等信息认真核实，填写的技术部分正负偏离表。</w:t>
      </w:r>
      <w:r>
        <w:rPr>
          <w:rFonts w:hint="eastAsia" w:ascii="仿宋" w:hAnsi="仿宋" w:eastAsia="仿宋"/>
          <w:color w:val="auto"/>
          <w:sz w:val="28"/>
          <w:szCs w:val="28"/>
          <w:highlight w:val="none"/>
        </w:rPr>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如技术参数表中参数设定为固定值，均指该参数的最低要求，供应商可选择优于最低要求的产品进行响应。</w:t>
      </w:r>
      <w:r/>
      <w:r>
        <w:rPr>
          <w:rFonts w:hint="eastAsia" w:ascii="仿宋" w:hAnsi="仿宋" w:eastAsia="仿宋"/>
          <w:b/>
          <w:bCs/>
          <w:color w:val="auto"/>
          <w:sz w:val="28"/>
          <w:szCs w:val="28"/>
          <w:highlight w:val="none"/>
          <w:lang w:eastAsia="zh-CN"/>
        </w:rPr>
      </w:r>
      <w:r/>
      <w:r>
        <w:rPr>
          <w:rFonts w:hint="eastAsia" w:ascii="仿宋" w:hAnsi="仿宋" w:eastAsia="仿宋"/>
          <w:color w:val="auto"/>
          <w:sz w:val="28"/>
          <w:szCs w:val="28"/>
          <w:highlight w:val="none"/>
        </w:rPr>
      </w:r>
    </w:p>
    <w:p>
      <w:pPr>
        <w:ind w:firstLine="560"/>
        <w:spacing w:line="500" w:lineRule="exact"/>
        <w:rPr>
          <w:rFonts w:ascii="黑体" w:hAnsi="黑体" w:eastAsia="黑体"/>
          <w:color w:val="auto"/>
          <w:sz w:val="28"/>
          <w:szCs w:val="28"/>
          <w:highlight w:val="none"/>
        </w:rPr>
        <w:outlineLvl w:val="1"/>
      </w:pPr>
      <w:r/>
      <w:bookmarkStart w:id="68" w:name="_Toc9281"/>
      <w:r>
        <w:rPr>
          <w:rFonts w:hint="eastAsia" w:ascii="黑体" w:hAnsi="黑体" w:eastAsia="黑体"/>
          <w:color w:val="auto"/>
          <w:sz w:val="28"/>
          <w:szCs w:val="28"/>
          <w:highlight w:val="none"/>
        </w:rPr>
        <w:t xml:space="preserve">四、质量标准</w:t>
      </w:r>
      <w:bookmarkEnd w:id="68"/>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一）响应供应商不能简单照搬招标文件提供的需求，必须按招标文件技术规格逐项作出实质性应答，如照搬照抄项目需求中的技术的，中标后成交人在同采购人签订合同和履约环节中不得提出异议，一切后果和损失由成交人承担。</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（二）成交人须明确所投设备的生产厂家、品牌、型号、规格和外形、尺寸等。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三）成交人应保证货物是全新、未使用过的原厂合格产品，并完全符合招标文件规定的质量、规格和参数的要求。验收过程中发现产品不符合上述要求的，将视作不合格产品，采购人有权终止合同，造成的一切损失由成交人承担。</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（四）成交人应保证提供的产品不得侵犯第三方专利权、商标权和设计权、版权等。否则，成交人应负全部责任，并承担由此引起的一切后果。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（五）成交人应保证其货物在正确安装、正常使用下，在其使用寿命期内应具有满意的性能</w:t>
      </w:r>
      <w:r>
        <w:rPr>
          <w:rFonts w:hint="eastAsia" w:ascii="仿宋" w:hAnsi="仿宋" w:eastAsia="仿宋" w:cs="仿宋"/>
          <w:color w:val="auto"/>
          <w:sz w:val="28"/>
          <w:szCs w:val="28"/>
          <w:highlight w:val="none"/>
          <w:lang w:val="en-US" w:eastAsia="zh-CN" w:bidi="ar"/>
        </w:rPr>
        <w:t xml:space="preserve">。</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（六）成交人应采取必要的安全措施保证货物的运输及安装的安全，并承担货物的运输及安装过程中产生的风险。</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七）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（八）成交人必须保证所提供的产品符合国家相应质量要求，供货时必须随产品提供出厂材料，包括但不限于检验报告（复印件）、产品合格证（原件）以及设备的测试、运行、保养手册。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bidi="ar"/>
        </w:rPr>
        <w:t xml:space="preserve">（九）成交人所供货物最终验收后，成交人应对由于设计、工艺或材料的缺陷而发生的任何不足或故障负责，并承担由此引起的一切后果。</w:t>
      </w:r>
      <w:r/>
    </w:p>
    <w:p>
      <w:pPr>
        <w:ind w:left="0" w:right="0" w:firstLine="560"/>
        <w:jc w:val="both"/>
        <w:keepLines w:val="0"/>
        <w:keepNext w:val="0"/>
        <w:spacing w:before="0" w:beforeAutospacing="0" w:after="0" w:afterAutospacing="0"/>
        <w:widowControl w:val="off"/>
        <w:rPr>
          <w:color w:val="auto"/>
          <w:highlight w:val="none"/>
        </w:rPr>
        <w:suppressLineNumbers w:val="0"/>
      </w:pPr>
      <w:r>
        <w:rPr>
          <w:rFonts w:hint="eastAsia" w:ascii="仿宋" w:hAnsi="仿宋" w:eastAsia="仿宋" w:cs="仿宋"/>
          <w:bCs/>
          <w:color w:val="auto"/>
          <w:sz w:val="28"/>
          <w:szCs w:val="28"/>
          <w:highlight w:val="none"/>
          <w:lang w:val="en-US" w:eastAsia="zh-CN" w:bidi="ar"/>
        </w:rPr>
        <w:t xml:space="preserve">（十）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bookmarkStart w:id="69" w:name="_Toc10982"/>
      <w:r>
        <w:rPr>
          <w:rFonts w:hint="eastAsia" w:ascii="黑体" w:hAnsi="黑体" w:eastAsia="黑体"/>
          <w:color w:val="auto"/>
          <w:sz w:val="28"/>
          <w:szCs w:val="28"/>
          <w:highlight w:val="none"/>
        </w:rPr>
        <w:t xml:space="preserve">五、交货期限和地点</w:t>
      </w:r>
      <w:bookmarkEnd w:id="69"/>
      <w:r/>
      <w:r/>
    </w:p>
    <w:p>
      <w:pPr>
        <w:ind w:firstLine="560"/>
        <w:spacing w:line="50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交货期限：</w:t>
      </w:r>
      <w:r>
        <w:rPr>
          <w:rFonts w:hint="eastAsia" w:ascii="仿宋" w:hAnsi="仿宋" w:eastAsia="仿宋"/>
          <w:b/>
          <w:bCs/>
          <w:color w:val="auto"/>
          <w:sz w:val="28"/>
          <w:szCs w:val="28"/>
          <w:highlight w:val="none"/>
          <w:lang w:val="en-US" w:eastAsia="zh-CN"/>
        </w:rPr>
        <w:t xml:space="preserve">合同签订后采购包1、采购包3须在30日内完成供货、安装、调试；采购包2须在40日内完成供货、安装、调试，具体以采购人通知为准。</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w:t>
      </w:r>
      <w:r/>
    </w:p>
    <w:p>
      <w:pPr>
        <w:ind w:firstLine="560"/>
        <w:spacing w:line="500" w:lineRule="exact"/>
        <w:rPr>
          <w:rFonts w:ascii="黑体" w:hAnsi="黑体" w:eastAsia="黑体"/>
          <w:color w:val="auto"/>
          <w:sz w:val="28"/>
          <w:szCs w:val="28"/>
          <w:highlight w:val="none"/>
        </w:rPr>
        <w:outlineLvl w:val="1"/>
      </w:pPr>
      <w:r/>
      <w:bookmarkStart w:id="70" w:name="_Toc13742"/>
      <w:r>
        <w:rPr>
          <w:rFonts w:hint="eastAsia" w:ascii="黑体" w:hAnsi="黑体" w:eastAsia="黑体"/>
          <w:color w:val="auto"/>
          <w:sz w:val="28"/>
          <w:szCs w:val="28"/>
          <w:highlight w:val="none"/>
        </w:rPr>
        <w:t xml:space="preserve">六、验收方案</w:t>
      </w:r>
      <w:bookmarkEnd w:id="70"/>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验收小组由招标人邀请业内专家组成并报上级批准。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在接到中标供应商以书面形式提出验收申请后，在 5 个工作日内及时组织相关专业技术人员、相关部门共同参与验收，并出具验收报告，作为支付货款的依据。</w:t>
      </w:r>
      <w:r/>
    </w:p>
    <w:p>
      <w:pPr>
        <w:ind w:firstLine="560"/>
        <w:spacing w:line="500" w:lineRule="exact"/>
        <w:rPr>
          <w:rFonts w:ascii="黑体" w:hAnsi="黑体" w:eastAsia="黑体"/>
          <w:color w:val="auto"/>
          <w:sz w:val="28"/>
          <w:szCs w:val="28"/>
          <w:highlight w:val="none"/>
        </w:rPr>
        <w:outlineLvl w:val="1"/>
      </w:pPr>
      <w:r/>
      <w:bookmarkStart w:id="71" w:name="_Toc27166"/>
      <w:r>
        <w:rPr>
          <w:rFonts w:hint="eastAsia" w:ascii="黑体" w:hAnsi="黑体" w:eastAsia="黑体"/>
          <w:color w:val="auto"/>
          <w:sz w:val="28"/>
          <w:szCs w:val="28"/>
          <w:highlight w:val="none"/>
        </w:rPr>
        <w:t xml:space="preserve">七、质量保证期限</w:t>
      </w:r>
      <w:bookmarkEnd w:id="71"/>
      <w:r/>
      <w:r/>
    </w:p>
    <w:p>
      <w:pPr>
        <w:ind w:firstLine="560"/>
        <w:spacing w:line="500" w:lineRule="exact"/>
        <w:rPr>
          <w:rFonts w:ascii="黑体" w:hAnsi="黑体" w:eastAsia="黑体"/>
          <w:color w:val="auto"/>
          <w:sz w:val="28"/>
          <w:szCs w:val="28"/>
          <w:highlight w:val="none"/>
        </w:rPr>
        <w:outlineLvl w:val="9"/>
      </w:pPr>
      <w:r>
        <w:rPr>
          <w:rFonts w:hint="eastAsia" w:ascii="仿宋" w:hAnsi="仿宋" w:eastAsia="仿宋"/>
          <w:color w:val="auto"/>
          <w:sz w:val="28"/>
          <w:szCs w:val="28"/>
          <w:highlight w:val="none"/>
        </w:rPr>
        <w:t xml:space="preserve">自交货并验收合格之日起计</w:t>
      </w:r>
      <w:r>
        <w:rPr>
          <w:rFonts w:hint="eastAsia" w:ascii="仿宋" w:hAnsi="仿宋" w:eastAsia="仿宋"/>
          <w:color w:val="auto"/>
          <w:sz w:val="28"/>
          <w:szCs w:val="28"/>
          <w:highlight w:val="none"/>
          <w:lang w:val="en-US" w:eastAsia="zh-CN"/>
        </w:rPr>
        <w:t xml:space="preserve">壹</w:t>
      </w:r>
      <w:r>
        <w:rPr>
          <w:rFonts w:hint="eastAsia" w:ascii="仿宋" w:hAnsi="仿宋" w:eastAsia="仿宋"/>
          <w:color w:val="auto"/>
          <w:sz w:val="28"/>
          <w:szCs w:val="28"/>
          <w:highlight w:val="none"/>
        </w:rPr>
        <w:t xml:space="preserve">年（整机）。</w:t>
      </w:r>
      <w:r/>
    </w:p>
    <w:p>
      <w:pPr>
        <w:ind w:firstLine="560"/>
        <w:spacing w:line="500" w:lineRule="exact"/>
        <w:rPr>
          <w:rFonts w:ascii="黑体" w:hAnsi="黑体" w:eastAsia="黑体"/>
          <w:color w:val="auto"/>
          <w:sz w:val="28"/>
          <w:szCs w:val="28"/>
          <w:highlight w:val="none"/>
        </w:rPr>
        <w:outlineLvl w:val="1"/>
      </w:pPr>
      <w:r/>
      <w:bookmarkStart w:id="72" w:name="_Toc31651"/>
      <w:r>
        <w:rPr>
          <w:rFonts w:hint="eastAsia" w:ascii="黑体" w:hAnsi="黑体" w:eastAsia="黑体"/>
          <w:color w:val="auto"/>
          <w:sz w:val="28"/>
          <w:szCs w:val="28"/>
          <w:highlight w:val="none"/>
        </w:rPr>
        <w:t xml:space="preserve">八、售后服务</w:t>
      </w:r>
      <w:bookmarkEnd w:id="72"/>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（一）设备维护措施：自验收合格之日起，进入保修期，质保一年</w:t>
      </w:r>
      <w:r>
        <w:rPr>
          <w:rFonts w:hint="eastAsia" w:ascii="仿宋" w:hAnsi="仿宋" w:eastAsia="仿宋"/>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如投标文件中有延保承诺则按承诺期限执行</w:t>
      </w:r>
      <w:r>
        <w:rPr>
          <w:rFonts w:hint="eastAsia" w:ascii="仿宋" w:hAnsi="仿宋" w:eastAsia="仿宋"/>
          <w:b/>
          <w:bCs/>
          <w:color w:val="auto"/>
          <w:sz w:val="28"/>
          <w:szCs w:val="28"/>
          <w:highlight w:val="none"/>
        </w:rPr>
        <w:t xml:space="preserve">；</w:t>
      </w:r>
      <w:r>
        <w:rPr>
          <w:rFonts w:hint="eastAsia" w:ascii="仿宋" w:hAnsi="仿宋" w:eastAsia="仿宋"/>
          <w:color w:val="auto"/>
          <w:sz w:val="28"/>
          <w:szCs w:val="28"/>
          <w:highlight w:val="none"/>
        </w:rPr>
        <w:t xml:space="preserve">保修期后，终身维护，保证零配件的供应十年，维修只收取配件费(按市场报价的80%优惠提供)，不收人工费；维修承诺必须有生产单位签注；提供软件终身免费升级。</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（三）维修与备品备件服务：提供国内免费客户服务热线号码和国内维修站电话和地址。供应商保证8小时内维修服务响应，必要时能提供备用机。</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（四）技术服务信息：要求提供</w:t>
      </w:r>
      <w:r>
        <w:rPr>
          <w:rFonts w:hint="eastAsia" w:ascii="仿宋" w:hAnsi="仿宋" w:eastAsia="仿宋"/>
          <w:color w:val="auto"/>
          <w:sz w:val="28"/>
          <w:szCs w:val="28"/>
          <w:highlight w:val="none"/>
          <w:lang w:val="en-US" w:eastAsia="zh-CN"/>
        </w:rPr>
        <w:t xml:space="preserve">设备生产方</w:t>
      </w:r>
      <w:r>
        <w:rPr>
          <w:rFonts w:hint="eastAsia" w:ascii="仿宋" w:hAnsi="仿宋" w:eastAsia="仿宋"/>
          <w:color w:val="auto"/>
          <w:sz w:val="28"/>
          <w:szCs w:val="28"/>
          <w:highlight w:val="none"/>
        </w:rPr>
        <w:t xml:space="preserve">设有的售后服务机构名称、地址，以及专业技术人员名单和联系电话。</w:t>
      </w:r>
      <w:r/>
    </w:p>
    <w:p>
      <w:pPr>
        <w:ind w:firstLine="560"/>
        <w:spacing w:line="500" w:lineRule="exact"/>
        <w:rPr>
          <w:rFonts w:ascii="黑体" w:hAnsi="黑体" w:eastAsia="黑体"/>
          <w:color w:val="auto"/>
          <w:sz w:val="28"/>
          <w:szCs w:val="28"/>
          <w:highlight w:val="none"/>
        </w:rPr>
        <w:outlineLvl w:val="1"/>
      </w:pPr>
      <w:r/>
      <w:bookmarkStart w:id="73" w:name="_Toc29450"/>
      <w:r>
        <w:rPr>
          <w:rFonts w:hint="eastAsia" w:ascii="黑体" w:hAnsi="黑体" w:eastAsia="黑体"/>
          <w:color w:val="auto"/>
          <w:sz w:val="28"/>
          <w:szCs w:val="28"/>
          <w:highlight w:val="none"/>
        </w:rPr>
        <w:t xml:space="preserve">九、付款方式</w:t>
      </w:r>
      <w:bookmarkEnd w:id="73"/>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1.安装</w:t>
      </w:r>
      <w:r>
        <w:rPr>
          <w:rFonts w:hint="eastAsia" w:ascii="仿宋" w:hAnsi="仿宋" w:eastAsia="仿宋"/>
          <w:color w:val="auto"/>
          <w:sz w:val="28"/>
          <w:szCs w:val="28"/>
          <w:highlight w:val="none"/>
          <w:lang w:val="en-US" w:eastAsia="zh-CN"/>
        </w:rPr>
        <w:t xml:space="preserve">结束，检定、</w:t>
      </w:r>
      <w:r>
        <w:rPr>
          <w:rFonts w:hint="eastAsia" w:ascii="仿宋" w:hAnsi="仿宋" w:eastAsia="仿宋"/>
          <w:color w:val="auto"/>
          <w:sz w:val="28"/>
          <w:szCs w:val="28"/>
          <w:highlight w:val="none"/>
        </w:rPr>
        <w:t xml:space="preserve">验收合格后，支付至合同价的90%；</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.验收合格后使用12个月</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无质量问题一次性</w:t>
      </w:r>
      <w:r>
        <w:rPr>
          <w:rFonts w:hint="eastAsia" w:ascii="仿宋" w:hAnsi="仿宋" w:eastAsia="仿宋"/>
          <w:color w:val="auto"/>
          <w:sz w:val="28"/>
          <w:szCs w:val="28"/>
          <w:highlight w:val="none"/>
        </w:rPr>
        <w:t xml:space="preserve">结清尾款。</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每次支付前成交人需提供正式税票。</w:t>
      </w:r>
      <w:r/>
    </w:p>
    <w:p>
      <w:pPr>
        <w:ind w:firstLine="560"/>
        <w:spacing w:line="500" w:lineRule="exact"/>
        <w:rPr>
          <w:rFonts w:ascii="仿宋" w:hAnsi="仿宋" w:eastAsia="仿宋"/>
          <w:color w:val="auto"/>
          <w:sz w:val="28"/>
          <w:szCs w:val="28"/>
          <w:highlight w:val="none"/>
        </w:rPr>
        <w:outlineLvl w:val="1"/>
      </w:pPr>
      <w:r/>
      <w:bookmarkStart w:id="74" w:name="_Toc8098"/>
      <w:r>
        <w:rPr>
          <w:rFonts w:hint="eastAsia" w:ascii="黑体" w:hAnsi="黑体" w:eastAsia="黑体"/>
          <w:color w:val="auto"/>
          <w:sz w:val="28"/>
          <w:szCs w:val="28"/>
          <w:highlight w:val="none"/>
        </w:rPr>
        <w:t xml:space="preserve">十、其他要求</w:t>
      </w:r>
      <w:bookmarkEnd w:id="74"/>
      <w:r/>
      <w:r/>
    </w:p>
    <w:p>
      <w:pPr>
        <w:contextualSpacing/>
        <w:ind w:left="0" w:right="0" w:firstLine="560"/>
        <w:jc w:val="both"/>
        <w:keepLines w:val="0"/>
        <w:keepNext w:val="0"/>
        <w:spacing w:before="0" w:beforeAutospacing="0" w:after="0" w:afterAutospacing="0" w:line="500" w:lineRule="exact"/>
        <w:shd w:val="clear" w:color="auto" w:fill="ffffff"/>
        <w:widowControl/>
        <w:rPr>
          <w:rFonts w:hint="default"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val="en-US" w:eastAsia="zh-CN"/>
        </w:rPr>
        <w:t xml:space="preserve">（一）</w:t>
      </w:r>
      <w:r>
        <w:rPr>
          <w:rFonts w:hint="eastAsia" w:ascii="仿宋" w:hAnsi="仿宋" w:eastAsia="仿宋"/>
          <w:b/>
          <w:bCs/>
          <w:color w:val="auto"/>
          <w:sz w:val="28"/>
          <w:szCs w:val="28"/>
          <w:highlight w:val="none"/>
          <w:lang w:val="en-US" w:eastAsia="zh-CN"/>
        </w:rPr>
        <w:t xml:space="preserve">各采购包所投产品，需要检定或校准的，第一年须由中标人负责并承担相应费用，报价时投标人须考虑此笔费用。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default" w:ascii="仿宋" w:hAnsi="仿宋" w:eastAsia="仿宋"/>
          <w:color w:val="auto"/>
          <w:sz w:val="28"/>
          <w:szCs w:val="28"/>
          <w:highlight w:val="none"/>
          <w:lang w:val="en-US" w:eastAsia="zh-CN"/>
        </w:rPr>
        <w:suppressLineNumbers w:val="0"/>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报价要求</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rPr>
        <w:t xml:space="preserve">1.本项目报价方式：本项目采用总价报价。响应供应商报价应包含设备的制造、包装、运输、装卸、保险、安装调试、验收、人员培训、检</w:t>
      </w:r>
      <w:r>
        <w:rPr>
          <w:rFonts w:hint="eastAsia" w:ascii="仿宋" w:hAnsi="仿宋" w:eastAsia="仿宋"/>
          <w:color w:val="auto"/>
          <w:sz w:val="28"/>
          <w:szCs w:val="28"/>
          <w:highlight w:val="none"/>
          <w:lang w:val="en-US" w:eastAsia="zh-CN"/>
        </w:rPr>
        <w:t xml:space="preserve">定/校准</w:t>
      </w:r>
      <w:r>
        <w:rPr>
          <w:rFonts w:hint="eastAsia" w:ascii="仿宋" w:hAnsi="仿宋" w:eastAsia="仿宋"/>
          <w:color w:val="auto"/>
          <w:sz w:val="28"/>
          <w:szCs w:val="28"/>
          <w:highlight w:val="none"/>
        </w:rPr>
        <w:t xml:space="preserve">、税金、代理服务费等与本项目相关的一切费用。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rPr>
        <w:t xml:space="preserve">2.响应供应商应对</w:t>
      </w:r>
      <w:r>
        <w:rPr>
          <w:rFonts w:hint="eastAsia" w:ascii="仿宋" w:hAnsi="仿宋" w:eastAsia="仿宋"/>
          <w:color w:val="auto"/>
          <w:sz w:val="28"/>
          <w:szCs w:val="28"/>
          <w:highlight w:val="none"/>
          <w:lang w:eastAsia="zh-CN"/>
        </w:rPr>
        <w:t xml:space="preserve">招标文件</w:t>
      </w:r>
      <w:r>
        <w:rPr>
          <w:rFonts w:hint="eastAsia" w:ascii="仿宋" w:hAnsi="仿宋" w:eastAsia="仿宋"/>
          <w:color w:val="auto"/>
          <w:sz w:val="28"/>
          <w:szCs w:val="28"/>
          <w:highlight w:val="none"/>
        </w:rPr>
        <w:t xml:space="preserve">内的全部内容进行报价，</w:t>
      </w:r>
      <w:r>
        <w:rPr>
          <w:rFonts w:hint="eastAsia" w:ascii="仿宋" w:hAnsi="仿宋" w:eastAsia="仿宋"/>
          <w:color w:val="auto"/>
          <w:sz w:val="28"/>
          <w:szCs w:val="28"/>
          <w:highlight w:val="none"/>
          <w:lang w:eastAsia="zh-CN"/>
        </w:rPr>
        <w:t xml:space="preserve">招标文件</w:t>
      </w:r>
      <w:r>
        <w:rPr>
          <w:rFonts w:hint="eastAsia" w:ascii="仿宋" w:hAnsi="仿宋" w:eastAsia="仿宋"/>
          <w:color w:val="auto"/>
          <w:sz w:val="28"/>
          <w:szCs w:val="28"/>
          <w:highlight w:val="none"/>
        </w:rPr>
        <w:t xml:space="preserve">未列明，而供应商认为其他必需的费用也需列入报价。在合同实施时，采购方将不予支付成交人任何其他增项费用。</w:t>
      </w:r>
      <w:r/>
    </w:p>
    <w:p>
      <w:pPr>
        <w:contextualSpacing/>
        <w:ind w:left="0" w:right="0" w:firstLine="560"/>
        <w:jc w:val="both"/>
        <w:keepLines w:val="0"/>
        <w:keepNext w:val="0"/>
        <w:spacing w:before="0" w:beforeAutospacing="0" w:after="0" w:afterAutospacing="0" w:line="500" w:lineRule="exact"/>
        <w:shd w:val="clear" w:color="auto" w:fill="ffffff"/>
        <w:widowControl/>
        <w:rPr>
          <w:rFonts w:hint="default" w:ascii="仿宋" w:hAnsi="仿宋" w:eastAsia="仿宋"/>
          <w:color w:val="auto"/>
          <w:sz w:val="28"/>
          <w:szCs w:val="28"/>
          <w:highlight w:val="none"/>
          <w:lang w:val="en-US" w:eastAsia="zh-CN"/>
        </w:rPr>
        <w:suppressLineNumbers w:val="0"/>
      </w:pPr>
      <w:r>
        <w:rPr>
          <w:rFonts w:hint="eastAsia" w:ascii="仿宋" w:hAnsi="仿宋" w:eastAsia="仿宋"/>
          <w:b/>
          <w:bCs/>
          <w:color w:val="auto"/>
          <w:sz w:val="28"/>
          <w:szCs w:val="28"/>
          <w:highlight w:val="none"/>
          <w:lang w:val="en-US" w:eastAsia="zh-CN"/>
        </w:rPr>
        <w:t xml:space="preserve">3.采购包总价及列明分项单价不允许超过招标人设定的最高限价，否则视为无效响应。</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应依照规定提交各类声明函、承诺函等，不要求提供原件备查或有关部门出具的相关证明文件，承诺函之内容应全面符合</w:t>
      </w:r>
      <w:r>
        <w:rPr>
          <w:rFonts w:hint="eastAsia" w:ascii="仿宋" w:hAnsi="仿宋" w:eastAsia="仿宋"/>
          <w:color w:val="auto"/>
          <w:sz w:val="28"/>
          <w:szCs w:val="28"/>
          <w:highlight w:val="none"/>
          <w:lang w:val="en-US" w:eastAsia="zh-CN"/>
        </w:rPr>
        <w:t xml:space="preserve">招标人</w:t>
      </w:r>
      <w:r>
        <w:rPr>
          <w:rFonts w:hint="eastAsia" w:ascii="仿宋" w:hAnsi="仿宋" w:eastAsia="仿宋"/>
          <w:color w:val="auto"/>
          <w:sz w:val="28"/>
          <w:szCs w:val="28"/>
          <w:highlight w:val="none"/>
        </w:rPr>
        <w:t xml:space="preserve">要求，如若中标后在核查过程中出现负偏离，则</w:t>
      </w:r>
      <w:r>
        <w:rPr>
          <w:rFonts w:hint="eastAsia" w:ascii="仿宋" w:hAnsi="仿宋" w:eastAsia="仿宋"/>
          <w:color w:val="auto"/>
          <w:sz w:val="28"/>
          <w:szCs w:val="28"/>
          <w:highlight w:val="none"/>
          <w:lang w:val="en-US" w:eastAsia="zh-CN"/>
        </w:rPr>
        <w:t xml:space="preserve">取消中标资格</w:t>
      </w:r>
      <w:r>
        <w:rPr>
          <w:rFonts w:hint="eastAsia" w:ascii="仿宋" w:hAnsi="仿宋" w:eastAsia="仿宋"/>
          <w:color w:val="auto"/>
          <w:sz w:val="28"/>
          <w:szCs w:val="28"/>
          <w:highlight w:val="none"/>
        </w:rPr>
        <w:t xml:space="preserve">，相应后果及损失由中标</w:t>
      </w:r>
      <w:r>
        <w:rPr>
          <w:rFonts w:hint="eastAsia" w:ascii="仿宋" w:hAnsi="仿宋" w:eastAsia="仿宋"/>
          <w:color w:val="auto"/>
          <w:sz w:val="28"/>
          <w:szCs w:val="28"/>
          <w:highlight w:val="none"/>
          <w:lang w:val="en-US" w:eastAsia="zh-CN"/>
        </w:rPr>
        <w:t xml:space="preserve">人承担</w:t>
      </w:r>
      <w:r>
        <w:rPr>
          <w:rFonts w:hint="eastAsia" w:ascii="仿宋" w:hAnsi="仿宋" w:eastAsia="仿宋"/>
          <w:color w:val="auto"/>
          <w:sz w:val="28"/>
          <w:szCs w:val="28"/>
          <w:highlight w:val="none"/>
        </w:rPr>
        <w:t xml:space="preserve">。</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rPr>
        <w:suppressLineNumbers w:val="0"/>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四</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rPr>
        <w:t xml:space="preserve">应做好提交声明函、承诺函等响应原件的核查准备，核查后发现虚假应标或违背承诺的，将上报政府采购监管部门。</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s="Times New Roman"/>
          <w:b/>
          <w:bCs/>
          <w:color w:val="auto"/>
          <w:sz w:val="28"/>
          <w:szCs w:val="28"/>
          <w:highlight w:val="none"/>
          <w:shd w:val="clear" w:color="auto" w:fill="ffffff"/>
        </w:rPr>
        <w:suppressLineNumbers w:val="0"/>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rPr>
        <w:t xml:space="preserve">须提供一份纸质版</w:t>
      </w:r>
      <w:r>
        <w:rPr>
          <w:rFonts w:hint="eastAsia" w:ascii="仿宋" w:hAnsi="仿宋" w:eastAsia="仿宋"/>
          <w:color w:val="auto"/>
          <w:sz w:val="28"/>
          <w:szCs w:val="28"/>
          <w:highlight w:val="none"/>
          <w:lang w:val="en-US" w:eastAsia="zh-CN"/>
        </w:rPr>
        <w:t xml:space="preserve">投标</w:t>
      </w:r>
      <w:r>
        <w:rPr>
          <w:rFonts w:hint="eastAsia" w:ascii="仿宋" w:hAnsi="仿宋" w:eastAsia="仿宋"/>
          <w:color w:val="auto"/>
          <w:sz w:val="28"/>
          <w:szCs w:val="28"/>
          <w:highlight w:val="none"/>
        </w:rPr>
        <w:t xml:space="preserve">文件</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加盖公章的</w:t>
      </w:r>
      <w:r>
        <w:rPr>
          <w:rFonts w:hint="eastAsia" w:ascii="仿宋" w:hAnsi="仿宋" w:eastAsia="仿宋"/>
          <w:color w:val="auto"/>
          <w:sz w:val="28"/>
          <w:szCs w:val="28"/>
          <w:highlight w:val="none"/>
        </w:rPr>
        <w:t xml:space="preserve">正本</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w:t>
      </w:r>
      <w:r>
        <w:rPr>
          <w:rFonts w:hint="eastAsia" w:ascii="仿宋" w:hAnsi="仿宋" w:eastAsia="仿宋"/>
          <w:color w:val="auto"/>
          <w:sz w:val="28"/>
          <w:szCs w:val="28"/>
          <w:highlight w:val="none"/>
          <w:lang w:val="en-US" w:eastAsia="zh-CN"/>
        </w:rPr>
        <w:t xml:space="preserve">招标</w:t>
      </w:r>
      <w:r>
        <w:rPr>
          <w:rFonts w:hint="eastAsia" w:ascii="仿宋" w:hAnsi="仿宋" w:eastAsia="仿宋"/>
          <w:color w:val="auto"/>
          <w:sz w:val="28"/>
          <w:szCs w:val="28"/>
          <w:highlight w:val="none"/>
        </w:rPr>
        <w:t xml:space="preserve">人项目经办人</w:t>
      </w:r>
      <w:r>
        <w:rPr>
          <w:rFonts w:hint="eastAsia" w:ascii="仿宋" w:hAnsi="仿宋" w:eastAsia="仿宋"/>
          <w:color w:val="auto"/>
          <w:sz w:val="28"/>
          <w:szCs w:val="28"/>
          <w:highlight w:val="none"/>
          <w:lang w:val="en-US" w:eastAsia="zh-CN"/>
        </w:rPr>
        <w:t xml:space="preserve">处存档</w:t>
      </w:r>
      <w:r>
        <w:rPr>
          <w:rFonts w:hint="eastAsia" w:ascii="仿宋" w:hAnsi="仿宋" w:eastAsia="仿宋"/>
          <w:color w:val="auto"/>
          <w:sz w:val="28"/>
          <w:szCs w:val="28"/>
          <w:highlight w:val="none"/>
        </w:rPr>
        <w:t xml:space="preserve">。</w:t>
      </w:r>
      <w:r/>
    </w:p>
    <w:p>
      <w:pPr>
        <w:contextualSpacing/>
        <w:ind w:firstLine="560"/>
        <w:shd w:val="clear" w:color="auto" w:fill="ffffff"/>
        <w:widowControl/>
        <w:rPr>
          <w:rFonts w:ascii="仿宋" w:hAnsi="仿宋" w:eastAsia="仿宋"/>
          <w:color w:val="auto"/>
          <w:sz w:val="28"/>
          <w:szCs w:val="28"/>
          <w:highlight w:val="none"/>
        </w:rPr>
      </w:pPr>
      <w:r>
        <w:rPr>
          <w:rFonts w:ascii="仿宋" w:hAnsi="仿宋" w:eastAsia="仿宋"/>
          <w:color w:val="auto"/>
          <w:sz w:val="28"/>
          <w:szCs w:val="28"/>
          <w:highlight w:val="none"/>
        </w:rPr>
      </w:r>
      <w:r/>
    </w:p>
    <w:p>
      <w:pPr>
        <w:pStyle w:val="926"/>
        <w:ind w:firstLine="0"/>
        <w:jc w:val="center"/>
        <w:spacing w:line="240" w:lineRule="auto"/>
        <w:rPr>
          <w:rFonts w:hint="eastAsia" w:ascii="黑体" w:hAnsi="黑体" w:eastAsia="黑体" w:cs="黑体"/>
          <w:bCs/>
          <w:color w:val="auto"/>
          <w:sz w:val="32"/>
          <w:szCs w:val="32"/>
          <w:highlight w:val="none"/>
        </w:rPr>
        <w:outlineLvl w:val="0"/>
      </w:pPr>
      <w:r>
        <w:rPr>
          <w:rFonts w:ascii="方正小标宋简体" w:eastAsia="方正小标宋简体"/>
          <w:bCs/>
          <w:color w:val="auto"/>
          <w:sz w:val="32"/>
          <w:szCs w:val="32"/>
          <w:highlight w:val="none"/>
        </w:rPr>
        <w:br w:type="page" w:clear="all"/>
      </w:r>
      <w:bookmarkStart w:id="75" w:name="_Toc23904"/>
      <w:r>
        <w:rPr>
          <w:rFonts w:hint="eastAsia" w:ascii="黑体" w:hAnsi="黑体" w:eastAsia="黑体" w:cs="黑体"/>
          <w:bCs/>
          <w:color w:val="auto"/>
          <w:sz w:val="32"/>
          <w:szCs w:val="32"/>
          <w:highlight w:val="none"/>
        </w:rPr>
        <w:t xml:space="preserve">第4章 合同文本</w:t>
      </w:r>
      <w:bookmarkEnd w:id="75"/>
      <w:r/>
      <w:r/>
    </w:p>
    <w:p>
      <w:pPr>
        <w:pStyle w:val="926"/>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jc w:val="center"/>
        <w:spacing w:before="19"/>
        <w:widowControl/>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rPr>
        <w:t xml:space="preserve">如皋市政府采购合同</w:t>
      </w:r>
      <w:r/>
    </w:p>
    <w:p>
      <w:pPr>
        <w:spacing w:before="19"/>
        <w:widowControl/>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甲方 :</w:t>
      </w:r>
      <w:r>
        <w:rPr>
          <w:rFonts w:hint="eastAsia" w:ascii="仿宋" w:hAnsi="仿宋" w:eastAsia="仿宋"/>
          <w:color w:val="auto"/>
          <w:sz w:val="24"/>
          <w:highlight w:val="none"/>
          <w:lang w:val="en-US" w:eastAsia="zh-CN"/>
        </w:rPr>
        <w:t xml:space="preserve">南通市如皋生态环境局</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乙方 : </w:t>
      </w:r>
      <w:r/>
    </w:p>
    <w:p>
      <w:pPr>
        <w:spacing w:before="19"/>
        <w:widowControl/>
        <w:rPr>
          <w:rFonts w:ascii="仿宋" w:hAnsi="仿宋" w:eastAsia="仿宋"/>
          <w:color w:val="auto"/>
          <w:sz w:val="24"/>
          <w:highlight w:val="none"/>
        </w:rPr>
      </w:pPr>
      <w:r>
        <w:rPr>
          <w:rFonts w:hint="eastAsia" w:ascii="仿宋_GB2312" w:hAnsi="宋体" w:eastAsia="仿宋_GB2312"/>
          <w:color w:val="auto"/>
          <w:sz w:val="24"/>
          <w:highlight w:val="none"/>
        </w:rPr>
        <w:t xml:space="preserve">（</w:t>
      </w:r>
      <w:r>
        <w:rPr>
          <w:rFonts w:hint="eastAsia" w:ascii="仿宋_GB2312" w:hAnsi="宋体" w:eastAsia="仿宋_GB2312"/>
          <w:color w:val="auto"/>
          <w:sz w:val="24"/>
          <w:highlight w:val="none"/>
          <w:lang w:val="en-US" w:eastAsia="zh-CN"/>
        </w:rPr>
        <w:t xml:space="preserve">南通市如皋生态环境局</w:t>
      </w:r>
      <w:r>
        <w:rPr>
          <w:rFonts w:hint="eastAsia" w:ascii="仿宋_GB2312" w:hAnsi="宋体" w:eastAsia="仿宋_GB2312"/>
          <w:color w:val="auto"/>
          <w:sz w:val="24"/>
          <w:highlight w:val="none"/>
        </w:rPr>
        <w:t xml:space="preserve">）（</w:t>
      </w:r>
      <w:r>
        <w:rPr>
          <w:rFonts w:hint="eastAsia" w:ascii="仿宋_GB2312" w:hAnsi="宋体" w:eastAsia="仿宋_GB2312"/>
          <w:color w:val="auto"/>
          <w:sz w:val="24"/>
          <w:highlight w:val="none"/>
          <w:lang w:val="en-US" w:eastAsia="zh-CN"/>
        </w:rPr>
        <w:t xml:space="preserve">南通市如皋生态环境监测站规范化能力提升项目</w:t>
      </w:r>
      <w:r>
        <w:rPr>
          <w:rFonts w:hint="eastAsia" w:ascii="仿宋_GB2312" w:hAnsi="宋体" w:eastAsia="仿宋_GB2312"/>
          <w:color w:val="auto"/>
          <w:sz w:val="24"/>
          <w:highlight w:val="none"/>
        </w:rPr>
        <w:t xml:space="preserve">项目</w:t>
      </w:r>
      <w:r>
        <w:rPr>
          <w:rFonts w:hint="eastAsia" w:ascii="仿宋_GB2312" w:hAnsi="宋体" w:eastAsia="仿宋_GB2312"/>
          <w:color w:val="auto"/>
          <w:sz w:val="24"/>
          <w:highlight w:val="none"/>
          <w:lang w:val="en-US" w:eastAsia="zh-CN"/>
        </w:rPr>
        <w:t xml:space="preserve"> 采购包 </w:t>
      </w:r>
      <w:r>
        <w:rPr>
          <w:rFonts w:hint="eastAsia" w:ascii="仿宋_GB2312" w:hAnsi="宋体" w:eastAsia="仿宋_GB2312"/>
          <w:color w:val="auto"/>
          <w:sz w:val="24"/>
          <w:highlight w:val="none"/>
          <w:u w:val="single"/>
          <w:lang w:val="en-US" w:eastAsia="zh-CN"/>
        </w:rPr>
        <w:t xml:space="preserve">* </w:t>
      </w:r>
      <w:r>
        <w:rPr>
          <w:rFonts w:hint="eastAsia" w:ascii="仿宋_GB2312" w:hAnsi="宋体" w:eastAsia="仿宋_GB2312"/>
          <w:color w:val="auto"/>
          <w:sz w:val="24"/>
          <w:highlight w:val="none"/>
        </w:rPr>
        <w:t xml:space="preserve">）委托（</w:t>
      </w:r>
      <w:r>
        <w:rPr>
          <w:rFonts w:hint="eastAsia" w:ascii="仿宋_GB2312" w:hAnsi="宋体" w:eastAsia="仿宋_GB2312"/>
          <w:color w:val="auto"/>
          <w:sz w:val="24"/>
          <w:highlight w:val="none"/>
          <w:lang w:val="en-US" w:eastAsia="zh-CN"/>
        </w:rPr>
        <w:t xml:space="preserve">南通泾天纬地项目管理有限公司</w:t>
      </w:r>
      <w:r>
        <w:rPr>
          <w:rFonts w:hint="eastAsia" w:ascii="仿宋_GB2312" w:hAnsi="宋体" w:eastAsia="仿宋_GB2312"/>
          <w:color w:val="auto"/>
          <w:sz w:val="24"/>
          <w:highlight w:val="none"/>
        </w:rPr>
        <w:t xml:space="preserve">）进行了政府采购。按照评委会评审推荐、甲方确定乙方为中标单位。现甲乙双方协商同意签订本合同。</w:t>
      </w:r>
      <w:r/>
    </w:p>
    <w:p>
      <w:pPr>
        <w:numPr>
          <w:ilvl w:val="0"/>
          <w:numId w:val="1"/>
        </w:numPr>
        <w:spacing w:before="19"/>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货物及其数量如下表</w:t>
      </w:r>
      <w:r>
        <w:rPr>
          <w:rFonts w:hint="eastAsia" w:ascii="仿宋" w:hAnsi="仿宋" w:eastAsia="仿宋"/>
          <w:color w:val="auto"/>
          <w:sz w:val="24"/>
          <w:highlight w:val="none"/>
        </w:rPr>
        <w:t xml:space="preserve">：</w:t>
      </w:r>
      <w:r/>
    </w:p>
    <w:tbl>
      <w:tblPr>
        <w:tblStyle w:val="891"/>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单位</w:t>
            </w:r>
            <w:r/>
          </w:p>
        </w:tc>
        <w:tc>
          <w:tcPr>
            <w:tcW w:w="76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数量</w:t>
            </w:r>
            <w:r/>
          </w:p>
        </w:tc>
        <w:tc>
          <w:tcPr>
            <w:tcW w:w="120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单价</w:t>
            </w:r>
            <w:r/>
          </w:p>
        </w:tc>
        <w:tc>
          <w:tcPr>
            <w:tcW w:w="142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总价</w:t>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3256"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03"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25"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3256"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03"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25" w:type="dxa"/>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jc w:val="center"/>
          <w:trHeight w:val="510"/>
        </w:trPr>
        <w:tc>
          <w:tcPr>
            <w:tcW w:w="1580" w:type="dxa"/>
            <w:vAlign w:val="center"/>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ind w:left="0" w:right="0"/>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b/>
                <w:bCs/>
                <w:color w:val="auto"/>
                <w:sz w:val="24"/>
                <w:highlight w:val="none"/>
              </w:rPr>
              <w:t xml:space="preserve">￥</w:t>
            </w:r>
            <w:r/>
          </w:p>
        </w:tc>
      </w:tr>
    </w:tbl>
    <w:p>
      <w:pPr>
        <w:numPr>
          <w:ilvl w:val="0"/>
          <w:numId w:val="1"/>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w:t>
      </w:r>
      <w:r/>
    </w:p>
    <w:p>
      <w:pPr>
        <w:numPr>
          <w:ilvl w:val="0"/>
          <w:numId w:val="1"/>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w:t>
      </w:r>
      <w:r/>
    </w:p>
    <w:p>
      <w:pPr>
        <w:numPr>
          <w:ilvl w:val="0"/>
          <w:numId w:val="1"/>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w:t>
      </w:r>
      <w:r/>
    </w:p>
    <w:p>
      <w:pPr>
        <w:numPr>
          <w:ilvl w:val="0"/>
          <w:numId w:val="1"/>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：1.安装</w:t>
      </w:r>
      <w:r>
        <w:rPr>
          <w:rFonts w:hint="eastAsia" w:ascii="仿宋" w:hAnsi="仿宋" w:eastAsia="仿宋"/>
          <w:color w:val="auto"/>
          <w:sz w:val="24"/>
          <w:highlight w:val="none"/>
          <w:lang w:val="en-US" w:eastAsia="zh-CN"/>
        </w:rPr>
        <w:t xml:space="preserve">结束，</w:t>
      </w:r>
      <w:r>
        <w:rPr>
          <w:rFonts w:hint="eastAsia" w:ascii="仿宋" w:hAnsi="仿宋" w:eastAsia="仿宋"/>
          <w:color w:val="auto"/>
          <w:sz w:val="24"/>
          <w:highlight w:val="none"/>
        </w:rPr>
        <w:t xml:space="preserve">验收合格后，支付至合同价的90%；</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.验收合格后使用12个月，结清尾款。每次支付前成交人需提供正式税票。</w:t>
      </w:r>
      <w:r/>
    </w:p>
    <w:p>
      <w:pPr>
        <w:numPr>
          <w:ilvl w:val="0"/>
          <w:numId w:val="1"/>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1"/>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1"/>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891"/>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19" w:beforeAutospacing="0" w:after="0" w:afterAutospacing="0"/>
              <w:widowControl/>
              <w:rPr>
                <w:rFonts w:hint="eastAsia" w:ascii="仿宋" w:hAnsi="仿宋" w:eastAsia="仿宋"/>
                <w:b/>
                <w:color w:val="auto"/>
                <w:sz w:val="24"/>
                <w:highlight w:val="none"/>
                <w:u w:val="single"/>
                <w:lang w:val="en-US" w:eastAsia="zh-CN"/>
              </w:rPr>
              <w:suppressLineNumbers w:val="0"/>
            </w:pPr>
            <w:r>
              <w:rPr>
                <w:rFonts w:hint="eastAsia" w:ascii="仿宋" w:hAnsi="仿宋" w:eastAsia="仿宋"/>
                <w:b/>
                <w:color w:val="auto"/>
                <w:sz w:val="24"/>
                <w:highlight w:val="none"/>
              </w:rPr>
              <w:t xml:space="preserve">甲方（公章）：</w:t>
            </w:r>
            <w:r>
              <w:rPr>
                <w:rFonts w:hint="eastAsia" w:ascii="仿宋" w:hAnsi="仿宋" w:eastAsia="仿宋"/>
                <w:b/>
                <w:color w:val="auto"/>
                <w:sz w:val="24"/>
                <w:highlight w:val="none"/>
                <w:lang w:val="en-US" w:eastAsia="zh-CN"/>
              </w:rPr>
              <w:t xml:space="preserve">南通市如皋生态环境局</w:t>
            </w:r>
            <w:r/>
          </w:p>
          <w:p>
            <w:pPr>
              <w:ind w:left="0" w:right="0"/>
              <w:keepLines w:val="0"/>
              <w:keepNext w:val="0"/>
              <w:spacing w:before="19" w:beforeAutospacing="0" w:after="0" w:afterAutospacing="0"/>
              <w:widowControl/>
              <w:rPr>
                <w:rFonts w:hint="default" w:ascii="仿宋" w:hAnsi="仿宋" w:eastAsia="仿宋"/>
                <w:b/>
                <w:color w:val="auto"/>
                <w:sz w:val="24"/>
                <w:highlight w:val="none"/>
                <w:u w:val="single"/>
              </w:rPr>
              <w:suppressLineNumbers w:val="0"/>
            </w:pPr>
            <w:r>
              <w:rPr>
                <w:rFonts w:hint="eastAsia" w:ascii="仿宋" w:hAnsi="仿宋" w:eastAsia="仿宋"/>
                <w:color w:val="auto"/>
                <w:sz w:val="24"/>
                <w:highlight w:val="none"/>
              </w:rPr>
              <w:t xml:space="preserve">地址：</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法定代表人（授权人）：</w:t>
            </w:r>
            <w:r/>
          </w:p>
          <w:p>
            <w:pPr>
              <w:ind w:left="0" w:right="0"/>
              <w:jc w:val="right"/>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widowControl/>
              <w:rPr>
                <w:rFonts w:hint="default" w:ascii="仿宋" w:hAnsi="仿宋" w:eastAsia="仿宋"/>
                <w:bCs/>
                <w:color w:val="auto"/>
                <w:sz w:val="24"/>
                <w:highlight w:val="none"/>
              </w:rPr>
              <w:suppressLineNumbers w:val="0"/>
            </w:pPr>
            <w:r>
              <w:rPr>
                <w:rFonts w:hint="eastAsia" w:ascii="仿宋" w:hAnsi="仿宋" w:eastAsia="仿宋"/>
                <w:color w:val="auto"/>
                <w:sz w:val="24"/>
                <w:highlight w:val="none"/>
              </w:rPr>
              <w:t xml:space="preserve">年月日</w:t>
            </w:r>
            <w:r/>
          </w:p>
        </w:tc>
        <w:tc>
          <w:tcPr>
            <w:tcW w:w="4261" w:type="dxa"/>
            <w:textDirection w:val="lrTb"/>
            <w:noWrap w:val="false"/>
          </w:tcPr>
          <w:p>
            <w:pPr>
              <w:ind w:left="0" w:right="0"/>
              <w:keepLines w:val="0"/>
              <w:keepNext w:val="0"/>
              <w:spacing w:before="19" w:beforeAutospacing="0" w:after="0" w:afterAutospacing="0"/>
              <w:widowControl/>
              <w:rPr>
                <w:rFonts w:hint="default" w:ascii="仿宋" w:hAnsi="仿宋" w:eastAsia="仿宋"/>
                <w:b/>
                <w:color w:val="auto"/>
                <w:sz w:val="24"/>
                <w:highlight w:val="none"/>
                <w:u w:val="single"/>
              </w:rPr>
              <w:suppressLineNumbers w:val="0"/>
            </w:pPr>
            <w:r>
              <w:rPr>
                <w:rFonts w:hint="eastAsia" w:ascii="仿宋" w:hAnsi="仿宋" w:eastAsia="仿宋"/>
                <w:b/>
                <w:color w:val="auto"/>
                <w:sz w:val="24"/>
                <w:highlight w:val="none"/>
              </w:rPr>
              <w:t xml:space="preserve">乙方（公章）：</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地址：</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法定代表人（授权人）：</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户名：</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开户银行：</w:t>
            </w:r>
            <w:r/>
          </w:p>
          <w:p>
            <w:pPr>
              <w:ind w:left="0" w:right="0"/>
              <w:keepLines w:val="0"/>
              <w:keepNext w:val="0"/>
              <w:spacing w:before="19" w:beforeAutospacing="0" w:after="0" w:afterAutospacing="0"/>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账号：</w:t>
            </w:r>
            <w:r/>
          </w:p>
          <w:p>
            <w:pPr>
              <w:ind w:left="0" w:right="0"/>
              <w:jc w:val="right"/>
              <w:keepLines w:val="0"/>
              <w:keepNext w:val="0"/>
              <w:spacing w:before="19" w:beforeAutospacing="0" w:after="0" w:afterAutospacing="0"/>
              <w:widowControl/>
              <w:rPr>
                <w:rFonts w:hint="default" w:ascii="仿宋" w:hAnsi="仿宋" w:eastAsia="仿宋"/>
                <w:bCs/>
                <w:color w:val="auto"/>
                <w:sz w:val="24"/>
                <w:highlight w:val="none"/>
              </w:rPr>
              <w:suppressLineNumbers w:val="0"/>
            </w:pPr>
            <w:r>
              <w:rPr>
                <w:rFonts w:hint="eastAsia" w:ascii="仿宋" w:hAnsi="仿宋" w:eastAsia="仿宋"/>
                <w:color w:val="auto"/>
                <w:sz w:val="24"/>
                <w:highlight w:val="none"/>
              </w:rPr>
              <w:t xml:space="preserve">年月日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center"/>
        <w:spacing w:before="19"/>
        <w:widowControl/>
        <w:rPr>
          <w:rFonts w:ascii="仿宋" w:hAnsi="仿宋" w:eastAsia="仿宋"/>
          <w:color w:val="auto"/>
          <w:sz w:val="24"/>
          <w:highlight w:val="none"/>
        </w:rPr>
      </w:pPr>
      <w:r>
        <w:rPr>
          <w:rFonts w:hint="eastAsia" w:ascii="仿宋" w:hAnsi="仿宋" w:eastAsia="仿宋"/>
          <w:b/>
          <w:bCs/>
          <w:color w:val="auto"/>
          <w:sz w:val="24"/>
          <w:highlight w:val="none"/>
          <w:u w:val="single"/>
        </w:rPr>
        <w:t xml:space="preserve">合同专用条款</w:t>
      </w:r>
      <w:r/>
    </w:p>
    <w:p>
      <w:pPr>
        <w:ind w:firstLine="482"/>
        <w:rPr>
          <w:rFonts w:ascii="仿宋" w:hAnsi="仿宋" w:eastAsia="仿宋"/>
          <w:b/>
          <w:color w:val="auto"/>
          <w:sz w:val="24"/>
          <w:highlight w:val="none"/>
        </w:rPr>
        <w:outlineLvl w:val="9"/>
      </w:pPr>
      <w:r/>
      <w:bookmarkStart w:id="76" w:name="_Toc20387"/>
      <w:r>
        <w:rPr>
          <w:rFonts w:hint="eastAsia" w:ascii="仿宋" w:hAnsi="仿宋" w:eastAsia="仿宋"/>
          <w:b/>
          <w:color w:val="auto"/>
          <w:sz w:val="24"/>
          <w:highlight w:val="none"/>
        </w:rPr>
        <w:t xml:space="preserve">第一条 供货及知识产权</w:t>
      </w:r>
      <w:bookmarkEnd w:id="76"/>
      <w:r/>
      <w:r/>
    </w:p>
    <w:p>
      <w:pPr>
        <w:ind w:firstLine="480"/>
        <w:rPr>
          <w:rFonts w:ascii="仿宋" w:hAnsi="仿宋" w:eastAsia="仿宋"/>
          <w:color w:val="auto"/>
          <w:sz w:val="24"/>
          <w:highlight w:val="none"/>
        </w:rPr>
        <w:outlineLvl w:val="9"/>
      </w:pPr>
      <w:r>
        <w:rPr>
          <w:rFonts w:ascii="仿宋" w:hAnsi="仿宋" w:eastAsia="仿宋"/>
          <w:color w:val="auto"/>
          <w:sz w:val="24"/>
          <w:highlight w:val="none"/>
        </w:rPr>
        <w:t xml:space="preserve">乙方应按</w:t>
      </w:r>
      <w:r>
        <w:rPr>
          <w:rFonts w:hint="eastAsia" w:ascii="仿宋" w:hAnsi="仿宋" w:eastAsia="仿宋"/>
          <w:color w:val="auto"/>
          <w:sz w:val="24"/>
          <w:highlight w:val="none"/>
        </w:rPr>
        <w:t xml:space="preserve">照招标</w:t>
      </w:r>
      <w:r>
        <w:rPr>
          <w:rFonts w:ascii="仿宋" w:hAnsi="仿宋" w:eastAsia="仿宋"/>
          <w:color w:val="auto"/>
          <w:sz w:val="24"/>
          <w:highlight w:val="none"/>
        </w:rPr>
        <w:t xml:space="preserve">文件规定</w:t>
      </w:r>
      <w:r>
        <w:rPr>
          <w:rFonts w:hint="eastAsia" w:ascii="仿宋" w:hAnsi="仿宋" w:eastAsia="仿宋"/>
          <w:color w:val="auto"/>
          <w:sz w:val="24"/>
          <w:highlight w:val="none"/>
        </w:rPr>
        <w:t xml:space="preserve">及投标文件承诺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olor w:val="auto"/>
          <w:sz w:val="24"/>
          <w:highlight w:val="none"/>
        </w:rPr>
        <w:outlineLvl w:val="9"/>
      </w:pPr>
      <w:r/>
      <w:bookmarkStart w:id="77" w:name="_Toc4888"/>
      <w:r>
        <w:rPr>
          <w:rFonts w:hint="eastAsia" w:ascii="仿宋" w:hAnsi="仿宋" w:eastAsia="仿宋"/>
          <w:b/>
          <w:color w:val="auto"/>
          <w:sz w:val="24"/>
          <w:highlight w:val="none"/>
        </w:rPr>
        <w:t xml:space="preserve">第二条 合同总价款</w:t>
      </w:r>
      <w:bookmarkEnd w:id="77"/>
      <w:r>
        <w:rPr>
          <w:rFonts w:hint="eastAsia" w:ascii="仿宋" w:hAnsi="仿宋" w:eastAsia="仿宋"/>
          <w:b/>
          <w:color w:val="auto"/>
          <w:sz w:val="24"/>
          <w:highlight w:val="none"/>
        </w:rPr>
        <w:t xml:space="preserve">    </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color w:val="auto"/>
          <w:sz w:val="24"/>
          <w:highlight w:val="none"/>
        </w:rPr>
        <w:outlineLvl w:val="9"/>
      </w:pPr>
      <w:r/>
      <w:bookmarkStart w:id="78" w:name="_Toc5022"/>
      <w:r>
        <w:rPr>
          <w:rFonts w:hint="eastAsia" w:ascii="仿宋" w:hAnsi="仿宋" w:eastAsia="仿宋"/>
          <w:b/>
          <w:color w:val="auto"/>
          <w:sz w:val="24"/>
          <w:highlight w:val="none"/>
        </w:rPr>
        <w:t xml:space="preserve">第三条 质量保证期内的技术支持与售后服务</w:t>
      </w:r>
      <w:bookmarkEnd w:id="78"/>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（一）设备维护措施：自验收合格之日起，进入保修期，质保一年</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如投标文件中有延保承诺则按承诺期限执行</w:t>
      </w:r>
      <w:r>
        <w:rPr>
          <w:rFonts w:hint="eastAsia" w:ascii="仿宋" w:hAnsi="仿宋" w:eastAsia="仿宋"/>
          <w:color w:val="auto"/>
          <w:sz w:val="24"/>
          <w:highlight w:val="none"/>
        </w:rPr>
        <w:t xml:space="preserve">；保修期后，终身维护，保证零配件的供应十年，维修只收取配件费(按市场报价的80%优惠提供)，不收人工费；维修承诺必须有生产单位签注；提供软件终身免费升级。</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（三）维修与备品备件服务：提供国内免费客户服务热线号码和国内维修站电话和地址。供应商保证8小时内维修服务响应，必要时能提供备用机。</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（四）技术服务信息：要求提供</w:t>
      </w:r>
      <w:r>
        <w:rPr>
          <w:rFonts w:hint="eastAsia" w:ascii="仿宋" w:hAnsi="仿宋" w:eastAsia="仿宋"/>
          <w:color w:val="auto"/>
          <w:sz w:val="24"/>
          <w:highlight w:val="none"/>
          <w:lang w:val="en-US" w:eastAsia="zh-CN"/>
        </w:rPr>
        <w:t xml:space="preserve">设备生产方</w:t>
      </w:r>
      <w:r>
        <w:rPr>
          <w:rFonts w:hint="eastAsia" w:ascii="仿宋" w:hAnsi="仿宋" w:eastAsia="仿宋"/>
          <w:color w:val="auto"/>
          <w:sz w:val="24"/>
          <w:highlight w:val="none"/>
        </w:rPr>
        <w:t xml:space="preserve">设有的售后服务机构名称、地址，以及专业技术人员名单和联系电话。</w:t>
      </w:r>
      <w:r/>
    </w:p>
    <w:p>
      <w:pPr>
        <w:ind w:firstLine="482"/>
        <w:rPr>
          <w:rFonts w:ascii="仿宋" w:hAnsi="仿宋" w:eastAsia="仿宋"/>
          <w:b/>
          <w:color w:val="auto"/>
          <w:sz w:val="24"/>
          <w:highlight w:val="none"/>
        </w:rPr>
        <w:outlineLvl w:val="9"/>
      </w:pPr>
      <w:r/>
      <w:bookmarkStart w:id="79" w:name="_Toc19465"/>
      <w:r>
        <w:rPr>
          <w:rFonts w:hint="eastAsia" w:ascii="仿宋" w:hAnsi="仿宋" w:eastAsia="仿宋"/>
          <w:b/>
          <w:color w:val="auto"/>
          <w:sz w:val="24"/>
          <w:highlight w:val="none"/>
        </w:rPr>
        <w:t xml:space="preserve">第四条 质量保证期外的技术支持与服务</w:t>
      </w:r>
      <w:bookmarkEnd w:id="79"/>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按乙方投标文件执行。</w:t>
      </w:r>
      <w:r/>
    </w:p>
    <w:p>
      <w:pPr>
        <w:ind w:firstLine="482"/>
        <w:rPr>
          <w:rFonts w:ascii="仿宋" w:hAnsi="仿宋" w:eastAsia="仿宋"/>
          <w:b/>
          <w:color w:val="auto"/>
          <w:sz w:val="24"/>
          <w:highlight w:val="none"/>
        </w:rPr>
        <w:outlineLvl w:val="9"/>
      </w:pPr>
      <w:r/>
      <w:bookmarkStart w:id="80" w:name="_Toc25798"/>
      <w:r>
        <w:rPr>
          <w:rFonts w:hint="eastAsia" w:ascii="仿宋" w:hAnsi="仿宋" w:eastAsia="仿宋"/>
          <w:b/>
          <w:color w:val="auto"/>
          <w:sz w:val="24"/>
          <w:highlight w:val="none"/>
        </w:rPr>
        <w:t xml:space="preserve">第五条 交货和验收</w:t>
      </w:r>
      <w:bookmarkEnd w:id="80"/>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1、乙方应按照本合同规定的时间、地点和方式向甲方交付货物。</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3、甲方应当在到货后五日内对货物进行验收，</w:t>
      </w:r>
      <w:r>
        <w:rPr>
          <w:rFonts w:ascii="仿宋" w:hAnsi="仿宋" w:eastAsia="仿宋"/>
          <w:color w:val="auto"/>
          <w:sz w:val="24"/>
          <w:highlight w:val="none"/>
        </w:rPr>
        <w:t xml:space="preserve">验收包括：型号、规格、数量、外观质量</w:t>
      </w:r>
      <w:r>
        <w:rPr>
          <w:rFonts w:hint="eastAsia" w:ascii="仿宋" w:hAnsi="仿宋" w:eastAsia="仿宋"/>
          <w:color w:val="auto"/>
          <w:sz w:val="24"/>
          <w:highlight w:val="none"/>
          <w:lang w:eastAsia="zh-CN"/>
        </w:rPr>
        <w:t xml:space="preserve">及</w:t>
      </w:r>
      <w:r>
        <w:rPr>
          <w:rFonts w:ascii="仿宋" w:hAnsi="仿宋" w:eastAsia="仿宋"/>
          <w:color w:val="auto"/>
          <w:sz w:val="24"/>
          <w:highlight w:val="none"/>
        </w:rPr>
        <w:t xml:space="preserve">货物包装</w:t>
      </w:r>
      <w:r>
        <w:rPr>
          <w:rFonts w:hint="eastAsia" w:ascii="仿宋" w:hAnsi="仿宋" w:eastAsia="仿宋"/>
          <w:color w:val="auto"/>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color w:val="auto"/>
          <w:sz w:val="24"/>
          <w:highlight w:val="none"/>
        </w:rPr>
        <w:outlineLvl w:val="9"/>
      </w:pPr>
      <w:r/>
      <w:bookmarkStart w:id="81" w:name="_Toc17603"/>
      <w:r>
        <w:rPr>
          <w:rFonts w:hint="eastAsia" w:ascii="仿宋" w:hAnsi="仿宋" w:eastAsia="仿宋"/>
          <w:b/>
          <w:color w:val="auto"/>
          <w:sz w:val="24"/>
          <w:highlight w:val="none"/>
        </w:rPr>
        <w:t xml:space="preserve">第六条 货款支付</w:t>
      </w:r>
      <w:bookmarkEnd w:id="81"/>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本合同项下所有款项均在乙方货物交付验收合格后，并提交所需单据后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个工作日内按合同约定的付款</w:t>
      </w:r>
      <w:r>
        <w:rPr>
          <w:rFonts w:hint="eastAsia" w:ascii="仿宋" w:hAnsi="仿宋" w:eastAsia="仿宋"/>
          <w:color w:val="auto"/>
          <w:sz w:val="24"/>
          <w:highlight w:val="none"/>
          <w:lang w:eastAsia="zh-CN"/>
        </w:rPr>
        <w:t xml:space="preserve">方式</w:t>
      </w:r>
      <w:r>
        <w:rPr>
          <w:rFonts w:hint="eastAsia" w:ascii="仿宋" w:hAnsi="仿宋" w:eastAsia="仿宋"/>
          <w:color w:val="auto"/>
          <w:sz w:val="24"/>
          <w:highlight w:val="none"/>
        </w:rPr>
        <w:t xml:space="preserve">支付货款。</w:t>
      </w:r>
      <w:r/>
    </w:p>
    <w:p>
      <w:pPr>
        <w:ind w:firstLine="482"/>
        <w:rPr>
          <w:rFonts w:ascii="仿宋" w:hAnsi="仿宋" w:eastAsia="仿宋"/>
          <w:b/>
          <w:color w:val="auto"/>
          <w:sz w:val="24"/>
          <w:highlight w:val="none"/>
        </w:rPr>
        <w:outlineLvl w:val="9"/>
      </w:pPr>
      <w:r/>
      <w:bookmarkStart w:id="82" w:name="_Toc5533"/>
      <w:r>
        <w:rPr>
          <w:rFonts w:hint="eastAsia" w:ascii="仿宋" w:hAnsi="仿宋" w:eastAsia="仿宋"/>
          <w:b/>
          <w:color w:val="auto"/>
          <w:sz w:val="24"/>
          <w:highlight w:val="none"/>
        </w:rPr>
        <w:t xml:space="preserve">第七条 违约责任</w:t>
      </w:r>
      <w:bookmarkEnd w:id="82"/>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3、如乙方不能交付货物，乙方应向甲方支付合同总价５％的违约金。</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6、在乙方承诺的或国家规定的质量保证期内（取两者中最长的期限），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退回全部货款，并按第3款处理，同时，乙方还须赔偿甲方因此遭受的损失。</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7、乙方未按本合同的规定和服务承诺提供服务的，应按合同总价款的_3_%向甲方承担违约责任。</w:t>
      </w:r>
      <w:r/>
    </w:p>
    <w:p>
      <w:pPr>
        <w:ind w:firstLine="482"/>
        <w:rPr>
          <w:rFonts w:ascii="仿宋" w:hAnsi="仿宋" w:eastAsia="仿宋"/>
          <w:b/>
          <w:color w:val="auto"/>
          <w:sz w:val="24"/>
          <w:highlight w:val="none"/>
        </w:rPr>
        <w:outlineLvl w:val="9"/>
      </w:pPr>
      <w:r/>
      <w:bookmarkStart w:id="83" w:name="_Toc16972"/>
      <w:r>
        <w:rPr>
          <w:rFonts w:hint="eastAsia" w:ascii="仿宋" w:hAnsi="仿宋" w:eastAsia="仿宋"/>
          <w:b/>
          <w:color w:val="auto"/>
          <w:sz w:val="24"/>
          <w:highlight w:val="none"/>
        </w:rPr>
        <w:t xml:space="preserve">第八条 合同的变更和终止</w:t>
      </w:r>
      <w:bookmarkEnd w:id="83"/>
      <w:r/>
      <w:r/>
    </w:p>
    <w:p>
      <w:pPr>
        <w:pStyle w:val="903"/>
        <w:ind w:firstLine="480"/>
        <w:tabs>
          <w:tab w:val="clear" w:pos="4153" w:leader="none"/>
          <w:tab w:val="clear" w:pos="8306" w:leader="none"/>
        </w:tabs>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除《政府采购法》第49条、第50条第二款规定的情形外，本合同一经签订，甲乙双方不得擅自变更、中止或终止合同。</w:t>
      </w:r>
      <w:r/>
    </w:p>
    <w:p>
      <w:pPr>
        <w:ind w:firstLine="482"/>
        <w:rPr>
          <w:rFonts w:ascii="仿宋" w:hAnsi="仿宋" w:eastAsia="仿宋"/>
          <w:b/>
          <w:color w:val="auto"/>
          <w:sz w:val="24"/>
          <w:highlight w:val="none"/>
        </w:rPr>
        <w:outlineLvl w:val="9"/>
      </w:pPr>
      <w:r/>
      <w:bookmarkStart w:id="84" w:name="_Toc18806"/>
      <w:r>
        <w:rPr>
          <w:rFonts w:hint="eastAsia" w:ascii="仿宋" w:hAnsi="仿宋" w:eastAsia="仿宋"/>
          <w:b/>
          <w:color w:val="auto"/>
          <w:sz w:val="24"/>
          <w:highlight w:val="none"/>
        </w:rPr>
        <w:t xml:space="preserve">第十三条 合同的转让</w:t>
      </w:r>
      <w:bookmarkEnd w:id="84"/>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乙方不得擅自部分或全部转让其应履行的合同义务。</w:t>
      </w:r>
      <w:r/>
    </w:p>
    <w:p>
      <w:pPr>
        <w:ind w:firstLine="482"/>
        <w:rPr>
          <w:rFonts w:ascii="仿宋" w:hAnsi="仿宋" w:eastAsia="仿宋"/>
          <w:b/>
          <w:color w:val="auto"/>
          <w:sz w:val="24"/>
          <w:highlight w:val="none"/>
        </w:rPr>
        <w:outlineLvl w:val="9"/>
      </w:pPr>
      <w:r/>
      <w:bookmarkStart w:id="85" w:name="_Toc2951"/>
      <w:r>
        <w:rPr>
          <w:rFonts w:hint="eastAsia" w:ascii="仿宋" w:hAnsi="仿宋" w:eastAsia="仿宋"/>
          <w:b/>
          <w:color w:val="auto"/>
          <w:sz w:val="24"/>
          <w:highlight w:val="none"/>
        </w:rPr>
        <w:t xml:space="preserve">第十四条 争议的解决</w:t>
      </w:r>
      <w:bookmarkEnd w:id="85"/>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color w:val="auto"/>
          <w:sz w:val="24"/>
          <w:highlight w:val="none"/>
        </w:rPr>
        <w:outlineLvl w:val="9"/>
      </w:pPr>
      <w:r/>
      <w:bookmarkStart w:id="86" w:name="_Toc281"/>
      <w:r>
        <w:rPr>
          <w:rFonts w:hint="eastAsia" w:ascii="仿宋" w:hAnsi="仿宋" w:eastAsia="仿宋"/>
          <w:b/>
          <w:color w:val="auto"/>
          <w:sz w:val="24"/>
          <w:highlight w:val="none"/>
        </w:rPr>
        <w:t xml:space="preserve">第十五条 合同生效及其他</w:t>
      </w:r>
      <w:bookmarkEnd w:id="86"/>
      <w:r/>
      <w:r/>
    </w:p>
    <w:p>
      <w:pPr>
        <w:ind w:firstLine="480"/>
        <w:rPr>
          <w:rFonts w:ascii="仿宋" w:hAnsi="仿宋" w:eastAsia="仿宋"/>
          <w:color w:val="auto"/>
          <w:sz w:val="24"/>
          <w:highlight w:val="none"/>
        </w:rPr>
        <w:outlineLvl w:val="9"/>
      </w:pPr>
      <w:r>
        <w:rPr>
          <w:rFonts w:hint="eastAsia" w:ascii="仿宋" w:hAnsi="仿宋" w:eastAsia="仿宋"/>
          <w:color w:val="auto"/>
          <w:sz w:val="24"/>
          <w:highlight w:val="none"/>
        </w:rPr>
        <w:t xml:space="preserve">1、本合同自签订之日起生效。</w:t>
      </w:r>
      <w:r/>
    </w:p>
    <w:p>
      <w:pPr>
        <w:pStyle w:val="926"/>
        <w:ind w:firstLine="0"/>
        <w:jc w:val="center"/>
        <w:spacing w:line="240" w:lineRule="auto"/>
        <w:rPr>
          <w:b/>
          <w:color w:val="auto"/>
          <w:highlight w:val="none"/>
        </w:rPr>
        <w:outlineLvl w:val="0"/>
      </w:pPr>
      <w:r>
        <w:rPr>
          <w:rFonts w:ascii="黑体" w:hAnsi="黑体" w:eastAsia="黑体"/>
          <w:color w:val="auto"/>
          <w:sz w:val="28"/>
          <w:szCs w:val="28"/>
          <w:highlight w:val="none"/>
        </w:rPr>
        <w:br w:type="page" w:clear="all"/>
      </w:r>
      <w:bookmarkStart w:id="87" w:name="_Toc9669"/>
      <w:r>
        <w:rPr>
          <w:rFonts w:hint="eastAsia" w:ascii="方正小标宋简体" w:eastAsia="方正小标宋简体"/>
          <w:bCs/>
          <w:color w:val="auto"/>
          <w:sz w:val="32"/>
          <w:szCs w:val="32"/>
          <w:highlight w:val="none"/>
        </w:rPr>
        <w:t xml:space="preserve">第5章 评标标准和方法</w:t>
      </w:r>
      <w:bookmarkEnd w:id="87"/>
      <w:r/>
      <w:r/>
    </w:p>
    <w:p>
      <w:pPr>
        <w:ind w:firstLine="560"/>
        <w:spacing w:line="500" w:lineRule="exact"/>
        <w:rPr>
          <w:rFonts w:ascii="仿宋" w:hAnsi="仿宋" w:eastAsia="仿宋"/>
          <w:color w:val="auto"/>
          <w:sz w:val="28"/>
          <w:szCs w:val="28"/>
          <w:highlight w:val="none"/>
        </w:rPr>
        <w:outlineLvl w:val="1"/>
      </w:pPr>
      <w:r/>
      <w:bookmarkStart w:id="88" w:name="_Toc15780"/>
      <w:r/>
      <w:bookmarkStart w:id="89" w:name="_Toc8998"/>
      <w:r>
        <w:rPr>
          <w:rFonts w:hint="eastAsia" w:ascii="仿宋" w:hAnsi="仿宋" w:eastAsia="仿宋"/>
          <w:color w:val="auto"/>
          <w:sz w:val="28"/>
          <w:szCs w:val="28"/>
          <w:highlight w:val="none"/>
        </w:rPr>
        <w:t xml:space="preserve">一、</w:t>
      </w:r>
      <w:bookmarkEnd w:id="88"/>
      <w:r/>
      <w:bookmarkStart w:id="90" w:name="_Toc25242"/>
      <w:r>
        <w:rPr>
          <w:rFonts w:hint="eastAsia" w:ascii="仿宋" w:hAnsi="仿宋" w:eastAsia="仿宋"/>
          <w:color w:val="auto"/>
          <w:sz w:val="28"/>
          <w:szCs w:val="28"/>
          <w:highlight w:val="none"/>
        </w:rPr>
        <w:t xml:space="preserve">综合评分法</w:t>
      </w:r>
      <w:bookmarkEnd w:id="89"/>
      <w:r/>
      <w:bookmarkEnd w:id="90"/>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2.评标委员会将对通过资格及符合性检查的各合格</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根据投标文件和招标货物的性能、价格、商务等因素进行评分，总分为100分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不含清单内产品加分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的最终得分是所有评委给其的评分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不含报价得分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投标报价得分=(评标基准价／投标报价)×价格分分值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5.评分表</w:t>
      </w:r>
      <w:r/>
    </w:p>
    <w:p>
      <w:pPr>
        <w:ind w:firstLine="562"/>
        <w:rPr>
          <w:rFonts w:hint="eastAsia" w:ascii="仿宋" w:hAnsi="仿宋" w:eastAsia="仿宋"/>
          <w:b/>
          <w:bCs/>
          <w:color w:val="auto"/>
          <w:sz w:val="28"/>
          <w:szCs w:val="28"/>
          <w:highlight w:val="none"/>
          <w:lang w:val="en-US" w:eastAsia="zh-CN"/>
        </w:rPr>
        <w:outlineLvl w:val="2"/>
      </w:pPr>
      <w:r>
        <w:rPr>
          <w:rFonts w:hint="eastAsia" w:ascii="仿宋" w:hAnsi="仿宋" w:eastAsia="仿宋"/>
          <w:b/>
          <w:bCs/>
          <w:color w:val="auto"/>
          <w:sz w:val="28"/>
          <w:szCs w:val="28"/>
          <w:highlight w:val="none"/>
          <w:lang w:val="en-US" w:eastAsia="zh-CN"/>
        </w:rPr>
        <w:t xml:space="preserve">（1）采购包1评分表</w:t>
      </w:r>
      <w:r/>
    </w:p>
    <w:tbl>
      <w:tblPr>
        <w:tblStyle w:val="891"/>
        <w:tblW w:w="889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1176"/>
        <w:gridCol w:w="783"/>
        <w:gridCol w:w="5348"/>
        <w:gridCol w:w="887"/>
      </w:tblGrid>
      <w:tr>
        <w:trPr>
          <w:jc w:val="center"/>
          <w:trHeight w:val="433"/>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评审因素</w:t>
            </w:r>
            <w:r/>
          </w:p>
        </w:tc>
        <w:tc>
          <w:tcPr>
            <w:shd w:val="clear" w:color="auto" w:fill="auto"/>
            <w:tcBorders>
              <w:top w:val="single" w:color="000000" w:sz="8" w:space="0"/>
              <w:left w:val="none" w:color="000000" w:sz="4"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534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评审要求或标准</w:t>
            </w:r>
            <w:r/>
          </w:p>
        </w:tc>
        <w:tc>
          <w:tcPr>
            <w:shd w:val="clear" w:color="auto" w:fill="auto"/>
            <w:tcBorders>
              <w:top w:val="single" w:color="000000" w:sz="8" w:space="0"/>
              <w:left w:val="none" w:color="000000" w:sz="4" w:space="0"/>
              <w:bottom w:val="single" w:color="000000" w:sz="8" w:space="0"/>
              <w:right w:val="single" w:color="000000" w:sz="8" w:space="0"/>
            </w:tcBorders>
            <w:tcW w:w="88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得分</w:t>
            </w:r>
            <w:r/>
          </w:p>
        </w:tc>
      </w:tr>
      <w:tr>
        <w:trPr>
          <w:jc w:val="center"/>
          <w:trHeight w:val="9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价格</w:t>
            </w:r>
            <w:r/>
          </w:p>
        </w:tc>
        <w:tc>
          <w:tcPr>
            <w:shd w:val="clear" w:color="auto" w:fill="auto"/>
            <w:tcBorders>
              <w:top w:val="single" w:color="000000" w:sz="8" w:space="0"/>
              <w:left w:val="none" w:color="000000" w:sz="4"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pacing w:val="-20"/>
                <w:sz w:val="24"/>
                <w:szCs w:val="24"/>
                <w:highlight w:val="none"/>
              </w:rPr>
              <w:suppressLineNumbers w:val="0"/>
            </w:pPr>
            <w:r>
              <w:rPr>
                <w:rFonts w:hint="eastAsia" w:ascii="仿宋" w:hAnsi="仿宋" w:eastAsia="仿宋" w:cs="仿宋"/>
                <w:bCs/>
                <w:color w:val="auto"/>
                <w:spacing w:val="-20"/>
                <w:sz w:val="24"/>
                <w:szCs w:val="24"/>
                <w:highlight w:val="none"/>
                <w:lang w:val="en-US" w:eastAsia="zh-CN" w:bidi="ar"/>
              </w:rPr>
              <w:t xml:space="preserve">40</w:t>
            </w:r>
            <w:r/>
          </w:p>
        </w:tc>
        <w:tc>
          <w:tcPr>
            <w:shd w:val="clear" w:color="auto" w:fill="auto"/>
            <w:tcBorders>
              <w:top w:val="single" w:color="000000" w:sz="8" w:space="0"/>
              <w:left w:val="none" w:color="000000" w:sz="4" w:space="0"/>
              <w:bottom w:val="single" w:color="000000" w:sz="8" w:space="0"/>
              <w:right w:val="single" w:color="000000" w:sz="8" w:space="0"/>
            </w:tcBorders>
            <w:tcW w:w="5348"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价格分应当采用低价优先法计算，即满足招标文件要求且投标价格最低的投标报价为评标基准价，其价格分为满分。其他投标人的价格分统一按照下列公式计算：</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投标报价得分=(评标基准价／投标报价)×价格分分值</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评标过程中，不得去掉报价中的最高报价和最低报价。因落实政府采购政策进行价格调整的，以调整后的价格计算评标基准价和投标报价。</w:t>
            </w:r>
            <w:r/>
          </w:p>
        </w:tc>
        <w:tc>
          <w:tcPr>
            <w:shd w:val="clear" w:color="auto" w:fill="auto"/>
            <w:tcBorders>
              <w:top w:val="single" w:color="000000" w:sz="8" w:space="0"/>
              <w:left w:val="none" w:color="000000" w:sz="4" w:space="0"/>
              <w:bottom w:val="single" w:color="000000" w:sz="8" w:space="0"/>
              <w:right w:val="single" w:color="000000" w:sz="8" w:space="0"/>
            </w:tcBorders>
            <w:tcW w:w="88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jc w:val="center"/>
          <w:trHeight w:val="274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产品</w:t>
            </w:r>
            <w:r/>
          </w:p>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性能</w:t>
            </w:r>
            <w:r/>
          </w:p>
        </w:tc>
        <w:tc>
          <w:tcPr>
            <w:shd w:val="clear" w:color="auto" w:fill="auto"/>
            <w:tcBorders>
              <w:top w:val="single" w:color="000000" w:sz="8" w:space="0"/>
              <w:left w:val="none" w:color="000000" w:sz="4"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pacing w:val="-20"/>
                <w:sz w:val="24"/>
                <w:szCs w:val="24"/>
                <w:highlight w:val="none"/>
              </w:rPr>
              <w:suppressLineNumbers w:val="0"/>
            </w:pPr>
            <w:r>
              <w:rPr>
                <w:rFonts w:hint="eastAsia" w:ascii="仿宋" w:hAnsi="仿宋" w:eastAsia="仿宋" w:cs="仿宋"/>
                <w:bCs/>
                <w:color w:val="auto"/>
                <w:spacing w:val="-20"/>
                <w:sz w:val="24"/>
                <w:szCs w:val="24"/>
                <w:highlight w:val="none"/>
                <w:lang w:val="en-US" w:eastAsia="zh-CN" w:bidi="ar"/>
              </w:rPr>
              <w:t xml:space="preserve">40</w:t>
            </w:r>
            <w:r/>
          </w:p>
        </w:tc>
        <w:tc>
          <w:tcPr>
            <w:shd w:val="clear" w:color="auto" w:fill="auto"/>
            <w:tcBorders>
              <w:top w:val="single" w:color="000000" w:sz="8" w:space="0"/>
              <w:left w:val="none" w:color="000000" w:sz="4" w:space="0"/>
              <w:bottom w:val="single" w:color="000000" w:sz="8" w:space="0"/>
              <w:right w:val="single" w:color="000000" w:sz="8" w:space="0"/>
            </w:tcBorders>
            <w:tcW w:w="5348"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依据制造商公开发行的彩页、技术白皮书、技术规格书、产品使用说明书、功能截图或产品检验报告，具体评分标准如下：</w:t>
            </w:r>
            <w:r/>
          </w:p>
          <w:p>
            <w:pPr>
              <w:pStyle w:val="892"/>
              <w:ind w:left="0" w:right="0" w:firstLine="0"/>
              <w:keepLines w:val="0"/>
              <w:keepNext w:val="0"/>
              <w:pageBreakBefore w:val="0"/>
              <w:spacing w:before="0" w:beforeAutospacing="0" w:after="0" w:line="360" w:lineRule="exact"/>
              <w:widowControl w:val="off"/>
              <w:rPr>
                <w:rFonts w:hint="eastAsia"/>
                <w:color w:val="auto"/>
                <w:highlight w:val="none"/>
              </w:rPr>
            </w:pPr>
            <w:r>
              <w:rPr>
                <w:rFonts w:hint="eastAsia" w:ascii="仿宋" w:hAnsi="仿宋" w:eastAsia="仿宋" w:cs="仿宋"/>
                <w:color w:val="auto"/>
                <w:sz w:val="24"/>
                <w:szCs w:val="24"/>
                <w:highlight w:val="none"/>
                <w:lang w:val="en-US" w:eastAsia="zh-CN"/>
              </w:rPr>
              <w:t xml:space="preserve">（一）总磷、总氮自动检测仪</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1.所投总磷、总氮自动检测仪试剂定量加注系统不少于2套独立运行的试剂定量加注系统的，得4分；</w:t>
            </w:r>
            <w:r>
              <w:rPr>
                <w:rFonts w:hint="eastAsia" w:ascii="仿宋" w:hAnsi="仿宋" w:eastAsia="仿宋" w:cs="仿宋"/>
                <w:b/>
                <w:bCs/>
                <w:color w:val="auto"/>
                <w:sz w:val="24"/>
                <w:szCs w:val="24"/>
                <w:highlight w:val="none"/>
                <w:lang w:val="en-US" w:eastAsia="zh-CN"/>
              </w:rPr>
              <w:t xml:space="preserve">须提供须提供官方彩页或实物照片作为证明材料，不提供不得分。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2.所投总磷、总氮自动检测仪试剂加液针，不少于3套独立的试剂加液针的得4分。</w:t>
            </w:r>
            <w:r>
              <w:rPr>
                <w:rFonts w:hint="eastAsia" w:ascii="仿宋" w:hAnsi="仿宋" w:eastAsia="仿宋" w:cs="仿宋"/>
                <w:b/>
                <w:bCs/>
                <w:color w:val="auto"/>
                <w:sz w:val="24"/>
                <w:szCs w:val="24"/>
                <w:highlight w:val="none"/>
                <w:lang w:val="en-US" w:eastAsia="zh-CN"/>
              </w:rPr>
              <w:t xml:space="preserve">须提供须提供官方彩页或实物照片作为证明材料，不提供不得分。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3.所投总磷、总氮自动检测仪符合国标钼酸铵分光光度法、碱性过硫酸钾消解紫外分光光度法，满足总磷、总氮样品同时进行全过程自动运行分析的，得 4分，</w:t>
            </w:r>
            <w:r>
              <w:rPr>
                <w:rFonts w:hint="eastAsia" w:ascii="仿宋" w:hAnsi="仿宋" w:eastAsia="仿宋" w:cs="仿宋"/>
                <w:b/>
                <w:bCs/>
                <w:color w:val="auto"/>
                <w:sz w:val="24"/>
                <w:szCs w:val="24"/>
                <w:highlight w:val="none"/>
                <w:lang w:val="en-US" w:eastAsia="zh-CN"/>
              </w:rPr>
              <w:t xml:space="preserve">须提供官方彩页或公开发行的技术白皮书作为证明材料，不提供不得分。</w:t>
            </w:r>
            <w:r/>
          </w:p>
          <w:p>
            <w:pPr>
              <w:numPr>
                <w:ilvl w:val="0"/>
                <w:numId w:val="2"/>
              </w:numPr>
              <w:ind w:left="210" w:right="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全自动氨氮分析仪</w:t>
            </w:r>
            <w:r/>
          </w:p>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4.所投全自动氨氮分析仪，</w:t>
            </w:r>
            <w:r>
              <w:rPr>
                <w:rFonts w:hint="eastAsia" w:ascii="仿宋" w:hAnsi="仿宋" w:eastAsia="仿宋" w:cs="仿宋"/>
                <w:color w:val="auto"/>
                <w:sz w:val="24"/>
                <w:szCs w:val="24"/>
                <w:highlight w:val="none"/>
                <w:lang w:eastAsia="zh-CN"/>
              </w:rPr>
              <w:t xml:space="preserve">实现</w:t>
            </w:r>
            <w:r>
              <w:rPr>
                <w:rFonts w:hint="eastAsia" w:ascii="仿宋" w:hAnsi="仿宋" w:eastAsia="仿宋" w:cs="仿宋"/>
                <w:color w:val="auto"/>
                <w:sz w:val="24"/>
                <w:szCs w:val="24"/>
                <w:highlight w:val="none"/>
                <w:lang w:val="en-US" w:eastAsia="zh-CN"/>
              </w:rPr>
              <w:t xml:space="preserve">整个分析过程自动进样蒸馏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显色、</w:t>
            </w:r>
            <w:r>
              <w:rPr>
                <w:rFonts w:hint="eastAsia" w:ascii="仿宋" w:hAnsi="仿宋" w:eastAsia="仿宋" w:cs="仿宋"/>
                <w:color w:val="auto"/>
                <w:sz w:val="24"/>
                <w:szCs w:val="24"/>
                <w:highlight w:val="none"/>
              </w:rPr>
              <w:t xml:space="preserve">分析、数据处理</w:t>
            </w:r>
            <w:r>
              <w:rPr>
                <w:rFonts w:hint="eastAsia" w:ascii="仿宋" w:hAnsi="仿宋" w:eastAsia="仿宋" w:cs="仿宋"/>
                <w:color w:val="auto"/>
                <w:sz w:val="24"/>
                <w:szCs w:val="24"/>
                <w:highlight w:val="none"/>
                <w:lang w:val="en-US" w:eastAsia="zh-CN"/>
              </w:rPr>
              <w:t xml:space="preserve">及试剂添加和各环节容器清洗的全自动化运行</w:t>
            </w:r>
            <w:r>
              <w:rPr>
                <w:rFonts w:hint="eastAsia" w:ascii="仿宋" w:hAnsi="仿宋" w:eastAsia="仿宋" w:cs="仿宋"/>
                <w:color w:val="auto"/>
                <w:sz w:val="24"/>
                <w:szCs w:val="24"/>
                <w:highlight w:val="none"/>
              </w:rPr>
              <w:t xml:space="preserve">，无需人员干预值守</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lang w:val="en-US" w:eastAsia="zh-CN"/>
              </w:rPr>
              <w:t xml:space="preserve">得4分。</w:t>
            </w:r>
            <w:r>
              <w:rPr>
                <w:rFonts w:hint="eastAsia" w:ascii="仿宋" w:hAnsi="仿宋" w:eastAsia="仿宋" w:cs="仿宋"/>
                <w:b/>
                <w:bCs/>
                <w:color w:val="auto"/>
                <w:sz w:val="24"/>
                <w:szCs w:val="24"/>
                <w:highlight w:val="none"/>
                <w:lang w:val="en-US" w:eastAsia="zh-CN"/>
              </w:rPr>
              <w:t xml:space="preserve">须</w:t>
            </w:r>
            <w:r>
              <w:rPr>
                <w:rFonts w:hint="eastAsia" w:ascii="仿宋" w:hAnsi="仿宋" w:eastAsia="仿宋" w:cs="仿宋"/>
                <w:b/>
                <w:bCs/>
                <w:color w:val="auto"/>
                <w:sz w:val="24"/>
                <w:szCs w:val="24"/>
                <w:highlight w:val="none"/>
              </w:rPr>
              <w:t xml:space="preserve">提供</w:t>
            </w:r>
            <w:r>
              <w:rPr>
                <w:rFonts w:hint="eastAsia" w:ascii="仿宋" w:hAnsi="仿宋" w:eastAsia="仿宋" w:cs="仿宋"/>
                <w:b/>
                <w:bCs/>
                <w:color w:val="auto"/>
                <w:sz w:val="24"/>
                <w:szCs w:val="24"/>
                <w:highlight w:val="none"/>
                <w:lang w:val="en-US" w:eastAsia="zh-CN"/>
              </w:rPr>
              <w:t xml:space="preserve">官方彩页或</w:t>
            </w:r>
            <w:r>
              <w:rPr>
                <w:rFonts w:hint="eastAsia" w:ascii="仿宋" w:hAnsi="仿宋" w:eastAsia="仿宋" w:cs="仿宋"/>
                <w:b/>
                <w:bCs/>
                <w:color w:val="auto"/>
                <w:sz w:val="24"/>
                <w:szCs w:val="24"/>
                <w:highlight w:val="none"/>
              </w:rPr>
              <w:t xml:space="preserve">实物正面、侧面照片</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不提供不得分</w:t>
            </w:r>
            <w:r>
              <w:rPr>
                <w:rFonts w:hint="eastAsia" w:ascii="仿宋" w:hAnsi="仿宋" w:eastAsia="仿宋" w:cs="仿宋"/>
                <w:b/>
                <w:bCs/>
                <w:color w:val="auto"/>
                <w:sz w:val="24"/>
                <w:szCs w:val="24"/>
                <w:highlight w:val="none"/>
              </w:rPr>
              <w:t xml:space="preserve">。</w:t>
            </w:r>
            <w:r/>
          </w:p>
          <w:p>
            <w:pPr>
              <w:numPr>
                <w:ilvl w:val="0"/>
                <w:numId w:val="0"/>
              </w:numPr>
              <w:ind w:left="0" w:right="0"/>
              <w:jc w:val="both"/>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5.所投全自动氨氮分析仪，具备全自动蒸馏系统具备多通道循环蒸馏、所需蒸馏试剂自动定量添加、烧瓶容器自动清洗、馏出液自动定量收集并转移等功能的，得4分。</w:t>
            </w:r>
            <w:r>
              <w:rPr>
                <w:rFonts w:hint="eastAsia" w:ascii="仿宋" w:hAnsi="仿宋" w:eastAsia="仿宋" w:cs="仿宋"/>
                <w:b/>
                <w:bCs/>
                <w:color w:val="auto"/>
                <w:sz w:val="24"/>
                <w:szCs w:val="24"/>
                <w:highlight w:val="none"/>
                <w:lang w:val="en-US" w:eastAsia="zh-CN"/>
              </w:rPr>
              <w:t xml:space="preserve">须提供官方彩页或实物照片证明，不提供不得分</w:t>
            </w:r>
            <w:r>
              <w:rPr>
                <w:rFonts w:hint="eastAsia" w:ascii="仿宋" w:hAnsi="仿宋" w:eastAsia="仿宋" w:cs="仿宋"/>
                <w:color w:val="auto"/>
                <w:sz w:val="24"/>
                <w:szCs w:val="24"/>
                <w:highlight w:val="none"/>
              </w:rPr>
              <w:t xml:space="preserve">。</w:t>
            </w:r>
            <w:r/>
          </w:p>
          <w:p>
            <w:pPr>
              <w:pStyle w:val="892"/>
              <w:numPr>
                <w:ilvl w:val="0"/>
                <w:numId w:val="0"/>
              </w:numPr>
              <w:ind w:right="0"/>
              <w:keepLines w:val="0"/>
              <w:keepNext w:val="0"/>
              <w:pageBreakBefore w:val="0"/>
              <w:spacing w:before="0" w:beforeAutospacing="0" w:after="0" w:line="36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eastAsia="zh-CN" w:bidi="ar-SA"/>
              </w:rPr>
              <w:t xml:space="preserve">所投全自动氨氮分析仪具备自动进样器满足350mL样品容量安置的，不少于40位样品通道，要求原水待测样品自动定量取样分析的，得4分。</w:t>
            </w:r>
            <w:r>
              <w:rPr>
                <w:rFonts w:hint="eastAsia" w:ascii="仿宋" w:hAnsi="仿宋" w:eastAsia="仿宋" w:cs="仿宋"/>
                <w:b/>
                <w:bCs/>
                <w:color w:val="auto"/>
                <w:sz w:val="24"/>
                <w:szCs w:val="24"/>
                <w:highlight w:val="none"/>
                <w:lang w:val="en-US" w:eastAsia="zh-CN"/>
              </w:rPr>
              <w:t xml:space="preserve">须提供官方彩页或公开发行的技术白皮书作为证明材料，不提供不得分</w:t>
            </w:r>
            <w:r>
              <w:rPr>
                <w:rFonts w:hint="eastAsia" w:ascii="仿宋" w:hAnsi="仿宋" w:eastAsia="仿宋" w:cs="仿宋"/>
                <w:b/>
                <w:bCs/>
                <w:color w:val="auto"/>
                <w:sz w:val="24"/>
                <w:szCs w:val="24"/>
                <w:highlight w:val="none"/>
                <w:lang w:val="en-US" w:eastAsia="zh-CN" w:bidi="ar-SA"/>
              </w:rPr>
              <w:t xml:space="preserve">。</w:t>
            </w:r>
            <w:r/>
          </w:p>
          <w:p>
            <w:pPr>
              <w:ind w:left="0" w:right="0"/>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SA"/>
              </w:rPr>
              <w:t xml:space="preserve">（三）</w:t>
            </w:r>
            <w:r>
              <w:rPr>
                <w:rFonts w:hint="eastAsia" w:ascii="仿宋" w:hAnsi="仿宋" w:eastAsia="仿宋" w:cs="仿宋"/>
                <w:color w:val="auto"/>
                <w:sz w:val="24"/>
                <w:szCs w:val="24"/>
                <w:highlight w:val="none"/>
                <w:lang w:val="en-US" w:eastAsia="zh-CN"/>
              </w:rPr>
              <w:t xml:space="preserve">全自动热脱附仪</w:t>
            </w:r>
            <w:r/>
          </w:p>
          <w:p>
            <w:pPr>
              <w:ind w:left="0" w:right="0"/>
              <w:keepLines w:val="0"/>
              <w:keepNext w:val="0"/>
              <w:pageBreakBefore w:val="0"/>
              <w:spacing w:before="0" w:beforeAutospacing="0" w:after="0" w:afterAutospacing="0" w:line="36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7.所投全自动热脱附仪</w:t>
            </w:r>
            <w:r>
              <w:rPr>
                <w:rFonts w:hint="eastAsia" w:ascii="仿宋" w:hAnsi="仿宋" w:eastAsia="仿宋" w:cs="仿宋"/>
                <w:color w:val="auto"/>
                <w:sz w:val="24"/>
                <w:szCs w:val="24"/>
                <w:highlight w:val="none"/>
              </w:rPr>
              <w:t xml:space="preserve">第一级解析温度范围35～425℃ ；第二级解析最高解析温度：≥425℃</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lang w:val="en-US" w:eastAsia="zh-CN"/>
              </w:rPr>
              <w:t xml:space="preserve">得4分。</w:t>
            </w:r>
            <w:r>
              <w:rPr>
                <w:rFonts w:hint="eastAsia" w:ascii="仿宋" w:hAnsi="仿宋" w:eastAsia="仿宋" w:cs="仿宋"/>
                <w:b/>
                <w:bCs/>
                <w:color w:val="auto"/>
                <w:sz w:val="24"/>
                <w:szCs w:val="24"/>
                <w:highlight w:val="none"/>
                <w:lang w:val="en-US" w:eastAsia="zh-CN"/>
              </w:rPr>
              <w:t xml:space="preserve">提供操作软件界面截图，不提供不得分。</w:t>
            </w:r>
            <w:r/>
          </w:p>
          <w:p>
            <w:pPr>
              <w:ind w:left="0" w:right="0"/>
              <w:jc w:val="both"/>
              <w:keepLines w:val="0"/>
              <w:keepNext w:val="0"/>
              <w:pageBreakBefore w:val="0"/>
              <w:spacing w:before="0" w:beforeAutospacing="0" w:after="0" w:afterAutospacing="0" w:line="36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color w:val="auto"/>
                <w:sz w:val="24"/>
                <w:szCs w:val="24"/>
                <w:highlight w:val="none"/>
                <w:lang w:val="en-US" w:eastAsia="zh-CN" w:bidi="ar-SA"/>
              </w:rPr>
              <w:t xml:space="preserve">所投全自动热脱附仪冷阱加热升温速率&gt;100℃/s的，得4分。</w:t>
            </w:r>
            <w:r>
              <w:rPr>
                <w:rFonts w:hint="eastAsia" w:ascii="仿宋" w:hAnsi="仿宋" w:eastAsia="仿宋" w:cs="仿宋"/>
                <w:b/>
                <w:bCs/>
                <w:color w:val="auto"/>
                <w:sz w:val="24"/>
                <w:szCs w:val="24"/>
                <w:highlight w:val="none"/>
                <w:lang w:val="en-US" w:eastAsia="zh-CN" w:bidi="ar-SA"/>
              </w:rPr>
              <w:t xml:space="preserve">须提供仪器操作软件截图，不提供不得分。</w:t>
            </w:r>
            <w:r/>
          </w:p>
          <w:p>
            <w:pPr>
              <w:ind w:left="0" w:right="0"/>
              <w:keepLines w:val="0"/>
              <w:keepNext w:val="0"/>
              <w:pageBreakBefore w:val="0"/>
              <w:spacing w:before="0" w:beforeAutospacing="0" w:after="0" w:afterAutospacing="0" w:line="360" w:lineRule="exact"/>
              <w:widowControl w:val="off"/>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9.所投全自动热脱附仪自动进样的吸附管采用水平摆放的进样方式，并且</w:t>
            </w:r>
            <w:r>
              <w:rPr>
                <w:rFonts w:hint="eastAsia" w:ascii="仿宋" w:hAnsi="仿宋" w:eastAsia="仿宋" w:cs="仿宋"/>
                <w:color w:val="auto"/>
                <w:sz w:val="24"/>
                <w:szCs w:val="24"/>
                <w:highlight w:val="none"/>
                <w:lang w:val="en-US" w:eastAsia="zh-Hans" w:bidi="ar-SA"/>
              </w:rPr>
              <w:t xml:space="preserve">具有自动样品备份功</w:t>
            </w:r>
            <w:r>
              <w:rPr>
                <w:rFonts w:hint="eastAsia" w:ascii="仿宋" w:hAnsi="仿宋" w:eastAsia="仿宋" w:cs="仿宋"/>
                <w:color w:val="auto"/>
                <w:sz w:val="24"/>
                <w:szCs w:val="24"/>
                <w:highlight w:val="none"/>
                <w:lang w:val="en-US" w:eastAsia="zh-CN" w:bidi="ar-SA"/>
              </w:rPr>
              <w:t xml:space="preserve">能，对冷阱解析后的样品自动进行分流留样备份功能的，得4分，</w:t>
            </w:r>
            <w:r>
              <w:rPr>
                <w:rFonts w:hint="eastAsia" w:ascii="仿宋" w:hAnsi="仿宋" w:eastAsia="仿宋" w:cs="仿宋"/>
                <w:b/>
                <w:bCs/>
                <w:color w:val="auto"/>
                <w:sz w:val="24"/>
                <w:szCs w:val="24"/>
                <w:highlight w:val="none"/>
                <w:lang w:val="en-US" w:eastAsia="zh-CN" w:bidi="ar-SA"/>
              </w:rPr>
              <w:t xml:space="preserve">须提供实物照片及</w:t>
            </w:r>
            <w:r>
              <w:rPr>
                <w:rFonts w:hint="eastAsia" w:ascii="仿宋" w:hAnsi="仿宋" w:eastAsia="仿宋" w:cs="仿宋"/>
                <w:b/>
                <w:bCs/>
                <w:color w:val="auto"/>
                <w:sz w:val="24"/>
                <w:szCs w:val="24"/>
                <w:highlight w:val="none"/>
                <w:lang w:val="en-US" w:eastAsia="zh-CN"/>
              </w:rPr>
              <w:t xml:space="preserve">官方彩页或公开发行的技术白皮书作为证明材料，不提供不得分</w:t>
            </w:r>
            <w:r>
              <w:rPr>
                <w:rFonts w:hint="eastAsia" w:ascii="仿宋" w:hAnsi="仿宋" w:eastAsia="仿宋" w:cs="仿宋"/>
                <w:b/>
                <w:bCs/>
                <w:color w:val="auto"/>
                <w:sz w:val="24"/>
                <w:szCs w:val="24"/>
                <w:highlight w:val="none"/>
                <w:lang w:val="en-US" w:eastAsia="zh-CN" w:bidi="ar-SA"/>
              </w:rPr>
              <w:t xml:space="preserve">。</w:t>
            </w:r>
            <w:r/>
          </w:p>
          <w:p>
            <w:pPr>
              <w:ind w:left="0" w:right="0"/>
              <w:keepLines w:val="0"/>
              <w:keepNext w:val="0"/>
              <w:pageBreakBefore w:val="0"/>
              <w:spacing w:before="0" w:beforeAutospacing="0" w:after="0" w:afterAutospacing="0" w:line="360" w:lineRule="exact"/>
              <w:widowControl w:val="off"/>
              <w:rPr>
                <w:rFonts w:hint="default"/>
                <w:color w:val="auto"/>
                <w:highlight w:val="none"/>
                <w:lang w:val="en-US" w:eastAsia="zh-CN"/>
              </w:rPr>
              <w:suppressLineNumbers w:val="0"/>
            </w:pPr>
            <w:r>
              <w:rPr>
                <w:rFonts w:hint="eastAsia" w:ascii="仿宋" w:hAnsi="仿宋" w:eastAsia="仿宋" w:cs="仿宋"/>
                <w:color w:val="auto"/>
                <w:sz w:val="24"/>
                <w:szCs w:val="24"/>
                <w:highlight w:val="none"/>
                <w:lang w:val="en-US" w:eastAsia="zh-CN" w:bidi="ar-SA"/>
              </w:rPr>
              <w:t xml:space="preserve">10.所投全自动热脱附仪大体积固液萃取棒：</w:t>
            </w:r>
            <w:r>
              <w:rPr>
                <w:rFonts w:hint="default" w:ascii="仿宋" w:hAnsi="仿宋" w:eastAsia="仿宋" w:cs="仿宋"/>
                <w:color w:val="auto"/>
                <w:sz w:val="24"/>
                <w:szCs w:val="24"/>
                <w:highlight w:val="none"/>
                <w:lang w:val="en-US" w:eastAsia="zh-CN" w:bidi="ar-SA"/>
              </w:rPr>
              <w:t xml:space="preserve">萃取棒采用惰性不锈钢材料，</w:t>
            </w:r>
            <w:r>
              <w:rPr>
                <w:rFonts w:hint="eastAsia" w:ascii="仿宋" w:hAnsi="仿宋" w:eastAsia="仿宋" w:cs="仿宋"/>
                <w:color w:val="auto"/>
                <w:sz w:val="24"/>
                <w:szCs w:val="24"/>
                <w:highlight w:val="none"/>
                <w:lang w:val="en-US" w:eastAsia="zh-CN" w:bidi="ar-SA"/>
              </w:rPr>
              <w:t xml:space="preserve">惰性化萃取棒具有</w:t>
            </w:r>
            <w:r>
              <w:rPr>
                <w:rFonts w:hint="default" w:ascii="仿宋" w:hAnsi="仿宋" w:eastAsia="仿宋" w:cs="仿宋"/>
                <w:color w:val="auto"/>
                <w:sz w:val="24"/>
                <w:szCs w:val="24"/>
                <w:highlight w:val="none"/>
                <w:lang w:val="en-US" w:eastAsia="zh-CN" w:bidi="ar-SA"/>
              </w:rPr>
              <w:t xml:space="preserve">长度为75mm或55mm</w:t>
            </w:r>
            <w:r>
              <w:rPr>
                <w:rFonts w:hint="eastAsia" w:ascii="仿宋" w:hAnsi="仿宋" w:eastAsia="仿宋" w:cs="仿宋"/>
                <w:color w:val="auto"/>
                <w:sz w:val="24"/>
                <w:szCs w:val="24"/>
                <w:highlight w:val="none"/>
                <w:lang w:val="en-US" w:eastAsia="zh-CN" w:bidi="ar-SA"/>
              </w:rPr>
              <w:t xml:space="preserve">常用规格</w:t>
            </w:r>
            <w:r>
              <w:rPr>
                <w:rFonts w:hint="default" w:ascii="仿宋" w:hAnsi="仿宋" w:eastAsia="仿宋" w:cs="仿宋"/>
                <w:color w:val="auto"/>
                <w:sz w:val="24"/>
                <w:szCs w:val="24"/>
                <w:highlight w:val="none"/>
                <w:lang w:val="en-US" w:eastAsia="zh-CN" w:bidi="ar-SA"/>
              </w:rPr>
              <w:t xml:space="preserve">可选</w:t>
            </w:r>
            <w:r>
              <w:rPr>
                <w:rFonts w:hint="eastAsia" w:ascii="仿宋" w:hAnsi="仿宋" w:eastAsia="仿宋" w:cs="仿宋"/>
                <w:color w:val="auto"/>
                <w:sz w:val="24"/>
                <w:szCs w:val="24"/>
                <w:highlight w:val="none"/>
                <w:lang w:val="en-US" w:eastAsia="zh-CN" w:bidi="ar-SA"/>
              </w:rPr>
              <w:t xml:space="preserve">，</w:t>
            </w:r>
            <w:r>
              <w:rPr>
                <w:rFonts w:hint="default" w:ascii="仿宋" w:hAnsi="仿宋" w:eastAsia="仿宋" w:cs="仿宋"/>
                <w:color w:val="auto"/>
                <w:sz w:val="24"/>
                <w:szCs w:val="24"/>
                <w:highlight w:val="none"/>
                <w:lang w:val="en-US" w:eastAsia="zh-CN" w:bidi="ar-SA"/>
              </w:rPr>
              <w:t xml:space="preserve">萃取棒吸附材料容积为≥60μL</w:t>
            </w:r>
            <w:r>
              <w:rPr>
                <w:rFonts w:hint="eastAsia" w:ascii="仿宋" w:hAnsi="仿宋" w:eastAsia="仿宋" w:cs="仿宋"/>
                <w:color w:val="auto"/>
                <w:sz w:val="24"/>
                <w:szCs w:val="24"/>
                <w:highlight w:val="none"/>
                <w:lang w:val="en-US" w:eastAsia="zh-CN" w:bidi="ar-SA"/>
              </w:rPr>
              <w:t xml:space="preserve">的，得4分，</w:t>
            </w:r>
            <w:r>
              <w:rPr>
                <w:rFonts w:hint="eastAsia" w:ascii="仿宋" w:hAnsi="仿宋" w:eastAsia="仿宋" w:cs="仿宋"/>
                <w:b/>
                <w:bCs/>
                <w:color w:val="auto"/>
                <w:sz w:val="24"/>
                <w:szCs w:val="24"/>
                <w:highlight w:val="none"/>
                <w:lang w:val="en-US" w:eastAsia="zh-CN"/>
              </w:rPr>
              <w:t xml:space="preserve">须提供官方彩页或公开发行的技术白皮书作为证明材料，不提供不得分</w:t>
            </w:r>
            <w:r>
              <w:rPr>
                <w:rFonts w:hint="eastAsia" w:ascii="仿宋" w:hAnsi="仿宋" w:eastAsia="仿宋" w:cs="仿宋"/>
                <w:b/>
                <w:bCs/>
                <w:color w:val="auto"/>
                <w:sz w:val="24"/>
                <w:szCs w:val="24"/>
                <w:highlight w:val="none"/>
                <w:lang w:val="en-US" w:eastAsia="zh-CN" w:bidi="ar-SA"/>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887" w:type="dxa"/>
            <w:vAlign w:val="center"/>
            <w:textDirection w:val="lrTb"/>
            <w:noWrap w:val="false"/>
          </w:tcPr>
          <w:p>
            <w:pPr>
              <w:ind w:left="0" w:right="0" w:firstLine="422"/>
              <w:jc w:val="both"/>
              <w:keepLines w:val="0"/>
              <w:keepNext w:val="0"/>
              <w:pageBreakBefore w:val="0"/>
              <w:spacing w:before="0" w:beforeAutospacing="0" w:after="0" w:afterAutospacing="0" w:line="360" w:lineRule="exact"/>
              <w:widowControl w:val="off"/>
              <w:rPr>
                <w:rFonts w:hint="eastAsia" w:ascii="仿宋" w:hAnsi="仿宋" w:eastAsia="仿宋" w:cs="仿宋"/>
                <w:b/>
                <w:bCs/>
                <w:color w:val="auto"/>
                <w:sz w:val="21"/>
                <w:szCs w:val="21"/>
                <w:highlight w:val="none"/>
              </w:rPr>
              <w:suppressLineNumbers w:val="0"/>
            </w:pPr>
            <w:r>
              <w:rPr>
                <w:rFonts w:hint="eastAsia" w:ascii="仿宋" w:hAnsi="仿宋" w:eastAsia="仿宋" w:cs="仿宋"/>
                <w:b/>
                <w:bCs/>
                <w:color w:val="auto"/>
                <w:sz w:val="21"/>
                <w:szCs w:val="21"/>
                <w:highlight w:val="none"/>
              </w:rPr>
            </w:r>
            <w:r/>
          </w:p>
        </w:tc>
      </w:tr>
      <w:tr>
        <w:trPr>
          <w:jc w:val="center"/>
          <w:trHeight w:val="1826"/>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业绩</w:t>
            </w:r>
            <w:r/>
          </w:p>
        </w:tc>
        <w:tc>
          <w:tcPr>
            <w:shd w:val="clear" w:color="auto" w:fill="auto"/>
            <w:tcBorders>
              <w:top w:val="single" w:color="000000" w:sz="8" w:space="0"/>
              <w:left w:val="none" w:color="000000" w:sz="4"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5348" w:type="dxa"/>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自2021年1月1日以来，投标人</w:t>
            </w:r>
            <w:r>
              <w:rPr>
                <w:rFonts w:hint="eastAsia" w:ascii="仿宋" w:hAnsi="仿宋" w:eastAsia="仿宋" w:cs="仿宋"/>
                <w:bCs/>
                <w:color w:val="auto"/>
                <w:sz w:val="24"/>
                <w:szCs w:val="24"/>
                <w:highlight w:val="none"/>
                <w:lang w:val="en-US" w:eastAsia="zh-CN" w:bidi="ar"/>
              </w:rPr>
              <w:t xml:space="preserve">承担</w:t>
            </w:r>
            <w:r>
              <w:rPr>
                <w:rFonts w:hint="eastAsia" w:ascii="仿宋" w:hAnsi="仿宋" w:eastAsia="仿宋" w:cs="仿宋"/>
                <w:bCs/>
                <w:color w:val="auto"/>
                <w:sz w:val="24"/>
                <w:szCs w:val="24"/>
                <w:highlight w:val="none"/>
                <w:lang w:val="en-US" w:eastAsia="zh-CN" w:bidi="ar"/>
              </w:rPr>
              <w:t xml:space="preserve">的</w:t>
            </w:r>
            <w:r>
              <w:rPr>
                <w:rFonts w:hint="eastAsia" w:ascii="仿宋" w:hAnsi="仿宋" w:eastAsia="仿宋" w:cs="仿宋"/>
                <w:bCs/>
                <w:color w:val="auto"/>
                <w:sz w:val="24"/>
                <w:szCs w:val="24"/>
                <w:highlight w:val="none"/>
                <w:lang w:val="en-US" w:eastAsia="zh-CN" w:bidi="ar"/>
              </w:rPr>
              <w:t xml:space="preserve">相关产品的销售业绩（购买方必须为使用单位），每提供1份得1分，最高5分。</w:t>
            </w:r>
            <w:r/>
          </w:p>
          <w:p>
            <w:pPr>
              <w:ind w:left="0" w:right="0" w:firstLine="480"/>
              <w:jc w:val="left"/>
              <w:keepLines w:val="0"/>
              <w:keepNext w:val="0"/>
              <w:pageBreakBefore w:val="0"/>
              <w:spacing w:before="0" w:beforeAutospacing="0" w:after="0" w:afterAutospacing="0" w:line="360" w:lineRule="exact"/>
              <w:widowControl w:val="off"/>
              <w:rPr>
                <w:rFonts w:hint="default"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相关产品指：含所投本</w:t>
            </w:r>
            <w:r>
              <w:rPr>
                <w:rFonts w:hint="eastAsia" w:ascii="仿宋" w:hAnsi="仿宋" w:eastAsia="仿宋" w:cs="仿宋"/>
                <w:bCs/>
                <w:color w:val="auto"/>
                <w:sz w:val="24"/>
                <w:szCs w:val="24"/>
                <w:highlight w:val="none"/>
                <w:lang w:val="en-US" w:eastAsia="zh-CN" w:bidi="ar"/>
              </w:rPr>
              <w:t xml:space="preserve">采购</w:t>
            </w:r>
            <w:r>
              <w:rPr>
                <w:rFonts w:hint="eastAsia" w:ascii="仿宋" w:hAnsi="仿宋" w:eastAsia="仿宋" w:cs="仿宋"/>
                <w:bCs/>
                <w:color w:val="auto"/>
                <w:sz w:val="24"/>
                <w:szCs w:val="24"/>
                <w:highlight w:val="none"/>
                <w:lang w:val="en-US" w:eastAsia="zh-CN" w:bidi="ar"/>
              </w:rPr>
              <w:t xml:space="preserve">包</w:t>
            </w:r>
            <w:r>
              <w:rPr>
                <w:rFonts w:hint="eastAsia" w:ascii="仿宋" w:hAnsi="仿宋" w:eastAsia="仿宋" w:cs="仿宋"/>
                <w:bCs/>
                <w:color w:val="auto"/>
                <w:sz w:val="24"/>
                <w:szCs w:val="24"/>
                <w:highlight w:val="none"/>
                <w:lang w:val="en-US" w:eastAsia="zh-CN" w:bidi="ar"/>
              </w:rPr>
              <w:t xml:space="preserve">产品清单中至少1个同品牌同型号的产品。</w:t>
            </w:r>
            <w:r/>
          </w:p>
          <w:p>
            <w:pPr>
              <w:ind w:left="0" w:right="0" w:firstLine="480"/>
              <w:jc w:val="left"/>
              <w:keepLines w:val="0"/>
              <w:keepNext w:val="0"/>
              <w:pageBreakBefore w:val="0"/>
              <w:spacing w:before="0" w:beforeAutospacing="0" w:after="0" w:afterAutospacing="0" w:line="360" w:lineRule="exact"/>
              <w:widowControl w:val="off"/>
              <w:rPr>
                <w:rFonts w:hint="eastAsia"/>
                <w:color w:val="auto"/>
                <w:highlight w:val="none"/>
              </w:rPr>
              <w:suppressLineNumbers w:val="0"/>
            </w:pPr>
            <w:r>
              <w:rPr>
                <w:rFonts w:hint="eastAsia" w:ascii="仿宋" w:hAnsi="仿宋" w:eastAsia="仿宋" w:cs="仿宋"/>
                <w:bCs/>
                <w:color w:val="auto"/>
                <w:sz w:val="24"/>
                <w:szCs w:val="24"/>
                <w:highlight w:val="none"/>
                <w:lang w:val="en-US" w:eastAsia="zh-CN" w:bidi="ar"/>
              </w:rPr>
              <w:t xml:space="preserve">投标文件中须合同复印件及不少于80%的结算发票，未提供或提供不全不得分。不提供不得分（为方便评委检索，请在合同清单中明确标注）。</w:t>
            </w:r>
            <w:r/>
          </w:p>
        </w:tc>
        <w:tc>
          <w:tcPr>
            <w:shd w:val="clear" w:color="auto" w:fill="auto"/>
            <w:tcBorders>
              <w:top w:val="single" w:color="000000" w:sz="8" w:space="0"/>
              <w:left w:val="none" w:color="000000" w:sz="4" w:space="0"/>
              <w:bottom w:val="single" w:color="000000" w:sz="8" w:space="0"/>
              <w:right w:val="single" w:color="000000" w:sz="8" w:space="0"/>
            </w:tcBorders>
            <w:tcW w:w="887" w:type="dxa"/>
            <w:vAlign w:val="center"/>
            <w:textDirection w:val="lrTb"/>
            <w:noWrap w:val="false"/>
          </w:tcPr>
          <w:p>
            <w:pPr>
              <w:ind w:left="0" w:right="0" w:firstLine="480"/>
              <w:jc w:val="both"/>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jc w:val="center"/>
          <w:trHeight w:val="30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售后服务</w:t>
            </w:r>
            <w:r/>
          </w:p>
        </w:tc>
        <w:tc>
          <w:tcPr>
            <w:shd w:val="clear" w:color="auto" w:fill="auto"/>
            <w:tcBorders>
              <w:top w:val="single" w:color="000000" w:sz="8" w:space="0"/>
              <w:left w:val="none" w:color="000000" w:sz="4"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pacing w:val="-20"/>
                <w:sz w:val="24"/>
                <w:szCs w:val="24"/>
                <w:highlight w:val="none"/>
              </w:rPr>
              <w:suppressLineNumbers w:val="0"/>
            </w:pPr>
            <w:r>
              <w:rPr>
                <w:rFonts w:hint="eastAsia" w:ascii="仿宋" w:hAnsi="仿宋" w:eastAsia="仿宋" w:cs="仿宋"/>
                <w:color w:val="auto"/>
                <w:spacing w:val="-20"/>
                <w:sz w:val="24"/>
                <w:szCs w:val="24"/>
                <w:highlight w:val="none"/>
                <w:lang w:val="en-US" w:eastAsia="zh-CN" w:bidi="ar"/>
              </w:rPr>
              <w:t xml:space="preserve">15</w:t>
            </w:r>
            <w:r/>
          </w:p>
        </w:tc>
        <w:tc>
          <w:tcPr>
            <w:shd w:val="clear" w:color="auto" w:fill="auto"/>
            <w:tcBorders>
              <w:top w:val="single" w:color="000000" w:sz="8" w:space="0"/>
              <w:left w:val="none" w:color="000000" w:sz="4" w:space="0"/>
              <w:bottom w:val="single" w:color="000000" w:sz="8" w:space="0"/>
              <w:right w:val="single" w:color="000000" w:sz="8" w:space="0"/>
            </w:tcBorders>
            <w:tcW w:w="5348" w:type="dxa"/>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1.制定售后服务方案：投标人应制订满足采购文件要求的售后服务方案及管理制度，包括但不限于①自身及所投产品制造商的售后服务机构的分布情况；②售后服务人员的数量、素质、技术水平；③主要产品配件清单及收费标准；④设备使用的培训方案；⑤故障解决方案等服务方案；服务方案应科学合理、具备针对性，并指定专门的售后服务人员；</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上述内容中每缺少一项内容扣2分，每有一处需求分析内容存在缺陷或不足的扣1分，扣完为止。(本项最多得10分)</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注：售后服务方案内容存在缺陷或不足是指以下任意一种情形：售后服务方案内容不切合行业实际、不符合国家法规政策；或售后服务方案内容生搬硬造，与实际情况不符，存在偏差；或售后服务方案内容过于简略；或存在与项目无关的文字内容；或内容不适用项目采购文件要求；或内容逻辑漏洞或原理错误。</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
                <w:bCs w:val="0"/>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2.投标人承诺接到招标人报修通知后，半小时内有效响应，一般故障2小时内予以排除，特殊故障 24小时内予以排除的得1分；一小时内有效响应，一般故障4小时内予以排除，特殊故障 48小时内予以排除的得0.5分；其他不得分。本项目最高1分。</w:t>
            </w:r>
            <w:r>
              <w:rPr>
                <w:rFonts w:hint="eastAsia" w:ascii="仿宋" w:hAnsi="仿宋" w:eastAsia="仿宋" w:cs="仿宋"/>
                <w:b/>
                <w:bCs w:val="0"/>
                <w:color w:val="auto"/>
                <w:sz w:val="24"/>
                <w:szCs w:val="24"/>
                <w:highlight w:val="none"/>
                <w:lang w:val="en-US" w:eastAsia="zh-CN" w:bidi="ar"/>
              </w:rPr>
              <w:t xml:space="preserve">投标文件中须提供承诺书，格式自拟。</w:t>
            </w:r>
            <w:r/>
          </w:p>
          <w:p>
            <w:pPr>
              <w:ind w:left="0" w:right="0" w:firstLine="480"/>
              <w:jc w:val="left"/>
              <w:keepLines w:val="0"/>
              <w:keepNext w:val="0"/>
              <w:pageBreakBefore w:val="0"/>
              <w:spacing w:before="0" w:beforeAutospacing="0" w:after="0" w:afterAutospacing="0" w:line="360" w:lineRule="exact"/>
              <w:widowControl w:val="off"/>
              <w:rPr>
                <w:rFonts w:hint="default" w:ascii="仿宋" w:hAnsi="仿宋" w:eastAsia="仿宋" w:cs="仿宋"/>
                <w:b w:val="0"/>
                <w:bCs/>
                <w:color w:val="auto"/>
                <w:sz w:val="24"/>
                <w:szCs w:val="24"/>
                <w:highlight w:val="none"/>
                <w:lang w:val="en-US" w:eastAsia="zh-CN" w:bidi="ar"/>
              </w:rPr>
              <w:suppressLineNumbers w:val="0"/>
            </w:pPr>
            <w:r>
              <w:rPr>
                <w:rFonts w:hint="eastAsia" w:ascii="仿宋" w:hAnsi="仿宋" w:eastAsia="仿宋" w:cs="仿宋"/>
                <w:b w:val="0"/>
                <w:bCs/>
                <w:color w:val="auto"/>
                <w:sz w:val="24"/>
                <w:szCs w:val="24"/>
                <w:highlight w:val="none"/>
                <w:lang w:val="en-US" w:eastAsia="zh-CN" w:bidi="ar"/>
              </w:rPr>
              <w:t xml:space="preserve">3.在满足招标文件中规定的免费质保期要求的基础上，投标人针对所有产品的免费质保期限每增加一年得1分，最高得2分。延保期内能承担各采购包所投产品需要检定或校准费用的，每1年得1分，最多得2分。本项共4分。</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
                <w:bCs w:val="0"/>
                <w:color w:val="auto"/>
                <w:sz w:val="24"/>
                <w:szCs w:val="24"/>
                <w:highlight w:val="none"/>
              </w:rPr>
              <w:suppressLineNumbers w:val="0"/>
            </w:pPr>
            <w:r>
              <w:rPr>
                <w:rFonts w:hint="eastAsia" w:ascii="仿宋" w:hAnsi="仿宋" w:eastAsia="仿宋" w:cs="仿宋"/>
                <w:b/>
                <w:bCs w:val="0"/>
                <w:color w:val="auto"/>
                <w:sz w:val="24"/>
                <w:szCs w:val="24"/>
                <w:highlight w:val="none"/>
                <w:lang w:val="en-US" w:eastAsia="zh-CN" w:bidi="ar"/>
              </w:rPr>
              <w:t xml:space="preserve">投标文件中须提供承诺书，格式自拟。</w:t>
            </w:r>
            <w:r/>
          </w:p>
        </w:tc>
        <w:tc>
          <w:tcPr>
            <w:shd w:val="clear" w:color="auto" w:fill="auto"/>
            <w:tcBorders>
              <w:top w:val="single" w:color="000000" w:sz="8" w:space="0"/>
              <w:left w:val="none" w:color="000000" w:sz="4" w:space="0"/>
              <w:bottom w:val="single" w:color="000000" w:sz="8" w:space="0"/>
              <w:right w:val="single" w:color="000000" w:sz="8" w:space="0"/>
            </w:tcBorders>
            <w:tcW w:w="887" w:type="dxa"/>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bl>
    <w:p>
      <w:pPr>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ind w:firstLine="562"/>
        <w:rPr>
          <w:rFonts w:hint="eastAsia" w:ascii="仿宋" w:hAnsi="仿宋" w:eastAsia="仿宋"/>
          <w:b/>
          <w:color w:val="auto"/>
          <w:sz w:val="28"/>
          <w:szCs w:val="28"/>
          <w:highlight w:val="none"/>
        </w:rPr>
        <w:outlineLvl w:val="2"/>
      </w:pPr>
      <w:r>
        <w:rPr>
          <w:rFonts w:hint="eastAsia" w:ascii="仿宋" w:hAnsi="仿宋" w:eastAsia="仿宋"/>
          <w:b/>
          <w:color w:val="auto"/>
          <w:sz w:val="28"/>
          <w:szCs w:val="28"/>
          <w:highlight w:val="none"/>
        </w:rPr>
        <w:t xml:space="preserve">（1）</w:t>
      </w:r>
      <w:r>
        <w:rPr>
          <w:rFonts w:hint="eastAsia" w:ascii="仿宋" w:hAnsi="仿宋" w:eastAsia="仿宋"/>
          <w:b/>
          <w:color w:val="auto"/>
          <w:sz w:val="28"/>
          <w:szCs w:val="28"/>
          <w:highlight w:val="none"/>
          <w:lang w:eastAsia="zh-CN"/>
        </w:rPr>
        <w:t xml:space="preserve">采购包</w:t>
      </w:r>
      <w:r>
        <w:rPr>
          <w:rFonts w:hint="eastAsia" w:ascii="仿宋" w:hAnsi="仿宋" w:eastAsia="仿宋"/>
          <w:b/>
          <w:color w:val="auto"/>
          <w:sz w:val="28"/>
          <w:szCs w:val="28"/>
          <w:highlight w:val="none"/>
          <w:lang w:val="en-US" w:eastAsia="zh-CN"/>
        </w:rPr>
        <w:t xml:space="preserve">2</w:t>
      </w:r>
      <w:r>
        <w:rPr>
          <w:rFonts w:hint="eastAsia" w:ascii="仿宋" w:hAnsi="仿宋" w:eastAsia="仿宋"/>
          <w:b/>
          <w:color w:val="auto"/>
          <w:sz w:val="28"/>
          <w:szCs w:val="28"/>
          <w:highlight w:val="none"/>
        </w:rPr>
        <w:t xml:space="preserve">评分表</w:t>
      </w:r>
      <w:r/>
    </w:p>
    <w:tbl>
      <w:tblPr>
        <w:tblStyle w:val="891"/>
        <w:tblW w:w="889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6"/>
        <w:gridCol w:w="1176"/>
        <w:gridCol w:w="783"/>
        <w:gridCol w:w="5415"/>
        <w:gridCol w:w="820"/>
      </w:tblGrid>
      <w:tr>
        <w:trPr>
          <w:jc w:val="center"/>
          <w:trHeight w:val="433"/>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序号</w:t>
            </w:r>
            <w:r/>
          </w:p>
        </w:tc>
        <w:tc>
          <w:tcPr>
            <w:tcBorders>
              <w:top w:val="single" w:color="000000" w:sz="8" w:space="0"/>
              <w:left w:val="single" w:color="000000" w:sz="8"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评审因素</w:t>
            </w:r>
            <w:r/>
          </w:p>
        </w:tc>
        <w:tc>
          <w:tcPr>
            <w:tcBorders>
              <w:top w:val="single" w:color="000000" w:sz="8" w:space="0"/>
              <w:left w:val="single" w:color="000000" w:sz="8"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分值</w:t>
            </w:r>
            <w:r/>
          </w:p>
        </w:tc>
        <w:tc>
          <w:tcPr>
            <w:tcBorders>
              <w:top w:val="single" w:color="000000" w:sz="8" w:space="0"/>
              <w:left w:val="single" w:color="000000" w:sz="8" w:space="0"/>
              <w:bottom w:val="single" w:color="000000" w:sz="8" w:space="0"/>
              <w:right w:val="single" w:color="000000" w:sz="8" w:space="0"/>
            </w:tcBorders>
            <w:tcW w:w="54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评审要求或标准</w:t>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得分</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价格</w:t>
            </w:r>
            <w:r/>
          </w:p>
        </w:tc>
        <w:tc>
          <w:tcPr>
            <w:tcBorders>
              <w:top w:val="single" w:color="000000" w:sz="8" w:space="0"/>
              <w:left w:val="single" w:color="000000" w:sz="8"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pacing w:val="-20"/>
                <w:sz w:val="24"/>
                <w:szCs w:val="24"/>
                <w:highlight w:val="none"/>
              </w:rPr>
              <w:suppressLineNumbers w:val="0"/>
            </w:pPr>
            <w:r>
              <w:rPr>
                <w:rFonts w:hint="eastAsia" w:ascii="仿宋" w:hAnsi="仿宋" w:eastAsia="仿宋" w:cs="仿宋"/>
                <w:color w:val="auto"/>
                <w:spacing w:val="-20"/>
                <w:sz w:val="24"/>
                <w:szCs w:val="24"/>
                <w:highlight w:val="none"/>
                <w:lang w:bidi="ar"/>
              </w:rPr>
              <w:t xml:space="preserve">40</w:t>
            </w:r>
            <w:r/>
          </w:p>
        </w:tc>
        <w:tc>
          <w:tcPr>
            <w:tcBorders>
              <w:top w:val="single" w:color="000000" w:sz="8" w:space="0"/>
              <w:left w:val="single" w:color="000000" w:sz="8" w:space="0"/>
              <w:bottom w:val="single" w:color="000000" w:sz="8" w:space="0"/>
              <w:right w:val="single" w:color="000000" w:sz="8" w:space="0"/>
            </w:tcBorders>
            <w:tcW w:w="5415"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价格分应当采用低价优先法计算，即满足招标文件要求且投标价格最低的投标报价为评标基准价，其价格分为满分。其他投标人的价格分统一按照下列公式计算：</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投标报价得分=(评标基准价／投标报价)×价格分分值</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评标过程中，不得去掉报价中的最高报价和最低报价。因落实政府采购政策进行价格调整的，以调整后的价格计算评标基准价和投标报价。</w:t>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1028"/>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lang w:bidi="ar"/>
              </w:rPr>
              <w:suppressLineNumbers w:val="0"/>
            </w:pPr>
            <w:r>
              <w:rPr>
                <w:rFonts w:hint="eastAsia" w:ascii="仿宋" w:hAnsi="仿宋" w:eastAsia="仿宋" w:cs="仿宋"/>
                <w:color w:val="auto"/>
                <w:sz w:val="24"/>
                <w:szCs w:val="24"/>
                <w:highlight w:val="none"/>
                <w:lang w:bidi="ar"/>
              </w:rPr>
              <w:t xml:space="preserve">产品</w:t>
            </w:r>
            <w:r/>
          </w:p>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性能</w:t>
            </w:r>
            <w:r/>
          </w:p>
        </w:tc>
        <w:tc>
          <w:tcPr>
            <w:tcBorders>
              <w:top w:val="single" w:color="000000" w:sz="8" w:space="0"/>
              <w:left w:val="single" w:color="000000" w:sz="8"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pacing w:val="-20"/>
                <w:sz w:val="24"/>
                <w:szCs w:val="24"/>
                <w:highlight w:val="none"/>
              </w:rPr>
              <w:suppressLineNumbers w:val="0"/>
            </w:pPr>
            <w:r>
              <w:rPr>
                <w:rFonts w:hint="eastAsia" w:ascii="仿宋" w:hAnsi="仿宋" w:eastAsia="仿宋" w:cs="仿宋"/>
                <w:color w:val="auto"/>
                <w:spacing w:val="-20"/>
                <w:sz w:val="24"/>
                <w:szCs w:val="24"/>
                <w:highlight w:val="none"/>
                <w:lang w:bidi="ar"/>
              </w:rPr>
              <w:t xml:space="preserve">40</w:t>
            </w:r>
            <w:r/>
          </w:p>
        </w:tc>
        <w:tc>
          <w:tcPr>
            <w:tcBorders>
              <w:top w:val="single" w:color="000000" w:sz="8" w:space="0"/>
              <w:left w:val="single" w:color="000000" w:sz="8" w:space="0"/>
              <w:bottom w:val="single" w:color="000000" w:sz="8" w:space="0"/>
              <w:right w:val="single" w:color="000000" w:sz="8" w:space="0"/>
            </w:tcBorders>
            <w:tcW w:w="541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依据制造商公开发行的彩页、技术白皮书、技术规格书、产品使用说明书、功能截图或产品检验报告对产品性能进行评审，具体标准如下：</w:t>
            </w:r>
            <w:r/>
          </w:p>
          <w:p>
            <w:pPr>
              <w:numPr>
                <w:ilvl w:val="0"/>
                <w:numId w:val="3"/>
              </w:num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气相色谱仪</w:t>
            </w:r>
            <w:r>
              <w:rPr>
                <w:rFonts w:hint="eastAsia" w:ascii="宋体" w:hAnsi="宋体" w:cs="宋体"/>
                <w:b/>
                <w:bCs/>
                <w:color w:val="auto"/>
                <w:sz w:val="24"/>
                <w:szCs w:val="24"/>
                <w:highlight w:val="none"/>
                <w:lang w:val="en-US" w:eastAsia="zh-CN"/>
              </w:rPr>
              <w:t xml:space="preserve">等</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3*5=15分</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柱箱具有不少于五个气相色谱柱智能钥匙</w:t>
            </w:r>
            <w:r>
              <w:rPr>
                <w:rFonts w:hint="eastAsia" w:ascii="仿宋" w:hAnsi="仿宋" w:eastAsia="仿宋"/>
                <w:color w:val="auto"/>
                <w:sz w:val="24"/>
                <w:szCs w:val="24"/>
                <w:highlight w:val="none"/>
                <w:lang w:eastAsia="zh-CN"/>
              </w:rPr>
              <w:t xml:space="preserve">的，</w:t>
            </w:r>
            <w:r>
              <w:rPr>
                <w:rFonts w:hint="eastAsia" w:ascii="仿宋" w:hAnsi="仿宋" w:eastAsia="仿宋"/>
                <w:color w:val="auto"/>
                <w:sz w:val="24"/>
                <w:szCs w:val="24"/>
                <w:highlight w:val="none"/>
                <w:lang w:val="en-US" w:eastAsia="zh-CN"/>
              </w:rPr>
              <w:t xml:space="preserve">得3分，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default" w:ascii="仿宋" w:hAnsi="仿宋" w:eastAsia="仿宋"/>
                <w:b/>
                <w:bCs/>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EPC的设计基于微通道架构基础上，可以防止颗粒、水、汽和油等污染物</w:t>
            </w:r>
            <w:r>
              <w:rPr>
                <w:rFonts w:hint="eastAsia" w:ascii="仿宋" w:hAnsi="仿宋" w:eastAsia="仿宋"/>
                <w:color w:val="auto"/>
                <w:sz w:val="24"/>
                <w:szCs w:val="24"/>
                <w:highlight w:val="none"/>
                <w:lang w:eastAsia="zh-CN"/>
              </w:rPr>
              <w:t xml:space="preserve">的，</w:t>
            </w:r>
            <w:r>
              <w:rPr>
                <w:rFonts w:hint="eastAsia" w:ascii="仿宋" w:hAnsi="仿宋" w:eastAsia="仿宋"/>
                <w:color w:val="auto"/>
                <w:sz w:val="24"/>
                <w:szCs w:val="24"/>
                <w:highlight w:val="none"/>
                <w:lang w:val="en-US" w:eastAsia="zh-CN"/>
              </w:rPr>
              <w:t xml:space="preserve">得3分</w:t>
            </w:r>
            <w:r>
              <w:rPr>
                <w:rFonts w:hint="eastAsia" w:ascii="仿宋" w:hAnsi="仿宋" w:eastAsia="仿宋"/>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氢火焰检测器数据采样速率:</w:t>
            </w:r>
            <w:r>
              <w:rPr>
                <w:rFonts w:hint="eastAsia" w:ascii="仿宋" w:hAnsi="仿宋" w:eastAsia="仿宋"/>
                <w:color w:val="auto"/>
                <w:sz w:val="24"/>
                <w:szCs w:val="24"/>
                <w:highlight w:val="none"/>
                <w:lang w:val="en-US" w:eastAsia="zh-CN"/>
              </w:rPr>
              <w:t xml:space="preserve">≥</w:t>
            </w:r>
            <w:r>
              <w:rPr>
                <w:rFonts w:hint="eastAsia" w:ascii="仿宋" w:hAnsi="仿宋" w:eastAsia="仿宋"/>
                <w:color w:val="auto"/>
                <w:sz w:val="24"/>
                <w:szCs w:val="24"/>
                <w:highlight w:val="none"/>
              </w:rPr>
              <w:t xml:space="preserve">1000Hz</w:t>
            </w:r>
            <w:r>
              <w:rPr>
                <w:rFonts w:hint="eastAsia" w:ascii="仿宋" w:hAnsi="仿宋" w:eastAsia="仿宋"/>
                <w:color w:val="auto"/>
                <w:sz w:val="24"/>
                <w:szCs w:val="24"/>
                <w:highlight w:val="none"/>
                <w:lang w:eastAsia="zh-CN"/>
              </w:rPr>
              <w:t xml:space="preserve">的，</w:t>
            </w:r>
            <w:r>
              <w:rPr>
                <w:rFonts w:hint="eastAsia" w:ascii="仿宋" w:hAnsi="仿宋" w:eastAsia="仿宋"/>
                <w:color w:val="auto"/>
                <w:sz w:val="24"/>
                <w:szCs w:val="24"/>
                <w:highlight w:val="none"/>
                <w:lang w:val="en-US" w:eastAsia="zh-CN"/>
              </w:rPr>
              <w:t xml:space="preserve">得3分</w:t>
            </w:r>
            <w:r>
              <w:rPr>
                <w:rFonts w:hint="eastAsia" w:ascii="仿宋" w:hAnsi="仿宋" w:eastAsia="仿宋"/>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rPr>
              <w:t xml:space="preserve">微池电子捕获检测器线性动态范围：</w:t>
            </w:r>
            <w:r>
              <w:rPr>
                <w:rFonts w:hint="eastAsia" w:ascii="仿宋" w:hAnsi="仿宋" w:eastAsia="仿宋"/>
                <w:color w:val="auto"/>
                <w:sz w:val="24"/>
                <w:szCs w:val="24"/>
                <w:highlight w:val="none"/>
                <w:lang w:val="en-US" w:eastAsia="zh-CN"/>
              </w:rPr>
              <w:t xml:space="preserve">≥</w:t>
            </w:r>
            <w:r>
              <w:rPr>
                <w:rFonts w:hint="eastAsia" w:ascii="仿宋" w:hAnsi="仿宋" w:eastAsia="仿宋"/>
                <w:color w:val="auto"/>
                <w:sz w:val="24"/>
                <w:szCs w:val="24"/>
                <w:highlight w:val="none"/>
              </w:rPr>
              <w:t xml:space="preserve">5*10</w:t>
            </w:r>
            <w:r>
              <w:rPr>
                <w:rFonts w:hint="eastAsia" w:ascii="仿宋" w:hAnsi="仿宋" w:eastAsia="仿宋"/>
                <w:color w:val="auto"/>
                <w:sz w:val="24"/>
                <w:szCs w:val="24"/>
                <w:highlight w:val="none"/>
                <w:vertAlign w:val="superscript"/>
              </w:rPr>
              <w:t xml:space="preserve">4</w:t>
            </w:r>
            <w:r>
              <w:rPr>
                <w:rFonts w:hint="eastAsia" w:ascii="仿宋" w:hAnsi="仿宋" w:eastAsia="仿宋"/>
                <w:color w:val="auto"/>
                <w:sz w:val="24"/>
                <w:szCs w:val="24"/>
                <w:highlight w:val="none"/>
                <w:lang w:eastAsia="zh-CN"/>
              </w:rPr>
              <w:t xml:space="preserve">的，</w:t>
            </w:r>
            <w:r>
              <w:rPr>
                <w:rFonts w:hint="eastAsia" w:ascii="仿宋" w:hAnsi="仿宋" w:eastAsia="仿宋"/>
                <w:color w:val="auto"/>
                <w:sz w:val="24"/>
                <w:szCs w:val="24"/>
                <w:highlight w:val="none"/>
                <w:lang w:val="en-US" w:eastAsia="zh-CN"/>
              </w:rPr>
              <w:t xml:space="preserve">得3分，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p>
          <w:p>
            <w:pPr>
              <w:numPr>
                <w:ilvl w:val="0"/>
                <w:numId w:val="0"/>
              </w:num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rPr>
              <w:t xml:space="preserve">毛细柱分流/无分流进样口带电子流量控制</w:t>
            </w:r>
            <w:r>
              <w:rPr>
                <w:rFonts w:hint="eastAsia" w:ascii="仿宋" w:hAnsi="仿宋" w:eastAsia="仿宋"/>
                <w:color w:val="auto"/>
                <w:sz w:val="24"/>
                <w:szCs w:val="24"/>
                <w:highlight w:val="none"/>
                <w:lang w:eastAsia="zh-CN"/>
              </w:rPr>
              <w:t xml:space="preserve">的，</w:t>
            </w:r>
            <w:r>
              <w:rPr>
                <w:rFonts w:hint="eastAsia" w:ascii="仿宋" w:hAnsi="仿宋" w:eastAsia="仿宋"/>
                <w:color w:val="auto"/>
                <w:sz w:val="24"/>
                <w:szCs w:val="24"/>
                <w:highlight w:val="none"/>
                <w:lang w:val="en-US" w:eastAsia="zh-CN"/>
              </w:rPr>
              <w:t xml:space="preserve">得3分，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p>
          <w:p>
            <w:pPr>
              <w:pStyle w:val="892"/>
              <w:ind w:left="0" w:right="0" w:firstLine="0"/>
              <w:keepLines w:val="0"/>
              <w:keepNext w:val="0"/>
              <w:pageBreakBefore w:val="0"/>
              <w:spacing w:before="0" w:beforeAutospacing="0" w:after="0" w:line="360" w:lineRule="exact"/>
              <w:widowControl w:val="off"/>
              <w:rPr>
                <w:rFonts w:hint="eastAsia" w:ascii="仿宋" w:hAnsi="仿宋" w:eastAsia="仿宋"/>
                <w:color w:val="auto"/>
                <w:sz w:val="24"/>
                <w:szCs w:val="24"/>
                <w:highlight w:val="none"/>
              </w:rPr>
            </w:pPr>
            <w:r>
              <w:rPr>
                <w:rFonts w:hint="eastAsia"/>
                <w:color w:val="auto"/>
                <w:highlight w:val="none"/>
                <w:lang w:val="en-US" w:eastAsia="zh-CN"/>
              </w:rPr>
              <w:t xml:space="preserve">（二）</w:t>
            </w:r>
            <w:r>
              <w:rPr>
                <w:rFonts w:hint="eastAsia" w:ascii="仿宋" w:hAnsi="仿宋" w:eastAsia="仿宋"/>
                <w:b/>
                <w:bCs/>
                <w:color w:val="auto"/>
                <w:sz w:val="24"/>
                <w:szCs w:val="24"/>
                <w:highlight w:val="none"/>
                <w:lang w:val="en-US" w:eastAsia="zh-CN"/>
              </w:rPr>
              <w:t xml:space="preserve">等离子发射光谱质谱联用仪</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2.5*10=25分</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w:t>
            </w:r>
            <w:r/>
          </w:p>
          <w:p>
            <w:p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1.可实现样品气体稀释，稀释倍数大于100倍的，得2.5分，须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不提供不得分分</w:t>
            </w:r>
            <w:r>
              <w:rPr>
                <w:rFonts w:hint="eastAsia" w:ascii="仿宋" w:hAnsi="仿宋" w:eastAsia="仿宋"/>
                <w:color w:val="auto"/>
                <w:sz w:val="24"/>
                <w:szCs w:val="24"/>
                <w:highlight w:val="none"/>
                <w:lang w:val="en-US" w:eastAsia="zh-CN"/>
              </w:rPr>
              <w:t xml:space="preserve">。</w:t>
            </w:r>
            <w:r/>
          </w:p>
          <w:p>
            <w:p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2.可通入纯氧气，实现有机样品的直接进样分析的，得2.5分，须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rPr>
                <w:rFonts w:hint="eastAsia" w:ascii="仿宋" w:hAnsi="仿宋" w:eastAsia="仿宋"/>
                <w:color w:val="auto"/>
                <w:sz w:val="24"/>
                <w:szCs w:val="24"/>
                <w:highlight w:val="none"/>
                <w:lang w:val="en-US" w:eastAsia="zh-CN"/>
              </w:rPr>
              <w:t xml:space="preserve">。</w:t>
            </w:r>
            <w:r/>
          </w:p>
          <w:p>
            <w:p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3.可通入等离子体改性气甲烷气，实现特殊应用分析的，得2.5分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rPr>
                <w:rFonts w:hint="eastAsia" w:ascii="仿宋" w:hAnsi="仿宋" w:eastAsia="仿宋"/>
                <w:color w:val="auto"/>
                <w:sz w:val="24"/>
                <w:szCs w:val="24"/>
                <w:highlight w:val="none"/>
                <w:lang w:val="en-US" w:eastAsia="zh-CN"/>
              </w:rPr>
              <w:t xml:space="preserve">。</w:t>
            </w:r>
            <w:r/>
          </w:p>
          <w:p>
            <w:p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4.为保证最强离子束聚焦和耐各类样品基体，接口部分应由三个锥构成，所有锥孔直径都不小于0.9毫米，锥间不通入气体的，得2.5分，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rPr>
                <w:rFonts w:hint="eastAsia" w:ascii="仿宋" w:hAnsi="仿宋" w:eastAsia="仿宋"/>
                <w:color w:val="auto"/>
                <w:sz w:val="24"/>
                <w:szCs w:val="24"/>
                <w:highlight w:val="none"/>
                <w:lang w:val="en-US" w:eastAsia="zh-CN"/>
              </w:rPr>
              <w:t xml:space="preserve">。</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5.液晶触摸屏可进行硬件控制，包括锥、真空、等离子体等，可实时显示测试结果，可视化仪器参数诊断，可查看仪器运行参数包括雾化气背压，真空压力的，得2.5分，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rPr>
                <w:rFonts w:hint="eastAsia" w:ascii="仿宋" w:hAnsi="仿宋" w:eastAsia="仿宋"/>
                <w:color w:val="auto"/>
                <w:sz w:val="24"/>
                <w:szCs w:val="24"/>
                <w:highlight w:val="none"/>
                <w:lang w:val="en-US" w:eastAsia="zh-CN"/>
              </w:rPr>
              <w:t xml:space="preserve">。</w:t>
            </w:r>
            <w:r/>
          </w:p>
          <w:p>
            <w:p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6.电感耦合等离子体质谱仪为串级四极杆质谱仪的，得2.5分，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rPr>
                <w:rFonts w:hint="eastAsia" w:ascii="仿宋" w:hAnsi="仿宋" w:eastAsia="仿宋"/>
                <w:color w:val="auto"/>
                <w:sz w:val="24"/>
                <w:szCs w:val="24"/>
                <w:highlight w:val="none"/>
                <w:lang w:val="en-US" w:eastAsia="zh-CN"/>
              </w:rPr>
              <w:t xml:space="preserve">。</w:t>
            </w:r>
            <w:r/>
          </w:p>
          <w:p>
            <w:p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7.能进行样品定性、半定量、定量、同位素比分析的，得2.5分，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rPr>
                <w:rFonts w:hint="eastAsia" w:ascii="仿宋" w:hAnsi="仿宋" w:eastAsia="仿宋"/>
                <w:color w:val="auto"/>
                <w:sz w:val="24"/>
                <w:szCs w:val="24"/>
                <w:highlight w:val="none"/>
                <w:lang w:val="en-US" w:eastAsia="zh-CN"/>
              </w:rPr>
              <w:t xml:space="preserve">。</w:t>
            </w:r>
            <w:r/>
          </w:p>
          <w:p>
            <w:p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8.四极杆设计，可同时进行目标离子选择和不带电物质去除的，得2.5分，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rPr>
                <w:rFonts w:hint="eastAsia" w:ascii="仿宋" w:hAnsi="仿宋" w:eastAsia="仿宋"/>
                <w:color w:val="auto"/>
                <w:sz w:val="24"/>
                <w:szCs w:val="24"/>
                <w:highlight w:val="none"/>
                <w:lang w:val="en-US" w:eastAsia="zh-CN"/>
              </w:rPr>
              <w:t xml:space="preserve">。</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9.可以使用包括氦气，氢气、甲烷，氧气等多种碰撞或反应气体及混合气的，得2.5分，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rPr>
                <w:rFonts w:hint="eastAsia" w:ascii="仿宋" w:hAnsi="仿宋" w:eastAsia="仿宋"/>
                <w:color w:val="auto"/>
                <w:sz w:val="24"/>
                <w:szCs w:val="24"/>
                <w:highlight w:val="none"/>
                <w:lang w:val="en-US" w:eastAsia="zh-CN"/>
              </w:rPr>
              <w:t xml:space="preserve">。</w:t>
            </w:r>
            <w:r/>
          </w:p>
          <w:p>
            <w:pPr>
              <w:ind w:left="0" w:right="0"/>
              <w:jc w:val="left"/>
              <w:keepLines w:val="0"/>
              <w:keepNext w:val="0"/>
              <w:pageBreakBefore w:val="0"/>
              <w:spacing w:before="0" w:beforeAutospacing="0" w:after="0" w:afterAutospacing="0" w:line="36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10.池体内部或池体前端应具有一套可实现全质量筛选功能的四极杆结构设计的，得2.5分，</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rPr>
                <w:rFonts w:hint="eastAsia" w:ascii="仿宋" w:hAnsi="仿宋" w:eastAsia="仿宋"/>
                <w:color w:val="auto"/>
                <w:sz w:val="24"/>
                <w:szCs w:val="24"/>
                <w:highlight w:val="none"/>
                <w:lang w:val="en-US" w:eastAsia="zh-CN"/>
              </w:rPr>
              <w:t xml:space="preserve">。</w:t>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ind w:left="0" w:right="0" w:firstLine="422"/>
              <w:keepLines w:val="0"/>
              <w:keepNext w:val="0"/>
              <w:pageBreakBefore w:val="0"/>
              <w:spacing w:before="0" w:beforeAutospacing="0" w:after="0" w:afterAutospacing="0" w:line="360" w:lineRule="exact"/>
              <w:widowControl w:val="off"/>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r>
      <w:tr>
        <w:trPr>
          <w:jc w:val="center"/>
          <w:trHeight w:val="1826"/>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3</w:t>
            </w:r>
            <w:r/>
          </w:p>
        </w:tc>
        <w:tc>
          <w:tcPr>
            <w:tcBorders>
              <w:top w:val="single" w:color="000000" w:sz="8" w:space="0"/>
              <w:left w:val="single" w:color="000000" w:sz="8"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业绩</w:t>
            </w:r>
            <w:r/>
          </w:p>
        </w:tc>
        <w:tc>
          <w:tcPr>
            <w:tcBorders>
              <w:top w:val="single" w:color="000000" w:sz="8" w:space="0"/>
              <w:left w:val="single" w:color="000000" w:sz="8"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5</w:t>
            </w:r>
            <w:r/>
          </w:p>
        </w:tc>
        <w:tc>
          <w:tcPr>
            <w:tcBorders>
              <w:top w:val="single" w:color="000000" w:sz="8" w:space="0"/>
              <w:left w:val="single" w:color="000000" w:sz="8" w:space="0"/>
              <w:bottom w:val="single" w:color="000000" w:sz="8" w:space="0"/>
              <w:right w:val="single" w:color="000000" w:sz="8" w:space="0"/>
            </w:tcBorders>
            <w:tcW w:w="5415" w:type="dxa"/>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自2021年1月1日以来，投标人</w:t>
            </w:r>
            <w:r>
              <w:rPr>
                <w:rFonts w:hint="eastAsia" w:ascii="仿宋" w:hAnsi="仿宋" w:eastAsia="仿宋" w:cs="仿宋"/>
                <w:bCs/>
                <w:color w:val="auto"/>
                <w:sz w:val="24"/>
                <w:szCs w:val="24"/>
                <w:highlight w:val="none"/>
                <w:lang w:val="en-US" w:eastAsia="zh-CN" w:bidi="ar"/>
              </w:rPr>
              <w:t xml:space="preserve">承担</w:t>
            </w:r>
            <w:r>
              <w:rPr>
                <w:rFonts w:hint="eastAsia" w:ascii="仿宋" w:hAnsi="仿宋" w:eastAsia="仿宋" w:cs="仿宋"/>
                <w:bCs/>
                <w:color w:val="auto"/>
                <w:sz w:val="24"/>
                <w:szCs w:val="24"/>
                <w:highlight w:val="none"/>
                <w:lang w:val="en-US" w:eastAsia="zh-CN" w:bidi="ar"/>
              </w:rPr>
              <w:t xml:space="preserve">的</w:t>
            </w:r>
            <w:r>
              <w:rPr>
                <w:rFonts w:hint="eastAsia" w:ascii="仿宋" w:hAnsi="仿宋" w:eastAsia="仿宋" w:cs="仿宋"/>
                <w:bCs/>
                <w:color w:val="auto"/>
                <w:sz w:val="24"/>
                <w:szCs w:val="24"/>
                <w:highlight w:val="none"/>
                <w:lang w:val="en-US" w:eastAsia="zh-CN" w:bidi="ar"/>
              </w:rPr>
              <w:t xml:space="preserve">相关产品的销售业绩（购买方必须为使用单位），每提供1份含同品牌同型号的产品合同得2分，每提供1份含同品牌的产品合同得1分。最高5分。</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相关产品指：含所投本</w:t>
            </w:r>
            <w:r>
              <w:rPr>
                <w:rFonts w:hint="eastAsia" w:ascii="仿宋" w:hAnsi="仿宋" w:eastAsia="仿宋" w:cs="仿宋"/>
                <w:bCs/>
                <w:color w:val="auto"/>
                <w:sz w:val="24"/>
                <w:szCs w:val="24"/>
                <w:highlight w:val="none"/>
                <w:lang w:val="en-US" w:eastAsia="zh-CN" w:bidi="ar"/>
              </w:rPr>
              <w:t xml:space="preserve">采购</w:t>
            </w:r>
            <w:r>
              <w:rPr>
                <w:rFonts w:hint="eastAsia" w:ascii="仿宋" w:hAnsi="仿宋" w:eastAsia="仿宋" w:cs="仿宋"/>
                <w:bCs/>
                <w:color w:val="auto"/>
                <w:sz w:val="24"/>
                <w:szCs w:val="24"/>
                <w:highlight w:val="none"/>
                <w:lang w:val="en-US" w:eastAsia="zh-CN" w:bidi="ar"/>
              </w:rPr>
              <w:t xml:space="preserve">包</w:t>
            </w:r>
            <w:r>
              <w:rPr>
                <w:rFonts w:hint="eastAsia" w:ascii="仿宋" w:hAnsi="仿宋" w:eastAsia="仿宋" w:cs="仿宋"/>
                <w:bCs/>
                <w:color w:val="auto"/>
                <w:sz w:val="24"/>
                <w:szCs w:val="24"/>
                <w:highlight w:val="none"/>
                <w:lang w:val="en-US" w:eastAsia="zh-CN" w:bidi="ar"/>
              </w:rPr>
              <w:t xml:space="preserve">产品清单中至少1个产品。</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投标文件中须合同复印件及不少于80%的结算发票，未提供或提供不全不得分。不提供不得分（为方便评委检索，请在合同清单中明确标注）。</w:t>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ind w:left="0" w:right="0" w:firstLine="480"/>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308"/>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售后服务</w:t>
            </w:r>
            <w:r/>
          </w:p>
        </w:tc>
        <w:tc>
          <w:tcPr>
            <w:tcBorders>
              <w:top w:val="single" w:color="000000" w:sz="8" w:space="0"/>
              <w:left w:val="single" w:color="000000" w:sz="8"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pacing w:val="-20"/>
                <w:sz w:val="24"/>
                <w:szCs w:val="24"/>
                <w:highlight w:val="none"/>
              </w:rPr>
              <w:suppressLineNumbers w:val="0"/>
            </w:pPr>
            <w:r>
              <w:rPr>
                <w:rFonts w:hint="eastAsia" w:ascii="仿宋" w:hAnsi="仿宋" w:eastAsia="仿宋" w:cs="仿宋"/>
                <w:color w:val="auto"/>
                <w:spacing w:val="-20"/>
                <w:sz w:val="24"/>
                <w:szCs w:val="24"/>
                <w:highlight w:val="none"/>
                <w:lang w:bidi="ar"/>
              </w:rPr>
              <w:t xml:space="preserve">15</w:t>
            </w:r>
            <w:r/>
          </w:p>
        </w:tc>
        <w:tc>
          <w:tcPr>
            <w:tcBorders>
              <w:top w:val="single" w:color="000000" w:sz="8" w:space="0"/>
              <w:left w:val="single" w:color="000000" w:sz="8" w:space="0"/>
              <w:bottom w:val="single" w:color="000000" w:sz="8" w:space="0"/>
              <w:right w:val="single" w:color="000000" w:sz="8" w:space="0"/>
            </w:tcBorders>
            <w:tcW w:w="5415" w:type="dxa"/>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1.制定售后服务方案：投标人应制订满足采购文件要求的售后服务方案及管理制度，包括但不限于①自身及所投产品制造商的售后服务机构的分布情况；②售后服务人员的数量、素质、技术水平；③主要产品配件清单及收费标准；④设备使用的培训方案；⑤故障解决方案等服务方案；服务方案应科学合理、具备针对性，并指定专门的售后服务人员；</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bidi="ar"/>
              </w:rPr>
              <w:t xml:space="preserve">上述内容中每缺少一项内容扣2分，每有一处需求分析内容存在缺陷或不足的扣1分，扣完为止。(本项最多得10分)</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color w:val="auto"/>
                <w:sz w:val="24"/>
                <w:szCs w:val="24"/>
                <w:highlight w:val="none"/>
                <w:lang w:bidi="ar"/>
              </w:rPr>
              <w:t xml:space="preserve">注：售后服务方案内容存在缺陷或不足是指以下任意一种情形：售后服务方案内容不切合行业实际、不符合国家法规政策；或售后服务方案内容生搬硬造，与实际情况不符，存在偏差；或售后服务方案内容过于简略；或存在与项目无关的文字内容；或内容不适用项目采购文件要求；或内容逻辑漏洞或原理错误。</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
                <w:color w:val="auto"/>
                <w:sz w:val="24"/>
                <w:szCs w:val="24"/>
                <w:highlight w:val="none"/>
              </w:rPr>
              <w:suppressLineNumbers w:val="0"/>
            </w:pPr>
            <w:r>
              <w:rPr>
                <w:rFonts w:hint="eastAsia" w:ascii="仿宋" w:hAnsi="仿宋" w:eastAsia="仿宋" w:cs="仿宋"/>
                <w:color w:val="auto"/>
                <w:sz w:val="24"/>
                <w:szCs w:val="24"/>
                <w:highlight w:val="none"/>
                <w:lang w:bidi="ar"/>
              </w:rPr>
              <w:t xml:space="preserve">2.投标人承诺接到招标人报修通知后，半小时内有效响应，一般故障2小时内予以排除，特殊故障 24小时内予以排除的得1分；一小时内有效响应，一般故障4小时内予以排除，特殊故障 48小时内予以排除的得0.5分；其他不得分。本项目最高1分。</w:t>
            </w:r>
            <w:r>
              <w:rPr>
                <w:rFonts w:hint="eastAsia" w:ascii="仿宋" w:hAnsi="仿宋" w:eastAsia="仿宋" w:cs="仿宋"/>
                <w:b/>
                <w:color w:val="auto"/>
                <w:sz w:val="24"/>
                <w:szCs w:val="24"/>
                <w:highlight w:val="none"/>
                <w:lang w:bidi="ar"/>
              </w:rPr>
              <w:t xml:space="preserve">投标文件中须提供承诺书，格式自拟。</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bidi="ar"/>
              </w:rPr>
              <w:t xml:space="preserve">3.</w:t>
            </w:r>
            <w:r>
              <w:rPr>
                <w:rFonts w:hint="eastAsia" w:ascii="仿宋" w:hAnsi="仿宋" w:eastAsia="仿宋" w:cs="仿宋"/>
                <w:b w:val="0"/>
                <w:bCs/>
                <w:color w:val="auto"/>
                <w:sz w:val="24"/>
                <w:szCs w:val="24"/>
                <w:highlight w:val="none"/>
                <w:lang w:val="en-US" w:eastAsia="zh-CN" w:bidi="ar"/>
              </w:rPr>
              <w:t xml:space="preserve">3.在满足招标文件中规定的免费质保期要求的基础上，投标人针对所有产品的免费质保期限每增加一年得1分，最高得2分。延保期内能承担各采购包所投产品需要检定或校准费用的，每1年得1分，最多得2分。本项共4分。</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lang w:bidi="ar"/>
              </w:rPr>
              <w:t xml:space="preserve">投标文件中须提供承诺书，格式自拟。</w:t>
            </w:r>
            <w:r/>
          </w:p>
        </w:tc>
        <w:tc>
          <w:tcPr>
            <w:tcBorders>
              <w:top w:val="single" w:color="000000" w:sz="8" w:space="0"/>
              <w:left w:val="single" w:color="000000" w:sz="8" w:space="0"/>
              <w:bottom w:val="single" w:color="000000" w:sz="8" w:space="0"/>
              <w:right w:val="single" w:color="000000" w:sz="8" w:space="0"/>
            </w:tcBorders>
            <w:tcW w:w="820" w:type="dxa"/>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2"/>
        <w:rPr>
          <w:rFonts w:hint="eastAsia" w:ascii="仿宋" w:hAnsi="仿宋" w:eastAsia="仿宋"/>
          <w:b/>
          <w:bCs/>
          <w:color w:val="auto"/>
          <w:sz w:val="28"/>
          <w:szCs w:val="28"/>
          <w:highlight w:val="none"/>
          <w:lang w:val="en-US" w:eastAsia="zh-CN"/>
        </w:rPr>
        <w:outlineLvl w:val="2"/>
      </w:pPr>
      <w:r>
        <w:rPr>
          <w:rFonts w:hint="eastAsia" w:ascii="仿宋" w:hAnsi="仿宋" w:eastAsia="仿宋"/>
          <w:b/>
          <w:bCs/>
          <w:color w:val="auto"/>
          <w:sz w:val="28"/>
          <w:szCs w:val="28"/>
          <w:highlight w:val="none"/>
          <w:lang w:val="en-US" w:eastAsia="zh-CN"/>
        </w:rPr>
        <w:t xml:space="preserve">（3）采购包3评分表</w:t>
      </w:r>
      <w:r/>
    </w:p>
    <w:tbl>
      <w:tblPr>
        <w:tblStyle w:val="891"/>
        <w:tblW w:w="889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6"/>
        <w:gridCol w:w="1176"/>
        <w:gridCol w:w="783"/>
        <w:gridCol w:w="5415"/>
        <w:gridCol w:w="820"/>
      </w:tblGrid>
      <w:tr>
        <w:trPr>
          <w:jc w:val="center"/>
          <w:trHeight w:val="433"/>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评审因素</w:t>
            </w:r>
            <w:r/>
          </w:p>
        </w:tc>
        <w:tc>
          <w:tcPr>
            <w:shd w:val="clear" w:color="auto" w:fill="auto"/>
            <w:tcBorders>
              <w:top w:val="single" w:color="000000" w:sz="8" w:space="0"/>
              <w:left w:val="none" w:color="000000" w:sz="4"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54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评审要求或标准</w:t>
            </w:r>
            <w:r/>
          </w:p>
        </w:tc>
        <w:tc>
          <w:tcPr>
            <w:shd w:val="clear" w:color="auto" w:fill="auto"/>
            <w:tcBorders>
              <w:top w:val="single" w:color="000000" w:sz="8" w:space="0"/>
              <w:left w:val="none" w:color="000000" w:sz="4" w:space="0"/>
              <w:bottom w:val="single" w:color="000000" w:sz="8" w:space="0"/>
              <w:right w:val="single" w:color="000000" w:sz="8" w:space="0"/>
            </w:tcBorders>
            <w:tcW w:w="8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得分</w:t>
            </w:r>
            <w:r/>
          </w:p>
        </w:tc>
      </w:tr>
      <w:tr>
        <w:trPr>
          <w:jc w:val="center"/>
          <w:trHeight w:val="90"/>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价格</w:t>
            </w:r>
            <w:r/>
          </w:p>
        </w:tc>
        <w:tc>
          <w:tcPr>
            <w:shd w:val="clear" w:color="auto" w:fill="auto"/>
            <w:tcBorders>
              <w:top w:val="single" w:color="000000" w:sz="8" w:space="0"/>
              <w:left w:val="none" w:color="000000" w:sz="4"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pacing w:val="-20"/>
                <w:sz w:val="24"/>
                <w:szCs w:val="24"/>
                <w:highlight w:val="none"/>
              </w:rPr>
              <w:suppressLineNumbers w:val="0"/>
            </w:pPr>
            <w:r>
              <w:rPr>
                <w:rFonts w:hint="eastAsia" w:ascii="仿宋" w:hAnsi="仿宋" w:eastAsia="仿宋" w:cs="仿宋"/>
                <w:bCs/>
                <w:color w:val="auto"/>
                <w:spacing w:val="-20"/>
                <w:sz w:val="24"/>
                <w:szCs w:val="24"/>
                <w:highlight w:val="none"/>
                <w:lang w:val="en-US" w:eastAsia="zh-CN" w:bidi="ar"/>
              </w:rPr>
              <w:t xml:space="preserve">40</w:t>
            </w:r>
            <w:r/>
          </w:p>
        </w:tc>
        <w:tc>
          <w:tcPr>
            <w:shd w:val="clear" w:color="auto" w:fill="auto"/>
            <w:tcBorders>
              <w:top w:val="single" w:color="000000" w:sz="8" w:space="0"/>
              <w:left w:val="none" w:color="000000" w:sz="4" w:space="0"/>
              <w:bottom w:val="single" w:color="000000" w:sz="8" w:space="0"/>
              <w:right w:val="single" w:color="000000" w:sz="8" w:space="0"/>
            </w:tcBorders>
            <w:tcW w:w="5415"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价格分应当采用低价优先法计算，即满足招标文件要求且投标价格最低的投标报价为评标基准价，其价格分为满分。其他投标人的价格分统一按照下列公式计算：</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投标报价得分=(评标基准价／投标报价)×价格分分值</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评标过程中，不得去掉报价中的最高报价和最低报价。因落实政府采购政策进行价格调整的，以调整后的价格计算评标基准价和投标报价。</w:t>
            </w:r>
            <w:r/>
          </w:p>
        </w:tc>
        <w:tc>
          <w:tcPr>
            <w:shd w:val="clear" w:color="auto" w:fill="auto"/>
            <w:tcBorders>
              <w:top w:val="single" w:color="000000" w:sz="8" w:space="0"/>
              <w:left w:val="none" w:color="000000" w:sz="4" w:space="0"/>
              <w:bottom w:val="single" w:color="000000" w:sz="8" w:space="0"/>
              <w:right w:val="single" w:color="000000" w:sz="8" w:space="0"/>
            </w:tcBorders>
            <w:tcW w:w="8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jc w:val="center"/>
          <w:trHeight w:val="227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产品</w:t>
            </w:r>
            <w:r/>
          </w:p>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性能</w:t>
            </w:r>
            <w:r/>
          </w:p>
        </w:tc>
        <w:tc>
          <w:tcPr>
            <w:shd w:val="clear" w:color="auto" w:fill="auto"/>
            <w:tcBorders>
              <w:top w:val="single" w:color="000000" w:sz="8" w:space="0"/>
              <w:left w:val="none" w:color="000000" w:sz="4"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bCs/>
                <w:color w:val="auto"/>
                <w:spacing w:val="-20"/>
                <w:sz w:val="24"/>
                <w:szCs w:val="24"/>
                <w:highlight w:val="none"/>
              </w:rPr>
              <w:suppressLineNumbers w:val="0"/>
            </w:pPr>
            <w:r>
              <w:rPr>
                <w:rFonts w:hint="eastAsia" w:ascii="仿宋" w:hAnsi="仿宋" w:eastAsia="仿宋" w:cs="仿宋"/>
                <w:bCs/>
                <w:color w:val="auto"/>
                <w:spacing w:val="-20"/>
                <w:sz w:val="24"/>
                <w:szCs w:val="24"/>
                <w:highlight w:val="none"/>
                <w:lang w:val="en-US" w:eastAsia="zh-CN" w:bidi="ar"/>
              </w:rPr>
              <w:t xml:space="preserve">40</w:t>
            </w:r>
            <w:r/>
          </w:p>
        </w:tc>
        <w:tc>
          <w:tcPr>
            <w:shd w:val="clear" w:color="auto" w:fill="auto"/>
            <w:tcBorders>
              <w:top w:val="single" w:color="000000" w:sz="8" w:space="0"/>
              <w:left w:val="none" w:color="000000" w:sz="4" w:space="0"/>
              <w:bottom w:val="single" w:color="000000" w:sz="8" w:space="0"/>
              <w:right w:val="single" w:color="000000" w:sz="8" w:space="0"/>
            </w:tcBorders>
            <w:tcW w:w="5415"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依据制造商公开发行的彩页、技术白皮书、技术规格书、产品使用说明书、功能截图或产品检验报告对产品性能进行评审，具体评分标准如下：</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一、</w:t>
            </w:r>
            <w:r>
              <w:rPr>
                <w:rFonts w:hint="eastAsia" w:ascii="宋体" w:hAnsi="宋体" w:eastAsia="宋体" w:cs="宋体"/>
                <w:b/>
                <w:bCs/>
                <w:color w:val="auto"/>
                <w:sz w:val="24"/>
                <w:szCs w:val="24"/>
                <w:highlight w:val="none"/>
                <w:lang w:val="en-US" w:eastAsia="zh-CN" w:bidi="ar"/>
              </w:rPr>
              <w:t xml:space="preserve">便携式傅里叶红外监测仪</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b/>
                <w:bCs/>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1.污染源废气测量采用全程180℃以上高温伴热，探头采样枪上能实时显示加热温度，探杆长度可根据现场情况接驳的，得4分，</w:t>
            </w:r>
            <w:r>
              <w:rPr>
                <w:rFonts w:hint="eastAsia" w:ascii="仿宋" w:hAnsi="仿宋" w:eastAsia="仿宋" w:cs="仿宋"/>
                <w:b/>
                <w:bCs/>
                <w:color w:val="auto"/>
                <w:sz w:val="24"/>
                <w:szCs w:val="24"/>
                <w:highlight w:val="none"/>
                <w:lang w:val="en-US" w:eastAsia="zh-CN" w:bidi="ar"/>
              </w:rPr>
              <w:t xml:space="preserve">须提供官方彩页或公开发行的技术规格书作为证明材料，不提供不得分。</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2.气室温度可调（常温/180℃及以上），满足不同应用场景需求，分析仪正压进样，实现样气低损失、高精确测量的，得4分，</w:t>
            </w:r>
            <w:r>
              <w:rPr>
                <w:rFonts w:hint="eastAsia" w:ascii="仿宋" w:hAnsi="仿宋" w:eastAsia="仿宋"/>
                <w:color w:val="auto"/>
                <w:sz w:val="24"/>
                <w:szCs w:val="24"/>
                <w:highlight w:val="none"/>
                <w:lang w:val="en-US" w:eastAsia="zh-CN"/>
              </w:rPr>
              <w:t xml:space="preserve">须</w:t>
            </w:r>
            <w:r>
              <w:rPr>
                <w:rFonts w:hint="eastAsia" w:ascii="仿宋" w:hAnsi="仿宋" w:eastAsia="仿宋"/>
                <w:b/>
                <w:bCs/>
                <w:color w:val="auto"/>
                <w:sz w:val="24"/>
                <w:szCs w:val="24"/>
                <w:highlight w:val="none"/>
              </w:rPr>
              <w:t xml:space="preserve">提供官方彩页或公开发行的技术规格书作为证明材料</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不提供不得分</w:t>
            </w:r>
            <w:r>
              <w:rPr>
                <w:rFonts w:hint="eastAsia" w:ascii="仿宋" w:hAnsi="仿宋" w:eastAsia="仿宋" w:cs="仿宋"/>
                <w:b/>
                <w:bCs/>
                <w:color w:val="auto"/>
                <w:sz w:val="24"/>
                <w:szCs w:val="24"/>
                <w:highlight w:val="none"/>
                <w:lang w:val="en-US" w:eastAsia="zh-CN" w:bidi="ar"/>
              </w:rPr>
              <w:t xml:space="preserve">。</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b/>
                <w:bCs/>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3.具有包含氧化硫和氮氧化物的计量器具型式批准证书的，得4分，</w:t>
            </w:r>
            <w:r>
              <w:rPr>
                <w:rFonts w:hint="eastAsia" w:ascii="仿宋" w:hAnsi="仿宋" w:eastAsia="仿宋" w:cs="仿宋"/>
                <w:b/>
                <w:bCs/>
                <w:color w:val="auto"/>
                <w:sz w:val="24"/>
                <w:szCs w:val="24"/>
                <w:highlight w:val="none"/>
                <w:lang w:val="en-US" w:eastAsia="zh-CN" w:bidi="ar"/>
              </w:rPr>
              <w:t xml:space="preserve">须提供证书扫描件，不提供不得分。</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4.具有省级或省级以上国家计量部门出具的CMA检测报告，得4分，</w:t>
            </w:r>
            <w:r>
              <w:rPr>
                <w:rFonts w:hint="eastAsia" w:ascii="仿宋" w:hAnsi="仿宋" w:eastAsia="仿宋" w:cs="仿宋"/>
                <w:b/>
                <w:bCs/>
                <w:color w:val="auto"/>
                <w:sz w:val="24"/>
                <w:szCs w:val="24"/>
                <w:highlight w:val="none"/>
                <w:lang w:val="en-US" w:eastAsia="zh-CN" w:bidi="ar"/>
              </w:rPr>
              <w:t xml:space="preserve">须提供报告扫描件，不提供不得分。</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5.检测器：半导体红外激光器，至少提供两年质保的，得4分，</w:t>
            </w:r>
            <w:r>
              <w:rPr>
                <w:rFonts w:hint="eastAsia" w:ascii="仿宋" w:hAnsi="仿宋" w:eastAsia="仿宋" w:cs="仿宋"/>
                <w:b/>
                <w:bCs/>
                <w:color w:val="auto"/>
                <w:sz w:val="24"/>
                <w:szCs w:val="24"/>
                <w:highlight w:val="none"/>
                <w:lang w:val="en-US" w:eastAsia="zh-CN" w:bidi="ar"/>
              </w:rPr>
              <w:t xml:space="preserve">须提供承诺书，不提供或提供不全不得分。</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b/>
                <w:bCs/>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6.光谱范围：至少满足(900-5000)cm</w:t>
            </w:r>
            <w:r>
              <w:rPr>
                <w:rFonts w:hint="eastAsia" w:ascii="仿宋" w:hAnsi="仿宋" w:eastAsia="仿宋" w:cs="仿宋"/>
                <w:color w:val="auto"/>
                <w:sz w:val="24"/>
                <w:szCs w:val="24"/>
                <w:highlight w:val="none"/>
                <w:vertAlign w:val="superscript"/>
                <w:lang w:val="en-US" w:eastAsia="zh-CN" w:bidi="ar"/>
              </w:rPr>
              <w:t xml:space="preserve">-1</w:t>
            </w:r>
            <w:r>
              <w:rPr>
                <w:rFonts w:hint="eastAsia" w:ascii="仿宋" w:hAnsi="仿宋" w:eastAsia="仿宋" w:cs="仿宋"/>
                <w:color w:val="auto"/>
                <w:sz w:val="24"/>
                <w:szCs w:val="24"/>
                <w:highlight w:val="none"/>
                <w:lang w:val="en-US" w:eastAsia="zh-CN" w:bidi="ar"/>
              </w:rPr>
              <w:t xml:space="preserve">的，得4分，</w:t>
            </w:r>
            <w:r>
              <w:rPr>
                <w:rFonts w:hint="eastAsia" w:ascii="仿宋" w:hAnsi="仿宋" w:eastAsia="仿宋" w:cs="仿宋"/>
                <w:b/>
                <w:bCs/>
                <w:color w:val="auto"/>
                <w:sz w:val="24"/>
                <w:szCs w:val="24"/>
                <w:highlight w:val="none"/>
                <w:lang w:val="en-US" w:eastAsia="zh-CN" w:bidi="ar"/>
              </w:rPr>
              <w:t xml:space="preserve">须提供官方彩页或公开发行的技术规格书作为证明材料，不提供不得分。</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二、便携式X射线荧光分析仪</w:t>
            </w:r>
            <w:r/>
          </w:p>
          <w:p>
            <w:pPr>
              <w:ind w:left="0" w:right="0"/>
              <w:jc w:val="left"/>
              <w:keepLines w:val="0"/>
              <w:keepNext w:val="0"/>
              <w:pageBreakBefore w:val="0"/>
              <w:spacing w:before="0" w:beforeAutospacing="0" w:after="0" w:afterAutospacing="0" w:line="360" w:lineRule="exact"/>
              <w:widowControl w:val="off"/>
              <w:rPr>
                <w:rFonts w:hint="eastAsia" w:ascii="Times New Roman" w:hAnsi="Times New Roman" w:eastAsia="宋体" w:cs="Times New Roman"/>
                <w:color w:val="auto"/>
                <w:sz w:val="21"/>
                <w:szCs w:val="21"/>
                <w:highlight w:val="none"/>
              </w:rPr>
              <w:suppressLineNumbers w:val="0"/>
            </w:pPr>
            <w:r>
              <w:rPr>
                <w:rFonts w:hint="eastAsia" w:ascii="仿宋" w:hAnsi="仿宋" w:eastAsia="仿宋" w:cs="仿宋"/>
                <w:color w:val="auto"/>
                <w:sz w:val="24"/>
                <w:szCs w:val="24"/>
                <w:highlight w:val="none"/>
                <w:lang w:val="en-US" w:eastAsia="zh-CN" w:bidi="ar"/>
              </w:rPr>
              <w:t xml:space="preserve">7.防辐射：不含放射性同位素激励源，环保性能强；X射线辐射剂量≤0.1μSV/h且具备测试架的，得4分，</w:t>
            </w:r>
            <w:r>
              <w:rPr>
                <w:rFonts w:hint="eastAsia" w:ascii="仿宋" w:hAnsi="仿宋" w:eastAsia="仿宋" w:cs="仿宋"/>
                <w:b/>
                <w:bCs/>
                <w:color w:val="auto"/>
                <w:sz w:val="24"/>
                <w:szCs w:val="24"/>
                <w:highlight w:val="none"/>
                <w:lang w:val="en-US" w:eastAsia="zh-CN" w:bidi="ar"/>
              </w:rPr>
              <w:t xml:space="preserve">须提供官方彩页或公开发行的技术规格书作为证明材料，不提供不得分。</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b/>
                <w:bCs/>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8.无需样品前处理，进行非破坏性分析，短时间快速分析，现场直接分析测定的，得4分。</w:t>
            </w:r>
            <w:r>
              <w:rPr>
                <w:rFonts w:hint="eastAsia" w:ascii="仿宋" w:hAnsi="仿宋" w:eastAsia="仿宋" w:cs="仿宋"/>
                <w:b/>
                <w:bCs/>
                <w:color w:val="auto"/>
                <w:sz w:val="24"/>
                <w:szCs w:val="24"/>
                <w:highlight w:val="none"/>
                <w:lang w:val="en-US" w:eastAsia="zh-CN" w:bidi="ar"/>
              </w:rPr>
              <w:t xml:space="preserve">须提供官方彩页或公开发行的技术规格书作为证明材料，不提供不得分。</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三、便携式氢火焰离子化检测仪</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9.整机采用本安防爆设计FID检测模块采用隔爆设计，防爆等级不低于Ex d ia IIC T4 Gb的，得4分，</w:t>
            </w:r>
            <w:r>
              <w:rPr>
                <w:rFonts w:hint="eastAsia" w:ascii="仿宋" w:hAnsi="仿宋" w:eastAsia="仿宋" w:cs="仿宋"/>
                <w:b/>
                <w:bCs/>
                <w:color w:val="auto"/>
                <w:sz w:val="24"/>
                <w:szCs w:val="24"/>
                <w:highlight w:val="none"/>
                <w:lang w:val="en-US" w:eastAsia="zh-CN" w:bidi="ar"/>
              </w:rPr>
              <w:t xml:space="preserve">须提供官方彩页或公开发行的技术规格书作为证明材料，不提供不得分。</w:t>
            </w:r>
            <w:r/>
          </w:p>
          <w:p>
            <w:pPr>
              <w:ind w:left="0" w:right="0"/>
              <w:jc w:val="both"/>
              <w:keepLines w:val="0"/>
              <w:keepNext w:val="0"/>
              <w:pageBreakBefore w:val="0"/>
              <w:spacing w:before="0" w:beforeAutospacing="0" w:after="0" w:afterAutospacing="0" w:line="360" w:lineRule="exact"/>
              <w:widowControl w:val="off"/>
              <w:rPr>
                <w:rFonts w:hint="default"/>
                <w:color w:val="auto"/>
                <w:highlight w:val="none"/>
              </w:rPr>
              <w:suppressLineNumbers w:val="0"/>
            </w:pPr>
            <w:r>
              <w:rPr>
                <w:rFonts w:hint="eastAsia" w:ascii="仿宋" w:hAnsi="仿宋" w:eastAsia="仿宋" w:cs="仿宋"/>
                <w:color w:val="auto"/>
                <w:sz w:val="24"/>
                <w:szCs w:val="24"/>
                <w:highlight w:val="none"/>
                <w:lang w:val="en-US" w:eastAsia="zh-CN" w:bidi="ar"/>
              </w:rPr>
              <w:t xml:space="preserve">10.显示测试浓度，可以进行 mg/m</w:t>
            </w:r>
            <w:r>
              <w:rPr>
                <w:rFonts w:hint="eastAsia" w:ascii="仿宋" w:hAnsi="仿宋" w:eastAsia="仿宋" w:cs="仿宋"/>
                <w:color w:val="auto"/>
                <w:sz w:val="24"/>
                <w:szCs w:val="24"/>
                <w:highlight w:val="none"/>
                <w:vertAlign w:val="superscript"/>
                <w:lang w:val="en-US" w:eastAsia="zh-CN" w:bidi="ar"/>
              </w:rPr>
              <w:t xml:space="preserve">3</w:t>
            </w:r>
            <w:r>
              <w:rPr>
                <w:rFonts w:hint="eastAsia" w:ascii="仿宋" w:hAnsi="仿宋" w:eastAsia="仿宋" w:cs="Times New Roman"/>
                <w:color w:val="auto"/>
                <w:sz w:val="24"/>
                <w:szCs w:val="24"/>
                <w:highlight w:val="none"/>
                <w:lang w:val="en-US" w:eastAsia="zh-CN" w:bidi="ar"/>
              </w:rPr>
              <w:t xml:space="preserve"> </w:t>
            </w:r>
            <w:r>
              <w:rPr>
                <w:rFonts w:hint="eastAsia" w:ascii="仿宋" w:hAnsi="仿宋" w:eastAsia="仿宋" w:cs="仿宋"/>
                <w:color w:val="auto"/>
                <w:sz w:val="24"/>
                <w:szCs w:val="24"/>
                <w:highlight w:val="none"/>
                <w:lang w:val="en-US" w:eastAsia="zh-CN" w:bidi="ar"/>
              </w:rPr>
              <w:t xml:space="preserve">和μmol/mol 单位切换，选择mg/m</w:t>
            </w:r>
            <w:r>
              <w:rPr>
                <w:rFonts w:hint="eastAsia" w:ascii="仿宋" w:hAnsi="仿宋" w:eastAsia="仿宋" w:cs="仿宋"/>
                <w:color w:val="auto"/>
                <w:sz w:val="24"/>
                <w:szCs w:val="24"/>
                <w:highlight w:val="none"/>
                <w:vertAlign w:val="superscript"/>
                <w:lang w:val="en-US" w:eastAsia="zh-CN" w:bidi="ar"/>
              </w:rPr>
              <w:t xml:space="preserve">3</w:t>
            </w:r>
            <w:r>
              <w:rPr>
                <w:rFonts w:hint="eastAsia" w:ascii="仿宋" w:hAnsi="仿宋" w:eastAsia="仿宋" w:cs="仿宋"/>
                <w:color w:val="auto"/>
                <w:sz w:val="24"/>
                <w:szCs w:val="24"/>
                <w:highlight w:val="none"/>
                <w:lang w:val="en-US" w:eastAsia="zh-CN" w:bidi="ar"/>
              </w:rPr>
              <w:t xml:space="preserve">单位时可选择以C计或以 CH</w:t>
            </w:r>
            <w:r>
              <w:rPr>
                <w:rFonts w:hint="eastAsia" w:ascii="仿宋" w:hAnsi="仿宋" w:eastAsia="仿宋" w:cs="仿宋"/>
                <w:color w:val="auto"/>
                <w:sz w:val="24"/>
                <w:szCs w:val="24"/>
                <w:highlight w:val="none"/>
                <w:vertAlign w:val="subscript"/>
                <w:lang w:val="en-US" w:eastAsia="zh-CN" w:bidi="ar"/>
              </w:rPr>
              <w:t xml:space="preserve">4</w:t>
            </w:r>
            <w:r>
              <w:rPr>
                <w:rFonts w:hint="eastAsia" w:ascii="仿宋" w:hAnsi="仿宋" w:eastAsia="仿宋" w:cs="Times New Roman"/>
                <w:color w:val="auto"/>
                <w:sz w:val="24"/>
                <w:szCs w:val="24"/>
                <w:highlight w:val="none"/>
                <w:lang w:val="en-US" w:eastAsia="zh-CN" w:bidi="ar"/>
              </w:rPr>
              <w:t xml:space="preserve"> </w:t>
            </w:r>
            <w:r>
              <w:rPr>
                <w:rFonts w:hint="eastAsia" w:ascii="仿宋" w:hAnsi="仿宋" w:eastAsia="仿宋" w:cs="仿宋"/>
                <w:color w:val="auto"/>
                <w:sz w:val="24"/>
                <w:szCs w:val="24"/>
                <w:highlight w:val="none"/>
                <w:lang w:val="en-US" w:eastAsia="zh-CN" w:bidi="ar"/>
              </w:rPr>
              <w:t xml:space="preserve">计的，得4分，</w:t>
            </w:r>
            <w:r>
              <w:rPr>
                <w:rFonts w:hint="eastAsia" w:ascii="仿宋" w:hAnsi="仿宋" w:eastAsia="仿宋" w:cs="仿宋"/>
                <w:b/>
                <w:bCs/>
                <w:color w:val="auto"/>
                <w:sz w:val="24"/>
                <w:szCs w:val="24"/>
                <w:highlight w:val="none"/>
                <w:lang w:val="en-US" w:eastAsia="zh-CN" w:bidi="ar"/>
              </w:rPr>
              <w:t xml:space="preserve">须提供官方彩页或公开发行的技术规格书作为证明材料，不提供不得分。</w:t>
            </w:r>
            <w:r/>
          </w:p>
          <w:p>
            <w:pPr>
              <w:ind w:left="0" w:right="0"/>
              <w:jc w:val="left"/>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820" w:type="dxa"/>
            <w:vAlign w:val="center"/>
            <w:textDirection w:val="lrTb"/>
            <w:noWrap w:val="false"/>
          </w:tcPr>
          <w:p>
            <w:pPr>
              <w:ind w:left="0" w:right="0" w:firstLine="422"/>
              <w:jc w:val="both"/>
              <w:keepLines w:val="0"/>
              <w:keepNext w:val="0"/>
              <w:pageBreakBefore w:val="0"/>
              <w:spacing w:before="0" w:beforeAutospacing="0" w:after="0" w:afterAutospacing="0" w:line="360" w:lineRule="exact"/>
              <w:widowControl w:val="off"/>
              <w:rPr>
                <w:rFonts w:hint="eastAsia" w:ascii="仿宋" w:hAnsi="仿宋" w:eastAsia="仿宋" w:cs="仿宋"/>
                <w:b/>
                <w:bCs/>
                <w:color w:val="auto"/>
                <w:sz w:val="21"/>
                <w:szCs w:val="21"/>
                <w:highlight w:val="none"/>
              </w:rPr>
              <w:suppressLineNumbers w:val="0"/>
            </w:pPr>
            <w:r>
              <w:rPr>
                <w:rFonts w:hint="eastAsia" w:ascii="仿宋" w:hAnsi="仿宋" w:eastAsia="仿宋" w:cs="仿宋"/>
                <w:b/>
                <w:bCs/>
                <w:color w:val="auto"/>
                <w:sz w:val="21"/>
                <w:szCs w:val="21"/>
                <w:highlight w:val="none"/>
              </w:rPr>
            </w:r>
            <w:r/>
          </w:p>
        </w:tc>
      </w:tr>
      <w:tr>
        <w:trPr>
          <w:jc w:val="center"/>
          <w:trHeight w:val="1826"/>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业绩</w:t>
            </w:r>
            <w:r/>
          </w:p>
        </w:tc>
        <w:tc>
          <w:tcPr>
            <w:shd w:val="clear" w:color="auto" w:fill="auto"/>
            <w:tcBorders>
              <w:top w:val="single" w:color="000000" w:sz="8" w:space="0"/>
              <w:left w:val="none" w:color="000000" w:sz="4"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5415" w:type="dxa"/>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自2021年1月1日以来，投标人</w:t>
            </w:r>
            <w:r>
              <w:rPr>
                <w:rFonts w:hint="eastAsia" w:ascii="仿宋" w:hAnsi="仿宋" w:eastAsia="仿宋" w:cs="仿宋"/>
                <w:bCs/>
                <w:color w:val="auto"/>
                <w:sz w:val="24"/>
                <w:szCs w:val="24"/>
                <w:highlight w:val="none"/>
                <w:lang w:val="en-US" w:eastAsia="zh-CN" w:bidi="ar"/>
              </w:rPr>
              <w:t xml:space="preserve">承担</w:t>
            </w:r>
            <w:r>
              <w:rPr>
                <w:rFonts w:hint="eastAsia" w:ascii="仿宋" w:hAnsi="仿宋" w:eastAsia="仿宋" w:cs="仿宋"/>
                <w:bCs/>
                <w:color w:val="auto"/>
                <w:sz w:val="24"/>
                <w:szCs w:val="24"/>
                <w:highlight w:val="none"/>
                <w:lang w:val="en-US" w:eastAsia="zh-CN" w:bidi="ar"/>
              </w:rPr>
              <w:t xml:space="preserve">的</w:t>
            </w:r>
            <w:r>
              <w:rPr>
                <w:rFonts w:hint="eastAsia" w:ascii="仿宋" w:hAnsi="仿宋" w:eastAsia="仿宋" w:cs="仿宋"/>
                <w:bCs/>
                <w:color w:val="auto"/>
                <w:sz w:val="24"/>
                <w:szCs w:val="24"/>
                <w:highlight w:val="none"/>
                <w:lang w:val="en-US" w:eastAsia="zh-CN" w:bidi="ar"/>
              </w:rPr>
              <w:t xml:space="preserve">相关产品的销售业绩（购买方必须为使用单位），每提供1份得1分，最高5分。</w:t>
            </w:r>
            <w:r/>
          </w:p>
          <w:p>
            <w:pPr>
              <w:ind w:left="0" w:right="0" w:firstLine="480"/>
              <w:jc w:val="left"/>
              <w:keepLines w:val="0"/>
              <w:keepNext w:val="0"/>
              <w:pageBreakBefore w:val="0"/>
              <w:spacing w:before="0" w:beforeAutospacing="0" w:after="0" w:afterAutospacing="0" w:line="360" w:lineRule="exact"/>
              <w:widowControl w:val="off"/>
              <w:rPr>
                <w:rFonts w:hint="default" w:ascii="仿宋" w:hAnsi="仿宋" w:eastAsia="仿宋" w:cs="仿宋"/>
                <w:bCs/>
                <w:color w:val="auto"/>
                <w:sz w:val="24"/>
                <w:szCs w:val="24"/>
                <w:highlight w:val="none"/>
                <w:lang w:val="en-US" w:eastAsia="zh-CN" w:bidi="ar"/>
              </w:rPr>
              <w:suppressLineNumbers w:val="0"/>
            </w:pPr>
            <w:r>
              <w:rPr>
                <w:rFonts w:hint="eastAsia" w:ascii="仿宋" w:hAnsi="仿宋" w:eastAsia="仿宋" w:cs="仿宋"/>
                <w:bCs/>
                <w:color w:val="auto"/>
                <w:sz w:val="24"/>
                <w:szCs w:val="24"/>
                <w:highlight w:val="none"/>
                <w:lang w:val="en-US" w:eastAsia="zh-CN" w:bidi="ar"/>
              </w:rPr>
              <w:t xml:space="preserve">相关产品指：含所投本</w:t>
            </w:r>
            <w:r>
              <w:rPr>
                <w:rFonts w:hint="eastAsia" w:ascii="仿宋" w:hAnsi="仿宋" w:eastAsia="仿宋" w:cs="仿宋"/>
                <w:bCs/>
                <w:color w:val="auto"/>
                <w:sz w:val="24"/>
                <w:szCs w:val="24"/>
                <w:highlight w:val="none"/>
                <w:lang w:val="en-US" w:eastAsia="zh-CN" w:bidi="ar"/>
              </w:rPr>
              <w:t xml:space="preserve">采购</w:t>
            </w:r>
            <w:r>
              <w:rPr>
                <w:rFonts w:hint="eastAsia" w:ascii="仿宋" w:hAnsi="仿宋" w:eastAsia="仿宋" w:cs="仿宋"/>
                <w:bCs/>
                <w:color w:val="auto"/>
                <w:sz w:val="24"/>
                <w:szCs w:val="24"/>
                <w:highlight w:val="none"/>
                <w:lang w:val="en-US" w:eastAsia="zh-CN" w:bidi="ar"/>
              </w:rPr>
              <w:t xml:space="preserve">包</w:t>
            </w:r>
            <w:r>
              <w:rPr>
                <w:rFonts w:hint="eastAsia" w:ascii="仿宋" w:hAnsi="仿宋" w:eastAsia="仿宋" w:cs="仿宋"/>
                <w:bCs/>
                <w:color w:val="auto"/>
                <w:sz w:val="24"/>
                <w:szCs w:val="24"/>
                <w:highlight w:val="none"/>
                <w:lang w:val="en-US" w:eastAsia="zh-CN" w:bidi="ar"/>
              </w:rPr>
              <w:t xml:space="preserve">产品清单中至少1个同品牌</w:t>
            </w:r>
            <w:r>
              <w:rPr>
                <w:rFonts w:hint="eastAsia" w:ascii="仿宋" w:hAnsi="仿宋" w:eastAsia="仿宋" w:cs="仿宋"/>
                <w:bCs/>
                <w:color w:val="auto"/>
                <w:sz w:val="24"/>
                <w:szCs w:val="24"/>
                <w:highlight w:val="none"/>
                <w:lang w:val="en-US" w:eastAsia="zh-CN" w:bidi="ar"/>
              </w:rPr>
              <w:t xml:space="preserve">同型号</w:t>
            </w:r>
            <w:r>
              <w:rPr>
                <w:rFonts w:hint="eastAsia" w:ascii="仿宋" w:hAnsi="仿宋" w:eastAsia="仿宋" w:cs="仿宋"/>
                <w:bCs/>
                <w:color w:val="auto"/>
                <w:sz w:val="24"/>
                <w:szCs w:val="24"/>
                <w:highlight w:val="none"/>
                <w:lang w:val="en-US" w:eastAsia="zh-CN" w:bidi="ar"/>
              </w:rPr>
              <w:t xml:space="preserve">的产品。</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投标文件中须合同复印件及不少于80%的结算发票，未提供或提供不全不得分。不提供不得分（为方便评委检索，请在合同清单中明确标注）。</w:t>
            </w:r>
            <w:r/>
          </w:p>
        </w:tc>
        <w:tc>
          <w:tcPr>
            <w:shd w:val="clear" w:color="auto" w:fill="auto"/>
            <w:tcBorders>
              <w:top w:val="single" w:color="000000" w:sz="8" w:space="0"/>
              <w:left w:val="none" w:color="000000" w:sz="4" w:space="0"/>
              <w:bottom w:val="single" w:color="000000" w:sz="8" w:space="0"/>
              <w:right w:val="single" w:color="000000" w:sz="8" w:space="0"/>
            </w:tcBorders>
            <w:tcW w:w="820" w:type="dxa"/>
            <w:vAlign w:val="center"/>
            <w:textDirection w:val="lrTb"/>
            <w:noWrap w:val="false"/>
          </w:tcPr>
          <w:p>
            <w:pPr>
              <w:ind w:left="0" w:right="0" w:firstLine="480"/>
              <w:jc w:val="both"/>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jc w:val="center"/>
          <w:trHeight w:val="308"/>
        </w:trPr>
        <w:tc>
          <w:tcPr>
            <w:shd w:val="clear" w:color="auto" w:fill="auto"/>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售后服务</w:t>
            </w:r>
            <w:r/>
          </w:p>
        </w:tc>
        <w:tc>
          <w:tcPr>
            <w:shd w:val="clear" w:color="auto" w:fill="auto"/>
            <w:tcBorders>
              <w:top w:val="single" w:color="000000" w:sz="8" w:space="0"/>
              <w:left w:val="none" w:color="000000" w:sz="4" w:space="0"/>
              <w:bottom w:val="single" w:color="000000" w:sz="8" w:space="0"/>
              <w:right w:val="single" w:color="000000" w:sz="8" w:space="0"/>
            </w:tcBorders>
            <w:tcW w:w="78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仿宋" w:hAnsi="仿宋" w:eastAsia="仿宋" w:cs="仿宋"/>
                <w:color w:val="auto"/>
                <w:spacing w:val="-20"/>
                <w:sz w:val="24"/>
                <w:szCs w:val="24"/>
                <w:highlight w:val="none"/>
              </w:rPr>
              <w:suppressLineNumbers w:val="0"/>
            </w:pPr>
            <w:r>
              <w:rPr>
                <w:rFonts w:hint="eastAsia" w:ascii="仿宋" w:hAnsi="仿宋" w:eastAsia="仿宋" w:cs="仿宋"/>
                <w:color w:val="auto"/>
                <w:spacing w:val="-20"/>
                <w:sz w:val="24"/>
                <w:szCs w:val="24"/>
                <w:highlight w:val="none"/>
                <w:lang w:val="en-US" w:eastAsia="zh-CN" w:bidi="ar"/>
              </w:rPr>
              <w:t xml:space="preserve">15</w:t>
            </w:r>
            <w:r/>
          </w:p>
        </w:tc>
        <w:tc>
          <w:tcPr>
            <w:shd w:val="clear" w:color="auto" w:fill="auto"/>
            <w:tcBorders>
              <w:top w:val="single" w:color="000000" w:sz="8" w:space="0"/>
              <w:left w:val="none" w:color="000000" w:sz="4" w:space="0"/>
              <w:bottom w:val="single" w:color="000000" w:sz="8" w:space="0"/>
              <w:right w:val="single" w:color="000000" w:sz="8" w:space="0"/>
            </w:tcBorders>
            <w:tcW w:w="5415" w:type="dxa"/>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1.制定售后服务方案：投标人应制订满足采购文件要求的售后服务方案及管理制度，包括但不限于①自身及所投产品制造商的售后服务机构的分布情况；②售后服务人员的数量、素质、技术水平；③主要产品配件清单及收费标准；④设备使用的培训方案；⑤故障解决方案等服务方案；服务方案应科学合理、具备针对性，并指定专门的售后服务人员；</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上述内容中每缺少一项内容扣2分，每有一处需求分析内容存在缺陷或不足的扣1分，扣完为止。(本项最多得10分)</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注：售后服务方案内容存在缺陷或不足是指以下任意一种情形：售后服务方案内容不切合行业实际、不符合国家法规政策；或售后服务方案内容生搬硬造，与实际情况不符，存在偏差；或售后服务方案内容过于简略；或存在与项目无关的文字内容；或内容不适用项目采购文件要求；或内容逻辑漏洞或原理错误。</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
                <w:bCs w:val="0"/>
                <w:color w:val="auto"/>
                <w:sz w:val="24"/>
                <w:szCs w:val="24"/>
                <w:highlight w:val="none"/>
              </w:rPr>
              <w:suppressLineNumbers w:val="0"/>
            </w:pPr>
            <w:r>
              <w:rPr>
                <w:rFonts w:hint="eastAsia" w:ascii="仿宋" w:hAnsi="仿宋" w:eastAsia="仿宋" w:cs="仿宋"/>
                <w:bCs/>
                <w:color w:val="auto"/>
                <w:sz w:val="24"/>
                <w:szCs w:val="24"/>
                <w:highlight w:val="none"/>
                <w:lang w:val="en-US" w:eastAsia="zh-CN" w:bidi="ar"/>
              </w:rPr>
              <w:t xml:space="preserve">2.投标人承诺接到招标人报修通知后，半小时内有效响应，一般故障2小时内予以排除，特殊故障 24小时内予以排除的得1分；一小时内有效响应，一般故障4小时内予以排除，特殊故障 48小时内予以排除的得0.5分；其他不得分。本项目最高1分。</w:t>
            </w:r>
            <w:r>
              <w:rPr>
                <w:rFonts w:hint="eastAsia" w:ascii="仿宋" w:hAnsi="仿宋" w:eastAsia="仿宋" w:cs="仿宋"/>
                <w:b/>
                <w:bCs w:val="0"/>
                <w:color w:val="auto"/>
                <w:sz w:val="24"/>
                <w:szCs w:val="24"/>
                <w:highlight w:val="none"/>
                <w:lang w:val="en-US" w:eastAsia="zh-CN" w:bidi="ar"/>
              </w:rPr>
              <w:t xml:space="preserve">投标文件中须提供承诺书，格式自拟。</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 w:val="0"/>
                <w:bCs/>
                <w:color w:val="auto"/>
                <w:sz w:val="24"/>
                <w:szCs w:val="24"/>
                <w:highlight w:val="none"/>
              </w:rPr>
              <w:suppressLineNumbers w:val="0"/>
            </w:pPr>
            <w:r>
              <w:rPr>
                <w:rFonts w:hint="eastAsia" w:ascii="仿宋" w:hAnsi="仿宋" w:eastAsia="仿宋" w:cs="仿宋"/>
                <w:b w:val="0"/>
                <w:bCs/>
                <w:color w:val="auto"/>
                <w:sz w:val="24"/>
                <w:szCs w:val="24"/>
                <w:highlight w:val="none"/>
                <w:lang w:val="en-US" w:eastAsia="zh-CN" w:bidi="ar"/>
              </w:rPr>
              <w:t xml:space="preserve">3.在满足招标文件中规定的免费质保期要求的基础上，投标人针对所有产品的免费质保期限每增加一年得1分，最高得2分。延保期内能承担各采购包所投产品需要检定或校准费用的，每1年得1分，最多得2分。本项共4分。</w:t>
            </w:r>
            <w:r/>
          </w:p>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
                <w:bCs w:val="0"/>
                <w:color w:val="auto"/>
                <w:sz w:val="24"/>
                <w:szCs w:val="24"/>
                <w:highlight w:val="none"/>
              </w:rPr>
              <w:suppressLineNumbers w:val="0"/>
            </w:pPr>
            <w:r>
              <w:rPr>
                <w:rFonts w:hint="eastAsia" w:ascii="仿宋" w:hAnsi="仿宋" w:eastAsia="仿宋" w:cs="仿宋"/>
                <w:b/>
                <w:bCs w:val="0"/>
                <w:color w:val="auto"/>
                <w:sz w:val="24"/>
                <w:szCs w:val="24"/>
                <w:highlight w:val="none"/>
                <w:lang w:val="en-US" w:eastAsia="zh-CN" w:bidi="ar"/>
              </w:rPr>
              <w:t xml:space="preserve">投标文件中须提供承诺书，格式自拟。</w:t>
            </w:r>
            <w:r/>
          </w:p>
        </w:tc>
        <w:tc>
          <w:tcPr>
            <w:shd w:val="clear" w:color="auto" w:fill="auto"/>
            <w:tcBorders>
              <w:top w:val="single" w:color="000000" w:sz="8" w:space="0"/>
              <w:left w:val="none" w:color="000000" w:sz="4" w:space="0"/>
              <w:bottom w:val="single" w:color="000000" w:sz="8" w:space="0"/>
              <w:right w:val="single" w:color="000000" w:sz="8" w:space="0"/>
            </w:tcBorders>
            <w:tcW w:w="820" w:type="dxa"/>
            <w:vAlign w:val="center"/>
            <w:textDirection w:val="lrTb"/>
            <w:noWrap w:val="false"/>
          </w:tcPr>
          <w:p>
            <w:pPr>
              <w:ind w:left="0" w:right="0" w:firstLine="480"/>
              <w:jc w:val="left"/>
              <w:keepLines w:val="0"/>
              <w:keepNext w:val="0"/>
              <w:pageBreakBefore w:val="0"/>
              <w:spacing w:before="0" w:beforeAutospacing="0" w:after="0" w:afterAutospacing="0" w:line="360" w:lineRule="exact"/>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bl>
    <w:p>
      <w:pPr>
        <w:ind w:left="0" w:right="0" w:firstLine="560"/>
        <w:jc w:val="both"/>
        <w:keepLines w:val="0"/>
        <w:keepNext w:val="0"/>
        <w:spacing w:before="0" w:beforeAutospacing="0" w:after="0" w:afterAutospacing="0"/>
        <w:widowControl w:val="off"/>
        <w:rPr>
          <w:rFonts w:hint="eastAsia" w:ascii="仿宋" w:hAnsi="仿宋" w:eastAsia="仿宋" w:cs="仿宋"/>
          <w:b/>
          <w:bCs/>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备注：</w:t>
      </w:r>
      <w:r>
        <w:rPr>
          <w:rFonts w:hint="eastAsia" w:ascii="仿宋" w:hAnsi="仿宋" w:eastAsia="仿宋" w:cs="仿宋"/>
          <w:b/>
          <w:bCs/>
          <w:color w:val="auto"/>
          <w:sz w:val="28"/>
          <w:szCs w:val="28"/>
          <w:highlight w:val="none"/>
          <w:lang w:val="en-US" w:eastAsia="zh-CN" w:bidi="ar"/>
        </w:rPr>
        <w:t xml:space="preserve">在确认采购结果之前，采购人将对中标人投标文件中所提供的证明文件进行核实，如发现不一致，则另行确定中标结果。</w:t>
      </w:r>
      <w:r/>
    </w:p>
    <w:p>
      <w:pPr>
        <w:ind w:left="0" w:right="0" w:firstLine="420"/>
        <w:jc w:val="both"/>
        <w:keepLines w:val="0"/>
        <w:keepNext w:val="0"/>
        <w:spacing w:before="0" w:beforeAutospacing="0" w:after="0" w:afterAutospacing="0"/>
        <w:widowControl w:val="off"/>
        <w:rPr>
          <w:color w:val="auto"/>
          <w:highlight w:val="none"/>
        </w:rPr>
        <w:suppressLineNumbers w:val="0"/>
      </w:pPr>
      <w:r>
        <w:rPr>
          <w:color w:val="auto"/>
          <w:highlight w:val="none"/>
        </w:rPr>
      </w:r>
      <w:r/>
    </w:p>
    <w:p>
      <w:pPr>
        <w:pStyle w:val="926"/>
        <w:ind w:firstLine="0"/>
        <w:jc w:val="center"/>
        <w:spacing w:line="240" w:lineRule="auto"/>
        <w:rPr>
          <w:rFonts w:hint="eastAsia" w:ascii="黑体" w:hAnsi="黑体" w:eastAsia="黑体" w:cs="黑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91" w:name="_Toc21766"/>
      <w:r>
        <w:rPr>
          <w:rFonts w:hint="eastAsia" w:ascii="黑体" w:hAnsi="黑体" w:eastAsia="黑体" w:cs="黑体"/>
          <w:bCs/>
          <w:color w:val="auto"/>
          <w:sz w:val="32"/>
          <w:szCs w:val="32"/>
          <w:highlight w:val="none"/>
        </w:rPr>
        <w:t xml:space="preserve">第6章 投标文件组成</w:t>
      </w:r>
      <w:bookmarkEnd w:id="91"/>
      <w:r/>
      <w:r/>
    </w:p>
    <w:p>
      <w:pPr>
        <w:pStyle w:val="926"/>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u w:val="single"/>
        </w:rPr>
        <w:outlineLvl w:val="1"/>
      </w:pPr>
      <w:r/>
      <w:bookmarkStart w:id="92" w:name="_Toc30802"/>
      <w:r>
        <w:rPr>
          <w:rFonts w:hint="eastAsia" w:ascii="方正小标宋简体" w:hAnsi="仿宋" w:eastAsia="方正小标宋简体"/>
          <w:color w:val="auto"/>
          <w:sz w:val="44"/>
          <w:szCs w:val="44"/>
          <w:highlight w:val="none"/>
          <w:u w:val="single"/>
        </w:rPr>
        <w:t xml:space="preserve">如皋市政府采购投标文件</w:t>
      </w:r>
      <w:bookmarkEnd w:id="92"/>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项目名称：</w:t>
      </w:r>
      <w:r/>
    </w:p>
    <w:p>
      <w:pPr>
        <w:ind w:firstLine="2072"/>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JSZC-320682-NTJW-G2024-0089</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899"/>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899"/>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黑体" w:hAnsi="黑体" w:eastAsia="黑体"/>
          <w:color w:val="auto"/>
          <w:sz w:val="28"/>
          <w:szCs w:val="28"/>
          <w:highlight w:val="none"/>
        </w:rPr>
        <w:outlineLvl w:val="1"/>
      </w:pPr>
      <w:r>
        <w:rPr>
          <w:rFonts w:ascii="宋体" w:hAnsi="宋体"/>
          <w:b/>
          <w:color w:val="auto"/>
          <w:sz w:val="24"/>
          <w:highlight w:val="none"/>
        </w:rPr>
        <w:br w:type="page" w:clear="all"/>
      </w:r>
      <w:bookmarkStart w:id="93" w:name="_Toc32471"/>
      <w:r>
        <w:rPr>
          <w:rFonts w:hint="eastAsia" w:ascii="黑体" w:hAnsi="黑体" w:eastAsia="黑体"/>
          <w:color w:val="auto"/>
          <w:sz w:val="28"/>
          <w:szCs w:val="28"/>
          <w:highlight w:val="none"/>
        </w:rPr>
        <w:t xml:space="preserve">一、开标一览表</w:t>
      </w:r>
      <w:bookmarkEnd w:id="93"/>
      <w:r/>
      <w:r/>
    </w:p>
    <w:p>
      <w:pPr>
        <w:ind w:firstLine="720"/>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开标一览表（货物类）</w:t>
      </w:r>
      <w:r/>
    </w:p>
    <w:p>
      <w:pPr>
        <w:ind w:left="1080" w:right="-867" w:hanging="540"/>
        <w:tabs>
          <w:tab w:val="left" w:pos="1800" w:leader="none"/>
          <w:tab w:val="left" w:pos="55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　                </w:t>
      </w:r>
      <w:r/>
    </w:p>
    <w:p>
      <w:pPr>
        <w:ind w:left="1080" w:right="-867" w:hanging="540"/>
        <w:tabs>
          <w:tab w:val="left" w:pos="1800" w:leader="none"/>
          <w:tab w:val="left" w:pos="55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                 包号：         </w:t>
      </w:r>
      <w:r/>
    </w:p>
    <w:tbl>
      <w:tblPr>
        <w:tblStyle w:val="891"/>
        <w:tblW w:w="9362"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W w:w="1479" w:type="dxa"/>
            <w:vAlign w:val="center"/>
            <w:textDirection w:val="lrTb"/>
            <w:noWrap w:val="false"/>
          </w:tcPr>
          <w:p>
            <w:pPr>
              <w:ind w:left="0" w:right="-199"/>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货物名称</w:t>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品牌</w:t>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型号</w:t>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制造商</w:t>
            </w:r>
            <w:r/>
          </w:p>
        </w:tc>
        <w:tc>
          <w:tcPr>
            <w:tcW w:w="113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交货期</w:t>
            </w:r>
            <w:r/>
          </w:p>
        </w:tc>
        <w:tc>
          <w:tcPr>
            <w:tcW w:w="10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交货地点</w:t>
            </w:r>
            <w:r/>
          </w:p>
        </w:tc>
        <w:tc>
          <w:tcPr>
            <w:tcW w:w="881"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备注</w:t>
            </w:r>
            <w:r/>
          </w:p>
        </w:tc>
      </w:tr>
      <w:tr>
        <w:trPr>
          <w:trHeight w:val="842"/>
        </w:trPr>
        <w:tc>
          <w:tcPr>
            <w:tcW w:w="147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04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881"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982"/>
        </w:trPr>
        <w:tc>
          <w:tcPr>
            <w:tcW w:w="147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t xml:space="preserve">……</w:t>
            </w:r>
            <w:r/>
          </w:p>
        </w:tc>
        <w:tc>
          <w:tcPr>
            <w:tcW w:w="144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49"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04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881"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ind w:firstLine="560"/>
        <w:rPr>
          <w:rFonts w:ascii="仿宋" w:hAnsi="仿宋" w:eastAsia="仿宋"/>
          <w:color w:val="auto"/>
          <w:sz w:val="28"/>
          <w:szCs w:val="28"/>
          <w:highlight w:val="none"/>
        </w:rPr>
      </w:pPr>
      <w:r>
        <w:rPr>
          <w:rFonts w:ascii="仿宋" w:hAnsi="仿宋" w:eastAsia="仿宋"/>
          <w:color w:val="auto"/>
          <w:sz w:val="28"/>
          <w:szCs w:val="28"/>
          <w:highlight w:val="none"/>
        </w:rPr>
        <w:t xml:space="preserve">投标总报价：</w:t>
      </w:r>
      <w:r>
        <w:rPr>
          <w:rFonts w:hint="eastAsia" w:ascii="仿宋" w:hAnsi="仿宋" w:eastAsia="仿宋"/>
          <w:color w:val="auto"/>
          <w:sz w:val="28"/>
          <w:szCs w:val="28"/>
          <w:highlight w:val="none"/>
        </w:rPr>
        <w:t xml:space="preserve">万元（小写）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万元（大写）</w:t>
      </w:r>
      <w:r/>
    </w:p>
    <w:p>
      <w:pPr>
        <w:ind w:firstLine="560"/>
        <w:rPr>
          <w:rFonts w:ascii="仿宋" w:hAnsi="仿宋" w:eastAsia="仿宋"/>
          <w:color w:val="auto"/>
          <w:sz w:val="28"/>
          <w:szCs w:val="28"/>
          <w:highlight w:val="none"/>
        </w:rPr>
        <w:outlineLvl w:val="1"/>
      </w:pPr>
      <w:r>
        <w:rPr>
          <w:rFonts w:ascii="黑体" w:hAnsi="黑体" w:eastAsia="黑体"/>
          <w:color w:val="auto"/>
          <w:sz w:val="28"/>
          <w:szCs w:val="28"/>
          <w:highlight w:val="none"/>
        </w:rPr>
        <w:br w:type="page" w:clear="all"/>
      </w:r>
      <w:bookmarkStart w:id="94" w:name="_Toc2173"/>
      <w:r>
        <w:rPr>
          <w:rFonts w:hint="eastAsia" w:ascii="黑体" w:hAnsi="黑体" w:eastAsia="黑体"/>
          <w:color w:val="auto"/>
          <w:sz w:val="28"/>
          <w:szCs w:val="28"/>
          <w:highlight w:val="none"/>
        </w:rPr>
        <w:t xml:space="preserve">二、资格证明文件</w:t>
      </w:r>
      <w:bookmarkEnd w:id="94"/>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在投标截止时间节点，没有被“信用中国”（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）、“信用江苏”（</w:t>
      </w:r>
      <w:r>
        <w:rPr>
          <w:rFonts w:ascii="仿宋" w:hAnsi="仿宋" w:eastAsia="仿宋"/>
          <w:color w:val="auto"/>
          <w:sz w:val="28"/>
          <w:szCs w:val="28"/>
          <w:highlight w:val="none"/>
        </w:rPr>
        <w:t xml:space="preserve">www.jscredit.cn/index.htm</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numPr>
          <w:ilvl w:val="0"/>
          <w:numId w:val="4"/>
        </w:numPr>
        <w:ind w:firstLine="560"/>
        <w:jc w:val="left"/>
        <w:spacing w:before="50"/>
        <w:rPr>
          <w:rFonts w:hint="eastAsia" w:ascii="仿宋" w:hAnsi="仿宋" w:eastAsia="仿宋"/>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项目实施所必须的许可资质证明材料</w:t>
      </w:r>
      <w:r/>
    </w:p>
    <w:p>
      <w:pPr>
        <w:pStyle w:val="892"/>
        <w:numPr>
          <w:ilvl w:val="0"/>
          <w:numId w:val="0"/>
        </w:numPr>
        <w:rPr>
          <w:rFonts w:hint="eastAsia"/>
          <w:color w:val="auto"/>
          <w:highlight w:val="none"/>
        </w:rPr>
      </w:pPr>
      <w:r>
        <w:rPr>
          <w:rFonts w:hint="eastAsia"/>
          <w:color w:val="auto"/>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firstLine="56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widowControl/>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。（法定代表人参加招标活动的，无需提供）</w:t>
      </w:r>
      <w:r/>
    </w:p>
    <w:p>
      <w:pPr>
        <w:jc w:val="center"/>
        <w:spacing w:line="500" w:lineRule="exact"/>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92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      ______（供应商名称）授权________________（代理人的姓名）为我方就项目名称：____________项目编号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____________采购活动的合法代理人，以本公司名义全权处理一切与该项目采购有关的事务。</w:t>
      </w:r>
      <w:r/>
    </w:p>
    <w:p>
      <w:pPr>
        <w:pStyle w:val="92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2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28"/>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2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28"/>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2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2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2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2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2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28"/>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28"/>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28"/>
        <w:ind w:firstLine="480"/>
        <w:spacing w:line="500" w:lineRule="exact"/>
        <w:rPr>
          <w:rFonts w:ascii="仿宋" w:hAnsi="仿宋" w:eastAsia="仿宋"/>
          <w:color w:val="auto"/>
          <w:sz w:val="28"/>
          <w:szCs w:val="28"/>
          <w:highlight w:val="none"/>
        </w:rPr>
      </w:pPr>
      <w:r/>
      <w:bookmarkStart w:id="95" w:name="_Hlt26671380"/>
      <w:r/>
      <w:bookmarkEnd w:id="95"/>
      <w:r/>
      <w:bookmarkStart w:id="96" w:name="_格式3__银行出具的资信证明"/>
      <w:r/>
      <w:bookmarkEnd w:id="96"/>
      <w:r/>
      <w:bookmarkStart w:id="97" w:name="_Hlt26955070"/>
      <w:r/>
      <w:bookmarkEnd w:id="97"/>
      <w:r/>
      <w:r/>
    </w:p>
    <w:p>
      <w:pPr>
        <w:pStyle w:val="895"/>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5"/>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（九）</w:t>
      </w:r>
      <w:r>
        <w:rPr>
          <w:rFonts w:hint="eastAsia" w:ascii="仿宋" w:hAnsi="仿宋" w:eastAsia="仿宋" w:cs="Arial"/>
          <w:color w:val="auto"/>
          <w:sz w:val="28"/>
          <w:szCs w:val="28"/>
          <w:highlight w:val="none"/>
        </w:rPr>
        <w:t xml:space="preserve">投标函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投标函</w:t>
      </w:r>
      <w:r/>
    </w:p>
    <w:p>
      <w:pPr>
        <w:pStyle w:val="928"/>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南通市如皋生态环境局</w:t>
      </w:r>
      <w:r/>
    </w:p>
    <w:p>
      <w:pPr>
        <w:pStyle w:val="92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南通市如皋生态环境监测站规范化能力提升项目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JSZC-320682-NTJW-G2024-0089</w:t>
      </w:r>
      <w:r>
        <w:rPr>
          <w:rFonts w:hint="eastAsia" w:ascii="仿宋" w:hAnsi="仿宋" w:eastAsia="仿宋"/>
          <w:color w:val="auto"/>
          <w:sz w:val="28"/>
          <w:szCs w:val="28"/>
          <w:highlight w:val="none"/>
        </w:rPr>
        <w:t xml:space="preserve">）招标文件，正式授权下述签字人_________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代表我方______________（供应商的名称），全权处理本次项目招标采购的有关事宜。</w:t>
      </w:r>
      <w:r/>
    </w:p>
    <w:p>
      <w:pPr>
        <w:pStyle w:val="92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2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92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92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92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92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92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92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92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92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2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2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2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2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right="560"/>
        <w:rPr>
          <w:rFonts w:ascii="仿宋" w:hAnsi="仿宋" w:eastAsia="仿宋"/>
          <w:b/>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w:t>
      </w:r>
      <w:r>
        <w:rPr>
          <w:rFonts w:hint="eastAsia" w:ascii="仿宋" w:hAnsi="仿宋" w:eastAsia="仿宋"/>
          <w:color w:val="auto"/>
          <w:sz w:val="28"/>
          <w:szCs w:val="28"/>
          <w:highlight w:val="none"/>
        </w:rPr>
        <w:t xml:space="preserve">其他资格证明材料</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98" w:name="_Toc2202"/>
      <w:r>
        <w:rPr>
          <w:rFonts w:hint="eastAsia" w:ascii="黑体" w:hAnsi="黑体" w:eastAsia="黑体"/>
          <w:color w:val="auto"/>
          <w:sz w:val="28"/>
          <w:szCs w:val="28"/>
          <w:highlight w:val="none"/>
        </w:rPr>
        <w:t xml:space="preserve">三、商务技术文件</w:t>
      </w:r>
      <w:bookmarkEnd w:id="98"/>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（一）评分索引表（用于综合评分）</w:t>
      </w:r>
      <w:r/>
    </w:p>
    <w:p>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评分索引表</w:t>
      </w:r>
      <w:r/>
    </w:p>
    <w:p>
      <w:pPr>
        <w:ind w:firstLine="641"/>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线上评审无需提供</w:t>
      </w:r>
      <w:r>
        <w:rPr>
          <w:rFonts w:hint="eastAsia" w:ascii="仿宋" w:hAnsi="仿宋" w:eastAsia="仿宋"/>
          <w:color w:val="auto"/>
          <w:sz w:val="28"/>
          <w:szCs w:val="28"/>
          <w:highlight w:val="none"/>
        </w:rPr>
        <w:t xml:space="preserve">）</w:t>
      </w:r>
      <w:r/>
    </w:p>
    <w:tbl>
      <w:tblPr>
        <w:tblStyle w:val="891"/>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bl>
    <w:p>
      <w:pPr>
        <w:ind w:firstLine="420"/>
        <w:rPr>
          <w:rFonts w:ascii="仿宋" w:hAnsi="仿宋" w:eastAsia="仿宋"/>
          <w:bCs/>
          <w:color w:val="auto"/>
          <w:sz w:val="28"/>
          <w:szCs w:val="28"/>
          <w:highlight w:val="none"/>
        </w:rPr>
      </w:pPr>
      <w:r>
        <w:rPr>
          <w:rFonts w:hint="eastAsia" w:ascii="仿宋" w:hAnsi="仿宋" w:eastAsia="仿宋"/>
          <w:color w:val="auto"/>
          <w:szCs w:val="21"/>
          <w:highlight w:val="none"/>
        </w:rPr>
        <w:t xml:space="preserve">注：按照招标文件要求详细填列，可增减行。</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（二）符合技术要求或者服务要求的相关证明材料</w:t>
      </w:r>
      <w:r/>
    </w:p>
    <w:p>
      <w:pPr>
        <w:ind w:firstLine="562"/>
        <w:keepLines w:val="0"/>
        <w:keepNext w:val="0"/>
        <w:pageBreakBefore w:val="0"/>
        <w:widowControl w:val="off"/>
        <w:rPr>
          <w:rFonts w:hint="eastAsia" w:ascii="仿宋" w:hAnsi="仿宋" w:eastAsia="仿宋" w:cs="仿宋"/>
          <w:b/>
          <w:bCs w:val="0"/>
          <w:color w:val="auto"/>
          <w:sz w:val="28"/>
          <w:szCs w:val="28"/>
          <w:highlight w:val="none"/>
          <w:lang w:val="en-US" w:eastAsia="zh-CN"/>
        </w:rPr>
        <w:outlineLvl w:val="9"/>
      </w:pPr>
      <w:r>
        <w:rPr>
          <w:rFonts w:hint="eastAsia" w:ascii="仿宋" w:hAnsi="仿宋" w:eastAsia="仿宋" w:cs="仿宋"/>
          <w:b/>
          <w:bCs w:val="0"/>
          <w:color w:val="auto"/>
          <w:sz w:val="28"/>
          <w:szCs w:val="28"/>
          <w:highlight w:val="none"/>
          <w:lang w:val="en-US" w:eastAsia="zh-CN"/>
        </w:rPr>
        <w:t xml:space="preserve">1.采购包1：</w:t>
      </w:r>
      <w:r/>
    </w:p>
    <w:p>
      <w:pPr>
        <w:ind w:firstLine="562"/>
        <w:keepLines w:val="0"/>
        <w:keepNext w:val="0"/>
        <w:pageBreakBefore w:val="0"/>
        <w:widowControl w:val="off"/>
        <w:rPr>
          <w:rFonts w:hint="eastAsia" w:ascii="仿宋" w:hAnsi="仿宋" w:eastAsia="仿宋" w:cs="仿宋"/>
          <w:b/>
          <w:bCs w:val="0"/>
          <w:color w:val="auto"/>
          <w:sz w:val="28"/>
          <w:szCs w:val="28"/>
          <w:highlight w:val="none"/>
          <w:lang w:val="en-US" w:eastAsia="zh-CN"/>
        </w:rPr>
        <w:outlineLvl w:val="9"/>
      </w:pPr>
      <w:r>
        <w:rPr>
          <w:rFonts w:hint="eastAsia" w:ascii="仿宋" w:hAnsi="仿宋" w:eastAsia="仿宋" w:cs="仿宋"/>
          <w:b/>
          <w:bCs w:val="0"/>
          <w:color w:val="auto"/>
          <w:sz w:val="28"/>
          <w:szCs w:val="28"/>
          <w:highlight w:val="none"/>
          <w:lang w:val="en-US" w:eastAsia="zh-CN"/>
        </w:rPr>
        <w:t xml:space="preserve">（1）提供全自动热脱附仪人员培训、技术支持承诺函，格式自拟。</w:t>
      </w:r>
      <w:r/>
    </w:p>
    <w:p>
      <w:pPr>
        <w:ind w:firstLine="562"/>
        <w:keepLines w:val="0"/>
        <w:keepNext w:val="0"/>
        <w:pageBreakBefore w:val="0"/>
        <w:widowControl w:val="off"/>
        <w:rPr>
          <w:rFonts w:hint="eastAsia" w:ascii="仿宋" w:hAnsi="仿宋" w:eastAsia="仿宋" w:cs="仿宋"/>
          <w:b/>
          <w:bCs w:val="0"/>
          <w:color w:val="auto"/>
          <w:sz w:val="28"/>
          <w:szCs w:val="28"/>
          <w:highlight w:val="none"/>
          <w:lang w:val="en-US" w:eastAsia="zh-CN"/>
        </w:rPr>
        <w:outlineLvl w:val="9"/>
      </w:pPr>
      <w:r>
        <w:rPr>
          <w:rFonts w:hint="eastAsia" w:ascii="仿宋" w:hAnsi="仿宋" w:eastAsia="仿宋" w:cs="仿宋"/>
          <w:b/>
          <w:bCs w:val="0"/>
          <w:color w:val="auto"/>
          <w:sz w:val="28"/>
          <w:szCs w:val="28"/>
          <w:highlight w:val="none"/>
          <w:lang w:val="en-US" w:eastAsia="zh-CN"/>
        </w:rPr>
        <w:t xml:space="preserve">2.采购包2：</w:t>
      </w:r>
      <w:r/>
    </w:p>
    <w:p>
      <w:pPr>
        <w:ind w:firstLine="562"/>
        <w:keepLines w:val="0"/>
        <w:keepNext w:val="0"/>
        <w:pageBreakBefore w:val="0"/>
        <w:widowControl w:val="off"/>
        <w:rPr>
          <w:rFonts w:hint="eastAsia" w:ascii="仿宋" w:hAnsi="仿宋" w:eastAsia="仿宋" w:cs="仿宋"/>
          <w:b/>
          <w:bCs w:val="0"/>
          <w:color w:val="auto"/>
          <w:sz w:val="28"/>
          <w:szCs w:val="28"/>
          <w:highlight w:val="none"/>
          <w:lang w:val="en-US" w:eastAsia="zh-CN"/>
        </w:rPr>
        <w:outlineLvl w:val="9"/>
      </w:pPr>
      <w:r>
        <w:rPr>
          <w:rFonts w:hint="eastAsia" w:ascii="仿宋" w:hAnsi="仿宋" w:eastAsia="仿宋" w:cs="仿宋"/>
          <w:b/>
          <w:bCs w:val="0"/>
          <w:color w:val="auto"/>
          <w:sz w:val="28"/>
          <w:szCs w:val="28"/>
          <w:highlight w:val="none"/>
          <w:lang w:val="en-US" w:eastAsia="zh-CN"/>
        </w:rPr>
        <w:t xml:space="preserve">（1）提供气相色谱仪、等离子发射光谱质谱联用仪人员培训、技术支持承诺函，格式自拟。</w:t>
      </w:r>
      <w:r/>
    </w:p>
    <w:p>
      <w:pPr>
        <w:ind w:firstLine="562"/>
        <w:keepLines w:val="0"/>
        <w:keepNext w:val="0"/>
        <w:pageBreakBefore w:val="0"/>
        <w:widowControl w:val="off"/>
        <w:rPr>
          <w:rFonts w:hint="eastAsia" w:ascii="仿宋" w:hAnsi="仿宋" w:eastAsia="仿宋" w:cs="仿宋"/>
          <w:b/>
          <w:bCs w:val="0"/>
          <w:color w:val="auto"/>
          <w:sz w:val="28"/>
          <w:szCs w:val="28"/>
          <w:highlight w:val="none"/>
          <w:lang w:val="en-US" w:eastAsia="zh-CN"/>
        </w:rPr>
        <w:outlineLvl w:val="9"/>
      </w:pPr>
      <w:r>
        <w:rPr>
          <w:rFonts w:hint="eastAsia" w:ascii="仿宋" w:hAnsi="仿宋" w:eastAsia="仿宋" w:cs="仿宋"/>
          <w:b/>
          <w:bCs w:val="0"/>
          <w:color w:val="auto"/>
          <w:sz w:val="28"/>
          <w:szCs w:val="28"/>
          <w:highlight w:val="none"/>
          <w:lang w:val="en-US" w:eastAsia="zh-CN" w:bidi="ar-SA"/>
        </w:rPr>
        <w:t xml:space="preserve">（2）ECD检测器，该产品用于更换现有7890A型安捷伦气相色谱仪ECD检测器，所投产品如不是原品牌配件，须提供承诺函，须确保与原有设备完全匹配使用，否则招标人有权拒收。承诺函格式自拟。</w:t>
      </w:r>
      <w:r/>
    </w:p>
    <w:p>
      <w:pPr>
        <w:ind w:firstLine="562"/>
        <w:keepLines w:val="0"/>
        <w:keepNext w:val="0"/>
        <w:pageBreakBefore w:val="0"/>
        <w:widowControl w:val="off"/>
        <w:rPr>
          <w:rFonts w:hint="eastAsia" w:ascii="仿宋" w:hAnsi="仿宋" w:eastAsia="仿宋" w:cs="仿宋"/>
          <w:b/>
          <w:bCs w:val="0"/>
          <w:color w:val="auto"/>
          <w:sz w:val="28"/>
          <w:szCs w:val="28"/>
          <w:highlight w:val="none"/>
          <w:lang w:val="en-US" w:eastAsia="zh-CN"/>
        </w:rPr>
        <w:outlineLvl w:val="9"/>
      </w:pPr>
      <w:r>
        <w:rPr>
          <w:rFonts w:hint="eastAsia" w:ascii="仿宋" w:hAnsi="仿宋" w:eastAsia="仿宋" w:cs="仿宋"/>
          <w:b/>
          <w:bCs w:val="0"/>
          <w:color w:val="auto"/>
          <w:sz w:val="28"/>
          <w:szCs w:val="28"/>
          <w:highlight w:val="none"/>
          <w:lang w:val="en-US" w:eastAsia="zh-CN"/>
        </w:rPr>
        <w:t xml:space="preserve">3.采购包3：</w:t>
      </w:r>
      <w:r/>
    </w:p>
    <w:p>
      <w:pPr>
        <w:ind w:firstLine="562"/>
        <w:rPr>
          <w:rFonts w:hint="eastAsia" w:ascii="仿宋" w:hAnsi="仿宋" w:eastAsia="仿宋" w:cs="仿宋"/>
          <w:b/>
          <w:bCs w:val="0"/>
          <w:color w:val="auto"/>
          <w:sz w:val="28"/>
          <w:szCs w:val="28"/>
          <w:highlight w:val="none"/>
          <w:lang w:val="en-US" w:eastAsia="zh-CN"/>
        </w:rPr>
        <w:outlineLvl w:val="9"/>
      </w:pPr>
      <w:r>
        <w:rPr>
          <w:rFonts w:hint="eastAsia" w:ascii="仿宋" w:hAnsi="仿宋" w:eastAsia="仿宋" w:cs="仿宋"/>
          <w:b/>
          <w:bCs w:val="0"/>
          <w:color w:val="auto"/>
          <w:sz w:val="28"/>
          <w:szCs w:val="28"/>
          <w:highlight w:val="none"/>
          <w:lang w:val="en-US" w:eastAsia="zh-CN"/>
        </w:rPr>
        <w:t xml:space="preserve">（1）提供</w:t>
      </w:r>
      <w:r>
        <w:rPr>
          <w:rFonts w:hint="default" w:ascii="Times New Roman" w:hAnsi="Times New Roman" w:eastAsia="宋体" w:cs="Times New Roman"/>
          <w:b/>
          <w:bCs/>
          <w:color w:val="auto"/>
          <w:sz w:val="24"/>
          <w:szCs w:val="24"/>
          <w:highlight w:val="none"/>
        </w:rPr>
        <w:t xml:space="preserve">便携式GC-MS 色谱柱</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便携式傅里叶红外监测仪</w:t>
      </w:r>
      <w:r>
        <w:rPr>
          <w:rFonts w:hint="eastAsia" w:ascii="仿宋" w:hAnsi="仿宋" w:eastAsia="仿宋" w:cs="仿宋"/>
          <w:b/>
          <w:bCs w:val="0"/>
          <w:color w:val="auto"/>
          <w:sz w:val="28"/>
          <w:szCs w:val="28"/>
          <w:highlight w:val="none"/>
          <w:lang w:val="en-US" w:eastAsia="zh-CN"/>
        </w:rPr>
        <w:t xml:space="preserve">产品人员培训、技术支持承诺函，格式自拟。</w:t>
      </w:r>
      <w:r/>
    </w:p>
    <w:p>
      <w:pPr>
        <w:pStyle w:val="892"/>
        <w:ind w:left="0" w:firstLine="562"/>
        <w:keepLines w:val="0"/>
        <w:keepNext w:val="0"/>
        <w:pageBreakBefore w:val="0"/>
        <w:widowControl w:val="off"/>
        <w:rPr>
          <w:rFonts w:hint="eastAsia"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（2）</w:t>
      </w:r>
      <w:r>
        <w:rPr>
          <w:rFonts w:hint="default" w:ascii="仿宋" w:hAnsi="仿宋" w:eastAsia="仿宋" w:cs="仿宋"/>
          <w:b/>
          <w:bCs w:val="0"/>
          <w:color w:val="auto"/>
          <w:sz w:val="28"/>
          <w:szCs w:val="28"/>
          <w:highlight w:val="none"/>
          <w:lang w:val="en-US" w:eastAsia="zh-CN" w:bidi="ar-SA"/>
        </w:rPr>
        <w:t xml:space="preserve">便携式GC-MS 色谱柱</w:t>
      </w:r>
      <w:r>
        <w:rPr>
          <w:rFonts w:hint="eastAsia" w:ascii="仿宋" w:hAnsi="仿宋" w:eastAsia="仿宋" w:cs="仿宋"/>
          <w:b/>
          <w:bCs w:val="0"/>
          <w:color w:val="auto"/>
          <w:sz w:val="28"/>
          <w:szCs w:val="28"/>
          <w:highlight w:val="none"/>
          <w:lang w:val="en-US" w:eastAsia="zh-CN" w:bidi="ar-SA"/>
        </w:rPr>
        <w:t xml:space="preserve">该产品招标人</w:t>
      </w:r>
      <w:r>
        <w:rPr>
          <w:rFonts w:hint="default" w:ascii="仿宋" w:hAnsi="仿宋" w:eastAsia="仿宋" w:cs="仿宋"/>
          <w:b/>
          <w:bCs w:val="0"/>
          <w:color w:val="auto"/>
          <w:sz w:val="28"/>
          <w:szCs w:val="28"/>
          <w:highlight w:val="none"/>
          <w:lang w:val="en-US" w:eastAsia="zh-CN" w:bidi="ar-SA"/>
        </w:rPr>
        <w:t xml:space="preserve">现有</w:t>
      </w:r>
      <w:r>
        <w:rPr>
          <w:rFonts w:hint="eastAsia" w:ascii="仿宋" w:hAnsi="仿宋" w:eastAsia="仿宋" w:cs="仿宋"/>
          <w:b/>
          <w:bCs w:val="0"/>
          <w:color w:val="auto"/>
          <w:sz w:val="28"/>
          <w:szCs w:val="28"/>
          <w:highlight w:val="none"/>
          <w:lang w:val="en-US" w:eastAsia="zh-CN" w:bidi="ar-SA"/>
        </w:rPr>
        <w:t xml:space="preserve">设备为</w:t>
      </w:r>
      <w:r>
        <w:rPr>
          <w:rFonts w:hint="default" w:ascii="仿宋" w:hAnsi="仿宋" w:eastAsia="仿宋" w:cs="仿宋"/>
          <w:b/>
          <w:bCs w:val="0"/>
          <w:color w:val="auto"/>
          <w:sz w:val="28"/>
          <w:szCs w:val="28"/>
          <w:highlight w:val="none"/>
          <w:lang w:val="en-US" w:eastAsia="zh-CN" w:bidi="ar-SA"/>
        </w:rPr>
        <w:t xml:space="preserve">Hapsite ER便携式GC-MS</w:t>
      </w:r>
      <w:r>
        <w:rPr>
          <w:rFonts w:hint="eastAsia" w:ascii="仿宋" w:hAnsi="仿宋" w:eastAsia="仿宋" w:cs="仿宋"/>
          <w:b/>
          <w:bCs w:val="0"/>
          <w:color w:val="auto"/>
          <w:sz w:val="28"/>
          <w:szCs w:val="28"/>
          <w:highlight w:val="none"/>
          <w:lang w:val="en-US" w:eastAsia="zh-CN" w:bidi="ar-SA"/>
        </w:rPr>
        <w:t xml:space="preserve">。所投产品如不是原品牌配件，须提供承诺函，须确保与原有设备完全匹配使用，否则招标人有权拒收。承诺函格式自拟。</w:t>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（三）技术部分正负偏离表</w:t>
      </w:r>
      <w:r/>
    </w:p>
    <w:p>
      <w:pPr>
        <w:ind w:firstLine="641"/>
        <w:jc w:val="center"/>
        <w:rPr>
          <w:rFonts w:hint="eastAsia" w:ascii="黑体" w:hAnsi="黑体" w:eastAsia="黑体" w:cs="黑体"/>
          <w:color w:val="auto"/>
          <w:sz w:val="32"/>
          <w:szCs w:val="32"/>
          <w:highlight w:val="none"/>
        </w:rPr>
        <w:outlineLvl w:val="9"/>
      </w:pPr>
      <w:r>
        <w:rPr>
          <w:rFonts w:hint="eastAsia" w:ascii="黑体" w:hAnsi="黑体" w:eastAsia="黑体" w:cs="黑体"/>
          <w:color w:val="auto"/>
          <w:sz w:val="32"/>
          <w:szCs w:val="32"/>
          <w:highlight w:val="none"/>
        </w:rPr>
        <w:t xml:space="preserve">技术部分正负偏离表</w:t>
      </w:r>
      <w:r/>
    </w:p>
    <w:p>
      <w:pPr>
        <w:ind w:firstLine="641"/>
        <w:jc w:val="center"/>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92"/>
        <w:rPr>
          <w:rFonts w:hint="default" w:eastAsia="仿宋"/>
          <w:color w:val="auto"/>
          <w:highlight w:val="none"/>
          <w:lang w:val="en-US" w:eastAsia="zh-CN"/>
        </w:rPr>
        <w:outlineLvl w:val="9"/>
      </w:pPr>
      <w:r>
        <w:rPr>
          <w:rFonts w:hint="eastAsia" w:ascii="仿宋" w:hAnsi="仿宋" w:eastAsia="仿宋"/>
          <w:color w:val="auto"/>
          <w:sz w:val="28"/>
          <w:szCs w:val="28"/>
          <w:highlight w:val="none"/>
          <w:lang w:val="en-US" w:eastAsia="zh-CN"/>
        </w:rPr>
        <w:t xml:space="preserve">1.采购包1</w:t>
      </w:r>
      <w:r>
        <w:rPr>
          <w:rFonts w:hint="eastAsia" w:ascii="仿宋" w:hAnsi="仿宋" w:eastAsia="仿宋"/>
          <w:bCs/>
          <w:color w:val="auto"/>
          <w:sz w:val="28"/>
          <w:szCs w:val="28"/>
          <w:highlight w:val="none"/>
        </w:rPr>
        <w:t xml:space="preserve">技术部分正负偏离表</w:t>
      </w:r>
      <w:r>
        <w:rPr>
          <w:rFonts w:hint="eastAsia" w:ascii="仿宋" w:hAnsi="仿宋" w:eastAsia="仿宋"/>
          <w:bCs/>
          <w:color w:val="auto"/>
          <w:sz w:val="28"/>
          <w:szCs w:val="28"/>
          <w:highlight w:val="none"/>
          <w:lang w:val="en-US" w:eastAsia="zh-CN"/>
        </w:rPr>
        <w:t xml:space="preserve">详见附件4。</w:t>
      </w:r>
      <w:r/>
    </w:p>
    <w:p>
      <w:pPr>
        <w:ind w:firstLine="840"/>
        <w:jc w:val="both"/>
        <w:rPr>
          <w:rFonts w:hint="eastAsia" w:ascii="仿宋" w:hAnsi="仿宋" w:eastAsia="仿宋"/>
          <w:bCs/>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1.采购包2</w:t>
      </w:r>
      <w:r>
        <w:rPr>
          <w:rFonts w:hint="eastAsia" w:ascii="仿宋" w:hAnsi="仿宋" w:eastAsia="仿宋"/>
          <w:bCs/>
          <w:color w:val="auto"/>
          <w:sz w:val="28"/>
          <w:szCs w:val="28"/>
          <w:highlight w:val="none"/>
        </w:rPr>
        <w:t xml:space="preserve">技术部分正负偏离表</w:t>
      </w:r>
      <w:r>
        <w:rPr>
          <w:rFonts w:hint="eastAsia" w:ascii="仿宋" w:hAnsi="仿宋" w:eastAsia="仿宋"/>
          <w:bCs/>
          <w:color w:val="auto"/>
          <w:sz w:val="28"/>
          <w:szCs w:val="28"/>
          <w:highlight w:val="none"/>
          <w:lang w:val="en-US" w:eastAsia="zh-CN"/>
        </w:rPr>
        <w:t xml:space="preserve">详见附件5。</w:t>
      </w:r>
      <w:r/>
    </w:p>
    <w:p>
      <w:pPr>
        <w:pStyle w:val="892"/>
        <w:rPr>
          <w:rFonts w:hint="eastAsia"/>
          <w:color w:val="auto"/>
          <w:highlight w:val="none"/>
        </w:rPr>
        <w:outlineLvl w:val="9"/>
      </w:pPr>
      <w:r>
        <w:rPr>
          <w:rFonts w:hint="eastAsia" w:ascii="仿宋" w:hAnsi="仿宋" w:eastAsia="仿宋"/>
          <w:color w:val="auto"/>
          <w:sz w:val="28"/>
          <w:szCs w:val="28"/>
          <w:highlight w:val="none"/>
          <w:lang w:val="en-US" w:eastAsia="zh-CN"/>
        </w:rPr>
        <w:t xml:space="preserve">1.采购包3</w:t>
      </w:r>
      <w:r>
        <w:rPr>
          <w:rFonts w:hint="eastAsia" w:ascii="仿宋" w:hAnsi="仿宋" w:eastAsia="仿宋"/>
          <w:bCs/>
          <w:color w:val="auto"/>
          <w:sz w:val="28"/>
          <w:szCs w:val="28"/>
          <w:highlight w:val="none"/>
        </w:rPr>
        <w:t xml:space="preserve">技术部分正负偏离表</w:t>
      </w:r>
      <w:r>
        <w:rPr>
          <w:rFonts w:hint="eastAsia" w:ascii="仿宋" w:hAnsi="仿宋" w:eastAsia="仿宋"/>
          <w:bCs/>
          <w:color w:val="auto"/>
          <w:sz w:val="28"/>
          <w:szCs w:val="28"/>
          <w:highlight w:val="none"/>
          <w:lang w:val="en-US" w:eastAsia="zh-CN"/>
        </w:rPr>
        <w:t xml:space="preserve">详见附件6。</w:t>
      </w:r>
      <w:r/>
    </w:p>
    <w:p>
      <w:pPr>
        <w:ind w:firstLine="641"/>
        <w:jc w:val="center"/>
        <w:rPr>
          <w:rFonts w:ascii="仿宋" w:hAnsi="仿宋" w:eastAsia="仿宋"/>
          <w:color w:val="auto"/>
          <w:sz w:val="28"/>
          <w:szCs w:val="28"/>
          <w:highlight w:val="none"/>
        </w:rPr>
        <w:outlineLvl w:val="9"/>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jc w:val="left"/>
        <w:widowControl/>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（四）商务部分正负偏离表</w:t>
      </w:r>
      <w:r/>
    </w:p>
    <w:p>
      <w:pPr>
        <w:jc w:val="center"/>
        <w:rPr>
          <w:rFonts w:hint="eastAsia" w:ascii="黑体" w:hAnsi="黑体" w:eastAsia="黑体" w:cs="黑体"/>
          <w:color w:val="auto"/>
          <w:sz w:val="32"/>
          <w:szCs w:val="32"/>
          <w:highlight w:val="none"/>
        </w:rPr>
        <w:outlineLvl w:val="9"/>
      </w:pPr>
      <w:r>
        <w:rPr>
          <w:rFonts w:hint="eastAsia" w:ascii="黑体" w:hAnsi="黑体" w:eastAsia="黑体" w:cs="黑体"/>
          <w:color w:val="auto"/>
          <w:sz w:val="32"/>
          <w:szCs w:val="32"/>
          <w:highlight w:val="none"/>
        </w:rPr>
        <w:t xml:space="preserve">商务部分正负偏离表</w:t>
      </w:r>
      <w:r/>
    </w:p>
    <w:p>
      <w:pPr>
        <w:jc w:val="center"/>
        <w:rPr>
          <w:rFonts w:ascii="仿宋" w:hAnsi="仿宋" w:eastAsia="仿宋"/>
          <w:color w:val="auto"/>
          <w:sz w:val="28"/>
          <w:szCs w:val="28"/>
          <w:highlight w:val="none"/>
        </w:rPr>
        <w:outlineLvl w:val="9"/>
      </w:pPr>
      <w:r>
        <w:rPr>
          <w:rFonts w:ascii="仿宋" w:hAnsi="仿宋" w:eastAsia="仿宋"/>
          <w:color w:val="auto"/>
          <w:sz w:val="28"/>
          <w:szCs w:val="28"/>
          <w:highlight w:val="none"/>
        </w:rPr>
      </w:r>
      <w:r/>
    </w:p>
    <w:tbl>
      <w:tblPr>
        <w:tblStyle w:val="89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619"/>
        <w:gridCol w:w="3066"/>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066"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19"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3066" w:type="dxa"/>
            <w:textDirection w:val="lrTb"/>
            <w:noWrap w:val="false"/>
          </w:tcPr>
          <w:p>
            <w:pPr>
              <w:ind w:left="0" w:right="0" w:firstLine="482"/>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合同签订后采购包1、采购包3须在30日内完成供货、安装、调试；采购包2须在40日内完成供货、安装、调试，具体以采购人通知为准。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19"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066"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采购人指定</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19"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质保期</w:t>
            </w:r>
            <w:r/>
          </w:p>
        </w:tc>
        <w:tc>
          <w:tcPr>
            <w:tcBorders>
              <w:top w:val="single" w:color="auto" w:sz="4" w:space="0"/>
              <w:left w:val="single" w:color="auto" w:sz="4" w:space="0"/>
              <w:bottom w:val="single" w:color="auto" w:sz="4" w:space="0"/>
              <w:right w:val="single" w:color="auto" w:sz="4" w:space="0"/>
            </w:tcBorders>
            <w:tcW w:w="3066"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自交货并验收合格之日起计</w:t>
            </w:r>
            <w:r>
              <w:rPr>
                <w:rFonts w:hint="eastAsia" w:ascii="仿宋" w:hAnsi="仿宋" w:eastAsia="仿宋" w:cs="仿宋"/>
                <w:color w:val="auto"/>
                <w:sz w:val="24"/>
                <w:szCs w:val="24"/>
                <w:highlight w:val="none"/>
                <w:lang w:val="en-US" w:eastAsia="zh-CN"/>
              </w:rPr>
              <w:t xml:space="preserve">壹</w:t>
            </w:r>
            <w:r>
              <w:rPr>
                <w:rFonts w:hint="eastAsia" w:ascii="仿宋" w:hAnsi="仿宋" w:eastAsia="仿宋" w:cs="仿宋"/>
                <w:color w:val="auto"/>
                <w:sz w:val="24"/>
                <w:szCs w:val="24"/>
                <w:highlight w:val="none"/>
              </w:rPr>
              <w:t xml:space="preserve">年（整机）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19"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验收</w:t>
            </w:r>
            <w:r/>
          </w:p>
        </w:tc>
        <w:tc>
          <w:tcPr>
            <w:tcBorders>
              <w:top w:val="single" w:color="auto" w:sz="4" w:space="0"/>
              <w:left w:val="single" w:color="auto" w:sz="4" w:space="0"/>
              <w:bottom w:val="single" w:color="auto" w:sz="4" w:space="0"/>
              <w:right w:val="single" w:color="auto" w:sz="4" w:space="0"/>
            </w:tcBorders>
            <w:tcW w:w="3066" w:type="dxa"/>
            <w:textDirection w:val="lrTb"/>
            <w:noWrap w:val="false"/>
          </w:tcPr>
          <w:p>
            <w:pPr>
              <w:ind w:left="0" w:right="0" w:firstLine="48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outlineLvl w:val="9"/>
              <w:suppressLineNumbers w:val="0"/>
            </w:pPr>
            <w:r>
              <w:rPr>
                <w:rFonts w:hint="eastAsia" w:ascii="仿宋" w:hAnsi="仿宋" w:eastAsia="仿宋" w:cs="仿宋"/>
                <w:color w:val="auto"/>
                <w:sz w:val="24"/>
                <w:szCs w:val="24"/>
                <w:highlight w:val="none"/>
                <w:lang w:val="en-US" w:eastAsia="zh-CN"/>
              </w:rPr>
              <w:t xml:space="preserve">验收小组由招标人邀请我市环卫设备专家组成并报上级批准。</w:t>
            </w:r>
            <w:r/>
          </w:p>
          <w:p>
            <w:pPr>
              <w:ind w:left="0" w:right="0" w:firstLine="48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在接到中标供应商以书面形式提出验收申请后，在 5 个工作日内及时组织相关专业技术人员、相关部门共同参与验收，并出具验收报告，作为支付货款的依据。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619"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1"/>
              <w:suppressLineNumbers w:val="0"/>
            </w:pPr>
            <w:r/>
            <w:bookmarkStart w:id="99" w:name="_Toc9941"/>
            <w:r/>
            <w:bookmarkStart w:id="100" w:name="_Toc4867"/>
            <w:r>
              <w:rPr>
                <w:rFonts w:hint="eastAsia" w:ascii="仿宋" w:hAnsi="仿宋" w:eastAsia="仿宋" w:cs="仿宋"/>
                <w:color w:val="auto"/>
                <w:sz w:val="24"/>
                <w:szCs w:val="24"/>
                <w:highlight w:val="none"/>
              </w:rPr>
              <w:t xml:space="preserve">售后服务</w:t>
            </w:r>
            <w:bookmarkEnd w:id="99"/>
            <w:r/>
            <w:bookmarkEnd w:id="100"/>
            <w:r/>
            <w:r/>
          </w:p>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066"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一）设备维护措施：自验收合格之日起，进入保修期，质保一年；保修期后，终身维护，保证零配件的供应十年，维修只收取配件费(按市场报价的80%优惠提供)，不收人工费；维修承诺必须有生产单位签注；提供软件终身免费升级。</w:t>
            </w:r>
            <w:r/>
          </w:p>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（二）故障响应时间：供应商售后服务部需提供每周7天，每天24小时的热线电话服务，由专门的技术人员受理用户电话咨询和故障申告，保证用户在使用设备的过程中，及时得到技术上的支持和服务。</w:t>
            </w:r>
            <w:r/>
          </w:p>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（三）维修与备品备件服务：提供国内免费客户服务热线号码和国内维修站电话和地址。供应商保证8小时内维修服务响应，必要时能提供备用机。</w:t>
            </w:r>
            <w:r/>
          </w:p>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9"/>
              <w:suppressLineNumbers w:val="0"/>
            </w:pPr>
            <w:r>
              <w:rPr>
                <w:rFonts w:hint="eastAsia" w:ascii="仿宋" w:hAnsi="仿宋" w:eastAsia="仿宋" w:cs="仿宋"/>
                <w:color w:val="auto"/>
                <w:sz w:val="24"/>
                <w:szCs w:val="24"/>
                <w:highlight w:val="none"/>
              </w:rPr>
              <w:t xml:space="preserve">（四）技术服务信息：要求提供</w:t>
            </w:r>
            <w:r>
              <w:rPr>
                <w:rFonts w:hint="eastAsia" w:ascii="仿宋" w:hAnsi="仿宋" w:eastAsia="仿宋" w:cs="仿宋"/>
                <w:color w:val="auto"/>
                <w:sz w:val="24"/>
                <w:szCs w:val="24"/>
                <w:highlight w:val="none"/>
                <w:lang w:val="en-US" w:eastAsia="zh-CN"/>
              </w:rPr>
              <w:t xml:space="preserve">设备生产方</w:t>
            </w:r>
            <w:r>
              <w:rPr>
                <w:rFonts w:hint="eastAsia" w:ascii="仿宋" w:hAnsi="仿宋" w:eastAsia="仿宋" w:cs="仿宋"/>
                <w:color w:val="auto"/>
                <w:sz w:val="24"/>
                <w:szCs w:val="24"/>
                <w:highlight w:val="none"/>
              </w:rPr>
              <w:t xml:space="preserve">设有的售后服务机构名称、地址，以及专业技术人员名单和联系电话。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619"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outlineLvl w:val="1"/>
              <w:suppressLineNumbers w:val="0"/>
            </w:pPr>
            <w:r/>
            <w:bookmarkStart w:id="101" w:name="_Toc28086"/>
            <w:r/>
            <w:bookmarkStart w:id="102" w:name="_Toc15088"/>
            <w:r>
              <w:rPr>
                <w:rFonts w:hint="eastAsia" w:ascii="仿宋" w:hAnsi="仿宋" w:eastAsia="仿宋" w:cs="仿宋"/>
                <w:color w:val="auto"/>
                <w:sz w:val="24"/>
                <w:szCs w:val="24"/>
                <w:highlight w:val="none"/>
              </w:rPr>
              <w:t xml:space="preserve">付款方式</w:t>
            </w:r>
            <w:bookmarkEnd w:id="101"/>
            <w:r/>
            <w:bookmarkEnd w:id="102"/>
            <w:r/>
            <w:r/>
          </w:p>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066"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1.安装</w:t>
            </w:r>
            <w:r>
              <w:rPr>
                <w:rFonts w:hint="eastAsia" w:ascii="仿宋" w:hAnsi="仿宋" w:eastAsia="仿宋" w:cs="仿宋"/>
                <w:color w:val="auto"/>
                <w:sz w:val="24"/>
                <w:szCs w:val="24"/>
                <w:highlight w:val="none"/>
                <w:lang w:val="en-US" w:eastAsia="zh-CN"/>
              </w:rPr>
              <w:t xml:space="preserve">结束，检定、</w:t>
            </w:r>
            <w:r>
              <w:rPr>
                <w:rFonts w:hint="eastAsia" w:ascii="仿宋" w:hAnsi="仿宋" w:eastAsia="仿宋" w:cs="仿宋"/>
                <w:color w:val="auto"/>
                <w:sz w:val="24"/>
                <w:szCs w:val="24"/>
                <w:highlight w:val="none"/>
              </w:rPr>
              <w:t xml:space="preserve">验收合格后，支付至合同价的90%；</w:t>
            </w:r>
            <w:r/>
          </w:p>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.验收合格后使用12个月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无质量问题一次性</w:t>
            </w:r>
            <w:r>
              <w:rPr>
                <w:rFonts w:hint="eastAsia" w:ascii="仿宋" w:hAnsi="仿宋" w:eastAsia="仿宋" w:cs="仿宋"/>
                <w:color w:val="auto"/>
                <w:sz w:val="24"/>
                <w:szCs w:val="24"/>
                <w:highlight w:val="none"/>
              </w:rPr>
              <w:t xml:space="preserve">结清尾款。</w:t>
            </w:r>
            <w:r/>
          </w:p>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每次支付前成交人需提供正式税票。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619" w:type="dxa"/>
            <w:textDirection w:val="lrTb"/>
            <w:noWrap w:val="false"/>
          </w:tcPr>
          <w:p>
            <w:pPr>
              <w:contextualSpacing/>
              <w:ind w:left="0" w:right="0"/>
              <w:jc w:val="both"/>
              <w:keepLines w:val="0"/>
              <w:keepNext w:val="0"/>
              <w:pageBreakBefore w:val="0"/>
              <w:spacing w:before="0" w:beforeAutospacing="0" w:after="157" w:afterAutospacing="0" w:line="240" w:lineRule="atLeast"/>
              <w:shd w:val="clear" w:color="auto" w:fill="ffffff"/>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报价要求</w:t>
            </w:r>
            <w:r/>
          </w:p>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066" w:type="dxa"/>
            <w:textDirection w:val="lrTb"/>
            <w:noWrap w:val="false"/>
          </w:tcPr>
          <w:p>
            <w:pPr>
              <w:contextualSpacing/>
              <w:ind w:left="0" w:right="0"/>
              <w:jc w:val="both"/>
              <w:keepLines w:val="0"/>
              <w:keepNext w:val="0"/>
              <w:pageBreakBefore w:val="0"/>
              <w:spacing w:before="0" w:beforeAutospacing="0" w:after="157" w:afterAutospacing="0" w:line="240" w:lineRule="atLeast"/>
              <w:shd w:val="clear" w:color="auto" w:fill="ffffff"/>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1.本项目报价方式：本项目采用总价报价。响应供应商报价应包含设备的制造、包装、运输、装卸、保险、安装调试、验收、人员培训、检验、税金、代理服务费等与本项目相关的一切费用。</w:t>
            </w:r>
            <w:r/>
          </w:p>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2.响应供应商应对</w:t>
            </w:r>
            <w:r>
              <w:rPr>
                <w:rFonts w:hint="eastAsia" w:ascii="仿宋" w:hAnsi="仿宋" w:eastAsia="仿宋" w:cs="仿宋"/>
                <w:color w:val="auto"/>
                <w:sz w:val="24"/>
                <w:szCs w:val="24"/>
                <w:highlight w:val="none"/>
                <w:lang w:eastAsia="zh-CN"/>
              </w:rPr>
              <w:t xml:space="preserve">招标文件</w:t>
            </w:r>
            <w:r>
              <w:rPr>
                <w:rFonts w:hint="eastAsia" w:ascii="仿宋" w:hAnsi="仿宋" w:eastAsia="仿宋" w:cs="仿宋"/>
                <w:color w:val="auto"/>
                <w:sz w:val="24"/>
                <w:szCs w:val="24"/>
                <w:highlight w:val="none"/>
              </w:rPr>
              <w:t xml:space="preserve">内的全部内容进行报价，</w:t>
            </w:r>
            <w:r>
              <w:rPr>
                <w:rFonts w:hint="eastAsia" w:ascii="仿宋" w:hAnsi="仿宋" w:eastAsia="仿宋" w:cs="仿宋"/>
                <w:color w:val="auto"/>
                <w:sz w:val="24"/>
                <w:szCs w:val="24"/>
                <w:highlight w:val="none"/>
                <w:lang w:eastAsia="zh-CN"/>
              </w:rPr>
              <w:t xml:space="preserve">招标文件</w:t>
            </w:r>
            <w:r>
              <w:rPr>
                <w:rFonts w:hint="eastAsia" w:ascii="仿宋" w:hAnsi="仿宋" w:eastAsia="仿宋" w:cs="仿宋"/>
                <w:color w:val="auto"/>
                <w:sz w:val="24"/>
                <w:szCs w:val="24"/>
                <w:highlight w:val="none"/>
              </w:rPr>
              <w:t xml:space="preserve">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12"/>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619"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3066" w:type="dxa"/>
            <w:textDirection w:val="lrTb"/>
            <w:noWrap w:val="false"/>
          </w:tcPr>
          <w:p>
            <w:pPr>
              <w:numPr>
                <w:ilvl w:val="0"/>
                <w:numId w:val="5"/>
              </w:num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各采购包所投产品，需要检定或校准的，第一年须由中标人负责并承担相应费用，报价时投标人须考虑此笔费用。</w:t>
            </w:r>
            <w:r/>
          </w:p>
          <w:p>
            <w:pPr>
              <w:contextualSpacing/>
              <w:ind w:left="0" w:right="0"/>
              <w:jc w:val="both"/>
              <w:keepLines w:val="0"/>
              <w:keepNext w:val="0"/>
              <w:pageBreakBefore w:val="0"/>
              <w:spacing w:before="0" w:beforeAutospacing="0" w:after="157" w:afterAutospacing="0" w:line="240" w:lineRule="atLeast"/>
              <w:shd w:val="clear" w:color="auto" w:fill="ffffff"/>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应依照规定提交各类声明函、承诺函等，不要求提供原件备查或有关部门出具的相关证明文件，承诺函之内容应全面符合</w:t>
            </w:r>
            <w:r>
              <w:rPr>
                <w:rFonts w:hint="eastAsia" w:ascii="仿宋" w:hAnsi="仿宋" w:eastAsia="仿宋" w:cs="仿宋"/>
                <w:color w:val="auto"/>
                <w:sz w:val="24"/>
                <w:szCs w:val="24"/>
                <w:highlight w:val="none"/>
                <w:lang w:val="en-US" w:eastAsia="zh-CN"/>
              </w:rPr>
              <w:t xml:space="preserve">招标人</w:t>
            </w:r>
            <w:r>
              <w:rPr>
                <w:rFonts w:hint="eastAsia" w:ascii="仿宋" w:hAnsi="仿宋" w:eastAsia="仿宋" w:cs="仿宋"/>
                <w:color w:val="auto"/>
                <w:sz w:val="24"/>
                <w:szCs w:val="24"/>
                <w:highlight w:val="none"/>
              </w:rPr>
              <w:t xml:space="preserve">要求，如若中标后在核查过程中出现负偏离，则</w:t>
            </w:r>
            <w:r>
              <w:rPr>
                <w:rFonts w:hint="eastAsia" w:ascii="仿宋" w:hAnsi="仿宋" w:eastAsia="仿宋" w:cs="仿宋"/>
                <w:color w:val="auto"/>
                <w:sz w:val="24"/>
                <w:szCs w:val="24"/>
                <w:highlight w:val="none"/>
                <w:lang w:val="en-US" w:eastAsia="zh-CN"/>
              </w:rPr>
              <w:t xml:space="preserve">取消中标资格</w:t>
            </w:r>
            <w:r>
              <w:rPr>
                <w:rFonts w:hint="eastAsia" w:ascii="仿宋" w:hAnsi="仿宋" w:eastAsia="仿宋" w:cs="仿宋"/>
                <w:color w:val="auto"/>
                <w:sz w:val="24"/>
                <w:szCs w:val="24"/>
                <w:highlight w:val="none"/>
              </w:rPr>
              <w:t xml:space="preserve">，相应后果及损失由中标</w:t>
            </w:r>
            <w:r>
              <w:rPr>
                <w:rFonts w:hint="eastAsia" w:ascii="仿宋" w:hAnsi="仿宋" w:eastAsia="仿宋" w:cs="仿宋"/>
                <w:color w:val="auto"/>
                <w:sz w:val="24"/>
                <w:szCs w:val="24"/>
                <w:highlight w:val="none"/>
                <w:lang w:val="en-US" w:eastAsia="zh-CN"/>
              </w:rPr>
              <w:t xml:space="preserve">人承担</w:t>
            </w:r>
            <w:r>
              <w:rPr>
                <w:rFonts w:hint="eastAsia" w:ascii="仿宋" w:hAnsi="仿宋" w:eastAsia="仿宋" w:cs="仿宋"/>
                <w:color w:val="auto"/>
                <w:sz w:val="24"/>
                <w:szCs w:val="24"/>
                <w:highlight w:val="none"/>
              </w:rPr>
              <w:t xml:space="preserve">。</w:t>
            </w:r>
            <w:r/>
          </w:p>
          <w:p>
            <w:pPr>
              <w:contextualSpacing/>
              <w:ind w:left="0" w:right="0"/>
              <w:jc w:val="both"/>
              <w:keepLines w:val="0"/>
              <w:keepNext w:val="0"/>
              <w:pageBreakBefore w:val="0"/>
              <w:spacing w:before="0" w:beforeAutospacing="0" w:after="157" w:afterAutospacing="0" w:line="240" w:lineRule="atLeast"/>
              <w:shd w:val="clear" w:color="auto" w:fill="ffffff"/>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应做好提交声明函、承诺函等响应原件的核查准备，核查后发现虚假应标或违背承诺的，将上报政府采购监管部门。</w:t>
            </w:r>
            <w:r/>
          </w:p>
          <w:p>
            <w:pPr>
              <w:contextualSpacing/>
              <w:ind w:left="0" w:right="0"/>
              <w:jc w:val="both"/>
              <w:keepLines w:val="0"/>
              <w:keepNext w:val="0"/>
              <w:pageBreakBefore w:val="0"/>
              <w:spacing w:before="0" w:beforeAutospacing="0" w:after="157" w:afterAutospacing="0" w:line="240" w:lineRule="atLeast"/>
              <w:shd w:val="clear" w:color="auto" w:fill="ffffff"/>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须提供一份纸质版</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加盖公章的</w:t>
            </w:r>
            <w:r>
              <w:rPr>
                <w:rFonts w:hint="eastAsia" w:ascii="仿宋" w:hAnsi="仿宋" w:eastAsia="仿宋" w:cs="仿宋"/>
                <w:color w:val="auto"/>
                <w:sz w:val="24"/>
                <w:szCs w:val="24"/>
                <w:highlight w:val="none"/>
              </w:rPr>
              <w:t xml:space="preserve">正本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至</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人项目经办人</w:t>
            </w:r>
            <w:r>
              <w:rPr>
                <w:rFonts w:hint="eastAsia" w:ascii="仿宋" w:hAnsi="仿宋" w:eastAsia="仿宋" w:cs="仿宋"/>
                <w:color w:val="auto"/>
                <w:sz w:val="24"/>
                <w:szCs w:val="24"/>
                <w:highlight w:val="none"/>
                <w:lang w:val="en-US" w:eastAsia="zh-CN"/>
              </w:rPr>
              <w:t xml:space="preserve">处存档</w:t>
            </w:r>
            <w:r>
              <w:rPr>
                <w:rFonts w:hint="eastAsia" w:ascii="仿宋" w:hAnsi="仿宋" w:eastAsia="仿宋" w:cs="仿宋"/>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9"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066"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pageBreakBefore w:val="0"/>
              <w:spacing w:before="0" w:beforeAutospacing="0" w:after="157" w:afterAutospacing="0" w:line="24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注：按照招标文件要求详细填列，可增减行。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（四）招标文件规定提交的其他材料</w:t>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103" w:name="_Toc24901"/>
      <w:r>
        <w:rPr>
          <w:rFonts w:hint="eastAsia" w:ascii="黑体" w:hAnsi="黑体" w:eastAsia="黑体"/>
          <w:color w:val="auto"/>
          <w:sz w:val="28"/>
          <w:szCs w:val="28"/>
          <w:highlight w:val="none"/>
        </w:rPr>
        <w:t xml:space="preserve">四、报价文件</w:t>
      </w:r>
      <w:bookmarkEnd w:id="103"/>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（一）公开招标响应报价表</w:t>
      </w:r>
      <w:r/>
    </w:p>
    <w:p>
      <w:pPr>
        <w:ind w:firstLine="3040"/>
        <w:rPr>
          <w:rFonts w:ascii="方正小标宋简体" w:hAnsi="宋体" w:eastAsia="方正小标宋简体"/>
          <w:color w:val="auto"/>
          <w:sz w:val="32"/>
          <w:szCs w:val="32"/>
          <w:highlight w:val="none"/>
        </w:rPr>
      </w:pPr>
      <w:r>
        <w:rPr>
          <w:rFonts w:hint="eastAsia" w:ascii="黑体" w:hAnsi="黑体" w:eastAsia="黑体" w:cs="黑体"/>
          <w:color w:val="auto"/>
          <w:sz w:val="32"/>
          <w:szCs w:val="32"/>
          <w:highlight w:val="none"/>
        </w:rPr>
        <w:t xml:space="preserve">公开招标响应报价表</w:t>
      </w:r>
      <w:r/>
    </w:p>
    <w:tbl>
      <w:tblPr>
        <w:tblStyle w:val="891"/>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color w:val="auto"/>
                <w:sz w:val="24"/>
                <w:highlight w:val="none"/>
                <w:lang w:val="en-US" w:eastAsia="zh-CN"/>
              </w:rPr>
              <w:suppressLineNumbers w:val="0"/>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南通市如皋生态环境监测站规范化能力提升项目</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color w:val="auto"/>
                <w:sz w:val="24"/>
                <w:highlight w:val="none"/>
                <w:lang w:val="en-US" w:eastAsia="zh-CN"/>
              </w:rPr>
              <w:suppressLineNumbers w:val="0"/>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JSZC-320682-NTJW-G2024-0089</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lang w:eastAsia="zh-CN"/>
              </w:rPr>
              <w:t xml:space="preserve">采购包</w:t>
            </w:r>
            <w:r>
              <w:rPr>
                <w:rFonts w:hint="eastAsia" w:ascii="仿宋" w:hAnsi="仿宋" w:eastAsia="仿宋" w:cs="宋体"/>
                <w:color w:val="auto"/>
                <w:sz w:val="24"/>
                <w:highlight w:val="none"/>
              </w:rPr>
              <w:t xml:space="preserve">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ind w:left="0" w:right="0"/>
              <w:jc w:val="center"/>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小微企业、残疾人福利单位或者监狱和戒毒企业制造的产品或者承接的服务，报价折扣</w:t>
            </w:r>
            <w:r>
              <w:rPr>
                <w:rFonts w:hint="eastAsia" w:ascii="仿宋" w:hAnsi="仿宋" w:eastAsia="仿宋" w:cs="宋体"/>
                <w:color w:val="auto"/>
                <w:sz w:val="24"/>
                <w:highlight w:val="none"/>
                <w:u w:val="single"/>
              </w:rPr>
              <w:t xml:space="preserve">10%</w:t>
            </w:r>
            <w:r>
              <w:rPr>
                <w:rFonts w:hint="eastAsia" w:ascii="仿宋" w:hAnsi="仿宋" w:eastAsia="仿宋" w:cs="宋体"/>
                <w:color w:val="auto"/>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eastAsia" w:ascii="仿宋" w:hAnsi="仿宋" w:eastAsia="仿宋" w:cs="宋体"/>
                <w:color w:val="auto"/>
                <w:sz w:val="24"/>
                <w:highlight w:val="none"/>
              </w:rPr>
              <w:t xml:space="preserve">大写：</w:t>
            </w:r>
            <w:r/>
          </w:p>
        </w:tc>
      </w:tr>
      <w:tr>
        <w:trPr>
          <w:trHeight w:val="1349"/>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c>
          <w:tcPr>
            <w:gridSpan w:val="3"/>
            <w:tcBorders>
              <w:top w:val="none" w:color="000000" w:sz="4" w:space="0"/>
              <w:left w:val="single" w:color="auto" w:sz="4" w:space="0"/>
              <w:bottom w:val="single" w:color="auto" w:sz="4" w:space="0"/>
              <w:right w:val="single" w:color="auto" w:sz="4" w:space="0"/>
            </w:tcBorders>
            <w:tcW w:w="8013"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highlight w:val="none"/>
              </w:rPr>
              <w:suppressLineNumbers w:val="0"/>
            </w:pPr>
            <w:r>
              <w:rPr>
                <w:rFonts w:hint="default" w:ascii="仿宋" w:hAnsi="仿宋" w:eastAsia="仿宋" w:cs="宋体"/>
                <w:color w:val="auto"/>
                <w:sz w:val="24"/>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（二）公开招标响应报价明细表</w:t>
      </w:r>
      <w:r/>
    </w:p>
    <w:p>
      <w:pPr>
        <w:ind w:firstLine="3040"/>
        <w:rPr>
          <w:rFonts w:hint="eastAsia" w:ascii="黑体" w:hAnsi="黑体" w:eastAsia="黑体" w:cs="黑体"/>
          <w:color w:val="auto"/>
          <w:sz w:val="24"/>
          <w:highlight w:val="none"/>
        </w:rPr>
      </w:pPr>
      <w:r>
        <w:rPr>
          <w:rFonts w:hint="eastAsia" w:ascii="黑体" w:hAnsi="黑体" w:eastAsia="黑体" w:cs="黑体"/>
          <w:color w:val="auto"/>
          <w:sz w:val="32"/>
          <w:szCs w:val="32"/>
          <w:highlight w:val="none"/>
        </w:rPr>
        <w:t xml:space="preserve">公开招标响应报价明细表</w:t>
      </w:r>
      <w:r/>
    </w:p>
    <w:p>
      <w:pPr>
        <w:rPr>
          <w:rFonts w:ascii="宋体" w:hAnsi="宋体"/>
          <w:color w:val="auto"/>
          <w:highlight w:val="none"/>
        </w:rPr>
      </w:pPr>
      <w:r>
        <w:rPr>
          <w:rFonts w:ascii="宋体" w:hAnsi="宋体"/>
          <w:color w:val="auto"/>
          <w:highlight w:val="none"/>
        </w:rPr>
      </w:r>
      <w:r/>
    </w:p>
    <w:p>
      <w:pPr>
        <w:pStyle w:val="900"/>
        <w:rPr>
          <w:rFonts w:hint="eastAsia" w:ascii="仿宋" w:hAnsi="仿宋" w:eastAsia="仿宋"/>
          <w:color w:val="auto"/>
          <w:szCs w:val="24"/>
          <w:highlight w:val="none"/>
          <w:lang w:val="en-US" w:eastAsia="zh-CN"/>
        </w:rPr>
      </w:pPr>
      <w:r>
        <w:rPr>
          <w:rFonts w:hint="eastAsia" w:ascii="仿宋" w:hAnsi="仿宋" w:eastAsia="仿宋"/>
          <w:color w:val="auto"/>
          <w:szCs w:val="24"/>
          <w:highlight w:val="none"/>
        </w:rPr>
        <w:t xml:space="preserve">项目名称： </w:t>
      </w:r>
      <w:r>
        <w:rPr>
          <w:rFonts w:hint="eastAsia" w:ascii="仿宋" w:hAnsi="仿宋" w:eastAsia="仿宋"/>
          <w:color w:val="auto"/>
          <w:szCs w:val="24"/>
          <w:highlight w:val="none"/>
          <w:lang w:val="en-US" w:eastAsia="zh-CN"/>
        </w:rPr>
        <w:t xml:space="preserve">南通市如皋生态环境监测站规范化能力提升项目</w:t>
      </w:r>
      <w:r/>
    </w:p>
    <w:p>
      <w:pPr>
        <w:rPr>
          <w:rFonts w:ascii="仿宋" w:hAnsi="仿宋" w:eastAsia="仿宋"/>
          <w:color w:val="auto"/>
          <w:sz w:val="24"/>
          <w:highlight w:val="none"/>
        </w:rPr>
      </w:pP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val="en-US" w:eastAsia="zh-CN"/>
        </w:rPr>
        <w:t xml:space="preserve">JSZC-320682-NTJW-G2024-0089</w:t>
      </w:r>
      <w:r>
        <w:rPr>
          <w:rFonts w:hint="eastAsia" w:ascii="仿宋" w:hAnsi="仿宋" w:eastAsia="仿宋"/>
          <w:color w:val="auto"/>
          <w:sz w:val="24"/>
          <w:highlight w:val="none"/>
        </w:rPr>
        <w:t xml:space="preserve">                   </w:t>
      </w:r>
      <w:r>
        <w:rPr>
          <w:rFonts w:hint="eastAsia" w:ascii="仿宋" w:hAnsi="仿宋" w:eastAsia="仿宋"/>
          <w:color w:val="auto"/>
          <w:sz w:val="24"/>
          <w:highlight w:val="none"/>
          <w:lang w:eastAsia="zh-CN"/>
        </w:rPr>
        <w:t xml:space="preserve">采购包</w:t>
      </w:r>
      <w:r>
        <w:rPr>
          <w:rFonts w:hint="eastAsia" w:ascii="仿宋" w:hAnsi="仿宋" w:eastAsia="仿宋"/>
          <w:color w:val="auto"/>
          <w:sz w:val="24"/>
          <w:highlight w:val="none"/>
        </w:rPr>
        <w:t xml:space="preserve">号：</w:t>
      </w:r>
      <w:r>
        <w:rPr>
          <w:rFonts w:hint="eastAsia" w:ascii="仿宋" w:hAnsi="仿宋" w:eastAsia="仿宋"/>
          <w:color w:val="auto"/>
          <w:sz w:val="24"/>
          <w:highlight w:val="none"/>
          <w:lang w:val="en-US" w:eastAsia="zh-CN"/>
        </w:rPr>
        <w:t xml:space="preserve">采购包1</w:t>
      </w:r>
      <w:r>
        <w:rPr>
          <w:rFonts w:hint="eastAsia" w:ascii="仿宋" w:hAnsi="仿宋" w:eastAsia="仿宋"/>
          <w:color w:val="auto"/>
          <w:sz w:val="24"/>
          <w:highlight w:val="none"/>
        </w:rPr>
        <w:t xml:space="preserve">                   </w:t>
      </w:r>
      <w:r/>
    </w:p>
    <w:tbl>
      <w:tblPr>
        <w:tblStyle w:val="891"/>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Height w:val="956"/>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序号</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设备名称</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品牌和型号</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制造商名称</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数量</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单价</w:t>
            </w:r>
            <w:r/>
          </w:p>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（万元）</w:t>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单项</w:t>
            </w:r>
            <w:r/>
          </w:p>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合计价</w:t>
            </w:r>
            <w:r/>
          </w:p>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（万元）</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备注</w:t>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万分之一分析天平</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2</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全自动石墨炉消解仪</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3</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COD自动分析仪</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2</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4</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
              </w:rPr>
              <w:t xml:space="preserve">总磷、总氮自动检测仪</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5</w:t>
            </w:r>
            <w:r/>
          </w:p>
        </w:tc>
        <w:tc>
          <w:tcPr>
            <w:tcW w:w="1348" w:type="dxa"/>
            <w:vAlign w:val="center"/>
            <w:textDirection w:val="lrTb"/>
            <w:noWrap w:val="false"/>
          </w:tcPr>
          <w:p>
            <w:pPr>
              <w:ind w:left="0" w:right="0"/>
              <w:jc w:val="both"/>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台式pH计</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6</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降尘自动蒸发仪</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7</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全自动氨氮分析仪</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8</w:t>
            </w:r>
            <w:r/>
          </w:p>
        </w:tc>
        <w:tc>
          <w:tcPr>
            <w:tcW w:w="1348" w:type="dxa"/>
            <w:vAlign w:val="center"/>
            <w:textDirection w:val="lrTb"/>
            <w:noWrap w:val="false"/>
          </w:tcPr>
          <w:p>
            <w:pPr>
              <w:ind w:left="0" w:right="0"/>
              <w:jc w:val="both"/>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漩涡混匀器</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2</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9</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
              </w:rPr>
              <w:t xml:space="preserve">全自动热脱附仪</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10</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全自动阴离子表面活性剂/挥发酚测定仪</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11</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隔水式恒温培养箱</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12</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电热恒温鼓风干燥箱</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2</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13</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全自动气袋清洗器</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14</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离子活度计</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15</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高锰酸盐指数自动分析仪</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16</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全自动氰化物分析仪</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17</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气相分子吸收光谱仪</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79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18</w:t>
            </w:r>
            <w:r/>
          </w:p>
        </w:tc>
        <w:tc>
          <w:tcPr>
            <w:tcW w:w="1348"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超纯水机</w:t>
            </w:r>
            <w:r/>
          </w:p>
        </w:tc>
        <w:tc>
          <w:tcPr>
            <w:tcW w:w="15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gridSpan w:val="6"/>
            <w:tcW w:w="7111" w:type="dxa"/>
            <w:vAlign w:val="center"/>
            <w:textDirection w:val="lrTb"/>
            <w:noWrap w:val="false"/>
          </w:tcPr>
          <w:p>
            <w:pPr>
              <w:ind w:left="0" w:right="0"/>
              <w:jc w:val="both"/>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rPr>
              <w:t xml:space="preserve">总 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大写：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 xml:space="preserve">元</w:t>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bl>
    <w:p>
      <w:pPr>
        <w:rPr>
          <w:rFonts w:ascii="仿宋" w:hAnsi="仿宋" w:eastAsia="仿宋"/>
          <w:b/>
          <w:color w:val="auto"/>
          <w:szCs w:val="21"/>
          <w:highlight w:val="none"/>
        </w:rPr>
      </w:pPr>
      <w:r>
        <w:rPr>
          <w:rFonts w:hint="eastAsia" w:ascii="仿宋" w:hAnsi="仿宋" w:eastAsia="仿宋"/>
          <w:color w:val="auto"/>
          <w:szCs w:val="21"/>
          <w:highlight w:val="none"/>
        </w:rPr>
        <w:t xml:space="preserve">注：</w:t>
      </w:r>
      <w:r/>
    </w:p>
    <w:p>
      <w:pPr>
        <w:rPr>
          <w:rFonts w:ascii="仿宋" w:hAnsi="仿宋" w:eastAsia="仿宋"/>
          <w:color w:val="auto"/>
          <w:szCs w:val="21"/>
          <w:highlight w:val="none"/>
        </w:rPr>
      </w:pPr>
      <w:r>
        <w:rPr>
          <w:rFonts w:hint="eastAsia" w:ascii="仿宋" w:hAnsi="仿宋" w:eastAsia="仿宋"/>
          <w:color w:val="auto"/>
          <w:szCs w:val="21"/>
          <w:highlight w:val="none"/>
        </w:rPr>
        <w:t xml:space="preserve">1、此表可以根据需要自行增减行数。</w:t>
      </w:r>
      <w:r/>
    </w:p>
    <w:p>
      <w:pPr>
        <w:rPr>
          <w:rFonts w:ascii="仿宋" w:hAnsi="仿宋" w:eastAsia="仿宋"/>
          <w:color w:val="auto"/>
          <w:szCs w:val="21"/>
          <w:highlight w:val="none"/>
        </w:rPr>
      </w:pPr>
      <w:r>
        <w:rPr>
          <w:rFonts w:hint="eastAsia" w:ascii="仿宋" w:hAnsi="仿宋" w:eastAsia="仿宋"/>
          <w:color w:val="auto"/>
          <w:szCs w:val="21"/>
          <w:highlight w:val="none"/>
        </w:rPr>
        <w:t xml:space="preserve">2、项目如有</w:t>
      </w:r>
      <w:r>
        <w:rPr>
          <w:rFonts w:hint="eastAsia" w:ascii="仿宋" w:hAnsi="仿宋" w:eastAsia="仿宋"/>
          <w:color w:val="auto"/>
          <w:szCs w:val="21"/>
          <w:highlight w:val="none"/>
          <w:lang w:eastAsia="zh-CN"/>
        </w:rPr>
        <w:t xml:space="preserve">采购包</w:t>
      </w:r>
      <w:r>
        <w:rPr>
          <w:rFonts w:hint="eastAsia" w:ascii="仿宋" w:hAnsi="仿宋" w:eastAsia="仿宋"/>
          <w:color w:val="auto"/>
          <w:szCs w:val="21"/>
          <w:highlight w:val="none"/>
        </w:rPr>
        <w:t xml:space="preserve">，请各投标人按投报的</w:t>
      </w:r>
      <w:r>
        <w:rPr>
          <w:rFonts w:hint="eastAsia" w:ascii="仿宋" w:hAnsi="仿宋" w:eastAsia="仿宋"/>
          <w:color w:val="auto"/>
          <w:szCs w:val="21"/>
          <w:highlight w:val="none"/>
          <w:lang w:eastAsia="zh-CN"/>
        </w:rPr>
        <w:t xml:space="preserve">采购包</w:t>
      </w:r>
      <w:r>
        <w:rPr>
          <w:rFonts w:hint="eastAsia" w:ascii="仿宋" w:hAnsi="仿宋" w:eastAsia="仿宋"/>
          <w:color w:val="auto"/>
          <w:szCs w:val="21"/>
          <w:highlight w:val="none"/>
        </w:rPr>
        <w:t xml:space="preserve">分别列表。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3040"/>
        <w:rPr>
          <w:rFonts w:ascii="宋体" w:hAnsi="宋体"/>
          <w:color w:val="auto"/>
          <w:sz w:val="24"/>
          <w:highlight w:val="none"/>
        </w:rPr>
      </w:pPr>
      <w:r>
        <w:rPr>
          <w:rFonts w:hint="eastAsia" w:ascii="方正小标宋简体" w:hAnsi="宋体" w:eastAsia="方正小标宋简体"/>
          <w:color w:val="auto"/>
          <w:sz w:val="32"/>
          <w:szCs w:val="32"/>
          <w:highlight w:val="none"/>
        </w:rPr>
        <w:t xml:space="preserve">公开招标响应报价明细表</w:t>
      </w:r>
      <w:r/>
    </w:p>
    <w:p>
      <w:pPr>
        <w:rPr>
          <w:rFonts w:ascii="宋体" w:hAnsi="宋体"/>
          <w:color w:val="auto"/>
          <w:highlight w:val="none"/>
        </w:rPr>
      </w:pPr>
      <w:r>
        <w:rPr>
          <w:rFonts w:ascii="宋体" w:hAnsi="宋体"/>
          <w:color w:val="auto"/>
          <w:highlight w:val="none"/>
        </w:rPr>
      </w:r>
      <w:r/>
    </w:p>
    <w:p>
      <w:pPr>
        <w:pStyle w:val="900"/>
        <w:rPr>
          <w:rFonts w:hint="eastAsia" w:ascii="仿宋" w:hAnsi="仿宋" w:eastAsia="仿宋"/>
          <w:color w:val="auto"/>
          <w:szCs w:val="24"/>
          <w:highlight w:val="none"/>
          <w:lang w:val="en-US" w:eastAsia="zh-CN"/>
        </w:rPr>
      </w:pPr>
      <w:r>
        <w:rPr>
          <w:rFonts w:hint="eastAsia" w:ascii="仿宋" w:hAnsi="仿宋" w:eastAsia="仿宋"/>
          <w:color w:val="auto"/>
          <w:szCs w:val="24"/>
          <w:highlight w:val="none"/>
        </w:rPr>
        <w:t xml:space="preserve">项目名称： </w:t>
      </w:r>
      <w:r>
        <w:rPr>
          <w:rFonts w:hint="eastAsia" w:ascii="仿宋" w:hAnsi="仿宋" w:eastAsia="仿宋"/>
          <w:color w:val="auto"/>
          <w:szCs w:val="24"/>
          <w:highlight w:val="none"/>
          <w:lang w:val="en-US" w:eastAsia="zh-CN"/>
        </w:rPr>
        <w:t xml:space="preserve">南通市如皋生态环境监测站规范化能力提升项目</w:t>
      </w:r>
      <w:r/>
    </w:p>
    <w:p>
      <w:pPr>
        <w:rPr>
          <w:rFonts w:ascii="仿宋" w:hAnsi="仿宋" w:eastAsia="仿宋"/>
          <w:color w:val="auto"/>
          <w:sz w:val="24"/>
          <w:highlight w:val="none"/>
        </w:rPr>
      </w:pP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val="en-US" w:eastAsia="zh-CN"/>
        </w:rPr>
        <w:t xml:space="preserve">JSZC-320682-NTJW-G2024-0089</w:t>
      </w:r>
      <w:r>
        <w:rPr>
          <w:rFonts w:hint="eastAsia" w:ascii="仿宋" w:hAnsi="仿宋" w:eastAsia="仿宋"/>
          <w:color w:val="auto"/>
          <w:sz w:val="24"/>
          <w:highlight w:val="none"/>
        </w:rPr>
        <w:t xml:space="preserve">                    </w:t>
      </w:r>
      <w:r>
        <w:rPr>
          <w:rFonts w:hint="eastAsia" w:ascii="仿宋" w:hAnsi="仿宋" w:eastAsia="仿宋"/>
          <w:color w:val="auto"/>
          <w:sz w:val="24"/>
          <w:highlight w:val="none"/>
          <w:lang w:eastAsia="zh-CN"/>
        </w:rPr>
        <w:t xml:space="preserve">采购包</w:t>
      </w:r>
      <w:r>
        <w:rPr>
          <w:rFonts w:hint="eastAsia" w:ascii="仿宋" w:hAnsi="仿宋" w:eastAsia="仿宋"/>
          <w:color w:val="auto"/>
          <w:sz w:val="24"/>
          <w:highlight w:val="none"/>
        </w:rPr>
        <w:t xml:space="preserve">号：</w:t>
      </w:r>
      <w:r>
        <w:rPr>
          <w:rFonts w:hint="eastAsia" w:ascii="仿宋" w:hAnsi="仿宋" w:eastAsia="仿宋"/>
          <w:color w:val="auto"/>
          <w:sz w:val="24"/>
          <w:highlight w:val="none"/>
          <w:lang w:val="en-US" w:eastAsia="zh-CN"/>
        </w:rPr>
        <w:t xml:space="preserve">采购包2</w:t>
      </w:r>
      <w:r>
        <w:rPr>
          <w:rFonts w:hint="eastAsia" w:ascii="仿宋" w:hAnsi="仿宋" w:eastAsia="仿宋"/>
          <w:color w:val="auto"/>
          <w:sz w:val="24"/>
          <w:highlight w:val="none"/>
        </w:rPr>
        <w:t xml:space="preserve">                   </w:t>
      </w:r>
      <w:r/>
    </w:p>
    <w:tbl>
      <w:tblPr>
        <w:tblStyle w:val="891"/>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810"/>
        <w:gridCol w:w="1363"/>
        <w:gridCol w:w="1135"/>
        <w:gridCol w:w="1135"/>
        <w:gridCol w:w="1135"/>
        <w:gridCol w:w="1324"/>
        <w:gridCol w:w="1135"/>
      </w:tblGrid>
      <w:tr>
        <w:trPr>
          <w:cantSplit/>
          <w:trHeight w:val="956"/>
        </w:trPr>
        <w:tc>
          <w:tcPr>
            <w:tcW w:w="533"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序号</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设备名称</w:t>
            </w:r>
            <w:r/>
          </w:p>
        </w:tc>
        <w:tc>
          <w:tcPr>
            <w:tcW w:w="1363"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品牌和型号</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制造商名称</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数量</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单价</w:t>
            </w:r>
            <w:r/>
          </w:p>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（万元）</w:t>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单项</w:t>
            </w:r>
            <w:r/>
          </w:p>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合计价</w:t>
            </w:r>
            <w:r/>
          </w:p>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（万元）</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备注</w:t>
            </w:r>
            <w:r/>
          </w:p>
        </w:tc>
      </w:tr>
      <w:tr>
        <w:trPr>
          <w:cantSplit/>
        </w:trPr>
        <w:tc>
          <w:tcPr>
            <w:tcW w:w="533"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气相色谱仪+气体进样装置+顶空进样器+</w:t>
            </w:r>
            <w:r>
              <w:rPr>
                <w:rFonts w:hint="eastAsia" w:ascii="仿宋" w:hAnsi="仿宋" w:eastAsia="仿宋" w:cs="仿宋"/>
                <w:color w:val="auto"/>
                <w:sz w:val="24"/>
                <w:szCs w:val="24"/>
                <w:highlight w:val="none"/>
                <w:lang w:val="en-US" w:eastAsia="zh-CN" w:bidi="ar"/>
              </w:rPr>
              <w:t xml:space="preserve">30KVA UPS1小时延时电池组+高纯度氢气发生器（含1台A3彩色打印一体机）</w:t>
            </w:r>
            <w:r/>
          </w:p>
        </w:tc>
        <w:tc>
          <w:tcPr>
            <w:tcW w:w="136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33"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2</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等离子发射光谱质谱联用仪ICP-MS+自动进样器（含</w:t>
            </w:r>
            <w:r>
              <w:rPr>
                <w:rFonts w:hint="eastAsia" w:ascii="仿宋" w:hAnsi="仿宋" w:eastAsia="仿宋" w:cs="仿宋"/>
                <w:color w:val="auto"/>
                <w:sz w:val="24"/>
                <w:szCs w:val="24"/>
                <w:highlight w:val="none"/>
                <w:lang w:val="en-US" w:eastAsia="zh-CN" w:bidi="ar"/>
              </w:rPr>
              <w:t xml:space="preserve">1台A3彩色打印一体机</w:t>
            </w:r>
            <w:r>
              <w:rPr>
                <w:rFonts w:hint="eastAsia" w:ascii="仿宋" w:hAnsi="仿宋" w:eastAsia="仿宋" w:cs="仿宋"/>
                <w:color w:val="auto"/>
                <w:sz w:val="24"/>
                <w:szCs w:val="24"/>
                <w:highlight w:val="none"/>
                <w:lang w:val="en-US" w:eastAsia="zh-CN" w:bidi="ar"/>
              </w:rPr>
              <w:t xml:space="preserve">）</w:t>
            </w:r>
            <w:r/>
          </w:p>
        </w:tc>
        <w:tc>
          <w:tcPr>
            <w:tcW w:w="136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33"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3</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ECD检测器</w:t>
            </w:r>
            <w:r/>
          </w:p>
        </w:tc>
        <w:tc>
          <w:tcPr>
            <w:tcW w:w="136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Height w:val="470"/>
        </w:trPr>
        <w:tc>
          <w:tcPr>
            <w:gridSpan w:val="6"/>
            <w:tcW w:w="7111" w:type="dxa"/>
            <w:vAlign w:val="center"/>
            <w:textDirection w:val="lrTb"/>
            <w:noWrap w:val="false"/>
          </w:tcPr>
          <w:p>
            <w:pPr>
              <w:ind w:left="0" w:right="0"/>
              <w:jc w:val="both"/>
              <w:keepLines w:val="0"/>
              <w:keepNext w:val="0"/>
              <w:pageBreakBefore w:val="0"/>
              <w:spacing w:before="0" w:beforeAutospacing="0" w:after="0" w:afterAutospacing="0" w:line="240" w:lineRule="exac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rPr>
              <w:t xml:space="preserve">总 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大写：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 xml:space="preserve">元</w:t>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bl>
    <w:p>
      <w:pPr>
        <w:rPr>
          <w:rFonts w:ascii="仿宋" w:hAnsi="仿宋" w:eastAsia="仿宋"/>
          <w:b/>
          <w:color w:val="auto"/>
          <w:szCs w:val="21"/>
          <w:highlight w:val="none"/>
        </w:rPr>
      </w:pPr>
      <w:r>
        <w:rPr>
          <w:rFonts w:hint="eastAsia" w:ascii="仿宋" w:hAnsi="仿宋" w:eastAsia="仿宋"/>
          <w:color w:val="auto"/>
          <w:szCs w:val="21"/>
          <w:highlight w:val="none"/>
        </w:rPr>
        <w:t xml:space="preserve">注：</w:t>
      </w:r>
      <w:r/>
    </w:p>
    <w:p>
      <w:pPr>
        <w:rPr>
          <w:rFonts w:ascii="仿宋" w:hAnsi="仿宋" w:eastAsia="仿宋"/>
          <w:color w:val="auto"/>
          <w:szCs w:val="21"/>
          <w:highlight w:val="none"/>
        </w:rPr>
      </w:pPr>
      <w:r>
        <w:rPr>
          <w:rFonts w:hint="eastAsia" w:ascii="仿宋" w:hAnsi="仿宋" w:eastAsia="仿宋"/>
          <w:color w:val="auto"/>
          <w:szCs w:val="21"/>
          <w:highlight w:val="none"/>
        </w:rPr>
        <w:t xml:space="preserve">1、此表可以根据需要自行增减行数。</w:t>
      </w:r>
      <w:r/>
    </w:p>
    <w:p>
      <w:pPr>
        <w:rPr>
          <w:rFonts w:ascii="仿宋" w:hAnsi="仿宋" w:eastAsia="仿宋"/>
          <w:color w:val="auto"/>
          <w:szCs w:val="21"/>
          <w:highlight w:val="none"/>
        </w:rPr>
      </w:pPr>
      <w:r>
        <w:rPr>
          <w:rFonts w:hint="eastAsia" w:ascii="仿宋" w:hAnsi="仿宋" w:eastAsia="仿宋"/>
          <w:color w:val="auto"/>
          <w:szCs w:val="21"/>
          <w:highlight w:val="none"/>
        </w:rPr>
        <w:t xml:space="preserve">2、项目如有</w:t>
      </w:r>
      <w:r>
        <w:rPr>
          <w:rFonts w:hint="eastAsia" w:ascii="仿宋" w:hAnsi="仿宋" w:eastAsia="仿宋"/>
          <w:color w:val="auto"/>
          <w:szCs w:val="21"/>
          <w:highlight w:val="none"/>
          <w:lang w:eastAsia="zh-CN"/>
        </w:rPr>
        <w:t xml:space="preserve">采购包</w:t>
      </w:r>
      <w:r>
        <w:rPr>
          <w:rFonts w:hint="eastAsia" w:ascii="仿宋" w:hAnsi="仿宋" w:eastAsia="仿宋"/>
          <w:color w:val="auto"/>
          <w:szCs w:val="21"/>
          <w:highlight w:val="none"/>
        </w:rPr>
        <w:t xml:space="preserve">，请各投标人按投报的</w:t>
      </w:r>
      <w:r>
        <w:rPr>
          <w:rFonts w:hint="eastAsia" w:ascii="仿宋" w:hAnsi="仿宋" w:eastAsia="仿宋"/>
          <w:color w:val="auto"/>
          <w:szCs w:val="21"/>
          <w:highlight w:val="none"/>
          <w:lang w:eastAsia="zh-CN"/>
        </w:rPr>
        <w:t xml:space="preserve">采购包</w:t>
      </w:r>
      <w:r>
        <w:rPr>
          <w:rFonts w:hint="eastAsia" w:ascii="仿宋" w:hAnsi="仿宋" w:eastAsia="仿宋"/>
          <w:color w:val="auto"/>
          <w:szCs w:val="21"/>
          <w:highlight w:val="none"/>
        </w:rPr>
        <w:t xml:space="preserve">分别列表。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3040"/>
        <w:rPr>
          <w:rFonts w:ascii="宋体" w:hAnsi="宋体"/>
          <w:color w:val="auto"/>
          <w:sz w:val="24"/>
          <w:highlight w:val="none"/>
        </w:rPr>
      </w:pPr>
      <w:r>
        <w:rPr>
          <w:rFonts w:hint="eastAsia" w:ascii="方正小标宋简体" w:hAnsi="宋体" w:eastAsia="方正小标宋简体"/>
          <w:color w:val="auto"/>
          <w:sz w:val="32"/>
          <w:szCs w:val="32"/>
          <w:highlight w:val="none"/>
        </w:rPr>
        <w:t xml:space="preserve">公开招标响应报价明细表</w:t>
      </w:r>
      <w:r/>
    </w:p>
    <w:p>
      <w:pPr>
        <w:rPr>
          <w:rFonts w:ascii="宋体" w:hAnsi="宋体"/>
          <w:color w:val="auto"/>
          <w:highlight w:val="none"/>
        </w:rPr>
      </w:pPr>
      <w:r>
        <w:rPr>
          <w:rFonts w:ascii="宋体" w:hAnsi="宋体"/>
          <w:color w:val="auto"/>
          <w:highlight w:val="none"/>
        </w:rPr>
      </w:r>
      <w:r/>
    </w:p>
    <w:p>
      <w:pPr>
        <w:pStyle w:val="900"/>
        <w:rPr>
          <w:rFonts w:hint="eastAsia" w:ascii="仿宋" w:hAnsi="仿宋" w:eastAsia="仿宋"/>
          <w:color w:val="auto"/>
          <w:szCs w:val="24"/>
          <w:highlight w:val="none"/>
          <w:lang w:val="en-US" w:eastAsia="zh-CN"/>
        </w:rPr>
      </w:pPr>
      <w:r>
        <w:rPr>
          <w:rFonts w:hint="eastAsia" w:ascii="仿宋" w:hAnsi="仿宋" w:eastAsia="仿宋"/>
          <w:color w:val="auto"/>
          <w:szCs w:val="24"/>
          <w:highlight w:val="none"/>
        </w:rPr>
        <w:t xml:space="preserve">项目名称： </w:t>
      </w:r>
      <w:r>
        <w:rPr>
          <w:rFonts w:hint="eastAsia" w:ascii="仿宋" w:hAnsi="仿宋" w:eastAsia="仿宋"/>
          <w:color w:val="auto"/>
          <w:szCs w:val="24"/>
          <w:highlight w:val="none"/>
          <w:lang w:val="en-US" w:eastAsia="zh-CN"/>
        </w:rPr>
        <w:t xml:space="preserve">南通市如皋生态环境监测站规范化能力提升项目</w:t>
      </w:r>
      <w:r/>
    </w:p>
    <w:p>
      <w:pPr>
        <w:rPr>
          <w:rFonts w:ascii="仿宋" w:hAnsi="仿宋" w:eastAsia="仿宋"/>
          <w:color w:val="auto"/>
          <w:sz w:val="24"/>
          <w:highlight w:val="none"/>
        </w:rPr>
      </w:pP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val="en-US" w:eastAsia="zh-CN"/>
        </w:rPr>
        <w:t xml:space="preserve">JSZC-320682-NTJW-G2024-0089</w:t>
      </w:r>
      <w:r>
        <w:rPr>
          <w:rFonts w:hint="eastAsia" w:ascii="仿宋" w:hAnsi="仿宋" w:eastAsia="仿宋"/>
          <w:color w:val="auto"/>
          <w:sz w:val="24"/>
          <w:highlight w:val="none"/>
        </w:rPr>
        <w:t xml:space="preserve">                   </w:t>
      </w:r>
      <w:r>
        <w:rPr>
          <w:rFonts w:hint="eastAsia" w:ascii="仿宋" w:hAnsi="仿宋" w:eastAsia="仿宋"/>
          <w:color w:val="auto"/>
          <w:sz w:val="24"/>
          <w:highlight w:val="none"/>
          <w:lang w:eastAsia="zh-CN"/>
        </w:rPr>
        <w:t xml:space="preserve">采购包</w:t>
      </w:r>
      <w:r>
        <w:rPr>
          <w:rFonts w:hint="eastAsia" w:ascii="仿宋" w:hAnsi="仿宋" w:eastAsia="仿宋"/>
          <w:color w:val="auto"/>
          <w:sz w:val="24"/>
          <w:highlight w:val="none"/>
        </w:rPr>
        <w:t xml:space="preserve">号：</w:t>
      </w:r>
      <w:r>
        <w:rPr>
          <w:rFonts w:hint="eastAsia" w:ascii="仿宋" w:hAnsi="仿宋" w:eastAsia="仿宋"/>
          <w:color w:val="auto"/>
          <w:sz w:val="24"/>
          <w:highlight w:val="none"/>
          <w:lang w:val="en-US" w:eastAsia="zh-CN"/>
        </w:rPr>
        <w:t xml:space="preserve">采购包3</w:t>
      </w:r>
      <w:r>
        <w:rPr>
          <w:rFonts w:hint="eastAsia" w:ascii="仿宋" w:hAnsi="仿宋" w:eastAsia="仿宋"/>
          <w:color w:val="auto"/>
          <w:sz w:val="24"/>
          <w:highlight w:val="none"/>
        </w:rPr>
        <w:t xml:space="preserve">                  </w:t>
      </w:r>
      <w:r/>
    </w:p>
    <w:tbl>
      <w:tblPr>
        <w:tblStyle w:val="891"/>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1810"/>
        <w:gridCol w:w="1333"/>
        <w:gridCol w:w="1135"/>
        <w:gridCol w:w="1135"/>
        <w:gridCol w:w="1135"/>
        <w:gridCol w:w="1324"/>
        <w:gridCol w:w="1135"/>
      </w:tblGrid>
      <w:tr>
        <w:trPr>
          <w:cantSplit/>
          <w:trHeight w:val="956"/>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序号</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设备名称</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品牌和型号</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制造商名称</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数量</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单价</w:t>
            </w:r>
            <w:r/>
          </w:p>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（万元）</w:t>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单项</w:t>
            </w:r>
            <w:r/>
          </w:p>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合计价</w:t>
            </w:r>
            <w:r/>
          </w:p>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（万元）</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备注</w:t>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Style w:val="936"/>
                <w:rFonts w:hint="eastAsia" w:ascii="仿宋" w:hAnsi="仿宋" w:eastAsia="仿宋" w:cs="仿宋"/>
                <w:color w:val="auto"/>
                <w:sz w:val="24"/>
                <w:szCs w:val="24"/>
                <w:highlight w:val="none"/>
                <w:lang w:val="en-US" w:eastAsia="zh-CN" w:bidi="ar"/>
              </w:rPr>
              <w:t xml:space="preserve">降水采样器</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2</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Style w:val="936"/>
                <w:rFonts w:hint="eastAsia" w:ascii="仿宋" w:hAnsi="仿宋" w:eastAsia="仿宋" w:cs="仿宋"/>
                <w:color w:val="auto"/>
                <w:sz w:val="24"/>
                <w:szCs w:val="24"/>
                <w:highlight w:val="none"/>
                <w:lang w:val="en-US" w:eastAsia="zh-CN" w:bidi="ar"/>
              </w:rPr>
              <w:t xml:space="preserve">便携式流速测量仪</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3</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Style w:val="936"/>
                <w:rFonts w:hint="eastAsia" w:ascii="仿宋" w:hAnsi="仿宋" w:eastAsia="仿宋" w:cs="仿宋"/>
                <w:color w:val="auto"/>
                <w:sz w:val="24"/>
                <w:szCs w:val="24"/>
                <w:highlight w:val="none"/>
                <w:lang w:val="en-US" w:eastAsia="zh-CN" w:bidi="ar"/>
              </w:rPr>
              <w:t xml:space="preserve">便携式氧化还原电位仪</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4</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环境空气气采样器</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5</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5</w:t>
            </w:r>
            <w:r/>
          </w:p>
        </w:tc>
        <w:tc>
          <w:tcPr>
            <w:tcW w:w="1810" w:type="dxa"/>
            <w:vAlign w:val="center"/>
            <w:textDirection w:val="lrTb"/>
            <w:noWrap w:val="false"/>
          </w:tcPr>
          <w:p>
            <w:pPr>
              <w:ind w:left="0" w:right="0"/>
              <w:jc w:val="both"/>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便携式智能烟气流速仪（含烟温、动静压、流速、湿度等烟气参数）</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6</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Style w:val="936"/>
                <w:rFonts w:hint="eastAsia" w:ascii="仿宋" w:hAnsi="仿宋" w:eastAsia="仿宋" w:cs="仿宋"/>
                <w:color w:val="auto"/>
                <w:sz w:val="24"/>
                <w:szCs w:val="24"/>
                <w:highlight w:val="none"/>
                <w:lang w:val="en-US" w:eastAsia="zh-CN" w:bidi="ar"/>
              </w:rPr>
              <w:suppressLineNumbers w:val="0"/>
            </w:pPr>
            <w:r>
              <w:rPr>
                <w:rStyle w:val="936"/>
                <w:rFonts w:hint="eastAsia" w:ascii="仿宋" w:hAnsi="仿宋" w:eastAsia="仿宋" w:cs="仿宋"/>
                <w:color w:val="auto"/>
                <w:sz w:val="24"/>
                <w:szCs w:val="24"/>
                <w:highlight w:val="none"/>
                <w:lang w:val="en-US" w:eastAsia="zh-CN" w:bidi="ar"/>
              </w:rPr>
              <w:t xml:space="preserve">固定剂箱</w:t>
            </w:r>
            <w:r/>
          </w:p>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Style w:val="936"/>
                <w:rFonts w:hint="eastAsia" w:ascii="仿宋" w:hAnsi="仿宋" w:eastAsia="仿宋" w:cs="仿宋"/>
                <w:color w:val="auto"/>
                <w:sz w:val="24"/>
                <w:szCs w:val="24"/>
                <w:highlight w:val="none"/>
                <w:lang w:val="en-US" w:eastAsia="zh-CN" w:bidi="ar"/>
              </w:rPr>
              <w:t xml:space="preserve">（含</w:t>
            </w:r>
            <w:r>
              <w:rPr>
                <w:rStyle w:val="938"/>
                <w:rFonts w:hint="eastAsia" w:ascii="仿宋" w:hAnsi="仿宋" w:eastAsia="仿宋" w:cs="仿宋"/>
                <w:color w:val="auto"/>
                <w:sz w:val="24"/>
                <w:szCs w:val="24"/>
                <w:highlight w:val="none"/>
                <w:lang w:val="en-US" w:eastAsia="zh-CN" w:bidi="ar"/>
              </w:rPr>
              <w:t xml:space="preserve">6</w:t>
            </w:r>
            <w:r>
              <w:rPr>
                <w:rStyle w:val="936"/>
                <w:rFonts w:hint="eastAsia" w:ascii="仿宋" w:hAnsi="仿宋" w:eastAsia="仿宋" w:cs="仿宋"/>
                <w:color w:val="auto"/>
                <w:sz w:val="24"/>
                <w:szCs w:val="24"/>
                <w:highlight w:val="none"/>
                <w:lang w:val="en-US" w:eastAsia="zh-CN" w:bidi="ar"/>
              </w:rPr>
              <w:t xml:space="preserve">个瓶口分配器）</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7</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Style w:val="936"/>
                <w:rFonts w:hint="eastAsia" w:ascii="仿宋" w:hAnsi="仿宋" w:eastAsia="仿宋" w:cs="仿宋"/>
                <w:color w:val="auto"/>
                <w:sz w:val="24"/>
                <w:szCs w:val="24"/>
                <w:highlight w:val="none"/>
                <w:lang w:val="en-US" w:eastAsia="zh-CN" w:bidi="ar"/>
              </w:rPr>
              <w:t xml:space="preserve">声级计</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8</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声校准器</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9</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轻便式风速风向仪</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10</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Style w:val="936"/>
                <w:rFonts w:hint="eastAsia" w:ascii="仿宋" w:hAnsi="仿宋" w:eastAsia="仿宋" w:cs="仿宋"/>
                <w:color w:val="auto"/>
                <w:sz w:val="24"/>
                <w:szCs w:val="24"/>
                <w:highlight w:val="none"/>
                <w:lang w:val="en-US" w:eastAsia="zh-CN" w:bidi="ar"/>
              </w:rPr>
              <w:t xml:space="preserve">应急电源</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2</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11</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便携式</w:t>
            </w:r>
            <w:r>
              <w:rPr>
                <w:rStyle w:val="937"/>
                <w:rFonts w:hint="eastAsia" w:ascii="仿宋" w:hAnsi="仿宋" w:eastAsia="仿宋" w:cs="仿宋"/>
                <w:color w:val="auto"/>
                <w:sz w:val="24"/>
                <w:szCs w:val="24"/>
                <w:highlight w:val="none"/>
                <w:lang w:val="en-US" w:eastAsia="zh-CN" w:bidi="ar"/>
              </w:rPr>
              <w:t xml:space="preserve">GC-MS  </w:t>
            </w:r>
            <w:r>
              <w:rPr>
                <w:rFonts w:hint="eastAsia" w:ascii="仿宋" w:hAnsi="仿宋" w:eastAsia="仿宋" w:cs="仿宋"/>
                <w:i w:val="0"/>
                <w:iCs w:val="0"/>
                <w:color w:val="auto"/>
                <w:sz w:val="24"/>
                <w:szCs w:val="24"/>
                <w:highlight w:val="none"/>
                <w:lang w:val="en-US" w:eastAsia="zh-CN" w:bidi="ar"/>
              </w:rPr>
              <w:t xml:space="preserve">色谱柱</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12</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傅里叶红外</w:t>
            </w:r>
            <w:r/>
          </w:p>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（含湿量、</w:t>
            </w:r>
            <w:r>
              <w:rPr>
                <w:rStyle w:val="937"/>
                <w:rFonts w:hint="eastAsia" w:ascii="仿宋" w:hAnsi="仿宋" w:eastAsia="仿宋" w:cs="仿宋"/>
                <w:color w:val="auto"/>
                <w:sz w:val="24"/>
                <w:szCs w:val="24"/>
                <w:highlight w:val="none"/>
                <w:lang w:val="en-US" w:eastAsia="zh-CN" w:bidi="ar"/>
              </w:rPr>
              <w:t xml:space="preserve">CO</w:t>
            </w:r>
            <w:r>
              <w:rPr>
                <w:rFonts w:hint="eastAsia" w:ascii="仿宋" w:hAnsi="仿宋" w:eastAsia="仿宋" w:cs="仿宋"/>
                <w:color w:val="auto"/>
                <w:sz w:val="24"/>
                <w:szCs w:val="24"/>
                <w:highlight w:val="none"/>
                <w:vertAlign w:val="subscript"/>
                <w:lang w:val="en-US" w:eastAsia="zh-CN" w:bidi="ar"/>
              </w:rPr>
              <w:t xml:space="preserve">2</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CO</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NO</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NO</w:t>
            </w:r>
            <w:r>
              <w:rPr>
                <w:rFonts w:hint="eastAsia" w:ascii="仿宋" w:hAnsi="仿宋" w:eastAsia="仿宋" w:cs="仿宋"/>
                <w:color w:val="auto"/>
                <w:sz w:val="24"/>
                <w:szCs w:val="24"/>
                <w:highlight w:val="none"/>
                <w:vertAlign w:val="subscript"/>
                <w:lang w:val="en-US" w:eastAsia="zh-CN" w:bidi="ar"/>
              </w:rPr>
              <w:t xml:space="preserve">2</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N</w:t>
            </w:r>
            <w:r>
              <w:rPr>
                <w:rFonts w:hint="eastAsia" w:ascii="仿宋" w:hAnsi="仿宋" w:eastAsia="仿宋" w:cs="仿宋"/>
                <w:color w:val="auto"/>
                <w:sz w:val="24"/>
                <w:szCs w:val="24"/>
                <w:highlight w:val="none"/>
                <w:vertAlign w:val="subscript"/>
                <w:lang w:val="en-US" w:eastAsia="zh-CN" w:bidi="ar"/>
              </w:rPr>
              <w:t xml:space="preserve">2</w:t>
            </w:r>
            <w:r>
              <w:rPr>
                <w:rStyle w:val="937"/>
                <w:rFonts w:hint="eastAsia" w:ascii="仿宋" w:hAnsi="仿宋" w:eastAsia="仿宋" w:cs="仿宋"/>
                <w:color w:val="auto"/>
                <w:sz w:val="24"/>
                <w:szCs w:val="24"/>
                <w:highlight w:val="none"/>
                <w:lang w:val="en-US" w:eastAsia="zh-CN" w:bidi="ar"/>
              </w:rPr>
              <w:t xml:space="preserve">O</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SO</w:t>
            </w:r>
            <w:r>
              <w:rPr>
                <w:rFonts w:hint="eastAsia" w:ascii="仿宋" w:hAnsi="仿宋" w:eastAsia="仿宋" w:cs="仿宋"/>
                <w:color w:val="auto"/>
                <w:sz w:val="24"/>
                <w:szCs w:val="24"/>
                <w:highlight w:val="none"/>
                <w:vertAlign w:val="subscript"/>
                <w:lang w:val="en-US" w:eastAsia="zh-CN" w:bidi="ar"/>
              </w:rPr>
              <w:t xml:space="preserve">2</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NH</w:t>
            </w:r>
            <w:r>
              <w:rPr>
                <w:rFonts w:hint="eastAsia" w:ascii="仿宋" w:hAnsi="仿宋" w:eastAsia="仿宋" w:cs="仿宋"/>
                <w:color w:val="auto"/>
                <w:sz w:val="24"/>
                <w:szCs w:val="24"/>
                <w:highlight w:val="none"/>
                <w:vertAlign w:val="subscript"/>
                <w:lang w:val="en-US" w:eastAsia="zh-CN" w:bidi="ar"/>
              </w:rPr>
              <w:t xml:space="preserve">3</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HCL</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HF</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CH</w:t>
            </w:r>
            <w:r>
              <w:rPr>
                <w:rFonts w:hint="eastAsia" w:ascii="仿宋" w:hAnsi="仿宋" w:eastAsia="仿宋" w:cs="仿宋"/>
                <w:color w:val="auto"/>
                <w:sz w:val="24"/>
                <w:szCs w:val="24"/>
                <w:highlight w:val="none"/>
                <w:vertAlign w:val="subscript"/>
                <w:lang w:val="en-US" w:eastAsia="zh-CN" w:bidi="ar"/>
              </w:rPr>
              <w:t xml:space="preserve">4</w:t>
            </w:r>
            <w:r>
              <w:rPr>
                <w:rFonts w:hint="eastAsia" w:ascii="仿宋" w:hAnsi="仿宋" w:eastAsia="仿宋" w:cs="仿宋"/>
                <w:i w:val="0"/>
                <w:iCs w:val="0"/>
                <w:color w:val="auto"/>
                <w:sz w:val="24"/>
                <w:szCs w:val="24"/>
                <w:highlight w:val="none"/>
                <w:lang w:val="en-US" w:eastAsia="zh-CN" w:bidi="ar"/>
              </w:rPr>
              <w:t xml:space="preserve">、</w:t>
            </w:r>
            <w:r>
              <w:rPr>
                <w:rStyle w:val="937"/>
                <w:rFonts w:hint="eastAsia" w:ascii="仿宋" w:hAnsi="仿宋" w:eastAsia="仿宋" w:cs="仿宋"/>
                <w:color w:val="auto"/>
                <w:sz w:val="24"/>
                <w:szCs w:val="24"/>
                <w:highlight w:val="none"/>
                <w:lang w:val="en-US" w:eastAsia="zh-CN" w:bidi="ar"/>
              </w:rPr>
              <w:t xml:space="preserve">O</w:t>
            </w:r>
            <w:r>
              <w:rPr>
                <w:rFonts w:hint="eastAsia" w:ascii="仿宋" w:hAnsi="仿宋" w:eastAsia="仿宋" w:cs="仿宋"/>
                <w:color w:val="auto"/>
                <w:sz w:val="24"/>
                <w:szCs w:val="24"/>
                <w:highlight w:val="none"/>
                <w:vertAlign w:val="subscript"/>
                <w:lang w:val="en-US" w:eastAsia="zh-CN" w:bidi="ar"/>
              </w:rPr>
              <w:t xml:space="preserve">2</w:t>
            </w:r>
            <w:r>
              <w:rPr>
                <w:rStyle w:val="939"/>
                <w:rFonts w:hint="eastAsia" w:ascii="仿宋" w:hAnsi="仿宋" w:eastAsia="仿宋" w:cs="仿宋"/>
                <w:color w:val="auto"/>
                <w:sz w:val="24"/>
                <w:szCs w:val="24"/>
                <w:highlight w:val="none"/>
                <w:vertAlign w:val="subscript"/>
                <w:lang w:val="en-US" w:eastAsia="zh-CN" w:bidi="ar"/>
              </w:rPr>
              <w:t xml:space="preserve">、</w:t>
            </w:r>
            <w:r>
              <w:rPr>
                <w:rFonts w:hint="eastAsia" w:ascii="仿宋" w:hAnsi="仿宋" w:eastAsia="仿宋" w:cs="仿宋"/>
                <w:i w:val="0"/>
                <w:iCs w:val="0"/>
                <w:color w:val="auto"/>
                <w:sz w:val="24"/>
                <w:szCs w:val="24"/>
                <w:highlight w:val="none"/>
                <w:lang w:val="en-US" w:eastAsia="zh-CN" w:bidi="ar"/>
              </w:rPr>
              <w:t xml:space="preserve">苯、甲苯、氯苯等五十多种物质）</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13</w:t>
            </w:r>
            <w:r/>
          </w:p>
        </w:tc>
        <w:tc>
          <w:tcPr>
            <w:tcW w:w="1810" w:type="dxa"/>
            <w:vAlign w:val="center"/>
            <w:textDirection w:val="lrTb"/>
            <w:noWrap w:val="false"/>
          </w:tcPr>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应急检测管/检测试纸</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1、水质：CODcr、TP、NH</w:t>
            </w:r>
            <w:r>
              <w:rPr>
                <w:rStyle w:val="939"/>
                <w:rFonts w:hint="eastAsia" w:ascii="仿宋" w:hAnsi="仿宋" w:eastAsia="仿宋" w:cs="仿宋"/>
                <w:color w:val="auto"/>
                <w:sz w:val="24"/>
                <w:szCs w:val="24"/>
                <w:highlight w:val="none"/>
                <w:vertAlign w:val="subscript"/>
                <w:lang w:val="en-US" w:eastAsia="zh-CN" w:bidi="ar"/>
              </w:rPr>
              <w:t xml:space="preserve">3</w:t>
            </w:r>
            <w:r>
              <w:rPr>
                <w:rFonts w:hint="eastAsia" w:ascii="仿宋" w:hAnsi="仿宋" w:eastAsia="仿宋" w:cs="仿宋"/>
                <w:i w:val="0"/>
                <w:iCs w:val="0"/>
                <w:color w:val="auto"/>
                <w:sz w:val="24"/>
                <w:szCs w:val="24"/>
                <w:highlight w:val="none"/>
                <w:lang w:val="en-US" w:eastAsia="zh-CN" w:bidi="ar"/>
              </w:rPr>
              <w:t xml:space="preserve">-N、TN</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2、气：氯气、光气</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3、金属快筛试纸：铜、锌、铅、镉、铁、锰、镍、六价铬 </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4、快筛试纸：化学需氧量、氨氮、总磷、总氮、总氯、余氯、硝酸盐氮、亚硝酸盐氮等</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5、余氯 </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lang w:val="en-US" w:eastAsia="zh-CN" w:bidi="ar"/>
              </w:rPr>
              <w:t xml:space="preserve">6、水质重金属试剂：铁、锰、铜、镍、铝、锌等</w:t>
            </w:r>
            <w:r/>
          </w:p>
          <w:p>
            <w:pPr>
              <w:ind w:left="0" w:right="0"/>
              <w:jc w:val="left"/>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7、ATP(三磷酸腺苷)</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各2套</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14</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i w:val="0"/>
                <w:iCs w:val="0"/>
                <w:color w:val="auto"/>
                <w:sz w:val="24"/>
                <w:szCs w:val="24"/>
                <w:highlight w:val="none"/>
                <w:lang w:val="en-US" w:eastAsia="zh-CN" w:bidi="ar"/>
              </w:rPr>
              <w:t xml:space="preserve">便携式</w:t>
            </w:r>
            <w:r>
              <w:rPr>
                <w:rStyle w:val="937"/>
                <w:rFonts w:hint="eastAsia" w:ascii="仿宋" w:hAnsi="仿宋" w:eastAsia="仿宋" w:cs="仿宋"/>
                <w:b/>
                <w:bCs/>
                <w:color w:val="auto"/>
                <w:sz w:val="24"/>
                <w:szCs w:val="24"/>
                <w:highlight w:val="none"/>
                <w:lang w:val="en-US" w:eastAsia="zh-CN" w:bidi="ar"/>
              </w:rPr>
              <w:t xml:space="preserve">X</w:t>
            </w:r>
            <w:r>
              <w:rPr>
                <w:rFonts w:hint="eastAsia" w:ascii="仿宋" w:hAnsi="仿宋" w:eastAsia="仿宋" w:cs="仿宋"/>
                <w:b/>
                <w:bCs/>
                <w:i w:val="0"/>
                <w:iCs w:val="0"/>
                <w:color w:val="auto"/>
                <w:sz w:val="24"/>
                <w:szCs w:val="24"/>
                <w:highlight w:val="none"/>
                <w:lang w:val="en-US" w:eastAsia="zh-CN" w:bidi="ar"/>
              </w:rPr>
              <w:t xml:space="preserve">射线荧光分析仪（土壤金属）</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15</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生物毒性检测仪</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16</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手持式光离子化检测仪</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17</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i w:val="0"/>
                <w:iCs w:val="0"/>
                <w:color w:val="auto"/>
                <w:sz w:val="24"/>
                <w:szCs w:val="24"/>
                <w:highlight w:val="none"/>
                <w:lang w:val="en-US" w:eastAsia="zh-CN" w:bidi="ar"/>
              </w:rPr>
              <w:t xml:space="preserve">便携式氢火焰离子化检测仪</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tcW w:w="563"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18</w:t>
            </w:r>
            <w:r/>
          </w:p>
        </w:tc>
        <w:tc>
          <w:tcPr>
            <w:tcW w:w="1810"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Style w:val="940"/>
                <w:rFonts w:hint="eastAsia" w:ascii="仿宋" w:hAnsi="仿宋" w:eastAsia="仿宋" w:cs="仿宋"/>
                <w:color w:val="auto"/>
                <w:sz w:val="24"/>
                <w:szCs w:val="24"/>
                <w:highlight w:val="none"/>
                <w:lang w:val="en-US" w:eastAsia="zh-CN" w:bidi="ar"/>
              </w:rPr>
              <w:t xml:space="preserve">高倍望远镜</w:t>
            </w:r>
            <w:r/>
          </w:p>
        </w:tc>
        <w:tc>
          <w:tcPr>
            <w:tcW w:w="1333"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lang w:val="en-US" w:eastAsia="zh-CN" w:bidi="ar"/>
              </w:rPr>
              <w:t xml:space="preserve">1</w:t>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r>
        <w:trPr>
          <w:cantSplit/>
        </w:trPr>
        <w:tc>
          <w:tcPr>
            <w:gridSpan w:val="6"/>
            <w:tcW w:w="7111" w:type="dxa"/>
            <w:vAlign w:val="center"/>
            <w:textDirection w:val="lrTb"/>
            <w:noWrap w:val="false"/>
          </w:tcPr>
          <w:p>
            <w:pPr>
              <w:ind w:left="0" w:right="0"/>
              <w:jc w:val="both"/>
              <w:keepLines w:val="0"/>
              <w:keepNext w:val="0"/>
              <w:pageBreakBefore w:val="0"/>
              <w:spacing w:before="0" w:beforeAutospacing="0" w:after="0" w:afterAutospacing="0" w:line="240" w:lineRule="atLeast"/>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rPr>
              <w:t xml:space="preserve">总 计</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大写：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 xml:space="preserve">元</w:t>
            </w:r>
            <w:r/>
          </w:p>
        </w:tc>
        <w:tc>
          <w:tcPr>
            <w:tcW w:w="1324"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c>
          <w:tcPr>
            <w:tcW w:w="1135" w:type="dxa"/>
            <w:vAlign w:val="center"/>
            <w:textDirection w:val="lrTb"/>
            <w:noWrap w:val="false"/>
          </w:tcPr>
          <w:p>
            <w:pPr>
              <w:ind w:left="0" w:right="0"/>
              <w:jc w:val="center"/>
              <w:keepLines w:val="0"/>
              <w:keepNext w:val="0"/>
              <w:pageBreakBefore w:val="0"/>
              <w:spacing w:before="0" w:beforeAutospacing="0" w:after="0" w:afterAutospacing="0" w:line="240" w:lineRule="atLeast"/>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r>
            <w:r/>
          </w:p>
        </w:tc>
      </w:tr>
    </w:tbl>
    <w:p>
      <w:pPr>
        <w:rPr>
          <w:rFonts w:ascii="仿宋" w:hAnsi="仿宋" w:eastAsia="仿宋"/>
          <w:b/>
          <w:color w:val="auto"/>
          <w:szCs w:val="21"/>
          <w:highlight w:val="none"/>
        </w:rPr>
      </w:pPr>
      <w:r>
        <w:rPr>
          <w:rFonts w:hint="eastAsia" w:ascii="仿宋" w:hAnsi="仿宋" w:eastAsia="仿宋"/>
          <w:color w:val="auto"/>
          <w:szCs w:val="21"/>
          <w:highlight w:val="none"/>
        </w:rPr>
        <w:t xml:space="preserve">注：</w:t>
      </w:r>
      <w:r/>
    </w:p>
    <w:p>
      <w:pPr>
        <w:rPr>
          <w:rFonts w:ascii="仿宋" w:hAnsi="仿宋" w:eastAsia="仿宋"/>
          <w:color w:val="auto"/>
          <w:szCs w:val="21"/>
          <w:highlight w:val="none"/>
        </w:rPr>
      </w:pPr>
      <w:r>
        <w:rPr>
          <w:rFonts w:hint="eastAsia" w:ascii="仿宋" w:hAnsi="仿宋" w:eastAsia="仿宋"/>
          <w:color w:val="auto"/>
          <w:szCs w:val="21"/>
          <w:highlight w:val="none"/>
        </w:rPr>
        <w:t xml:space="preserve">1、此表可以根据需要自行增减行数。</w:t>
      </w:r>
      <w:r/>
    </w:p>
    <w:p>
      <w:pPr>
        <w:rPr>
          <w:rFonts w:ascii="仿宋" w:hAnsi="仿宋" w:eastAsia="仿宋"/>
          <w:color w:val="auto"/>
          <w:szCs w:val="21"/>
          <w:highlight w:val="none"/>
        </w:rPr>
      </w:pPr>
      <w:r>
        <w:rPr>
          <w:rFonts w:hint="eastAsia" w:ascii="仿宋" w:hAnsi="仿宋" w:eastAsia="仿宋"/>
          <w:color w:val="auto"/>
          <w:szCs w:val="21"/>
          <w:highlight w:val="none"/>
        </w:rPr>
        <w:t xml:space="preserve">2、项目如有</w:t>
      </w:r>
      <w:r>
        <w:rPr>
          <w:rFonts w:hint="eastAsia" w:ascii="仿宋" w:hAnsi="仿宋" w:eastAsia="仿宋"/>
          <w:color w:val="auto"/>
          <w:szCs w:val="21"/>
          <w:highlight w:val="none"/>
          <w:lang w:eastAsia="zh-CN"/>
        </w:rPr>
        <w:t xml:space="preserve">采购包</w:t>
      </w:r>
      <w:r>
        <w:rPr>
          <w:rFonts w:hint="eastAsia" w:ascii="仿宋" w:hAnsi="仿宋" w:eastAsia="仿宋"/>
          <w:color w:val="auto"/>
          <w:szCs w:val="21"/>
          <w:highlight w:val="none"/>
        </w:rPr>
        <w:t xml:space="preserve">，请各投标人按投报的</w:t>
      </w:r>
      <w:r>
        <w:rPr>
          <w:rFonts w:hint="eastAsia" w:ascii="仿宋" w:hAnsi="仿宋" w:eastAsia="仿宋"/>
          <w:color w:val="auto"/>
          <w:szCs w:val="21"/>
          <w:highlight w:val="none"/>
          <w:lang w:eastAsia="zh-CN"/>
        </w:rPr>
        <w:t xml:space="preserve">采购包</w:t>
      </w:r>
      <w:r>
        <w:rPr>
          <w:rFonts w:hint="eastAsia" w:ascii="仿宋" w:hAnsi="仿宋" w:eastAsia="仿宋"/>
          <w:color w:val="auto"/>
          <w:szCs w:val="21"/>
          <w:highlight w:val="none"/>
        </w:rPr>
        <w:t xml:space="preserve">分别列表。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（三）中小企业声明函</w:t>
      </w:r>
      <w:r/>
    </w:p>
    <w:p>
      <w:pPr>
        <w:jc w:val="center"/>
        <w:spacing w:line="500" w:lineRule="exact"/>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中小企业声明函（货物）</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val="en-US" w:eastAsia="zh-CN"/>
        </w:rPr>
        <w:t xml:space="preserve">南通市如皋生态环境局</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val="en-US" w:eastAsia="zh-CN"/>
        </w:rPr>
        <w:t xml:space="preserve">南通市如皋生态环境监测站规范化能力提升项目采购包*</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 采购活动，提供的货物全部由符合政策要求的中小企业制造。相关企业（含联合体中的中小企业、签订</w:t>
      </w:r>
      <w:r>
        <w:rPr>
          <w:rFonts w:hint="eastAsia" w:ascii="仿宋" w:hAnsi="仿宋" w:eastAsia="仿宋"/>
          <w:color w:val="auto"/>
          <w:sz w:val="32"/>
          <w:szCs w:val="32"/>
          <w:highlight w:val="none"/>
          <w:lang w:eastAsia="zh-CN"/>
        </w:rPr>
        <w:t xml:space="preserve">采购包</w:t>
      </w:r>
      <w:r>
        <w:rPr>
          <w:rFonts w:hint="eastAsia" w:ascii="仿宋" w:hAnsi="仿宋" w:eastAsia="仿宋"/>
          <w:color w:val="auto"/>
          <w:sz w:val="32"/>
          <w:szCs w:val="32"/>
          <w:highlight w:val="none"/>
        </w:rPr>
        <w:t xml:space="preserve">意向协议的中小企业）的具体情况如下：</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 </w:t>
      </w:r>
      <w:r>
        <w:rPr>
          <w:rFonts w:hint="eastAsia" w:ascii="仿宋" w:hAnsi="仿宋" w:eastAsia="仿宋"/>
          <w:i/>
          <w:color w:val="auto"/>
          <w:sz w:val="32"/>
          <w:szCs w:val="32"/>
          <w:highlight w:val="none"/>
          <w:u w:val="single"/>
        </w:rPr>
        <w:t xml:space="preserve">（标的名称）</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（采购文件中明确的所属行业）行业</w:t>
      </w:r>
      <w:r>
        <w:rPr>
          <w:rFonts w:hint="eastAsia" w:ascii="仿宋" w:hAnsi="仿宋" w:eastAsia="仿宋"/>
          <w:color w:val="auto"/>
          <w:sz w:val="32"/>
          <w:szCs w:val="32"/>
          <w:highlight w:val="none"/>
        </w:rPr>
        <w:t xml:space="preserve"> ；制造商为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 </w:t>
      </w:r>
      <w:r>
        <w:rPr>
          <w:rFonts w:hint="eastAsia" w:ascii="仿宋" w:hAnsi="仿宋" w:eastAsia="仿宋"/>
          <w:i/>
          <w:color w:val="auto"/>
          <w:sz w:val="32"/>
          <w:szCs w:val="32"/>
          <w:highlight w:val="none"/>
          <w:u w:val="single"/>
        </w:rPr>
        <w:t xml:space="preserve">（标的名称）</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（采购文件中明确的所属行业）行业</w:t>
      </w:r>
      <w:r>
        <w:rPr>
          <w:rFonts w:hint="eastAsia" w:ascii="仿宋" w:hAnsi="仿宋" w:eastAsia="仿宋"/>
          <w:color w:val="auto"/>
          <w:sz w:val="32"/>
          <w:szCs w:val="32"/>
          <w:highlight w:val="none"/>
        </w:rPr>
        <w:t xml:space="preserve"> ；制造商为</w:t>
      </w:r>
      <w:r>
        <w:rPr>
          <w:rFonts w:hint="eastAsia" w:ascii="仿宋" w:hAnsi="仿宋" w:eastAsia="仿宋"/>
          <w:i/>
          <w:color w:val="auto"/>
          <w:sz w:val="32"/>
          <w:szCs w:val="32"/>
          <w:highlight w:val="none"/>
          <w:u w:val="single"/>
        </w:rPr>
        <w:t xml:space="preserve"> （企业名称） </w:t>
      </w:r>
      <w:r>
        <w:rPr>
          <w:rFonts w:hint="eastAsia" w:ascii="仿宋" w:hAnsi="仿宋" w:eastAsia="仿宋"/>
          <w:color w:val="auto"/>
          <w:sz w:val="32"/>
          <w:szCs w:val="32"/>
          <w:highlight w:val="none"/>
        </w:rPr>
        <w:t xml:space="preserve">，从业人员人，营业收入为万元，资产总额为万元，属于</w:t>
      </w:r>
      <w:r>
        <w:rPr>
          <w:rFonts w:hint="eastAsia" w:ascii="仿宋" w:hAnsi="仿宋" w:eastAsia="仿宋"/>
          <w:i/>
          <w:color w:val="auto"/>
          <w:sz w:val="32"/>
          <w:szCs w:val="32"/>
          <w:highlight w:val="none"/>
          <w:u w:val="single"/>
        </w:rPr>
        <w:t xml:space="preserve"> （中型企业、小型企业、微型企业）</w:t>
      </w:r>
      <w:r>
        <w:rPr>
          <w:rFonts w:hint="eastAsia" w:ascii="仿宋" w:hAnsi="仿宋" w:eastAsia="仿宋"/>
          <w:color w:val="auto"/>
          <w:sz w:val="32"/>
          <w:szCs w:val="32"/>
          <w:highlight w:val="none"/>
        </w:rPr>
        <w:t xml:space="preserve"> ；</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注1： 从业人员、营业收入、资产总额填报上一年度数据，无上一年度数据的新成立企业可不填报。</w:t>
      </w:r>
      <w:r/>
    </w:p>
    <w:p>
      <w:pPr>
        <w:jc w:val="left"/>
        <w:widowControl/>
        <w:rPr>
          <w:rFonts w:ascii="Calibri" w:hAnsi="Calibri"/>
          <w:color w:val="auto"/>
          <w:szCs w:val="22"/>
          <w:highlight w:val="none"/>
        </w:rPr>
      </w:pPr>
      <w:r>
        <w:rPr>
          <w:rFonts w:ascii="Calibri" w:hAnsi="Calibri"/>
          <w:color w:val="auto"/>
          <w:szCs w:val="22"/>
          <w:highlight w:val="none"/>
        </w:rPr>
        <w:br w:type="page" w:clear="all"/>
      </w:r>
      <w:r/>
    </w:p>
    <w:p>
      <w:pPr>
        <w:spacing w:line="500" w:lineRule="exac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（四）</w:t>
      </w:r>
      <w:r>
        <w:rPr>
          <w:rFonts w:hint="eastAsia" w:ascii="仿宋" w:hAnsi="仿宋" w:eastAsia="仿宋" w:cs="Arial"/>
          <w:color w:val="auto"/>
          <w:sz w:val="28"/>
          <w:szCs w:val="28"/>
          <w:highlight w:val="none"/>
        </w:rPr>
        <w:t xml:space="preserve">残疾人福利性单位声明函</w:t>
      </w:r>
      <w:r>
        <w:rPr>
          <w:rFonts w:hint="eastAsia" w:ascii="仿宋" w:hAnsi="仿宋" w:eastAsia="仿宋"/>
          <w:color w:val="auto"/>
          <w:sz w:val="28"/>
          <w:szCs w:val="28"/>
          <w:highlight w:val="none"/>
        </w:rPr>
        <w:t xml:space="preserve">（根据响应供应商具体情况而定，如不属于可删除）</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注意：中标供应商提供的《中小企业声明函</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残疾人福利性单位声明函》将随中标结果同时公告，接受社会监督。</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pStyle w:val="887"/>
        <w:widowControl/>
        <w:rPr>
          <w:rFonts w:hint="eastAsia" w:ascii="宋体" w:hAnsi="宋体" w:eastAsia="宋体" w:cs="Times New Roman"/>
          <w:b/>
          <w:bCs w:val="0"/>
          <w:color w:val="auto"/>
          <w:sz w:val="24"/>
          <w:szCs w:val="24"/>
          <w:highlight w:val="none"/>
        </w:rPr>
      </w:pPr>
      <w:r/>
      <w:bookmarkStart w:id="104" w:name="_Toc26449"/>
      <w:r>
        <w:rPr>
          <w:rFonts w:hint="eastAsia" w:ascii="宋体" w:hAnsi="宋体" w:eastAsia="宋体" w:cs="宋体"/>
          <w:b/>
          <w:bCs w:val="0"/>
          <w:color w:val="auto"/>
          <w:sz w:val="24"/>
          <w:szCs w:val="24"/>
          <w:highlight w:val="none"/>
        </w:rPr>
        <w:t xml:space="preserve">附件1：</w:t>
      </w:r>
      <w:r>
        <w:rPr>
          <w:rFonts w:hint="eastAsia" w:ascii="宋体" w:hAnsi="宋体" w:eastAsia="宋体" w:cs="宋体"/>
          <w:b/>
          <w:bCs w:val="0"/>
          <w:color w:val="auto"/>
          <w:sz w:val="24"/>
          <w:szCs w:val="24"/>
          <w:highlight w:val="none"/>
          <w:lang w:eastAsia="zh-CN"/>
        </w:rPr>
        <w:t xml:space="preserve">采购包</w:t>
      </w:r>
      <w:r>
        <w:rPr>
          <w:rFonts w:hint="eastAsia" w:ascii="宋体" w:hAnsi="宋体" w:eastAsia="宋体" w:cs="宋体"/>
          <w:b/>
          <w:bCs w:val="0"/>
          <w:color w:val="auto"/>
          <w:sz w:val="24"/>
          <w:szCs w:val="24"/>
          <w:highlight w:val="none"/>
        </w:rPr>
        <w:t xml:space="preserve">1技术参数要求</w:t>
      </w:r>
      <w:bookmarkEnd w:id="104"/>
      <w:r/>
      <w:r/>
    </w:p>
    <w:p>
      <w:pPr>
        <w:numPr>
          <w:ilvl w:val="0"/>
          <w:numId w:val="6"/>
        </w:numPr>
        <w:widowControl/>
        <w:rPr>
          <w:rFonts w:hint="eastAsia" w:ascii="宋体" w:hAnsi="宋体" w:eastAsia="宋体" w:cs="宋体"/>
          <w:b/>
          <w:bCs w:val="0"/>
          <w:color w:val="auto"/>
          <w:sz w:val="24"/>
          <w:szCs w:val="24"/>
          <w:highlight w:val="none"/>
        </w:rPr>
        <w:outlineLvl w:val="9"/>
      </w:pPr>
      <w:r/>
      <w:bookmarkStart w:id="105" w:name="_Toc18222"/>
      <w:r>
        <w:rPr>
          <w:rFonts w:hint="eastAsia" w:ascii="宋体" w:hAnsi="宋体" w:eastAsia="宋体" w:cs="宋体"/>
          <w:b/>
          <w:bCs w:val="0"/>
          <w:color w:val="auto"/>
          <w:sz w:val="24"/>
          <w:szCs w:val="24"/>
          <w:highlight w:val="none"/>
        </w:rPr>
        <w:t xml:space="preserve">万分之一分析天平</w:t>
      </w:r>
      <w:bookmarkEnd w:id="105"/>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single" w:color="auto"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量程(g)</w:t>
            </w:r>
            <w:r/>
          </w:p>
        </w:tc>
        <w:tc>
          <w:tcPr>
            <w:shd w:val="clear" w:color="auto" w:fill="auto"/>
            <w:tcBorders>
              <w:top w:val="single" w:color="auto" w:sz="4" w:space="0"/>
              <w:left w:val="single" w:color="auto"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18"/>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可读性(mg)</w:t>
            </w:r>
            <w:r/>
          </w:p>
        </w:tc>
        <w:tc>
          <w:tcPr>
            <w:shd w:val="clear" w:color="auto" w:fill="auto"/>
            <w:tcBorders>
              <w:top w:val="single" w:color="auto" w:sz="4" w:space="0"/>
              <w:left w:val="single" w:color="auto"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可重复性（5%负载）(mg）</w:t>
            </w:r>
            <w:r/>
          </w:p>
        </w:tc>
        <w:tc>
          <w:tcPr>
            <w:shd w:val="clear" w:color="auto" w:fill="auto"/>
            <w:tcBorders>
              <w:top w:val="single" w:color="auto" w:sz="4" w:space="0"/>
              <w:left w:val="single" w:color="auto"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线性偏差（典型值）（mg）</w:t>
            </w:r>
            <w:r/>
          </w:p>
        </w:tc>
        <w:tc>
          <w:tcPr>
            <w:shd w:val="clear" w:color="auto" w:fill="auto"/>
            <w:tcBorders>
              <w:top w:val="single" w:color="auto" w:sz="4" w:space="0"/>
              <w:left w:val="single" w:color="auto"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典型值</w:t>
            </w:r>
            <w:r/>
          </w:p>
        </w:tc>
        <w:tc>
          <w:tcPr>
            <w:shd w:val="clear" w:color="auto" w:fill="auto"/>
            <w:tcBorders>
              <w:top w:val="single" w:color="auto" w:sz="4" w:space="0"/>
              <w:left w:val="single" w:color="auto"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稳定时间，典型值：≤3s</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326"/>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尺寸</w:t>
            </w:r>
            <w:r/>
          </w:p>
        </w:tc>
        <w:tc>
          <w:tcPr>
            <w:shd w:val="clear" w:color="auto" w:fill="auto"/>
            <w:tcBorders>
              <w:top w:val="single" w:color="auto" w:sz="4" w:space="0"/>
              <w:left w:val="single" w:color="auto"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秤盘尺寸（mm）：≥90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single" w:color="auto"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玻璃罩1个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秤盘1个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电源1个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防尘罩1个</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w:t>
      </w:r>
      <w:r/>
    </w:p>
    <w:p>
      <w:pPr>
        <w:widowControl/>
        <w:rPr>
          <w:rFonts w:hint="eastAsia" w:ascii="宋体" w:hAnsi="宋体" w:eastAsia="宋体" w:cs="Times New Roman"/>
          <w:b/>
          <w:bCs w:val="0"/>
          <w:color w:val="auto"/>
          <w:sz w:val="24"/>
          <w:szCs w:val="24"/>
          <w:highlight w:val="none"/>
        </w:rPr>
        <w:outlineLvl w:val="9"/>
      </w:pPr>
      <w:r/>
      <w:bookmarkStart w:id="106" w:name="_Toc4482"/>
      <w:r>
        <w:rPr>
          <w:rFonts w:hint="eastAsia" w:ascii="宋体" w:hAnsi="宋体" w:eastAsia="宋体" w:cs="宋体"/>
          <w:b/>
          <w:bCs w:val="0"/>
          <w:color w:val="auto"/>
          <w:sz w:val="24"/>
          <w:szCs w:val="24"/>
          <w:highlight w:val="none"/>
        </w:rPr>
        <w:t xml:space="preserve">（二）全自动石墨炉消解仪</w:t>
      </w:r>
      <w:bookmarkEnd w:id="106"/>
      <w:r/>
      <w:r/>
    </w:p>
    <w:tbl>
      <w:tblPr>
        <w:tblStyle w:val="910"/>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4"/>
        <w:gridCol w:w="2047"/>
        <w:gridCol w:w="5505"/>
        <w:gridCol w:w="1156"/>
      </w:tblGrid>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left"/>
              <w:keepLines w:val="0"/>
              <w:keepNext w:val="0"/>
              <w:spacing w:before="0" w:beforeAutospacing="0" w:after="0" w:afterAutospacing="0" w:line="28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left"/>
              <w:keepLines w:val="0"/>
              <w:keepNext w:val="0"/>
              <w:spacing w:before="0" w:beforeAutospacing="0" w:after="0" w:afterAutospacing="0" w:line="28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ind w:left="0" w:right="0"/>
              <w:jc w:val="left"/>
              <w:keepLines w:val="0"/>
              <w:keepNext w:val="0"/>
              <w:spacing w:before="0" w:beforeAutospacing="0" w:after="0" w:afterAutospacing="0" w:line="28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left"/>
              <w:keepLines w:val="0"/>
              <w:keepNext w:val="0"/>
              <w:spacing w:before="0" w:beforeAutospacing="0" w:after="0" w:afterAutospacing="0" w:line="28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用途</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用于各种样品的全自动湿法消解（全自动添加试剂，自动混匀，自动升降，自动程序升温消解，自动赶酸，自动定容等）。</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2.1加热模块</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控温范围</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室温～230℃；</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预加热功能</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具有提前预加热功能；</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控温精度</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样品位数</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不小于30位×50mL；消解孔深度在4cm到6cm之间，在保证加热效果的同时有效实现试剂冷凝回流，既减少试剂消耗又降低试剂背景值；</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升温速率</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消解过程可实现20级以上程序升温；升温速率可设，利于消解控制；</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2.2全自动试剂添加系统</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试剂通道</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≥6，可支持自动切换不少于6种消解试剂；</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试剂添加速度</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≤2mL/s，加液速度0～5mL/s可调；加液精度：优于1%；</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机械臂</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ind w:left="0" w:right="0" w:firstLine="24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XY轴全方位移动机械臂，机械臂传动丝杆，定位精准，全封闭式机械臂、传动部位与酸气酸液零接触，且无皮带耗材设计；</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ind w:left="0" w:right="0"/>
              <w:jc w:val="left"/>
              <w:keepLines w:val="0"/>
              <w:keepNext w:val="0"/>
              <w:spacing w:before="0" w:beforeAutospacing="0" w:after="0" w:afterAutospacing="0" w:line="28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2.3全自动升降振荡系统</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全自动振荡摇匀功能</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contextualSpacing w:val="0"/>
              <w:ind w:left="27"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全自动振荡摇匀功能，通过马达振荡系统和消解管架实现消解试剂和样品的混匀，整个混匀过程中样品与外部无接触，可同时对不少于30个样品进行机械振荡混匀操作；</w:t>
            </w:r>
            <w:r/>
          </w:p>
          <w:p>
            <w:pPr>
              <w:pStyle w:val="908"/>
              <w:contextualSpacing w:val="0"/>
              <w:ind w:left="27"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振荡摇匀功率连续可调，振荡时间可设；多种摇匀模式可选；</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numPr>
                <w:ilvl w:val="1"/>
                <w:numId w:val="7"/>
              </w:numPr>
              <w:contextualSpacing w:val="0"/>
              <w:ind w:left="387" w:right="0" w:hanging="360"/>
              <w:jc w:val="left"/>
              <w:keepLines w:val="0"/>
              <w:keepNext w:val="0"/>
              <w:spacing w:before="0" w:beforeAutospacing="0" w:after="0" w:afterAutospacing="0" w:line="28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自动样品定容系统</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定容精度</w:t>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样品消解赶酸后，在室温下定容，通过微距低功率超声传感器测量消解管中样品体积，由高精度蠕动泵定容样品至指定体积（10～50mL）；定容精度：优于1％；</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5" w:type="dxa"/>
            <w:vAlign w:val="top"/>
            <w:textDirection w:val="lrTb"/>
            <w:noWrap w:val="false"/>
          </w:tcPr>
          <w:p>
            <w:pPr>
              <w:ind w:left="27" w:right="0"/>
              <w:jc w:val="both"/>
              <w:keepLines w:val="0"/>
              <w:keepNext w:val="0"/>
              <w:spacing w:before="0" w:beforeAutospacing="0" w:after="0" w:afterAutospacing="0" w:line="28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2.5 自动酸气排放系统</w:t>
            </w:r>
            <w:r/>
          </w:p>
        </w:tc>
        <w:tc>
          <w:tcPr>
            <w:shd w:val="clear" w:color="auto" w:fill="auto"/>
            <w:tcBorders>
              <w:top w:val="single" w:color="auto" w:sz="4" w:space="0"/>
              <w:left w:val="none" w:color="000000"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酸气排放系统</w:t>
            </w:r>
            <w:r/>
          </w:p>
        </w:tc>
        <w:tc>
          <w:tcPr>
            <w:shd w:val="clear" w:color="auto" w:fill="auto"/>
            <w:tcBorders>
              <w:top w:val="single" w:color="auto" w:sz="4" w:space="0"/>
              <w:left w:val="single" w:color="auto"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仪器自带全自动酸气排放系统，无需置于通风橱内使用；</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通风系统自动调节</w:t>
            </w:r>
            <w:r/>
          </w:p>
        </w:tc>
        <w:tc>
          <w:tcPr>
            <w:shd w:val="clear" w:color="auto" w:fill="auto"/>
            <w:tcBorders>
              <w:top w:val="single" w:color="auto" w:sz="4" w:space="0"/>
              <w:left w:val="single" w:color="auto" w:sz="4" w:space="0"/>
              <w:bottom w:val="single" w:color="auto" w:sz="4" w:space="0"/>
              <w:right w:val="single" w:color="auto" w:sz="4" w:space="0"/>
            </w:tcBorders>
            <w:tcW w:w="5505" w:type="dxa"/>
            <w:vAlign w:val="top"/>
            <w:textDirection w:val="lrTb"/>
            <w:noWrap w:val="false"/>
          </w:tcPr>
          <w:p>
            <w:pPr>
              <w:pStyle w:val="908"/>
              <w:ind w:left="0" w:right="0" w:firstLine="24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通风系统风量可根据实验步骤和样品量的不同设定自动调节风量大小；</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冷凝液自动导出</w:t>
            </w:r>
            <w:r/>
          </w:p>
        </w:tc>
        <w:tc>
          <w:tcPr>
            <w:shd w:val="clear" w:color="auto" w:fill="auto"/>
            <w:tcBorders>
              <w:top w:val="single" w:color="auto" w:sz="4" w:space="0"/>
              <w:left w:val="single" w:color="auto"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通风系统带冷凝液自动导出功能；</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通风系统拆卸</w:t>
            </w:r>
            <w:r/>
          </w:p>
        </w:tc>
        <w:tc>
          <w:tcPr>
            <w:shd w:val="clear" w:color="auto" w:fill="auto"/>
            <w:tcBorders>
              <w:top w:val="single" w:color="auto" w:sz="4" w:space="0"/>
              <w:left w:val="single" w:color="auto" w:sz="4" w:space="0"/>
              <w:bottom w:val="single" w:color="auto" w:sz="4" w:space="0"/>
              <w:right w:val="single" w:color="auto" w:sz="4" w:space="0"/>
            </w:tcBorders>
            <w:tcW w:w="5505" w:type="dxa"/>
            <w:vAlign w:val="top"/>
            <w:textDirection w:val="lrTb"/>
            <w:noWrap w:val="false"/>
          </w:tcPr>
          <w:p>
            <w:pPr>
              <w:pStyle w:val="908"/>
              <w:contextualSpacing w:val="0"/>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通风系统可拆卸，拆卸后仪器可放入通风橱内使用；</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配置要求</w:t>
            </w:r>
            <w:r/>
          </w:p>
        </w:tc>
        <w:tc>
          <w:tcPr>
            <w:shd w:val="clear" w:color="auto" w:fill="auto"/>
            <w:tcBorders>
              <w:top w:val="single" w:color="auto" w:sz="4" w:space="0"/>
              <w:left w:val="single" w:color="auto" w:sz="4" w:space="0"/>
              <w:bottom w:val="single" w:color="auto" w:sz="4" w:space="0"/>
              <w:right w:val="single" w:color="auto" w:sz="4" w:space="0"/>
            </w:tcBorders>
            <w:tcW w:w="5505"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（1）全自动石墨消解主机1台；</w:t>
            </w:r>
            <w:r/>
          </w:p>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（2）自动试剂添加系统1套；</w:t>
            </w:r>
            <w:r/>
          </w:p>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（3）防腐石墨加热系统1套；</w:t>
            </w:r>
            <w:r/>
          </w:p>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（4）震荡摇匀系统1套；</w:t>
            </w:r>
            <w:r/>
          </w:p>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（5）自动酸气排放系统1套；</w:t>
            </w:r>
            <w:r/>
          </w:p>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（6）工作站 1套</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widowControl/>
        <w:rPr>
          <w:rFonts w:hint="eastAsia" w:ascii="宋体" w:hAnsi="宋体" w:eastAsia="宋体" w:cs="Times New Roman"/>
          <w:b/>
          <w:bCs w:val="0"/>
          <w:color w:val="auto"/>
          <w:sz w:val="24"/>
          <w:szCs w:val="24"/>
          <w:highlight w:val="none"/>
        </w:rPr>
        <w:outlineLvl w:val="9"/>
      </w:pPr>
      <w:r/>
      <w:bookmarkStart w:id="107" w:name="_Toc1101"/>
      <w:r>
        <w:rPr>
          <w:rFonts w:hint="eastAsia" w:ascii="宋体" w:hAnsi="宋体" w:eastAsia="宋体" w:cs="宋体"/>
          <w:b/>
          <w:bCs w:val="0"/>
          <w:color w:val="auto"/>
          <w:sz w:val="24"/>
          <w:szCs w:val="24"/>
          <w:highlight w:val="none"/>
        </w:rPr>
        <w:t xml:space="preserve">（三）COD自动分析仪（30位以上）</w:t>
      </w:r>
      <w:bookmarkEnd w:id="107"/>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设备功能要求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满足HJ828化学需氧量的重铬酸盐法，适用于各类工况CODcr批量样品的全自动运行分析。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2、技术要求：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一体化结构</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要求整机一体化结构，不少于32位通道，热源耐高温氧化的碳纤维材质并配套微晶面防护，避免浓硫酸试剂或水源误入产生的安全隐患。</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热源通道</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消解通道具备两套独立运行的热源通道，满足运行过程中循环上样分析，样品标定与样品消解滴定同时进行。</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试剂加液泵</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试剂加液泵要求配套不少于10套独立试剂定量泵和12套独立控制阀，不同试剂均采用独立的试剂通道添加，减少不同试剂溶液间的交叉污染和试剂更换清洗产生多余废液。</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冷凝系统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冷凝系统要求仪器自动控制循环水的开启和关闭，自由设定温度恒温冷凝模式，压缩机制冷，具有超压、超温、缺水报警保护。</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样品杯内滴定分析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要求样品杯内消解、样品杯内滴定分析，减少抓手转移样品杯或抽液转移样品产生的安全隐患和样品试剂间的交叉损失污染。</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试剂手臂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试剂加液不少于3套独立运行的试剂手臂，并配套有动力的排废收集通道。</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风源降温</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高效降温消解结束，热源自动下移与消解样品杯脱离，样品杯热源四周不少于8套风源降温，减少余温影响降温，提高样品杯降温效率</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自动报警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安全性能要求能自动判别待测样品位上是否放置样品杯，如有不匹配仪器能自动报警。</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样品盘独立拆卸</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样品盘可独立拆卸，方便维护和上样分析，具有运行视频监控，方便溯源分析过程。</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双重密封</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为了保证样品消解过程的密闭性，冷凝管和样品杯密封方式标准磨砂和弹性四氟双重密封，非单一磨砂密封方式。</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自由设定定量加液</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分析方式及效率要求高、低浓度样品同时进行，满足氯化物滴定分析，且硫酸汞溶液每个样品均可0-2mL自由设定定量加液，30个样品平均&lt;320min分析效率。</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自动润洗清洗</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试剂自动润洗清洗，各试剂通道均可独立选择润洗清洗，清洗次数任意选择。</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自动定量加液</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硫酸-硫酸银自动定量加液，要求配套两套独立的加液系统，满足两个样品同时进行加液，加液完成后自动排空试剂管路。</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2.14数据准确度要求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高浓度样品</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标定6次重复性RSD≤1%，最大偏差≤0.2mL（标定体积25mL±2mL时）； 100mg/L左右样品测定6次结果重复性RSD≤3%，测定结果均符合标准物质证书要求。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低浓度样品</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等线 Light" w:hAnsi="等线 Light" w:eastAsia="等线 Light" w:cs="等线 Light"/>
                <w:color w:val="auto"/>
                <w:sz w:val="21"/>
                <w:szCs w:val="21"/>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标定6次重复性RSD≤1.5%，最大偏差≤0.3mL（标定体积25mL±2mL时）； 20mg/L左右样品测定6次结果重复性RSD≤3%，测定结果均符合标准物质证书要求。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排废清洗系统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要求配套两套独立的排废清洗系统，消解后样品杯自动进行废液排放，并配套废液桶独立保存，自动进行样品杯清洗，清洗废液可直接排放。</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配置要求（单台）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（1）分析仪主机1套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（2）独立运行热源2套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（3）试剂泵10套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（4）试剂控制阀12套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（5）试剂溶液机器人手臂3套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（6）恒温循环冷凝水机1套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（7）排废清洗系统2套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（8）数据分析工作站1套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（9）试剂瓶10个</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widowControl/>
        <w:rPr>
          <w:rFonts w:hint="eastAsia" w:ascii="宋体" w:hAnsi="宋体" w:eastAsia="宋体" w:cs="Times New Roman"/>
          <w:b/>
          <w:bCs w:val="0"/>
          <w:color w:val="auto"/>
          <w:sz w:val="24"/>
          <w:szCs w:val="24"/>
          <w:highlight w:val="none"/>
        </w:rPr>
        <w:outlineLvl w:val="9"/>
      </w:pPr>
      <w:r/>
      <w:bookmarkStart w:id="108" w:name="_Toc9475"/>
      <w:r>
        <w:rPr>
          <w:rFonts w:hint="eastAsia" w:ascii="宋体" w:hAnsi="宋体" w:eastAsia="宋体" w:cs="宋体"/>
          <w:b/>
          <w:bCs w:val="0"/>
          <w:color w:val="auto"/>
          <w:sz w:val="24"/>
          <w:szCs w:val="24"/>
          <w:highlight w:val="none"/>
        </w:rPr>
        <w:t xml:space="preserve">（四）总磷、总氮自动检测仪</w:t>
      </w:r>
      <w:bookmarkEnd w:id="108"/>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设备功能：</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pStyle w:val="908"/>
              <w:ind w:left="0" w:right="0" w:firstLine="0"/>
              <w:jc w:val="both"/>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适用于水质总磷、总氮等项目的全自动消解测定分析。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技术总要求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pStyle w:val="908"/>
              <w:ind w:left="0" w:right="0" w:firstLine="0"/>
              <w:jc w:val="both"/>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要求符合国标钼酸铵分光光度法、碱性过硫酸钾消解紫外分光光度法，满足总磷、总氮样品同时进行全过程自动运行分析。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自动进行稀释定容</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满足自动进行稀释定容，自动空白加注，实现待测样品的快速定容稀释。</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高压容器自动控制分析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要求高压容器自动控制分析条件，120℃控温，自动计时，高压容器全自动开关盖，自动进行恒温循环水快速降温。</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光度计检测器</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独立的光度计检测器，4组比色皿架电驱动自动调整对应不同光程，过程自动调零减少光度计温漂影响数据准确度，自动比色分析数据汇总。</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消解瓶独立密封消解</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要求高压容器内各消解瓶独立密封消解，减少整体关盖样品密封差异导致样品逃逸损失影响数据准确度。</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高压容器多重安全防护监控</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要求高压容器多重安全防护监控，具备双组独立的泄压阀保护和缺水状态识别保护。</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样品瓶自动清洗</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要求样品瓶自动清洗，实验结束自动排空样品杯废液，自动进行样品杯清洗，无需手工干预操作。</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41" w:right="0" w:hanging="241"/>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vertAlign w:val="baseline"/>
              </w:rPr>
              <w:outlineLvl w:val="9"/>
              <w:suppressLineNumbers w:val="0"/>
            </w:pPr>
            <w:r>
              <w:rPr>
                <w:rFonts w:hint="eastAsia" w:ascii="宋体" w:hAnsi="宋体" w:eastAsia="宋体" w:cs="宋体"/>
                <w:b/>
                <w:bCs w:val="0"/>
                <w:color w:val="auto"/>
                <w:sz w:val="24"/>
                <w:szCs w:val="24"/>
                <w:highlight w:val="none"/>
                <w:vertAlign w:val="baseline"/>
                <w:lang w:val="en-US" w:eastAsia="zh-CN" w:bidi="ar"/>
              </w:rPr>
              <w:t xml:space="preserve">技术指标要求：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消解模式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高压容器消解，高压锅盖自动开关闭合密封</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高压消解容量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满足不少于50个样品同时消解，配套电子压力显示器</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样品瓶密封</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各样品瓶独立密封，减少整体密封影响分析准确度</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整机体积</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要求整机长度&lt;750mm，满足现有通风橱内安置</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检出限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0.01mg/L（总磷）、0.05mg/L（总氮）</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(0.01-0.6)mg/L（总磷）(0.20-7.0)mg/L（总氮）</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自动稀释</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样品可自动进行比例稀释分析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运行流程</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单独高压消解或单独加液或单独比色分析多模式独立运行</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循环水系统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高压容器自动补水和排空，水源温度（0-25）℃可设定</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安全防护</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水位高低液位实时监控，超压双泄压阀保护，保证实验安全运行</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211" w:right="0" w:hanging="241"/>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vertAlign w:val="baseline"/>
              </w:rPr>
              <w:outlineLvl w:val="9"/>
              <w:suppressLineNumbers w:val="0"/>
            </w:pPr>
            <w:r>
              <w:rPr>
                <w:rFonts w:hint="eastAsia" w:ascii="宋体" w:hAnsi="宋体" w:eastAsia="宋体" w:cs="宋体"/>
                <w:b/>
                <w:bCs w:val="0"/>
                <w:color w:val="auto"/>
                <w:sz w:val="24"/>
                <w:szCs w:val="24"/>
                <w:highlight w:val="none"/>
                <w:vertAlign w:val="baseli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（1）主机及工作站各1套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（2）样品盘1套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（3）试剂瓶8个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（4）自动开关盖高压消解器1套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（5）恒温循环水系统1套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（6）试剂定量注射泵2套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（7）样品管80支</w:t>
            </w:r>
            <w:r/>
          </w:p>
          <w:p>
            <w:pPr>
              <w:pStyle w:val="908"/>
              <w:ind w:left="0" w:right="0" w:firstLine="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bookmarkStart w:id="109" w:name="_Toc19537"/>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bCs/>
                <w:color w:val="auto"/>
                <w:sz w:val="24"/>
                <w:szCs w:val="24"/>
                <w:highlight w:val="none"/>
                <w:lang w:val="en-US" w:eastAsia="zh-CN" w:bidi="ar"/>
              </w:rPr>
              <w:t xml:space="preserve">长1.5米、宽0.75米、高0.85米操作台一套</w:t>
            </w:r>
            <w:bookmarkEnd w:id="109"/>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widowControl w:val="off"/>
        <w:rPr>
          <w:rFonts w:hint="eastAsia" w:ascii="Calibri" w:hAnsi="Calibri" w:eastAsia="宋体" w:cs="Times New Roman"/>
          <w:color w:val="auto"/>
          <w:sz w:val="21"/>
          <w:szCs w:val="21"/>
          <w:highlight w:val="none"/>
        </w:rPr>
        <w:outlineLvl w:val="9"/>
        <w:suppressLineNumbers w:val="0"/>
      </w:pPr>
      <w:r>
        <w:rPr>
          <w:rFonts w:hint="eastAsia" w:ascii="Calibri" w:hAnsi="Calibri" w:eastAsia="宋体" w:cs="Times New Roman"/>
          <w:color w:val="auto"/>
          <w:sz w:val="21"/>
          <w:szCs w:val="21"/>
          <w:highlight w:val="none"/>
          <w:lang w:val="en-US" w:eastAsia="zh-CN" w:bidi="ar"/>
        </w:rPr>
        <w:t xml:space="preserve"> </w:t>
      </w:r>
      <w:r/>
    </w:p>
    <w:p>
      <w:pPr>
        <w:widowControl/>
        <w:rPr>
          <w:rFonts w:hint="eastAsia" w:ascii="宋体" w:hAnsi="宋体" w:eastAsia="宋体" w:cs="Times New Roman"/>
          <w:b/>
          <w:bCs w:val="0"/>
          <w:color w:val="auto"/>
          <w:sz w:val="24"/>
          <w:szCs w:val="24"/>
          <w:highlight w:val="none"/>
        </w:rPr>
        <w:outlineLvl w:val="9"/>
      </w:pPr>
      <w:r/>
      <w:bookmarkStart w:id="110" w:name="_Toc7175"/>
      <w:r>
        <w:rPr>
          <w:rFonts w:hint="eastAsia" w:ascii="宋体" w:hAnsi="宋体" w:eastAsia="宋体" w:cs="宋体"/>
          <w:b/>
          <w:bCs w:val="0"/>
          <w:color w:val="auto"/>
          <w:sz w:val="24"/>
          <w:szCs w:val="24"/>
          <w:highlight w:val="none"/>
        </w:rPr>
        <w:t xml:space="preserve">（五）台式pH计</w:t>
      </w:r>
      <w:bookmarkEnd w:id="110"/>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pH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测量范围：（0.00～14.00）pH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分辨率：≤0.1/0.01pH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基本误差：≤±0.01pH±1个字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温度补偿范围：（0～100）℃（32～212℉）（自动或手动）</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校准点：1～3点</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mV</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测量范围：-1999mV～1999mV</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分辨率：≤1mV</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基本误差：≤±0.1%FS±1个字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100℃（32</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212℉）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分辨率：0.1℃（0.1℉）</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基本误差：±0.5℃（±0.9℉）±1个字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数据储存：</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不少于50组USB 数据输出</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（2）pH电极1支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（3）温度电极1支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cs="宋体"/>
                <w:color w:val="auto"/>
                <w:sz w:val="24"/>
                <w:szCs w:val="24"/>
                <w:highlight w:val="none"/>
                <w:lang w:val="en-US" w:eastAsia="zh-CN" w:bidi="ar"/>
              </w:rPr>
              <w:t xml:space="preserve">3种</w:t>
            </w:r>
            <w:r>
              <w:rPr>
                <w:rFonts w:hint="eastAsia" w:ascii="宋体" w:hAnsi="宋体" w:eastAsia="宋体" w:cs="宋体"/>
                <w:color w:val="auto"/>
                <w:sz w:val="24"/>
                <w:szCs w:val="24"/>
                <w:highlight w:val="none"/>
                <w:lang w:val="en-US" w:eastAsia="zh-CN" w:bidi="ar"/>
              </w:rPr>
              <w:t xml:space="preserve">pH标准缓冲溶液</w:t>
            </w:r>
            <w:r>
              <w:rPr>
                <w:rFonts w:hint="eastAsia" w:ascii="宋体" w:hAnsi="宋体" w:cs="宋体"/>
                <w:color w:val="auto"/>
                <w:sz w:val="24"/>
                <w:szCs w:val="24"/>
                <w:highlight w:val="none"/>
                <w:lang w:val="en-US" w:eastAsia="zh-CN" w:bidi="ar"/>
              </w:rPr>
              <w:t xml:space="preserve">各2</w:t>
            </w:r>
            <w:r>
              <w:rPr>
                <w:rFonts w:hint="eastAsia" w:ascii="宋体" w:hAnsi="宋体" w:eastAsia="宋体" w:cs="宋体"/>
                <w:color w:val="auto"/>
                <w:sz w:val="24"/>
                <w:szCs w:val="24"/>
                <w:highlight w:val="none"/>
                <w:lang w:val="en-US" w:eastAsia="zh-CN" w:bidi="ar"/>
              </w:rPr>
              <w:t xml:space="preserve">瓶</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（5）U盘1个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（6）电极架1个</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pStyle w:val="908"/>
        <w:ind w:left="0" w:right="0"/>
        <w:jc w:val="both"/>
        <w:keepLines w:val="0"/>
        <w:keepNext w:val="0"/>
        <w:spacing w:before="0" w:beforeAutospacing="0" w:after="0" w:afterAutospacing="0" w:line="360" w:lineRule="auto"/>
        <w:widowControl w:val="off"/>
        <w:rPr>
          <w:rFonts w:hint="eastAsia" w:ascii="宋体" w:hAnsi="Times New Roman" w:eastAsia="宋体" w:cs="Times New Roman"/>
          <w:color w:val="auto"/>
          <w:sz w:val="28"/>
          <w:szCs w:val="28"/>
          <w:highlight w:val="none"/>
        </w:rPr>
        <w:outlineLvl w:val="9"/>
        <w:suppressLineNumbers w:val="0"/>
      </w:pPr>
      <w:r>
        <w:rPr>
          <w:rFonts w:hint="eastAsia" w:ascii="宋体" w:hAnsi="Times New Roman" w:eastAsia="宋体" w:cs="Times New Roman"/>
          <w:color w:val="auto"/>
          <w:sz w:val="28"/>
          <w:szCs w:val="28"/>
          <w:highlight w:val="none"/>
          <w:lang w:val="en-US" w:eastAsia="zh-CN" w:bidi="ar"/>
        </w:rPr>
        <w:t xml:space="preserve"> </w:t>
      </w:r>
      <w:r/>
    </w:p>
    <w:p>
      <w:pPr>
        <w:widowControl/>
        <w:rPr>
          <w:rFonts w:hint="eastAsia" w:ascii="宋体" w:hAnsi="宋体" w:eastAsia="宋体" w:cs="Times New Roman"/>
          <w:b/>
          <w:bCs w:val="0"/>
          <w:color w:val="auto"/>
          <w:sz w:val="24"/>
          <w:szCs w:val="24"/>
          <w:highlight w:val="none"/>
        </w:rPr>
        <w:outlineLvl w:val="9"/>
      </w:pPr>
      <w:r/>
      <w:bookmarkStart w:id="111" w:name="_Toc30260"/>
      <w:r>
        <w:rPr>
          <w:rFonts w:hint="eastAsia" w:ascii="宋体" w:hAnsi="宋体" w:eastAsia="宋体" w:cs="宋体"/>
          <w:b/>
          <w:bCs w:val="0"/>
          <w:color w:val="auto"/>
          <w:sz w:val="24"/>
          <w:szCs w:val="24"/>
          <w:highlight w:val="none"/>
        </w:rPr>
        <w:t xml:space="preserve">（六）降尘自动蒸发仪</w:t>
      </w:r>
      <w:bookmarkEnd w:id="111"/>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设备功能</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设备符合国标方法，能够实现加热源功率可调，恒温加热，循环上样，蒸发浓缩定量自动控制，适用于环境降尘项目的自动定量浓缩预处理。</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技术总要求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（1）整机一体化结构，微电脑控制，能够一键启动、多个样品同时进行浓缩，进样独立控制、浓缩定量自动判断。</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（2）要求不少于12个样品通道，满足2L烧杯容器直接上机。</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（3）要求耐腐蚀的碳纤维热源，远红外辐射加热，减少陶瓷高温龟裂，能够自动识别判断坩埚状态，无坩埚自动停止加热，减少进水电路安全故障隐患。</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（4）要求不小于7寸触控屏幕，方便各参数指令触摸操控，全屏呈现便于操作。</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（5）要求多浓缩模式运行，至少具有自动定量浓缩和非定量浓缩种模式，实现样品的自动无人值守进样浓缩。</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（6）仪器具备任意通道暂停功能，水样蒸发过程任意追加后续样品，操作灵活方便。</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加热单元</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不少于12个样品通道，各通道独立控制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热源模式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碳纤维辐射加热，减少陶瓷材质长期加热龟裂隐患</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进样精度校准</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自动校准，免校准运行</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335"/>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蒸发浓缩量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0-100mL任意选择</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断电保护</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断电自动判断，复电可执行原运行参数或重新设定开启</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加样模式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循环上样，无需集中一次上样，运行中途可添加样品</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（2）高精度定量系统12套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（3）碳纤维光感热源系统12套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（4）随机工具1套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widowControl/>
        <w:rPr>
          <w:rFonts w:hint="eastAsia" w:ascii="宋体" w:hAnsi="宋体" w:eastAsia="宋体" w:cs="Times New Roman"/>
          <w:b/>
          <w:bCs w:val="0"/>
          <w:color w:val="auto"/>
          <w:sz w:val="24"/>
          <w:szCs w:val="24"/>
          <w:highlight w:val="none"/>
        </w:rPr>
        <w:outlineLvl w:val="9"/>
      </w:pPr>
      <w:r/>
      <w:bookmarkStart w:id="112" w:name="_Toc32051"/>
      <w:r>
        <w:rPr>
          <w:rFonts w:hint="eastAsia" w:ascii="宋体" w:hAnsi="宋体" w:eastAsia="宋体" w:cs="宋体"/>
          <w:b/>
          <w:bCs w:val="0"/>
          <w:color w:val="auto"/>
          <w:sz w:val="24"/>
          <w:szCs w:val="24"/>
          <w:highlight w:val="none"/>
        </w:rPr>
        <w:t xml:space="preserve">（七）全自动氨氮分析仪</w:t>
      </w:r>
      <w:bookmarkEnd w:id="112"/>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设备功能：</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适用于地表水、生活污水、工业废水、地下水中氨氮项目的全过程自动测定分析。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技术总要求：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（1）要求具备蒸馏样品自动混匀功能，混匀速度可调，确保样品充分反应和馏出液匀速流出。</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（2）要求自动绘制标准曲线，标准母液自动比例稀释，且线性系数&gt;0.999。</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（3）独立的光度计检测器，满足2套密闭比色皿同时安置。</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（4）要求各分析环节过程自动清洗，进样针、蒸馏容器、接收容器和比色皿等全自动清洗。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（5）电脑联机操控，减少主机镶嵌触控屏幕的干扰模式，自由编辑序列和样品类型。</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（6）具备自动识别水样量状态，空杯样品自动判断，确保实验有效运行</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标准选择：</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纳氏试剂分光光度法</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蒸馏模式：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自动进样蒸馏、自动加注蒸馏所需试剂、烧瓶等容器自动清洗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自动进样器：</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不少于40通道，满足350mL容量样品</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试剂加液：</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全过程所有试剂自动加液，高精度定量注射泵加液</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29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防暴沸：</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蒸馏烧瓶内可调转速转子防暴沸</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检出限：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0.025mg/L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（0.10-2.0）mg/L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线性系数：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r&gt;0.999自动配标（不少于8个配标浓度点）</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（1）氨氮主机1套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（2）蒸馏系统1套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（3）定量注射泵4套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（5）自动进样器1套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（6）循环水冷阱1套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（6）长2.0米、宽0.75米、高0.85米操作台1套。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widowControl/>
        <w:rPr>
          <w:rFonts w:hint="eastAsia" w:ascii="宋体" w:hAnsi="宋体" w:eastAsia="宋体" w:cs="Times New Roman"/>
          <w:b/>
          <w:bCs w:val="0"/>
          <w:color w:val="auto"/>
          <w:sz w:val="24"/>
          <w:szCs w:val="24"/>
          <w:highlight w:val="none"/>
        </w:rPr>
        <w:outlineLvl w:val="9"/>
      </w:pPr>
      <w:r/>
      <w:bookmarkStart w:id="113" w:name="_Toc4945"/>
      <w:r>
        <w:rPr>
          <w:rFonts w:hint="eastAsia" w:ascii="宋体" w:hAnsi="宋体" w:eastAsia="宋体" w:cs="宋体"/>
          <w:b/>
          <w:bCs w:val="0"/>
          <w:color w:val="auto"/>
          <w:sz w:val="24"/>
          <w:szCs w:val="24"/>
          <w:highlight w:val="none"/>
        </w:rPr>
        <w:t xml:space="preserve">（八）漩涡混匀器</w:t>
      </w:r>
      <w:bookmarkEnd w:id="113"/>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运行方式：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圆周、连续运转</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转速显示：</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刻度</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转速控制：</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刻度0-6</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最大转速（rpm）：</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≥2500（可调）</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最小转速（rpm）：</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≥500（可调）</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配置要求（单台）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漩涡混匀器1台</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widowControl/>
        <w:rPr>
          <w:rFonts w:hint="eastAsia" w:ascii="宋体" w:hAnsi="宋体" w:eastAsia="宋体" w:cs="Times New Roman"/>
          <w:b/>
          <w:bCs w:val="0"/>
          <w:color w:val="auto"/>
          <w:sz w:val="24"/>
          <w:szCs w:val="24"/>
          <w:highlight w:val="none"/>
        </w:rPr>
        <w:outlineLvl w:val="9"/>
      </w:pPr>
      <w:r/>
      <w:bookmarkStart w:id="114" w:name="_Toc19606"/>
      <w:r>
        <w:rPr>
          <w:rFonts w:hint="eastAsia" w:ascii="宋体" w:hAnsi="宋体" w:eastAsia="宋体" w:cs="宋体"/>
          <w:b/>
          <w:bCs w:val="0"/>
          <w:color w:val="auto"/>
          <w:sz w:val="24"/>
          <w:szCs w:val="24"/>
          <w:highlight w:val="none"/>
        </w:rPr>
        <w:t xml:space="preserve">（九）全自动热脱附仪</w:t>
      </w:r>
      <w:bookmarkEnd w:id="114"/>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工作条件</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电源：220V，50Hz。</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温度：操作环境15～35 ℃。</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湿度：操作状态25～50%，非操作状态10～95%。</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热脱附</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第一级解析温度范围：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50～400℃ ；控制精度：≤1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脱附时间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1～599.9 min ；控制精度≤0.1 min。</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冷阱中间吸附剂填充部分长度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≥60 mm；</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可填充一种至四种吸附剂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适合C3～C44宽范围VOCs的分析；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第二级解析最低富集温度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第二级解析最高解析温度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≥400℃；控制精度≤1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冷阱加热升温速率</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&gt;95℃/s；（提供仪器操作软件截图）</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温控模块</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冷冻富集和高温解析采用两个独立的温控模块，可分别设置为富、集温度和解析温度；</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最高温度保持时间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0～599.9 min ；控制精度≤0.1 min；</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阀的温度范围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50～200 ℃ ；</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传输线</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温度：50～200℃；控制精度≤1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系统连接</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系统可与任何品牌的GC/GCMS系统连接，无需占用GC标准进样口；</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管路系统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使用模块式设计，防止泄漏。在脱附前后，样品管都应处于密封状态。在脱附前，系统需能够在线自动对流路进行密封检测。具有吸附冷阱测试和反向老化功能；</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气路控制</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直接采用气相的气路电子阀（PPC或EPC）对热脱附进行气路控制，能精确控制载气，冷阱进出口分流流量，不受温度、压力变化的影响；</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密封帽</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自动进样器的脱附管所用密封帽，保证了样品的完整性；</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自动进样器</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≥50位，自动进样；</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吸附管</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对进样的每根吸附管，都具有自动测漏功能；</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备份功能</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具有自动样品备份功能；</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20位老化仪</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彩色液晶触摸屏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采用不小于4.3"彩色液晶触摸屏显示，操作直观、简便；</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气体流量计</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采用内置气体流量计，流量调节方便；</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AB双通道设计</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2x10 AB双通道设计，可选A或B通道独立老化，也可同时老化；</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最大升温速率</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≥80℃/min；</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温度控制范围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室温至0～400℃可调；</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温度控制精度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≤0.1℃；</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实时显示温度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实时显示温度运行趋线图， 便于温度监控；</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6阶程序升温控制</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至少6阶程序升温控制，可以满足一些特殊老化要求；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禁止老化程序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气源没打开下禁止老化程序，防止无载气情况下损坏吸附管</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标样制作附件</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（1）进样体积：0.1ul-10ml；</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（2）流速：≤1-1000ml/min，可调；</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（3）分别适用于气体和液体的标样制作；</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（4）具有工业标准吸附管接口；</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（5）配置气路开关阀。</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（1）热脱附仪主机，含不少于50位自动进样器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（2）气路控制装置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（3）热脱附管10盒</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（4）石英冷阱2根</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（5）密封帽 100个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 标样进样附件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（7）操作系统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 20位老化仪 1套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人员培训、技术支持</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pStyle w:val="908"/>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（提供承诺书）</w:t>
            </w:r>
            <w:r>
              <w:rPr>
                <w:rFonts w:hint="eastAsia" w:ascii="宋体" w:hAnsi="宋体" w:eastAsia="宋体" w:cs="宋体"/>
                <w:bCs/>
                <w:color w:val="auto"/>
                <w:sz w:val="24"/>
                <w:szCs w:val="24"/>
                <w:highlight w:val="none"/>
                <w:lang w:val="en-US" w:eastAsia="zh-CN" w:bidi="ar"/>
              </w:rPr>
              <w:t xml:space="preserve">对仪器操作人员由厂商提供培训（不少于2人），培训地点由厂商指定。为采购方提供1次扩项指导服务。</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widowControl/>
        <w:rPr>
          <w:rFonts w:hint="eastAsia" w:ascii="宋体" w:hAnsi="宋体" w:eastAsia="宋体" w:cs="Times New Roman"/>
          <w:b/>
          <w:bCs w:val="0"/>
          <w:color w:val="auto"/>
          <w:sz w:val="24"/>
          <w:szCs w:val="24"/>
          <w:highlight w:val="none"/>
        </w:rPr>
        <w:outlineLvl w:val="9"/>
      </w:pPr>
      <w:r/>
      <w:bookmarkStart w:id="115" w:name="_Toc30485"/>
      <w:r>
        <w:rPr>
          <w:rFonts w:hint="eastAsia" w:ascii="宋体" w:hAnsi="宋体" w:eastAsia="宋体" w:cs="宋体"/>
          <w:b/>
          <w:bCs w:val="0"/>
          <w:color w:val="auto"/>
          <w:sz w:val="24"/>
          <w:szCs w:val="24"/>
          <w:highlight w:val="none"/>
        </w:rPr>
        <w:t xml:space="preserve">（十）全自动阴离子表面活性剂/挥发酚测定仪</w:t>
      </w:r>
      <w:bookmarkEnd w:id="115"/>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设备功能</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实现现有阴离子洗涤剂的升级，同时满足挥发酚项目全自动运行分析。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技术要求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（1）符合阴离子表面活性剂亚甲蓝分光光度法和挥发酚4-氨基安替比林萃取光度法，实现阴离子、挥发酚的全过程无人干预操作运行分析。</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（2）具备全自动蒸馏系统具备多通道循环蒸馏、所需蒸馏试剂自动定量添加、烧瓶容器自动清洗、馏出液自动定量收集并转移等功能。</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（3）单个样品容量&gt;350mL，不少于40位样品通道，要求原水待测样品自动定量取样分析，自动定量100或250mL取样上机分析。</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（4）具备萃取容器密闭运行，减少萃取溶剂挥发损失，萃取强度可调节，减少开放式容器萃取时氯仿溶剂的挥发，影响数据偏差，提高实验过程安全。</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（5）具备高精度定量泵实现溶液的定量转移及定容，不少于3套独立的定量注射泵。</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（6）独立的光度计检测器，满足4套比色皿同时安置，电驱动比色皿池自动调节适合光程，无需手工移动调节，适应1cm或3cm比色皿。</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（7）蒸馏过程具备自动混匀功能，混匀速度可调，确保馏出液匀速流出。</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标准选择</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亚甲蓝分光光度法、4-氨基安替比林萃取光度法</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试剂箱</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配套冷藏试剂箱，确保试剂条件恒定</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自动进样器通道</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不少于40位，200mL定量注射泵定量取样</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蒸馏模式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自动定量进样蒸馏、自动加注试剂、烧瓶等容器自动清洗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62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萃取模式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密闭容器搅拌萃取，定时废气排放，减少开放式萃取溶剂的挥发</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自动配标</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母液自动比例稀释，独立的配标通道位，不占用自动进样器通道</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检出限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0.02mg/L（阴离子洗涤剂）0.0003mg/L（挥发酚）</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溶液泵</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高精度定量注射泵，不少于3套独立运行</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（0.05-2.0）mg/L（阴离子洗涤剂）（0.001-0.04）mg/L（挥发酚）</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重复性</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（1）挥发酚模块1套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（2）试剂定量注射泵5套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（3）自动样器1套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（4）自动蒸馏系统1套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（5）恒温循环水1套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 4联池光度计1套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（7）试剂恒温箱1套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（8）密闭萃取1套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widowControl/>
        <w:rPr>
          <w:rFonts w:hint="eastAsia" w:ascii="宋体" w:hAnsi="宋体" w:eastAsia="宋体" w:cs="Times New Roman"/>
          <w:b/>
          <w:bCs w:val="0"/>
          <w:color w:val="auto"/>
          <w:sz w:val="24"/>
          <w:szCs w:val="24"/>
          <w:highlight w:val="none"/>
        </w:rPr>
        <w:outlineLvl w:val="9"/>
      </w:pPr>
      <w:r/>
      <w:bookmarkStart w:id="116" w:name="_Toc22814"/>
      <w:r>
        <w:rPr>
          <w:rFonts w:hint="eastAsia" w:ascii="宋体" w:hAnsi="宋体" w:eastAsia="宋体" w:cs="宋体"/>
          <w:b/>
          <w:bCs w:val="0"/>
          <w:color w:val="auto"/>
          <w:sz w:val="24"/>
          <w:szCs w:val="24"/>
          <w:highlight w:val="none"/>
        </w:rPr>
        <w:t xml:space="preserve">（十一）隔水式恒温培养箱</w:t>
      </w:r>
      <w:bookmarkEnd w:id="116"/>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rHeight w:val="44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控温范围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RT+5～65℃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32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功率</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≥1230W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温度波动度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：≤±0.5℃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控温精度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容积</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≥160L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微电脑智能控温仪</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含设定、测定温度双数字显示和PID自整定功能；</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内外双重门结构</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1.10内外双重门结构，温度波动小，内门采用全钢化玻璃门；</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超温报警系统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1.11带有超温报警系统，保证设备安全运行不发生意外；</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64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加热方式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1.12加热方式为水套式加热方式，温度均匀且断电后仍能保持较长时间恒温。</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widowControl/>
        <w:rPr>
          <w:rFonts w:hint="eastAsia" w:ascii="宋体" w:hAnsi="宋体" w:eastAsia="宋体" w:cs="Times New Roman"/>
          <w:b/>
          <w:bCs w:val="0"/>
          <w:color w:val="auto"/>
          <w:sz w:val="24"/>
          <w:szCs w:val="24"/>
          <w:highlight w:val="none"/>
        </w:rPr>
        <w:outlineLvl w:val="9"/>
      </w:pPr>
      <w:r/>
      <w:bookmarkStart w:id="117" w:name="_Toc8486"/>
      <w:r>
        <w:rPr>
          <w:rFonts w:hint="eastAsia" w:ascii="宋体" w:hAnsi="宋体" w:eastAsia="宋体" w:cs="宋体"/>
          <w:b/>
          <w:bCs w:val="0"/>
          <w:color w:val="auto"/>
          <w:sz w:val="24"/>
          <w:szCs w:val="24"/>
          <w:highlight w:val="none"/>
        </w:rPr>
        <w:t xml:space="preserve">（十二）电热恒温鼓风干燥箱</w:t>
      </w:r>
      <w:bookmarkEnd w:id="117"/>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控温范围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RT+10～300℃（RT表示室温）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温度波动度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控温精度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带鼓风，消耗功率</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≤1400W</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观察窗</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不锈钢内胆，含观察窗；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箱体材质</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箱体采用优质钢板，工作室采用304不锈钢板；</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微电脑智能控温仪</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微电脑智能控温仪，具有设定、测定温度双数字显示、定时、功率抑制和PID整定功能；</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采用热风循环系统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采用热风循环系统，工作室内温度均匀；</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采用橡胶密封条</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采用橡胶密封条，长期高温运行，使用寿命长，便于更换；</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报警系统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采用超温报警系统，超过限制温度仪表可进行声光报警并切断加热管电源，保证实验安全运行不发生意外。</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主机2台</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widowControl/>
        <w:rPr>
          <w:rFonts w:hint="eastAsia" w:ascii="宋体" w:hAnsi="宋体" w:eastAsia="宋体" w:cs="Times New Roman"/>
          <w:b/>
          <w:bCs w:val="0"/>
          <w:color w:val="auto"/>
          <w:sz w:val="24"/>
          <w:szCs w:val="24"/>
          <w:highlight w:val="none"/>
        </w:rPr>
        <w:outlineLvl w:val="9"/>
      </w:pPr>
      <w:r/>
      <w:bookmarkStart w:id="118" w:name="_Toc1689"/>
      <w:r>
        <w:rPr>
          <w:rFonts w:hint="eastAsia" w:ascii="宋体" w:hAnsi="宋体" w:eastAsia="宋体" w:cs="宋体"/>
          <w:b/>
          <w:bCs w:val="0"/>
          <w:color w:val="auto"/>
          <w:sz w:val="24"/>
          <w:szCs w:val="24"/>
          <w:highlight w:val="none"/>
        </w:rPr>
        <w:t xml:space="preserve">（十三）全自动气袋清洗器</w:t>
      </w:r>
      <w:bookmarkEnd w:id="118"/>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设备用途：</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采用高精度压力控制，流量控制技术对每个气袋进行多次清洗。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可设置混匀时间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全自动气袋清洗器可多次循环充气抽气清洗气袋，可设置清洗次数和清洗气在气袋的混匀时间；</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同时清洗数量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每次可同时清洗1-30个；</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清洗1次所需时间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高效快速、所有气袋清洗1次所需时间在1-2分钟以内；</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气路控制</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双气路控制，进气通道和排气通道分开，避免交叉污染；</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真空度最大</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气袋真空度最大可达-50KPa；</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面板</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液晶面板操作。</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（2）气路控制系统2套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widowControl/>
        <w:rPr>
          <w:rFonts w:hint="eastAsia" w:ascii="宋体" w:hAnsi="宋体" w:eastAsia="宋体" w:cs="Times New Roman"/>
          <w:b/>
          <w:bCs w:val="0"/>
          <w:color w:val="auto"/>
          <w:sz w:val="24"/>
          <w:szCs w:val="24"/>
          <w:highlight w:val="none"/>
        </w:rPr>
        <w:outlineLvl w:val="9"/>
      </w:pPr>
      <w:r/>
      <w:bookmarkStart w:id="119" w:name="_Toc17868"/>
      <w:r>
        <w:rPr>
          <w:rFonts w:hint="eastAsia" w:ascii="宋体" w:hAnsi="宋体" w:eastAsia="宋体" w:cs="宋体"/>
          <w:b/>
          <w:bCs w:val="0"/>
          <w:color w:val="auto"/>
          <w:sz w:val="24"/>
          <w:szCs w:val="24"/>
          <w:highlight w:val="none"/>
        </w:rPr>
        <w:t xml:space="preserve">（十四）离子活度计</w:t>
      </w:r>
      <w:bookmarkEnd w:id="119"/>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mV</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rPr>
                <w:rFonts w:hint="eastAsia" w:ascii="宋体" w:hAnsi="宋体" w:eastAsia="宋体" w:cs="宋体"/>
                <w:b w:val="0"/>
                <w:bCs w:val="0"/>
                <w:color w:val="auto"/>
                <w:sz w:val="24"/>
                <w:szCs w:val="24"/>
                <w:highlight w:val="none"/>
                <w:lang w:val="en-US" w:eastAsia="zh-CN" w:bidi="ar"/>
              </w:rPr>
              <w:t xml:space="preserve">-1999.9～1999.9mV</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最小分辨率：≤0.01mV</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准确度：</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±0.03% FS</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rPr>
                <w:rFonts w:hint="eastAsia" w:ascii="宋体" w:hAnsi="宋体" w:eastAsia="宋体" w:cs="宋体"/>
                <w:b w:val="0"/>
                <w:bCs w:val="0"/>
                <w:color w:val="auto"/>
                <w:sz w:val="24"/>
                <w:szCs w:val="24"/>
                <w:highlight w:val="none"/>
                <w:lang w:val="en-US" w:eastAsia="zh-CN" w:bidi="ar"/>
              </w:rPr>
              <w:t xml:space="preserve">(-2.000～19.999)pH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最小分辨率：≤0.001pH</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准确度：</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±0.01 pH</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pX</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测量范围：（-2.000～20.000)pX</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最小分辨率：≤0.001pX</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电子单元示值误差：≤±0.002pX</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离子浓度</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rPr>
                <w:rFonts w:hint="eastAsia" w:ascii="宋体" w:hAnsi="宋体" w:eastAsia="宋体" w:cs="宋体"/>
                <w:b w:val="0"/>
                <w:bCs w:val="0"/>
                <w:color w:val="auto"/>
                <w:sz w:val="24"/>
                <w:szCs w:val="24"/>
                <w:highlight w:val="none"/>
                <w:lang w:val="en-US" w:eastAsia="zh-CN" w:bidi="ar"/>
              </w:rPr>
              <w:t xml:space="preserve">电计：（0.00～14.00） pX</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最小分辨率：不超过4位有效数字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准确度：</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±0.02 pX (一价离子)，</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±0.05 pX(二价离子)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rPr>
                <w:rFonts w:hint="eastAsia" w:ascii="宋体" w:hAnsi="宋体" w:eastAsia="宋体" w:cs="宋体"/>
                <w:b w:val="0"/>
                <w:bCs w:val="0"/>
                <w:color w:val="auto"/>
                <w:sz w:val="24"/>
                <w:szCs w:val="24"/>
                <w:highlight w:val="none"/>
                <w:lang w:val="en-US" w:eastAsia="zh-CN" w:bidi="ar"/>
              </w:rPr>
              <w:t xml:space="preserve">-10℃～110℃</w:t>
            </w:r>
            <w:r/>
          </w:p>
          <w:p>
            <w:pPr>
              <w:ind w:left="0" w:right="0" w:firstLine="48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w:t>
            </w:r>
            <w:r>
              <w:rPr>
                <w:rFonts w:hint="eastAsia" w:ascii="宋体" w:hAnsi="宋体" w:eastAsia="宋体" w:cs="宋体"/>
                <w:b w:val="0"/>
                <w:bCs w:val="0"/>
                <w:color w:val="auto"/>
                <w:sz w:val="24"/>
                <w:szCs w:val="24"/>
                <w:highlight w:val="none"/>
                <w:lang w:val="en-US" w:eastAsia="zh-CN" w:bidi="ar"/>
              </w:rPr>
              <w:t xml:space="preserve">≤0.1℃</w:t>
            </w:r>
            <w:r/>
          </w:p>
          <w:p>
            <w:pPr>
              <w:ind w:left="0" w:right="0" w:firstLine="48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准确度：5～60℃范围：≤±0.4℃；其余范围：≤±0.8℃</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数据储存</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不少于900组</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（2）氟电极1支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（3）参比电极1支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（4）温度电极1支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（5）搅拌器1个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（6）电极架1个</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widowControl/>
        <w:rPr>
          <w:rFonts w:hint="eastAsia" w:ascii="宋体" w:hAnsi="宋体" w:eastAsia="宋体" w:cs="Times New Roman"/>
          <w:b/>
          <w:bCs w:val="0"/>
          <w:color w:val="auto"/>
          <w:sz w:val="24"/>
          <w:szCs w:val="24"/>
          <w:highlight w:val="none"/>
        </w:rPr>
        <w:outlineLvl w:val="9"/>
      </w:pPr>
      <w:r/>
      <w:bookmarkStart w:id="120" w:name="_Toc258"/>
      <w:r>
        <w:rPr>
          <w:rFonts w:hint="eastAsia" w:ascii="宋体" w:hAnsi="宋体" w:eastAsia="宋体" w:cs="宋体"/>
          <w:b/>
          <w:bCs w:val="0"/>
          <w:color w:val="auto"/>
          <w:sz w:val="24"/>
          <w:szCs w:val="24"/>
          <w:highlight w:val="none"/>
        </w:rPr>
        <w:t xml:space="preserve">（十五）高锰酸盐指数自动分析仪</w:t>
      </w:r>
      <w:bookmarkEnd w:id="120"/>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211" w:right="0" w:hanging="241"/>
              <w:jc w:val="left"/>
              <w:keepLines w:val="0"/>
              <w:keepNext w:val="0"/>
              <w:spacing w:before="0" w:beforeAutospacing="0" w:after="0" w:afterAutospacing="0" w:line="30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设备功能</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适用于饮用水、地表水、水源水等样品高锰酸盐指数项目的自动滴定分析。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211" w:right="0" w:hanging="241"/>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numPr>
                <w:ilvl w:val="0"/>
                <w:numId w:val="8"/>
              </w:num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要求整机一体化，满足国标经典分析方法CODMn、有机质、总硬度、氯化物自动分析，不接受组合或拼凑的设备，人机对话，要求恒温滴定与沸水浴消解在并排一侧的结构模式，实现各类样品无人值守自动测定分析。</w:t>
            </w:r>
            <w:r/>
          </w:p>
          <w:p>
            <w:pPr>
              <w:numPr>
                <w:ilvl w:val="0"/>
                <w:numId w:val="8"/>
              </w:num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（2）满足与消解仪配套，实现消解后样品直接上机分析，无需转移样品。</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（3）具备一体化沸水浴消解通道，满足12个样品同时消解，减少分体布局水浴差异影响消解条件恒定。</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（4）沸水浴具备双重保护监控模式，自动识别水源缺水或无水超温状态，自动断电保护。</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（5）具备沸水浴液位采用光纤传感器控制方式，不接触沸水浴检测液位损耗，减少机械浮子传感器长期高温水浴影响寿命，具备水浴液位高度灵活可调。</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（6）全色域颜色传感器移动识别滴定终点，减少固定颜色传感器孔状侦测对样品终点的误判，多角度广角识别样品滴定终点，颜色传感器非固定安置可移动不同位置判断样品滴定终点。</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（7）滴定液体积：≤0.02mL，体积误差≤0.005mL，加液泵稳定性≤0.2%。</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（8）要求样品具备自动在线稀释定容功能，能够自动稀释定容，满足空白自动定量加注。</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样品通道</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
              </w:rPr>
              <w:t xml:space="preserve">3</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位样品通道，磨砂口样品杯，满足循环上样、替换上样、加急上样分析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39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自动稀释</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自动定容稀释，空白自动定量加液</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滴定通道</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4个开放式通道，不遮挡样品杯状态</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分析方法</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酸性、碱性样品同批次同时运行，无需分批次分开运行</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废气防护</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主机配套正压气源，降低实验过程水汽和酸雾影响</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试剂通道</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7套独立试剂定量泵和7套试剂管路，确保试剂溶液不交叉污染</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高锰酸钾</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两套独立的高锰酸钾定量注射泵，1套10ml试剂添加，1套滴定分析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样品分析时间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&lt;2.8min/个样品的循环分析速率</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滴定液体积</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0.02mL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测量范围IMn</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（0.05-6）mg/L（样品不稀释测定范围）</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RSD</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&lt;2.0%</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（2）自适应力度电驱动机器手臂1套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（3）光感控制沸水浴1套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（4）开放式滴定池3套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（5）移动广角颜色滴定传感器1套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（6）试剂定量泵6套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（7）分析工作站1套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widowControl/>
        <w:rPr>
          <w:rFonts w:hint="eastAsia" w:ascii="宋体" w:hAnsi="宋体" w:eastAsia="宋体" w:cs="Times New Roman"/>
          <w:b/>
          <w:bCs w:val="0"/>
          <w:color w:val="auto"/>
          <w:sz w:val="24"/>
          <w:szCs w:val="24"/>
          <w:highlight w:val="none"/>
        </w:rPr>
        <w:outlineLvl w:val="9"/>
      </w:pPr>
      <w:r/>
      <w:bookmarkStart w:id="121" w:name="_Toc20130"/>
      <w:r>
        <w:rPr>
          <w:rFonts w:hint="eastAsia" w:ascii="宋体" w:hAnsi="宋体" w:eastAsia="宋体" w:cs="宋体"/>
          <w:b/>
          <w:bCs w:val="0"/>
          <w:color w:val="auto"/>
          <w:sz w:val="24"/>
          <w:szCs w:val="24"/>
          <w:highlight w:val="none"/>
        </w:rPr>
        <w:t xml:space="preserve">（十六）全自动氰化物分析仪</w:t>
      </w:r>
      <w:bookmarkEnd w:id="121"/>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设备功能</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适用于地表水、生活污水、工业废水、地下水中氰化物项目的全过程自动测定分析。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211" w:right="0" w:hanging="241"/>
              <w:jc w:val="left"/>
              <w:keepLines w:val="0"/>
              <w:keepNext w:val="0"/>
              <w:spacing w:before="0" w:beforeAutospacing="0" w:after="0" w:afterAutospacing="0" w:line="30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技术总要求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（1）要求符合HJ484氰化物的测定方法，实现整个分析过程自动进样蒸馏、显色、分析、数据处理，试剂添加和各环节容器清洗的全自动化运行，无需人员干预值守。</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（2）具备全自动蒸馏系统具备多通道循环蒸馏、所需蒸馏试剂自动定量添加、烧瓶容器自动清洗、馏出液自动定量收集并转移等功能。</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（3）具备蒸馏样品自动混匀功能，混匀速度可调，确保样品充分反应和馏出液匀速流出。</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（4）具备自动绘制标准曲线，标准母液自动比例稀释，且线性系数&gt;0.999。</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（5）不少于4组恒温水浴显色通道，显色温度及时间灵活可调，显色试剂自动加注。</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（6）独立的比色皿池光度计检测器，满足2套密闭流动相比色皿同时安置。</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（7）具备各分析环节过程自动清洗，进样针、蒸馏容器、恒温显色容器、接收容器和比色皿等全自动清洗。</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（8）具备自动进样器满足350mL样品容量安置的，不少于40位样品通道，要求原水待测样品自动定量取样分析。</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（9）电脑联机操控，减少主机镶嵌触控屏幕的干扰模式，自由编辑序列和样品类型。</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（10）具备自动识别水样量状态，空杯样品自动判断，确保实验有效运行。</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标准选择</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异烟酸-吡唑啉酮分光光度法</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蒸馏模式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自动进样蒸馏，500mL烧瓶容器，碳纤维光感热源，蒸馏样品自动混匀</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显色系统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4通道恒温水浴定时显色，自动定容</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自动进样器</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不少于40通道，满足350mL容量样品</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试剂加液</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全过程所有试剂自动加液，高精度定量注射泵加液</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防暴沸</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蒸馏烧瓶内可调转速转子防暴沸</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检出限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0.004mg/L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（0.016-0.25）mg/L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线性系数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r&gt;0.999自动配标（不少于8个配标浓度点）</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（1）氰化物主机1套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（2）蒸馏系统1套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（3）定量注射泵4套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（4）自动进样器1套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（5）循环水冷阱1套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（6）数据工作站软件1套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（7）光度计1套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（8）废液收集1套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（9）长2.0米、宽0.75米、高0.85米操作台1套。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Calibri" w:hAnsi="Calibri" w:eastAsia="宋体" w:cs="Times New Roman"/>
          <w:b/>
          <w:bCs/>
          <w:color w:val="auto"/>
          <w:sz w:val="24"/>
          <w:szCs w:val="24"/>
          <w:highlight w:val="none"/>
        </w:rPr>
        <w:outlineLvl w:val="9"/>
        <w:suppressLineNumbers w:val="0"/>
      </w:pPr>
      <w:r/>
      <w:bookmarkStart w:id="122" w:name="_Toc27366"/>
      <w:r>
        <w:rPr>
          <w:rFonts w:hint="eastAsia" w:ascii="宋体" w:hAnsi="宋体" w:eastAsia="宋体" w:cs="宋体"/>
          <w:b/>
          <w:bCs/>
          <w:color w:val="auto"/>
          <w:sz w:val="24"/>
          <w:szCs w:val="24"/>
          <w:highlight w:val="none"/>
          <w:lang w:val="en-US" w:eastAsia="zh-CN" w:bidi="ar"/>
        </w:rPr>
        <w:t xml:space="preserve">（十七）气相分子吸收光谱仪</w:t>
      </w:r>
      <w:bookmarkEnd w:id="122"/>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设备用途</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用于测定水质样品中硫化物、氨氮、硝酸盐氮、亚硝酸盐氮、总氮等指标。</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2.1自动进样系统</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进样位数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进样位数不少于5</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位，样品管容积不小于50ml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一体式取样</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配备一体式取样/均质吹扫系统，具备边进样边吹扫的功能，用户可自主设置进样针进入样品管抽取样品前的均质吹扫时间，进样系统与均质系统采用一体化设计，并无缝对接大流量吹扫前处理装置；</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流动洗针池</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配备程序控制流动洗针池，可根据进样针污染情况软件设置洗针纯水流量；</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一体化试剂安置架</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配备一体化试剂安置架，用于测定过程中试剂的存放。</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2.2光学系统</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光电系统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满足HJ/T 195～HJ/T 200-2005六项气相分子吸收光谱法标准对光学系统测定稳定性要求；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检测器</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配备灵敏度高、分析精度高的PMT检测器；</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自动波长调控系统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配备自动波长调控系统，开机后可自动对波长进行校准，保障数据检测的准确性；</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光源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采用连续光源（氘灯）或锐线光源（空心阴极灯）做仪器光源。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光源温度调节系统</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配备光源温度调节系统和光源寿命监测系统，当光源进入低能量状态时能够及时通知用户更换光源。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加热系统</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（1）配备自动在线加热模块，超过设定温度自动停止；</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（2）环境自适应加热系统：开机自动检测环境温度,无须手动开启辅助加热。</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主机系统</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（1）配备半导体除水系统，除湿过程中温度实时显示，分析全过程完全不使用任何干燥剂；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（2）载气系统兼容空气或氮气；</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（3）气液分离器采用螺旋管分离方式，避免分离过程中的死角，能够均匀的将反应液混匀并将产生的待测气体带出反应分离器；</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（4）配备气源监测报警系统：具备压力、流量双重监控功能，软件界面实时显示载气流量值，当载气流量异常自动蜂鸣报警并自动关闭进样及加热系统，同时锁定软件并自动保存已测定数据；</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软件系统</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（1）软件开机测定前可自动对通讯口、波长、泵转速等进行检测；</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（2）软件具备数据图谱显示功能，可对同一样品的平行峰形进行对比，以便于用户对数据进行比较分析。</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bookmarkStart w:id="123" w:name="_Hlk488212216"/>
            <w:r>
              <w:rPr>
                <w:rFonts w:hint="eastAsia" w:ascii="宋体" w:hAnsi="宋体" w:eastAsia="宋体" w:cs="宋体"/>
                <w:color w:val="auto"/>
                <w:sz w:val="24"/>
                <w:szCs w:val="24"/>
                <w:highlight w:val="none"/>
                <w:lang w:val="en-US" w:eastAsia="zh-CN" w:bidi="ar"/>
              </w:rPr>
              <w:t xml:space="preserve">（3）软件配备紧急添加样品功能，可在样品测量过程中随时添加样品</w:t>
            </w:r>
            <w:bookmarkEnd w:id="123"/>
            <w:r>
              <w:rPr>
                <w:rFonts w:hint="eastAsia" w:ascii="宋体" w:hAnsi="宋体" w:eastAsia="宋体" w:cs="宋体"/>
                <w:color w:val="auto"/>
                <w:sz w:val="24"/>
                <w:szCs w:val="24"/>
                <w:highlight w:val="none"/>
                <w:lang w:val="en-US" w:eastAsia="zh-CN" w:bidi="ar"/>
              </w:rPr>
              <w:t xml:space="preserve">并优先检测；</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（4）基线漂移：≤±0.0002Abs（预热2h，连续测试1h）；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（5）噪声：≤0.0002Abs，具备测量全程基线实时显示功能。</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技术指标</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氨氮项目</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（1）精密度要求（连续测定6次）：0.1mg/L，RSD&lt; 5％；0.2mg/L，RSD&lt; 3％；0.5mg/L，RSD&lt; 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（2）线性要求：根据设定自动配置标准曲线浓度，相关性系数r≥0.9995；</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（3）检出限要求：检出限&lt;0.02mg/L；</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（4）氨氮抗干扰能力强：向1mg/L氨氮标准溶液中，加入150mg/L的亚铁离子时，检测结果偏差≤3%</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亚硝酸盐氮</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（1）精密度要求（连续测定6次）：0.1mg/L，RSD&lt; 5％；0.2mg/L，RSD&lt; 3％；0.5mg/L，RSD&lt; 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（2）线性要求：根据设定自动配置标准曲线浓度，相关性系数r≥0.9995；</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（3）检出限要求：检出限&lt;0.003mg/L；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硫化物项目</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（1）精密度要求（连续测定6次）：0.1mg/L，RSD&lt; 5％；0.2mg/L，RSD&lt; 3％；0.5mg/L，RSD&lt; 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（2）线性要求：根据设定自动配置标准曲线浓度，相关性系数r≥0.9995；</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（3）检出限要求：检出限&lt;0.005mg/L；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硝酸盐氮项目</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（1）精密度要求（连续测定6次）：0.2mg/L，RSD&lt; 5％；0.5mg/L，RSD&lt; 3％；1.0mg/L，RSD&lt; 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（2）线性要求：根据设定自动配置标准曲线浓度，相关性系数r≥0.9995；</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（3）检出限要求：检出限&lt;0.006mg/L；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总氮项目</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（1）消解器功率小于100w；</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（2）仪器能够连续分析不少于40个样品，中间无需停止样品检测清洗管路；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（3）单个样品测量含消解时间小于5min；</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（4）精密度要求（连续测定6次）：0.2mg/L，RSD&lt; 5％；0.5mg/L，RSD&lt; 3％；1.0mg/L，RSD&lt; 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（5）线性要求：根据设定自动配置标准曲线浓度，相关性系数r≥0.9995；</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（6）检出限要求：检出限&lt;0.05mg/L；</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（7）管路切换采用免维护电磁阀，减少日常维护难度；</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（2）数据工作站1套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（3）耗材配件（含进样软管，尾气吸收装置、备用吸光管、进样针、样品杯）1套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8"/>
          <w:szCs w:val="28"/>
          <w:highlight w:val="none"/>
        </w:rPr>
        <w:outlineLvl w:val="9"/>
        <w:suppressLineNumbers w:val="0"/>
      </w:pPr>
      <w:r/>
      <w:bookmarkStart w:id="124" w:name="_Toc15838"/>
      <w:r>
        <w:rPr>
          <w:rFonts w:hint="eastAsia" w:ascii="宋体" w:hAnsi="宋体" w:eastAsia="宋体" w:cs="宋体"/>
          <w:b/>
          <w:bCs/>
          <w:color w:val="auto"/>
          <w:sz w:val="28"/>
          <w:szCs w:val="28"/>
          <w:highlight w:val="none"/>
          <w:lang w:val="en-US" w:eastAsia="zh-CN" w:bidi="ar"/>
        </w:rPr>
        <w:t xml:space="preserve">（十八）超纯水机</w:t>
      </w:r>
      <w:bookmarkEnd w:id="124"/>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处理工艺</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双级反渗透+离子交换，无中间水箱，避免带入二次污染</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产水指标</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（1）纯水：电导率&lt;5μs/cm（25℃），符合GB6682-2008分析实验室三级水标准；</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（2）超纯水：电阻率18.2MΩ.cm（25℃），TOC＜5ppb，重金属离子＜0.01ppb细菌&lt;0.01cfu/ml，微粒(＞0.2μm)＜1个/ml；</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（3）超纯水质符合ASTM D1193-2006（2011）/GB11446.1-2013/GB33087-2016一级水标准；</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产水量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双级RO系统稳定产量≥20L/H@15℃，自动恒产量控制；</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控制界面</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+3D旋钮操作，多级菜单界面；</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取水臂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1.5配备带有高度、角度可调支架的取水臂，取水手柄配置LED指示灯；</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定量取水功能，定量精度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数据存储</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具备SD卡数据存储功能（容量≥4GB）；</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78"/>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漏水保护</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具备双重漏水保护器（分别位于水箱底部和主机底部），均可同时感应内部和桌面积水，并在报警触发时采取强制保护措施；</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水质质控</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系统具备RO产水（电导率）和UP产水质控功能（电导率+TOC），水质不合格声光提示，RO不合格产水自动排放；</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超纯水系统具有TOC在线监测功能，范围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0.1-999ppb；</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存储</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系统使用食品级PE材质软质水袋</w:t>
            </w:r>
            <w:r>
              <w:rPr>
                <w:rFonts w:hint="eastAsia" w:ascii="宋体" w:hAnsi="宋体" w:cs="宋体"/>
                <w:color w:val="auto"/>
                <w:sz w:val="24"/>
                <w:szCs w:val="24"/>
                <w:highlight w:val="none"/>
                <w:lang w:val="en-US" w:eastAsia="zh-CN" w:bidi="ar"/>
              </w:rPr>
              <w:t xml:space="preserve">或水箱</w:t>
            </w:r>
            <w:r>
              <w:rPr>
                <w:rFonts w:hint="eastAsia" w:ascii="宋体" w:hAnsi="宋体" w:eastAsia="宋体" w:cs="宋体"/>
                <w:color w:val="auto"/>
                <w:sz w:val="24"/>
                <w:szCs w:val="24"/>
                <w:highlight w:val="none"/>
                <w:lang w:val="en-US" w:eastAsia="zh-CN" w:bidi="ar"/>
              </w:rPr>
              <w:t xml:space="preserve">存储，有效容积≥</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0L</w:t>
            </w:r>
            <w:r>
              <w:rPr>
                <w:rFonts w:hint="eastAsia" w:ascii="宋体" w:hAnsi="宋体" w:cs="宋体"/>
                <w:color w:val="auto"/>
                <w:sz w:val="24"/>
                <w:szCs w:val="24"/>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default"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连续液位监测</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纯水储罐使用连续式液位传感器监测液位（非分段式），液位以百分比和升数显示，精度≤±1%或1L。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default"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（1）主机（含主机取水器）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40L预处理+水箱一体单元 1套</w:t>
            </w:r>
            <w:r/>
          </w:p>
          <w:p>
            <w:pPr>
              <w:ind w:left="0" w:right="0"/>
              <w:jc w:val="both"/>
              <w:keepLines w:val="0"/>
              <w:keepNext w:val="0"/>
              <w:spacing w:before="0" w:beforeAutospacing="0" w:after="0" w:afterAutospacing="0" w:line="300" w:lineRule="exact"/>
              <w:widowControl w:val="off"/>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（3）40L水袋2</w:t>
            </w:r>
            <w:r>
              <w:rPr>
                <w:rFonts w:hint="eastAsia" w:ascii="宋体" w:hAnsi="宋体" w:cs="宋体"/>
                <w:color w:val="auto"/>
                <w:sz w:val="24"/>
                <w:szCs w:val="24"/>
                <w:highlight w:val="none"/>
                <w:lang w:val="en-US" w:eastAsia="zh-CN" w:bidi="ar"/>
              </w:rPr>
              <w:t xml:space="preserve">套或30L以上水箱</w:t>
            </w:r>
            <w:r>
              <w:rPr>
                <w:rFonts w:hint="eastAsia" w:ascii="宋体" w:hAnsi="宋体" w:eastAsia="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（4）预处理柱-1  </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（5）预处理柱-2  </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（6）超纯化柱 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 20L/H双级反渗透模块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 TOC在线监测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（9）双波长紫外灯管 </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（10）物联网管理模块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 0.22μm除菌终端微滤器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（12）消毒盒 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（13）安装配件包 1套</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widowControl w:val="off"/>
        <w:rPr>
          <w:rFonts w:hint="default" w:ascii="Calibri" w:hAnsi="Calibri" w:eastAsia="宋体" w:cs="Times New Roman"/>
          <w:color w:val="auto"/>
          <w:sz w:val="21"/>
          <w:szCs w:val="21"/>
          <w:highlight w:val="none"/>
        </w:rPr>
        <w:suppressLineNumbers w:val="0"/>
      </w:pPr>
      <w:r>
        <w:rPr>
          <w:rFonts w:hint="default" w:ascii="Calibri" w:hAnsi="Calibri" w:eastAsia="宋体" w:cs="Times New Roman"/>
          <w:color w:val="auto"/>
          <w:sz w:val="21"/>
          <w:szCs w:val="21"/>
          <w:highlight w:val="none"/>
        </w:rPr>
      </w:r>
      <w:r/>
    </w:p>
    <w:p>
      <w:pPr>
        <w:rPr>
          <w:rFonts w:hint="eastAsia"/>
          <w:color w:val="auto"/>
          <w:highlight w:val="none"/>
        </w:rPr>
      </w:pPr>
      <w:r>
        <w:rPr>
          <w:rFonts w:hint="eastAsia"/>
          <w:color w:val="auto"/>
          <w:highlight w:val="none"/>
        </w:rPr>
        <w:br w:type="page" w:clear="all"/>
      </w:r>
      <w:r/>
    </w:p>
    <w:p>
      <w:pPr>
        <w:ind w:left="0" w:right="0"/>
        <w:jc w:val="both"/>
        <w:keepLines w:val="0"/>
        <w:keepNext w:val="0"/>
        <w:spacing w:before="0" w:beforeAutospacing="0" w:after="0" w:afterAutospacing="0"/>
        <w:widowControl w:val="off"/>
        <w:rPr>
          <w:rFonts w:hint="default" w:ascii="Calibri" w:hAnsi="Calibri" w:eastAsia="宋体" w:cs="Times New Roman"/>
          <w:b/>
          <w:bCs/>
          <w:color w:val="auto"/>
          <w:sz w:val="28"/>
          <w:szCs w:val="28"/>
          <w:highlight w:val="none"/>
        </w:rPr>
        <w:outlineLvl w:val="1"/>
        <w:suppressLineNumbers w:val="0"/>
      </w:pPr>
      <w:r/>
      <w:bookmarkStart w:id="125" w:name="_Toc12271"/>
      <w:r>
        <w:rPr>
          <w:rFonts w:hint="eastAsia" w:ascii="宋体" w:hAnsi="宋体" w:eastAsia="宋体" w:cs="宋体"/>
          <w:b/>
          <w:bCs/>
          <w:color w:val="auto"/>
          <w:sz w:val="28"/>
          <w:szCs w:val="28"/>
          <w:highlight w:val="none"/>
          <w:lang w:val="en-US" w:eastAsia="zh-CN" w:bidi="ar"/>
        </w:rPr>
        <w:t xml:space="preserve">附近</w:t>
      </w:r>
      <w:r>
        <w:rPr>
          <w:rFonts w:hint="default" w:ascii="Calibri" w:hAnsi="Calibri" w:eastAsia="宋体" w:cs="Calibri"/>
          <w:b/>
          <w:bCs/>
          <w:color w:val="auto"/>
          <w:sz w:val="28"/>
          <w:szCs w:val="28"/>
          <w:highlight w:val="none"/>
          <w:lang w:val="en-US" w:eastAsia="zh-CN" w:bidi="ar"/>
        </w:rPr>
        <w:t xml:space="preserve">2</w:t>
      </w:r>
      <w:r>
        <w:rPr>
          <w:rFonts w:hint="eastAsia" w:ascii="宋体" w:hAnsi="宋体" w:eastAsia="宋体" w:cs="宋体"/>
          <w:b/>
          <w:bCs/>
          <w:color w:val="auto"/>
          <w:sz w:val="28"/>
          <w:szCs w:val="28"/>
          <w:highlight w:val="none"/>
          <w:lang w:val="en-US" w:eastAsia="zh-CN" w:bidi="ar"/>
        </w:rPr>
        <w:t xml:space="preserve">：</w:t>
      </w:r>
      <w:r>
        <w:rPr>
          <w:rFonts w:hint="eastAsia" w:ascii="宋体" w:hAnsi="宋体" w:cs="宋体"/>
          <w:b/>
          <w:bCs/>
          <w:color w:val="auto"/>
          <w:sz w:val="28"/>
          <w:szCs w:val="28"/>
          <w:highlight w:val="none"/>
          <w:lang w:val="en-US" w:eastAsia="zh-CN" w:bidi="ar"/>
        </w:rPr>
        <w:t xml:space="preserve">采购包</w:t>
      </w:r>
      <w:r>
        <w:rPr>
          <w:rFonts w:hint="default" w:ascii="Calibri" w:hAnsi="Calibri" w:eastAsia="宋体" w:cs="Calibri"/>
          <w:b/>
          <w:bCs/>
          <w:color w:val="auto"/>
          <w:sz w:val="28"/>
          <w:szCs w:val="28"/>
          <w:highlight w:val="none"/>
          <w:lang w:val="en-US" w:eastAsia="zh-CN" w:bidi="ar"/>
        </w:rPr>
        <w:t xml:space="preserve">2</w:t>
      </w:r>
      <w:r>
        <w:rPr>
          <w:rFonts w:hint="eastAsia" w:ascii="宋体" w:hAnsi="宋体" w:eastAsia="宋体" w:cs="宋体"/>
          <w:b/>
          <w:bCs/>
          <w:color w:val="auto"/>
          <w:sz w:val="28"/>
          <w:szCs w:val="28"/>
          <w:highlight w:val="none"/>
          <w:lang w:val="en-US" w:eastAsia="zh-CN" w:bidi="ar"/>
        </w:rPr>
        <w:t xml:space="preserve">技术参数</w:t>
      </w:r>
      <w:bookmarkEnd w:id="125"/>
      <w:r/>
      <w:r/>
    </w:p>
    <w:p>
      <w:pPr>
        <w:numPr>
          <w:ilvl w:val="0"/>
          <w:numId w:val="9"/>
        </w:numPr>
        <w:ind w:left="0" w:right="0" w:firstLine="0"/>
        <w:jc w:val="both"/>
        <w:keepLines w:val="0"/>
        <w:keepNext w:val="0"/>
        <w:spacing w:before="0" w:beforeAutospacing="0" w:after="0" w:afterAutospacing="0"/>
        <w:widowControl w:val="off"/>
        <w:rPr>
          <w:rFonts w:hint="eastAsia" w:ascii="Calibri" w:hAnsi="Calibri" w:eastAsia="宋体" w:cs="Times New Roman"/>
          <w:b/>
          <w:bCs/>
          <w:color w:val="auto"/>
          <w:sz w:val="28"/>
          <w:szCs w:val="28"/>
          <w:highlight w:val="none"/>
        </w:rPr>
        <w:outlineLvl w:val="9"/>
        <w:suppressLineNumbers w:val="0"/>
      </w:pPr>
      <w:r/>
      <w:bookmarkStart w:id="126" w:name="_Toc28839"/>
      <w:r>
        <w:rPr>
          <w:rFonts w:hint="eastAsia" w:ascii="宋体" w:hAnsi="宋体" w:eastAsia="宋体" w:cs="宋体"/>
          <w:b/>
          <w:bCs/>
          <w:color w:val="auto"/>
          <w:sz w:val="28"/>
          <w:szCs w:val="28"/>
          <w:highlight w:val="none"/>
          <w:lang w:val="en-US" w:eastAsia="zh-CN" w:bidi="ar"/>
        </w:rPr>
        <w:t xml:space="preserve">技术参数</w:t>
      </w:r>
      <w:bookmarkEnd w:id="126"/>
      <w:r/>
      <w:r/>
    </w:p>
    <w:p>
      <w:pPr>
        <w:numPr>
          <w:ilvl w:val="0"/>
          <w:numId w:val="10"/>
        </w:num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bookmarkStart w:id="127" w:name="_Toc12076"/>
      <w:r>
        <w:rPr>
          <w:rFonts w:hint="eastAsia" w:ascii="宋体" w:hAnsi="宋体" w:eastAsia="宋体" w:cs="宋体"/>
          <w:b/>
          <w:bCs/>
          <w:color w:val="auto"/>
          <w:sz w:val="24"/>
          <w:szCs w:val="24"/>
          <w:highlight w:val="none"/>
          <w:lang w:val="en-US" w:eastAsia="zh-CN" w:bidi="ar"/>
        </w:rPr>
        <w:t xml:space="preserve">气相色谱仪+气体进样装置+顶空进样器+30KVA UPS1小时延时电池组+高纯度氢气发生器（含1台A3彩色打印一体机）</w:t>
      </w:r>
      <w:bookmarkEnd w:id="127"/>
      <w:r/>
      <w:r/>
    </w:p>
    <w:tbl>
      <w:tblPr>
        <w:tblStyle w:val="91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1"/>
        <w:gridCol w:w="1725"/>
        <w:gridCol w:w="5112"/>
        <w:gridCol w:w="1460"/>
      </w:tblGrid>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用途</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用于环境样品的定性定量分析。</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技术要求</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2.1柱箱</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操作温度</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室温以上4˚C-450˚C</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温度分</w:t>
            </w:r>
            <w:r>
              <w:rPr>
                <w:rFonts w:hint="eastAsia" w:ascii="宋体" w:hAnsi="宋体" w:eastAsia="宋体" w:cs="宋体"/>
                <w:bCs/>
                <w:color w:val="auto"/>
                <w:sz w:val="24"/>
                <w:szCs w:val="24"/>
                <w:highlight w:val="none"/>
                <w:lang w:val="en-US" w:eastAsia="zh-CN" w:bidi="ar"/>
              </w:rPr>
              <w:t xml:space="preserve">辨</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1˚C温度设定，0.1˚C程序设定</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最大运行时间</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999.99分钟</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温度稳定性</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&lt;0.01˚C/1˚C环境变化</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峰面积重现性</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&lt; 0.5% RSD</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色谱柱智能钥</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具有不少于三个气相色谱柱智能钥匙</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冷却</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柱温箱在4.0分钟内从450℃冷却到50℃（带柱温箱插件附件为3.5分钟过）</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2.2毛细柱分流/无分流进样口</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最高使用温度</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400˚C</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设定</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电子参数设定压力，流速和分流比</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压力设定范围</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0-150psi</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气路流量/压力控制精度</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电子气路流量/压力控制精度可达0.001psi</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流量范围</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vertAlign w:val="subscript"/>
              </w:rPr>
              <w:outlineLvl w:val="9"/>
              <w:suppressLineNumbers w:val="0"/>
            </w:pPr>
            <w:r>
              <w:rPr>
                <w:rFonts w:hint="eastAsia" w:ascii="宋体" w:hAnsi="宋体" w:eastAsia="宋体" w:cs="宋体"/>
                <w:color w:val="auto"/>
                <w:sz w:val="24"/>
                <w:szCs w:val="24"/>
                <w:highlight w:val="none"/>
                <w:lang w:val="en-US" w:eastAsia="zh-CN" w:bidi="ar"/>
              </w:rPr>
              <w:t xml:space="preserve">0-500Ml/min N</w:t>
            </w:r>
            <w:r>
              <w:rPr>
                <w:rFonts w:hint="eastAsia" w:ascii="宋体" w:hAnsi="宋体" w:eastAsia="宋体" w:cs="宋体"/>
                <w:color w:val="auto"/>
                <w:sz w:val="24"/>
                <w:szCs w:val="24"/>
                <w:highlight w:val="none"/>
                <w:vertAlign w:val="subscript"/>
                <w:lang w:val="en-US" w:eastAsia="zh-CN" w:bidi="ar"/>
              </w:rPr>
              <w:t xml:space="preserve">2 </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0-1250mL/min H</w:t>
            </w:r>
            <w:r>
              <w:rPr>
                <w:rFonts w:hint="eastAsia" w:ascii="宋体" w:hAnsi="宋体" w:eastAsia="宋体" w:cs="宋体"/>
                <w:color w:val="auto"/>
                <w:sz w:val="24"/>
                <w:szCs w:val="24"/>
                <w:highlight w:val="none"/>
                <w:vertAlign w:val="subscript"/>
                <w:lang w:val="en-US" w:eastAsia="zh-CN" w:bidi="ar"/>
              </w:rPr>
              <w:t xml:space="preserve">2 </w:t>
            </w:r>
            <w:r>
              <w:rPr>
                <w:rFonts w:hint="eastAsia" w:ascii="宋体" w:hAnsi="宋体" w:eastAsia="宋体" w:cs="宋体"/>
                <w:color w:val="auto"/>
                <w:sz w:val="24"/>
                <w:szCs w:val="24"/>
                <w:highlight w:val="none"/>
                <w:lang w:val="en-US" w:eastAsia="zh-CN" w:bidi="ar"/>
              </w:rPr>
              <w:t xml:space="preserve">或 He</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0-200ml/min Ar 或 CH</w:t>
            </w:r>
            <w:r>
              <w:rPr>
                <w:rFonts w:hint="eastAsia" w:ascii="宋体" w:hAnsi="宋体" w:eastAsia="宋体" w:cs="宋体"/>
                <w:color w:val="auto"/>
                <w:sz w:val="24"/>
                <w:szCs w:val="24"/>
                <w:highlight w:val="none"/>
                <w:vertAlign w:val="subscript"/>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扳转式进样口</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bookmarkStart w:id="128" w:name="_Hlk2726496"/>
            <w:r>
              <w:rPr>
                <w:rFonts w:hint="eastAsia" w:ascii="宋体" w:hAnsi="宋体" w:eastAsia="宋体" w:cs="宋体"/>
                <w:color w:val="auto"/>
                <w:sz w:val="24"/>
                <w:szCs w:val="24"/>
                <w:highlight w:val="none"/>
                <w:lang w:val="en-US" w:eastAsia="zh-CN" w:bidi="ar"/>
              </w:rPr>
              <w:t xml:space="preserve">设计，更换衬管等消耗品无需使用工具拆卸螺帽，有助于快速、轻松地更换进样器衬管</w:t>
            </w:r>
            <w:bookmarkEnd w:id="128"/>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分流比</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≥12500:1</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2.3 氢火焰检测器</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最高使用温度</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450˚C</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自动点火装置</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自动点火装置，自动调节点火气流; 具有自动灭火检测功能</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最低检测限</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&lt;1.2 pg碳/秒(十三烷) </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线性动态范围</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vertAlign w:val="superscript"/>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数据采样速率</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≥800Hz</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2.4 微池电子捕获检测器</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最低检测限</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&lt;3.8fg/ml（林丹在标准条件下）</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448"/>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放射源</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&lt;15mCi的</w:t>
            </w:r>
            <w:r>
              <w:rPr>
                <w:rFonts w:hint="eastAsia" w:ascii="宋体" w:hAnsi="宋体" w:eastAsia="宋体" w:cs="宋体"/>
                <w:color w:val="auto"/>
                <w:sz w:val="24"/>
                <w:szCs w:val="24"/>
                <w:highlight w:val="none"/>
                <w:vertAlign w:val="superscript"/>
                <w:lang w:val="en-US" w:eastAsia="zh-CN" w:bidi="ar"/>
              </w:rPr>
              <w:t xml:space="preserve">63</w:t>
            </w:r>
            <w:r>
              <w:rPr>
                <w:rFonts w:hint="eastAsia" w:ascii="宋体" w:hAnsi="宋体" w:eastAsia="宋体" w:cs="宋体"/>
                <w:color w:val="auto"/>
                <w:sz w:val="24"/>
                <w:szCs w:val="24"/>
                <w:highlight w:val="none"/>
                <w:lang w:val="en-US" w:eastAsia="zh-CN" w:bidi="ar"/>
              </w:rPr>
              <w:t xml:space="preserve">Ni的β射线</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最高使用温度</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隐含阳极</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安装隐含阳极和大体积流速，防止污染。</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2.5 全自动顶空进样器</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色谱性能指标</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面积重复性：＜1%RSD；</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样品加热位</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≥12位，</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样品瓶位</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≥48位</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自适应算法</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采用自适应算法自动进行样品重叠加热，以便获得最大的分析效率。</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进样方法</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顶空进样系统采用阀和定量管的进样方式。</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气路控制</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标配的全电子气路技术，使用户可以采用软件对仪器进行全面控制（顶空瓶压 GC柱头压可以独立控制）压力设定点可以调节的增量为0.001psi，在0.000到75.000psi之间的控制精度为0.001 </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2.6 气体自动进样器</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最大可支持样品数</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≥30位。</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支持样品</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支持样品为气袋和注射器针筒。气袋体积0.5 L、1 L、2L等市面上常见规格尺寸。针筒支持50 mL、100 mL以下的常见玻璃注射器针筒。</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气体自动进样器可配置</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气体自动进样器可配置气袋烘箱模块，便于气体样品保存在一定温度下，避免气袋或针筒中样品发生冷凝。</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自动样品稀释</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可按设定比例自动高浓度样品，自动稀释样品数量≥30位，支持常压和正压标气（最大压力不超过0.3Mpa），最大稀释倍数≥100倍。</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2.7配置要求</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气相色谱柱</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毛细进样口</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FID检测器</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微池电子捕获检测器</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cs="宋体"/>
                <w:color w:val="auto"/>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顶空进样器 </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lang w:val="en-US"/>
              </w:rPr>
              <w:outlineLvl w:val="9"/>
              <w:suppressLineNumbers w:val="0"/>
            </w:pPr>
            <w:r>
              <w:rPr>
                <w:rFonts w:hint="eastAsia" w:ascii="宋体" w:hAnsi="宋体" w:cs="宋体"/>
                <w:color w:val="auto"/>
                <w:sz w:val="24"/>
                <w:szCs w:val="24"/>
                <w:highlight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气体进样阀</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cs="宋体"/>
                <w:color w:val="auto"/>
                <w:sz w:val="24"/>
                <w:szCs w:val="24"/>
                <w:highlight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气体自动进样装置</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1套</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配套耗材</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1.进样隔垫50个；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2.柱螺母2个；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3.分流不分流衬管5支；</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4.不锈钢密封垫1个；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5.衬管O型圈10个；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6.石墨密封垫10个；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7.水氧捕集阱1个；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8.启动工具包1套；</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9.容积1升聚氟乙烯（PVF）材质或同等级的薄膜气袋30个；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10.顶空瓶1盒；</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11.配套顶空盖含衬垫3袋；</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12.10微升微量注射器2支，100微升微量注射器2支。</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13.能分离苯系物八组分的毛细管柱1根。</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氢气发生器</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纯度不低于99.99％，流速范围：0-200cc/min，氢气出气压力0—50psi。</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延时电池</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30KVA UPS1小时延时电池组</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A3彩色打印一体机</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1台（配套使用）</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rPr>
                <w:rFonts w:hint="eastAsia" w:cs="宋体"/>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工作站</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pStyle w:val="908"/>
              <w:ind w:left="0" w:right="0"/>
              <w:jc w:val="both"/>
              <w:keepLines w:val="0"/>
              <w:keepNext w:val="0"/>
              <w:spacing w:before="0" w:beforeAutospacing="0" w:after="0" w:afterAutospacing="0"/>
              <w:widowControl w:val="off"/>
              <w:rPr>
                <w:rFonts w:hint="default" w:ascii="Verdana" w:hAnsi="Verdana" w:eastAsia="宋体" w:cs="Times New Roman"/>
                <w:color w:val="auto"/>
                <w:sz w:val="21"/>
                <w:szCs w:val="21"/>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rPr>
                <w:rFonts w:hint="eastAsia" w:cs="宋体"/>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人员培训、技术支持：</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（提供承诺书）对仪器操作人员由厂商提供培训（不少于2人），培训地点由厂商指定。为采购方提供1次扩项指导服务。</w:t>
            </w:r>
            <w:r/>
          </w:p>
        </w:tc>
        <w:tc>
          <w:tcPr>
            <w:shd w:val="clear" w:color="auto" w:fill="auto"/>
            <w:tcBorders>
              <w:top w:val="single" w:color="auto" w:sz="4" w:space="0"/>
              <w:left w:val="single" w:color="auto" w:sz="4" w:space="0"/>
              <w:bottom w:val="single" w:color="auto" w:sz="4" w:space="0"/>
              <w:right w:val="single" w:color="auto" w:sz="4" w:space="0"/>
            </w:tcBorders>
            <w:tcW w:w="1460"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numPr>
          <w:ilvl w:val="0"/>
          <w:numId w:val="10"/>
        </w:numPr>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bookmarkStart w:id="129" w:name="_Toc24916"/>
      <w:r>
        <w:rPr>
          <w:rFonts w:hint="eastAsia" w:ascii="宋体" w:hAnsi="宋体" w:eastAsia="宋体" w:cs="宋体"/>
          <w:b/>
          <w:bCs/>
          <w:color w:val="auto"/>
          <w:sz w:val="24"/>
          <w:szCs w:val="24"/>
          <w:highlight w:val="none"/>
          <w:lang w:val="en-US" w:eastAsia="zh-CN" w:bidi="ar"/>
        </w:rPr>
        <w:t xml:space="preserve">等离子发射光谱质谱联用仪ICP-MS+自动进样器（含1台A3彩色打印一体机）</w:t>
      </w:r>
      <w:bookmarkEnd w:id="129"/>
      <w:r/>
      <w:r/>
    </w:p>
    <w:tbl>
      <w:tblPr>
        <w:tblStyle w:val="910"/>
        <w:tblW w:w="91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1"/>
        <w:gridCol w:w="1935"/>
        <w:gridCol w:w="5112"/>
        <w:gridCol w:w="1480"/>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1、仪器总体要求</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适用范围</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电感耦合等离子体质谱仪要求能适用于应用领域广泛的各种样品的元素分析、同位素分析分析任务，满足环境、食品、医药、地质、金属材料、生物样品、化工材料分析等。</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2、仪器工作环境</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工作环境温度</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15-30℃；</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工作环境湿度 </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80% （无冷凝）；</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电源</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单相200-240V ，50 Hz；</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3、仪器技术要求</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3.1</w:t>
            </w:r>
            <w:r>
              <w:rPr>
                <w:rFonts w:hint="eastAsia" w:ascii="宋体" w:hAnsi="宋体" w:eastAsia="宋体" w:cs="宋体"/>
                <w:b/>
                <w:bCs/>
                <w:color w:val="auto"/>
                <w:sz w:val="24"/>
                <w:szCs w:val="24"/>
                <w:highlight w:val="none"/>
                <w:lang w:val="en-US" w:eastAsia="zh-CN" w:bidi="ar"/>
              </w:rPr>
              <w:t xml:space="preserve">进样系统</w:t>
            </w:r>
            <w:r>
              <w:rPr>
                <w:rFonts w:hint="eastAsia" w:ascii="宋体" w:hAnsi="宋体" w:eastAsia="宋体" w:cs="宋体"/>
                <w:bCs/>
                <w:color w:val="auto"/>
                <w:sz w:val="24"/>
                <w:szCs w:val="24"/>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进样系统</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配置高灵敏度同心雾化器和小体积旋流雾室进样系统。</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雾室连接</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雾室应直接连接到炬管的基座上，而无需在雾室与炬管之间使用传输管。</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彩色等离子体观测窗</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全景式彩色等离子体观测窗，实时监测锥孔及喷射管孔样品沉积。</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3.2</w:t>
            </w:r>
            <w:r>
              <w:rPr>
                <w:rFonts w:hint="eastAsia" w:ascii="宋体" w:hAnsi="宋体" w:eastAsia="宋体" w:cs="宋体"/>
                <w:b/>
                <w:bCs/>
                <w:color w:val="auto"/>
                <w:sz w:val="24"/>
                <w:szCs w:val="24"/>
                <w:highlight w:val="none"/>
                <w:lang w:val="en-US" w:eastAsia="zh-CN" w:bidi="ar"/>
              </w:rPr>
              <w:t xml:space="preserve">全基体进样系统（AMS）：</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3.3</w:t>
            </w:r>
            <w:r>
              <w:rPr>
                <w:rFonts w:hint="eastAsia" w:ascii="宋体" w:hAnsi="宋体" w:eastAsia="宋体" w:cs="宋体"/>
                <w:b/>
                <w:bCs/>
                <w:color w:val="auto"/>
                <w:sz w:val="24"/>
                <w:szCs w:val="24"/>
                <w:highlight w:val="none"/>
                <w:lang w:val="en-US" w:eastAsia="zh-CN" w:bidi="ar"/>
              </w:rPr>
              <w:t xml:space="preserve">射频发生器</w:t>
            </w:r>
            <w:r>
              <w:rPr>
                <w:rFonts w:hint="eastAsia" w:ascii="宋体" w:hAnsi="宋体" w:eastAsia="宋体" w:cs="宋体"/>
                <w:bCs/>
                <w:color w:val="auto"/>
                <w:sz w:val="24"/>
                <w:szCs w:val="24"/>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频率</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高频率自激式全固态射频发生器，要求频率30MHz以上，</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虚拟接地</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具有虚拟接地的、不额外依靠外部物理接地的消除锥口二次电弧放电技术，无需屏蔽炬等额外安装与维护，无需屏蔽炬等额外消耗。  </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等离子体工作线圈</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等离子体工作线圈无需外部冷却水额外冷却，实现超低射频能量损耗。</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等离子体炬位</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等离子体炬位XYZ三轴计算机全自动调节。</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气体控制</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使用不少于5个高精度气体质量流量控制器，控制包含等离子体气、辅助气、雾化气、全基体进样系统气和碰撞反应气等五路气体流量；</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7" w:right="0" w:hanging="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7" w:right="0" w:hanging="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7" w:right="0" w:hanging="7"/>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3.5接口</w:t>
            </w:r>
            <w:r>
              <w:rPr>
                <w:rFonts w:hint="eastAsia" w:ascii="宋体" w:hAnsi="宋体" w:eastAsia="宋体" w:cs="宋体"/>
                <w:bCs/>
                <w:color w:val="auto"/>
                <w:sz w:val="24"/>
                <w:szCs w:val="24"/>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7" w:right="0" w:hanging="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3.6四极杆</w:t>
            </w:r>
            <w:r>
              <w:rPr>
                <w:rFonts w:hint="eastAsia" w:ascii="宋体" w:hAnsi="宋体" w:eastAsia="宋体" w:cs="宋体"/>
                <w:b/>
                <w:bCs/>
                <w:color w:val="auto"/>
                <w:sz w:val="24"/>
                <w:szCs w:val="24"/>
                <w:highlight w:val="none"/>
                <w:lang w:val="en-US" w:eastAsia="zh-CN" w:bidi="ar"/>
              </w:rPr>
              <w:t xml:space="preserve">离子偏转器</w:t>
            </w:r>
            <w:r>
              <w:rPr>
                <w:rFonts w:hint="eastAsia" w:ascii="宋体" w:hAnsi="宋体" w:eastAsia="宋体" w:cs="宋体"/>
                <w:bCs/>
                <w:color w:val="auto"/>
                <w:sz w:val="24"/>
                <w:szCs w:val="24"/>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90度离子偏转技术</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90</w:t>
            </w:r>
            <w:r>
              <w:rPr>
                <w:rFonts w:hint="eastAsia" w:ascii="宋体" w:hAnsi="宋体" w:eastAsia="宋体" w:cs="宋体"/>
                <w:color w:val="auto"/>
                <w:sz w:val="24"/>
                <w:szCs w:val="24"/>
                <w:highlight w:val="none"/>
                <w:lang w:val="en-US" w:eastAsia="zh-CN" w:bidi="ar"/>
              </w:rPr>
              <w:t xml:space="preserve">度离子偏转技术，实现分析离子</w:t>
            </w:r>
            <w:r>
              <w:rPr>
                <w:rFonts w:hint="eastAsia" w:ascii="宋体" w:hAnsi="宋体" w:eastAsia="宋体" w:cs="宋体"/>
                <w:bCs/>
                <w:color w:val="auto"/>
                <w:sz w:val="24"/>
                <w:szCs w:val="24"/>
                <w:highlight w:val="none"/>
                <w:lang w:val="en-US" w:eastAsia="zh-CN" w:bidi="ar"/>
              </w:rPr>
              <w:t xml:space="preserve">与未电离的中性粒子和光子彻底分离。</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离子透镜</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离子透镜彻底免维护。</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3.7四极杆碰撞反应池：</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碰撞反应池系统</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具有轴向加速的四极杆碰撞反应池系统。</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甄别</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具有动能甄别碰撞模式消除干扰。</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宽调谐</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具有四极杆动态带宽调谐反应模式消除干扰。</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纯氨气作为反应气体</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可使用纯氨气作为反应气体（＞99.999%）</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反应模式切换</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单次分析中，可实现标准模式、碰撞模式和反应模式切换。</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智能电子稀释技术</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具有智能电子稀释技术，可实现一次进样中直接分析1000 ppm钠标准溶液，得到10个以上不同稀释倍数的检测。</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3.8</w:t>
            </w:r>
            <w:r>
              <w:rPr>
                <w:rFonts w:hint="eastAsia" w:ascii="宋体" w:hAnsi="宋体" w:eastAsia="宋体" w:cs="宋体"/>
                <w:b/>
                <w:bCs w:val="0"/>
                <w:color w:val="auto"/>
                <w:sz w:val="24"/>
                <w:szCs w:val="24"/>
                <w:highlight w:val="none"/>
                <w:lang w:val="en-US" w:eastAsia="zh-CN" w:bidi="ar"/>
              </w:rPr>
              <w:t xml:space="preserve">四极杆</w:t>
            </w:r>
            <w:r>
              <w:rPr>
                <w:rFonts w:hint="eastAsia" w:ascii="宋体" w:hAnsi="宋体" w:eastAsia="宋体" w:cs="宋体"/>
                <w:b/>
                <w:bCs/>
                <w:color w:val="auto"/>
                <w:sz w:val="24"/>
                <w:szCs w:val="24"/>
                <w:highlight w:val="none"/>
                <w:lang w:val="en-US" w:eastAsia="zh-CN" w:bidi="ar"/>
              </w:rPr>
              <w:t xml:space="preserve">质量分析器</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质量范围</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1-285 amu.</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分辨率</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0.1-2.0 amu连续可调。</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驱动频率</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 2.5 MHz。</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3.9检测器 </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方式</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长寿命、双模（脉冲方式和模拟方式检测）同时型检测器。</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检测器瞬时采集速率</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检测器瞬时采集速率不低于100,000数据点/秒。</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3.10真空系统</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真空系统</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四级真空系统。</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冷启动至工作所需要的真空度时间</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关机后24小时冷启动至工作所需要的真空度时间≤8分钟，真空度最高可达10</w:t>
            </w:r>
            <w:r>
              <w:rPr>
                <w:rFonts w:hint="eastAsia" w:ascii="宋体" w:hAnsi="宋体" w:eastAsia="宋体" w:cs="宋体"/>
                <w:bCs/>
                <w:color w:val="auto"/>
                <w:sz w:val="24"/>
                <w:szCs w:val="24"/>
                <w:highlight w:val="none"/>
                <w:vertAlign w:val="superscript"/>
                <w:lang w:val="en-US" w:eastAsia="zh-CN" w:bidi="ar"/>
              </w:rPr>
              <w:t xml:space="preserve">-8</w:t>
            </w:r>
            <w:r>
              <w:rPr>
                <w:rFonts w:hint="eastAsia" w:ascii="宋体" w:hAnsi="宋体" w:eastAsia="宋体" w:cs="宋体"/>
                <w:bCs/>
                <w:color w:val="auto"/>
                <w:sz w:val="24"/>
                <w:szCs w:val="24"/>
                <w:highlight w:val="none"/>
                <w:lang w:val="en-US" w:eastAsia="zh-CN" w:bidi="ar"/>
              </w:rPr>
              <w:t xml:space="preserve">Tor。</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3.11 仪器面板（提供技术证明文件）</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液晶屏</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嵌入式液晶触摸屏</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 液晶触摸屏可实时显示测试结果。（2）液晶触摸屏可视化仪器参数诊断，查看仪器运行参数，包括雾化气背压，真空压力等。</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（3）液晶触摸屏可以进行仪器运行分析与统计，包括氩气消耗，仪器运行时间等。（4）液晶触摸屏可查看仪器维护视频。（5）仪器面板LED状态显示灯</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（6）LED灯不同颜色状态显示仪器操作模式、数据采集模式和待机模式。</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3.12软件</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（1）可实现仪器自动开机、自动优化、自动分析和自动关机的无人值守分析。</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（2）多元素分析不同元素可以设置超过15个不同的分辨率。</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（3）ICP-MS操作软件允许在多台电脑（10台以上）脱机安装并处理数据以及操作演示。</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（4）提供基于浏览器的网页版数据查看功能，电脑无需连接网络，随时可进行数据查看、处理、导出，独立运行，无需启动仪器操作软件。</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（5）仪器提供接口，将生成的数据集可直接从软件发送至LIMS系统</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3.13仪器整体性能</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灵敏度</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低质量数：≥ 50M cps/ppm；中质量数：≥100M cps/ppm；高质量数：≥ 80M cps/ppm </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随机背景</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 1 cps (220amu)</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氧化物离子</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(CeO</w:t>
            </w:r>
            <w:r>
              <w:rPr>
                <w:rFonts w:hint="eastAsia" w:ascii="宋体" w:hAnsi="宋体" w:eastAsia="宋体" w:cs="宋体"/>
                <w:bCs/>
                <w:color w:val="auto"/>
                <w:sz w:val="24"/>
                <w:szCs w:val="24"/>
                <w:highlight w:val="none"/>
                <w:vertAlign w:val="superscript"/>
                <w:lang w:val="en-US" w:eastAsia="zh-CN" w:bidi="ar"/>
              </w:rPr>
              <w:t xml:space="preserve">+</w:t>
            </w:r>
            <w:r>
              <w:rPr>
                <w:rFonts w:hint="eastAsia" w:ascii="宋体" w:hAnsi="宋体" w:eastAsia="宋体" w:cs="宋体"/>
                <w:bCs/>
                <w:color w:val="auto"/>
                <w:sz w:val="24"/>
                <w:szCs w:val="24"/>
                <w:highlight w:val="none"/>
                <w:lang w:val="en-US" w:eastAsia="zh-CN" w:bidi="ar"/>
              </w:rPr>
              <w:t xml:space="preserve">/Ce</w:t>
            </w:r>
            <w:r>
              <w:rPr>
                <w:rFonts w:hint="eastAsia" w:ascii="宋体" w:hAnsi="宋体" w:eastAsia="宋体" w:cs="宋体"/>
                <w:bCs/>
                <w:color w:val="auto"/>
                <w:sz w:val="24"/>
                <w:szCs w:val="24"/>
                <w:highlight w:val="none"/>
                <w:vertAlign w:val="superscript"/>
                <w:lang w:val="en-US" w:eastAsia="zh-CN" w:bidi="ar"/>
              </w:rPr>
              <w:t xml:space="preserve">+</w:t>
            </w:r>
            <w:r>
              <w:rPr>
                <w:rFonts w:hint="eastAsia" w:ascii="宋体" w:hAnsi="宋体" w:eastAsia="宋体" w:cs="宋体"/>
                <w:bCs/>
                <w:color w:val="auto"/>
                <w:sz w:val="24"/>
                <w:szCs w:val="24"/>
                <w:highlight w:val="none"/>
                <w:lang w:val="en-US" w:eastAsia="zh-CN" w:bidi="ar"/>
              </w:rPr>
              <w:t xml:space="preserve">) ≤ 2.5%，不使用制冷雾室</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电荷离子</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(Ce</w:t>
            </w:r>
            <w:r>
              <w:rPr>
                <w:rFonts w:hint="eastAsia" w:ascii="宋体" w:hAnsi="宋体" w:eastAsia="宋体" w:cs="宋体"/>
                <w:bCs/>
                <w:color w:val="auto"/>
                <w:sz w:val="24"/>
                <w:szCs w:val="24"/>
                <w:highlight w:val="none"/>
                <w:vertAlign w:val="superscript"/>
                <w:lang w:val="en-US" w:eastAsia="zh-CN" w:bidi="ar"/>
              </w:rPr>
              <w:t xml:space="preserve">2+</w:t>
            </w:r>
            <w:r>
              <w:rPr>
                <w:rFonts w:hint="eastAsia" w:ascii="宋体" w:hAnsi="宋体" w:eastAsia="宋体" w:cs="宋体"/>
                <w:bCs/>
                <w:color w:val="auto"/>
                <w:sz w:val="24"/>
                <w:szCs w:val="24"/>
                <w:highlight w:val="none"/>
                <w:lang w:val="en-US" w:eastAsia="zh-CN" w:bidi="ar"/>
              </w:rPr>
              <w:t xml:space="preserve">/Ce</w:t>
            </w:r>
            <w:r>
              <w:rPr>
                <w:rFonts w:hint="eastAsia" w:ascii="宋体" w:hAnsi="宋体" w:eastAsia="宋体" w:cs="宋体"/>
                <w:bCs/>
                <w:color w:val="auto"/>
                <w:sz w:val="24"/>
                <w:szCs w:val="24"/>
                <w:highlight w:val="none"/>
                <w:vertAlign w:val="superscript"/>
                <w:lang w:val="en-US" w:eastAsia="zh-CN" w:bidi="ar"/>
              </w:rPr>
              <w:t xml:space="preserve">+</w:t>
            </w:r>
            <w:r>
              <w:rPr>
                <w:rFonts w:hint="eastAsia" w:ascii="宋体" w:hAnsi="宋体" w:eastAsia="宋体" w:cs="宋体"/>
                <w:bCs/>
                <w:color w:val="auto"/>
                <w:sz w:val="24"/>
                <w:szCs w:val="24"/>
                <w:highlight w:val="none"/>
                <w:lang w:val="en-US" w:eastAsia="zh-CN" w:bidi="ar"/>
              </w:rPr>
              <w:t xml:space="preserve">)  ≤3.0 %</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检出限</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Be（9）：＜0.5 ppt；In (115)：＜0.1 ppt；U (238)：＜ 0.1 ppt</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稳定性</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 4% RSD（4小时）。不加内标，每10分钟测量一次。</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同位素比精度</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vertAlign w:val="superscript"/>
                <w:lang w:val="en-US" w:eastAsia="zh-CN" w:bidi="ar"/>
              </w:rPr>
              <w:t xml:space="preserve">107</w:t>
            </w:r>
            <w:r>
              <w:rPr>
                <w:rFonts w:hint="eastAsia" w:ascii="宋体" w:hAnsi="宋体" w:eastAsia="宋体" w:cs="宋体"/>
                <w:bCs/>
                <w:color w:val="auto"/>
                <w:sz w:val="24"/>
                <w:szCs w:val="24"/>
                <w:highlight w:val="none"/>
                <w:lang w:val="en-US" w:eastAsia="zh-CN" w:bidi="ar"/>
              </w:rPr>
              <w:t xml:space="preserve">Ag/</w:t>
            </w:r>
            <w:r>
              <w:rPr>
                <w:rFonts w:hint="eastAsia" w:ascii="宋体" w:hAnsi="宋体" w:eastAsia="宋体" w:cs="宋体"/>
                <w:bCs/>
                <w:color w:val="auto"/>
                <w:sz w:val="24"/>
                <w:szCs w:val="24"/>
                <w:highlight w:val="none"/>
                <w:vertAlign w:val="superscript"/>
                <w:lang w:val="en-US" w:eastAsia="zh-CN" w:bidi="ar"/>
              </w:rPr>
              <w:t xml:space="preserve">109</w:t>
            </w:r>
            <w:r>
              <w:rPr>
                <w:rFonts w:hint="eastAsia" w:ascii="宋体" w:hAnsi="宋体" w:eastAsia="宋体" w:cs="宋体"/>
                <w:bCs/>
                <w:color w:val="auto"/>
                <w:sz w:val="24"/>
                <w:szCs w:val="24"/>
                <w:highlight w:val="none"/>
                <w:lang w:val="en-US" w:eastAsia="zh-CN" w:bidi="ar"/>
              </w:rPr>
              <w:t xml:space="preserve">Ag 同位素比， RSD ＜ 0.08％。</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四极杆最短驻留时间</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（dwell time）10µs。</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设置分辨率</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在一次样品测试中，可以设置8种不同分辨率，调节范围0.1-2.0amu。</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干扰元素分析能力</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低含量受干扰元素分析能力：1000 mg/L NaCl基质中50ppt 的</w:t>
            </w:r>
            <w:r>
              <w:rPr>
                <w:rFonts w:hint="eastAsia" w:ascii="宋体" w:hAnsi="宋体" w:eastAsia="宋体" w:cs="宋体"/>
                <w:bCs/>
                <w:color w:val="auto"/>
                <w:sz w:val="24"/>
                <w:szCs w:val="24"/>
                <w:highlight w:val="none"/>
                <w:vertAlign w:val="superscript"/>
                <w:lang w:val="en-US" w:eastAsia="zh-CN" w:bidi="ar"/>
              </w:rPr>
              <w:t xml:space="preserve">80</w:t>
            </w:r>
            <w:r>
              <w:rPr>
                <w:rFonts w:hint="eastAsia" w:ascii="宋体" w:hAnsi="宋体" w:eastAsia="宋体" w:cs="宋体"/>
                <w:bCs/>
                <w:color w:val="auto"/>
                <w:sz w:val="24"/>
                <w:szCs w:val="24"/>
                <w:highlight w:val="none"/>
                <w:lang w:val="en-US" w:eastAsia="zh-CN" w:bidi="ar"/>
              </w:rPr>
              <w:t xml:space="preserve">Se回收率优于95%。</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同时形态分析能力</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具有As和Cr形态同时分析的能力。</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检测能力</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具有将P和S转化为PO、SO离子进行检测的能力以消除NO、O2离子对P、S的干扰，分析PO、SO离子的检出限优于0.1ppb和0.25ppb。</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bookmarkStart w:id="130" w:name="OLE_LINK3"/>
            <w:r/>
            <w:bookmarkEnd w:id="130"/>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widowControl w:val="off"/>
              <w:rPr>
                <w:rFonts w:hint="default" w:ascii="Calibri" w:hAnsi="Calibri" w:eastAsia="宋体" w:cs="Times New Roman"/>
                <w:color w:val="auto"/>
                <w:sz w:val="21"/>
                <w:szCs w:val="21"/>
                <w:highlight w:val="none"/>
              </w:rPr>
              <w:outlineLvl w:val="9"/>
              <w:suppressLineNumbers w:val="0"/>
            </w:pPr>
            <w:r>
              <w:rPr>
                <w:rFonts w:hint="eastAsia" w:ascii="宋体" w:hAnsi="宋体" w:eastAsia="宋体" w:cs="宋体"/>
                <w:bCs/>
                <w:color w:val="auto"/>
                <w:sz w:val="24"/>
                <w:szCs w:val="24"/>
                <w:highlight w:val="none"/>
                <w:vertAlign w:val="superscript"/>
                <w:lang w:val="en-US" w:eastAsia="zh-CN" w:bidi="ar"/>
              </w:rPr>
              <w:t xml:space="preserve">87</w:t>
            </w:r>
            <w:r>
              <w:rPr>
                <w:rFonts w:hint="eastAsia" w:ascii="宋体" w:hAnsi="宋体" w:eastAsia="宋体" w:cs="宋体"/>
                <w:bCs/>
                <w:color w:val="auto"/>
                <w:sz w:val="24"/>
                <w:szCs w:val="24"/>
                <w:highlight w:val="none"/>
                <w:lang w:val="en-US" w:eastAsia="zh-CN" w:bidi="ar"/>
              </w:rPr>
              <w:t xml:space="preserve">Rb/</w:t>
            </w:r>
            <w:r>
              <w:rPr>
                <w:rFonts w:hint="eastAsia" w:ascii="宋体" w:hAnsi="宋体" w:eastAsia="宋体" w:cs="宋体"/>
                <w:bCs/>
                <w:color w:val="auto"/>
                <w:sz w:val="24"/>
                <w:szCs w:val="24"/>
                <w:highlight w:val="none"/>
                <w:vertAlign w:val="superscript"/>
                <w:lang w:val="en-US" w:eastAsia="zh-CN" w:bidi="ar"/>
              </w:rPr>
              <w:t xml:space="preserve">87</w:t>
            </w:r>
            <w:r>
              <w:rPr>
                <w:rFonts w:hint="eastAsia" w:ascii="宋体" w:hAnsi="宋体" w:eastAsia="宋体" w:cs="宋体"/>
                <w:bCs/>
                <w:color w:val="auto"/>
                <w:sz w:val="24"/>
                <w:szCs w:val="24"/>
                <w:highlight w:val="none"/>
                <w:lang w:val="en-US" w:eastAsia="zh-CN" w:bidi="ar"/>
              </w:rPr>
              <w:t xml:space="preserve">Sr比值</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分析能力</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具有无需化学分离直接分析</w:t>
            </w:r>
            <w:r>
              <w:rPr>
                <w:rFonts w:hint="eastAsia" w:ascii="宋体" w:hAnsi="宋体" w:eastAsia="宋体" w:cs="宋体"/>
                <w:bCs/>
                <w:color w:val="auto"/>
                <w:sz w:val="24"/>
                <w:szCs w:val="24"/>
                <w:highlight w:val="none"/>
                <w:vertAlign w:val="superscript"/>
                <w:lang w:val="en-US" w:eastAsia="zh-CN" w:bidi="ar"/>
              </w:rPr>
              <w:t xml:space="preserve">87</w:t>
            </w:r>
            <w:r>
              <w:rPr>
                <w:rFonts w:hint="eastAsia" w:ascii="宋体" w:hAnsi="宋体" w:eastAsia="宋体" w:cs="宋体"/>
                <w:bCs/>
                <w:color w:val="auto"/>
                <w:sz w:val="24"/>
                <w:szCs w:val="24"/>
                <w:highlight w:val="none"/>
                <w:lang w:val="en-US" w:eastAsia="zh-CN" w:bidi="ar"/>
              </w:rPr>
              <w:t xml:space="preserve">Rb/</w:t>
            </w:r>
            <w:r>
              <w:rPr>
                <w:rFonts w:hint="eastAsia" w:ascii="宋体" w:hAnsi="宋体" w:eastAsia="宋体" w:cs="宋体"/>
                <w:bCs/>
                <w:color w:val="auto"/>
                <w:sz w:val="24"/>
                <w:szCs w:val="24"/>
                <w:highlight w:val="none"/>
                <w:vertAlign w:val="superscript"/>
                <w:lang w:val="en-US" w:eastAsia="zh-CN" w:bidi="ar"/>
              </w:rPr>
              <w:t xml:space="preserve">87</w:t>
            </w:r>
            <w:r>
              <w:rPr>
                <w:rFonts w:hint="eastAsia" w:ascii="宋体" w:hAnsi="宋体" w:eastAsia="宋体" w:cs="宋体"/>
                <w:bCs/>
                <w:color w:val="auto"/>
                <w:sz w:val="24"/>
                <w:szCs w:val="24"/>
                <w:highlight w:val="none"/>
                <w:lang w:val="en-US" w:eastAsia="zh-CN" w:bidi="ar"/>
              </w:rPr>
              <w:t xml:space="preserve">Sr比值的能力（所需分辨率287,000），分析结果的误差与TIMS相比小于1%。</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bookmarkStart w:id="131" w:name="OLE_LINK1"/>
            <w:r/>
            <w:bookmarkEnd w:id="131"/>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Tm、Yb、Lu杂质含量分析能力</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具有分析5N高纯氧化钆中Tm、Yb、Lu杂质含量的能力</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Lu杂质含量分析能力</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具有分析5N高纯氧化铽中Lu杂质含量的能力</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rHeight w:val="1151"/>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电感耦合等离子体质谱仪主机以及安装工具包1套，包含高灵敏度同心雾化器和小体积旋流雾室；全基体进样系统；全彩色等离子体观察窗；等离子体位置XYZ三轴全自动调节；三锥接口；射频发生器；1.0mm以上直径的采样锥和0.8mm以上直径的截取锥；四极杆离子偏转器；带轴向加速的四极杆碰撞反应池；含预四级杆的超高稳定特种合金四极杆质量分析器；双模同时检测器；四级真空系统；操作软件等。</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2.循环冷却水1套</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3.仪器调试溶液1套</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4.自动进样器1套 </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5.A3彩色打印一体机1台</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6.长1.5米、宽0.75米、高0.85米操作台一套</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7.排风设施一套</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8.隔断一套，材质：铝合金，尺寸根据现场定制。</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人员培训、技术支持</w:t>
            </w:r>
            <w:r/>
          </w:p>
        </w:tc>
        <w:tc>
          <w:tcPr>
            <w:shd w:val="clear" w:color="auto" w:fill="auto"/>
            <w:tcBorders>
              <w:top w:val="single" w:color="auto" w:sz="4" w:space="0"/>
              <w:left w:val="single" w:color="auto" w:sz="4" w:space="0"/>
              <w:bottom w:val="single" w:color="auto" w:sz="4" w:space="0"/>
              <w:right w:val="single" w:color="auto" w:sz="4" w:space="0"/>
            </w:tcBorders>
            <w:tcW w:w="5112"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提供承诺书）对仪器操作人员由厂商提供培训（不少于2人），培训地点由厂商指定。为采购方提供1次扩项指导服务。</w:t>
            </w:r>
            <w:r/>
          </w:p>
        </w:tc>
        <w:tc>
          <w:tcPr>
            <w:shd w:val="clear" w:color="auto" w:fill="auto"/>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outlineLvl w:val="9"/>
        <w:suppressLineNumbers w:val="0"/>
      </w:pPr>
      <w:r/>
      <w:bookmarkStart w:id="132" w:name="_Toc24354"/>
      <w:r>
        <w:rPr>
          <w:rFonts w:hint="eastAsia" w:ascii="宋体" w:hAnsi="宋体" w:eastAsia="宋体" w:cs="宋体"/>
          <w:b/>
          <w:bCs w:val="0"/>
          <w:color w:val="auto"/>
          <w:sz w:val="28"/>
          <w:szCs w:val="28"/>
          <w:highlight w:val="none"/>
          <w:lang w:val="en-US" w:eastAsia="zh-CN" w:bidi="ar"/>
        </w:rPr>
        <w:t xml:space="preserve">（三）ECD检测器</w:t>
      </w:r>
      <w:bookmarkEnd w:id="132"/>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037"/>
        <w:gridCol w:w="1518"/>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pStyle w:val="908"/>
              <w:ind w:left="0" w:right="0"/>
              <w:jc w:val="both"/>
              <w:keepLines w:val="0"/>
              <w:keepNext w:val="0"/>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037"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1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最低检测限</w:t>
            </w:r>
            <w:r/>
          </w:p>
        </w:tc>
        <w:tc>
          <w:tcPr>
            <w:shd w:val="clear" w:color="auto" w:fill="auto"/>
            <w:tcBorders>
              <w:top w:val="single" w:color="auto" w:sz="4" w:space="0"/>
              <w:left w:val="none" w:color="000000" w:sz="4" w:space="0"/>
              <w:bottom w:val="single" w:color="auto" w:sz="4" w:space="0"/>
              <w:right w:val="single" w:color="auto" w:sz="4" w:space="0"/>
            </w:tcBorders>
            <w:tcW w:w="503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&lt;3.8fg/ml（林丹在标准条件下）</w:t>
            </w:r>
            <w:r/>
          </w:p>
        </w:tc>
        <w:tc>
          <w:tcPr>
            <w:shd w:val="clear" w:color="auto" w:fill="auto"/>
            <w:tcBorders>
              <w:top w:val="single" w:color="auto" w:sz="4" w:space="0"/>
              <w:left w:val="none" w:color="000000" w:sz="4" w:space="0"/>
              <w:bottom w:val="single" w:color="auto" w:sz="4" w:space="0"/>
              <w:right w:val="single" w:color="auto" w:sz="4" w:space="0"/>
            </w:tcBorders>
            <w:tcW w:w="151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线性动态范围</w:t>
            </w:r>
            <w:r/>
          </w:p>
        </w:tc>
        <w:tc>
          <w:tcPr>
            <w:shd w:val="clear" w:color="auto" w:fill="auto"/>
            <w:tcBorders>
              <w:top w:val="single" w:color="auto" w:sz="4" w:space="0"/>
              <w:left w:val="none" w:color="000000" w:sz="4" w:space="0"/>
              <w:bottom w:val="single" w:color="auto" w:sz="4" w:space="0"/>
              <w:right w:val="single" w:color="auto" w:sz="4" w:space="0"/>
            </w:tcBorders>
            <w:tcW w:w="503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&gt;5*10</w:t>
            </w:r>
            <w:r>
              <w:rPr>
                <w:rFonts w:hint="eastAsia" w:ascii="宋体" w:hAnsi="宋体" w:eastAsia="宋体" w:cs="宋体"/>
                <w:color w:val="auto"/>
                <w:sz w:val="24"/>
                <w:szCs w:val="24"/>
                <w:highlight w:val="none"/>
                <w:vertAlign w:val="superscript"/>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1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放射源</w:t>
            </w:r>
            <w:r/>
          </w:p>
        </w:tc>
        <w:tc>
          <w:tcPr>
            <w:shd w:val="clear" w:color="auto" w:fill="auto"/>
            <w:tcBorders>
              <w:top w:val="single" w:color="auto" w:sz="4" w:space="0"/>
              <w:left w:val="none" w:color="000000" w:sz="4" w:space="0"/>
              <w:bottom w:val="single" w:color="auto" w:sz="4" w:space="0"/>
              <w:right w:val="single" w:color="auto" w:sz="4" w:space="0"/>
            </w:tcBorders>
            <w:tcW w:w="503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&lt;15mCi的</w:t>
            </w:r>
            <w:r>
              <w:rPr>
                <w:rFonts w:hint="eastAsia" w:ascii="宋体" w:hAnsi="宋体" w:eastAsia="宋体" w:cs="宋体"/>
                <w:color w:val="auto"/>
                <w:sz w:val="24"/>
                <w:szCs w:val="24"/>
                <w:highlight w:val="none"/>
                <w:vertAlign w:val="superscript"/>
                <w:lang w:val="en-US" w:eastAsia="zh-CN" w:bidi="ar"/>
              </w:rPr>
              <w:t xml:space="preserve">63</w:t>
            </w:r>
            <w:r>
              <w:rPr>
                <w:rFonts w:hint="eastAsia" w:ascii="宋体" w:hAnsi="宋体" w:eastAsia="宋体" w:cs="宋体"/>
                <w:color w:val="auto"/>
                <w:sz w:val="24"/>
                <w:szCs w:val="24"/>
                <w:highlight w:val="none"/>
                <w:lang w:val="en-US" w:eastAsia="zh-CN" w:bidi="ar"/>
              </w:rPr>
              <w:t xml:space="preserve">Ni的β射线</w:t>
            </w:r>
            <w:r/>
          </w:p>
        </w:tc>
        <w:tc>
          <w:tcPr>
            <w:shd w:val="clear" w:color="auto" w:fill="auto"/>
            <w:tcBorders>
              <w:top w:val="single" w:color="auto" w:sz="4" w:space="0"/>
              <w:left w:val="none" w:color="000000" w:sz="4" w:space="0"/>
              <w:bottom w:val="single" w:color="auto" w:sz="4" w:space="0"/>
              <w:right w:val="single" w:color="auto" w:sz="4" w:space="0"/>
            </w:tcBorders>
            <w:tcW w:w="151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最高使用温度</w:t>
            </w:r>
            <w:r/>
          </w:p>
        </w:tc>
        <w:tc>
          <w:tcPr>
            <w:shd w:val="clear" w:color="auto" w:fill="auto"/>
            <w:tcBorders>
              <w:top w:val="single" w:color="auto" w:sz="4" w:space="0"/>
              <w:left w:val="none" w:color="000000" w:sz="4" w:space="0"/>
              <w:bottom w:val="single" w:color="auto" w:sz="4" w:space="0"/>
              <w:right w:val="single" w:color="auto" w:sz="4" w:space="0"/>
            </w:tcBorders>
            <w:tcW w:w="503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≥400℃</w:t>
            </w:r>
            <w:r/>
          </w:p>
        </w:tc>
        <w:tc>
          <w:tcPr>
            <w:shd w:val="clear" w:color="auto" w:fill="auto"/>
            <w:tcBorders>
              <w:top w:val="single" w:color="auto" w:sz="4" w:space="0"/>
              <w:left w:val="none" w:color="000000" w:sz="4" w:space="0"/>
              <w:bottom w:val="single" w:color="auto" w:sz="4" w:space="0"/>
              <w:right w:val="single" w:color="auto" w:sz="4" w:space="0"/>
            </w:tcBorders>
            <w:tcW w:w="151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安装隐含阳极</w:t>
            </w:r>
            <w:r/>
          </w:p>
        </w:tc>
        <w:tc>
          <w:tcPr>
            <w:shd w:val="clear" w:color="auto" w:fill="auto"/>
            <w:tcBorders>
              <w:top w:val="single" w:color="auto" w:sz="4" w:space="0"/>
              <w:left w:val="none" w:color="000000" w:sz="4" w:space="0"/>
              <w:bottom w:val="single" w:color="auto" w:sz="4" w:space="0"/>
              <w:right w:val="single" w:color="auto" w:sz="4" w:space="0"/>
            </w:tcBorders>
            <w:tcW w:w="503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安装隐含阳极和大体积流速，防止污染</w:t>
            </w:r>
            <w:r/>
          </w:p>
        </w:tc>
        <w:tc>
          <w:tcPr>
            <w:shd w:val="clear" w:color="auto" w:fill="auto"/>
            <w:tcBorders>
              <w:top w:val="single" w:color="auto" w:sz="4" w:space="0"/>
              <w:left w:val="none" w:color="000000" w:sz="4" w:space="0"/>
              <w:bottom w:val="single" w:color="auto" w:sz="4" w:space="0"/>
              <w:right w:val="single" w:color="auto" w:sz="4" w:space="0"/>
            </w:tcBorders>
            <w:tcW w:w="151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03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ECD检测器1个</w:t>
            </w:r>
            <w:r/>
          </w:p>
        </w:tc>
        <w:tc>
          <w:tcPr>
            <w:shd w:val="clear" w:color="auto" w:fill="auto"/>
            <w:tcBorders>
              <w:top w:val="single" w:color="auto" w:sz="4" w:space="0"/>
              <w:left w:val="none" w:color="000000" w:sz="4" w:space="0"/>
              <w:bottom w:val="single" w:color="auto" w:sz="4" w:space="0"/>
              <w:right w:val="single" w:color="auto" w:sz="4" w:space="0"/>
            </w:tcBorders>
            <w:tcW w:w="151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其他</w:t>
            </w:r>
            <w:r/>
          </w:p>
        </w:tc>
        <w:tc>
          <w:tcPr>
            <w:shd w:val="clear" w:color="auto" w:fill="auto"/>
            <w:tcBorders>
              <w:top w:val="single" w:color="auto" w:sz="4" w:space="0"/>
              <w:left w:val="none" w:color="000000" w:sz="4" w:space="0"/>
              <w:bottom w:val="single" w:color="auto" w:sz="4" w:space="0"/>
              <w:right w:val="single" w:color="auto" w:sz="4" w:space="0"/>
            </w:tcBorders>
            <w:tcW w:w="503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该产品用于更换现有7890A型安捷伦气相色谱仪ECD检测器，所投产品如不是原品牌配件，须提供承诺函，须确保与原有设备完全匹配使用，否则招标人有权拒收。承诺函格式自拟。</w:t>
            </w:r>
            <w:r/>
          </w:p>
        </w:tc>
        <w:tc>
          <w:tcPr>
            <w:shd w:val="clear" w:color="auto" w:fill="auto"/>
            <w:tcBorders>
              <w:top w:val="single" w:color="auto" w:sz="4" w:space="0"/>
              <w:left w:val="none" w:color="000000" w:sz="4" w:space="0"/>
              <w:bottom w:val="single" w:color="auto" w:sz="4" w:space="0"/>
              <w:right w:val="single" w:color="auto" w:sz="4" w:space="0"/>
            </w:tcBorders>
            <w:tcW w:w="151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pStyle w:val="908"/>
        <w:ind w:left="0" w:right="0"/>
        <w:jc w:val="both"/>
        <w:keepLines w:val="0"/>
        <w:keepNext w:val="0"/>
        <w:spacing w:before="0" w:beforeAutospacing="0" w:after="0" w:afterAutospacing="0" w:line="360" w:lineRule="auto"/>
        <w:widowControl/>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p>
      <w:pPr>
        <w:rPr>
          <w:rFonts w:hint="eastAsia"/>
          <w:color w:val="auto"/>
          <w:highlight w:val="none"/>
        </w:rPr>
        <w:outlineLvl w:val="9"/>
      </w:pPr>
      <w:r>
        <w:rPr>
          <w:rFonts w:hint="eastAsia"/>
          <w:color w:val="auto"/>
          <w:highlight w:val="none"/>
        </w:rPr>
        <w:br w:type="page" w:clear="all"/>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8"/>
          <w:szCs w:val="28"/>
          <w:highlight w:val="none"/>
        </w:rPr>
        <w:outlineLvl w:val="1"/>
        <w:suppressLineNumbers w:val="0"/>
      </w:pPr>
      <w:r/>
      <w:bookmarkStart w:id="133" w:name="_Toc3845"/>
      <w:r>
        <w:rPr>
          <w:rFonts w:hint="eastAsia" w:ascii="宋体" w:hAnsi="宋体" w:eastAsia="宋体" w:cs="宋体"/>
          <w:b/>
          <w:bCs/>
          <w:color w:val="auto"/>
          <w:sz w:val="28"/>
          <w:szCs w:val="28"/>
          <w:highlight w:val="none"/>
          <w:lang w:val="en-US" w:eastAsia="zh-CN" w:bidi="ar"/>
        </w:rPr>
        <w:t xml:space="preserve">附件3：</w:t>
      </w:r>
      <w:r>
        <w:rPr>
          <w:rFonts w:hint="eastAsia" w:ascii="宋体" w:hAnsi="宋体" w:cs="宋体"/>
          <w:b/>
          <w:bCs/>
          <w:color w:val="auto"/>
          <w:sz w:val="28"/>
          <w:szCs w:val="28"/>
          <w:highlight w:val="none"/>
          <w:lang w:val="en-US" w:eastAsia="zh-CN" w:bidi="ar"/>
        </w:rPr>
        <w:t xml:space="preserve">采购包</w:t>
      </w:r>
      <w:r>
        <w:rPr>
          <w:rFonts w:hint="eastAsia" w:ascii="宋体" w:hAnsi="宋体" w:eastAsia="宋体" w:cs="宋体"/>
          <w:b/>
          <w:bCs/>
          <w:color w:val="auto"/>
          <w:sz w:val="28"/>
          <w:szCs w:val="28"/>
          <w:highlight w:val="none"/>
          <w:lang w:val="en-US" w:eastAsia="zh-CN" w:bidi="ar"/>
        </w:rPr>
        <w:t xml:space="preserve">3技术参数要求</w:t>
      </w:r>
      <w:bookmarkEnd w:id="133"/>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34" w:name="_Toc1169"/>
      <w:r>
        <w:rPr>
          <w:rFonts w:hint="eastAsia" w:ascii="宋体" w:hAnsi="宋体" w:eastAsia="宋体" w:cs="宋体"/>
          <w:b/>
          <w:bCs/>
          <w:color w:val="auto"/>
          <w:sz w:val="24"/>
          <w:szCs w:val="24"/>
          <w:highlight w:val="none"/>
          <w:lang w:val="en-US" w:eastAsia="zh-CN" w:bidi="ar"/>
        </w:rPr>
        <w:t xml:space="preserve">（一）降水采样器</w:t>
      </w:r>
      <w:bookmarkEnd w:id="134"/>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执行标准</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GB 13580.1～GB 13580.13 大气降水采样和分析方法</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（2）HJ/T 165-2004 酸沉降监测技术规范</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（3）HJ/T 174-2005 降雨自动采样器技术要求及检测方法</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主要性能要求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（1）雨量计与采样器一体化设计</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（2）整机外壳耐腐蚀</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（3）接雨漏斗应选用惰性材料制作</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（4）多种采样模式灵活采样，如时间、雨量、场次等</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（5）进样漏斗、样品储存桶均应采用惰性材料，保证样品本底无污染</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（6）感雨器具有加热装置，能有效防止雾、露水启动设备和蒸发残留的湿沉降物。</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（7）可实时查询并通过微型打印机打印采样数据报表</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（8）大数据存储，具备掉电保护功能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（9）测试仪具备USB接口，可外接U盘，对测试数据进行转存输出</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感雨器灵敏度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最低感应降雨强度≤0.05mm/h或≤0.5mm直径雨滴</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接雨漏斗</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上口内径Φ(300±2)mm；离支撑面≥1.2m</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降雨开盖延迟时间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≤60s</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雨停关盖延迟时间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≤5min</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样品存储</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采样器应有采样桶用于保存雨水样品。采样桶在送到实验室前应在 ３～５℃冰箱内进行保存，并能显示采样桶温度。</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准确度：不超过±1℃</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雨量计分辨率</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≤0.1mm</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雨量计降雨量测量误差</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降雨量≤10mm时, 不超过±0.4mm；</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降雨量＞10mm时, 不超过±4%</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雨量计测量最大降雨强度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≥4mm/min</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工作电源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AC(220±22 )V, 50Hz或DC24V</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内置式雨量计1个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 恒温箱1个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（4）阀控制组件1套</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 热敏打印机1台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 样品储存箱2个</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bookmarkStart w:id="135" w:name="_Toc13514"/>
      <w:r>
        <w:rPr>
          <w:rFonts w:hint="eastAsia" w:ascii="宋体" w:hAnsi="宋体" w:eastAsia="宋体" w:cs="宋体"/>
          <w:b/>
          <w:bCs/>
          <w:color w:val="auto"/>
          <w:sz w:val="24"/>
          <w:szCs w:val="24"/>
          <w:highlight w:val="none"/>
          <w:lang w:val="en-US" w:eastAsia="zh-CN" w:bidi="ar"/>
        </w:rPr>
        <w:t xml:space="preserve">（二）便携式流速测量仪</w:t>
      </w:r>
      <w:bookmarkEnd w:id="135"/>
      <w:r/>
      <w:r/>
    </w:p>
    <w:tbl>
      <w:tblPr>
        <w:tblStyle w:val="910"/>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7"/>
        <w:gridCol w:w="1769"/>
        <w:gridCol w:w="5642"/>
        <w:gridCol w:w="1080"/>
      </w:tblGrid>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69"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642"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速度范围</w:t>
            </w:r>
            <w:r/>
          </w:p>
        </w:tc>
        <w:tc>
          <w:tcPr>
            <w:shd w:val="clear" w:color="auto" w:fill="auto"/>
            <w:tcBorders>
              <w:top w:val="single" w:color="auto" w:sz="4" w:space="0"/>
              <w:left w:val="none" w:color="000000" w:sz="4" w:space="0"/>
              <w:bottom w:val="single" w:color="auto" w:sz="4" w:space="0"/>
              <w:right w:val="single" w:color="auto" w:sz="4" w:space="0"/>
            </w:tcBorders>
            <w:tcW w:w="5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0.2米/秒～10米/秒</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测量精度</w:t>
            </w:r>
            <w:r/>
          </w:p>
        </w:tc>
        <w:tc>
          <w:tcPr>
            <w:shd w:val="clear" w:color="auto" w:fill="auto"/>
            <w:tcBorders>
              <w:top w:val="single" w:color="auto" w:sz="4" w:space="0"/>
              <w:left w:val="none" w:color="000000" w:sz="4" w:space="0"/>
              <w:bottom w:val="single" w:color="auto" w:sz="4" w:space="0"/>
              <w:right w:val="single" w:color="auto" w:sz="4" w:space="0"/>
            </w:tcBorders>
            <w:tcW w:w="5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±0.03m/s</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发射角</w:t>
            </w:r>
            <w:r/>
          </w:p>
        </w:tc>
        <w:tc>
          <w:tcPr>
            <w:shd w:val="clear" w:color="auto" w:fill="auto"/>
            <w:tcBorders>
              <w:top w:val="single" w:color="auto" w:sz="4" w:space="0"/>
              <w:left w:val="none" w:color="000000" w:sz="4" w:space="0"/>
              <w:bottom w:val="single" w:color="auto" w:sz="4" w:space="0"/>
              <w:right w:val="single" w:color="auto" w:sz="4" w:space="0"/>
            </w:tcBorders>
            <w:tcW w:w="5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12°</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信号处理 </w:t>
            </w:r>
            <w:r/>
          </w:p>
        </w:tc>
        <w:tc>
          <w:tcPr>
            <w:shd w:val="clear" w:color="auto" w:fill="auto"/>
            <w:tcBorders>
              <w:top w:val="single" w:color="auto" w:sz="4" w:space="0"/>
              <w:left w:val="none" w:color="000000" w:sz="4" w:space="0"/>
              <w:bottom w:val="single" w:color="auto" w:sz="4" w:space="0"/>
              <w:right w:val="single" w:color="auto" w:sz="4" w:space="0"/>
            </w:tcBorders>
            <w:tcW w:w="5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角度补偿：垂直（自动）和水平（手动）</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倾斜传感器，可自行进行余弦补偿</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传输</w:t>
            </w:r>
            <w:r/>
          </w:p>
        </w:tc>
        <w:tc>
          <w:tcPr>
            <w:shd w:val="clear" w:color="auto" w:fill="auto"/>
            <w:tcBorders>
              <w:top w:val="single" w:color="auto" w:sz="4" w:space="0"/>
              <w:left w:val="none" w:color="000000" w:sz="4" w:space="0"/>
              <w:bottom w:val="single" w:color="auto" w:sz="4" w:space="0"/>
              <w:right w:val="single" w:color="auto" w:sz="4" w:space="0"/>
            </w:tcBorders>
            <w:tcW w:w="5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USB数据传输</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w:t>
            </w:r>
            <w:r/>
          </w:p>
        </w:tc>
        <w:tc>
          <w:tcPr>
            <w:shd w:val="clear" w:color="auto" w:fill="auto"/>
            <w:tcBorders>
              <w:top w:val="single" w:color="auto" w:sz="4" w:space="0"/>
              <w:left w:val="none" w:color="000000" w:sz="4" w:space="0"/>
              <w:bottom w:val="single" w:color="auto" w:sz="4" w:space="0"/>
              <w:right w:val="single" w:color="auto" w:sz="4" w:space="0"/>
            </w:tcBorders>
            <w:tcW w:w="5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工作温度：-20℃～70℃</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7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电池：</w:t>
            </w:r>
            <w:r/>
          </w:p>
        </w:tc>
        <w:tc>
          <w:tcPr>
            <w:shd w:val="clear" w:color="auto" w:fill="auto"/>
            <w:tcBorders>
              <w:top w:val="single" w:color="auto" w:sz="4" w:space="0"/>
              <w:left w:val="none" w:color="000000" w:sz="4" w:space="0"/>
              <w:bottom w:val="single" w:color="auto" w:sz="4" w:space="0"/>
              <w:right w:val="single" w:color="auto" w:sz="4" w:space="0"/>
            </w:tcBorders>
            <w:tcW w:w="5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电池连续使用不少于8小时</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7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随机附件1套</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36" w:name="_Toc20500"/>
      <w:r>
        <w:rPr>
          <w:rFonts w:hint="eastAsia" w:ascii="宋体" w:hAnsi="宋体" w:eastAsia="宋体" w:cs="宋体"/>
          <w:b/>
          <w:bCs/>
          <w:color w:val="auto"/>
          <w:sz w:val="24"/>
          <w:szCs w:val="24"/>
          <w:highlight w:val="none"/>
          <w:lang w:val="en-US" w:eastAsia="zh-CN" w:bidi="ar"/>
        </w:rPr>
        <w:t xml:space="preserve">（三）便携式氧化还原电位仪</w:t>
      </w:r>
      <w:bookmarkEnd w:id="136"/>
      <w:r/>
      <w:r/>
    </w:p>
    <w:tbl>
      <w:tblPr>
        <w:tblStyle w:val="910"/>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4"/>
        <w:gridCol w:w="1782"/>
        <w:gridCol w:w="5622"/>
        <w:gridCol w:w="1070"/>
      </w:tblGrid>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82"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622"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7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ORP/mV</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2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测量范围：(-2000.0～2000.0)mV</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最小分辨率：≤0.1mV</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电子单元示值误差：≤±0.1%或±0.3mV</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电子单元重复性：≤1mV</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仪器配套误差 (ORP)：≤±15mV</w:t>
            </w:r>
            <w:r/>
          </w:p>
        </w:tc>
        <w:tc>
          <w:tcPr>
            <w:shd w:val="clear" w:color="auto" w:fill="auto"/>
            <w:tcBorders>
              <w:top w:val="single" w:color="auto" w:sz="4" w:space="0"/>
              <w:left w:val="none" w:color="000000" w:sz="4" w:space="0"/>
              <w:bottom w:val="single" w:color="auto" w:sz="4" w:space="0"/>
              <w:right w:val="single" w:color="auto" w:sz="4" w:space="0"/>
            </w:tcBorders>
            <w:tcW w:w="10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62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（2）ORP电极1支</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（3）温度电极1支</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（4）ORP校准试剂1个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（5）便携式防护箱1个</w:t>
            </w:r>
            <w:r/>
          </w:p>
        </w:tc>
        <w:tc>
          <w:tcPr>
            <w:shd w:val="clear" w:color="auto" w:fill="auto"/>
            <w:tcBorders>
              <w:top w:val="single" w:color="auto" w:sz="4" w:space="0"/>
              <w:left w:val="none" w:color="000000" w:sz="4" w:space="0"/>
              <w:bottom w:val="single" w:color="auto" w:sz="4" w:space="0"/>
              <w:right w:val="single" w:color="auto" w:sz="4" w:space="0"/>
            </w:tcBorders>
            <w:tcW w:w="10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37" w:name="_Toc2314"/>
      <w:r>
        <w:rPr>
          <w:rFonts w:hint="eastAsia" w:ascii="宋体" w:hAnsi="宋体" w:eastAsia="宋体" w:cs="宋体"/>
          <w:b/>
          <w:bCs/>
          <w:color w:val="auto"/>
          <w:sz w:val="24"/>
          <w:szCs w:val="24"/>
          <w:highlight w:val="none"/>
          <w:lang w:val="en-US" w:eastAsia="zh-CN" w:bidi="ar"/>
        </w:rPr>
        <w:t xml:space="preserve">（四）环境空气综合采样器</w:t>
      </w:r>
      <w:bookmarkEnd w:id="137"/>
      <w:r/>
      <w:r/>
    </w:p>
    <w:tbl>
      <w:tblPr>
        <w:tblStyle w:val="910"/>
        <w:tblW w:w="91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设备基本功能需求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用于环境空气中总悬浮微粒(TSP)、可吸入微粒(PM10、PM2.5)等颗粒物和气态污染物（含VOC）采样</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性能要求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 一机多用，具有不少于4气路同时采样功能，每路采样流量分别设置并独自恒流控制。可同时作为环境空气采样器、无组织废气采样器和TSP/PM10/颗粒物采样器；也可设置任意单路采样。</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2.2采样流量可自动控制，并且需采用高精度、耐腐蚀电子流量计，满足恶劣工况下的正常采样。</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2.3可自动补偿因为电压波动和阻力、温度变化引起的流量变化</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2.4一体式恒温箱设计，可内置不少于4个吸收瓶</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2.5采样过程停电自动保存工作数据，来电后可恢复采样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2.6精密芯泵，耐腐蚀，低噪音，且具有过载保护功能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2.7可以实现即时采样、定时采样、间隔采样等多种采样模式</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2.8应拥有智能化软件流量标定功能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2.9内置锂电池和充电管理模块，具备交流、直流双供电功能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2.10外挂折叠支撑架，方便收纳，减小占用空间。</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105" w:right="-105"/>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颗粒物采样流量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最大空载流量不小于100L/min</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分辨率：≤0.1L/min</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精确度：不超过±5%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大气采样流量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center"/>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标配(0～1.0）L/min</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分辨率：≤0.01L/min</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 不超过±5%</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流量计前温度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80）℃</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精确度：不超过±2.5℃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流量计前压力</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（-45</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0）kPa</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分辨率：≤0.01kPa</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 不超过±2.5%</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流量重复性</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精确度：不超过2%</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流量稳定性</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精确度：不超过5%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恒温控制</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30）℃</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 不超过±2℃</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大气压</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130）kPa</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分辨率：≤0.01kPa</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精确度：不超过±500Pa</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负载能力</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100L/min流量时，可克服阻力不低于6kPa</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工作电源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内置锂电池（11.1V/15.6Ah）或外接AC 220V 50Hz交流电源</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（2）采样头1个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（3）取样支架1个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（4）防倒吸干燥筒1个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（5）挂架1个</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38" w:name="_Toc20889"/>
      <w:r>
        <w:rPr>
          <w:rFonts w:hint="eastAsia" w:ascii="宋体" w:hAnsi="宋体" w:eastAsia="宋体" w:cs="宋体"/>
          <w:b/>
          <w:bCs/>
          <w:color w:val="auto"/>
          <w:sz w:val="24"/>
          <w:szCs w:val="24"/>
          <w:highlight w:val="none"/>
          <w:lang w:val="en-US" w:eastAsia="zh-CN" w:bidi="ar"/>
        </w:rPr>
        <w:t xml:space="preserve">（五）便携式智能烟气流速仪（含烟温、动静压、流速、湿度等烟气参数）</w:t>
      </w:r>
      <w:bookmarkEnd w:id="138"/>
      <w:r/>
      <w:r/>
    </w:p>
    <w:tbl>
      <w:tblPr>
        <w:tblStyle w:val="910"/>
        <w:tblW w:w="93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717"/>
        <w:gridCol w:w="104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设备性能要求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（1）抽取式一体化设计，将取样管、含湿量等功能模块与主机集成</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（2）含湿量测量模块后置，直读烟道内含湿量数据，可适应高温、高湿工况</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（3）含湿量具有校准功能，可对含湿量进行校准</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（4）取样管全程伴热，加热温度可调，均匀加热</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（4）取样管可适应高温工况采样，同时可满足其它不同复杂工况采样</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（5）支持交、直流两种供电方式，电源适配器可进行仪器供电也可以进行电池充电管理</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（6）对接式可更换皮托管，可双向使用，更换方便</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（7）含湿量检测时可同步测量动压、静压、烟温、流速、大气压等参数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（8）采用无线或有线双传输模式，可将实时检测数据输出给其他设备</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含湿量</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40）%</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5)% 绝对误差≤±0.75%</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40)% 相对误差≤±15%</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大气压</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106）kPa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分辨率：≤0.01kPa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示值误差：不超过±500Pa</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动压</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2000）kPa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分辨率：≤1Pa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示值误差：不超过±1%FS</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静压</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+30）kPa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分辨率：≤0.01kPa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示值误差：不超过±1%FS</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烟温</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200）℃</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示值误差：不超过±3℃</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流速</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45）m/s</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分辨率：≤0.1m/s</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示值误差：不超过±5%</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加热温度</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（50～120）℃</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分辨率：≤1℃</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示值误差：不超过±10℃</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皮托管系数</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≥0.84±0.01</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总长度</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≥1.0m</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71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桌面电源适配器1个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接地线1根</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39" w:name="_Toc8643"/>
      <w:r>
        <w:rPr>
          <w:rFonts w:hint="eastAsia" w:ascii="宋体" w:hAnsi="宋体" w:eastAsia="宋体" w:cs="宋体"/>
          <w:b/>
          <w:bCs/>
          <w:color w:val="auto"/>
          <w:sz w:val="24"/>
          <w:szCs w:val="24"/>
          <w:highlight w:val="none"/>
          <w:lang w:val="en-US" w:eastAsia="zh-CN" w:bidi="ar"/>
        </w:rPr>
        <w:t xml:space="preserve">（六）固定剂箱（含6个瓶口分配器）</w:t>
      </w:r>
      <w:bookmarkEnd w:id="139"/>
      <w:r/>
      <w:r/>
    </w:p>
    <w:tbl>
      <w:tblPr>
        <w:tblStyle w:val="910"/>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774"/>
        <w:gridCol w:w="5846"/>
        <w:gridCol w:w="1010"/>
      </w:tblGrid>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pStyle w:val="908"/>
              <w:ind w:left="0" w:right="0"/>
              <w:jc w:val="left"/>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设备用途</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用于水质监测现场采样时，现场于水样添加固定剂进行保护以确保实验数据准确。</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产品组成</w:t>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上盖和与其下侧相连的箱体/6个固定剂加液器/防护衬里加液器密封性好，无论静置或运输状态，均不会漏液，提高安全性。</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连续加液功能</w:t>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具有定量连续加液功能，量程范围范围从1-5ml共6个</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防护衬里固定</w:t>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加液器及储液瓶由防护衬里固定，不会发生碰撞，倾倒。</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加样器内活塞柱</w:t>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器内活塞柱由99.7%的高纯度陶瓷制成的，其他与液体接触部分为氟塑料等材料，耐腐蚀、耐磨损，可兼容各种强酸，强碱和有机溶剂。固定剂加样器具有可折叠的管路，除适用采样固定剂箱内的储液瓶外，还可兼容未来其他实验所需要的大容量的试剂瓶。</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加样器精度</w:t>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加样器精度不大于0.5%，精度高于移液器，移液管，操作更快捷。</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加液器设定刻度</w:t>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固定剂通过加液器设定刻度，并可无论顺时针还是逆时针方向，在360度范围内快速调节到同一刻度，一次性定量排出固定剂于样品中。</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加样器瓶口</w:t>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工作状态是加样器瓶口可转出采样箱，收纳状态时加样器瓶口可转回采样箱。</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试剂瓶材料</w:t>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加样瓶底下的试剂瓶材料为透明氟塑料瓶，能耐强酸，强碱和有机溶剂，无金属离子和杂质析出。同时不怕摔，即使运输碰撞也不担心瓶子破损。保证采样过程和运输使用安全。</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774" w:type="dxa"/>
            <w:vAlign w:val="top"/>
            <w:textDirection w:val="lrTb"/>
            <w:noWrap w:val="false"/>
          </w:tcPr>
          <w:p>
            <w:pPr>
              <w:pStyle w:val="908"/>
              <w:ind w:left="0" w:right="0"/>
              <w:jc w:val="left"/>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pStyle w:val="908"/>
              <w:ind w:left="0" w:right="0"/>
              <w:jc w:val="left"/>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4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采样箱1个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连续定量加液器6个</w:t>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pStyle w:val="908"/>
        <w:ind w:left="0" w:right="0"/>
        <w:jc w:val="left"/>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bookmarkStart w:id="140" w:name="_Toc26420"/>
      <w:r>
        <w:rPr>
          <w:rFonts w:hint="eastAsia" w:ascii="宋体" w:hAnsi="宋体" w:eastAsia="宋体" w:cs="宋体"/>
          <w:b/>
          <w:bCs/>
          <w:color w:val="auto"/>
          <w:sz w:val="24"/>
          <w:szCs w:val="24"/>
          <w:highlight w:val="none"/>
          <w:lang w:val="en-US" w:eastAsia="zh-CN" w:bidi="ar"/>
        </w:rPr>
        <w:t xml:space="preserve">（七）声级计</w:t>
      </w:r>
      <w:bookmarkEnd w:id="140"/>
      <w:r/>
      <w:r/>
    </w:p>
    <w:tbl>
      <w:tblPr>
        <w:tblStyle w:val="910"/>
        <w:tblW w:w="93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775"/>
        <w:gridCol w:w="5865"/>
        <w:gridCol w:w="1000"/>
      </w:tblGrid>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1.1频率范围</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 Hz～20 kHz；</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 A/D位数</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24位；</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1.3采样频率</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48 kHz；</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A计权声级20 dB～143 dB；</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C计权声级25 dB～143 dB；</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Z计权声级30 dB～143 dB；</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C计权峰值声级60 dB～146 dB。</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时间计权</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并行（同时）F、S、I；</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频率计权</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并行（同时）A、C、Z；</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检波特性</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真有效值数字检波；</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显示器</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≥4.3英寸电容型触摸屏；</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主要显示内容</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可实时测量及显示9个及以上测量指标、统计分布图、累积分布图、24小时分布图；</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主要测量功能</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总值积分、统计积分、24小时自动监测、1/1 OCT分析；</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主要测量指标</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Lxyp、Lxeq,T、Lxeq,t、Lxmax、Lxmin、LxN、SD、SEL、Lxpeak等</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注：x为A，C，Z；y为F，S，I；N为5，10，50，90，95。</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rHeight w:val="634"/>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77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8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风球1个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锂电池1个（内置）</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串口转接线1根</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延伸线及延伸杆各1个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三脚架1个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携带箱1个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打印机1台</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41" w:name="_Toc6855"/>
      <w:r>
        <w:rPr>
          <w:rFonts w:hint="eastAsia" w:ascii="宋体" w:hAnsi="宋体" w:eastAsia="宋体" w:cs="宋体"/>
          <w:b/>
          <w:bCs/>
          <w:color w:val="auto"/>
          <w:sz w:val="24"/>
          <w:szCs w:val="24"/>
          <w:highlight w:val="none"/>
          <w:lang w:val="en-US" w:eastAsia="zh-CN" w:bidi="ar"/>
        </w:rPr>
        <w:t xml:space="preserve">（八）声校准器</w:t>
      </w:r>
      <w:bookmarkEnd w:id="141"/>
      <w:r/>
      <w:r/>
    </w:p>
    <w:tbl>
      <w:tblPr>
        <w:tblStyle w:val="910"/>
        <w:tblW w:w="93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7"/>
        <w:gridCol w:w="1771"/>
        <w:gridCol w:w="5840"/>
        <w:gridCol w:w="1030"/>
      </w:tblGrid>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84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rHeight w:val="320"/>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声压级</w:t>
            </w:r>
            <w:r/>
          </w:p>
        </w:tc>
        <w:tc>
          <w:tcPr>
            <w:shd w:val="clear" w:color="auto" w:fill="auto"/>
            <w:tcBorders>
              <w:top w:val="single" w:color="auto" w:sz="4" w:space="0"/>
              <w:left w:val="none" w:color="000000" w:sz="4" w:space="0"/>
              <w:bottom w:val="single" w:color="auto" w:sz="4" w:space="0"/>
              <w:right w:val="single" w:color="auto" w:sz="4" w:space="0"/>
            </w:tcBorders>
            <w:tcW w:w="58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94dB及114dB（以2×10-5Pa为参考）。</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频率</w:t>
            </w:r>
            <w:r/>
          </w:p>
        </w:tc>
        <w:tc>
          <w:tcPr>
            <w:shd w:val="clear" w:color="auto" w:fill="auto"/>
            <w:tcBorders>
              <w:top w:val="single" w:color="auto" w:sz="4" w:space="0"/>
              <w:left w:val="none" w:color="000000" w:sz="4" w:space="0"/>
              <w:bottom w:val="single" w:color="auto" w:sz="4" w:space="0"/>
              <w:right w:val="single" w:color="auto" w:sz="4" w:space="0"/>
            </w:tcBorders>
            <w:tcW w:w="58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≤1000 Hz±1% </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428"/>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总失真</w:t>
            </w:r>
            <w:r/>
          </w:p>
        </w:tc>
        <w:tc>
          <w:tcPr>
            <w:shd w:val="clear" w:color="auto" w:fill="auto"/>
            <w:tcBorders>
              <w:top w:val="single" w:color="auto" w:sz="4" w:space="0"/>
              <w:left w:val="none" w:color="000000" w:sz="4" w:space="0"/>
              <w:bottom w:val="single" w:color="auto" w:sz="4" w:space="0"/>
              <w:right w:val="single" w:color="auto" w:sz="4" w:space="0"/>
            </w:tcBorders>
            <w:tcW w:w="58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≤2.5% </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稳定时间</w:t>
            </w:r>
            <w:r/>
          </w:p>
        </w:tc>
        <w:tc>
          <w:tcPr>
            <w:shd w:val="clear" w:color="auto" w:fill="auto"/>
            <w:tcBorders>
              <w:top w:val="single" w:color="auto" w:sz="4" w:space="0"/>
              <w:left w:val="none" w:color="000000" w:sz="4" w:space="0"/>
              <w:bottom w:val="single" w:color="auto" w:sz="4" w:space="0"/>
              <w:right w:val="single" w:color="auto" w:sz="4" w:space="0"/>
            </w:tcBorders>
            <w:tcW w:w="58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 s</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包装盒1个</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42" w:name="_Toc17226"/>
      <w:r>
        <w:rPr>
          <w:rFonts w:hint="eastAsia" w:ascii="宋体" w:hAnsi="宋体" w:eastAsia="宋体" w:cs="宋体"/>
          <w:b/>
          <w:bCs/>
          <w:color w:val="auto"/>
          <w:sz w:val="24"/>
          <w:szCs w:val="24"/>
          <w:highlight w:val="none"/>
          <w:lang w:val="en-US" w:eastAsia="zh-CN" w:bidi="ar"/>
        </w:rPr>
        <w:t xml:space="preserve">（九）轻便式风速风向仪</w:t>
      </w:r>
      <w:bookmarkEnd w:id="142"/>
      <w:r/>
      <w:r/>
    </w:p>
    <w:tbl>
      <w:tblPr>
        <w:tblStyle w:val="910"/>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755"/>
        <w:gridCol w:w="5885"/>
        <w:gridCol w:w="1040"/>
      </w:tblGrid>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88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风速技术指标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8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（1）测定方法：三杯式</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（2）测量范围：1～30m/s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（3）起动风速：≤0.8m/s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（4）测量精度：≤±（0.3 + 0.03×V）m/s（V实际风速） </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风向技术指标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8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（1）测量范围：0～360度；16个方位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（2）起动风速：≤1.0m/s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（3）测量精度：±1/2方位 </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88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（2）风速传感器1只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（3）风向传感器1只</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43" w:name="_Toc21311"/>
      <w:r>
        <w:rPr>
          <w:rFonts w:hint="eastAsia" w:ascii="宋体" w:hAnsi="宋体" w:eastAsia="宋体" w:cs="宋体"/>
          <w:b/>
          <w:bCs/>
          <w:color w:val="auto"/>
          <w:sz w:val="24"/>
          <w:szCs w:val="24"/>
          <w:highlight w:val="none"/>
          <w:lang w:val="en-US" w:eastAsia="zh-CN" w:bidi="ar"/>
        </w:rPr>
        <w:t xml:space="preserve">（十）应急电源</w:t>
      </w:r>
      <w:bookmarkEnd w:id="143"/>
      <w:r/>
      <w:r/>
    </w:p>
    <w:tbl>
      <w:tblPr>
        <w:tblStyle w:val="910"/>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7"/>
        <w:gridCol w:w="1771"/>
        <w:gridCol w:w="5900"/>
        <w:gridCol w:w="960"/>
      </w:tblGrid>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90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电池类型</w:t>
            </w:r>
            <w:r/>
          </w:p>
        </w:tc>
        <w:tc>
          <w:tcPr>
            <w:shd w:val="clear" w:color="auto" w:fill="auto"/>
            <w:tcBorders>
              <w:top w:val="single" w:color="auto" w:sz="4" w:space="0"/>
              <w:left w:val="none" w:color="000000" w:sz="4" w:space="0"/>
              <w:bottom w:val="single" w:color="auto" w:sz="4" w:space="0"/>
              <w:right w:val="single" w:color="auto" w:sz="4" w:space="0"/>
            </w:tcBorders>
            <w:tcW w:w="5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用于野外作业环境交/直流供电</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负载功率</w:t>
            </w:r>
            <w:r/>
          </w:p>
        </w:tc>
        <w:tc>
          <w:tcPr>
            <w:shd w:val="clear" w:color="auto" w:fill="auto"/>
            <w:tcBorders>
              <w:top w:val="single" w:color="auto" w:sz="4" w:space="0"/>
              <w:left w:val="none" w:color="000000" w:sz="4" w:space="0"/>
              <w:bottom w:val="single" w:color="auto" w:sz="4" w:space="0"/>
              <w:right w:val="single" w:color="auto" w:sz="4" w:space="0"/>
            </w:tcBorders>
            <w:tcW w:w="5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≥1100W（额定），2200W（峰值）</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额定容量</w:t>
            </w:r>
            <w:r/>
          </w:p>
        </w:tc>
        <w:tc>
          <w:tcPr>
            <w:shd w:val="clear" w:color="auto" w:fill="auto"/>
            <w:tcBorders>
              <w:top w:val="single" w:color="auto" w:sz="4" w:space="0"/>
              <w:left w:val="none" w:color="000000" w:sz="4" w:space="0"/>
              <w:bottom w:val="single" w:color="auto" w:sz="4" w:space="0"/>
              <w:right w:val="single" w:color="auto" w:sz="4" w:space="0"/>
            </w:tcBorders>
            <w:tcW w:w="5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≥160000mAh</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安全</w:t>
            </w:r>
            <w:r/>
          </w:p>
        </w:tc>
        <w:tc>
          <w:tcPr>
            <w:shd w:val="clear" w:color="auto" w:fill="auto"/>
            <w:tcBorders>
              <w:top w:val="single" w:color="auto" w:sz="4" w:space="0"/>
              <w:left w:val="none" w:color="000000" w:sz="4" w:space="0"/>
              <w:bottom w:val="single" w:color="auto" w:sz="4" w:space="0"/>
              <w:right w:val="single" w:color="auto" w:sz="4" w:space="0"/>
            </w:tcBorders>
            <w:tcW w:w="5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具有充电、放电过压过流保护，短路、温度保护功能</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输出标称电压</w:t>
            </w:r>
            <w:r/>
          </w:p>
        </w:tc>
        <w:tc>
          <w:tcPr>
            <w:shd w:val="clear" w:color="auto" w:fill="auto"/>
            <w:tcBorders>
              <w:top w:val="single" w:color="auto" w:sz="4" w:space="0"/>
              <w:left w:val="none" w:color="000000" w:sz="4" w:space="0"/>
              <w:bottom w:val="single" w:color="auto" w:sz="4" w:space="0"/>
              <w:right w:val="single" w:color="auto" w:sz="4" w:space="0"/>
            </w:tcBorders>
            <w:tcW w:w="5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AC220V  50Hz ; DC12V  </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7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应急电源1台</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44" w:name="_Toc19795"/>
      <w:r>
        <w:rPr>
          <w:rFonts w:hint="eastAsia" w:ascii="宋体" w:hAnsi="宋体" w:eastAsia="宋体" w:cs="宋体"/>
          <w:b/>
          <w:bCs/>
          <w:color w:val="auto"/>
          <w:sz w:val="24"/>
          <w:szCs w:val="24"/>
          <w:highlight w:val="none"/>
          <w:lang w:val="en-US" w:eastAsia="zh-CN" w:bidi="ar"/>
        </w:rPr>
        <w:t xml:space="preserve">（十一）便携式GC-MS 色谱柱</w:t>
      </w:r>
      <w:bookmarkEnd w:id="144"/>
      <w:r/>
      <w:r/>
    </w:p>
    <w:tbl>
      <w:tblPr>
        <w:tblStyle w:val="910"/>
        <w:tblW w:w="93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5"/>
        <w:gridCol w:w="1770"/>
        <w:gridCol w:w="5833"/>
        <w:gridCol w:w="1040"/>
      </w:tblGrid>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833"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配套现有便携式气-质联用分析仪</w:t>
            </w:r>
            <w:r/>
          </w:p>
        </w:tc>
        <w:tc>
          <w:tcPr>
            <w:shd w:val="clear" w:color="auto" w:fill="auto"/>
            <w:tcBorders>
              <w:top w:val="single" w:color="auto" w:sz="4" w:space="0"/>
              <w:left w:val="none" w:color="000000" w:sz="4" w:space="0"/>
              <w:bottom w:val="single" w:color="auto" w:sz="4" w:space="0"/>
              <w:right w:val="single" w:color="auto" w:sz="4" w:space="0"/>
            </w:tcBorders>
            <w:tcW w:w="583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色谱柱模块，配套现有便携式气-质联用分析仪使用</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该产品招标人现有设备为Hapsite ER便携式GC-MS。所投产品如不是原品牌配件，须提供承诺函，须确保与原有设备完全匹配使用，否则招标人有权拒收。承诺函格式自拟。</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柱子要求</w:t>
            </w:r>
            <w:r/>
          </w:p>
        </w:tc>
        <w:tc>
          <w:tcPr>
            <w:shd w:val="clear" w:color="auto" w:fill="auto"/>
            <w:tcBorders>
              <w:top w:val="single" w:color="auto" w:sz="4" w:space="0"/>
              <w:left w:val="none" w:color="000000" w:sz="4" w:space="0"/>
              <w:bottom w:val="single" w:color="auto" w:sz="4" w:space="0"/>
              <w:right w:val="single" w:color="auto" w:sz="4" w:space="0"/>
            </w:tcBorders>
            <w:tcW w:w="583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柱子要求：不小于15米，0.25毫米内径，1.0微米膜厚</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柱子温度范围</w:t>
            </w:r>
            <w:r/>
          </w:p>
        </w:tc>
        <w:tc>
          <w:tcPr>
            <w:shd w:val="clear" w:color="auto" w:fill="auto"/>
            <w:tcBorders>
              <w:top w:val="single" w:color="auto" w:sz="4" w:space="0"/>
              <w:left w:val="none" w:color="000000" w:sz="4" w:space="0"/>
              <w:bottom w:val="single" w:color="auto" w:sz="4" w:space="0"/>
              <w:right w:val="single" w:color="auto" w:sz="4" w:space="0"/>
            </w:tcBorders>
            <w:tcW w:w="583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45℃</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200℃</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83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色谱柱模块 1套（包括更换、安装等技术服务）</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人员培训、技术支持</w:t>
            </w:r>
            <w:r/>
          </w:p>
        </w:tc>
        <w:tc>
          <w:tcPr>
            <w:shd w:val="clear" w:color="auto" w:fill="auto"/>
            <w:tcBorders>
              <w:top w:val="single" w:color="auto" w:sz="4" w:space="0"/>
              <w:left w:val="none" w:color="000000" w:sz="4" w:space="0"/>
              <w:bottom w:val="single" w:color="auto" w:sz="4" w:space="0"/>
              <w:right w:val="single" w:color="auto" w:sz="4" w:space="0"/>
            </w:tcBorders>
            <w:tcW w:w="5833" w:type="dxa"/>
            <w:vAlign w:val="top"/>
            <w:textDirection w:val="lrTb"/>
            <w:noWrap w:val="false"/>
          </w:tcPr>
          <w:p>
            <w:pPr>
              <w:pStyle w:val="908"/>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（提供承诺书）</w:t>
            </w:r>
            <w:r>
              <w:rPr>
                <w:rFonts w:hint="eastAsia" w:ascii="宋体" w:hAnsi="宋体" w:eastAsia="宋体" w:cs="宋体"/>
                <w:bCs/>
                <w:color w:val="auto"/>
                <w:sz w:val="24"/>
                <w:szCs w:val="24"/>
                <w:highlight w:val="none"/>
                <w:lang w:val="en-US" w:eastAsia="zh-CN" w:bidi="ar"/>
              </w:rPr>
              <w:t xml:space="preserve">对仪器操作人员由厂商提供培训（不少于2人），培训地点由厂商指定。为采购方提供1次扩项指导服务。</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45" w:name="_Toc19949"/>
      <w:r>
        <w:rPr>
          <w:rFonts w:hint="eastAsia" w:ascii="宋体" w:hAnsi="宋体" w:eastAsia="宋体" w:cs="宋体"/>
          <w:b/>
          <w:bCs/>
          <w:color w:val="auto"/>
          <w:sz w:val="24"/>
          <w:szCs w:val="24"/>
          <w:highlight w:val="none"/>
          <w:lang w:val="en-US" w:eastAsia="zh-CN" w:bidi="ar"/>
        </w:rPr>
        <w:t xml:space="preserve">（十二）便携式傅里叶红外监测仪（含湿量、CO2、CO、NO、NO2、N2O、SO2、NH3、HCL、HF、CH4、O2、苯、甲苯、氯苯等五十种以上物质）</w:t>
      </w:r>
      <w:bookmarkEnd w:id="145"/>
      <w:r/>
      <w:r/>
    </w:p>
    <w:tbl>
      <w:tblPr>
        <w:tblStyle w:val="910"/>
        <w:tblW w:w="93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749"/>
        <w:gridCol w:w="5831"/>
        <w:gridCol w:w="1060"/>
      </w:tblGrid>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设备用途</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采用傅里叶变换红外光谱法用于空气突发性应急和固定污染源中气体的定性、定量分析。</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采样方法</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抽取法</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测量方法</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采用傅里叶红外原理进行测量，测量方法符合国家环境保护部相关标准（HJ 919-2017、HJ 920-2017、HJ 1240-2021、HJ 1330-2023）</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监测内容</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可以应急监测环境空气也可以监测污染源废气中的无机有害气体</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适用范围</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适用于实验室、现场及车载等多环境下使用</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安全防护</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仪器外壳或外罩应耐腐蚀、密封性良好、防尘、防雨，仪器应至少达到GB/T4208中IP55防护等级要求</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采样部件加热</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样品采集部件须具备加热、保温和反吹净化功能，其加热温度一般不低于 120 ℃，且高于烟气温度 20℃以上</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样品预处理</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样品预处理单元中样品采集部件还应具备颗粒物过滤功能，其采样设备的前端或后端应具备便于更换或清洗的颗粒物过滤器，过滤器滤料的材质应不吸附和不与气态污染物发生反应，过滤器应至少能过滤 5 μm 粒径的颗粒物。采样泵应具备克服烟道负压的足够抽气能力，仪器应保障采样流量准确可靠、相对稳定</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仪器校准</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样品采集和传输部件应具备完成全系统校准的功能要求。仪器设备还应具备手动和/或自动校准功能</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设备吹扫</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仪器设备应具备利用高纯氮气对分析仪进行吹扫的功能</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交互界面</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全中文人机交互界面，大尺寸触摸显示屏，内装操作系统自动进行数据处理，自动记录存储测试结果及数据，具有</w:t>
            </w:r>
            <w:r>
              <w:rPr>
                <w:rFonts w:hint="eastAsia" w:ascii="宋体" w:hAnsi="宋体" w:eastAsia="宋体" w:cs="宋体"/>
                <w:color w:val="auto"/>
                <w:sz w:val="24"/>
                <w:szCs w:val="24"/>
                <w:highlight w:val="none"/>
                <w:lang w:val="en-US" w:eastAsia="zh-CN" w:bidi="ar"/>
              </w:rPr>
              <w:t xml:space="preserve">测量、标定、谱图显示、离线分析、数据报表导出打印等功能</w:t>
            </w:r>
            <w:r>
              <w:rPr>
                <w:rFonts w:hint="eastAsia" w:ascii="宋体" w:hAnsi="宋体" w:eastAsia="宋体" w:cs="宋体"/>
                <w:bCs/>
                <w:color w:val="auto"/>
                <w:sz w:val="24"/>
                <w:szCs w:val="24"/>
                <w:highlight w:val="none"/>
                <w:lang w:val="en-US" w:eastAsia="zh-CN" w:bidi="ar"/>
              </w:rPr>
              <w:t xml:space="preserve">和测量数据远传模块</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显示和记录异常数据</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应显示和记录超出其零点以下和量程以上至少10%的数据值</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双量程切换测量</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双量程切换测量，能选择ppm或者mg/m3，干/湿基以及参比氧气体浓度值均有测量显示</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操作界面</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中文版操作界面，包括测量、标定、谱图显示、离线分析、数据报表导出等功能</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数据传输</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实时显示设备地理位置，配备无线蓝牙打印机</w:t>
            </w:r>
            <w:r>
              <w:rPr>
                <w:rFonts w:hint="eastAsia" w:ascii="宋体" w:hAnsi="宋体" w:eastAsia="宋体" w:cs="宋体"/>
                <w:bCs/>
                <w:color w:val="auto"/>
                <w:sz w:val="24"/>
                <w:szCs w:val="24"/>
                <w:highlight w:val="none"/>
                <w:lang w:val="en-US" w:eastAsia="zh-CN" w:bidi="ar"/>
              </w:rPr>
              <w:t xml:space="preserve">，支持信号信号输出功能及数据有线/无线网络传输功能</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供电方式</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污染源废气监测采用220V AC市电供电</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数据溯源</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能够查看历史测试结果、样气测试谱图及标气标定谱图。</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498"/>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重复性</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RSD≤5%</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线性误差</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不超过±5%F.S.</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水分、二氧化碳变化影响优于</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±4%F.S.</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环境温度变化影响优于</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±5%F.S.</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响应时间</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≤120s</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采样流量</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≥2L/min（可调）</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气室温度</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≥180℃（提供技术证明文件）</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光谱范围</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至少满足(900-4000)cm</w:t>
            </w:r>
            <w:r>
              <w:rPr>
                <w:rFonts w:hint="eastAsia" w:ascii="宋体" w:hAnsi="宋体" w:eastAsia="宋体" w:cs="宋体"/>
                <w:color w:val="auto"/>
                <w:sz w:val="24"/>
                <w:szCs w:val="24"/>
                <w:highlight w:val="none"/>
                <w:vertAlign w:val="superscript"/>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主机重量</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＜30kg，便于携带</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测量组分及量程</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（1）无机气体：SO2、NO、NO2、NH3、HCl、CO、O2（氧化锆法）、H2O等等；</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（2）温室气体：CH4、CO2、N2O、SF6等等</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（3）挥发性有机气体：苯、甲苯、二甲苯等等</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pStyle w:val="908"/>
              <w:ind w:left="0" w:right="0" w:firstLine="0"/>
              <w:jc w:val="both"/>
              <w:keepLines w:val="0"/>
              <w:keepNext w:val="0"/>
              <w:spacing w:before="0" w:beforeAutospacing="0" w:after="0" w:afterAutospacing="0" w:line="32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pStyle w:val="908"/>
              <w:ind w:left="0" w:right="0" w:firstLine="0"/>
              <w:jc w:val="both"/>
              <w:keepLines w:val="0"/>
              <w:keepNext w:val="0"/>
              <w:spacing w:before="0" w:beforeAutospacing="0" w:after="0" w:afterAutospacing="0" w:line="320" w:lineRule="exact"/>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（1）主机1台</w:t>
            </w:r>
            <w:r/>
          </w:p>
          <w:p>
            <w:pPr>
              <w:pStyle w:val="908"/>
              <w:ind w:left="0" w:right="0" w:firstLine="0"/>
              <w:jc w:val="both"/>
              <w:keepLines w:val="0"/>
              <w:keepNext w:val="0"/>
              <w:spacing w:before="0" w:beforeAutospacing="0" w:after="0" w:afterAutospacing="0" w:line="320" w:lineRule="exact"/>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预处理单元（含采样探头，采样管线，可接驳探杆长短各一根）1个</w:t>
            </w:r>
            <w:r/>
          </w:p>
          <w:p>
            <w:pPr>
              <w:pStyle w:val="908"/>
              <w:ind w:left="0" w:right="0" w:firstLine="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（3）便携箱1个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（4）分析软件1套</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（5）移动工作站1台</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人员培训、技术支持</w:t>
            </w:r>
            <w:r/>
          </w:p>
        </w:tc>
        <w:tc>
          <w:tcPr>
            <w:shd w:val="clear" w:color="auto" w:fill="auto"/>
            <w:tcBorders>
              <w:top w:val="single" w:color="auto" w:sz="4" w:space="0"/>
              <w:left w:val="none" w:color="000000" w:sz="4" w:space="0"/>
              <w:bottom w:val="single" w:color="auto" w:sz="4" w:space="0"/>
              <w:right w:val="single" w:color="auto" w:sz="4" w:space="0"/>
            </w:tcBorders>
            <w:tcW w:w="5831" w:type="dxa"/>
            <w:vAlign w:val="top"/>
            <w:textDirection w:val="lrTb"/>
            <w:noWrap w:val="false"/>
          </w:tcPr>
          <w:p>
            <w:pPr>
              <w:pStyle w:val="908"/>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（提供承诺书）</w:t>
            </w:r>
            <w:r>
              <w:rPr>
                <w:rFonts w:hint="eastAsia" w:ascii="宋体" w:hAnsi="宋体" w:eastAsia="宋体" w:cs="宋体"/>
                <w:bCs/>
                <w:color w:val="auto"/>
                <w:sz w:val="24"/>
                <w:szCs w:val="24"/>
                <w:highlight w:val="none"/>
                <w:lang w:val="en-US" w:eastAsia="zh-CN" w:bidi="ar"/>
              </w:rPr>
              <w:t xml:space="preserve">对仪器操作人员由厂商提供培训（不少于4人），培训地点由厂商指定。为采购方提供1次扩项指导服务。</w:t>
            </w:r>
            <w:r>
              <w:rPr>
                <w:rFonts w:hint="eastAsia" w:ascii="宋体" w:hAnsi="宋体" w:eastAsia="宋体" w:cs="宋体"/>
                <w:color w:val="auto"/>
                <w:sz w:val="24"/>
                <w:szCs w:val="24"/>
                <w:highlight w:val="none"/>
                <w:lang w:val="en-US" w:eastAsia="zh-CN" w:bidi="ar"/>
              </w:rPr>
              <w:t xml:space="preserve">仪</w:t>
            </w:r>
            <w:r>
              <w:rPr>
                <w:rFonts w:hint="eastAsia" w:ascii="宋体" w:hAnsi="宋体" w:eastAsia="宋体" w:cs="宋体"/>
                <w:bCs/>
                <w:color w:val="auto"/>
                <w:sz w:val="24"/>
                <w:szCs w:val="24"/>
                <w:highlight w:val="none"/>
                <w:lang w:val="en-US" w:eastAsia="zh-CN" w:bidi="ar"/>
              </w:rPr>
              <w:t xml:space="preserve">器设备后期定期返厂烟气标定、谱库升级以及氧传感器的定期更换均免费提供服务。</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pStyle w:val="908"/>
        <w:ind w:left="0" w:right="0"/>
        <w:jc w:val="both"/>
        <w:keepLines w:val="0"/>
        <w:keepNext w:val="0"/>
        <w:pageBreakBefore w:val="0"/>
        <w:spacing w:before="0" w:beforeAutospacing="0" w:after="0" w:afterAutospacing="0" w:line="20" w:lineRule="exact"/>
        <w:shd w:val="clear" w:color="auto" w:fill="7f7f7f"/>
        <w:widowControl w:val="off"/>
        <w:rPr>
          <w:rFonts w:hint="eastAsia" w:ascii="宋体" w:hAnsi="宋体" w:eastAsia="宋体" w:cs="宋体"/>
          <w:b/>
          <w:bCs w:val="0"/>
          <w:color w:val="auto"/>
          <w:sz w:val="30"/>
          <w:szCs w:val="30"/>
          <w:highlight w:val="none"/>
          <w:shd w:val="clear" w:color="auto" w:fill="7f7f7f"/>
        </w:rPr>
        <w:outlineLvl w:val="9"/>
        <w:suppressLineNumbers w:val="0"/>
      </w:pPr>
      <w:r>
        <w:rPr>
          <w:rFonts w:hint="eastAsia" w:ascii="宋体" w:hAnsi="宋体" w:eastAsia="宋体" w:cs="宋体"/>
          <w:b/>
          <w:bCs w:val="0"/>
          <w:color w:val="auto"/>
          <w:sz w:val="30"/>
          <w:szCs w:val="30"/>
          <w:highlight w:val="none"/>
          <w:shd w:val="clear" w:color="auto" w:fill="7f7f7f"/>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46" w:name="_Toc31118"/>
      <w:r>
        <w:rPr>
          <w:rFonts w:hint="eastAsia" w:ascii="宋体" w:hAnsi="宋体" w:eastAsia="宋体" w:cs="宋体"/>
          <w:b/>
          <w:bCs/>
          <w:color w:val="auto"/>
          <w:sz w:val="24"/>
          <w:szCs w:val="24"/>
          <w:highlight w:val="none"/>
          <w:lang w:val="en-US" w:eastAsia="zh-CN" w:bidi="ar"/>
        </w:rPr>
        <w:t xml:space="preserve">（十三）应急检测管/检测试纸</w:t>
      </w:r>
      <w:bookmarkEnd w:id="146"/>
      <w:r/>
      <w:r/>
    </w:p>
    <w:tbl>
      <w:tblPr>
        <w:tblStyle w:val="910"/>
        <w:tblW w:w="93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3"/>
        <w:gridCol w:w="1792"/>
        <w:gridCol w:w="5813"/>
        <w:gridCol w:w="1040"/>
      </w:tblGrid>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92"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813"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92"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水质：CODcr、TP、NH3-N、TN</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13"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适用于分光光度计</w:t>
            </w:r>
            <w:r/>
          </w:p>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 COD试剂</w:t>
            </w:r>
            <w:r>
              <w:rPr>
                <w:rFonts w:hint="eastAsia" w:ascii="宋体" w:hAnsi="宋体" w:eastAsia="宋体" w:cs="宋体"/>
                <w:bCs/>
                <w:color w:val="auto"/>
                <w:sz w:val="24"/>
                <w:szCs w:val="24"/>
                <w:highlight w:val="none"/>
                <w:lang w:val="en-US" w:eastAsia="zh-CN" w:bidi="ar"/>
              </w:rPr>
              <w:t xml:space="preserve">量程:15-150mg/l，150支/盒 20分钟快速法</w:t>
            </w:r>
            <w:r/>
          </w:p>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 总磷试剂：</w:t>
            </w:r>
            <w:r>
              <w:rPr>
                <w:rFonts w:hint="eastAsia" w:ascii="宋体" w:hAnsi="宋体" w:eastAsia="宋体" w:cs="宋体"/>
                <w:bCs/>
                <w:color w:val="auto"/>
                <w:sz w:val="24"/>
                <w:szCs w:val="24"/>
                <w:highlight w:val="none"/>
                <w:lang w:val="en-US" w:eastAsia="zh-CN" w:bidi="ar"/>
              </w:rPr>
              <w:t xml:space="preserve">量程：0.15-4.50mg/L PO43-，25次</w:t>
            </w:r>
            <w:r/>
          </w:p>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1.3氨氮试剂：</w:t>
            </w:r>
            <w:r>
              <w:rPr>
                <w:rFonts w:hint="eastAsia" w:ascii="宋体" w:hAnsi="宋体" w:eastAsia="宋体" w:cs="宋体"/>
                <w:bCs/>
                <w:color w:val="auto"/>
                <w:sz w:val="24"/>
                <w:szCs w:val="24"/>
                <w:highlight w:val="none"/>
                <w:lang w:val="en-US" w:eastAsia="zh-CN" w:bidi="ar"/>
              </w:rPr>
              <w:t xml:space="preserve">量程:0.02-2.50 mg/L HN3-N，50次</w:t>
            </w:r>
            <w:r/>
          </w:p>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1.4总氮试剂：</w:t>
            </w:r>
            <w:r>
              <w:rPr>
                <w:rFonts w:hint="eastAsia" w:ascii="宋体" w:hAnsi="宋体" w:eastAsia="宋体" w:cs="宋体"/>
                <w:bCs/>
                <w:color w:val="auto"/>
                <w:sz w:val="24"/>
                <w:szCs w:val="24"/>
                <w:highlight w:val="none"/>
                <w:lang w:val="en-US" w:eastAsia="zh-CN" w:bidi="ar"/>
              </w:rPr>
              <w:t xml:space="preserve">量程：0.5-25.0mg/L,50支/盒</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92"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气：氯气、光气</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13"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2.1氯气检测管适用复合气体检测仪</w:t>
            </w:r>
            <w:r/>
          </w:p>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2.2光气检测管适用复合气体检测仪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92"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金属快筛试纸：铜、锌、铅、镉、铁、锰、镍、六价铬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1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3.1铜试纸：量程：0-300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3.2锌试纸：量程：0-100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3.3镉试剂：量程：0-2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3.4铁试纸：量程：0-100 0-1000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3.5锰试纸：量程：0-10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3.6镍试纸：量程：0-1000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3.7铬试纸（铬酸盐）：量程：0-100 mg/L</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9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快筛试纸</w:t>
            </w:r>
            <w:r/>
          </w:p>
        </w:tc>
        <w:tc>
          <w:tcPr>
            <w:shd w:val="clear" w:color="auto" w:fill="auto"/>
            <w:tcBorders>
              <w:top w:val="single" w:color="auto" w:sz="4" w:space="0"/>
              <w:left w:val="none" w:color="000000" w:sz="4" w:space="0"/>
              <w:bottom w:val="single" w:color="auto" w:sz="4" w:space="0"/>
              <w:right w:val="single" w:color="auto" w:sz="4" w:space="0"/>
            </w:tcBorders>
            <w:tcW w:w="5813"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化学需氧量、氨氮、总磷、总氮、总氯、余氯、硝酸盐氮、亚硝酸盐氮等</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92"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余氯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1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适用于分光光度计</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量程：0.02-2.00 mg/L Cl</w:t>
            </w:r>
            <w:r>
              <w:rPr>
                <w:rFonts w:hint="eastAsia" w:ascii="宋体" w:hAnsi="宋体" w:eastAsia="宋体" w:cs="宋体"/>
                <w:bCs/>
                <w:color w:val="auto"/>
                <w:sz w:val="24"/>
                <w:szCs w:val="24"/>
                <w:highlight w:val="none"/>
                <w:vertAlign w:val="subscript"/>
                <w:lang w:val="en-US" w:eastAsia="zh-CN" w:bidi="ar"/>
              </w:rPr>
              <w:t xml:space="preserve">2</w:t>
            </w:r>
            <w:r>
              <w:rPr>
                <w:rFonts w:hint="eastAsia" w:ascii="宋体" w:hAnsi="宋体" w:eastAsia="宋体" w:cs="宋体"/>
                <w:bCs/>
                <w:color w:val="auto"/>
                <w:sz w:val="24"/>
                <w:szCs w:val="24"/>
                <w:highlight w:val="none"/>
                <w:lang w:val="en-US" w:eastAsia="zh-CN" w:bidi="ar"/>
              </w:rPr>
              <w:t xml:space="preserve">，100次</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92"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水质重金属试剂：铁、锰、铜、镍、铝、锌等</w:t>
            </w:r>
            <w:r/>
          </w:p>
        </w:tc>
        <w:tc>
          <w:tcPr>
            <w:shd w:val="clear" w:color="auto" w:fill="auto"/>
            <w:tcBorders>
              <w:top w:val="single" w:color="auto" w:sz="4" w:space="0"/>
              <w:left w:val="none" w:color="000000" w:sz="4" w:space="0"/>
              <w:bottom w:val="single" w:color="auto" w:sz="4" w:space="0"/>
              <w:right w:val="single" w:color="auto" w:sz="4" w:space="0"/>
            </w:tcBorders>
            <w:tcW w:w="581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适用于多参数水质分析仪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792"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ATP(三磷酸腺苷)</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81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（1）拭子适用范围：液态样品</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（2）拭子储存：冷冻保存不少于五年；0至-4℃冷藏保存不少于10个月</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（3）适用于荧光检测仪</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79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81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应急检测管、检测试纸各2套，与现有仪器型号匹配（所采购的水质检测管及余氯适用于哈希DRB200型数字式反应器及DR1900分光光度计；气体检测管适用德尔格X-act7000检测仪;水质重金属试剂适用于上海海恒机电仪表股份有限公司的多参数水质分析仪（型号ZJS-07)；ATP(三磷酸腺苷)适用于山东霍尔德电子科技 HED-ATP荧光检测仪）</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79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配送要求</w:t>
            </w:r>
            <w:r/>
          </w:p>
        </w:tc>
        <w:tc>
          <w:tcPr>
            <w:shd w:val="clear" w:color="auto" w:fill="auto"/>
            <w:tcBorders>
              <w:top w:val="single" w:color="auto" w:sz="4" w:space="0"/>
              <w:left w:val="none" w:color="000000" w:sz="4" w:space="0"/>
              <w:bottom w:val="single" w:color="auto" w:sz="4" w:space="0"/>
              <w:right w:val="single" w:color="auto" w:sz="4" w:space="0"/>
            </w:tcBorders>
            <w:tcW w:w="581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根据招标人需要，分批次配送，具体以招标人通知为准。</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pStyle w:val="908"/>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47" w:name="_Toc16528"/>
      <w:r>
        <w:rPr>
          <w:rFonts w:hint="eastAsia" w:ascii="宋体" w:hAnsi="宋体" w:eastAsia="宋体" w:cs="宋体"/>
          <w:b/>
          <w:bCs/>
          <w:color w:val="auto"/>
          <w:sz w:val="24"/>
          <w:szCs w:val="24"/>
          <w:highlight w:val="none"/>
          <w:lang w:val="en-US" w:eastAsia="zh-CN" w:bidi="ar"/>
        </w:rPr>
        <w:t xml:space="preserve">（十四）便携式X射线荧光分析仪（土壤金属）</w:t>
      </w:r>
      <w:bookmarkEnd w:id="147"/>
      <w:r/>
      <w:r/>
    </w:p>
    <w:tbl>
      <w:tblPr>
        <w:tblStyle w:val="910"/>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1"/>
        <w:gridCol w:w="1350"/>
        <w:gridCol w:w="6267"/>
        <w:gridCol w:w="1050"/>
      </w:tblGrid>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设备用途</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用于土壤、污泥等介质中重金属元素含量的执法与应急监测现场分析测定，要求测试精度高。</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检测元素</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K,Ca,Ti,Cr,Mn,Fe,Co,Ni,Cu,Zn,As,Se,Rb,Sr,Zr,Nb,Mo,Ag,Cd,Sn,Sb,Re,Pd,Au,Hg,Pb,Bi,Cs,Ba,Th等30种元素或以上，并且在仪器屏幕上显示每种元素及其含量。</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储存数据</w:t>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可以储存和显示重金属的种类、含量和测试时间等</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数据传输与处理</w:t>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蓝牙、USB数据线，也可外接平板电脑、手机专用APP软件连接仪器进行操作使用，方便简单。</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安全系统</w:t>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具有散热和防辐射泄露的功能，保障使用安全。</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显示屏</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（1）屏幕尺寸：4.0英寸以上，高亮度彩色电阻屏，野外带手套也可操作。</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（2）屏幕与主机一体化固定角度设计，显示屏不可活动旋转，屏幕使用寿命更长，不易损坏，更适合现场应用。</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操作系统</w:t>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中文操作界面。</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工作条件</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（1）工作温度：-20℃～+50℃。</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（2）工作湿度：相对湿度＜95%。</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（3）仪器具有自动求平均值功能，方便客户现场求平均值。</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（4）仪器具有声音提示功能和灯光提示功能，工作时有明显灯光提示。</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指标要求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（1）测量时间：≤50s。</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（2）检出限：ppm级别。</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（3）电池一次充电可连续工作8小时以上。</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（4）电池具有剩余电量显示功能，方便现场随时查看电池电量；电池不插入设备可在电池上直接查看电池电量，并且插入设备也可在电池上直接查看电池电量。</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（5）仪器外置标准片，开机免校准。</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（6）仪器可建立有针对性的校正曲线。</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（7）全中文集成化软件,便于操作。</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分析模式多样化</w:t>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具备土壤、工业用地、农业用地等多种模式，能够依据元素结果和内置环境质量标准（可自定义）快速判断样品是否达标，当样品中某种元素测试结果超过内置标准时，软件会进行预警提示。</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2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（2）电池2个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（3）充电器1个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（4）USB数据线1条</w:t>
            </w:r>
            <w:r/>
          </w:p>
          <w:p>
            <w:pPr>
              <w:pStyle w:val="908"/>
              <w:ind w:left="0" w:right="0" w:firstLine="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（5）土壤混标样2个</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48" w:name="_Toc22351"/>
      <w:r>
        <w:rPr>
          <w:rFonts w:hint="eastAsia" w:ascii="宋体" w:hAnsi="宋体" w:eastAsia="宋体" w:cs="宋体"/>
          <w:b/>
          <w:bCs/>
          <w:color w:val="auto"/>
          <w:sz w:val="24"/>
          <w:szCs w:val="24"/>
          <w:highlight w:val="none"/>
          <w:lang w:val="en-US" w:eastAsia="zh-CN" w:bidi="ar"/>
        </w:rPr>
        <w:t xml:space="preserve">（十五）生物毒性检测仪</w:t>
      </w:r>
      <w:bookmarkEnd w:id="148"/>
      <w:r/>
      <w:r/>
    </w:p>
    <w:tbl>
      <w:tblPr>
        <w:tblStyle w:val="910"/>
        <w:tblW w:w="912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4"/>
        <w:gridCol w:w="1750"/>
        <w:gridCol w:w="5679"/>
        <w:gridCol w:w="1030"/>
      </w:tblGrid>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检测方法</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发光细菌法</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检测器</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硅光电倍增管</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重复性</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样品不少于3次重复测量</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灵敏度</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相当或优于鱼体96小时培养测定急性生物毒性试验法</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测试时间</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样品制备后30分钟内得到结果</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操作环境</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存储温度-10～50℃, 工作温度 +5～45℃</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相对湿度</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30-95%（25℃）</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数据存储</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不少于2000条</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连续工作时间</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不少于8个小时</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67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主机1台，配套试剂3套（根据购买方要求分批提供）</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49" w:name="_Toc13170"/>
      <w:r>
        <w:rPr>
          <w:rFonts w:hint="eastAsia" w:ascii="宋体" w:hAnsi="宋体" w:eastAsia="宋体" w:cs="宋体"/>
          <w:b/>
          <w:bCs/>
          <w:color w:val="auto"/>
          <w:sz w:val="24"/>
          <w:szCs w:val="24"/>
          <w:highlight w:val="none"/>
          <w:lang w:val="en-US" w:eastAsia="zh-CN" w:bidi="ar"/>
        </w:rPr>
        <w:t xml:space="preserve">（十六）手持式光离子化检测仪</w:t>
      </w:r>
      <w:bookmarkEnd w:id="149"/>
      <w:r/>
      <w:r/>
    </w:p>
    <w:tbl>
      <w:tblPr>
        <w:tblStyle w:val="910"/>
        <w:tblW w:w="9136"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执行标椎</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 GB 3836.1-2010  爆炸性环境 第1部分：设备 通用要求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 GB 3836.4-2010  爆炸性环境 第4部分：由本质安全型“i”保护的设备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 GB 12358-2006  作业场所环境气体检测报警仪通用技术要求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 HJ 733-2014  泄漏和敞开液面排放的挥发性有机物检测技术导则</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主要功能要求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（1）支持多气体浓度动态曲线同时显示和详情显示，方便用户观测污染物变化。</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（2）默认泵吸式测量方式，方便狭小空间采样便于查找泄漏点</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（3）内置大容量锂电池，可连续工作不少于8小时。</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（4）具有umol/mol和mg/m3双单位换算功能。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（5）配备可调节挂绳，预防仪器跌落损坏。</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持续工作时间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不少于8h</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环境温度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45）℃</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环境湿度</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95）%RH</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大气压</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130）kPa</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功    耗</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工作电源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内置锂电池不小于3Ah，同时可外接电源适配器</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常用传感器技术参数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VOCs检测模块：VOCs；</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参数范围：（0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20）umol/mol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分辨率：≤0.001umol/mol</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（2）检测模块1个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（3）过滤器1个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（4）包装箱1个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（5）可调节挂绳1个</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numPr>
          <w:ilvl w:val="0"/>
          <w:numId w:val="11"/>
        </w:numPr>
        <w:ind w:left="0" w:right="0" w:firstLine="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50" w:name="_Toc21208"/>
      <w:r>
        <w:rPr>
          <w:rFonts w:hint="eastAsia" w:ascii="宋体" w:hAnsi="宋体" w:eastAsia="宋体" w:cs="宋体"/>
          <w:b/>
          <w:bCs/>
          <w:color w:val="auto"/>
          <w:sz w:val="24"/>
          <w:szCs w:val="24"/>
          <w:highlight w:val="none"/>
          <w:lang w:val="en-US" w:eastAsia="zh-CN" w:bidi="ar"/>
        </w:rPr>
        <w:t xml:space="preserve">便携式氢火焰离子化检测仪</w:t>
      </w:r>
      <w:bookmarkEnd w:id="150"/>
      <w:r/>
      <w:r/>
    </w:p>
    <w:tbl>
      <w:tblPr>
        <w:tblStyle w:val="910"/>
        <w:tblW w:w="9136"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5490"/>
        <w:gridCol w:w="106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主要功能要求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numPr>
                <w:ilvl w:val="0"/>
                <w:numId w:val="12"/>
              </w:numPr>
              <w:ind w:left="0" w:right="0" w:firstLine="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仪器外壳或外罩应耐腐蚀、密封性能良好、防尘、防雨</w:t>
            </w:r>
            <w:r/>
          </w:p>
          <w:p>
            <w:pPr>
              <w:numPr>
                <w:ilvl w:val="0"/>
                <w:numId w:val="12"/>
              </w:numPr>
              <w:ind w:left="0" w:right="0" w:firstLine="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采用高灵敏、宽量程氢火焰离子化检测器</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（3）具有独立的助燃进气通道，可保证低氧环境下不熄火，完成样气检测</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（4）配备固态氢化物储氢瓶，插接式设计</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（5）可测定环境温度、大气压及进样气路计压</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（6）主机配置背带，可背负</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（7）内置本安防爆电池，供电不小于8小时</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（8）具备故障自检功能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（9）主机显示屏应为 OLED 显示屏，按键为非金属防静电按键。</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（10）显控器应具有数据存储、导出功能，并且可以选择打印数据的单位</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FID：(1.0</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50,000)ppm甲烷</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PID：(0.5</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2000)ppm异丁烯</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响应时间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FID：使用10,000ppm甲烷，最多在4秒内达到最终值的90%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PID：使用500ppm异丁烯，最多在4秒内达到最终值的90%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重复性</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FID：500ppm甲烷时≤±2%</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PID：100ppm异丁烯时≤±2%</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准确性</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FID：≤读数的±10%或±0.1ppm,取大值，从1.0ppm到10000ppm</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PID：≤读数的±20%或±0.5ppm，取大值，从0.5ppm到2000ppm</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预热时间</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≤25min</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最低检出限</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FID：≤0.5ppm甲烷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PID：≤0.5ppm异丁烯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采样流量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不低于0.5L/min</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用气时长</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≥8h </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    量</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不大于5kg（不含储氢气）</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（2）显控器1个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（3）取样管组件1套</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（4）电源适配器1个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（5）延长杆1个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（6）充气管线1根</w:t>
            </w:r>
            <w:r/>
          </w:p>
        </w:tc>
        <w:tc>
          <w:tcPr>
            <w:shd w:val="clear" w:color="auto" w:fill="auto"/>
            <w:tcBorders>
              <w:top w:val="single" w:color="auto" w:sz="4" w:space="0"/>
              <w:left w:val="none" w:color="000000" w:sz="4" w:space="0"/>
              <w:bottom w:val="single" w:color="auto" w:sz="4" w:space="0"/>
              <w:right w:val="single" w:color="auto" w:sz="4" w:space="0"/>
            </w:tcBorders>
            <w:tcW w:w="10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bookmarkStart w:id="151" w:name="_Toc23145"/>
      <w:r>
        <w:rPr>
          <w:rFonts w:hint="eastAsia" w:ascii="宋体" w:hAnsi="宋体" w:eastAsia="宋体" w:cs="宋体"/>
          <w:b/>
          <w:bCs/>
          <w:color w:val="auto"/>
          <w:sz w:val="24"/>
          <w:szCs w:val="24"/>
          <w:highlight w:val="none"/>
          <w:lang w:val="en-US" w:eastAsia="zh-CN" w:bidi="ar"/>
        </w:rPr>
        <w:t xml:space="preserve">（十八）高倍望远镜</w:t>
      </w:r>
      <w:bookmarkEnd w:id="151"/>
      <w:r/>
      <w:r/>
    </w:p>
    <w:tbl>
      <w:tblPr>
        <w:tblStyle w:val="910"/>
        <w:tblW w:w="914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4"/>
        <w:gridCol w:w="1753"/>
        <w:gridCol w:w="5656"/>
        <w:gridCol w:w="1070"/>
      </w:tblGrid>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5656"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7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放大倍数</w:t>
            </w:r>
            <w:r/>
          </w:p>
        </w:tc>
        <w:tc>
          <w:tcPr>
            <w:shd w:val="clear" w:color="auto" w:fill="auto"/>
            <w:tcBorders>
              <w:top w:val="single" w:color="auto" w:sz="4" w:space="0"/>
              <w:left w:val="none" w:color="000000" w:sz="4" w:space="0"/>
              <w:bottom w:val="single" w:color="auto" w:sz="4" w:space="0"/>
              <w:right w:val="single" w:color="auto" w:sz="4" w:space="0"/>
            </w:tcBorders>
            <w:tcW w:w="565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≥30倍</w:t>
            </w:r>
            <w:r/>
          </w:p>
        </w:tc>
        <w:tc>
          <w:tcPr>
            <w:shd w:val="clear" w:color="auto" w:fill="auto"/>
            <w:tcBorders>
              <w:top w:val="single" w:color="auto" w:sz="4" w:space="0"/>
              <w:left w:val="none" w:color="000000" w:sz="4" w:space="0"/>
              <w:bottom w:val="single" w:color="auto" w:sz="4" w:space="0"/>
              <w:right w:val="single" w:color="auto" w:sz="4" w:space="0"/>
            </w:tcBorders>
            <w:tcW w:w="10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目镜直径</w:t>
            </w:r>
            <w:r/>
          </w:p>
        </w:tc>
        <w:tc>
          <w:tcPr>
            <w:shd w:val="clear" w:color="auto" w:fill="auto"/>
            <w:tcBorders>
              <w:top w:val="single" w:color="auto" w:sz="4" w:space="0"/>
              <w:left w:val="none" w:color="000000" w:sz="4" w:space="0"/>
              <w:bottom w:val="single" w:color="auto" w:sz="4" w:space="0"/>
              <w:right w:val="single" w:color="auto" w:sz="4" w:space="0"/>
            </w:tcBorders>
            <w:tcW w:w="565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≤22mm</w:t>
            </w:r>
            <w:r/>
          </w:p>
        </w:tc>
        <w:tc>
          <w:tcPr>
            <w:shd w:val="clear" w:color="auto" w:fill="auto"/>
            <w:tcBorders>
              <w:top w:val="single" w:color="auto" w:sz="4" w:space="0"/>
              <w:left w:val="none" w:color="000000" w:sz="4" w:space="0"/>
              <w:bottom w:val="single" w:color="auto" w:sz="4" w:space="0"/>
              <w:right w:val="single" w:color="auto" w:sz="4" w:space="0"/>
            </w:tcBorders>
            <w:tcW w:w="10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物镜直径</w:t>
            </w:r>
            <w:r/>
          </w:p>
        </w:tc>
        <w:tc>
          <w:tcPr>
            <w:shd w:val="clear" w:color="auto" w:fill="auto"/>
            <w:tcBorders>
              <w:top w:val="single" w:color="auto" w:sz="4" w:space="0"/>
              <w:left w:val="none" w:color="000000" w:sz="4" w:space="0"/>
              <w:bottom w:val="single" w:color="auto" w:sz="4" w:space="0"/>
              <w:right w:val="single" w:color="auto" w:sz="4" w:space="0"/>
            </w:tcBorders>
            <w:tcW w:w="565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≤42mm</w:t>
            </w:r>
            <w:r/>
          </w:p>
        </w:tc>
        <w:tc>
          <w:tcPr>
            <w:shd w:val="clear" w:color="auto" w:fill="auto"/>
            <w:tcBorders>
              <w:top w:val="single" w:color="auto" w:sz="4" w:space="0"/>
              <w:left w:val="none" w:color="000000" w:sz="4" w:space="0"/>
              <w:bottom w:val="single" w:color="auto" w:sz="4" w:space="0"/>
              <w:right w:val="single" w:color="auto" w:sz="4" w:space="0"/>
            </w:tcBorders>
            <w:tcW w:w="10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出瞳距离</w:t>
            </w:r>
            <w:r/>
          </w:p>
        </w:tc>
        <w:tc>
          <w:tcPr>
            <w:shd w:val="clear" w:color="auto" w:fill="auto"/>
            <w:tcBorders>
              <w:top w:val="single" w:color="auto" w:sz="4" w:space="0"/>
              <w:left w:val="none" w:color="000000" w:sz="4" w:space="0"/>
              <w:bottom w:val="single" w:color="auto" w:sz="4" w:space="0"/>
              <w:right w:val="single" w:color="auto" w:sz="4" w:space="0"/>
            </w:tcBorders>
            <w:tcW w:w="565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≥2.5mm</w:t>
            </w:r>
            <w:r/>
          </w:p>
        </w:tc>
        <w:tc>
          <w:tcPr>
            <w:shd w:val="clear" w:color="auto" w:fill="auto"/>
            <w:tcBorders>
              <w:top w:val="single" w:color="auto" w:sz="4" w:space="0"/>
              <w:left w:val="none" w:color="000000" w:sz="4" w:space="0"/>
              <w:bottom w:val="single" w:color="auto" w:sz="4" w:space="0"/>
              <w:right w:val="single" w:color="auto" w:sz="4" w:space="0"/>
            </w:tcBorders>
            <w:tcW w:w="10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调节方式</w:t>
            </w:r>
            <w:r/>
          </w:p>
        </w:tc>
        <w:tc>
          <w:tcPr>
            <w:shd w:val="clear" w:color="auto" w:fill="auto"/>
            <w:tcBorders>
              <w:top w:val="single" w:color="auto" w:sz="4" w:space="0"/>
              <w:left w:val="none" w:color="000000" w:sz="4" w:space="0"/>
              <w:bottom w:val="single" w:color="auto" w:sz="4" w:space="0"/>
              <w:right w:val="single" w:color="auto" w:sz="4" w:space="0"/>
            </w:tcBorders>
            <w:tcW w:w="565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中央调焦</w:t>
            </w:r>
            <w:r/>
          </w:p>
        </w:tc>
        <w:tc>
          <w:tcPr>
            <w:shd w:val="clear" w:color="auto" w:fill="auto"/>
            <w:tcBorders>
              <w:top w:val="single" w:color="auto" w:sz="4" w:space="0"/>
              <w:left w:val="none" w:color="000000" w:sz="4" w:space="0"/>
              <w:bottom w:val="single" w:color="auto" w:sz="4" w:space="0"/>
              <w:right w:val="single" w:color="auto" w:sz="4" w:space="0"/>
            </w:tcBorders>
            <w:tcW w:w="10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565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tc>
        <w:tc>
          <w:tcPr>
            <w:shd w:val="clear" w:color="auto" w:fill="auto"/>
            <w:tcBorders>
              <w:top w:val="single" w:color="auto" w:sz="4" w:space="0"/>
              <w:left w:val="none" w:color="000000" w:sz="4" w:space="0"/>
              <w:bottom w:val="single" w:color="auto" w:sz="4" w:space="0"/>
              <w:right w:val="single" w:color="auto" w:sz="4" w:space="0"/>
            </w:tcBorders>
            <w:tcW w:w="10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br w:type="page" w:clear="all"/>
      </w:r>
      <w:r/>
    </w:p>
    <w:p>
      <w:pPr>
        <w:pStyle w:val="887"/>
        <w:keepLines w:val="0"/>
        <w:keepNext w:val="0"/>
        <w:widowControl/>
        <w:rPr>
          <w:rFonts w:hint="eastAsia" w:ascii="宋体" w:hAnsi="宋体" w:eastAsia="宋体" w:cs="Times New Roman"/>
          <w:b/>
          <w:bCs w:val="0"/>
          <w:color w:val="auto"/>
          <w:sz w:val="24"/>
          <w:szCs w:val="24"/>
          <w:highlight w:val="yellow"/>
        </w:rPr>
        <w:suppressLineNumbers w:val="0"/>
      </w:pPr>
      <w:r/>
      <w:bookmarkStart w:id="152" w:name="_Toc20186"/>
      <w:r/>
      <w:bookmarkStart w:id="153" w:name="_Toc11111"/>
      <w:r>
        <w:rPr>
          <w:rFonts w:hint="eastAsia" w:ascii="宋体" w:hAnsi="宋体" w:eastAsia="宋体" w:cs="宋体"/>
          <w:b/>
          <w:bCs w:val="0"/>
          <w:color w:val="auto"/>
          <w:sz w:val="24"/>
          <w:szCs w:val="24"/>
          <w:highlight w:val="yellow"/>
        </w:rPr>
        <w:t xml:space="preserve">附件4：</w:t>
      </w:r>
      <w:r>
        <w:rPr>
          <w:rFonts w:hint="eastAsia" w:ascii="宋体" w:hAnsi="宋体" w:eastAsia="宋体" w:cs="宋体"/>
          <w:b/>
          <w:bCs w:val="0"/>
          <w:color w:val="auto"/>
          <w:sz w:val="24"/>
          <w:szCs w:val="24"/>
          <w:highlight w:val="yellow"/>
          <w:lang w:eastAsia="zh-CN"/>
        </w:rPr>
        <w:t xml:space="preserve">采购包</w:t>
      </w:r>
      <w:r>
        <w:rPr>
          <w:rFonts w:hint="eastAsia" w:ascii="宋体" w:hAnsi="宋体" w:eastAsia="宋体" w:cs="宋体"/>
          <w:b/>
          <w:bCs w:val="0"/>
          <w:color w:val="auto"/>
          <w:sz w:val="24"/>
          <w:szCs w:val="24"/>
          <w:highlight w:val="yellow"/>
        </w:rPr>
        <w:t xml:space="preserve">1技术部分正负偏离表</w:t>
      </w:r>
      <w:bookmarkEnd w:id="152"/>
      <w:r/>
      <w:bookmarkEnd w:id="153"/>
      <w:r/>
      <w:r/>
    </w:p>
    <w:p>
      <w:pPr>
        <w:numPr>
          <w:ilvl w:val="0"/>
          <w:numId w:val="13"/>
        </w:numPr>
        <w:ind w:left="0" w:firstLine="0"/>
        <w:keepLines w:val="0"/>
        <w:keepNext w:val="0"/>
        <w:widowControl/>
        <w:rPr>
          <w:rFonts w:hint="eastAsia" w:ascii="宋体" w:hAnsi="宋体" w:eastAsia="宋体" w:cs="宋体"/>
          <w:b/>
          <w:bCs w:val="0"/>
          <w:color w:val="auto"/>
          <w:sz w:val="24"/>
          <w:szCs w:val="24"/>
          <w:highlight w:val="none"/>
          <w:u w:val="single"/>
        </w:rPr>
        <w:outlineLvl w:val="9"/>
        <w:suppressLineNumbers w:val="0"/>
      </w:pPr>
      <w:r/>
      <w:bookmarkStart w:id="154" w:name="_Toc23246"/>
      <w:r>
        <w:rPr>
          <w:rFonts w:hint="eastAsia" w:ascii="宋体" w:hAnsi="宋体" w:eastAsia="宋体" w:cs="宋体"/>
          <w:b/>
          <w:bCs w:val="0"/>
          <w:color w:val="auto"/>
          <w:sz w:val="24"/>
          <w:szCs w:val="24"/>
          <w:highlight w:val="none"/>
        </w:rPr>
        <w:t xml:space="preserve">货物名称：万分之一分析天平；品牌</w:t>
      </w:r>
      <w:r>
        <w:rPr>
          <w:rFonts w:hint="eastAsia" w:ascii="宋体" w:hAnsi="宋体" w:eastAsia="宋体" w:cs="宋体"/>
          <w:b/>
          <w:bCs w:val="0"/>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 制造商</w:t>
      </w:r>
      <w:bookmarkEnd w:id="154"/>
      <w:r>
        <w:rPr>
          <w:rFonts w:hint="eastAsia" w:ascii="宋体" w:hAnsi="宋体" w:eastAsia="宋体" w:cs="宋体"/>
          <w:b/>
          <w:bCs w:val="0"/>
          <w:color w:val="auto"/>
          <w:sz w:val="24"/>
          <w:szCs w:val="24"/>
          <w:highlight w:val="none"/>
          <w:u w:val="single"/>
          <w:lang w:val="en-US" w:eastAsia="zh-CN"/>
        </w:rPr>
        <w:t xml:space="preserve">       </w:t>
      </w:r>
      <w:r/>
    </w:p>
    <w:tbl>
      <w:tblPr>
        <w:tblStyle w:val="910"/>
        <w:tblW w:w="9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2812"/>
        <w:gridCol w:w="1140"/>
        <w:gridCol w:w="2100"/>
        <w:gridCol w:w="73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2812"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s="仿宋"/>
                <w:color w:val="auto"/>
                <w:sz w:val="24"/>
                <w:szCs w:val="24"/>
                <w:highlight w:val="none"/>
                <w:lang w:val="en-US" w:eastAsia="zh-CN" w:bidi="ar"/>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s="仿宋"/>
                <w:color w:val="auto"/>
                <w:sz w:val="24"/>
                <w:szCs w:val="24"/>
                <w:highlight w:val="none"/>
                <w:lang w:val="en-US" w:eastAsia="zh-CN" w:bidi="ar"/>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s="仿宋"/>
                <w:color w:val="auto"/>
                <w:sz w:val="24"/>
                <w:szCs w:val="24"/>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量程(g)</w:t>
            </w:r>
            <w:r/>
          </w:p>
        </w:tc>
        <w:tc>
          <w:tcPr>
            <w:shd w:val="clear" w:color="auto" w:fill="auto"/>
            <w:tcBorders>
              <w:top w:val="single" w:color="auto" w:sz="4" w:space="0"/>
              <w:left w:val="none" w:color="000000" w:sz="4" w:space="0"/>
              <w:bottom w:val="single" w:color="auto" w:sz="4" w:space="0"/>
              <w:right w:val="single" w:color="auto" w:sz="4" w:space="0"/>
            </w:tcBorders>
            <w:tcW w:w="281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≤220</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3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18"/>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可读性(mg)</w:t>
            </w:r>
            <w:r/>
          </w:p>
        </w:tc>
        <w:tc>
          <w:tcPr>
            <w:shd w:val="clear" w:color="auto" w:fill="auto"/>
            <w:tcBorders>
              <w:top w:val="single" w:color="auto" w:sz="4" w:space="0"/>
              <w:left w:val="none" w:color="000000" w:sz="4" w:space="0"/>
              <w:bottom w:val="single" w:color="auto" w:sz="4" w:space="0"/>
              <w:right w:val="single" w:color="auto" w:sz="4" w:space="0"/>
            </w:tcBorders>
            <w:tcW w:w="281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3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可重复性（5%负载）(mg）</w:t>
            </w:r>
            <w:r/>
          </w:p>
        </w:tc>
        <w:tc>
          <w:tcPr>
            <w:shd w:val="clear" w:color="auto" w:fill="auto"/>
            <w:tcBorders>
              <w:top w:val="single" w:color="auto" w:sz="4" w:space="0"/>
              <w:left w:val="none" w:color="000000" w:sz="4" w:space="0"/>
              <w:bottom w:val="single" w:color="auto" w:sz="4" w:space="0"/>
              <w:right w:val="single" w:color="auto" w:sz="4" w:space="0"/>
            </w:tcBorders>
            <w:tcW w:w="281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3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线性偏差（典型值）（mg）</w:t>
            </w:r>
            <w:r/>
          </w:p>
        </w:tc>
        <w:tc>
          <w:tcPr>
            <w:shd w:val="clear" w:color="auto" w:fill="auto"/>
            <w:tcBorders>
              <w:top w:val="single" w:color="auto" w:sz="4" w:space="0"/>
              <w:left w:val="none" w:color="000000" w:sz="4" w:space="0"/>
              <w:bottom w:val="single" w:color="auto" w:sz="4" w:space="0"/>
              <w:right w:val="single" w:color="auto" w:sz="4" w:space="0"/>
            </w:tcBorders>
            <w:tcW w:w="281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3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典型值</w:t>
            </w:r>
            <w:r/>
          </w:p>
        </w:tc>
        <w:tc>
          <w:tcPr>
            <w:shd w:val="clear" w:color="auto" w:fill="auto"/>
            <w:tcBorders>
              <w:top w:val="single" w:color="auto" w:sz="4" w:space="0"/>
              <w:left w:val="none" w:color="000000" w:sz="4" w:space="0"/>
              <w:bottom w:val="single" w:color="auto" w:sz="4" w:space="0"/>
              <w:right w:val="single" w:color="auto" w:sz="4" w:space="0"/>
            </w:tcBorders>
            <w:tcW w:w="281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稳定时间，典型值：≤3s</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3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326"/>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尺寸</w:t>
            </w:r>
            <w:r/>
          </w:p>
        </w:tc>
        <w:tc>
          <w:tcPr>
            <w:shd w:val="clear" w:color="auto" w:fill="auto"/>
            <w:tcBorders>
              <w:top w:val="single" w:color="auto" w:sz="4" w:space="0"/>
              <w:left w:val="none" w:color="000000" w:sz="4" w:space="0"/>
              <w:bottom w:val="single" w:color="auto" w:sz="4" w:space="0"/>
              <w:right w:val="single" w:color="auto" w:sz="4" w:space="0"/>
            </w:tcBorders>
            <w:tcW w:w="281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秤盘尺寸（mm）：≥90</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3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281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玻璃罩1个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秤盘1个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电源1个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防尘罩1个</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3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w:t>
      </w:r>
      <w:r/>
    </w:p>
    <w:p>
      <w:pPr>
        <w:keepLines w:val="0"/>
        <w:keepNext w:val="0"/>
        <w:widowControl/>
        <w:rPr>
          <w:rFonts w:hint="default" w:ascii="宋体" w:hAnsi="宋体" w:eastAsia="宋体" w:cs="Times New Roman"/>
          <w:b/>
          <w:bCs w:val="0"/>
          <w:color w:val="auto"/>
          <w:sz w:val="24"/>
          <w:szCs w:val="24"/>
          <w:highlight w:val="none"/>
          <w:lang w:val="en-US" w:eastAsia="zh-CN"/>
        </w:rPr>
        <w:outlineLvl w:val="9"/>
        <w:suppressLineNumbers w:val="0"/>
      </w:pPr>
      <w:r/>
      <w:bookmarkStart w:id="155" w:name="_Toc6922"/>
      <w:r>
        <w:rPr>
          <w:rFonts w:hint="eastAsia" w:ascii="宋体" w:hAnsi="宋体" w:eastAsia="宋体" w:cs="宋体"/>
          <w:b/>
          <w:bCs w:val="0"/>
          <w:color w:val="auto"/>
          <w:sz w:val="24"/>
          <w:szCs w:val="24"/>
          <w:highlight w:val="none"/>
        </w:rPr>
        <w:t xml:space="preserve">（二）货物名称：</w:t>
      </w:r>
      <w:r>
        <w:rPr>
          <w:rFonts w:hint="eastAsia" w:ascii="宋体" w:hAnsi="宋体" w:eastAsia="宋体" w:cs="宋体"/>
          <w:b/>
          <w:bCs w:val="0"/>
          <w:color w:val="auto"/>
          <w:sz w:val="24"/>
          <w:szCs w:val="24"/>
          <w:highlight w:val="none"/>
          <w:u w:val="single"/>
        </w:rPr>
        <w:t xml:space="preserve">全自动石墨炉消解仪</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制造商</w:t>
      </w:r>
      <w:bookmarkEnd w:id="155"/>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p>
    <w:tbl>
      <w:tblPr>
        <w:tblStyle w:val="910"/>
        <w:tblW w:w="9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4"/>
        <w:gridCol w:w="2047"/>
        <w:gridCol w:w="2827"/>
        <w:gridCol w:w="1200"/>
        <w:gridCol w:w="2040"/>
        <w:gridCol w:w="720"/>
      </w:tblGrid>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left"/>
              <w:keepLines w:val="0"/>
              <w:keepNext w:val="0"/>
              <w:spacing w:before="0" w:beforeAutospacing="0" w:after="0" w:afterAutospacing="0" w:line="28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left"/>
              <w:keepLines w:val="0"/>
              <w:keepNext w:val="0"/>
              <w:spacing w:before="0" w:beforeAutospacing="0" w:after="0" w:afterAutospacing="0" w:line="28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ind w:left="0" w:right="0"/>
              <w:jc w:val="left"/>
              <w:keepLines w:val="0"/>
              <w:keepNext w:val="0"/>
              <w:spacing w:before="0" w:beforeAutospacing="0" w:after="0" w:afterAutospacing="0" w:line="28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4"/>
                <w:szCs w:val="24"/>
                <w:highlight w:val="none"/>
              </w:rPr>
              <w:outlineLvl w:val="9"/>
              <w:suppressLineNumbers w:val="0"/>
            </w:pPr>
            <w:r>
              <w:rPr>
                <w:rFonts w:hint="eastAsia" w:ascii="仿宋" w:hAnsi="仿宋" w:eastAsia="仿宋" w:cs="仿宋"/>
                <w:color w:val="auto"/>
                <w:sz w:val="24"/>
                <w:szCs w:val="24"/>
                <w:highlight w:val="none"/>
                <w:lang w:val="en-US" w:eastAsia="zh-CN" w:bidi="ar"/>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4"/>
                <w:szCs w:val="24"/>
                <w:highlight w:val="none"/>
              </w:rPr>
              <w:outlineLvl w:val="9"/>
              <w:suppressLineNumbers w:val="0"/>
            </w:pPr>
            <w:r>
              <w:rPr>
                <w:rFonts w:hint="eastAsia" w:ascii="仿宋" w:hAnsi="仿宋" w:eastAsia="仿宋" w:cs="仿宋"/>
                <w:color w:val="auto"/>
                <w:sz w:val="24"/>
                <w:szCs w:val="24"/>
                <w:highlight w:val="none"/>
                <w:lang w:val="en-US" w:eastAsia="zh-CN" w:bidi="ar"/>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4"/>
                <w:szCs w:val="24"/>
                <w:highlight w:val="none"/>
              </w:rPr>
              <w:outlineLvl w:val="9"/>
              <w:suppressLineNumbers w:val="0"/>
            </w:pPr>
            <w:r>
              <w:rPr>
                <w:rFonts w:hint="eastAsia" w:ascii="仿宋" w:hAnsi="仿宋" w:eastAsia="仿宋" w:cs="仿宋"/>
                <w:color w:val="auto"/>
                <w:sz w:val="24"/>
                <w:szCs w:val="24"/>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用途</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用于各种样品的全自动湿法消解（全自动添加试剂，自动混匀，自动升降，自动程序升温消解，自动赶酸，自动定容等）。</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2.1加热模块</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控温范围</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室温～230℃；</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预加热功能</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具有提前预加热功能；</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控温精度</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样品位数</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不小于30位×50mL；消解孔深度在4cm到6cm之间，在保证加热效果的同时有效实现试剂冷凝回流，既减少试剂消耗又降低试剂背景值；</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升温速率</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消解过程可实现20级以上程序升温；升温速率可设，利于消解控制；</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2.2全自动试剂添加系统</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试剂通道</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≥6，可支持自动切换不少于6种消解试剂；</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试剂添加速度</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≤2mL/s，加液速度0～5mL/s可调；加液精度：优于1%；</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机械臂</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XY轴全方位移动机械臂，机械臂传动丝杆，定位精准，全封闭式机械臂、传动部位与酸气酸液零接触，且无皮带耗材设计；</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ind w:left="0" w:right="0"/>
              <w:jc w:val="left"/>
              <w:keepLines w:val="0"/>
              <w:keepNext w:val="0"/>
              <w:spacing w:before="0" w:beforeAutospacing="0" w:after="0" w:afterAutospacing="0" w:line="28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2.3全自动升降振荡系统</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全自动振荡摇匀功能</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27"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全自动振荡摇匀功能，通过马达振荡系统和消解管架实现消解试剂和样品的混匀，整个混匀过程中样品与外部无接触，可同时对不少于30个样品进行机械振荡混匀操作；</w:t>
            </w:r>
            <w:r/>
          </w:p>
          <w:p>
            <w:pPr>
              <w:pStyle w:val="908"/>
              <w:ind w:left="27"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振荡摇匀功率连续可调，振荡时间可设；多种摇匀模式可选；</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numPr>
                <w:ilvl w:val="1"/>
                <w:numId w:val="14"/>
              </w:numPr>
              <w:ind w:left="387" w:right="0" w:hanging="360"/>
              <w:jc w:val="left"/>
              <w:keepLines w:val="0"/>
              <w:keepNext w:val="0"/>
              <w:spacing w:before="0" w:beforeAutospacing="0" w:after="0" w:afterAutospacing="0" w:line="28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自动样品定容系统</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定容精度</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样品消解赶酸后，在室温下定容，通过微距低功率超声传感器测量消解管中样品体积，由高精度蠕动泵定容样品至指定体积（10～50mL）；定容精度：优于1％；</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ind w:left="27" w:right="0"/>
              <w:jc w:val="both"/>
              <w:keepLines w:val="0"/>
              <w:keepNext w:val="0"/>
              <w:spacing w:before="0" w:beforeAutospacing="0" w:after="0" w:afterAutospacing="0" w:line="28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2.5 自动酸气排放系统</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酸气排放系统</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仪器自带全自动酸气排放系统，无需置于通风橱内使用；</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通风系统自动调节</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通风系统风量可根据实验步骤和样品量的不同设定自动调节风量大小；</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冷凝液自动导出</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通风系统带冷凝液自动导出功能；</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通风系统拆卸</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pStyle w:val="908"/>
              <w:ind w:left="0" w:right="0" w:firstLine="240"/>
              <w:jc w:val="left"/>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通风系统可拆卸，拆卸后仪器可放入通风橱内使用；</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34"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204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val="0"/>
                <w:bCs/>
                <w:color w:val="auto"/>
                <w:sz w:val="24"/>
                <w:szCs w:val="24"/>
                <w:highlight w:val="none"/>
              </w:rPr>
              <w:outlineLvl w:val="9"/>
              <w:suppressLineNumbers w:val="0"/>
            </w:pPr>
            <w:r>
              <w:rPr>
                <w:rFonts w:hint="eastAsia" w:ascii="宋体" w:hAnsi="宋体" w:eastAsia="宋体" w:cs="宋体"/>
                <w:b w:val="0"/>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2827"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（1）全自动石墨消解主机1台；</w:t>
            </w:r>
            <w:r/>
          </w:p>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（2）自动试剂添加系统1套；</w:t>
            </w:r>
            <w:r/>
          </w:p>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（3）防腐石墨加热系统1套；</w:t>
            </w:r>
            <w:r/>
          </w:p>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（4）震荡摇匀系统1套；</w:t>
            </w:r>
            <w:r/>
          </w:p>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（5）自动酸气排放系统1套；</w:t>
            </w:r>
            <w:r/>
          </w:p>
          <w:p>
            <w:pPr>
              <w:ind w:left="0" w:right="0"/>
              <w:jc w:val="both"/>
              <w:keepLines w:val="0"/>
              <w:keepNext w:val="0"/>
              <w:spacing w:before="0" w:beforeAutospacing="0" w:after="0" w:afterAutospacing="0" w:line="2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（6）工作站 1套</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04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top"/>
            <w:textDirection w:val="lrTb"/>
            <w:noWrap w:val="false"/>
          </w:tcPr>
          <w:p>
            <w:pPr>
              <w:ind w:left="0" w:right="0"/>
              <w:jc w:val="both"/>
              <w:keepLines w:val="0"/>
              <w:keepNext w:val="0"/>
              <w:spacing w:before="0" w:beforeAutospacing="0" w:after="0" w:afterAutospacing="0" w:line="28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keepLines w:val="0"/>
        <w:keepNext w:val="0"/>
        <w:widowControl/>
        <w:rPr>
          <w:rFonts w:hint="default" w:ascii="宋体" w:hAnsi="宋体" w:eastAsia="宋体" w:cs="宋体"/>
          <w:b/>
          <w:bCs w:val="0"/>
          <w:color w:val="auto"/>
          <w:sz w:val="24"/>
          <w:szCs w:val="24"/>
          <w:highlight w:val="none"/>
          <w:u w:val="single"/>
          <w:lang w:val="en-US" w:eastAsia="zh-CN"/>
        </w:rPr>
        <w:outlineLvl w:val="9"/>
        <w:suppressLineNumbers w:val="0"/>
      </w:pPr>
      <w:r/>
      <w:bookmarkStart w:id="156" w:name="_Toc3640"/>
      <w:r>
        <w:rPr>
          <w:rFonts w:hint="eastAsia" w:ascii="宋体" w:hAnsi="宋体" w:eastAsia="宋体" w:cs="宋体"/>
          <w:b/>
          <w:bCs w:val="0"/>
          <w:color w:val="auto"/>
          <w:sz w:val="24"/>
          <w:szCs w:val="24"/>
          <w:highlight w:val="none"/>
        </w:rPr>
        <w:t xml:space="preserve">（三）货物名称：COD自动分析仪（30位以上）；品牌</w:t>
      </w:r>
      <w:r>
        <w:rPr>
          <w:rFonts w:hint="eastAsia" w:ascii="宋体" w:hAnsi="宋体" w:eastAsia="宋体" w:cs="宋体"/>
          <w:b/>
          <w:bCs w:val="0"/>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 制造商</w:t>
      </w:r>
      <w:bookmarkEnd w:id="156"/>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3742"/>
        <w:gridCol w:w="1320"/>
        <w:gridCol w:w="1320"/>
        <w:gridCol w:w="645"/>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s="仿宋"/>
                <w:color w:val="auto"/>
                <w:sz w:val="24"/>
                <w:szCs w:val="24"/>
                <w:highlight w:val="none"/>
                <w:lang w:val="en-US" w:eastAsia="zh-CN" w:bidi="ar"/>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s="仿宋"/>
                <w:color w:val="auto"/>
                <w:sz w:val="24"/>
                <w:szCs w:val="24"/>
                <w:highlight w:val="none"/>
                <w:lang w:val="en-US" w:eastAsia="zh-CN" w:bidi="ar"/>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s="仿宋"/>
                <w:color w:val="auto"/>
                <w:sz w:val="24"/>
                <w:szCs w:val="24"/>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设备功能要求</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满足HJ828化学需氧量的重铬酸盐法，适用于各类工况CODcr批量样品的全自动运行分析。</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2、技术要求：</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一体化结构</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要求整机一体化结构，不少于32位通道，热源耐高温氧化的碳纤维材质并配套微晶面防护，避免浓硫酸试剂或水源误入产生的安全隐患。</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热源通道</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消解通道具备两套独立运行的热源通道，满足运行过程中循环上样分析，样品标定与样品消解滴定同时进行。</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试剂加液泵</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试剂加液泵要求配套不少于10套独立试剂定量泵和12套独立控制阀，不同试剂均采用独立的试剂通道添加，减少不同试剂溶液间的交叉污染和试剂更换清洗产生多余废液。</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冷凝系统</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冷凝系统要求仪器自动控制循环水的开启和关闭，自由设定温度恒温冷凝模式，压缩机制冷，具有超压、超温、缺水报警保护。</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样品杯内滴定分析</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要求样品杯内消解、样品杯内滴定分析，减少抓手转移样品杯或抽液转移样品产生的安全隐患和样品试剂间的交叉损失污染。</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试剂手臂</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试剂加液不少于3套独立运行的试剂手臂，并配套有动力的排废收集通道。</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风源降温</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高效降温消解结束，热源自动下移与消解样品杯脱离，样品杯热源四周不少于8套风源降温，减少余温影响降温，提高样品杯降温效率</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自动报警</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安全性能要求能自动判别待测样品位上是否放置样品杯，如有不匹配仪器能自动报警。</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样品盘独立拆卸</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样品盘可独立拆卸，方便维护和上样分析，具有运行视频监控，方便溯源分析过程。</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双重密封</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为了保证样品消解过程的密闭性，冷凝管和样品杯密封方式标准磨砂和弹性四氟双重密封，非单一磨砂密封方式。</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自由设定定量加液</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分析方式及效率要求高、低浓度样品同时进行，满足氯化物滴定分析，且硫酸汞溶液每个样品均可0-2mL自由设定定量加液，30个样品平均&lt;320min分析效率。</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自动润洗清洗</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试剂自动润洗清洗，各试剂通道均可独立选择润洗清洗，清洗次数任意选择。</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自动定量加液</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硫酸-硫酸银自动定量加液，要求配套两套独立的加液系统，满足两个样品同时进行加液，加液完成后自动排空试剂管路。</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2.14数据准确度要求</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高浓度样品</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标定6次重复性RSD≤1%，最大偏差≤0.2mL（标定体积25mL±2mL时）； 100mg/L左右样品测定6次结果重复性RSD≤3%，测定结果均符合标准物质证书要求。</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低浓度样品</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等线 Light" w:hAnsi="等线 Light" w:eastAsia="等线 Light" w:cs="等线 Light"/>
                <w:color w:val="auto"/>
                <w:sz w:val="21"/>
                <w:szCs w:val="21"/>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标定6次重复性RSD≤1.5%，最大偏差≤0.3mL（标定体积25mL±2mL时）； 20mg/L左右样品测定6次结果重复性RSD≤3%，测定结果均符合标准物质证书要求。</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排废清洗系统</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要求配套两套独立的排废清洗系统，消解后样品杯自动进行废液排放，并配套废液桶独立保存，自动进行样品杯清洗，清洗废液可直接排放。</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配置要求（单台）</w:t>
            </w:r>
            <w:r/>
          </w:p>
        </w:tc>
        <w:tc>
          <w:tcPr>
            <w:shd w:val="clear" w:color="auto" w:fill="auto"/>
            <w:tcBorders>
              <w:top w:val="single" w:color="auto" w:sz="4" w:space="0"/>
              <w:left w:val="none" w:color="000000" w:sz="4" w:space="0"/>
              <w:bottom w:val="single" w:color="auto" w:sz="4" w:space="0"/>
              <w:right w:val="single" w:color="auto" w:sz="4" w:space="0"/>
            </w:tcBorders>
            <w:tcW w:w="3742"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（1）分析仪主机1套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（2）独立运行热源2套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（3）试剂泵10套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（4）试剂控制阀12套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（5）试剂溶液机器人手臂3套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（6）恒温循环冷凝水机1套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（7）排废清洗系统2套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（8）数据分析工作站1套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（9）试剂瓶10个</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45"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numPr>
          <w:ilvl w:val="0"/>
          <w:numId w:val="0"/>
        </w:num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57" w:name="_Toc14460"/>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四）货物名称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总磷、总氮自动检测仪</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57"/>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890"/>
        <w:gridCol w:w="3607"/>
        <w:gridCol w:w="1590"/>
        <w:gridCol w:w="1280"/>
        <w:gridCol w:w="60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设备功能：</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pStyle w:val="908"/>
              <w:ind w:left="0" w:right="0" w:firstLine="0"/>
              <w:jc w:val="both"/>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适用于水质总磷、总氮等项目的全自动消解测定分析。</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技术总要求</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pStyle w:val="908"/>
              <w:ind w:left="0" w:right="0" w:firstLine="0"/>
              <w:jc w:val="both"/>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要求符合国标钼酸铵分光光度法、碱性过硫酸钾消解紫外分光光度法，满足总磷、总氮样品同时进行全过程自动运行分析。</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自动进行稀释定容</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满足自动进行稀释定容，自动空白加注，实现待测样品的快速定容稀释。</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高压容器自动控制分析</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要求高压容器自动控制分析条件，120℃控温，自动计时，高压容器全自动开关盖，自动进行恒温循环水快速降温。</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光度计检测器</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独立的光度计检测器，4组比色皿架电驱动自动调整对应不同光程，过程自动调零减少光度计温漂影响数据准确度，自动比色分析数据汇总。</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消解瓶独立密封消解</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要求高压容器内各消解瓶独立密封消解，减少整体关盖样品密封差异导致样品逃逸损失影响数据准确度。</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高压容器多重安全防护监控</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要求高压容器多重安全防护监控，具备双组独立的泄压阀保护和缺水状态识别保护。</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样品瓶自动清洗</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要求样品瓶自动清洗，实验结束自动排空样品杯废液，自动进行样品杯清洗，无需手工干预操作。</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241" w:right="0" w:hanging="241"/>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vertAlign w:val="baseline"/>
              </w:rPr>
              <w:outlineLvl w:val="9"/>
              <w:suppressLineNumbers w:val="0"/>
            </w:pPr>
            <w:r>
              <w:rPr>
                <w:rFonts w:hint="eastAsia" w:ascii="宋体" w:hAnsi="宋体" w:eastAsia="宋体" w:cs="宋体"/>
                <w:b/>
                <w:bCs w:val="0"/>
                <w:color w:val="auto"/>
                <w:sz w:val="24"/>
                <w:szCs w:val="24"/>
                <w:highlight w:val="none"/>
                <w:vertAlign w:val="baseline"/>
                <w:lang w:val="en-US" w:eastAsia="zh-CN" w:bidi="ar"/>
              </w:rPr>
              <w:t xml:space="preserve">技术指标要求：</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消解模式</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高压容器消解，高压锅盖自动开关闭合密封</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高压消解容量</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满足不少于50个样品同时消解，配套电子压力显示器</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样品瓶密封</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各样品瓶独立密封，减少整体密封影响分析准确度</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整机体积</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要求整机长度&lt;750mm，满足现有通风橱内安置</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检出限</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0.01mg/L（总磷）、0.05mg/L（总氮）</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(0.01-0.6)mg/L（总磷）(0.20-7.0)mg/L（总氮）</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自动稀释</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样品可自动进行比例稀释分析</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运行流程</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单独高压消解或单独加液或单独比色分析多模式独立运行</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循环水系统</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高压容器自动补水和排空，水源温度（0-25）℃可设定</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安全防护</w:t>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水位高低液位实时监控，超压双泄压阀保护，保证实验安全运行</w:t>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890" w:type="dxa"/>
            <w:vAlign w:val="top"/>
            <w:textDirection w:val="lrTb"/>
            <w:noWrap w:val="false"/>
          </w:tcPr>
          <w:p>
            <w:pPr>
              <w:ind w:left="211" w:right="0" w:hanging="241"/>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vertAlign w:val="baseline"/>
              </w:rPr>
              <w:outlineLvl w:val="9"/>
              <w:suppressLineNumbers w:val="0"/>
            </w:pPr>
            <w:r>
              <w:rPr>
                <w:rFonts w:hint="eastAsia" w:ascii="宋体" w:hAnsi="宋体" w:eastAsia="宋体" w:cs="宋体"/>
                <w:b/>
                <w:bCs w:val="0"/>
                <w:color w:val="auto"/>
                <w:sz w:val="24"/>
                <w:szCs w:val="24"/>
                <w:highlight w:val="none"/>
                <w:vertAlign w:val="baseli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（1）主机及工作站各1套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（2）样品盘1套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（3）试剂瓶8个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（4）自动开关盖高压消解器1套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（5）恒温循环水系统1套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（6）试剂定量注射泵2套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（7）样品管80支</w:t>
            </w:r>
            <w:r/>
          </w:p>
          <w:p>
            <w:pPr>
              <w:pStyle w:val="908"/>
              <w:ind w:left="0" w:right="0" w:firstLine="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bookmarkStart w:id="158" w:name="_Toc4088"/>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bCs/>
                <w:color w:val="auto"/>
                <w:sz w:val="24"/>
                <w:szCs w:val="24"/>
                <w:highlight w:val="none"/>
                <w:lang w:val="en-US" w:eastAsia="zh-CN" w:bidi="ar"/>
              </w:rPr>
              <w:t xml:space="preserve">长1.5米、宽0.75米、高0.85米操作台一套</w:t>
            </w:r>
            <w:bookmarkEnd w:id="158"/>
            <w:r/>
            <w:r/>
          </w:p>
        </w:tc>
        <w:tc>
          <w:tcPr>
            <w:shd w:val="clear" w:color="auto" w:fill="auto"/>
            <w:tcBorders>
              <w:top w:val="single" w:color="auto" w:sz="4" w:space="0"/>
              <w:left w:val="none" w:color="000000" w:sz="4" w:space="0"/>
              <w:bottom w:val="single" w:color="auto" w:sz="4" w:space="0"/>
              <w:right w:val="single" w:color="auto" w:sz="4" w:space="0"/>
            </w:tcBorders>
            <w:tcW w:w="15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widowControl w:val="off"/>
        <w:rPr>
          <w:rFonts w:hint="eastAsia" w:ascii="Calibri" w:hAnsi="Calibri" w:eastAsia="宋体" w:cs="Times New Roman"/>
          <w:color w:val="auto"/>
          <w:sz w:val="21"/>
          <w:szCs w:val="21"/>
          <w:highlight w:val="none"/>
        </w:rPr>
        <w:outlineLvl w:val="9"/>
        <w:suppressLineNumbers w:val="0"/>
      </w:pPr>
      <w:r>
        <w:rPr>
          <w:rFonts w:hint="eastAsia" w:ascii="Calibri" w:hAnsi="Calibri" w:eastAsia="宋体" w:cs="Times New Roman"/>
          <w:color w:val="auto"/>
          <w:sz w:val="21"/>
          <w:szCs w:val="21"/>
          <w:highlight w:val="none"/>
          <w:lang w:val="en-US" w:eastAsia="zh-CN" w:bidi="ar"/>
        </w:rPr>
        <w:t xml:space="preserve"> </w:t>
      </w:r>
      <w:r/>
    </w:p>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59" w:name="_Toc8599"/>
      <w:r>
        <w:rPr>
          <w:rFonts w:hint="eastAsia" w:ascii="宋体" w:hAnsi="宋体" w:eastAsia="宋体" w:cs="宋体"/>
          <w:b/>
          <w:bCs w:val="0"/>
          <w:color w:val="auto"/>
          <w:sz w:val="24"/>
          <w:szCs w:val="24"/>
          <w:highlight w:val="none"/>
        </w:rPr>
        <w:t xml:space="preserve">（五）货物名称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台式pH计</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59"/>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387"/>
        <w:gridCol w:w="4070"/>
        <w:gridCol w:w="1750"/>
        <w:gridCol w:w="1220"/>
        <w:gridCol w:w="55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407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4"/>
                <w:szCs w:val="24"/>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4"/>
                <w:szCs w:val="24"/>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5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4"/>
                <w:szCs w:val="24"/>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070" w:type="dxa"/>
            <w:vAlign w:val="top"/>
            <w:textDirection w:val="lrTb"/>
            <w:noWrap w:val="false"/>
          </w:tcPr>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pH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0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测量范围：（0.00～14.00）pH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分辨率：≤0.1/0.01pH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基本误差：≤±0.01pH±1个字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温度补偿范围：（0～100）℃（32～212℉）（自动或手动）</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校准点：1～3点</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mV</w:t>
            </w:r>
            <w:r/>
          </w:p>
        </w:tc>
        <w:tc>
          <w:tcPr>
            <w:shd w:val="clear" w:color="auto" w:fill="auto"/>
            <w:tcBorders>
              <w:top w:val="single" w:color="auto" w:sz="4" w:space="0"/>
              <w:left w:val="none" w:color="000000" w:sz="4" w:space="0"/>
              <w:bottom w:val="single" w:color="auto" w:sz="4" w:space="0"/>
              <w:right w:val="single" w:color="auto" w:sz="4" w:space="0"/>
            </w:tcBorders>
            <w:tcW w:w="40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测量范围：-1999mV～1999mV</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分辨率：≤1mV</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基本误差：≤±0.1%FS±1个字</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0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测量范围：0～100℃（32～212℉）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分辨率：0.1℃（0.1℉）</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基本误差：±0.5℃（±0.9℉）±1个字</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数据储存：</w:t>
            </w:r>
            <w:r/>
          </w:p>
        </w:tc>
        <w:tc>
          <w:tcPr>
            <w:shd w:val="clear" w:color="auto" w:fill="auto"/>
            <w:tcBorders>
              <w:top w:val="single" w:color="auto" w:sz="4" w:space="0"/>
              <w:left w:val="none" w:color="000000" w:sz="4" w:space="0"/>
              <w:bottom w:val="single" w:color="auto" w:sz="4" w:space="0"/>
              <w:right w:val="single" w:color="auto" w:sz="4" w:space="0"/>
            </w:tcBorders>
            <w:tcW w:w="40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不少于50组USB 数据输出</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0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（2）pH电极1支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（3）温度电极1支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（4）3种pH标准缓冲溶液各2瓶</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（5）U盘1个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（6）电极架1个</w:t>
            </w:r>
            <w:r/>
          </w:p>
        </w:tc>
        <w:tc>
          <w:tcPr>
            <w:shd w:val="clear" w:color="auto" w:fill="auto"/>
            <w:tcBorders>
              <w:top w:val="single" w:color="auto" w:sz="4" w:space="0"/>
              <w:left w:val="none" w:color="000000" w:sz="4" w:space="0"/>
              <w:bottom w:val="single" w:color="auto" w:sz="4" w:space="0"/>
              <w:right w:val="single" w:color="auto" w:sz="4" w:space="0"/>
            </w:tcBorders>
            <w:tcW w:w="17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5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pStyle w:val="908"/>
        <w:ind w:left="0" w:right="0"/>
        <w:jc w:val="both"/>
        <w:keepLines w:val="0"/>
        <w:keepNext w:val="0"/>
        <w:spacing w:before="0" w:beforeAutospacing="0" w:after="0" w:afterAutospacing="0" w:line="360" w:lineRule="auto"/>
        <w:widowControl w:val="off"/>
        <w:rPr>
          <w:rFonts w:hint="eastAsia" w:ascii="宋体" w:hAnsi="Times New Roman" w:eastAsia="宋体" w:cs="Times New Roman"/>
          <w:color w:val="auto"/>
          <w:sz w:val="28"/>
          <w:szCs w:val="28"/>
          <w:highlight w:val="none"/>
        </w:rPr>
        <w:outlineLvl w:val="9"/>
        <w:suppressLineNumbers w:val="0"/>
      </w:pPr>
      <w:r>
        <w:rPr>
          <w:rFonts w:hint="eastAsia" w:ascii="宋体" w:hAnsi="Times New Roman" w:eastAsia="宋体" w:cs="Times New Roman"/>
          <w:color w:val="auto"/>
          <w:sz w:val="28"/>
          <w:szCs w:val="28"/>
          <w:highlight w:val="none"/>
          <w:lang w:val="en-US" w:eastAsia="zh-CN" w:bidi="ar"/>
        </w:rPr>
        <w:t xml:space="preserve"> </w:t>
      </w:r>
      <w:r/>
    </w:p>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60" w:name="_Toc5045"/>
      <w:r>
        <w:rPr>
          <w:rFonts w:hint="eastAsia" w:ascii="宋体" w:hAnsi="宋体" w:eastAsia="宋体" w:cs="宋体"/>
          <w:b/>
          <w:bCs w:val="0"/>
          <w:color w:val="auto"/>
          <w:sz w:val="24"/>
          <w:szCs w:val="24"/>
          <w:highlight w:val="none"/>
        </w:rPr>
        <w:t xml:space="preserve">（六）货物名称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降尘自动蒸发仪</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60"/>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397"/>
        <w:gridCol w:w="4060"/>
        <w:gridCol w:w="1740"/>
        <w:gridCol w:w="1260"/>
        <w:gridCol w:w="52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9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7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9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设备功能</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设备符合国标方法，能够实现加热源功率可调，恒温加热，循环上样，蒸发浓缩定量自动控制，适用于环境降尘项目的自动定量浓缩预处理。</w:t>
            </w:r>
            <w:r/>
          </w:p>
        </w:tc>
        <w:tc>
          <w:tcPr>
            <w:shd w:val="clear" w:color="auto" w:fill="auto"/>
            <w:tcBorders>
              <w:top w:val="single" w:color="auto" w:sz="4" w:space="0"/>
              <w:left w:val="none" w:color="000000" w:sz="4" w:space="0"/>
              <w:bottom w:val="single" w:color="auto" w:sz="4" w:space="0"/>
              <w:right w:val="single" w:color="auto" w:sz="4" w:space="0"/>
            </w:tcBorders>
            <w:tcW w:w="17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39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技术总要求</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（1）整机一体化结构，微电脑控制，能够一键启动、多个样品同时进行浓缩，进样独立控制、浓缩定量自动判断。</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（2）要求不少于12个样品通道，满足2L烧杯容器直接上机。</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（3）要求耐腐蚀的碳纤维热源，远红外辐射加热，减少陶瓷高温龟裂，能够自动识别判断坩埚状态，无坩埚自动停止加热，减少进水电路安全故障隐患。</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（4）要求不小于7寸触控屏幕，方便各参数指令触摸操控，全屏呈现便于操作。</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（5）要求多浓缩模式运行，至少具有自动定量浓缩和非定量浓缩种模式，实现样品的自动无人值守进样浓缩。</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（6）仪器具备任意通道暂停功能，水样蒸发过程任意追加后续样品，操作灵活方便。</w:t>
            </w:r>
            <w:r/>
          </w:p>
        </w:tc>
        <w:tc>
          <w:tcPr>
            <w:shd w:val="clear" w:color="auto" w:fill="auto"/>
            <w:tcBorders>
              <w:top w:val="single" w:color="auto" w:sz="4" w:space="0"/>
              <w:left w:val="none" w:color="000000" w:sz="4" w:space="0"/>
              <w:bottom w:val="single" w:color="auto" w:sz="4" w:space="0"/>
              <w:right w:val="single" w:color="auto" w:sz="4" w:space="0"/>
            </w:tcBorders>
            <w:tcW w:w="17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39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加热单元</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不少于12个样品通道，各通道独立控制 </w:t>
            </w:r>
            <w:r/>
          </w:p>
        </w:tc>
        <w:tc>
          <w:tcPr>
            <w:shd w:val="clear" w:color="auto" w:fill="auto"/>
            <w:tcBorders>
              <w:top w:val="single" w:color="auto" w:sz="4" w:space="0"/>
              <w:left w:val="none" w:color="000000" w:sz="4" w:space="0"/>
              <w:bottom w:val="single" w:color="auto" w:sz="4" w:space="0"/>
              <w:right w:val="single" w:color="auto" w:sz="4" w:space="0"/>
            </w:tcBorders>
            <w:tcW w:w="17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39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热源模式</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碳纤维辐射加热，减少陶瓷材质长期加热龟裂隐患</w:t>
            </w:r>
            <w:r/>
          </w:p>
        </w:tc>
        <w:tc>
          <w:tcPr>
            <w:shd w:val="clear" w:color="auto" w:fill="auto"/>
            <w:tcBorders>
              <w:top w:val="single" w:color="auto" w:sz="4" w:space="0"/>
              <w:left w:val="none" w:color="000000" w:sz="4" w:space="0"/>
              <w:bottom w:val="single" w:color="auto" w:sz="4" w:space="0"/>
              <w:right w:val="single" w:color="auto" w:sz="4" w:space="0"/>
            </w:tcBorders>
            <w:tcW w:w="17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39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进样精度校准</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自动校准，免校准运行</w:t>
            </w:r>
            <w:r/>
          </w:p>
        </w:tc>
        <w:tc>
          <w:tcPr>
            <w:shd w:val="clear" w:color="auto" w:fill="auto"/>
            <w:tcBorders>
              <w:top w:val="single" w:color="auto" w:sz="4" w:space="0"/>
              <w:left w:val="none" w:color="000000" w:sz="4" w:space="0"/>
              <w:bottom w:val="single" w:color="auto" w:sz="4" w:space="0"/>
              <w:right w:val="single" w:color="auto" w:sz="4" w:space="0"/>
            </w:tcBorders>
            <w:tcW w:w="17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335"/>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39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蒸发浓缩量</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0-100mL任意选择</w:t>
            </w:r>
            <w:r/>
          </w:p>
        </w:tc>
        <w:tc>
          <w:tcPr>
            <w:shd w:val="clear" w:color="auto" w:fill="auto"/>
            <w:tcBorders>
              <w:top w:val="single" w:color="auto" w:sz="4" w:space="0"/>
              <w:left w:val="none" w:color="000000" w:sz="4" w:space="0"/>
              <w:bottom w:val="single" w:color="auto" w:sz="4" w:space="0"/>
              <w:right w:val="single" w:color="auto" w:sz="4" w:space="0"/>
            </w:tcBorders>
            <w:tcW w:w="17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39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断电保护</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断电自动判断，复电可执行原运行参数或重新设定开启</w:t>
            </w:r>
            <w:r/>
          </w:p>
        </w:tc>
        <w:tc>
          <w:tcPr>
            <w:shd w:val="clear" w:color="auto" w:fill="auto"/>
            <w:tcBorders>
              <w:top w:val="single" w:color="auto" w:sz="4" w:space="0"/>
              <w:left w:val="none" w:color="000000" w:sz="4" w:space="0"/>
              <w:bottom w:val="single" w:color="auto" w:sz="4" w:space="0"/>
              <w:right w:val="single" w:color="auto" w:sz="4" w:space="0"/>
            </w:tcBorders>
            <w:tcW w:w="17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39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加样模式</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循环上样，无需集中一次上样，运行中途可添加样品</w:t>
            </w:r>
            <w:r/>
          </w:p>
        </w:tc>
        <w:tc>
          <w:tcPr>
            <w:shd w:val="clear" w:color="auto" w:fill="auto"/>
            <w:tcBorders>
              <w:top w:val="single" w:color="auto" w:sz="4" w:space="0"/>
              <w:left w:val="none" w:color="000000" w:sz="4" w:space="0"/>
              <w:bottom w:val="single" w:color="auto" w:sz="4" w:space="0"/>
              <w:right w:val="single" w:color="auto" w:sz="4" w:space="0"/>
            </w:tcBorders>
            <w:tcW w:w="17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39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40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（2）高精度定量系统12套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（3）碳纤维光感热源系统12套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（4）随机工具1套</w:t>
            </w:r>
            <w:r/>
          </w:p>
        </w:tc>
        <w:tc>
          <w:tcPr>
            <w:shd w:val="clear" w:color="auto" w:fill="auto"/>
            <w:tcBorders>
              <w:top w:val="single" w:color="auto" w:sz="4" w:space="0"/>
              <w:left w:val="none" w:color="000000" w:sz="4" w:space="0"/>
              <w:bottom w:val="single" w:color="auto" w:sz="4" w:space="0"/>
              <w:right w:val="single" w:color="auto" w:sz="4" w:space="0"/>
            </w:tcBorders>
            <w:tcW w:w="17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61" w:name="_Toc15067"/>
      <w:r>
        <w:rPr>
          <w:rFonts w:hint="eastAsia" w:ascii="宋体" w:hAnsi="宋体" w:eastAsia="宋体" w:cs="宋体"/>
          <w:b/>
          <w:bCs w:val="0"/>
          <w:color w:val="auto"/>
          <w:sz w:val="24"/>
          <w:szCs w:val="24"/>
          <w:highlight w:val="none"/>
        </w:rPr>
        <w:t xml:space="preserve">（七）货物名称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全自动氨氮分析仪</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61"/>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507"/>
        <w:gridCol w:w="4030"/>
        <w:gridCol w:w="1620"/>
        <w:gridCol w:w="1330"/>
        <w:gridCol w:w="47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设备功能：</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适用于地表水、生活污水、工业废水、地下水中氨氮项目的全过程自动测定分析。</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技术总要求：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（1）要求具备蒸馏样品自动混匀功能，混匀速度可调，确保样品充分反应和馏出液匀速流出。</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（2）要求自动绘制标准曲线，标准母液自动比例稀释，且线性系数&gt;0.999。</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（3）独立的光度计检测器，满足2套密闭比色皿同时安置。</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（4）要求各分析环节过程自动清洗，进样针、蒸馏容器、接收容器和比色皿等全自动清洗。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（5）电脑联机操控，减少主机镶嵌触控屏幕的干扰模式，自由编辑序列和样品类型。</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（6）具备自动识别水样量状态，空杯样品自动判断，确保实验有效运行</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标准选择：</w:t>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纳氏试剂分光光度法</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蒸馏模式：</w:t>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自动进样蒸馏、自动加注蒸馏所需试剂、烧瓶等容器自动清洗</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自动进样器：</w:t>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不少于40通道，满足350mL容量样品</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试剂加液：</w:t>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全过程所有试剂自动加液，高精度定量注射泵加液</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29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防暴沸：</w:t>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蒸馏烧瓶内可调转速转子防暴沸</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检出限：</w:t>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0.025mg/L</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（0.10-2.0）mg/L</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线性系数：</w:t>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r&gt;0.999自动配标（不少于8个配标浓度点）</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0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40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（1）氨氮主机1套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（2）蒸馏系统1套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（3）定量注射泵4套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（5）自动进样器1套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（6）循环水冷阱1套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（6）长2.0米、宽0.75米、高0.85米操作台1套。</w:t>
            </w:r>
            <w:r/>
          </w:p>
        </w:tc>
        <w:tc>
          <w:tcPr>
            <w:shd w:val="clear" w:color="auto" w:fill="auto"/>
            <w:tcBorders>
              <w:top w:val="single" w:color="auto" w:sz="4" w:space="0"/>
              <w:left w:val="none" w:color="000000" w:sz="4" w:space="0"/>
              <w:bottom w:val="single" w:color="auto" w:sz="4" w:space="0"/>
              <w:right w:val="single" w:color="auto" w:sz="4" w:space="0"/>
            </w:tcBorders>
            <w:tcW w:w="16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62" w:name="_Toc13714"/>
      <w:r>
        <w:rPr>
          <w:rFonts w:hint="eastAsia" w:ascii="宋体" w:hAnsi="宋体" w:eastAsia="宋体" w:cs="宋体"/>
          <w:b/>
          <w:bCs w:val="0"/>
          <w:color w:val="auto"/>
          <w:sz w:val="24"/>
          <w:szCs w:val="24"/>
          <w:highlight w:val="none"/>
        </w:rPr>
        <w:t xml:space="preserve">（八）货物名称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漩涡混匀器</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62"/>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527"/>
        <w:gridCol w:w="3990"/>
        <w:gridCol w:w="1420"/>
        <w:gridCol w:w="1120"/>
        <w:gridCol w:w="90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9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运行方式：</w:t>
            </w:r>
            <w:r/>
          </w:p>
        </w:tc>
        <w:tc>
          <w:tcPr>
            <w:shd w:val="clear" w:color="auto" w:fill="auto"/>
            <w:tcBorders>
              <w:top w:val="single" w:color="auto" w:sz="4" w:space="0"/>
              <w:left w:val="none" w:color="000000" w:sz="4" w:space="0"/>
              <w:bottom w:val="single" w:color="auto" w:sz="4" w:space="0"/>
              <w:right w:val="single" w:color="auto" w:sz="4" w:space="0"/>
            </w:tcBorders>
            <w:tcW w:w="39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圆周、连续运转</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转速显示：</w:t>
            </w:r>
            <w:r/>
          </w:p>
        </w:tc>
        <w:tc>
          <w:tcPr>
            <w:shd w:val="clear" w:color="auto" w:fill="auto"/>
            <w:tcBorders>
              <w:top w:val="single" w:color="auto" w:sz="4" w:space="0"/>
              <w:left w:val="none" w:color="000000" w:sz="4" w:space="0"/>
              <w:bottom w:val="single" w:color="auto" w:sz="4" w:space="0"/>
              <w:right w:val="single" w:color="auto" w:sz="4" w:space="0"/>
            </w:tcBorders>
            <w:tcW w:w="39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刻度</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转速控制：</w:t>
            </w:r>
            <w:r/>
          </w:p>
        </w:tc>
        <w:tc>
          <w:tcPr>
            <w:shd w:val="clear" w:color="auto" w:fill="auto"/>
            <w:tcBorders>
              <w:top w:val="single" w:color="auto" w:sz="4" w:space="0"/>
              <w:left w:val="none" w:color="000000" w:sz="4" w:space="0"/>
              <w:bottom w:val="single" w:color="auto" w:sz="4" w:space="0"/>
              <w:right w:val="single" w:color="auto" w:sz="4" w:space="0"/>
            </w:tcBorders>
            <w:tcW w:w="39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刻度0-6</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最大转速（rpm）：</w:t>
            </w:r>
            <w:r/>
          </w:p>
        </w:tc>
        <w:tc>
          <w:tcPr>
            <w:shd w:val="clear" w:color="auto" w:fill="auto"/>
            <w:tcBorders>
              <w:top w:val="single" w:color="auto" w:sz="4" w:space="0"/>
              <w:left w:val="none" w:color="000000" w:sz="4" w:space="0"/>
              <w:bottom w:val="single" w:color="auto" w:sz="4" w:space="0"/>
              <w:right w:val="single" w:color="auto" w:sz="4" w:space="0"/>
            </w:tcBorders>
            <w:tcW w:w="39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≥2500（可调）</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最小转速（rpm）：</w:t>
            </w:r>
            <w:r/>
          </w:p>
        </w:tc>
        <w:tc>
          <w:tcPr>
            <w:shd w:val="clear" w:color="auto" w:fill="auto"/>
            <w:tcBorders>
              <w:top w:val="single" w:color="auto" w:sz="4" w:space="0"/>
              <w:left w:val="none" w:color="000000" w:sz="4" w:space="0"/>
              <w:bottom w:val="single" w:color="auto" w:sz="4" w:space="0"/>
              <w:right w:val="single" w:color="auto" w:sz="4" w:space="0"/>
            </w:tcBorders>
            <w:tcW w:w="39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≥500（可调）</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配置要求（单台）</w:t>
            </w:r>
            <w:r/>
          </w:p>
        </w:tc>
        <w:tc>
          <w:tcPr>
            <w:shd w:val="clear" w:color="auto" w:fill="auto"/>
            <w:tcBorders>
              <w:top w:val="single" w:color="auto" w:sz="4" w:space="0"/>
              <w:left w:val="none" w:color="000000" w:sz="4" w:space="0"/>
              <w:bottom w:val="single" w:color="auto" w:sz="4" w:space="0"/>
              <w:right w:val="single" w:color="auto" w:sz="4" w:space="0"/>
            </w:tcBorders>
            <w:tcW w:w="39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漩涡混匀器1台</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63" w:name="_Toc31460"/>
      <w:r>
        <w:rPr>
          <w:rFonts w:hint="eastAsia" w:ascii="宋体" w:hAnsi="宋体" w:eastAsia="宋体" w:cs="宋体"/>
          <w:b/>
          <w:bCs w:val="0"/>
          <w:color w:val="auto"/>
          <w:sz w:val="24"/>
          <w:szCs w:val="24"/>
          <w:highlight w:val="none"/>
        </w:rPr>
        <w:t xml:space="preserve">（九）货物名称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全自动热脱附仪</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63"/>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557"/>
        <w:gridCol w:w="3930"/>
        <w:gridCol w:w="1410"/>
        <w:gridCol w:w="1410"/>
        <w:gridCol w:w="63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工作条件</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电源：220V，50Hz。</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温度：操作环境15～35 ℃。</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湿度：操作状态25～50%，非操作状态10～95%。</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热脱附</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第一级解析温度范围：</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50～400℃ ；控制精度：≤1 ℃。</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脱附时间</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1～599.9 min ；控制精度≤0.1 min。</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冷阱中间吸附剂填充部分长度</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≥60 mm；</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可填充一种至四种吸附剂</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适合C3～C44宽范围VOCs的分析；</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第二级解析最低富集温度</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第二级解析最高解析温度</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≥400℃；控制精度≤1 ℃；</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冷阱加热升温速率</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&gt;95℃/s；（提供仪器操作软件截图）</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温控模块</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冷冻富集和高温解析采用两个独立的温控模块，可分别设置为富、集温度和解析温度；</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最高温度保持时间</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0～599.9 min ；控制精度≤0.1 min；</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阀的温度范围</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50～200 ℃ ；</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传输线</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温度：50～200℃；控制精度≤1 ℃；</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系统连接</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系统可与任何品牌的GC/GCMS系统连接，无需占用GC标准进样口；</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管路系统</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使用模块式设计，防止泄漏。在脱附前后，样品管都应处于密封状态。在脱附前，系统需能够在线自动对流路进行密封检测。具有吸附冷阱测试和反向老化功能；</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气路控制</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直接采用气相的气路电子阀（PPC或EPC）对热脱附进行气路控制，能精确控制载气，冷阱进出口分流流量，不受温度、压力变化的影响；</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密封帽</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自动进样器的脱附管所用密封帽，保证了样品的完整性；</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自动进样器</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≥50位，自动进样；</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吸附管</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对进样的每根吸附管，都具有自动测漏功能；</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备份功能</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具有自动样品备份功能；</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20位老化仪</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彩色液晶触摸屏</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采用不小于4.3"彩色液晶触摸屏显示，操作直观、简便；</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气体流量计</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采用内置气体流量计，流量调节方便；</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AB双通道设计</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2x10 AB双通道设计，可选A或B通道独立老化，也可同时老化；</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最大升温速率</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≥80℃/min；</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温度控制范围</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室温至0～400℃可调；</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温度控制精度</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≤0.1℃；</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实时显示温度</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实时显示温度运行趋线图， 便于温度监控；</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6阶程序升温控制</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至少6阶程序升温控制，可以满足一些特殊老化要求；</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禁止老化程序</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气源没打开下禁止老化程序，防止无载气情况下损坏吸附管</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标样制作附件</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（1）进样体积：0.1ul-10ml；</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（2）流速：≤1-1000ml/min，可调；</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（3）分别适用于气体和液体的标样制作；</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（4）具有工业标准吸附管接口；</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（5）配置气路开关阀。</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（1）热脱附仪主机，含不少于50位自动进样器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（2）气路控制装置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（3）热脱附管10盒</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（4）石英冷阱2根</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（5）密封帽 100个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 标样进样附件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（7）操作系统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 20位老化仪 1套</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人员培训、技术支持</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pStyle w:val="908"/>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（提供承诺书）</w:t>
            </w:r>
            <w:r>
              <w:rPr>
                <w:rFonts w:hint="eastAsia" w:ascii="宋体" w:hAnsi="宋体" w:eastAsia="宋体" w:cs="宋体"/>
                <w:bCs/>
                <w:color w:val="auto"/>
                <w:sz w:val="24"/>
                <w:szCs w:val="24"/>
                <w:highlight w:val="none"/>
                <w:lang w:val="en-US" w:eastAsia="zh-CN" w:bidi="ar"/>
              </w:rPr>
              <w:t xml:space="preserve">对仪器操作人员由厂商提供培训（不少于2人），培训地点由厂商指定。为采购方提供1次扩项指导服务。</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64" w:name="_Toc14523"/>
      <w:r>
        <w:rPr>
          <w:rFonts w:hint="eastAsia" w:ascii="宋体" w:hAnsi="宋体" w:eastAsia="宋体" w:cs="宋体"/>
          <w:b/>
          <w:bCs w:val="0"/>
          <w:color w:val="auto"/>
          <w:sz w:val="24"/>
          <w:szCs w:val="24"/>
          <w:highlight w:val="none"/>
        </w:rPr>
        <w:t xml:space="preserve">（十）货物名称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全自动阴离子表面活性剂/挥发酚测定仪</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64"/>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517"/>
        <w:gridCol w:w="3960"/>
        <w:gridCol w:w="1430"/>
        <w:gridCol w:w="1430"/>
        <w:gridCol w:w="61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设备功能</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实现现有阴离子洗涤剂的升级，同时满足挥发酚项目全自动运行分析。</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技术要求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（1）符合阴离子表面活性剂亚甲蓝分光光度法和挥发酚4-氨基安替比林萃取光度法，实现阴离子、挥发酚的全过程无人干预操作运行分析。</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（2）具备全自动蒸馏系统具备多通道循环蒸馏、所需蒸馏试剂自动定量添加、烧瓶容器自动清洗、馏出液自动定量收集并转移等功能。</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（3）单个样品容量&gt;350mL，不少于40位样品通道，要求原水待测样品自动定量取样分析，自动定量100或250mL取样上机分析。</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（4）具备萃取容器密闭运行，减少萃取溶剂挥发损失，萃取强度可调节，减少开放式容器萃取时氯仿溶剂的挥发，影响数据偏差，提高实验过程安全。</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（5）具备高精度定量泵实现溶液的定量转移及定容，不少于3套独立的定量注射泵。</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（6）独立的光度计检测器，满足4套比色皿同时安置，电驱动比色皿池自动调节适合光程，无需手工移动调节，适应1cm或3cm比色皿。</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（7）蒸馏过程具备自动混匀功能，混匀速度可调，确保馏出液匀速流出。</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标准选择</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亚甲蓝分光光度法、4-氨基安替比林萃取光度法</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试剂箱</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配套冷藏试剂箱，确保试剂条件恒定</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自动进样器通道</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不少于40位，200mL定量注射泵定量取样</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蒸馏模式</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自动定量进样蒸馏、自动加注试剂、烧瓶等容器自动清洗</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62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萃取模式</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密闭容器搅拌萃取，定时废气排放，减少开放式萃取溶剂的挥发</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自动配标</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母液自动比例稀释，独立的配标通道位，不占用自动进样器通道</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检出限</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0.02mg/L（阴离子洗涤剂）0.0003mg/L（挥发酚）</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溶液泵</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高精度定量注射泵，不少于3套独立运行</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（0.05-2.0）mg/L（阴离子洗涤剂）（0.001-0.04）mg/L（挥发酚）</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重复性</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（1）挥发酚模块1套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（2）试剂定量注射泵5套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（3）自动样器1套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（4）自动蒸馏系统1套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（5）恒温循环水1套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 4联池光度计1套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（7）试剂恒温箱1套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（8）密闭萃取1套</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65" w:name="_Toc2875"/>
      <w:r>
        <w:rPr>
          <w:rFonts w:hint="eastAsia" w:ascii="宋体" w:hAnsi="宋体" w:eastAsia="宋体" w:cs="宋体"/>
          <w:b/>
          <w:bCs w:val="0"/>
          <w:color w:val="auto"/>
          <w:sz w:val="24"/>
          <w:szCs w:val="24"/>
          <w:highlight w:val="none"/>
        </w:rPr>
        <w:t xml:space="preserve">（十一）货物名称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隔水式恒温培养箱</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65"/>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4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557"/>
        <w:gridCol w:w="3910"/>
        <w:gridCol w:w="1420"/>
        <w:gridCol w:w="1380"/>
        <w:gridCol w:w="52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rHeight w:val="44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控温范围</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RT+5～65℃  </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32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功率</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≥1230W  </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温度波动度</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：≤±0.5℃   </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控温精度</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容积</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≥160L</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微电脑智能控温仪</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含设定、测定温度双数字显示和PID自整定功能；</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内外双重门结构</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1.10内外双重门结构，温度波动小，内门采用全钢化玻璃门；</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超温报警系统</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1.11带有超温报警系统，保证设备安全运行不发生意外；</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64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加热方式</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1.12加热方式为水套式加热方式，温度均匀且断电后仍能保持较长时间恒温。</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66" w:name="_Toc3936"/>
      <w:r>
        <w:rPr>
          <w:rFonts w:hint="eastAsia" w:ascii="宋体" w:hAnsi="宋体" w:eastAsia="宋体" w:cs="宋体"/>
          <w:b/>
          <w:bCs w:val="0"/>
          <w:color w:val="auto"/>
          <w:sz w:val="24"/>
          <w:szCs w:val="24"/>
          <w:highlight w:val="none"/>
        </w:rPr>
        <w:t xml:space="preserve">（十二）货物名称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电热恒温鼓风干燥箱</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66"/>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4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567"/>
        <w:gridCol w:w="3940"/>
        <w:gridCol w:w="1370"/>
        <w:gridCol w:w="1390"/>
        <w:gridCol w:w="49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控温范围</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RT+10～300℃（RT表示室温） </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温度波动度</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控温精度</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带鼓风，消耗功率</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≤1400W</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观察窗</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不锈钢内胆，含观察窗；</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箱体材质</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箱体采用优质钢板，工作室采用304不锈钢板；</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微电脑智能控温仪</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微电脑智能控温仪，具有设定、测定温度双数字显示、定时、功率抑制和PID整定功能；</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采用热风循环系统</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采用热风循环系统，工作室内温度均匀；</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采用橡胶密封条</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采用橡胶密封条，长期高温运行，使用寿命长，便于更换；</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报警系统</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采用超温报警系统，超过限制温度仪表可进行声光报警并切断加热管电源，保证实验安全运行不发生意外。</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6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94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主机2台</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67" w:name="_Toc28917"/>
      <w:r>
        <w:rPr>
          <w:rFonts w:hint="eastAsia" w:ascii="宋体" w:hAnsi="宋体" w:eastAsia="宋体" w:cs="宋体"/>
          <w:b/>
          <w:bCs w:val="0"/>
          <w:color w:val="auto"/>
          <w:sz w:val="24"/>
          <w:szCs w:val="24"/>
          <w:highlight w:val="none"/>
        </w:rPr>
        <w:t xml:space="preserve">（十三）货物名称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全自动气袋清洗器</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67"/>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4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557"/>
        <w:gridCol w:w="3960"/>
        <w:gridCol w:w="1380"/>
        <w:gridCol w:w="1380"/>
        <w:gridCol w:w="46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设备用途：</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采用高精度压力控制，流量控制技术对每个气袋进行多次清洗。</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可设置混匀时间</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全自动气袋清洗器可多次循环充气抽气清洗气袋，可设置清洗次数和清洗气在气袋的混匀时间；</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同时清洗数量</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每次可同时清洗1-30个；</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清洗1次所需时间</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高效快速、所有气袋清洗1次所需时间在1-2分钟以内；</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气路控制</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双气路控制，进气通道和排气通道分开，避免交叉污染；</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真空度最大</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气袋真空度最大可达-50KPa；</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面板</w:t>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液晶面板操作。</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（2）气路控制系统2套 </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68" w:name="_Toc8024"/>
      <w:r>
        <w:rPr>
          <w:rFonts w:hint="eastAsia" w:ascii="宋体" w:hAnsi="宋体" w:eastAsia="宋体" w:cs="宋体"/>
          <w:b/>
          <w:bCs w:val="0"/>
          <w:color w:val="auto"/>
          <w:sz w:val="24"/>
          <w:szCs w:val="24"/>
          <w:highlight w:val="none"/>
        </w:rPr>
        <w:t xml:space="preserve">（十四）货物名称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离子活度计</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68"/>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5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557"/>
        <w:gridCol w:w="3970"/>
        <w:gridCol w:w="1420"/>
        <w:gridCol w:w="1331"/>
        <w:gridCol w:w="539"/>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5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mV</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rPr>
                <w:rFonts w:hint="eastAsia" w:ascii="宋体" w:hAnsi="宋体" w:eastAsia="宋体" w:cs="宋体"/>
                <w:b w:val="0"/>
                <w:bCs w:val="0"/>
                <w:color w:val="auto"/>
                <w:sz w:val="24"/>
                <w:szCs w:val="24"/>
                <w:highlight w:val="none"/>
                <w:lang w:val="en-US" w:eastAsia="zh-CN" w:bidi="ar"/>
              </w:rPr>
              <w:t xml:space="preserve">-1999.9～1999.9mV</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最小分辨率：≤0.01mV</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准确度：</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±0.03% FS</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39"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rPr>
                <w:rFonts w:hint="eastAsia" w:ascii="宋体" w:hAnsi="宋体" w:eastAsia="宋体" w:cs="宋体"/>
                <w:b w:val="0"/>
                <w:bCs w:val="0"/>
                <w:color w:val="auto"/>
                <w:sz w:val="24"/>
                <w:szCs w:val="24"/>
                <w:highlight w:val="none"/>
                <w:lang w:val="en-US" w:eastAsia="zh-CN" w:bidi="ar"/>
              </w:rPr>
              <w:t xml:space="preserve">(-2.000～19.999)pH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最小分辨率：≤0.001pH</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准确度：</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±0.01 pH</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39"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pX</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测量范围：（-2.000～20.000)pX</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最小分辨率：≤0.001pX</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电子单元示值误差：≤±0.002pX</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39"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离子浓度</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rPr>
                <w:rFonts w:hint="eastAsia" w:ascii="宋体" w:hAnsi="宋体" w:eastAsia="宋体" w:cs="宋体"/>
                <w:b w:val="0"/>
                <w:bCs w:val="0"/>
                <w:color w:val="auto"/>
                <w:sz w:val="24"/>
                <w:szCs w:val="24"/>
                <w:highlight w:val="none"/>
                <w:lang w:val="en-US" w:eastAsia="zh-CN" w:bidi="ar"/>
              </w:rPr>
              <w:t xml:space="preserve">电计：（0.00～14.00） pX</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最小分辨率：不超过4位有效数字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准确度：</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±0.02 pX (一价离子)，</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±0.05 pX(二价离子)</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39"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rPr>
                <w:rFonts w:hint="eastAsia" w:ascii="宋体" w:hAnsi="宋体" w:eastAsia="宋体" w:cs="宋体"/>
                <w:b w:val="0"/>
                <w:bCs w:val="0"/>
                <w:color w:val="auto"/>
                <w:sz w:val="24"/>
                <w:szCs w:val="24"/>
                <w:highlight w:val="none"/>
                <w:lang w:val="en-US" w:eastAsia="zh-CN" w:bidi="ar"/>
              </w:rPr>
              <w:t xml:space="preserve">-10℃～110℃</w:t>
            </w:r>
            <w:r/>
          </w:p>
          <w:p>
            <w:pPr>
              <w:ind w:left="0" w:right="0" w:firstLine="48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w:t>
            </w:r>
            <w:r>
              <w:rPr>
                <w:rFonts w:hint="eastAsia" w:ascii="宋体" w:hAnsi="宋体" w:eastAsia="宋体" w:cs="宋体"/>
                <w:b w:val="0"/>
                <w:bCs w:val="0"/>
                <w:color w:val="auto"/>
                <w:sz w:val="24"/>
                <w:szCs w:val="24"/>
                <w:highlight w:val="none"/>
                <w:lang w:val="en-US" w:eastAsia="zh-CN" w:bidi="ar"/>
              </w:rPr>
              <w:t xml:space="preserve">≤0.1℃</w:t>
            </w:r>
            <w:r/>
          </w:p>
          <w:p>
            <w:pPr>
              <w:ind w:left="0" w:right="0" w:firstLine="48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准确度：5～60℃范围：≤±0.4℃；其余范围：≤±0.8℃</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39"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数据储存</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不少于900组</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39"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57"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（2）氟电极1支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（3）参比电极1支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（4）温度电极1支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（5）搅拌器1个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（6）电极架1个</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3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39"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69" w:name="_Toc833"/>
      <w:r>
        <w:rPr>
          <w:rFonts w:hint="eastAsia" w:ascii="宋体" w:hAnsi="宋体" w:eastAsia="宋体" w:cs="宋体"/>
          <w:b/>
          <w:bCs w:val="0"/>
          <w:color w:val="auto"/>
          <w:sz w:val="24"/>
          <w:szCs w:val="24"/>
          <w:highlight w:val="none"/>
        </w:rPr>
        <w:t xml:space="preserve">（十五）货物名称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高锰酸盐指数自动分析仪</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69"/>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588"/>
        <w:gridCol w:w="3970"/>
        <w:gridCol w:w="1390"/>
        <w:gridCol w:w="1390"/>
        <w:gridCol w:w="49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211" w:right="0" w:hanging="241"/>
              <w:jc w:val="left"/>
              <w:keepLines w:val="0"/>
              <w:keepNext w:val="0"/>
              <w:spacing w:before="0" w:beforeAutospacing="0" w:after="0" w:afterAutospacing="0" w:line="30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设备功能</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适用于饮用水、地表水、水源水等样品高锰酸盐指数项目的自动滴定分析。</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211" w:right="0" w:hanging="241"/>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numPr>
                <w:ilvl w:val="0"/>
                <w:numId w:val="15"/>
              </w:numPr>
              <w:ind w:left="0" w:right="0" w:firstLine="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要求整机一体化，满足国标经典分析方法CODMn、有机质、总硬度、氯化物自动分析，不接受组合或拼凑的设备，人机对话，要求恒温滴定与沸水浴消解在并排一侧的结构模式，实现各类样品无人值守自动测定分析。</w:t>
            </w:r>
            <w:r/>
          </w:p>
          <w:p>
            <w:pPr>
              <w:numPr>
                <w:ilvl w:val="0"/>
                <w:numId w:val="15"/>
              </w:numPr>
              <w:ind w:left="0" w:right="0" w:firstLine="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（2）满足与消解仪配套，实现消解后样品直接上机分析，无需转移样品。</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（3）具备一体化沸水浴消解通道，满足12个样品同时消解，减少分体布局水浴差异影响消解条件恒定。</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（4）沸水浴具备双重保护监控模式，自动识别水源缺水或无水超温状态，自动断电保护。</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（5）具备沸水浴液位采用光纤传感器控制方式，不接触沸水浴检测液位损耗，减少机械浮子传感器长期高温水浴影响寿命，具备水浴液位高度灵活可调。</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（6）全色域颜色传感器移动识别滴定终点，减少固定颜色传感器孔状侦测对样品终点的误判，多角度广角识别样品滴定终点，颜色传感器非固定安置可移动不同位置判断样品滴定终点。</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（7）滴定液体积：≤0.02mL，体积误差≤0.005mL，加液泵稳定性≤0.2%。</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（8）要求样品具备自动在线稀释定容功能，能够自动稀释定容，满足空白自动定量加注。</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样品通道</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30位样品通道，磨砂口样品杯，满足循环上样、替换上样、加急上样分析</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39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自动稀释</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自动定容稀释，空白自动定量加液</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滴定通道</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4个开放式通道，不遮挡样品杯状态</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分析方法</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酸性、碱性样品同批次同时运行，无需分批次分开运行</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废气防护</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主机配套正压气源，降低实验过程水汽和酸雾影响</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试剂通道</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7套独立试剂定量泵和7套试剂管路，确保试剂溶液不交叉污染</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高锰酸钾</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两套独立的高锰酸钾定量注射泵，1套10ml试剂添加，1套滴定分析</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样品分析时间</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&lt;2.8min/个样品的循环分析速率</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滴定液体积</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0.02mL</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测量范围IMn</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（0.05-6）mg/L（样品不稀释测定范围）</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RSD</w:t>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&lt;2.0%</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588"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70" w:type="dxa"/>
            <w:vAlign w:val="top"/>
            <w:textDirection w:val="lrTb"/>
            <w:noWrap w:val="false"/>
          </w:tcPr>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（2）自适应力度电驱动机器手臂1套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（3）光感控制沸水浴1套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（4）开放式滴定池3套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（5）移动广角颜色滴定传感器1套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（6）试剂定量泵6套</w:t>
            </w:r>
            <w:r/>
          </w:p>
          <w:p>
            <w:pPr>
              <w:ind w:left="210" w:right="0" w:hanging="24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（7）分析工作站1套</w:t>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keepLines w:val="0"/>
        <w:keepNext w:val="0"/>
        <w:widowControl/>
        <w:rPr>
          <w:rFonts w:hint="eastAsia" w:ascii="宋体" w:hAnsi="宋体" w:eastAsia="宋体" w:cs="Times New Roman"/>
          <w:b/>
          <w:bCs w:val="0"/>
          <w:color w:val="auto"/>
          <w:sz w:val="24"/>
          <w:szCs w:val="24"/>
          <w:highlight w:val="none"/>
        </w:rPr>
        <w:outlineLvl w:val="9"/>
        <w:suppressLineNumbers w:val="0"/>
      </w:pPr>
      <w:r/>
      <w:bookmarkStart w:id="170" w:name="_Toc4351"/>
      <w:r>
        <w:rPr>
          <w:rFonts w:hint="eastAsia" w:ascii="宋体" w:hAnsi="宋体" w:eastAsia="宋体" w:cs="宋体"/>
          <w:b/>
          <w:bCs w:val="0"/>
          <w:color w:val="auto"/>
          <w:sz w:val="24"/>
          <w:szCs w:val="24"/>
          <w:highlight w:val="none"/>
        </w:rPr>
        <w:t xml:space="preserve">（十六）货物名称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全自动氰化物分析仪</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70"/>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5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638"/>
        <w:gridCol w:w="3910"/>
        <w:gridCol w:w="1420"/>
        <w:gridCol w:w="1290"/>
        <w:gridCol w:w="56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设备功能</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适用于地表水、生活污水、工业废水、地下水中氰化物项目的全过程自动测定分析。</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211" w:right="0" w:hanging="241"/>
              <w:jc w:val="left"/>
              <w:keepLines w:val="0"/>
              <w:keepNext w:val="0"/>
              <w:spacing w:before="0" w:beforeAutospacing="0" w:after="0" w:afterAutospacing="0" w:line="30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技术总要求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（1）要求符合HJ484氰化物的测定方法，实现整个分析过程自动进样蒸馏、显色、分析、数据处理，试剂添加和各环节容器清洗的全自动化运行，无需人员干预值守。</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（2）具备全自动蒸馏系统具备多通道循环蒸馏、所需蒸馏试剂自动定量添加、烧瓶容器自动清洗、馏出液自动定量收集并转移等功能。</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vertAlign w:val="baseline"/>
              </w:rPr>
              <w:outlineLvl w:val="9"/>
              <w:suppressLineNumbers w:val="0"/>
            </w:pPr>
            <w:r>
              <w:rPr>
                <w:rFonts w:hint="eastAsia" w:ascii="宋体" w:hAnsi="宋体" w:eastAsia="宋体" w:cs="宋体"/>
                <w:color w:val="auto"/>
                <w:sz w:val="24"/>
                <w:szCs w:val="24"/>
                <w:highlight w:val="none"/>
                <w:vertAlign w:val="baseline"/>
                <w:lang w:val="en-US" w:eastAsia="zh-CN" w:bidi="ar"/>
              </w:rPr>
              <w:t xml:space="preserve">（3）具备蒸馏样品自动混匀功能，混匀速度可调，确保样品充分反应和馏出液匀速流出。</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（4）具备自动绘制标准曲线，标准母液自动比例稀释，且线性系数&gt;0.999。</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（5）不少于4组恒温水浴显色通道，显色温度及时间灵活可调，显色试剂自动加注。</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（6）独立的比色皿池光度计检测器，满足2套密闭流动相比色皿同时安置。</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（7）具备各分析环节过程自动清洗，进样针、蒸馏容器、恒温显色容器、接收容器和比色皿等全自动清洗。</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（8）具备自动进样器满足350mL样品容量安置的，不少于40位样品通道，要求原水待测样品自动定量取样分析。</w:t>
            </w:r>
            <w:r/>
          </w:p>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（9）电脑联机操控，减少主机镶嵌触控屏幕的干扰模式，自由编辑序列和样品类型。</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（10）具备自动识别水样量状态，空杯样品自动判断，确保实验有效运行。</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标准选择</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异烟酸-吡唑啉酮分光光度法</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蒸馏模式</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自动进样蒸馏，500mL烧瓶容器，碳纤维光感热源，蒸馏样品自动混匀</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显色系统</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4通道恒温水浴定时显色，自动定容</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自动进样器</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不少于40通道，满足350mL容量样品</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试剂加液</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全过程所有试剂自动加液，高精度定量注射泵加液</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防暴沸</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蒸馏烧瓶内可调转速转子防暴沸</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检出限</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0.004mg/L</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left"/>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（0.016-0.25）mg/L</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线性系数</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r&gt;0.999自动配标（不少于8个配标浓度点）</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（1）氰化物主机1套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（2）蒸馏系统1套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（3）定量注射泵4套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（4）自动进样器1套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（5）循环水冷阱1套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（6）数据工作站软件1套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（7）光度计1套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（8）废液收集1套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（9）长2.0米、宽0.75米、高0.85米操作台1套。</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Calibri" w:hAnsi="Calibri" w:eastAsia="宋体" w:cs="Times New Roman"/>
          <w:b/>
          <w:bCs/>
          <w:color w:val="auto"/>
          <w:sz w:val="24"/>
          <w:szCs w:val="24"/>
          <w:highlight w:val="none"/>
        </w:rPr>
        <w:outlineLvl w:val="9"/>
        <w:suppressLineNumbers w:val="0"/>
      </w:pPr>
      <w:r/>
      <w:bookmarkStart w:id="171" w:name="_Toc26437"/>
      <w:r>
        <w:rPr>
          <w:rFonts w:hint="eastAsia" w:ascii="宋体" w:hAnsi="宋体" w:eastAsia="宋体" w:cs="宋体"/>
          <w:b/>
          <w:bCs/>
          <w:color w:val="auto"/>
          <w:sz w:val="24"/>
          <w:szCs w:val="24"/>
          <w:highlight w:val="none"/>
          <w:lang w:val="en-US" w:eastAsia="zh-CN" w:bidi="ar"/>
        </w:rPr>
        <w:t xml:space="preserve">（十七）</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气相分子吸收光谱仪</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71"/>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5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628"/>
        <w:gridCol w:w="3910"/>
        <w:gridCol w:w="1430"/>
        <w:gridCol w:w="1310"/>
        <w:gridCol w:w="57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设备用途</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用于测定水质样品中硫化物、氨氮、硝酸盐氮、亚硝酸盐氮、总氮等指标。</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2.1自动进样系统</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进样位数</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进样位数不少于51位，样品管容积不小于50ml</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一体式取样</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配备一体式取样/均质吹扫系统，具备边进样边吹扫的功能，用户可自主设置进样针进入样品管抽取样品前的均质吹扫时间，进样系统与均质系统采用一体化设计，并无缝对接大流量吹扫前处理装置；</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流动洗针池</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配备程序控制流动洗针池，可根据进样针污染情况软件设置洗针纯水流量；</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一体化试剂安置架</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配备一体化试剂安置架，用于测定过程中试剂的存放。</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2.2光学系统</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光电系统</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满足HJ/T 195～HJ/T 200-2005六项气相分子吸收光谱法标准对光学系统测定稳定性要求；</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检测器</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配备灵敏度高、分析精度高的PMT检测器；</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自动波长调控系统</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配备自动波长调控系统，开机后可自动对波长进行校准，保障数据检测的准确性；</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光源</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采用连续光源（氘灯）或锐线光源（空心阴极灯）做仪器光源。</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光源温度调节系统</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配备光源温度调节系统和光源寿命监测系统，当光源进入低能量状态时能够及时通知用户更换光源。</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加热系统</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（1）配备自动在线加热模块，超过设定温度自动停止；</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（2）环境自适应加热系统：开机自动检测环境温度,无须手动开启辅助加热。</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主机系统</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（1）配备半导体除水系统，除湿过程中温度实时显示，分析全过程完全不使用任何干燥剂；</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（2）载气系统兼容空气或氮气；</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（3）气液分离器采用螺旋管分离方式，避免分离过程中的死角，能够均匀的将反应液混匀并将产生的待测气体带出反应分离器；</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（4）配备气源监测报警系统：具备压力、流量双重监控功能，软件界面实时显示载气流量值，当载气流量异常自动蜂鸣报警并自动关闭进样及加热系统，同时锁定软件并自动保存已测定数据；</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软件系统</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（1）软件开机测定前可自动对通讯口、波长、泵转速等进行检测；</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（2）软件具备数据图谱显示功能，可对同一样品的平行峰形进行对比，以便于用户对数据进行比较分析。</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（3）软件配备紧急添加样品功能，可在样品测量过程中随时添加样品并优先检测；</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（4）基线漂移：≤±0.0002Abs（预热2h，连续测试1h）；</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（5）噪声：≤0.0002Abs，具备测量全程基线实时显示功能。</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技术指标</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氨氮项目</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（1）精密度要求（连续测定6次）：0.1mg/L，RSD&lt; 5％；0.2mg/L，RSD&lt; 3％；0.5mg/L，RSD&lt; 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（2）线性要求：根据设定自动配置标准曲线浓度，相关性系数r≥0.9995；</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（3）检出限要求：检出限&lt;0.02mg/L；</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（4）氨氮抗干扰能力强：向1mg/L氨氮标准溶液中，加入150mg/L的亚铁离子时，检测结果偏差≤3%</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亚硝酸盐氮</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（1）精密度要求（连续测定6次）：0.1mg/L，RSD&lt; 5％；0.2mg/L，RSD&lt; 3％；0.5mg/L，RSD&lt; 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（2）线性要求：根据设定自动配置标准曲线浓度，相关性系数r≥0.9995；</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（3）检出限要求：检出限&lt;0.003mg/L；</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硫化物项目</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（1）精密度要求（连续测定6次）：0.1mg/L，RSD&lt; 5％；0.2mg/L，RSD&lt; 3％；0.5mg/L，RSD&lt; 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（2）线性要求：根据设定自动配置标准曲线浓度，相关性系数r≥0.9995；</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（3）检出限要求：检出限&lt;0.005mg/L；</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硝酸盐氮项目</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（1）精密度要求（连续测定6次）：0.2mg/L，RSD&lt; 5％；0.5mg/L，RSD&lt; 3％；1.0mg/L，RSD&lt; 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（2）线性要求：根据设定自动配置标准曲线浓度，相关性系数r≥0.9995；</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（3）检出限要求：检出限&lt;0.006mg/L；</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总氮项目</w:t>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（1）消解器功率小于100w；</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（2）仪器能够连续分析不少于40个样品，中间无需停止样品检测清洗管路；</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（3）单个样品测量含消解时间小于5min；</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（4）精密度要求（连续测定6次）：0.2mg/L，RSD&lt; 5％；0.5mg/L，RSD&lt; 3％；1.0mg/L，RSD&lt; 2％；</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（5）线性要求：根据设定自动配置标准曲线浓度，相关性系数r≥0.9995；</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（6）检出限要求：检出限&lt;0.05mg/L；</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（7）管路切换采用免维护电磁阀，减少日常维护难度；</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（2）数据工作站1套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（3）耗材配件（含进样软管，尾气吸收装置、备用吸光管、进样针、样品杯）1套</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7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8"/>
          <w:szCs w:val="28"/>
          <w:highlight w:val="none"/>
        </w:rPr>
        <w:outlineLvl w:val="9"/>
        <w:suppressLineNumbers w:val="0"/>
      </w:pPr>
      <w:r/>
      <w:bookmarkStart w:id="172" w:name="_Toc8736"/>
      <w:r>
        <w:rPr>
          <w:rFonts w:hint="eastAsia" w:ascii="宋体" w:hAnsi="宋体" w:eastAsia="宋体" w:cs="宋体"/>
          <w:b/>
          <w:bCs/>
          <w:color w:val="auto"/>
          <w:sz w:val="28"/>
          <w:szCs w:val="28"/>
          <w:highlight w:val="none"/>
          <w:lang w:val="en-US" w:eastAsia="zh-CN" w:bidi="ar"/>
        </w:rPr>
        <w:t xml:space="preserve">（十八）</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8"/>
          <w:szCs w:val="28"/>
          <w:highlight w:val="none"/>
          <w:lang w:val="en-US" w:eastAsia="zh-CN" w:bidi="ar"/>
        </w:rPr>
        <w:t xml:space="preserve">超纯水机</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72"/>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5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628"/>
        <w:gridCol w:w="3930"/>
        <w:gridCol w:w="1430"/>
        <w:gridCol w:w="1260"/>
        <w:gridCol w:w="61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处理工艺</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双级反渗透+离子交换，无中间水箱，避免带入二次污染</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产水指标</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（1）纯水：电导率&lt;5μs/cm（25℃），符合GB6682-2008分析实验室三级水标准；</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（2）超纯水：电阻率18.2MΩ.cm（25℃），TOC＜5ppb，重金属离子＜0.01ppb细菌&lt;0.01cfu/ml，微粒(＞0.2μm)＜1个/ml；</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（3）超纯水质符合ASTM D1193-2006（2011）/GB11446.1-2013/GB33087-2016一级水标准；</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产水量</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双级RO系统稳定产量≥20L/H@15℃，自动恒产量控制；</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控制界面</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+3D旋钮操作，多级菜单界面；</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取水臂</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1.5配备带有高度、角度可调支架的取水臂，取水手柄配置LED指示灯；</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定量取水功能，定量精度</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数据存储</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具备SD卡数据存储功能（容量≥4GB）；</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78"/>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漏水保护</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具备双重漏水保护器（分别位于水箱底部和主机底部），均可同时感应内部和桌面积水，并在报警触发时采取强制保护措施；</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水质质控</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系统具备RO产水（电导率）和UP产水质控功能（电导率+TOC），水质不合格声光提示，RO不合格产水自动排放；</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超纯水系统具有TOC在线监测功能，范围</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0.1-999ppb；</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存储</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系统使用食品级PE材质软质水袋或水箱存储，有效容积≥30L。</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连续液位监测</w:t>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纯水储罐使用连续式液位传感器监测液位（非分段式），液位以百分比和升数显示，精度≤±1%或1L。</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628"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9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（1）主机（含主机取水器）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40L预处理+水箱一体单元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（3）40L水袋2套或30L以上水箱 1个</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（4）预处理柱-1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（5）预处理柱-2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（6）超纯化柱 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 20L/H双级反渗透模块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 TOC在线监测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（9）双波长紫外灯管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（10）物联网管理模块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 0.22μm除菌终端微滤器 1套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（12）消毒盒 2套</w:t>
            </w:r>
            <w:r/>
          </w:p>
          <w:p>
            <w:pPr>
              <w:ind w:left="0" w:right="0"/>
              <w:jc w:val="both"/>
              <w:keepLines w:val="0"/>
              <w:keepNext w:val="0"/>
              <w:spacing w:before="0" w:beforeAutospacing="0" w:after="0" w:afterAutospacing="0" w:line="3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（13）安装配件包 1套</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10" w:type="dxa"/>
            <w:vAlign w:val="top"/>
            <w:textDirection w:val="lrTb"/>
            <w:noWrap w:val="false"/>
          </w:tcPr>
          <w:p>
            <w:pPr>
              <w:ind w:left="0" w:right="0"/>
              <w:jc w:val="both"/>
              <w:keepLines w:val="0"/>
              <w:keepNext w:val="0"/>
              <w:spacing w:before="0" w:beforeAutospacing="0" w:after="0" w:afterAutospacing="0" w:line="30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widowControl w:val="off"/>
        <w:rPr>
          <w:rFonts w:hint="default" w:ascii="Calibri" w:hAnsi="Calibri" w:eastAsia="宋体" w:cs="Times New Roman"/>
          <w:color w:val="auto"/>
          <w:sz w:val="21"/>
          <w:szCs w:val="21"/>
          <w:highlight w:val="none"/>
        </w:rPr>
        <w:outlineLvl w:val="9"/>
        <w:suppressLineNumbers w:val="0"/>
      </w:pPr>
      <w:r>
        <w:rPr>
          <w:rFonts w:hint="default" w:ascii="Calibri" w:hAnsi="Calibri" w:eastAsia="宋体" w:cs="Times New Roman"/>
          <w:color w:val="auto"/>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color w:val="auto"/>
          <w:sz w:val="21"/>
          <w:szCs w:val="21"/>
          <w:highlight w:val="none"/>
        </w:rPr>
        <w:outlineLvl w:val="9"/>
        <w:suppressLineNumbers w:val="0"/>
      </w:pPr>
      <w:r>
        <w:rPr>
          <w:rFonts w:hint="eastAsia" w:ascii="Times New Roman" w:hAnsi="Times New Roman" w:eastAsia="宋体" w:cs="Times New Roman"/>
          <w:color w:val="auto"/>
          <w:sz w:val="21"/>
          <w:szCs w:val="21"/>
          <w:highlight w:val="none"/>
          <w:lang w:val="en-US" w:eastAsia="zh-CN" w:bidi="ar"/>
        </w:rPr>
        <w:br w:type="page" w:clear="all"/>
      </w:r>
      <w:r/>
    </w:p>
    <w:p>
      <w:pPr>
        <w:ind w:left="0" w:right="0"/>
        <w:jc w:val="both"/>
        <w:keepLines w:val="0"/>
        <w:keepNext w:val="0"/>
        <w:spacing w:before="0" w:beforeAutospacing="0" w:after="0" w:afterAutospacing="0"/>
        <w:widowControl w:val="off"/>
        <w:rPr>
          <w:rFonts w:hint="default" w:ascii="Calibri" w:hAnsi="Calibri" w:eastAsia="宋体" w:cs="Times New Roman"/>
          <w:b/>
          <w:bCs/>
          <w:color w:val="auto"/>
          <w:sz w:val="28"/>
          <w:szCs w:val="28"/>
          <w:highlight w:val="none"/>
        </w:rPr>
        <w:outlineLvl w:val="1"/>
        <w:suppressLineNumbers w:val="0"/>
      </w:pPr>
      <w:r/>
      <w:bookmarkStart w:id="173" w:name="_Toc15363"/>
      <w:r>
        <w:rPr>
          <w:rFonts w:hint="eastAsia" w:ascii="宋体" w:hAnsi="宋体" w:eastAsia="宋体" w:cs="宋体"/>
          <w:b/>
          <w:bCs/>
          <w:color w:val="auto"/>
          <w:sz w:val="28"/>
          <w:szCs w:val="28"/>
          <w:highlight w:val="none"/>
          <w:lang w:val="en-US" w:eastAsia="zh-CN" w:bidi="ar"/>
        </w:rPr>
        <w:t xml:space="preserve">附近</w:t>
      </w:r>
      <w:r>
        <w:rPr>
          <w:rFonts w:hint="default" w:ascii="Calibri" w:hAnsi="Calibri" w:eastAsia="宋体" w:cs="Calibri"/>
          <w:b/>
          <w:bCs/>
          <w:color w:val="auto"/>
          <w:sz w:val="28"/>
          <w:szCs w:val="28"/>
          <w:highlight w:val="none"/>
          <w:lang w:val="en-US" w:eastAsia="zh-CN" w:bidi="ar"/>
        </w:rPr>
        <w:t xml:space="preserve">5</w:t>
      </w:r>
      <w:r>
        <w:rPr>
          <w:rFonts w:hint="eastAsia" w:ascii="宋体" w:hAnsi="宋体" w:eastAsia="宋体" w:cs="宋体"/>
          <w:b/>
          <w:bCs/>
          <w:color w:val="auto"/>
          <w:sz w:val="28"/>
          <w:szCs w:val="28"/>
          <w:highlight w:val="none"/>
          <w:lang w:val="en-US" w:eastAsia="zh-CN" w:bidi="ar"/>
        </w:rPr>
        <w:t xml:space="preserve">：</w:t>
      </w:r>
      <w:r>
        <w:rPr>
          <w:rFonts w:hint="eastAsia" w:ascii="宋体" w:hAnsi="宋体" w:cs="宋体"/>
          <w:b/>
          <w:bCs/>
          <w:color w:val="auto"/>
          <w:sz w:val="28"/>
          <w:szCs w:val="28"/>
          <w:highlight w:val="none"/>
          <w:lang w:val="en-US" w:eastAsia="zh-CN" w:bidi="ar"/>
        </w:rPr>
        <w:t xml:space="preserve">采购包</w:t>
      </w:r>
      <w:r>
        <w:rPr>
          <w:rFonts w:hint="eastAsia" w:ascii="宋体" w:hAnsi="宋体" w:eastAsia="宋体" w:cs="宋体"/>
          <w:b/>
          <w:bCs/>
          <w:color w:val="auto"/>
          <w:sz w:val="28"/>
          <w:szCs w:val="28"/>
          <w:highlight w:val="none"/>
          <w:lang w:val="en-US" w:eastAsia="zh-CN" w:bidi="ar"/>
        </w:rPr>
        <w:t xml:space="preserve">2技术部分正负偏离表</w:t>
      </w:r>
      <w:bookmarkEnd w:id="173"/>
      <w:r/>
      <w:r/>
    </w:p>
    <w:p>
      <w:pPr>
        <w:numPr>
          <w:ilvl w:val="0"/>
          <w:numId w:val="16"/>
        </w:numPr>
        <w:ind w:left="0" w:right="0" w:firstLine="0"/>
        <w:jc w:val="both"/>
        <w:keepLines w:val="0"/>
        <w:keepNext w:val="0"/>
        <w:spacing w:before="0" w:beforeAutospacing="0" w:after="0" w:afterAutospacing="0"/>
        <w:widowControl w:val="off"/>
        <w:rPr>
          <w:rFonts w:hint="eastAsia" w:ascii="Calibri" w:hAnsi="Calibri" w:eastAsia="宋体" w:cs="Times New Roman"/>
          <w:b/>
          <w:bCs/>
          <w:color w:val="auto"/>
          <w:sz w:val="28"/>
          <w:szCs w:val="28"/>
          <w:highlight w:val="none"/>
        </w:rPr>
        <w:outlineLvl w:val="9"/>
        <w:suppressLineNumbers w:val="0"/>
      </w:pPr>
      <w:r/>
      <w:bookmarkStart w:id="174" w:name="_Toc1236"/>
      <w:r>
        <w:rPr>
          <w:rFonts w:hint="eastAsia" w:ascii="宋体" w:hAnsi="宋体" w:eastAsia="宋体" w:cs="宋体"/>
          <w:b/>
          <w:bCs/>
          <w:color w:val="auto"/>
          <w:sz w:val="28"/>
          <w:szCs w:val="28"/>
          <w:highlight w:val="none"/>
          <w:lang w:val="en-US" w:eastAsia="zh-CN" w:bidi="ar"/>
        </w:rPr>
        <w:t xml:space="preserve">技术参数</w:t>
      </w:r>
      <w:bookmarkEnd w:id="174"/>
      <w:r/>
      <w:r/>
    </w:p>
    <w:p>
      <w:pPr>
        <w:numPr>
          <w:ilvl w:val="0"/>
          <w:numId w:val="17"/>
        </w:numPr>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bookmarkStart w:id="175" w:name="_Toc13813"/>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bidi="ar"/>
        </w:rPr>
        <w:t xml:space="preserve">气相色谱仪+气体进样装置+顶空进样器+30KVA UPS1小时延时电池组+高纯度氢气发生器（含1台A3彩色打印一体机）</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75"/>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4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1"/>
        <w:gridCol w:w="1438"/>
        <w:gridCol w:w="3490"/>
        <w:gridCol w:w="1560"/>
        <w:gridCol w:w="1360"/>
        <w:gridCol w:w="830"/>
      </w:tblGrid>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用途</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用于环境样品的定性定量分析。</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2.1柱箱</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操作温度</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室温以上4˚C-450˚C</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温度分</w:t>
            </w:r>
            <w:r>
              <w:rPr>
                <w:rFonts w:hint="eastAsia" w:ascii="宋体" w:hAnsi="宋体" w:eastAsia="宋体" w:cs="宋体"/>
                <w:bCs/>
                <w:color w:val="auto"/>
                <w:sz w:val="24"/>
                <w:szCs w:val="24"/>
                <w:highlight w:val="none"/>
                <w:lang w:val="en-US" w:eastAsia="zh-CN" w:bidi="ar"/>
              </w:rPr>
              <w:t xml:space="preserve">辨</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1˚C温度设定，0.1˚C程序设定</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最大运行时间</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999.99分钟</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温度稳定性</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&lt;0.01˚C/1˚C环境变化</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峰面积重现性</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&lt; 0.5% RSD</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色谱柱智能钥</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具有不少于三个气相色谱柱智能钥匙</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冷却</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柱温箱在4.0分钟内从450℃冷却到50℃（带柱温箱插件附件为3.5分钟过）</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2.2毛细柱分流/无分流进样口</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最高使用温度</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400˚C</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设定</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电子参数设定压力，流速和分流比</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压力设定范围</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0-150psi</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气路流量/压力控制精度</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电子气路流量/压力控制精度可达0.001psi</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流量范围</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vertAlign w:val="subscript"/>
              </w:rPr>
              <w:outlineLvl w:val="9"/>
              <w:suppressLineNumbers w:val="0"/>
            </w:pPr>
            <w:r>
              <w:rPr>
                <w:rFonts w:hint="eastAsia" w:ascii="宋体" w:hAnsi="宋体" w:eastAsia="宋体" w:cs="宋体"/>
                <w:color w:val="auto"/>
                <w:sz w:val="24"/>
                <w:szCs w:val="24"/>
                <w:highlight w:val="none"/>
                <w:lang w:val="en-US" w:eastAsia="zh-CN" w:bidi="ar"/>
              </w:rPr>
              <w:t xml:space="preserve">0-500Ml/min N</w:t>
            </w:r>
            <w:r>
              <w:rPr>
                <w:rFonts w:hint="eastAsia" w:ascii="宋体" w:hAnsi="宋体" w:eastAsia="宋体" w:cs="宋体"/>
                <w:color w:val="auto"/>
                <w:sz w:val="24"/>
                <w:szCs w:val="24"/>
                <w:highlight w:val="none"/>
                <w:vertAlign w:val="subscript"/>
                <w:lang w:val="en-US" w:eastAsia="zh-CN" w:bidi="ar"/>
              </w:rPr>
              <w:t xml:space="preserve">2 </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0-1250mL/min H</w:t>
            </w:r>
            <w:r>
              <w:rPr>
                <w:rFonts w:hint="eastAsia" w:ascii="宋体" w:hAnsi="宋体" w:eastAsia="宋体" w:cs="宋体"/>
                <w:color w:val="auto"/>
                <w:sz w:val="24"/>
                <w:szCs w:val="24"/>
                <w:highlight w:val="none"/>
                <w:vertAlign w:val="subscript"/>
                <w:lang w:val="en-US" w:eastAsia="zh-CN" w:bidi="ar"/>
              </w:rPr>
              <w:t xml:space="preserve">2 </w:t>
            </w:r>
            <w:r>
              <w:rPr>
                <w:rFonts w:hint="eastAsia" w:ascii="宋体" w:hAnsi="宋体" w:eastAsia="宋体" w:cs="宋体"/>
                <w:color w:val="auto"/>
                <w:sz w:val="24"/>
                <w:szCs w:val="24"/>
                <w:highlight w:val="none"/>
                <w:lang w:val="en-US" w:eastAsia="zh-CN" w:bidi="ar"/>
              </w:rPr>
              <w:t xml:space="preserve">或 He</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0-200ml/min Ar 或 CH</w:t>
            </w:r>
            <w:r>
              <w:rPr>
                <w:rFonts w:hint="eastAsia" w:ascii="宋体" w:hAnsi="宋体" w:eastAsia="宋体" w:cs="宋体"/>
                <w:color w:val="auto"/>
                <w:sz w:val="24"/>
                <w:szCs w:val="24"/>
                <w:highlight w:val="none"/>
                <w:vertAlign w:val="subscript"/>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扳转式进样口</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设计，更换衬管等消耗品无需使用工具拆卸螺帽，有助于快速、轻松地更换进样器衬管</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分流比</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≥12500:1</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2.3 氢火焰检测器</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最高使用温度</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450˚C</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自动点火装置</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自动点火装置，自动调节点火气流; 具有自动灭火检测功能</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最低检测限</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&lt;1.2 pg碳/秒(十三烷) </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线性动态范围</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vertAlign w:val="superscript"/>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数据采样速率</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≥800Hz</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2.4 微池电子捕获检测器</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最低检测限</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&lt;3.8fg/ml（林丹在标准条件下）</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448"/>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放射源</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&lt;15mCi的</w:t>
            </w:r>
            <w:r>
              <w:rPr>
                <w:rFonts w:hint="eastAsia" w:ascii="宋体" w:hAnsi="宋体" w:eastAsia="宋体" w:cs="宋体"/>
                <w:color w:val="auto"/>
                <w:sz w:val="24"/>
                <w:szCs w:val="24"/>
                <w:highlight w:val="none"/>
                <w:vertAlign w:val="superscript"/>
                <w:lang w:val="en-US" w:eastAsia="zh-CN" w:bidi="ar"/>
              </w:rPr>
              <w:t xml:space="preserve">63</w:t>
            </w:r>
            <w:r>
              <w:rPr>
                <w:rFonts w:hint="eastAsia" w:ascii="宋体" w:hAnsi="宋体" w:eastAsia="宋体" w:cs="宋体"/>
                <w:color w:val="auto"/>
                <w:sz w:val="24"/>
                <w:szCs w:val="24"/>
                <w:highlight w:val="none"/>
                <w:lang w:val="en-US" w:eastAsia="zh-CN" w:bidi="ar"/>
              </w:rPr>
              <w:t xml:space="preserve">Ni的β射线</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最高使用温度</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400℃。</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隐含阳极</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安装隐含阳极和大体积流速，防止污染。</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2.5 全自动顶空进样器</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色谱性能指标</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面积重复性：＜1%RSD；</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样品加热位</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≥12位，</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样品瓶位</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≥48位</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自适应算法</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采用自适应算法自动进行样品重叠加热，以便获得最大的分析效率。</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进样方法</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顶空进样系统采用阀和定量管的进样方式。</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气路控制</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标配的全电子气路技术，使用户可以采用软件对仪器进行全面控制（顶空瓶压 GC柱头压可以独立控制）压力设定点可以调节的增量为0.001psi，在0.000到75.000psi之间的控制精度为0.001 </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2.6 气体自动进样器</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最大可支持样品数</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≥30位。</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支持样品</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支持样品为气袋和注射器针筒。气袋体积0.5 L、1 L、2L等市面上常见规格尺寸。针筒支持50 mL、100 mL以下的常见玻璃注射器针筒。</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32</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气体自动进样器可配置</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气体自动进样器可配置气袋烘箱模块，便于气体样品保存在一定温度下，避免气袋或针筒中样品发生冷凝。</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自动样品稀释</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可按设定比例自动高浓度样品，自动稀释样品数量≥30位，支持常压和正压标气（最大压力不超过0.3Mpa），最大稀释倍数≥100倍。</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2.7配置要求</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气相色谱柱</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毛细进样口</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2套</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FID检测器</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微池电子捕获检测器</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38</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顶空进样器 </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39</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气体进样阀</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40</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气体自动进样装置</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1套</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配套耗材</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1.进样隔垫50个；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2.柱螺母2个；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3.分流不分流衬管5支；</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4.不锈钢密封垫1个；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5.衬管O型圈10个；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6.石墨密封垫10个；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7.水氧捕集阱1个；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8.启动工具包1套；</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9.容积1升聚氟乙烯（PVF）材质或同等级的薄膜气袋30个；</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10.顶空瓶1盒；</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11.配套顶空盖含衬垫3袋；</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12.10微升微量注射器2支，100微升微量注射器2支。</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13.能分离苯系物八组分的毛细管柱1根。</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氢气发生器</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纯度不低于99.99％，流速范围：0-200cc/min，氢气出气压力0—50psi。</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43</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延时电池</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30KVA UPS1小时延时电池组</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44</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A3彩色打印一体机</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1台（配套使用）</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45</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工作站</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pStyle w:val="908"/>
              <w:ind w:left="0" w:right="0"/>
              <w:jc w:val="both"/>
              <w:keepLines w:val="0"/>
              <w:keepNext w:val="0"/>
              <w:spacing w:before="0" w:beforeAutospacing="0" w:after="0" w:afterAutospacing="0"/>
              <w:widowControl w:val="off"/>
              <w:rPr>
                <w:rFonts w:hint="default" w:ascii="Verdana" w:hAnsi="Verdana" w:eastAsia="宋体" w:cs="Times New Roman"/>
                <w:color w:val="auto"/>
                <w:sz w:val="21"/>
                <w:szCs w:val="21"/>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1套</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1"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46</w:t>
            </w:r>
            <w:r/>
          </w:p>
        </w:tc>
        <w:tc>
          <w:tcPr>
            <w:shd w:val="clear" w:color="auto" w:fill="auto"/>
            <w:tcBorders>
              <w:top w:val="single" w:color="auto" w:sz="4" w:space="0"/>
              <w:left w:val="none" w:color="000000" w:sz="4" w:space="0"/>
              <w:bottom w:val="single" w:color="auto" w:sz="4" w:space="0"/>
              <w:right w:val="single" w:color="auto" w:sz="4" w:space="0"/>
            </w:tcBorders>
            <w:tcW w:w="1438"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人员培训、技术支持：</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（提供承诺书）对仪器操作人员由厂商提供培训（不少于2人），培训地点由厂商指定。为采购方提供1次扩项指导服务。</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30" w:type="dxa"/>
            <w:vAlign w:val="top"/>
            <w:textDirection w:val="lrTb"/>
            <w:noWrap w:val="false"/>
          </w:tcPr>
          <w:p>
            <w:pPr>
              <w:pStyle w:val="908"/>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numPr>
          <w:ilvl w:val="0"/>
          <w:numId w:val="17"/>
        </w:numPr>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bookmarkStart w:id="176" w:name="_Toc21190"/>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bidi="ar"/>
        </w:rPr>
        <w:t xml:space="preserve">等离子发射光谱质谱联用仪ICP-MS+自动进样器（含1台A3彩色打印一体机）</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76"/>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5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1"/>
        <w:gridCol w:w="1638"/>
        <w:gridCol w:w="3510"/>
        <w:gridCol w:w="1570"/>
        <w:gridCol w:w="1370"/>
        <w:gridCol w:w="820"/>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1、仪器总体要求</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适用范围</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电感耦合等离子体质谱仪要求能适用于应用领域广泛的各种样品的元素分析、同位素分析分析任务，满足环境、食品、医药、地质、金属材料、生物样品、化工材料分析等。</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2、仪器工作环境</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工作环境温度</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15-30℃；</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工作环境湿度 </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80% （无冷凝）；</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电源</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单相200-240V ，50 Hz；</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3、仪器技术要求</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3.1</w:t>
            </w:r>
            <w:r>
              <w:rPr>
                <w:rFonts w:hint="eastAsia" w:ascii="宋体" w:hAnsi="宋体" w:eastAsia="宋体" w:cs="宋体"/>
                <w:b/>
                <w:bCs/>
                <w:color w:val="auto"/>
                <w:sz w:val="24"/>
                <w:szCs w:val="24"/>
                <w:highlight w:val="none"/>
                <w:lang w:val="en-US" w:eastAsia="zh-CN" w:bidi="ar"/>
              </w:rPr>
              <w:t xml:space="preserve">进样系统</w:t>
            </w:r>
            <w:r>
              <w:rPr>
                <w:rFonts w:hint="eastAsia" w:ascii="宋体" w:hAnsi="宋体" w:eastAsia="宋体" w:cs="宋体"/>
                <w:bCs/>
                <w:color w:val="auto"/>
                <w:sz w:val="24"/>
                <w:szCs w:val="24"/>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进样系统</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配置高灵敏度同心雾化器和小体积旋流雾室进样系统。</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雾室连接</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雾室应直接连接到炬管的基座上，而无需在雾室与炬管之间使用传输管。</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彩色等离子体观测窗</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全景式彩色等离子体观测窗，实时监测锥孔及喷射管孔样品沉积。</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3.2</w:t>
            </w:r>
            <w:r>
              <w:rPr>
                <w:rFonts w:hint="eastAsia" w:ascii="宋体" w:hAnsi="宋体" w:eastAsia="宋体" w:cs="宋体"/>
                <w:b/>
                <w:bCs/>
                <w:color w:val="auto"/>
                <w:sz w:val="24"/>
                <w:szCs w:val="24"/>
                <w:highlight w:val="none"/>
                <w:lang w:val="en-US" w:eastAsia="zh-CN" w:bidi="ar"/>
              </w:rPr>
              <w:t xml:space="preserve">全基体进样系统（AMS）：</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3.3</w:t>
            </w:r>
            <w:r>
              <w:rPr>
                <w:rFonts w:hint="eastAsia" w:ascii="宋体" w:hAnsi="宋体" w:eastAsia="宋体" w:cs="宋体"/>
                <w:b/>
                <w:bCs/>
                <w:color w:val="auto"/>
                <w:sz w:val="24"/>
                <w:szCs w:val="24"/>
                <w:highlight w:val="none"/>
                <w:lang w:val="en-US" w:eastAsia="zh-CN" w:bidi="ar"/>
              </w:rPr>
              <w:t xml:space="preserve">射频发生器</w:t>
            </w:r>
            <w:r>
              <w:rPr>
                <w:rFonts w:hint="eastAsia" w:ascii="宋体" w:hAnsi="宋体" w:eastAsia="宋体" w:cs="宋体"/>
                <w:bCs/>
                <w:color w:val="auto"/>
                <w:sz w:val="24"/>
                <w:szCs w:val="24"/>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频率</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高频率自激式全固态射频发生器，要求频率30MHz以上，</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虚拟接地</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具有虚拟接地的、不额外依靠外部物理接地的消除锥口二次电弧放电技术，无需屏蔽炬等额外安装与维护，无需屏蔽炬等额外消耗。  </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等离子体工作线圈</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等离子体工作线圈无需外部冷却水额外冷却，实现超低射频能量损耗。</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等离子体炬位</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等离子体炬位XYZ三轴计算机全自动调节。</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气体控制</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使用不少于5个高精度气体质量流量控制器，控制包含等离子体气、辅助气、雾化气、全基体进样系统气和碰撞反应气等五路气体流量；</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7" w:right="0" w:hanging="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7" w:right="0" w:hanging="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7" w:right="0" w:hanging="7"/>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3.5接口</w:t>
            </w:r>
            <w:r>
              <w:rPr>
                <w:rFonts w:hint="eastAsia" w:ascii="宋体" w:hAnsi="宋体" w:eastAsia="宋体" w:cs="宋体"/>
                <w:bCs/>
                <w:color w:val="auto"/>
                <w:sz w:val="24"/>
                <w:szCs w:val="24"/>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7" w:right="0" w:hanging="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7" w:right="0" w:hanging="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7" w:right="0" w:hanging="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3.6四极杆</w:t>
            </w:r>
            <w:r>
              <w:rPr>
                <w:rFonts w:hint="eastAsia" w:ascii="宋体" w:hAnsi="宋体" w:eastAsia="宋体" w:cs="宋体"/>
                <w:b/>
                <w:bCs/>
                <w:color w:val="auto"/>
                <w:sz w:val="24"/>
                <w:szCs w:val="24"/>
                <w:highlight w:val="none"/>
                <w:lang w:val="en-US" w:eastAsia="zh-CN" w:bidi="ar"/>
              </w:rPr>
              <w:t xml:space="preserve">离子偏转器</w:t>
            </w:r>
            <w:r>
              <w:rPr>
                <w:rFonts w:hint="eastAsia" w:ascii="宋体" w:hAnsi="宋体" w:eastAsia="宋体" w:cs="宋体"/>
                <w:bCs/>
                <w:color w:val="auto"/>
                <w:sz w:val="24"/>
                <w:szCs w:val="24"/>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90度离子偏转技术</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90</w:t>
            </w:r>
            <w:r>
              <w:rPr>
                <w:rFonts w:hint="eastAsia" w:ascii="宋体" w:hAnsi="宋体" w:eastAsia="宋体" w:cs="宋体"/>
                <w:color w:val="auto"/>
                <w:sz w:val="24"/>
                <w:szCs w:val="24"/>
                <w:highlight w:val="none"/>
                <w:lang w:val="en-US" w:eastAsia="zh-CN" w:bidi="ar"/>
              </w:rPr>
              <w:t xml:space="preserve">度离子偏转技术，实现分析离子</w:t>
            </w:r>
            <w:r>
              <w:rPr>
                <w:rFonts w:hint="eastAsia" w:ascii="宋体" w:hAnsi="宋体" w:eastAsia="宋体" w:cs="宋体"/>
                <w:bCs/>
                <w:color w:val="auto"/>
                <w:sz w:val="24"/>
                <w:szCs w:val="24"/>
                <w:highlight w:val="none"/>
                <w:lang w:val="en-US" w:eastAsia="zh-CN" w:bidi="ar"/>
              </w:rPr>
              <w:t xml:space="preserve">与未电离的中性粒子和光子彻底分离。</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离子透镜</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离子透镜彻底免维护。</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3.7四极杆碰撞反应池：</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碰撞反应池系统</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具有轴向加速的四极杆碰撞反应池系统。</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甄别</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具有动能甄别碰撞模式消除干扰。</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宽调谐</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具有四极杆动态带宽调谐反应模式消除干扰。</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纯氨气作为反应气体</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可使用纯氨气作为反应气体（＞99.999%）</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反应模式切换</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单次分析中，可实现标准模式、碰撞模式和反应模式切换。</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智能电子稀释技术</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具有智能电子稀释技术，可实现一次进样中直接分析1000 ppm钠标准溶液，得到10个以上不同稀释倍数的检测。</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3.8</w:t>
            </w:r>
            <w:r>
              <w:rPr>
                <w:rFonts w:hint="eastAsia" w:ascii="宋体" w:hAnsi="宋体" w:eastAsia="宋体" w:cs="宋体"/>
                <w:b/>
                <w:bCs w:val="0"/>
                <w:color w:val="auto"/>
                <w:sz w:val="24"/>
                <w:szCs w:val="24"/>
                <w:highlight w:val="none"/>
                <w:lang w:val="en-US" w:eastAsia="zh-CN" w:bidi="ar"/>
              </w:rPr>
              <w:t xml:space="preserve">四极杆</w:t>
            </w:r>
            <w:r>
              <w:rPr>
                <w:rFonts w:hint="eastAsia" w:ascii="宋体" w:hAnsi="宋体" w:eastAsia="宋体" w:cs="宋体"/>
                <w:b/>
                <w:bCs/>
                <w:color w:val="auto"/>
                <w:sz w:val="24"/>
                <w:szCs w:val="24"/>
                <w:highlight w:val="none"/>
                <w:lang w:val="en-US" w:eastAsia="zh-CN" w:bidi="ar"/>
              </w:rPr>
              <w:t xml:space="preserve">质量分析器</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质量范围</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1-285 amu.</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分辨率</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0.1-2.0 amu连续可调。</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驱动频率</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 2.5 MHz。</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3.9检测器 </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方式</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长寿命、双模（脉冲方式和模拟方式检测）同时型检测器。</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检测器瞬时采集速率</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检测器瞬时采集速率不低于100,000数据点/秒。</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3.10真空系统</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真空系统</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四级真空系统。</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冷启动至工作所需要的真空度时间</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关机后24小时冷启动至工作所需要的真空度时间≤8分钟，真空度最高可达10</w:t>
            </w:r>
            <w:r>
              <w:rPr>
                <w:rFonts w:hint="eastAsia" w:ascii="宋体" w:hAnsi="宋体" w:eastAsia="宋体" w:cs="宋体"/>
                <w:bCs/>
                <w:color w:val="auto"/>
                <w:sz w:val="24"/>
                <w:szCs w:val="24"/>
                <w:highlight w:val="none"/>
                <w:vertAlign w:val="superscript"/>
                <w:lang w:val="en-US" w:eastAsia="zh-CN" w:bidi="ar"/>
              </w:rPr>
              <w:t xml:space="preserve">-8</w:t>
            </w:r>
            <w:r>
              <w:rPr>
                <w:rFonts w:hint="eastAsia" w:ascii="宋体" w:hAnsi="宋体" w:eastAsia="宋体" w:cs="宋体"/>
                <w:bCs/>
                <w:color w:val="auto"/>
                <w:sz w:val="24"/>
                <w:szCs w:val="24"/>
                <w:highlight w:val="none"/>
                <w:lang w:val="en-US" w:eastAsia="zh-CN" w:bidi="ar"/>
              </w:rPr>
              <w:t xml:space="preserve">Tor。</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3.11 仪器面板（提供技术证明文件）</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液晶屏</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嵌入式液晶触摸屏</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 液晶触摸屏可实时显示测试结果。（2）液晶触摸屏可视化仪器参数诊断，查看仪器运行参数，包括雾化气背压，真空压力等。</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（3）液晶触摸屏可以进行仪器运行分析与统计，包括氩气消耗，仪器运行时间等。（4）液晶触摸屏可查看仪器维护视频。（5）仪器面板LED状态显示灯</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（6）LED灯不同颜色状态显示仪器操作模式、数据采集模式和待机模式。</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3.12软件</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（1）可实现仪器自动开机、自动优化、自动分析和自动关机的无人值守分析。</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（2）多元素分析不同元素可以设置超过15个不同的分辨率。</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（3）ICP-MS操作软件允许在多台电脑（10台以上）脱机安装并处理数据以及操作演示。</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（4）提供基于浏览器的网页版数据查看功能，电脑无需连接网络，随时可进行数据查看、处理、导出，独立运行，无需启动仪器操作软件。</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（5）仪器提供接口，将生成的数据集可直接从软件发送至LIMS系统</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3.13仪器整体性能</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灵敏度</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低质量数：≥ 50M cps/ppm；中质量数：≥100M cps/ppm；高质量数：≥ 80M cps/ppm </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随机背景</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 1 cps (220amu)</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32</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氧化物离子</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(CeO</w:t>
            </w:r>
            <w:r>
              <w:rPr>
                <w:rFonts w:hint="eastAsia" w:ascii="宋体" w:hAnsi="宋体" w:eastAsia="宋体" w:cs="宋体"/>
                <w:bCs/>
                <w:color w:val="auto"/>
                <w:sz w:val="24"/>
                <w:szCs w:val="24"/>
                <w:highlight w:val="none"/>
                <w:vertAlign w:val="superscript"/>
                <w:lang w:val="en-US" w:eastAsia="zh-CN" w:bidi="ar"/>
              </w:rPr>
              <w:t xml:space="preserve">+</w:t>
            </w:r>
            <w:r>
              <w:rPr>
                <w:rFonts w:hint="eastAsia" w:ascii="宋体" w:hAnsi="宋体" w:eastAsia="宋体" w:cs="宋体"/>
                <w:bCs/>
                <w:color w:val="auto"/>
                <w:sz w:val="24"/>
                <w:szCs w:val="24"/>
                <w:highlight w:val="none"/>
                <w:lang w:val="en-US" w:eastAsia="zh-CN" w:bidi="ar"/>
              </w:rPr>
              <w:t xml:space="preserve">/Ce</w:t>
            </w:r>
            <w:r>
              <w:rPr>
                <w:rFonts w:hint="eastAsia" w:ascii="宋体" w:hAnsi="宋体" w:eastAsia="宋体" w:cs="宋体"/>
                <w:bCs/>
                <w:color w:val="auto"/>
                <w:sz w:val="24"/>
                <w:szCs w:val="24"/>
                <w:highlight w:val="none"/>
                <w:vertAlign w:val="superscript"/>
                <w:lang w:val="en-US" w:eastAsia="zh-CN" w:bidi="ar"/>
              </w:rPr>
              <w:t xml:space="preserve">+</w:t>
            </w:r>
            <w:r>
              <w:rPr>
                <w:rFonts w:hint="eastAsia" w:ascii="宋体" w:hAnsi="宋体" w:eastAsia="宋体" w:cs="宋体"/>
                <w:bCs/>
                <w:color w:val="auto"/>
                <w:sz w:val="24"/>
                <w:szCs w:val="24"/>
                <w:highlight w:val="none"/>
                <w:lang w:val="en-US" w:eastAsia="zh-CN" w:bidi="ar"/>
              </w:rPr>
              <w:t xml:space="preserve">) ≤ 2.5%，不使用制冷雾室</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电荷离子</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(Ce</w:t>
            </w:r>
            <w:r>
              <w:rPr>
                <w:rFonts w:hint="eastAsia" w:ascii="宋体" w:hAnsi="宋体" w:eastAsia="宋体" w:cs="宋体"/>
                <w:bCs/>
                <w:color w:val="auto"/>
                <w:sz w:val="24"/>
                <w:szCs w:val="24"/>
                <w:highlight w:val="none"/>
                <w:vertAlign w:val="superscript"/>
                <w:lang w:val="en-US" w:eastAsia="zh-CN" w:bidi="ar"/>
              </w:rPr>
              <w:t xml:space="preserve">2+</w:t>
            </w:r>
            <w:r>
              <w:rPr>
                <w:rFonts w:hint="eastAsia" w:ascii="宋体" w:hAnsi="宋体" w:eastAsia="宋体" w:cs="宋体"/>
                <w:bCs/>
                <w:color w:val="auto"/>
                <w:sz w:val="24"/>
                <w:szCs w:val="24"/>
                <w:highlight w:val="none"/>
                <w:lang w:val="en-US" w:eastAsia="zh-CN" w:bidi="ar"/>
              </w:rPr>
              <w:t xml:space="preserve">/Ce</w:t>
            </w:r>
            <w:r>
              <w:rPr>
                <w:rFonts w:hint="eastAsia" w:ascii="宋体" w:hAnsi="宋体" w:eastAsia="宋体" w:cs="宋体"/>
                <w:bCs/>
                <w:color w:val="auto"/>
                <w:sz w:val="24"/>
                <w:szCs w:val="24"/>
                <w:highlight w:val="none"/>
                <w:vertAlign w:val="superscript"/>
                <w:lang w:val="en-US" w:eastAsia="zh-CN" w:bidi="ar"/>
              </w:rPr>
              <w:t xml:space="preserve">+</w:t>
            </w:r>
            <w:r>
              <w:rPr>
                <w:rFonts w:hint="eastAsia" w:ascii="宋体" w:hAnsi="宋体" w:eastAsia="宋体" w:cs="宋体"/>
                <w:bCs/>
                <w:color w:val="auto"/>
                <w:sz w:val="24"/>
                <w:szCs w:val="24"/>
                <w:highlight w:val="none"/>
                <w:lang w:val="en-US" w:eastAsia="zh-CN" w:bidi="ar"/>
              </w:rPr>
              <w:t xml:space="preserve">)  ≤3.0 %</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34</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检出限</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Be（9）：＜0.5 ppt；In (115)：＜0.1 ppt；U (238)：＜ 0.1 ppt</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35</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稳定性</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 4% RSD（4小时）。不加内标，每10分钟测量一次。</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36</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同位素比精度</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vertAlign w:val="superscript"/>
                <w:lang w:val="en-US" w:eastAsia="zh-CN" w:bidi="ar"/>
              </w:rPr>
              <w:t xml:space="preserve">107</w:t>
            </w:r>
            <w:r>
              <w:rPr>
                <w:rFonts w:hint="eastAsia" w:ascii="宋体" w:hAnsi="宋体" w:eastAsia="宋体" w:cs="宋体"/>
                <w:bCs/>
                <w:color w:val="auto"/>
                <w:sz w:val="24"/>
                <w:szCs w:val="24"/>
                <w:highlight w:val="none"/>
                <w:lang w:val="en-US" w:eastAsia="zh-CN" w:bidi="ar"/>
              </w:rPr>
              <w:t xml:space="preserve">Ag/</w:t>
            </w:r>
            <w:r>
              <w:rPr>
                <w:rFonts w:hint="eastAsia" w:ascii="宋体" w:hAnsi="宋体" w:eastAsia="宋体" w:cs="宋体"/>
                <w:bCs/>
                <w:color w:val="auto"/>
                <w:sz w:val="24"/>
                <w:szCs w:val="24"/>
                <w:highlight w:val="none"/>
                <w:vertAlign w:val="superscript"/>
                <w:lang w:val="en-US" w:eastAsia="zh-CN" w:bidi="ar"/>
              </w:rPr>
              <w:t xml:space="preserve">109</w:t>
            </w:r>
            <w:r>
              <w:rPr>
                <w:rFonts w:hint="eastAsia" w:ascii="宋体" w:hAnsi="宋体" w:eastAsia="宋体" w:cs="宋体"/>
                <w:bCs/>
                <w:color w:val="auto"/>
                <w:sz w:val="24"/>
                <w:szCs w:val="24"/>
                <w:highlight w:val="none"/>
                <w:lang w:val="en-US" w:eastAsia="zh-CN" w:bidi="ar"/>
              </w:rPr>
              <w:t xml:space="preserve">Ag 同位素比， RSD ＜ 0.08％。</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37</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四极杆最短驻留时间</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（dwell time）10µs。</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38</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设置分辨率</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在一次样品测试中，可以设置8种不同分辨率，调节范围0.1-2.0amu。</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39</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干扰元素分析能力</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低含量受干扰元素分析能力：1000 mg/L NaCl基质中50ppt 的</w:t>
            </w:r>
            <w:r>
              <w:rPr>
                <w:rFonts w:hint="eastAsia" w:ascii="宋体" w:hAnsi="宋体" w:eastAsia="宋体" w:cs="宋体"/>
                <w:bCs/>
                <w:color w:val="auto"/>
                <w:sz w:val="24"/>
                <w:szCs w:val="24"/>
                <w:highlight w:val="none"/>
                <w:vertAlign w:val="superscript"/>
                <w:lang w:val="en-US" w:eastAsia="zh-CN" w:bidi="ar"/>
              </w:rPr>
              <w:t xml:space="preserve">80</w:t>
            </w:r>
            <w:r>
              <w:rPr>
                <w:rFonts w:hint="eastAsia" w:ascii="宋体" w:hAnsi="宋体" w:eastAsia="宋体" w:cs="宋体"/>
                <w:bCs/>
                <w:color w:val="auto"/>
                <w:sz w:val="24"/>
                <w:szCs w:val="24"/>
                <w:highlight w:val="none"/>
                <w:lang w:val="en-US" w:eastAsia="zh-CN" w:bidi="ar"/>
              </w:rPr>
              <w:t xml:space="preserve">Se回收率优于95%。</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40</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同时形态分析能力</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具有As和Cr形态同时分析的能力。</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检测能力</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具有将P和S转化为PO、SO离子进行检测的能力以消除NO、O2离子对P、S的干扰，分析PO、SO离子的检出限优于0.1ppb和0.25ppb。</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42</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widowControl w:val="off"/>
              <w:rPr>
                <w:rFonts w:hint="default" w:ascii="Calibri" w:hAnsi="Calibri" w:eastAsia="宋体" w:cs="Times New Roman"/>
                <w:color w:val="auto"/>
                <w:sz w:val="21"/>
                <w:szCs w:val="21"/>
                <w:highlight w:val="none"/>
              </w:rPr>
              <w:outlineLvl w:val="9"/>
              <w:suppressLineNumbers w:val="0"/>
            </w:pPr>
            <w:r>
              <w:rPr>
                <w:rFonts w:hint="eastAsia" w:ascii="宋体" w:hAnsi="宋体" w:eastAsia="宋体" w:cs="宋体"/>
                <w:bCs/>
                <w:color w:val="auto"/>
                <w:sz w:val="24"/>
                <w:szCs w:val="24"/>
                <w:highlight w:val="none"/>
                <w:vertAlign w:val="superscript"/>
                <w:lang w:val="en-US" w:eastAsia="zh-CN" w:bidi="ar"/>
              </w:rPr>
              <w:t xml:space="preserve">87</w:t>
            </w:r>
            <w:r>
              <w:rPr>
                <w:rFonts w:hint="eastAsia" w:ascii="宋体" w:hAnsi="宋体" w:eastAsia="宋体" w:cs="宋体"/>
                <w:bCs/>
                <w:color w:val="auto"/>
                <w:sz w:val="24"/>
                <w:szCs w:val="24"/>
                <w:highlight w:val="none"/>
                <w:lang w:val="en-US" w:eastAsia="zh-CN" w:bidi="ar"/>
              </w:rPr>
              <w:t xml:space="preserve">Rb/</w:t>
            </w:r>
            <w:r>
              <w:rPr>
                <w:rFonts w:hint="eastAsia" w:ascii="宋体" w:hAnsi="宋体" w:eastAsia="宋体" w:cs="宋体"/>
                <w:bCs/>
                <w:color w:val="auto"/>
                <w:sz w:val="24"/>
                <w:szCs w:val="24"/>
                <w:highlight w:val="none"/>
                <w:vertAlign w:val="superscript"/>
                <w:lang w:val="en-US" w:eastAsia="zh-CN" w:bidi="ar"/>
              </w:rPr>
              <w:t xml:space="preserve">87</w:t>
            </w:r>
            <w:r>
              <w:rPr>
                <w:rFonts w:hint="eastAsia" w:ascii="宋体" w:hAnsi="宋体" w:eastAsia="宋体" w:cs="宋体"/>
                <w:bCs/>
                <w:color w:val="auto"/>
                <w:sz w:val="24"/>
                <w:szCs w:val="24"/>
                <w:highlight w:val="none"/>
                <w:lang w:val="en-US" w:eastAsia="zh-CN" w:bidi="ar"/>
              </w:rPr>
              <w:t xml:space="preserve">Sr比值</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分析能力</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具有无需化学分离直接分析</w:t>
            </w:r>
            <w:r>
              <w:rPr>
                <w:rFonts w:hint="eastAsia" w:ascii="宋体" w:hAnsi="宋体" w:eastAsia="宋体" w:cs="宋体"/>
                <w:bCs/>
                <w:color w:val="auto"/>
                <w:sz w:val="24"/>
                <w:szCs w:val="24"/>
                <w:highlight w:val="none"/>
                <w:vertAlign w:val="superscript"/>
                <w:lang w:val="en-US" w:eastAsia="zh-CN" w:bidi="ar"/>
              </w:rPr>
              <w:t xml:space="preserve">87</w:t>
            </w:r>
            <w:r>
              <w:rPr>
                <w:rFonts w:hint="eastAsia" w:ascii="宋体" w:hAnsi="宋体" w:eastAsia="宋体" w:cs="宋体"/>
                <w:bCs/>
                <w:color w:val="auto"/>
                <w:sz w:val="24"/>
                <w:szCs w:val="24"/>
                <w:highlight w:val="none"/>
                <w:lang w:val="en-US" w:eastAsia="zh-CN" w:bidi="ar"/>
              </w:rPr>
              <w:t xml:space="preserve">Rb/</w:t>
            </w:r>
            <w:r>
              <w:rPr>
                <w:rFonts w:hint="eastAsia" w:ascii="宋体" w:hAnsi="宋体" w:eastAsia="宋体" w:cs="宋体"/>
                <w:bCs/>
                <w:color w:val="auto"/>
                <w:sz w:val="24"/>
                <w:szCs w:val="24"/>
                <w:highlight w:val="none"/>
                <w:vertAlign w:val="superscript"/>
                <w:lang w:val="en-US" w:eastAsia="zh-CN" w:bidi="ar"/>
              </w:rPr>
              <w:t xml:space="preserve">87</w:t>
            </w:r>
            <w:r>
              <w:rPr>
                <w:rFonts w:hint="eastAsia" w:ascii="宋体" w:hAnsi="宋体" w:eastAsia="宋体" w:cs="宋体"/>
                <w:bCs/>
                <w:color w:val="auto"/>
                <w:sz w:val="24"/>
                <w:szCs w:val="24"/>
                <w:highlight w:val="none"/>
                <w:lang w:val="en-US" w:eastAsia="zh-CN" w:bidi="ar"/>
              </w:rPr>
              <w:t xml:space="preserve">Sr比值的能力（所需分辨率287,000），分析结果的误差与TIMS相比小于1%。</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43</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Tm、Yb、Lu杂质含量分析能力</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具有分析5N高纯氧化钆中Tm、Yb、Lu杂质含量的能力</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44</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Lu杂质含量分析能力</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具有分析5N高纯氧化铽中Lu杂质含量的能力</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rHeight w:val="1151"/>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45</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电感耦合等离子体质谱仪主机以及安装工具包1套，包含高灵敏度同心雾化器和小体积旋流雾室；全基体进样系统；全彩色等离子体观察窗；等离子体位置XYZ三轴全自动调节；三锥接口；射频发生器；1.0mm以上直径的采样锥和0.8mm以上直径的截取锥；四极杆离子偏转器；带轴向加速的四极杆碰撞反应池；含预四级杆的超高稳定特种合金四极杆质量分析器；双模同时检测器；四级真空系统；操作软件等。</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2.循环冷却水1套</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3.仪器调试溶液1套</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4.自动进样器1套 </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5.A3彩色打印一体机1台</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6.长1.5米、宽0.75米、高0.85米操作台一套</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7.排风设施一套</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8.隔断一套，材质：铝合金，尺寸根据现场定制。</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01"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46</w:t>
            </w:r>
            <w:r/>
          </w:p>
        </w:tc>
        <w:tc>
          <w:tcPr>
            <w:shd w:val="clear" w:color="auto" w:fill="auto"/>
            <w:tcBorders>
              <w:top w:val="single" w:color="auto" w:sz="4" w:space="0"/>
              <w:left w:val="none" w:color="000000" w:sz="4" w:space="0"/>
              <w:bottom w:val="single" w:color="auto" w:sz="4" w:space="0"/>
              <w:right w:val="single" w:color="auto" w:sz="4" w:space="0"/>
            </w:tcBorders>
            <w:tcW w:w="1638"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人员培训、技术支持</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提供承诺书）对仪器操作人员由厂商提供培训（不少于2人），培训地点由厂商指定。为采购方提供1次扩项指导服务。</w:t>
            </w:r>
            <w:r/>
          </w:p>
        </w:tc>
        <w:tc>
          <w:tcPr>
            <w:shd w:val="clear" w:color="auto" w:fill="auto"/>
            <w:tcBorders>
              <w:top w:val="single" w:color="auto" w:sz="4" w:space="0"/>
              <w:left w:val="none" w:color="000000" w:sz="4" w:space="0"/>
              <w:bottom w:val="single" w:color="auto" w:sz="4" w:space="0"/>
              <w:right w:val="single" w:color="auto" w:sz="4" w:space="0"/>
            </w:tcBorders>
            <w:tcW w:w="1570"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pStyle w:val="908"/>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outlineLvl w:val="9"/>
        <w:suppressLineNumbers w:val="0"/>
      </w:pPr>
      <w:r/>
      <w:bookmarkStart w:id="177" w:name="_Toc2598"/>
      <w:r>
        <w:rPr>
          <w:rFonts w:hint="eastAsia" w:ascii="宋体" w:hAnsi="宋体" w:eastAsia="宋体" w:cs="宋体"/>
          <w:b/>
          <w:bCs w:val="0"/>
          <w:color w:val="auto"/>
          <w:sz w:val="28"/>
          <w:szCs w:val="28"/>
          <w:highlight w:val="none"/>
          <w:lang w:val="en-US" w:eastAsia="zh-CN" w:bidi="ar"/>
        </w:rPr>
        <w:t xml:space="preserve">（三）</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8"/>
          <w:szCs w:val="28"/>
          <w:highlight w:val="none"/>
          <w:lang w:val="en-US" w:eastAsia="zh-CN" w:bidi="ar"/>
        </w:rPr>
        <w:t xml:space="preserve">ECD检测器</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bookmarkEnd w:id="177"/>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578"/>
        <w:gridCol w:w="3520"/>
        <w:gridCol w:w="1520"/>
        <w:gridCol w:w="1350"/>
        <w:gridCol w:w="87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pStyle w:val="908"/>
              <w:ind w:left="0" w:right="0"/>
              <w:jc w:val="both"/>
              <w:keepLines w:val="0"/>
              <w:keepNext w:val="0"/>
              <w:spacing w:before="0" w:beforeAutospacing="1" w:after="0" w:afterAutospacing="1"/>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52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最低检测限</w:t>
            </w:r>
            <w:r/>
          </w:p>
        </w:tc>
        <w:tc>
          <w:tcPr>
            <w:shd w:val="clear" w:color="auto" w:fill="auto"/>
            <w:tcBorders>
              <w:top w:val="single" w:color="auto" w:sz="4" w:space="0"/>
              <w:left w:val="none" w:color="000000" w:sz="4" w:space="0"/>
              <w:bottom w:val="single" w:color="auto" w:sz="4" w:space="0"/>
              <w:right w:val="single" w:color="auto" w:sz="4" w:space="0"/>
            </w:tcBorders>
            <w:tcW w:w="3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&lt;3.8fg/ml（林丹在标准条件下）</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线性动态范围</w:t>
            </w:r>
            <w:r/>
          </w:p>
        </w:tc>
        <w:tc>
          <w:tcPr>
            <w:shd w:val="clear" w:color="auto" w:fill="auto"/>
            <w:tcBorders>
              <w:top w:val="single" w:color="auto" w:sz="4" w:space="0"/>
              <w:left w:val="none" w:color="000000" w:sz="4" w:space="0"/>
              <w:bottom w:val="single" w:color="auto" w:sz="4" w:space="0"/>
              <w:right w:val="single" w:color="auto" w:sz="4" w:space="0"/>
            </w:tcBorders>
            <w:tcW w:w="3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&gt;5*10</w:t>
            </w:r>
            <w:r>
              <w:rPr>
                <w:rFonts w:hint="eastAsia" w:ascii="宋体" w:hAnsi="宋体" w:eastAsia="宋体" w:cs="宋体"/>
                <w:color w:val="auto"/>
                <w:sz w:val="24"/>
                <w:szCs w:val="24"/>
                <w:highlight w:val="none"/>
                <w:vertAlign w:val="superscript"/>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放射源</w:t>
            </w:r>
            <w:r/>
          </w:p>
        </w:tc>
        <w:tc>
          <w:tcPr>
            <w:shd w:val="clear" w:color="auto" w:fill="auto"/>
            <w:tcBorders>
              <w:top w:val="single" w:color="auto" w:sz="4" w:space="0"/>
              <w:left w:val="none" w:color="000000" w:sz="4" w:space="0"/>
              <w:bottom w:val="single" w:color="auto" w:sz="4" w:space="0"/>
              <w:right w:val="single" w:color="auto" w:sz="4" w:space="0"/>
            </w:tcBorders>
            <w:tcW w:w="3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&lt;15mCi的</w:t>
            </w:r>
            <w:r>
              <w:rPr>
                <w:rFonts w:hint="eastAsia" w:ascii="宋体" w:hAnsi="宋体" w:eastAsia="宋体" w:cs="宋体"/>
                <w:color w:val="auto"/>
                <w:sz w:val="24"/>
                <w:szCs w:val="24"/>
                <w:highlight w:val="none"/>
                <w:vertAlign w:val="superscript"/>
                <w:lang w:val="en-US" w:eastAsia="zh-CN" w:bidi="ar"/>
              </w:rPr>
              <w:t xml:space="preserve">63</w:t>
            </w:r>
            <w:r>
              <w:rPr>
                <w:rFonts w:hint="eastAsia" w:ascii="宋体" w:hAnsi="宋体" w:eastAsia="宋体" w:cs="宋体"/>
                <w:color w:val="auto"/>
                <w:sz w:val="24"/>
                <w:szCs w:val="24"/>
                <w:highlight w:val="none"/>
                <w:lang w:val="en-US" w:eastAsia="zh-CN" w:bidi="ar"/>
              </w:rPr>
              <w:t xml:space="preserve">Ni的β射线</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最高使用温度</w:t>
            </w:r>
            <w:r/>
          </w:p>
        </w:tc>
        <w:tc>
          <w:tcPr>
            <w:shd w:val="clear" w:color="auto" w:fill="auto"/>
            <w:tcBorders>
              <w:top w:val="single" w:color="auto" w:sz="4" w:space="0"/>
              <w:left w:val="none" w:color="000000" w:sz="4" w:space="0"/>
              <w:bottom w:val="single" w:color="auto" w:sz="4" w:space="0"/>
              <w:right w:val="single" w:color="auto" w:sz="4" w:space="0"/>
            </w:tcBorders>
            <w:tcW w:w="3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≥400℃</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安装隐含阳极</w:t>
            </w:r>
            <w:r/>
          </w:p>
        </w:tc>
        <w:tc>
          <w:tcPr>
            <w:shd w:val="clear" w:color="auto" w:fill="auto"/>
            <w:tcBorders>
              <w:top w:val="single" w:color="auto" w:sz="4" w:space="0"/>
              <w:left w:val="none" w:color="000000" w:sz="4" w:space="0"/>
              <w:bottom w:val="single" w:color="auto" w:sz="4" w:space="0"/>
              <w:right w:val="single" w:color="auto" w:sz="4" w:space="0"/>
            </w:tcBorders>
            <w:tcW w:w="3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安装隐含阳极和大体积流速，防止污染</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ECD检测器1个</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其他</w:t>
            </w:r>
            <w:r/>
          </w:p>
        </w:tc>
        <w:tc>
          <w:tcPr>
            <w:shd w:val="clear" w:color="auto" w:fill="auto"/>
            <w:tcBorders>
              <w:top w:val="single" w:color="auto" w:sz="4" w:space="0"/>
              <w:left w:val="none" w:color="000000" w:sz="4" w:space="0"/>
              <w:bottom w:val="single" w:color="auto" w:sz="4" w:space="0"/>
              <w:right w:val="single" w:color="auto" w:sz="4" w:space="0"/>
            </w:tcBorders>
            <w:tcW w:w="3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该产品用于更换现有7890A型安捷伦气相色谱仪ECD检测器，所投产品如不是原品牌配件，须提供承诺函，须确保与原有设备完全匹配使用，否则招标人有权拒收。承诺函格式自拟。</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pStyle w:val="908"/>
        <w:ind w:left="0" w:right="0"/>
        <w:jc w:val="both"/>
        <w:keepLines w:val="0"/>
        <w:keepNext w:val="0"/>
        <w:spacing w:before="0" w:beforeAutospacing="0" w:after="0" w:afterAutospacing="0" w:line="360" w:lineRule="auto"/>
        <w:widowControl/>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lang w:val="en-US" w:eastAsia="zh-CN" w:bidi="ar"/>
        </w:rPr>
        <w:br w:type="page" w:clear="all"/>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8"/>
          <w:szCs w:val="28"/>
          <w:highlight w:val="none"/>
        </w:rPr>
        <w:outlineLvl w:val="1"/>
        <w:suppressLineNumbers w:val="0"/>
      </w:pPr>
      <w:r/>
      <w:bookmarkStart w:id="178" w:name="_Toc24794"/>
      <w:r>
        <w:rPr>
          <w:rFonts w:hint="eastAsia" w:ascii="宋体" w:hAnsi="宋体" w:eastAsia="宋体" w:cs="宋体"/>
          <w:b/>
          <w:bCs/>
          <w:color w:val="auto"/>
          <w:sz w:val="28"/>
          <w:szCs w:val="28"/>
          <w:highlight w:val="none"/>
          <w:lang w:val="en-US" w:eastAsia="zh-CN" w:bidi="ar"/>
        </w:rPr>
        <w:t xml:space="preserve">附件6：</w:t>
      </w:r>
      <w:r>
        <w:rPr>
          <w:rFonts w:hint="eastAsia" w:ascii="宋体" w:hAnsi="宋体" w:cs="宋体"/>
          <w:b/>
          <w:bCs/>
          <w:color w:val="auto"/>
          <w:sz w:val="28"/>
          <w:szCs w:val="28"/>
          <w:highlight w:val="none"/>
          <w:lang w:val="en-US" w:eastAsia="zh-CN" w:bidi="ar"/>
        </w:rPr>
        <w:t xml:space="preserve">采购包</w:t>
      </w:r>
      <w:r>
        <w:rPr>
          <w:rFonts w:hint="eastAsia" w:ascii="宋体" w:hAnsi="宋体" w:eastAsia="宋体" w:cs="宋体"/>
          <w:b/>
          <w:bCs/>
          <w:color w:val="auto"/>
          <w:sz w:val="28"/>
          <w:szCs w:val="28"/>
          <w:highlight w:val="none"/>
          <w:lang w:val="en-US" w:eastAsia="zh-CN" w:bidi="ar"/>
        </w:rPr>
        <w:t xml:space="preserve">3技术部分正负偏离表</w:t>
      </w:r>
      <w:bookmarkEnd w:id="178"/>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8"/>
          <w:szCs w:val="28"/>
          <w:highlight w:val="none"/>
        </w:rPr>
        <w:outlineLvl w:val="9"/>
        <w:suppressLineNumbers w:val="0"/>
      </w:pPr>
      <w:r>
        <w:rPr>
          <w:rFonts w:hint="eastAsia" w:ascii="宋体" w:hAnsi="宋体" w:eastAsia="宋体" w:cs="宋体"/>
          <w:b/>
          <w:bCs/>
          <w:color w:val="auto"/>
          <w:sz w:val="28"/>
          <w:szCs w:val="28"/>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（一）</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降水采样器</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5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618"/>
        <w:gridCol w:w="3490"/>
        <w:gridCol w:w="1540"/>
        <w:gridCol w:w="1320"/>
        <w:gridCol w:w="89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SA"/>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执行标准</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GB 13580.1～GB 13580.13 大气降水采样和分析方法</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（2）HJ/T 165-2004 酸沉降监测技术规范</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（3）HJ/T 174-2005 降雨自动采样器技术要求及检测方法</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主要性能要求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（1）雨量计与采样器一体化设计</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（2）整机外壳耐腐蚀</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（3）接雨漏斗应选用惰性材料制作</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（4）多种采样模式灵活采样，如时间、雨量、场次等</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（5）进样漏斗、样品储存桶均应采用惰性材料，保证样品本底无污染</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（6）感雨器具有加热装置，能有效防止雾、露水启动设备和蒸发残留的湿沉降物。</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（7）可实时查询并通过微型打印机打印采样数据报表</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（8）大数据存储，具备掉电保护功能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（9）测试仪具备USB接口，可外接U盘，对测试数据进行转存输出</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感雨器灵敏度</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最低感应降雨强度≤0.05mm/h或≤0.5mm直径雨滴</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接雨漏斗</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上口内径Φ(300±2)mm；离支撑面≥1.2m</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降雨开盖延迟时间</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≤60s</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雨停关盖延迟时间</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≤5min</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样品存储</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采样器应有采样桶用于保存雨水样品。采样桶在送到实验室前应在 ３～５℃冰箱内进行保存，并能显示采样桶温度。</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准确度：不超过±1℃</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雨量计分辨率</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≤0.1mm</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雨量计降雨量测量误差</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降雨量≤10mm时, 不超过±0.4mm；</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降雨量＞10mm时, 不超过±4%</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雨量计测量最大降雨强度</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≥4mm/min</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工作电源</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AC(220±22 )V, 50Hz或DC24V</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内置式雨量计1个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 恒温箱1个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（4）阀控制组件1套</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 热敏打印机1台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 样品储存箱2个</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（二）</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便携式流速测量仪</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bl>
      <w:tblPr>
        <w:tblStyle w:val="910"/>
        <w:tblW w:w="95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7"/>
        <w:gridCol w:w="1612"/>
        <w:gridCol w:w="3510"/>
        <w:gridCol w:w="1560"/>
        <w:gridCol w:w="1420"/>
        <w:gridCol w:w="820"/>
      </w:tblGrid>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12"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1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速度范围</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0.2米/秒～10米/秒</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1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测量精度</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±0.03m/s</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1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发射角</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12°</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1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信号处理 </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角度补偿：垂直（自动）和水平（手动）</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倾斜传感器，可自行进行余弦补偿</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1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传输</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USB数据传输</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1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温度</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工作温度：-20℃～70℃</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1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电池：</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电池连续使用不少于8小时</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61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随机附件1套</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（三）</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bidi="ar"/>
        </w:rPr>
        <w:t xml:space="preserve">便携式氧化还原电位仪</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4"/>
        <w:gridCol w:w="1665"/>
        <w:gridCol w:w="3480"/>
        <w:gridCol w:w="1530"/>
        <w:gridCol w:w="1420"/>
        <w:gridCol w:w="850"/>
      </w:tblGrid>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ORP/mV</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测量范围：(-2000.0～2000.0)mV</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最小分辨率：≤0.1mV</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电子单元示值误差：≤±0.1%或±0.3mV</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电子单元重复性：≤1mV</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仪器配套误差 (ORP)：≤±15mV</w:t>
            </w:r>
            <w:r/>
          </w:p>
        </w:tc>
        <w:tc>
          <w:tcPr>
            <w:shd w:val="clear" w:color="auto" w:fill="auto"/>
            <w:tcBorders>
              <w:top w:val="single" w:color="auto" w:sz="4" w:space="0"/>
              <w:left w:val="none" w:color="000000" w:sz="4" w:space="0"/>
              <w:bottom w:val="single" w:color="auto" w:sz="4" w:space="0"/>
              <w:right w:val="single" w:color="auto" w:sz="4" w:space="0"/>
            </w:tcBorders>
            <w:tcW w:w="15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（2）ORP电极1支</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（3）温度电极1支</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（4）ORP校准试剂1个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（5）便携式防护箱1个</w:t>
            </w:r>
            <w:r/>
          </w:p>
        </w:tc>
        <w:tc>
          <w:tcPr>
            <w:shd w:val="clear" w:color="auto" w:fill="auto"/>
            <w:tcBorders>
              <w:top w:val="single" w:color="auto" w:sz="4" w:space="0"/>
              <w:left w:val="none" w:color="000000" w:sz="4" w:space="0"/>
              <w:bottom w:val="single" w:color="auto" w:sz="4" w:space="0"/>
              <w:right w:val="single" w:color="auto" w:sz="4" w:space="0"/>
            </w:tcBorders>
            <w:tcW w:w="15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（四）</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环境空气综合采样器</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648"/>
        <w:gridCol w:w="3480"/>
        <w:gridCol w:w="1520"/>
        <w:gridCol w:w="1520"/>
        <w:gridCol w:w="77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设备基本功能需求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用于环境空气中总悬浮微粒(TSP)、可吸入微粒(PM10、PM2.5)等颗粒物和气态污染物（含VOC）采样</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性能要求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 一机多用，具有不少于4气路同时采样功能，每路采样流量分别设置并独自恒流控制。可同时作为环境空气采样器、无组织废气采样器和TSP/PM10/颗粒物采样器；也可设置任意单路采样。</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2.2采样流量可自动控制，并且需采用高精度、耐腐蚀电子流量计，满足恶劣工况下的正常采样。</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2.3可自动补偿因为电压波动和阻力、温度变化引起的流量变化</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2.4一体式恒温箱设计，可内置不少于4个吸收瓶</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2.5采样过程停电自动保存工作数据，来电后可恢复采样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2.6精密芯泵，耐腐蚀，低噪音，且具有过载保护功能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2.7可以实现即时采样、定时采样、间隔采样等多种采样模式</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2.8应拥有智能化软件流量标定功能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2.9内置锂电池和充电管理模块，具备交流、直流双供电功能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2.10外挂折叠支撑架，方便收纳，减小占用空间。</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ind w:left="-105" w:right="-105"/>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颗粒物采样流量</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最大空载流量不小于100L/min</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分辨率：≤0.1L/min</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精确度：不超过±5% </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大气采样流量</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标配(0～1.0）L/min</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分辨率：≤0.01L/min</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 不超过±5%</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流量计前温度</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（-30～80）℃</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精确度：不超过±2.5℃ </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流量计前压力</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（-45～0）kPa</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分辨率：≤0.01kPa</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 不超过±2.5%</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流量重复性</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精确度：不超过2%</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流量稳定性</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精确度：不超过5% </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恒温控制</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（15～30）℃</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 不超过±2℃</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大气压</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（50～130）kPa</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分辨率：≤0.01kPa</w:t>
            </w:r>
            <w:r/>
          </w:p>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精确度：不超过±500Pa</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负载能力</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100L/min流量时，可克服阻力不低于6kPa</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center"/>
            <w:textDirection w:val="lrTb"/>
            <w:noWrap w:val="false"/>
          </w:tcPr>
          <w:p>
            <w:pPr>
              <w:ind w:left="-105" w:right="-105" w:firstLine="240"/>
              <w:jc w:val="center"/>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工作电源</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105" w:right="-105" w:firstLine="24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内置锂电池（11.1V/15.6Ah）或外接AC 220V 50Hz交流电源</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64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（2）采样头1个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（3）取样支架1个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（4）防倒吸干燥筒1个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（5）挂架1个</w:t>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（五）</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bidi="ar"/>
        </w:rPr>
        <w:t xml:space="preserve">便携式智能烟气流速仪（含烟温、动静压、流速、湿度等烟气参数）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668"/>
        <w:gridCol w:w="3480"/>
        <w:gridCol w:w="1510"/>
        <w:gridCol w:w="1510"/>
        <w:gridCol w:w="78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设备性能要求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（1）抽取式一体化设计，将取样管、含湿量等功能模块与主机集成</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（2）含湿量测量模块后置，直读烟道内含湿量数据，可适应高温、高湿工况</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（3）含湿量具有校准功能，可对含湿量进行校准</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（4）取样管全程伴热，加热温度可调，均匀加热</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（4）取样管可适应高温工况采样，同时可满足其它不同复杂工况采样</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（5）支持交、直流两种供电方式，电源适配器可进行仪器供电也可以进行电池充电管理</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（6）对接式可更换皮托管，可双向使用，更换方便</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（7）含湿量检测时可同步测量动压、静压、烟温、流速、大气压等参数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（8）采用无线或有线双传输模式，可将实时检测数据输出给其他设备</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含湿量</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（0～40）%</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示值误差：(0～5)% 绝对误差≤±0.75%</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(5～40)% 相对误差≤±15%</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大气压</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(60～106）kPa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分辨率：≤0.01kPa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示值误差：不超过±500Pa</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动压</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(0～2000）kPa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分辨率：≤1Pa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示值误差：不超过±1%FS</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静压</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(-30～+30）kPa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分辨率：≤0.01kPa</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示值误差：不超过±1%FS</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烟温</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(0～200）℃</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示值误差：不超过±3℃</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流速</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(5～45）m/s</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分辨率：≤0.1m/s</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示值误差：不超过±5%</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加热温度</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（50～120）℃</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分辨率：≤1℃</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示值误差：不超过±10℃</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皮托管系数</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center"/>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≥0.84±0.01</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总长度</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≥1.0m</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桌面电源适配器1个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接地线1根</w:t>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（六）</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固定剂箱（含6个瓶口分配器）</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701"/>
        <w:gridCol w:w="3490"/>
        <w:gridCol w:w="1500"/>
        <w:gridCol w:w="1480"/>
        <w:gridCol w:w="770"/>
      </w:tblGrid>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pStyle w:val="908"/>
              <w:ind w:left="0" w:right="0"/>
              <w:jc w:val="left"/>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设备用途</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用于水质监测现场采样时，现场于水样添加固定剂进行保护以确保实验数据准确。</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产品组成</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上盖和与其下侧相连的箱体/6个固定剂加液器/防护衬里加液器密封性好，无论静置或运输状态，均不会漏液，提高安全性。</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连续加液功能</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具有定量连续加液功能，量程范围范围从1-5ml共6个</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防护衬里固定</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加液器及储液瓶由防护衬里固定，不会发生碰撞，倾倒。</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加样器内活塞柱</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器内活塞柱由99.7%的高纯度陶瓷制成的，其他与液体接触部分为氟塑料等材料，耐腐蚀、耐磨损，可兼容各种强酸，强碱和有机溶剂。固定剂加样器具有可折叠的管路，除适用采样固定剂箱内的储液瓶外，还可兼容未来其他实验所需要的大容量的试剂瓶。</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加样器精度</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加样器精度不大于0.5%，精度高于移液器，移液管，操作更快捷。</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加液器设定刻度</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固定剂通过加液器设定刻度，并可无论顺时针还是逆时针方向，在360度范围内快速调节到同一刻度，一次性定量排出固定剂于样品中。</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加样器瓶口</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工作状态是加样器瓶口可转出采样箱，收纳状态时加样器瓶口可转回采样箱。</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试剂瓶材料</w:t>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加样瓶底下的试剂瓶材料为透明氟塑料瓶，能耐强酸，强碱和有机溶剂，无金属离子和杂质析出。同时不怕摔，即使运输碰撞也不担心瓶子破损。保证采样过程和运输使用安全。</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top"/>
            <w:textDirection w:val="lrTb"/>
            <w:noWrap w:val="false"/>
          </w:tcPr>
          <w:p>
            <w:pPr>
              <w:pStyle w:val="908"/>
              <w:ind w:left="0" w:right="0"/>
              <w:jc w:val="left"/>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pStyle w:val="908"/>
              <w:ind w:left="0" w:right="0"/>
              <w:jc w:val="left"/>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采样箱1个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连续定量加液器6个</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pStyle w:val="908"/>
        <w:ind w:left="0" w:right="0"/>
        <w:jc w:val="left"/>
        <w:keepLines w:val="0"/>
        <w:keepNext w:val="0"/>
        <w:spacing w:before="0" w:beforeAutospacing="0" w:after="0" w:afterAutospacing="0" w:line="320" w:lineRule="exact"/>
        <w:widowControl/>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（七）</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声级计</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611"/>
        <w:gridCol w:w="3610"/>
        <w:gridCol w:w="1450"/>
        <w:gridCol w:w="1360"/>
        <w:gridCol w:w="900"/>
      </w:tblGrid>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1.1频率范围</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 Hz～20 kHz；</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 A/D位数</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24位；</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1.3采样频率</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48 kHz；</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A计权声级20 dB～143 dB；</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C计权声级25 dB～143 dB；</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Z计权声级30 dB～143 dB；</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C计权峰值声级60 dB～146 dB。</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时间计权</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并行（同时）F、S、I；</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频率计权</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并行（同时）A、C、Z；</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检波特性</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真有效值数字检波；</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显示器</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≥4.3英寸电容型触摸屏；</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主要显示内容</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可实时测量及显示9个及以上测量指标、统计分布图、累积分布图、24小时分布图；</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主要测量功能</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总值积分、统计积分、24小时自动监测、1/1 OCT分析；</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主要测量指标</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Lxyp、Lxeq,T、Lxeq,t、Lxmax、Lxmin、LxN、SD、SEL、Lxpeak等</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注：x为A，C，Z；y为F，S，I；N为5，10，50，90，95。</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rHeight w:val="634"/>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1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6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风球1个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锂电池1个（内置）</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串口转接线1根</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延伸线及延伸杆各1个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三脚架1个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携带箱1个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打印机1台</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（八）</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声校准器</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7"/>
        <w:gridCol w:w="1622"/>
        <w:gridCol w:w="3620"/>
        <w:gridCol w:w="1430"/>
        <w:gridCol w:w="1430"/>
        <w:gridCol w:w="870"/>
      </w:tblGrid>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22"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62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rHeight w:val="320"/>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2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声压级</w:t>
            </w:r>
            <w:r/>
          </w:p>
        </w:tc>
        <w:tc>
          <w:tcPr>
            <w:shd w:val="clear" w:color="auto" w:fill="auto"/>
            <w:tcBorders>
              <w:top w:val="single" w:color="auto" w:sz="4" w:space="0"/>
              <w:left w:val="none" w:color="000000" w:sz="4" w:space="0"/>
              <w:bottom w:val="single" w:color="auto" w:sz="4" w:space="0"/>
              <w:right w:val="single" w:color="auto" w:sz="4" w:space="0"/>
            </w:tcBorders>
            <w:tcW w:w="36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94dB及114dB（以2×10-5Pa为参考）。</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2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频率</w:t>
            </w:r>
            <w:r/>
          </w:p>
        </w:tc>
        <w:tc>
          <w:tcPr>
            <w:shd w:val="clear" w:color="auto" w:fill="auto"/>
            <w:tcBorders>
              <w:top w:val="single" w:color="auto" w:sz="4" w:space="0"/>
              <w:left w:val="none" w:color="000000" w:sz="4" w:space="0"/>
              <w:bottom w:val="single" w:color="auto" w:sz="4" w:space="0"/>
              <w:right w:val="single" w:color="auto" w:sz="4" w:space="0"/>
            </w:tcBorders>
            <w:tcW w:w="36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≤1000 Hz±1% </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428"/>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2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总失真</w:t>
            </w:r>
            <w:r/>
          </w:p>
        </w:tc>
        <w:tc>
          <w:tcPr>
            <w:shd w:val="clear" w:color="auto" w:fill="auto"/>
            <w:tcBorders>
              <w:top w:val="single" w:color="auto" w:sz="4" w:space="0"/>
              <w:left w:val="none" w:color="000000" w:sz="4" w:space="0"/>
              <w:bottom w:val="single" w:color="auto" w:sz="4" w:space="0"/>
              <w:right w:val="single" w:color="auto" w:sz="4" w:space="0"/>
            </w:tcBorders>
            <w:tcW w:w="36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≤2.5% </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2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稳定时间</w:t>
            </w:r>
            <w:r/>
          </w:p>
        </w:tc>
        <w:tc>
          <w:tcPr>
            <w:shd w:val="clear" w:color="auto" w:fill="auto"/>
            <w:tcBorders>
              <w:top w:val="single" w:color="auto" w:sz="4" w:space="0"/>
              <w:left w:val="none" w:color="000000" w:sz="4" w:space="0"/>
              <w:bottom w:val="single" w:color="auto" w:sz="4" w:space="0"/>
              <w:right w:val="single" w:color="auto" w:sz="4" w:space="0"/>
            </w:tcBorders>
            <w:tcW w:w="36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 s</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2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包装盒1个</w:t>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3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（九）</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bidi="ar"/>
        </w:rPr>
        <w:t xml:space="preserve">轻便式风速风向仪</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641"/>
        <w:gridCol w:w="3580"/>
        <w:gridCol w:w="1450"/>
        <w:gridCol w:w="1450"/>
        <w:gridCol w:w="840"/>
      </w:tblGrid>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4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58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4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风速技术指标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（1）测定方法：三杯式</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（2）测量范围：1～30m/s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（3）起动风速：≤0.8m/s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（4）测量精度：≤±（0.3 + 0.03×V）m/s（V实际风速） </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4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风向技术指标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（1）测量范围：0～360度；16个方位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（2）起动风速：≤1.0m/s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（3）测量精度：±1/2方位 </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4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5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（2）风速传感器1只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（3）风向传感器1只</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（十）</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应急电源</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7"/>
        <w:gridCol w:w="1642"/>
        <w:gridCol w:w="3600"/>
        <w:gridCol w:w="1440"/>
        <w:gridCol w:w="1440"/>
        <w:gridCol w:w="850"/>
      </w:tblGrid>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42"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60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电池类型</w:t>
            </w:r>
            <w:r/>
          </w:p>
        </w:tc>
        <w:tc>
          <w:tcPr>
            <w:shd w:val="clear" w:color="auto" w:fill="auto"/>
            <w:tcBorders>
              <w:top w:val="single" w:color="auto" w:sz="4" w:space="0"/>
              <w:left w:val="none" w:color="000000" w:sz="4" w:space="0"/>
              <w:bottom w:val="single" w:color="auto" w:sz="4" w:space="0"/>
              <w:right w:val="single" w:color="auto" w:sz="4" w:space="0"/>
            </w:tcBorders>
            <w:tcW w:w="3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用于野外作业环境交/直流供电</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负载功率</w:t>
            </w:r>
            <w:r/>
          </w:p>
        </w:tc>
        <w:tc>
          <w:tcPr>
            <w:shd w:val="clear" w:color="auto" w:fill="auto"/>
            <w:tcBorders>
              <w:top w:val="single" w:color="auto" w:sz="4" w:space="0"/>
              <w:left w:val="none" w:color="000000" w:sz="4" w:space="0"/>
              <w:bottom w:val="single" w:color="auto" w:sz="4" w:space="0"/>
              <w:right w:val="single" w:color="auto" w:sz="4" w:space="0"/>
            </w:tcBorders>
            <w:tcW w:w="3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≥1100W（额定），2200W（峰值）</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额定容量</w:t>
            </w:r>
            <w:r/>
          </w:p>
        </w:tc>
        <w:tc>
          <w:tcPr>
            <w:shd w:val="clear" w:color="auto" w:fill="auto"/>
            <w:tcBorders>
              <w:top w:val="single" w:color="auto" w:sz="4" w:space="0"/>
              <w:left w:val="none" w:color="000000" w:sz="4" w:space="0"/>
              <w:bottom w:val="single" w:color="auto" w:sz="4" w:space="0"/>
              <w:right w:val="single" w:color="auto" w:sz="4" w:space="0"/>
            </w:tcBorders>
            <w:tcW w:w="3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≥160000mAh</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安全</w:t>
            </w:r>
            <w:r/>
          </w:p>
        </w:tc>
        <w:tc>
          <w:tcPr>
            <w:shd w:val="clear" w:color="auto" w:fill="auto"/>
            <w:tcBorders>
              <w:top w:val="single" w:color="auto" w:sz="4" w:space="0"/>
              <w:left w:val="none" w:color="000000" w:sz="4" w:space="0"/>
              <w:bottom w:val="single" w:color="auto" w:sz="4" w:space="0"/>
              <w:right w:val="single" w:color="auto" w:sz="4" w:space="0"/>
            </w:tcBorders>
            <w:tcW w:w="3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具有充电、放电过压过流保护，短路、温度保护功能</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输出标称电压</w:t>
            </w:r>
            <w:r/>
          </w:p>
        </w:tc>
        <w:tc>
          <w:tcPr>
            <w:shd w:val="clear" w:color="auto" w:fill="auto"/>
            <w:tcBorders>
              <w:top w:val="single" w:color="auto" w:sz="4" w:space="0"/>
              <w:left w:val="none" w:color="000000" w:sz="4" w:space="0"/>
              <w:bottom w:val="single" w:color="auto" w:sz="4" w:space="0"/>
              <w:right w:val="single" w:color="auto" w:sz="4" w:space="0"/>
            </w:tcBorders>
            <w:tcW w:w="3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AC220V  50Hz ; DC12V  </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6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每台设备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应急电源1台</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（十一）</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便携式GC-MS 色谱柱</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5"/>
        <w:gridCol w:w="1770"/>
        <w:gridCol w:w="4093"/>
        <w:gridCol w:w="1220"/>
        <w:gridCol w:w="1220"/>
        <w:gridCol w:w="600"/>
      </w:tblGrid>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4093"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配套现有便携式气-质联用分析仪</w:t>
            </w:r>
            <w:r/>
          </w:p>
        </w:tc>
        <w:tc>
          <w:tcPr>
            <w:shd w:val="clear" w:color="auto" w:fill="auto"/>
            <w:tcBorders>
              <w:top w:val="single" w:color="auto" w:sz="4" w:space="0"/>
              <w:left w:val="none" w:color="000000" w:sz="4" w:space="0"/>
              <w:bottom w:val="single" w:color="auto" w:sz="4" w:space="0"/>
              <w:right w:val="single" w:color="auto" w:sz="4" w:space="0"/>
            </w:tcBorders>
            <w:tcW w:w="409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色谱柱模块，配套现有便携式气-质联用分析仪使用</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该产品招标人现有设备为Hapsite ER便携式GC-MS。所投产品如不是原品牌配件，须提供承诺函，须确保与原有设备完全匹配使用，否则招标人有权拒收。承诺函格式自拟。</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柱子要求</w:t>
            </w:r>
            <w:r/>
          </w:p>
        </w:tc>
        <w:tc>
          <w:tcPr>
            <w:shd w:val="clear" w:color="auto" w:fill="auto"/>
            <w:tcBorders>
              <w:top w:val="single" w:color="auto" w:sz="4" w:space="0"/>
              <w:left w:val="none" w:color="000000" w:sz="4" w:space="0"/>
              <w:bottom w:val="single" w:color="auto" w:sz="4" w:space="0"/>
              <w:right w:val="single" w:color="auto" w:sz="4" w:space="0"/>
            </w:tcBorders>
            <w:tcW w:w="409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柱子要求：不小于15米，0.25毫米内径，1.0微米膜厚</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柱子温度范围</w:t>
            </w:r>
            <w:r/>
          </w:p>
        </w:tc>
        <w:tc>
          <w:tcPr>
            <w:shd w:val="clear" w:color="auto" w:fill="auto"/>
            <w:tcBorders>
              <w:top w:val="single" w:color="auto" w:sz="4" w:space="0"/>
              <w:left w:val="none" w:color="000000" w:sz="4" w:space="0"/>
              <w:bottom w:val="single" w:color="auto" w:sz="4" w:space="0"/>
              <w:right w:val="single" w:color="auto" w:sz="4" w:space="0"/>
            </w:tcBorders>
            <w:tcW w:w="409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45℃～200℃</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409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色谱柱模块 1套（包括更换、安装等技术服务）</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人员培训、技术支持</w:t>
            </w:r>
            <w:r/>
          </w:p>
        </w:tc>
        <w:tc>
          <w:tcPr>
            <w:shd w:val="clear" w:color="auto" w:fill="auto"/>
            <w:tcBorders>
              <w:top w:val="single" w:color="auto" w:sz="4" w:space="0"/>
              <w:left w:val="none" w:color="000000" w:sz="4" w:space="0"/>
              <w:bottom w:val="single" w:color="auto" w:sz="4" w:space="0"/>
              <w:right w:val="single" w:color="auto" w:sz="4" w:space="0"/>
            </w:tcBorders>
            <w:tcW w:w="4093" w:type="dxa"/>
            <w:vAlign w:val="top"/>
            <w:textDirection w:val="lrTb"/>
            <w:noWrap w:val="false"/>
          </w:tcPr>
          <w:p>
            <w:pPr>
              <w:pStyle w:val="908"/>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（提供承诺书）</w:t>
            </w:r>
            <w:r>
              <w:rPr>
                <w:rFonts w:hint="eastAsia" w:ascii="宋体" w:hAnsi="宋体" w:eastAsia="宋体" w:cs="宋体"/>
                <w:bCs/>
                <w:color w:val="auto"/>
                <w:sz w:val="24"/>
                <w:szCs w:val="24"/>
                <w:highlight w:val="none"/>
                <w:lang w:val="en-US" w:eastAsia="zh-CN" w:bidi="ar"/>
              </w:rPr>
              <w:t xml:space="preserve">对仪器操作人员由厂商提供培训（不少于2人），培训地点由厂商指定。为采购方提供1次扩项指导服务。</w:t>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2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（十二）</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便携式傅里叶红外监测仪（含湿量、CO2、CO、NO、NO2、N2O、SO2、NH3、HCL、HF、CH4、O2、苯、甲苯、氯苯等五十种以上物质）</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450"/>
        <w:gridCol w:w="4380"/>
        <w:gridCol w:w="1060"/>
        <w:gridCol w:w="1060"/>
        <w:gridCol w:w="1060"/>
      </w:tblGrid>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设备用途</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采用傅里叶变换红外光谱法用于空气突发性应急和固定污染源中气体的定性、定量分析。</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采样方法</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抽取法</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测量方法</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采用傅里叶红外原理进行测量，测量方法符合国家环境保护部相关标准（HJ 919-2017、HJ 920-2017、HJ 1240-2021、HJ 1330-2023）</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监测内容</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可以应急监测环境空气也可以监测污染源废气中的无机有害气体</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适用范围</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适用于实验室、现场及车载等多环境下使用</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安全防护</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仪器外壳或外罩应耐腐蚀、密封性良好、防尘、防雨，仪器应至少达到GB/T4208中IP55防护等级要求</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采样部件加热</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样品采集部件须具备加热、保温和反吹净化功能，其加热温度一般不低于 120 ℃，且高于烟气温度 20℃以上</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样品预处理</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样品预处理单元中样品采集部件还应具备颗粒物过滤功能，其采样设备的前端或后端应具备便于更换或清洗的颗粒物过滤器，过滤器滤料的材质应不吸附和不与气态污染物发生反应，过滤器应至少能过滤 5 μm 粒径的颗粒物。采样泵应具备克服烟道负压的足够抽气能力，仪器应保障采样流量准确可靠、相对稳定</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仪器校准</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样品采集和传输部件应具备完成全系统校准的功能要求。仪器设备还应具备手动和/或自动校准功能</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设备吹扫</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仪器设备应具备利用高纯氮气对分析仪进行吹扫的功能</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交互界面</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全中文人机交互界面，大尺寸触摸显示屏，内装操作系统自动进行数据处理，自动记录存储测试结果及数据，具有</w:t>
            </w:r>
            <w:r>
              <w:rPr>
                <w:rFonts w:hint="eastAsia" w:ascii="宋体" w:hAnsi="宋体" w:eastAsia="宋体" w:cs="宋体"/>
                <w:color w:val="auto"/>
                <w:sz w:val="24"/>
                <w:szCs w:val="24"/>
                <w:highlight w:val="none"/>
                <w:lang w:val="en-US" w:eastAsia="zh-CN" w:bidi="ar"/>
              </w:rPr>
              <w:t xml:space="preserve">测量、标定、谱图显示、离线分析、数据报表导出打印等功能</w:t>
            </w:r>
            <w:r>
              <w:rPr>
                <w:rFonts w:hint="eastAsia" w:ascii="宋体" w:hAnsi="宋体" w:eastAsia="宋体" w:cs="宋体"/>
                <w:bCs/>
                <w:color w:val="auto"/>
                <w:sz w:val="24"/>
                <w:szCs w:val="24"/>
                <w:highlight w:val="none"/>
                <w:lang w:val="en-US" w:eastAsia="zh-CN" w:bidi="ar"/>
              </w:rPr>
              <w:t xml:space="preserve">和测量数据远传模块</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显示和记录异常数据</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应显示和记录超出其零点以下和量程以上至少10%的数据值</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双量程切换测量</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双量程切换测量，能选择ppm或者mg/m3，干/湿基以及参比氧气体浓度值均有测量显示</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操作界面</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中文版操作界面，包括测量、标定、谱图显示、离线分析、数据报表导出等功能</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数据传输</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实时显示设备地理位置，配备无线蓝牙打印机</w:t>
            </w:r>
            <w:r>
              <w:rPr>
                <w:rFonts w:hint="eastAsia" w:ascii="宋体" w:hAnsi="宋体" w:eastAsia="宋体" w:cs="宋体"/>
                <w:bCs/>
                <w:color w:val="auto"/>
                <w:sz w:val="24"/>
                <w:szCs w:val="24"/>
                <w:highlight w:val="none"/>
                <w:lang w:val="en-US" w:eastAsia="zh-CN" w:bidi="ar"/>
              </w:rPr>
              <w:t xml:space="preserve">，支持信号信号输出功能及数据有线/无线网络传输功能</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供电方式</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污染源废气监测采用220V AC市电供电</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数据溯源</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能够查看历史测试结果、样气测试谱图及标气标定谱图。</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498"/>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重复性</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RSD≤5%</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线性误差</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不超过±5%F.S.</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水分、二氧化碳变化影响优于</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±4%F.S.</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环境温度变化影响优于</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±5%F.S.</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响应时间</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≤120s</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采样流量</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≥2L/min（可调）</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气室温度</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≥180℃（提供技术证明文件）</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光谱范围</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至少满足(900-4000)cm</w:t>
            </w:r>
            <w:r>
              <w:rPr>
                <w:rFonts w:hint="eastAsia" w:ascii="宋体" w:hAnsi="宋体" w:eastAsia="宋体" w:cs="宋体"/>
                <w:color w:val="auto"/>
                <w:sz w:val="24"/>
                <w:szCs w:val="24"/>
                <w:highlight w:val="none"/>
                <w:vertAlign w:val="superscript"/>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主机重量</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＜30kg，便于携带</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测量组分及量程</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（1）无机气体：SO2、NO、NO2、NH3、HCl、CO、O2（氧化锆法）、H2O等等；</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（2）温室气体：CH4、CO2、N2O、SF6等等</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（3）挥发性有机气体：苯、甲苯、二甲苯等等</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pStyle w:val="908"/>
              <w:ind w:left="0" w:right="0" w:firstLine="0"/>
              <w:jc w:val="both"/>
              <w:keepLines w:val="0"/>
              <w:keepNext w:val="0"/>
              <w:spacing w:before="0" w:beforeAutospacing="0" w:after="0" w:afterAutospacing="0" w:line="32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pStyle w:val="908"/>
              <w:ind w:left="0" w:right="0" w:firstLine="0"/>
              <w:jc w:val="both"/>
              <w:keepLines w:val="0"/>
              <w:keepNext w:val="0"/>
              <w:spacing w:before="0" w:beforeAutospacing="0" w:after="0" w:afterAutospacing="0" w:line="320" w:lineRule="exact"/>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（1）主机1台</w:t>
            </w:r>
            <w:r/>
          </w:p>
          <w:p>
            <w:pPr>
              <w:pStyle w:val="908"/>
              <w:ind w:left="0" w:right="0" w:firstLine="0"/>
              <w:jc w:val="both"/>
              <w:keepLines w:val="0"/>
              <w:keepNext w:val="0"/>
              <w:spacing w:before="0" w:beforeAutospacing="0" w:after="0" w:afterAutospacing="0" w:line="320" w:lineRule="exact"/>
              <w:widowControl w:val="off"/>
              <w:rPr>
                <w:rFonts w:hint="eastAsia" w:ascii="宋体" w:hAnsi="宋体" w:eastAsia="宋体" w:cs="宋体"/>
                <w:bCs/>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预处理单元（含采样探头，采样管线，可接驳探杆长短各一根）1个</w:t>
            </w:r>
            <w:r/>
          </w:p>
          <w:p>
            <w:pPr>
              <w:pStyle w:val="908"/>
              <w:ind w:left="0" w:right="0" w:firstLine="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（3）便携箱1个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（4）分析软件1套</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（5）移动工作站1台</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8"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人员培训、技术支持</w:t>
            </w:r>
            <w:r/>
          </w:p>
        </w:tc>
        <w:tc>
          <w:tcPr>
            <w:shd w:val="clear" w:color="auto" w:fill="auto"/>
            <w:tcBorders>
              <w:top w:val="single" w:color="auto" w:sz="4" w:space="0"/>
              <w:left w:val="none" w:color="000000" w:sz="4" w:space="0"/>
              <w:bottom w:val="single" w:color="auto" w:sz="4" w:space="0"/>
              <w:right w:val="single" w:color="auto" w:sz="4" w:space="0"/>
            </w:tcBorders>
            <w:tcW w:w="4380" w:type="dxa"/>
            <w:vAlign w:val="top"/>
            <w:textDirection w:val="lrTb"/>
            <w:noWrap w:val="false"/>
          </w:tcPr>
          <w:p>
            <w:pPr>
              <w:pStyle w:val="908"/>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（提供承诺书）</w:t>
            </w:r>
            <w:r>
              <w:rPr>
                <w:rFonts w:hint="eastAsia" w:ascii="宋体" w:hAnsi="宋体" w:eastAsia="宋体" w:cs="宋体"/>
                <w:bCs/>
                <w:color w:val="auto"/>
                <w:sz w:val="24"/>
                <w:szCs w:val="24"/>
                <w:highlight w:val="none"/>
                <w:lang w:val="en-US" w:eastAsia="zh-CN" w:bidi="ar"/>
              </w:rPr>
              <w:t xml:space="preserve">对仪器操作人员由厂商提供培训（不少于4人），培训地点由厂商指定。为采购方提供1次扩项指导服务。</w:t>
            </w:r>
            <w:r>
              <w:rPr>
                <w:rFonts w:hint="eastAsia" w:ascii="宋体" w:hAnsi="宋体" w:eastAsia="宋体" w:cs="宋体"/>
                <w:color w:val="auto"/>
                <w:sz w:val="24"/>
                <w:szCs w:val="24"/>
                <w:highlight w:val="none"/>
                <w:lang w:val="en-US" w:eastAsia="zh-CN" w:bidi="ar"/>
              </w:rPr>
              <w:t xml:space="preserve">仪</w:t>
            </w:r>
            <w:r>
              <w:rPr>
                <w:rFonts w:hint="eastAsia" w:ascii="宋体" w:hAnsi="宋体" w:eastAsia="宋体" w:cs="宋体"/>
                <w:bCs/>
                <w:color w:val="auto"/>
                <w:sz w:val="24"/>
                <w:szCs w:val="24"/>
                <w:highlight w:val="none"/>
                <w:lang w:val="en-US" w:eastAsia="zh-CN" w:bidi="ar"/>
              </w:rPr>
              <w:t xml:space="preserve">器设备后期定期返厂烟气标定、谱库升级以及氧传感器的定期更换均免费提供服务。</w:t>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6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pStyle w:val="908"/>
        <w:ind w:left="0" w:right="0"/>
        <w:jc w:val="both"/>
        <w:keepLines w:val="0"/>
        <w:keepNext w:val="0"/>
        <w:spacing w:before="0" w:beforeAutospacing="0" w:after="0" w:afterAutospacing="0" w:line="20" w:lineRule="exact"/>
        <w:shd w:val="clear" w:color="auto" w:fill="7f7f7f"/>
        <w:widowControl w:val="off"/>
        <w:rPr>
          <w:rFonts w:hint="eastAsia" w:ascii="宋体" w:hAnsi="宋体" w:eastAsia="宋体" w:cs="宋体"/>
          <w:b/>
          <w:bCs w:val="0"/>
          <w:color w:val="auto"/>
          <w:sz w:val="30"/>
          <w:szCs w:val="30"/>
          <w:highlight w:val="none"/>
          <w:shd w:val="clear" w:color="auto" w:fill="7f7f7f"/>
        </w:rPr>
        <w:outlineLvl w:val="9"/>
        <w:suppressLineNumbers w:val="0"/>
      </w:pPr>
      <w:r>
        <w:rPr>
          <w:rFonts w:hint="eastAsia" w:ascii="宋体" w:hAnsi="宋体" w:eastAsia="宋体" w:cs="宋体"/>
          <w:b/>
          <w:bCs w:val="0"/>
          <w:color w:val="auto"/>
          <w:sz w:val="30"/>
          <w:szCs w:val="30"/>
          <w:highlight w:val="none"/>
          <w:shd w:val="clear" w:color="auto" w:fill="7f7f7f"/>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（十三）</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bidi="ar"/>
        </w:rPr>
        <w:t xml:space="preserve">应急检测管/检测试纸</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4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3"/>
        <w:gridCol w:w="1595"/>
        <w:gridCol w:w="3710"/>
        <w:gridCol w:w="1410"/>
        <w:gridCol w:w="1410"/>
        <w:gridCol w:w="690"/>
      </w:tblGrid>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71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水质：CODcr、TP、NH3-N、TN</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710"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适用于分光光度计</w:t>
            </w:r>
            <w:r/>
          </w:p>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 COD试剂</w:t>
            </w:r>
            <w:r>
              <w:rPr>
                <w:rFonts w:hint="eastAsia" w:ascii="宋体" w:hAnsi="宋体" w:eastAsia="宋体" w:cs="宋体"/>
                <w:bCs/>
                <w:color w:val="auto"/>
                <w:sz w:val="24"/>
                <w:szCs w:val="24"/>
                <w:highlight w:val="none"/>
                <w:lang w:val="en-US" w:eastAsia="zh-CN" w:bidi="ar"/>
              </w:rPr>
              <w:t xml:space="preserve">量程:15-150mg/l，150支/盒 20分钟快速法</w:t>
            </w:r>
            <w:r/>
          </w:p>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 总磷试剂：</w:t>
            </w:r>
            <w:r>
              <w:rPr>
                <w:rFonts w:hint="eastAsia" w:ascii="宋体" w:hAnsi="宋体" w:eastAsia="宋体" w:cs="宋体"/>
                <w:bCs/>
                <w:color w:val="auto"/>
                <w:sz w:val="24"/>
                <w:szCs w:val="24"/>
                <w:highlight w:val="none"/>
                <w:lang w:val="en-US" w:eastAsia="zh-CN" w:bidi="ar"/>
              </w:rPr>
              <w:t xml:space="preserve">量程：0.15-4.50mg/L PO43-，25次</w:t>
            </w:r>
            <w:r/>
          </w:p>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1.3氨氮试剂：</w:t>
            </w:r>
            <w:r>
              <w:rPr>
                <w:rFonts w:hint="eastAsia" w:ascii="宋体" w:hAnsi="宋体" w:eastAsia="宋体" w:cs="宋体"/>
                <w:bCs/>
                <w:color w:val="auto"/>
                <w:sz w:val="24"/>
                <w:szCs w:val="24"/>
                <w:highlight w:val="none"/>
                <w:lang w:val="en-US" w:eastAsia="zh-CN" w:bidi="ar"/>
              </w:rPr>
              <w:t xml:space="preserve">量程:0.02-2.50 mg/L HN3-N，50次</w:t>
            </w:r>
            <w:r/>
          </w:p>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1.4总氮试剂：</w:t>
            </w:r>
            <w:r>
              <w:rPr>
                <w:rFonts w:hint="eastAsia" w:ascii="宋体" w:hAnsi="宋体" w:eastAsia="宋体" w:cs="宋体"/>
                <w:bCs/>
                <w:color w:val="auto"/>
                <w:sz w:val="24"/>
                <w:szCs w:val="24"/>
                <w:highlight w:val="none"/>
                <w:lang w:val="en-US" w:eastAsia="zh-CN" w:bidi="ar"/>
              </w:rPr>
              <w:t xml:space="preserve">量程：0.5-25.0mg/L,50支/盒</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气：氯气、光气</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710"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2.1氯气检测管适用复合气体检测仪</w:t>
            </w:r>
            <w:r/>
          </w:p>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2.2光气检测管适用复合气体检测仪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金属快筛试纸：铜、锌、铅、镉、铁、锰、镍、六价铬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7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3.1铜试纸：量程：0-300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3.2锌试纸：量程：0-100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3.3镉试剂：量程：0-2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3.4铁试纸：量程：0-100 0-1000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3.5锰试纸：量程：0-10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3.6镍试纸：量程：0-1000 mg/L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3.7铬试纸（铬酸盐）：量程：0-100 mg/L</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快筛试纸</w:t>
            </w:r>
            <w:r/>
          </w:p>
        </w:tc>
        <w:tc>
          <w:tcPr>
            <w:shd w:val="clear" w:color="auto" w:fill="auto"/>
            <w:tcBorders>
              <w:top w:val="single" w:color="auto" w:sz="4" w:space="0"/>
              <w:left w:val="none" w:color="000000" w:sz="4" w:space="0"/>
              <w:bottom w:val="single" w:color="auto" w:sz="4" w:space="0"/>
              <w:right w:val="single" w:color="auto" w:sz="4" w:space="0"/>
            </w:tcBorders>
            <w:tcW w:w="3710"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化学需氧量、氨氮、总磷、总氮、总氯、余氯、硝酸盐氮、亚硝酸盐氮等</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余氯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7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适用于分光光度计</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Cs/>
                <w:color w:val="auto"/>
                <w:sz w:val="24"/>
                <w:szCs w:val="24"/>
                <w:highlight w:val="none"/>
                <w:lang w:val="en-US" w:eastAsia="zh-CN" w:bidi="ar"/>
              </w:rPr>
              <w:t xml:space="preserve">量程：0.02-2.00 mg/L Cl</w:t>
            </w:r>
            <w:r>
              <w:rPr>
                <w:rFonts w:hint="eastAsia" w:ascii="宋体" w:hAnsi="宋体" w:eastAsia="宋体" w:cs="宋体"/>
                <w:bCs/>
                <w:color w:val="auto"/>
                <w:sz w:val="24"/>
                <w:szCs w:val="24"/>
                <w:highlight w:val="none"/>
                <w:vertAlign w:val="subscript"/>
                <w:lang w:val="en-US" w:eastAsia="zh-CN" w:bidi="ar"/>
              </w:rPr>
              <w:t xml:space="preserve">2</w:t>
            </w:r>
            <w:r>
              <w:rPr>
                <w:rFonts w:hint="eastAsia" w:ascii="宋体" w:hAnsi="宋体" w:eastAsia="宋体" w:cs="宋体"/>
                <w:bCs/>
                <w:color w:val="auto"/>
                <w:sz w:val="24"/>
                <w:szCs w:val="24"/>
                <w:highlight w:val="none"/>
                <w:lang w:val="en-US" w:eastAsia="zh-CN" w:bidi="ar"/>
              </w:rPr>
              <w:t xml:space="preserve">，100次</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水质重金属试剂：铁、锰、铜、镍、铝、锌等</w:t>
            </w:r>
            <w:r/>
          </w:p>
        </w:tc>
        <w:tc>
          <w:tcPr>
            <w:shd w:val="clear" w:color="auto" w:fill="auto"/>
            <w:tcBorders>
              <w:top w:val="single" w:color="auto" w:sz="4" w:space="0"/>
              <w:left w:val="none" w:color="000000" w:sz="4" w:space="0"/>
              <w:bottom w:val="single" w:color="auto" w:sz="4" w:space="0"/>
              <w:right w:val="single" w:color="auto" w:sz="4" w:space="0"/>
            </w:tcBorders>
            <w:tcW w:w="37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适用于多参数水质分析仪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top"/>
            <w:textDirection w:val="lrTb"/>
            <w:noWrap w:val="false"/>
          </w:tcPr>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ATP(三磷酸腺苷)</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7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（1）拭子适用范围：液态样品</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（2）拭子储存：冷冻保存不少于五年；0至-4℃冷藏保存不少于10个月</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（3）适用于荧光检测仪</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7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应急检测管、检测试纸各2套，与现有仪器型号匹配（所采购的水质检测管及余氯适用于哈希DRB200型数字式反应器及DR1900分光光度计；气体检测管适用德尔格X-act7000检测仪;水质重金属试剂适用于上海海恒机电仪表股份有限公司的多参数水质分析仪（型号ZJS-07)；ATP(三磷酸腺苷)适用于山东霍尔德电子科技 HED-ATP荧光检测仪）</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val="0"/>
                <w:color w:val="auto"/>
                <w:sz w:val="24"/>
                <w:szCs w:val="24"/>
                <w:highlight w:val="none"/>
              </w:rPr>
              <w:outlineLvl w:val="9"/>
              <w:suppressLineNumbers w:val="0"/>
            </w:pPr>
            <w:r>
              <w:rPr>
                <w:rFonts w:hint="eastAsia" w:ascii="宋体" w:hAnsi="宋体" w:eastAsia="宋体" w:cs="宋体"/>
                <w:b/>
                <w:bCs w:val="0"/>
                <w:color w:val="auto"/>
                <w:sz w:val="24"/>
                <w:szCs w:val="24"/>
                <w:highlight w:val="none"/>
                <w:lang w:val="en-US" w:eastAsia="zh-CN" w:bidi="ar"/>
              </w:rPr>
              <w:t xml:space="preserve">配送要求</w:t>
            </w:r>
            <w:r/>
          </w:p>
        </w:tc>
        <w:tc>
          <w:tcPr>
            <w:shd w:val="clear" w:color="auto" w:fill="auto"/>
            <w:tcBorders>
              <w:top w:val="single" w:color="auto" w:sz="4" w:space="0"/>
              <w:left w:val="none" w:color="000000" w:sz="4" w:space="0"/>
              <w:bottom w:val="single" w:color="auto" w:sz="4" w:space="0"/>
              <w:right w:val="single" w:color="auto" w:sz="4" w:space="0"/>
            </w:tcBorders>
            <w:tcW w:w="37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根据招标人需要，分批次配送，具体以招标人通知为准。</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left"/>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pStyle w:val="908"/>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（十四）</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bidi="ar"/>
        </w:rPr>
        <w:t xml:space="preserve">便携式X射线荧光分析仪（土壤金属</w:t>
      </w:r>
      <w:r>
        <w:rPr>
          <w:rFonts w:hint="eastAsia" w:cs="宋体"/>
          <w:b/>
          <w:bCs/>
          <w:color w:val="auto"/>
          <w:sz w:val="24"/>
          <w:szCs w:val="24"/>
          <w:highlight w:val="none"/>
          <w:lang w:val="en-US" w:eastAsia="zh-CN" w:bidi="ar"/>
        </w:rPr>
        <w:t xml:space="preserve">）</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4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1"/>
        <w:gridCol w:w="1350"/>
        <w:gridCol w:w="4227"/>
        <w:gridCol w:w="1080"/>
        <w:gridCol w:w="1490"/>
        <w:gridCol w:w="670"/>
      </w:tblGrid>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设备用途</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用于土壤、污泥等介质中重金属元素含量的执法与应急监测现场分析测定，要求测试精度高。</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检测元素</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K,Ca,Ti,Cr,Mn,Fe,Co,Ni,Cu,Zn,As,Se,Rb,Sr,Zr,Nb,Mo,Ag,Cd,Sn,Sb,Re,Pd,Au,Hg,Pb,Bi,Cs,Ba,Th等30种元素或以上，并且在仪器屏幕上显示每种元素及其含量。</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储存数据</w:t>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可以储存和显示重金属的种类、含量和测试时间等</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数据传输与处理</w:t>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蓝牙、USB数据线，也可外接平板电脑、手机专用APP软件连接仪器进行操作使用，方便简单。</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安全系统</w:t>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具有散热和防辐射泄露的功能，保障使用安全。</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显示屏</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（1）屏幕尺寸：4.0英寸以上，高亮度彩色电阻屏，野外带手套也可操作。</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（2）屏幕与主机一体化固定角度设计，显示屏不可活动旋转，屏幕使用寿命更长，不易损坏，更适合现场应用。</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操作系统</w:t>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中文操作界面。</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工作条件</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（1）工作温度：-20℃～+50℃。</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（2）工作湿度：相对湿度＜95%。</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（3）仪器具有自动求平均值功能，方便客户现场求平均值。</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（4）仪器具有声音提示功能和灯光提示功能，工作时有明显灯光提示。</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指标要求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（1）测量时间：≤50s。</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（2）检出限：ppm级别。</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（3）电池一次充电可连续工作8小时以上。</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（4）电池具有剩余电量显示功能，方便现场随时查看电池电量；电池不插入设备可在电池上直接查看电池电量，并且插入设备也可在电池上直接查看电池电量。</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（5）仪器外置标准片，开机免校准。</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（6）仪器可建立有针对性的校正曲线。</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（7）全中文集成化软件,便于操作。</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分析模式多样化</w:t>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具备土壤、工业用地、农业用地等多种模式，能够依据元素结果和内置环境质量标准（可自定义）快速判断样品是否达标，当样品中某种元素测试结果超过内置标准时，软件会进行预警提示。</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3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35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227"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（2）电池2个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（3）充电器1个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（4）USB数据线1条</w:t>
            </w:r>
            <w:r/>
          </w:p>
          <w:p>
            <w:pPr>
              <w:pStyle w:val="908"/>
              <w:ind w:left="0" w:right="0" w:firstLine="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（5）土壤混标样2个</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（十五）</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生物毒性检测仪</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894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4"/>
        <w:gridCol w:w="1269"/>
        <w:gridCol w:w="3590"/>
        <w:gridCol w:w="1140"/>
        <w:gridCol w:w="1140"/>
        <w:gridCol w:w="1140"/>
      </w:tblGrid>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检测方法</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发光细菌法</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检测器</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硅光电倍增管</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重复性</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样品不少于3次重复测量</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灵敏度</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相当或优于鱼体96小时培养测定急性生物毒性试验法</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测试时间</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样品制备后30分钟内得到结果</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操作环境</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存储温度-10～50℃, 工作温度 +5～45℃</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相对湿度</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30-95%（25℃）</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数据存储</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不少于2000条</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连续工作时间</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不少于8个小时</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269"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5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主机1台，配套试剂3套（根据购买方要求分批提供）</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（十六）</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bidi="ar"/>
        </w:rPr>
        <w:t xml:space="preserve">手持式光离子化检测仪</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16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242"/>
        <w:gridCol w:w="3510"/>
        <w:gridCol w:w="1240"/>
        <w:gridCol w:w="1240"/>
        <w:gridCol w:w="124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执行标椎</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 GB 3836.1-2010  爆炸性环境 第1部分：设备 通用要求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 GB 3836.4-2010  爆炸性环境 第4部分：由本质安全型“i”保护的设备</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 GB 12358-2006  作业场所环境气体检测报警仪通用技术要求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1.4 HJ 733-2014  泄漏和敞开液面排放的挥发性有机物检测技术导则</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主要功能要求</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（1）支持多气体浓度动态曲线同时显示和详情显示，方便用户观测污染物变化。</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（2）默认泵吸式测量方式，方便狭小空间采样便于查找泄漏点</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（3）内置大容量锂电池，可连续工作不少于8小时。</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（4）具有umol/mol和mg/m3双单位换算功能。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（5）配备可调节挂绳，预防仪器跌落损坏。</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持续工作时间</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不少于8h</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环境温度</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（-20～45）℃</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环境湿度</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（0～95）%RH</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大气压</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（50～130）kPa</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功    耗</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工作电源</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内置锂电池不小于3Ah，同时可外接电源适配器</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常用传感器技术参数</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VOCs检测模块：VOCs；</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参数范围：（0～20）umol/mol</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分辨率：≤0.001umol/mol</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24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5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（2）检测模块1个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（3）过滤器1个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（4）包装箱1个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（5）可调节挂绳1个</w:t>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 </w:t>
      </w:r>
      <w:r/>
    </w:p>
    <w:p>
      <w:pPr>
        <w:numPr>
          <w:ilvl w:val="0"/>
          <w:numId w:val="18"/>
        </w:numPr>
        <w:ind w:left="0" w:right="0" w:firstLine="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便携式氢火焰离子化检测仪</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47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282"/>
        <w:gridCol w:w="3570"/>
        <w:gridCol w:w="1310"/>
        <w:gridCol w:w="1310"/>
        <w:gridCol w:w="1310"/>
      </w:tblGrid>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主要功能要求</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numPr>
                <w:ilvl w:val="0"/>
                <w:numId w:val="19"/>
              </w:numPr>
              <w:ind w:left="0" w:right="0" w:firstLine="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仪器外壳或外罩应耐腐蚀、密封性能良好、防尘、防雨</w:t>
            </w:r>
            <w:r/>
          </w:p>
          <w:p>
            <w:pPr>
              <w:numPr>
                <w:ilvl w:val="0"/>
                <w:numId w:val="19"/>
              </w:numPr>
              <w:ind w:left="0" w:right="0" w:firstLine="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采用高灵敏、宽量程氢火焰离子化检测器</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（3）具有独立的助燃进气通道，可保证低氧环境下不熄火，完成样气检测</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（4）配备固态氢化物储氢瓶，插接式设计</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（5）可测定环境温度、大气压及进样气路计压</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（6）主机配置背带，可背负</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（7）内置本安防爆电池，供电不小于8小时</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（8）具备故障自检功能</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（9）主机显示屏应为 OLED 显示屏，按键为非金属防静电按键。</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（10）显控器应具有数据存储、导出功能，并且可以选择打印数据的单位</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测量范围</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FID：(1.0～50,000)ppm甲烷</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PID：(0.5～2000)ppm异丁烯</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响应时间</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FID：使用10,000ppm甲烷，最多在4秒内达到最终值的90%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PID：使用500ppm异丁烯，最多在4秒内达到最终值的90% </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重复性</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FID：500ppm甲烷时≤±2%</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PID：100ppm异丁烯时≤±2%</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准确性</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FID：≤读数的±10%或±0.1ppm,取大值，从1.0ppm到10000ppm</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PID：≤读数的±20%或±0.5ppm，取大值，从0.5ppm到2000ppm</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rHeight w:val="533"/>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预热时间</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≤25min</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最低检出限</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FID：≤0.5ppm甲烷   </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PID：≤0.5ppm异丁烯 </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采样流量</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不低于0.5L/min</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用气时长</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≥8h </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重    量</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不大于5kg（不含储氢气）</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91"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282"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357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（1）主机1台</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（2）显控器1个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（3）取样管组件1套</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（4）电源适配器1个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（5）延长杆1个</w:t>
            </w:r>
            <w:r/>
          </w:p>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（6）充气管线1根</w:t>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1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line="320" w:lineRule="exact"/>
        <w:widowControl w:val="off"/>
        <w:rPr>
          <w:rFonts w:hint="eastAsia" w:ascii="宋体" w:hAnsi="宋体" w:eastAsia="宋体" w:cs="宋体"/>
          <w:b/>
          <w:bCs/>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（十八）</w:t>
      </w:r>
      <w:r>
        <w:rPr>
          <w:rFonts w:hint="eastAsia" w:ascii="宋体" w:hAnsi="宋体" w:eastAsia="宋体" w:cs="宋体"/>
          <w:b/>
          <w:bCs w:val="0"/>
          <w:color w:val="auto"/>
          <w:sz w:val="24"/>
          <w:szCs w:val="24"/>
          <w:highlight w:val="none"/>
        </w:rPr>
        <w:t xml:space="preserve">货物名称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
        </w:rPr>
        <w:t xml:space="preserve">高倍望远镜</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品牌</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型号</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制造商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w:t>
      </w:r>
      <w:r/>
    </w:p>
    <w:tbl>
      <w:tblPr>
        <w:tblStyle w:val="910"/>
        <w:tblW w:w="909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4"/>
        <w:gridCol w:w="1753"/>
        <w:gridCol w:w="2986"/>
        <w:gridCol w:w="1500"/>
        <w:gridCol w:w="1490"/>
        <w:gridCol w:w="700"/>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技术指标名称</w:t>
            </w:r>
            <w:r/>
          </w:p>
        </w:tc>
        <w:tc>
          <w:tcPr>
            <w:shd w:val="clear" w:color="auto" w:fill="auto"/>
            <w:tcBorders>
              <w:top w:val="single" w:color="auto" w:sz="4" w:space="0"/>
              <w:left w:val="none" w:color="000000" w:sz="4" w:space="0"/>
              <w:bottom w:val="single" w:color="auto" w:sz="4" w:space="0"/>
              <w:right w:val="single" w:color="auto" w:sz="4" w:space="0"/>
            </w:tcBorders>
            <w:tcW w:w="2986" w:type="dxa"/>
            <w:vAlign w:val="top"/>
            <w:textDirection w:val="lrTb"/>
            <w:noWrap w:val="false"/>
          </w:tcPr>
          <w:p>
            <w:pPr>
              <w:ind w:left="0" w:right="0"/>
              <w:jc w:val="left"/>
              <w:keepLines w:val="0"/>
              <w:keepNext w:val="0"/>
              <w:spacing w:before="0" w:beforeAutospacing="0" w:after="0" w:afterAutospacing="0" w:line="320" w:lineRule="exact"/>
              <w:widowControl/>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lang w:val="en-US" w:eastAsia="zh-CN" w:bidi="ar"/>
              </w:rPr>
              <w:t xml:space="preserve">技术参数、性能要求</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rPr>
              <w:outlineLvl w:val="9"/>
              <w:suppressLineNumbers w:val="0"/>
            </w:pPr>
            <w:r>
              <w:rPr>
                <w:rFonts w:hint="eastAsia" w:ascii="仿宋" w:hAnsi="仿宋" w:eastAsia="仿宋"/>
                <w:color w:val="auto"/>
                <w:sz w:val="24"/>
                <w:highlight w:val="none"/>
              </w:rPr>
              <w:t xml:space="preserve">供应商响应具体情况</w:t>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结论（正偏离、符合或负偏离）</w:t>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val="0"/>
                <w:color w:val="auto"/>
                <w:sz w:val="21"/>
                <w:szCs w:val="21"/>
                <w:highlight w:val="none"/>
                <w:lang w:val="en-US" w:eastAsia="zh-CN" w:bidi="ar"/>
              </w:rPr>
              <w:outlineLvl w:val="9"/>
              <w:suppressLineNumbers w:val="0"/>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放大倍数</w:t>
            </w:r>
            <w:r/>
          </w:p>
        </w:tc>
        <w:tc>
          <w:tcPr>
            <w:shd w:val="clear" w:color="auto" w:fill="auto"/>
            <w:tcBorders>
              <w:top w:val="single" w:color="auto" w:sz="4" w:space="0"/>
              <w:left w:val="none" w:color="000000" w:sz="4" w:space="0"/>
              <w:bottom w:val="single" w:color="auto" w:sz="4" w:space="0"/>
              <w:right w:val="single" w:color="auto" w:sz="4" w:space="0"/>
            </w:tcBorders>
            <w:tcW w:w="298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≥30倍</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目镜直径</w:t>
            </w:r>
            <w:r/>
          </w:p>
        </w:tc>
        <w:tc>
          <w:tcPr>
            <w:shd w:val="clear" w:color="auto" w:fill="auto"/>
            <w:tcBorders>
              <w:top w:val="single" w:color="auto" w:sz="4" w:space="0"/>
              <w:left w:val="none" w:color="000000" w:sz="4" w:space="0"/>
              <w:bottom w:val="single" w:color="auto" w:sz="4" w:space="0"/>
              <w:right w:val="single" w:color="auto" w:sz="4" w:space="0"/>
            </w:tcBorders>
            <w:tcW w:w="298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≤22mm</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物镜直径</w:t>
            </w:r>
            <w:r/>
          </w:p>
        </w:tc>
        <w:tc>
          <w:tcPr>
            <w:shd w:val="clear" w:color="auto" w:fill="auto"/>
            <w:tcBorders>
              <w:top w:val="single" w:color="auto" w:sz="4" w:space="0"/>
              <w:left w:val="none" w:color="000000" w:sz="4" w:space="0"/>
              <w:bottom w:val="single" w:color="auto" w:sz="4" w:space="0"/>
              <w:right w:val="single" w:color="auto" w:sz="4" w:space="0"/>
            </w:tcBorders>
            <w:tcW w:w="298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≤42mm</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出瞳距离</w:t>
            </w:r>
            <w:r/>
          </w:p>
        </w:tc>
        <w:tc>
          <w:tcPr>
            <w:shd w:val="clear" w:color="auto" w:fill="auto"/>
            <w:tcBorders>
              <w:top w:val="single" w:color="auto" w:sz="4" w:space="0"/>
              <w:left w:val="none" w:color="000000" w:sz="4" w:space="0"/>
              <w:bottom w:val="single" w:color="auto" w:sz="4" w:space="0"/>
              <w:right w:val="single" w:color="auto" w:sz="4" w:space="0"/>
            </w:tcBorders>
            <w:tcW w:w="298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≥2.5mm</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调节方式</w:t>
            </w:r>
            <w:r/>
          </w:p>
        </w:tc>
        <w:tc>
          <w:tcPr>
            <w:shd w:val="clear" w:color="auto" w:fill="auto"/>
            <w:tcBorders>
              <w:top w:val="single" w:color="auto" w:sz="4" w:space="0"/>
              <w:left w:val="none" w:color="000000" w:sz="4" w:space="0"/>
              <w:bottom w:val="single" w:color="auto" w:sz="4" w:space="0"/>
              <w:right w:val="single" w:color="auto" w:sz="4" w:space="0"/>
            </w:tcBorders>
            <w:tcW w:w="298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中央调焦</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64"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配置要求</w:t>
            </w:r>
            <w:r/>
          </w:p>
        </w:tc>
        <w:tc>
          <w:tcPr>
            <w:shd w:val="clear" w:color="auto" w:fill="auto"/>
            <w:tcBorders>
              <w:top w:val="single" w:color="auto" w:sz="4" w:space="0"/>
              <w:left w:val="none" w:color="000000" w:sz="4" w:space="0"/>
              <w:bottom w:val="single" w:color="auto" w:sz="4" w:space="0"/>
              <w:right w:val="single" w:color="auto" w:sz="4" w:space="0"/>
            </w:tcBorders>
            <w:tcW w:w="2986"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主机1台</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0" w:type="dxa"/>
            <w:vAlign w:val="top"/>
            <w:textDirection w:val="lrTb"/>
            <w:noWrap w:val="false"/>
          </w:tcPr>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r>
    </w:tbl>
    <w:p>
      <w:pPr>
        <w:ind w:left="0" w:right="0"/>
        <w:jc w:val="both"/>
        <w:keepLines w:val="0"/>
        <w:keepNext w:val="0"/>
        <w:spacing w:before="0" w:beforeAutospacing="0" w:after="0" w:afterAutospacing="0" w:line="32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color w:val="auto"/>
          <w:sz w:val="21"/>
          <w:szCs w:val="21"/>
          <w:highlight w:val="none"/>
        </w:rPr>
        <w:outlineLvl w:val="9"/>
        <w:suppressLineNumbers w:val="0"/>
      </w:pPr>
      <w:r>
        <w:rPr>
          <w:rFonts w:hint="eastAsia" w:ascii="Times New Roman" w:hAnsi="Times New Roman" w:eastAsia="宋体" w:cs="Times New Roman"/>
          <w:color w:val="auto"/>
          <w:sz w:val="21"/>
          <w:szCs w:val="21"/>
          <w:highlight w:val="none"/>
        </w:rPr>
      </w:r>
      <w:r/>
    </w:p>
    <w:p>
      <w:pPr>
        <w:rPr>
          <w:rFonts w:hint="eastAsia"/>
          <w:color w:val="auto"/>
          <w:highlight w:val="none"/>
        </w:rPr>
        <w:outlineLvl w:val="9"/>
      </w:pPr>
      <w:r>
        <w:rPr>
          <w:rFonts w:hint="eastAsia"/>
          <w:color w:val="auto"/>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方正小标宋简体">
    <w:panose1 w:val="020B0503020202020204"/>
  </w:font>
  <w:font w:name="Courier New">
    <w:panose1 w:val="02070309020205020404"/>
  </w:font>
  <w:font w:name="方正仿宋简体">
    <w:panose1 w:val="020B0503020202020204"/>
  </w:font>
  <w:font w:name="Tahoma">
    <w:panose1 w:val="020B0604030504040204"/>
  </w:font>
  <w:font w:name="Verdana">
    <w:panose1 w:val="020B0604030504040204"/>
  </w:font>
  <w:font w:name="仿宋_GB2312">
    <w:panose1 w:val="020106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5</w:t>
    </w:r>
    <w:r>
      <w:fldChar w:fldCharType="end"/>
    </w:r>
    <w:r/>
  </w:p>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11"/>
      </w:rPr>
      <w:framePr w:wrap="around" w:vAnchor="text" w:hAnchor="margin" w:xAlign="center" w:y="1"/>
    </w:pPr>
    <w:r>
      <w:fldChar w:fldCharType="begin"/>
    </w:r>
    <w:r>
      <w:rPr>
        <w:rStyle w:val="911"/>
      </w:rPr>
      <w:instrText xml:space="preserve">PAGE  </w:instrText>
    </w:r>
    <w:r>
      <w:fldChar w:fldCharType="end"/>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360" w:hanging="360"/>
      </w:pPr>
      <w:rPr>
        <w:rFonts w:hint="default" w:ascii="Times New Roman" w:hAnsi="Times New Roman" w:cs="Times New Roman"/>
      </w:rPr>
    </w:lvl>
    <w:lvl w:ilvl="1">
      <w:start w:val="4"/>
      <w:numFmt w:val="decimal"/>
      <w:isLgl w:val="false"/>
      <w:suff w:val="tab"/>
      <w:lvlText w:val="%1.%2"/>
      <w:lvlJc w:val="left"/>
      <w:pPr>
        <w:ind w:left="387" w:hanging="360"/>
      </w:pPr>
      <w:rPr>
        <w:rFonts w:hint="default" w:ascii="Times New Roman" w:hAnsi="Times New Roman" w:cs="Times New Roman"/>
      </w:rPr>
    </w:lvl>
    <w:lvl w:ilvl="2">
      <w:start w:val="1"/>
      <w:numFmt w:val="decimal"/>
      <w:isLgl w:val="false"/>
      <w:suff w:val="tab"/>
      <w:lvlText w:val="%1.%2.%3"/>
      <w:lvlJc w:val="left"/>
      <w:pPr>
        <w:ind w:left="774" w:hanging="720"/>
      </w:pPr>
      <w:rPr>
        <w:rFonts w:hint="default" w:ascii="Times New Roman" w:hAnsi="Times New Roman" w:cs="Times New Roman"/>
      </w:rPr>
    </w:lvl>
    <w:lvl w:ilvl="3">
      <w:start w:val="1"/>
      <w:numFmt w:val="decimal"/>
      <w:isLgl w:val="false"/>
      <w:suff w:val="tab"/>
      <w:lvlText w:val="%1.%2.%3.%4"/>
      <w:lvlJc w:val="left"/>
      <w:pPr>
        <w:ind w:left="801" w:hanging="720"/>
      </w:pPr>
      <w:rPr>
        <w:rFonts w:hint="default" w:ascii="Times New Roman" w:hAnsi="Times New Roman" w:cs="Times New Roman"/>
      </w:rPr>
    </w:lvl>
    <w:lvl w:ilvl="4">
      <w:start w:val="1"/>
      <w:numFmt w:val="decimal"/>
      <w:isLgl w:val="false"/>
      <w:suff w:val="tab"/>
      <w:lvlText w:val="%1.%2.%3.%4.%5"/>
      <w:lvlJc w:val="left"/>
      <w:pPr>
        <w:ind w:left="1188" w:hanging="1080"/>
      </w:pPr>
      <w:rPr>
        <w:rFonts w:hint="default" w:ascii="Times New Roman" w:hAnsi="Times New Roman" w:cs="Times New Roman"/>
      </w:rPr>
    </w:lvl>
    <w:lvl w:ilvl="5">
      <w:start w:val="1"/>
      <w:numFmt w:val="decimal"/>
      <w:isLgl w:val="false"/>
      <w:suff w:val="tab"/>
      <w:lvlText w:val="%1.%2.%3.%4.%5.%6"/>
      <w:lvlJc w:val="left"/>
      <w:pPr>
        <w:ind w:left="1215" w:hanging="1080"/>
      </w:pPr>
      <w:rPr>
        <w:rFonts w:hint="default" w:ascii="Times New Roman" w:hAnsi="Times New Roman" w:cs="Times New Roman"/>
      </w:rPr>
    </w:lvl>
    <w:lvl w:ilvl="6">
      <w:start w:val="1"/>
      <w:numFmt w:val="decimal"/>
      <w:isLgl w:val="false"/>
      <w:suff w:val="tab"/>
      <w:lvlText w:val="%1.%2.%3.%4.%5.%6.%7"/>
      <w:lvlJc w:val="left"/>
      <w:pPr>
        <w:ind w:left="1602" w:hanging="1440"/>
      </w:pPr>
      <w:rPr>
        <w:rFonts w:hint="default" w:ascii="Times New Roman" w:hAnsi="Times New Roman" w:cs="Times New Roman"/>
      </w:rPr>
    </w:lvl>
    <w:lvl w:ilvl="7">
      <w:start w:val="1"/>
      <w:numFmt w:val="decimal"/>
      <w:isLgl w:val="false"/>
      <w:suff w:val="tab"/>
      <w:lvlText w:val="%1.%2.%3.%4.%5.%6.%7.%8"/>
      <w:lvlJc w:val="left"/>
      <w:pPr>
        <w:ind w:left="1629" w:hanging="1440"/>
      </w:pPr>
      <w:rPr>
        <w:rFonts w:hint="default" w:ascii="Times New Roman" w:hAnsi="Times New Roman" w:cs="Times New Roman"/>
      </w:rPr>
    </w:lvl>
    <w:lvl w:ilvl="8">
      <w:start w:val="1"/>
      <w:numFmt w:val="decimal"/>
      <w:isLgl w:val="false"/>
      <w:suff w:val="tab"/>
      <w:lvlText w:val="%1.%2.%3.%4.%5.%6.%7.%8.%9"/>
      <w:lvlJc w:val="left"/>
      <w:pPr>
        <w:ind w:left="2016" w:hanging="1800"/>
      </w:pPr>
      <w:rPr>
        <w:rFonts w:hint="default" w:ascii="Times New Roman" w:hAnsi="Times New Roman"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5">
    <w:multiLevelType w:val="hybridMultilevel"/>
    <w:lvl w:ilvl="0">
      <w:start w:val="1"/>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8">
    <w:multiLevelType w:val="hybridMultilevel"/>
    <w:lvl w:ilvl="0">
      <w:start w:val="17"/>
      <w:numFmt w:val="chineseCounting"/>
      <w:isLgl w:val="false"/>
      <w:suff w:val="nothing"/>
      <w:lvlText w:val="（%1）"/>
      <w:lvlJc w:val="left"/>
      <w:pPr>
        <w:ind w:left="0" w:firstLine="0"/>
        <w:tabs>
          <w:tab w:val="left" w:pos="0" w:leader="none"/>
        </w:tabs>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9">
    <w:multiLevelType w:val="hybridMultilevel"/>
    <w:lvl w:ilvl="0">
      <w:start w:val="1"/>
      <w:numFmt w:val="decimal"/>
      <w:isLgl w:val="false"/>
      <w:suff w:val="nothing"/>
      <w:lvlText w:val="（%1）"/>
      <w:lvlJc w:val="left"/>
      <w:pPr>
        <w:ind w:left="0" w:firstLine="0"/>
        <w:tabs>
          <w:tab w:val="left" w:pos="0"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10">
    <w:multiLevelType w:val="hybridMultilevel"/>
    <w:lvl w:ilvl="0">
      <w:start w:val="1"/>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1">
    <w:multiLevelType w:val="hybridMultilevel"/>
    <w:lvl w:ilvl="0">
      <w:start w:val="1"/>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12">
    <w:multiLevelType w:val="hybridMultilevel"/>
    <w:lvl w:ilvl="0">
      <w:start w:val="1"/>
      <w:numFmt w:val="decimal"/>
      <w:isLgl w:val="false"/>
      <w:suff w:val="nothing"/>
      <w:lvlText w:val="（%1）"/>
      <w:lvlJc w:val="left"/>
      <w:pPr>
        <w:ind w:left="0" w:firstLine="0"/>
        <w:tabs>
          <w:tab w:val="left" w:pos="0"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13">
    <w:multiLevelType w:val="hybridMultilevel"/>
    <w:lvl w:ilvl="0">
      <w:start w:val="2"/>
      <w:numFmt w:val="decimal"/>
      <w:isLgl w:val="false"/>
      <w:suff w:val="tab"/>
      <w:lvlText w:val="%1"/>
      <w:lvlJc w:val="left"/>
      <w:pPr>
        <w:ind w:left="360" w:hanging="360"/>
      </w:pPr>
      <w:rPr>
        <w:rFonts w:hint="default" w:ascii="Times New Roman" w:hAnsi="Times New Roman" w:cs="Times New Roman"/>
      </w:rPr>
    </w:lvl>
    <w:lvl w:ilvl="1">
      <w:start w:val="4"/>
      <w:numFmt w:val="decimal"/>
      <w:isLgl w:val="false"/>
      <w:suff w:val="tab"/>
      <w:lvlText w:val="%1.%2"/>
      <w:lvlJc w:val="left"/>
      <w:pPr>
        <w:ind w:left="387" w:hanging="360"/>
      </w:pPr>
      <w:rPr>
        <w:rFonts w:hint="default" w:ascii="Times New Roman" w:hAnsi="Times New Roman" w:cs="Times New Roman"/>
      </w:rPr>
    </w:lvl>
    <w:lvl w:ilvl="2">
      <w:start w:val="1"/>
      <w:numFmt w:val="decimal"/>
      <w:isLgl w:val="false"/>
      <w:suff w:val="tab"/>
      <w:lvlText w:val="%1.%2.%3"/>
      <w:lvlJc w:val="left"/>
      <w:pPr>
        <w:ind w:left="774" w:hanging="720"/>
      </w:pPr>
      <w:rPr>
        <w:rFonts w:hint="default" w:ascii="Times New Roman" w:hAnsi="Times New Roman" w:cs="Times New Roman"/>
      </w:rPr>
    </w:lvl>
    <w:lvl w:ilvl="3">
      <w:start w:val="1"/>
      <w:numFmt w:val="decimal"/>
      <w:isLgl w:val="false"/>
      <w:suff w:val="tab"/>
      <w:lvlText w:val="%1.%2.%3.%4"/>
      <w:lvlJc w:val="left"/>
      <w:pPr>
        <w:ind w:left="801" w:hanging="720"/>
      </w:pPr>
      <w:rPr>
        <w:rFonts w:hint="default" w:ascii="Times New Roman" w:hAnsi="Times New Roman" w:cs="Times New Roman"/>
      </w:rPr>
    </w:lvl>
    <w:lvl w:ilvl="4">
      <w:start w:val="1"/>
      <w:numFmt w:val="decimal"/>
      <w:isLgl w:val="false"/>
      <w:suff w:val="tab"/>
      <w:lvlText w:val="%1.%2.%3.%4.%5"/>
      <w:lvlJc w:val="left"/>
      <w:pPr>
        <w:ind w:left="1188" w:hanging="1080"/>
      </w:pPr>
      <w:rPr>
        <w:rFonts w:hint="default" w:ascii="Times New Roman" w:hAnsi="Times New Roman" w:cs="Times New Roman"/>
      </w:rPr>
    </w:lvl>
    <w:lvl w:ilvl="5">
      <w:start w:val="1"/>
      <w:numFmt w:val="decimal"/>
      <w:isLgl w:val="false"/>
      <w:suff w:val="tab"/>
      <w:lvlText w:val="%1.%2.%3.%4.%5.%6"/>
      <w:lvlJc w:val="left"/>
      <w:pPr>
        <w:ind w:left="1215" w:hanging="1080"/>
      </w:pPr>
      <w:rPr>
        <w:rFonts w:hint="default" w:ascii="Times New Roman" w:hAnsi="Times New Roman" w:cs="Times New Roman"/>
      </w:rPr>
    </w:lvl>
    <w:lvl w:ilvl="6">
      <w:start w:val="1"/>
      <w:numFmt w:val="decimal"/>
      <w:isLgl w:val="false"/>
      <w:suff w:val="tab"/>
      <w:lvlText w:val="%1.%2.%3.%4.%5.%6.%7"/>
      <w:lvlJc w:val="left"/>
      <w:pPr>
        <w:ind w:left="1602" w:hanging="1440"/>
      </w:pPr>
      <w:rPr>
        <w:rFonts w:hint="default" w:ascii="Times New Roman" w:hAnsi="Times New Roman" w:cs="Times New Roman"/>
      </w:rPr>
    </w:lvl>
    <w:lvl w:ilvl="7">
      <w:start w:val="1"/>
      <w:numFmt w:val="decimal"/>
      <w:isLgl w:val="false"/>
      <w:suff w:val="tab"/>
      <w:lvlText w:val="%1.%2.%3.%4.%5.%6.%7.%8"/>
      <w:lvlJc w:val="left"/>
      <w:pPr>
        <w:ind w:left="1629" w:hanging="1440"/>
      </w:pPr>
      <w:rPr>
        <w:rFonts w:hint="default" w:ascii="Times New Roman" w:hAnsi="Times New Roman" w:cs="Times New Roman"/>
      </w:rPr>
    </w:lvl>
    <w:lvl w:ilvl="8">
      <w:start w:val="1"/>
      <w:numFmt w:val="decimal"/>
      <w:isLgl w:val="false"/>
      <w:suff w:val="tab"/>
      <w:lvlText w:val="%1.%2.%3.%4.%5.%6.%7.%8.%9"/>
      <w:lvlJc w:val="left"/>
      <w:pPr>
        <w:ind w:left="2016" w:hanging="1800"/>
      </w:pPr>
      <w:rPr>
        <w:rFonts w:hint="default" w:ascii="Times New Roman" w:hAnsi="Times New Roman" w:cs="Times New Roman"/>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18">
    <w:multiLevelType w:val="hybridMultilevel"/>
    <w:lvl w:ilvl="0">
      <w:start w:val="17"/>
      <w:numFmt w:val="chineseCounting"/>
      <w:isLgl w:val="false"/>
      <w:suff w:val="nothing"/>
      <w:lvlText w:val="（%1）"/>
      <w:lvlJc w:val="left"/>
      <w:pPr>
        <w:ind w:left="0" w:firstLine="0"/>
        <w:tabs>
          <w:tab w:val="left" w:pos="0" w:leader="none"/>
        </w:tabs>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num w:numId="1">
    <w:abstractNumId w:val="15"/>
  </w:num>
  <w:num w:numId="2">
    <w:abstractNumId w:val="3"/>
  </w:num>
  <w:num w:numId="3">
    <w:abstractNumId w:val="6"/>
  </w:num>
  <w:num w:numId="4">
    <w:abstractNumId w:val="0"/>
  </w:num>
  <w:num w:numId="5">
    <w:abstractNumId w:val="14"/>
  </w:num>
  <w:num w:numId="6">
    <w:abstractNumId w:val="16"/>
  </w:num>
  <w:num w:numId="7">
    <w:abstractNumId w:val="13"/>
  </w:num>
  <w:num w:numId="8">
    <w:abstractNumId w:val="2"/>
  </w:num>
  <w:num w:numId="9">
    <w:abstractNumId w:val="10"/>
  </w:num>
  <w:num w:numId="10">
    <w:abstractNumId w:val="7"/>
  </w:num>
  <w:num w:numId="11">
    <w:abstractNumId w:val="18"/>
  </w:num>
  <w:num w:numId="12">
    <w:abstractNumId w:val="12"/>
  </w:num>
  <w:num w:numId="13">
    <w:abstractNumId w:val="4"/>
  </w:num>
  <w:num w:numId="14">
    <w:abstractNumId w:val="1"/>
  </w:num>
  <w:num w:numId="15">
    <w:abstractNumId w:val="17"/>
  </w:num>
  <w:num w:numId="16">
    <w:abstractNumId w:val="5"/>
  </w:num>
  <w:num w:numId="17">
    <w:abstractNumId w:val="11"/>
  </w:num>
  <w:num w:numId="18">
    <w:abstractNumId w:val="8"/>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90"/>
    <w:link w:val="886"/>
    <w:uiPriority w:val="9"/>
    <w:rPr>
      <w:rFonts w:ascii="Arial" w:hAnsi="Arial" w:eastAsia="Arial" w:cs="Arial"/>
      <w:sz w:val="40"/>
      <w:szCs w:val="40"/>
    </w:rPr>
  </w:style>
  <w:style w:type="character" w:styleId="720">
    <w:name w:val="Heading 2 Char"/>
    <w:basedOn w:val="890"/>
    <w:link w:val="887"/>
    <w:uiPriority w:val="9"/>
    <w:rPr>
      <w:rFonts w:ascii="Arial" w:hAnsi="Arial" w:eastAsia="Arial" w:cs="Arial"/>
      <w:sz w:val="34"/>
    </w:rPr>
  </w:style>
  <w:style w:type="character" w:styleId="721">
    <w:name w:val="Heading 3 Char"/>
    <w:basedOn w:val="890"/>
    <w:link w:val="888"/>
    <w:uiPriority w:val="9"/>
    <w:rPr>
      <w:rFonts w:ascii="Arial" w:hAnsi="Arial" w:eastAsia="Arial" w:cs="Arial"/>
      <w:sz w:val="30"/>
      <w:szCs w:val="30"/>
    </w:rPr>
  </w:style>
  <w:style w:type="character" w:styleId="722">
    <w:name w:val="Heading 4 Char"/>
    <w:basedOn w:val="890"/>
    <w:link w:val="889"/>
    <w:uiPriority w:val="9"/>
    <w:rPr>
      <w:rFonts w:ascii="Arial" w:hAnsi="Arial" w:eastAsia="Arial" w:cs="Arial"/>
      <w:b/>
      <w:bCs/>
      <w:sz w:val="26"/>
      <w:szCs w:val="26"/>
    </w:rPr>
  </w:style>
  <w:style w:type="paragraph" w:styleId="723">
    <w:name w:val="Heading 5"/>
    <w:basedOn w:val="885"/>
    <w:next w:val="885"/>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90"/>
    <w:link w:val="723"/>
    <w:uiPriority w:val="9"/>
    <w:rPr>
      <w:rFonts w:ascii="Arial" w:hAnsi="Arial" w:eastAsia="Arial" w:cs="Arial"/>
      <w:b/>
      <w:bCs/>
      <w:sz w:val="24"/>
      <w:szCs w:val="24"/>
    </w:rPr>
  </w:style>
  <w:style w:type="paragraph" w:styleId="725">
    <w:name w:val="Heading 6"/>
    <w:basedOn w:val="885"/>
    <w:next w:val="885"/>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90"/>
    <w:link w:val="725"/>
    <w:uiPriority w:val="9"/>
    <w:rPr>
      <w:rFonts w:ascii="Arial" w:hAnsi="Arial" w:eastAsia="Arial" w:cs="Arial"/>
      <w:b/>
      <w:bCs/>
      <w:sz w:val="22"/>
      <w:szCs w:val="22"/>
    </w:rPr>
  </w:style>
  <w:style w:type="paragraph" w:styleId="727">
    <w:name w:val="Heading 7"/>
    <w:basedOn w:val="885"/>
    <w:next w:val="885"/>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90"/>
    <w:link w:val="727"/>
    <w:uiPriority w:val="9"/>
    <w:rPr>
      <w:rFonts w:ascii="Arial" w:hAnsi="Arial" w:eastAsia="Arial" w:cs="Arial"/>
      <w:b/>
      <w:bCs/>
      <w:i/>
      <w:iCs/>
      <w:sz w:val="22"/>
      <w:szCs w:val="22"/>
    </w:rPr>
  </w:style>
  <w:style w:type="paragraph" w:styleId="729">
    <w:name w:val="Heading 8"/>
    <w:basedOn w:val="885"/>
    <w:next w:val="885"/>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90"/>
    <w:link w:val="729"/>
    <w:uiPriority w:val="9"/>
    <w:rPr>
      <w:rFonts w:ascii="Arial" w:hAnsi="Arial" w:eastAsia="Arial" w:cs="Arial"/>
      <w:i/>
      <w:iCs/>
      <w:sz w:val="22"/>
      <w:szCs w:val="22"/>
    </w:rPr>
  </w:style>
  <w:style w:type="paragraph" w:styleId="731">
    <w:name w:val="Heading 9"/>
    <w:basedOn w:val="885"/>
    <w:next w:val="885"/>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90"/>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character" w:styleId="734">
    <w:name w:val="Title Char"/>
    <w:basedOn w:val="890"/>
    <w:link w:val="909"/>
    <w:uiPriority w:val="10"/>
    <w:rPr>
      <w:sz w:val="48"/>
      <w:szCs w:val="48"/>
    </w:rPr>
  </w:style>
  <w:style w:type="paragraph" w:styleId="735">
    <w:name w:val="Subtitle"/>
    <w:basedOn w:val="885"/>
    <w:next w:val="885"/>
    <w:link w:val="736"/>
    <w:uiPriority w:val="11"/>
    <w:qFormat/>
    <w:pPr>
      <w:spacing w:before="200" w:after="200"/>
    </w:pPr>
    <w:rPr>
      <w:sz w:val="24"/>
      <w:szCs w:val="24"/>
    </w:rPr>
  </w:style>
  <w:style w:type="character" w:styleId="736">
    <w:name w:val="Subtitle Char"/>
    <w:basedOn w:val="890"/>
    <w:link w:val="735"/>
    <w:uiPriority w:val="11"/>
    <w:rPr>
      <w:sz w:val="24"/>
      <w:szCs w:val="24"/>
    </w:rPr>
  </w:style>
  <w:style w:type="paragraph" w:styleId="737">
    <w:name w:val="Quote"/>
    <w:basedOn w:val="885"/>
    <w:next w:val="885"/>
    <w:link w:val="738"/>
    <w:uiPriority w:val="29"/>
    <w:qFormat/>
    <w:pPr>
      <w:ind w:left="720" w:right="720"/>
    </w:pPr>
    <w:rPr>
      <w:i/>
    </w:rPr>
  </w:style>
  <w:style w:type="character" w:styleId="738">
    <w:name w:val="Quote Char"/>
    <w:link w:val="737"/>
    <w:uiPriority w:val="29"/>
    <w:rPr>
      <w:i/>
    </w:rPr>
  </w:style>
  <w:style w:type="paragraph" w:styleId="739">
    <w:name w:val="Intense Quote"/>
    <w:basedOn w:val="885"/>
    <w:next w:val="885"/>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90"/>
    <w:link w:val="904"/>
    <w:uiPriority w:val="99"/>
  </w:style>
  <w:style w:type="character" w:styleId="742">
    <w:name w:val="Footer Char"/>
    <w:basedOn w:val="890"/>
    <w:link w:val="903"/>
    <w:uiPriority w:val="99"/>
  </w:style>
  <w:style w:type="paragraph" w:styleId="743">
    <w:name w:val="Caption"/>
    <w:basedOn w:val="885"/>
    <w:next w:val="885"/>
    <w:uiPriority w:val="35"/>
    <w:semiHidden/>
    <w:unhideWhenUsed/>
    <w:qFormat/>
    <w:pPr>
      <w:spacing w:line="276" w:lineRule="auto"/>
    </w:pPr>
    <w:rPr>
      <w:b/>
      <w:bCs/>
      <w:color w:val="4f81bd" w:themeColor="accent1"/>
      <w:sz w:val="18"/>
      <w:szCs w:val="18"/>
    </w:rPr>
  </w:style>
  <w:style w:type="character" w:styleId="744">
    <w:name w:val="Caption Char"/>
    <w:basedOn w:val="743"/>
    <w:link w:val="903"/>
    <w:uiPriority w:val="99"/>
  </w:style>
  <w:style w:type="table" w:styleId="745">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85"/>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90"/>
    <w:uiPriority w:val="99"/>
    <w:unhideWhenUsed/>
    <w:rPr>
      <w:vertAlign w:val="superscript"/>
    </w:rPr>
  </w:style>
  <w:style w:type="paragraph" w:styleId="873">
    <w:name w:val="endnote text"/>
    <w:basedOn w:val="885"/>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90"/>
    <w:uiPriority w:val="99"/>
    <w:semiHidden/>
    <w:unhideWhenUsed/>
    <w:rPr>
      <w:vertAlign w:val="superscript"/>
    </w:r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92"/>
    <w:link w:val="947"/>
    <w:uiPriority w:val="0"/>
    <w:qFormat/>
    <w:pPr>
      <w:jc w:val="both"/>
      <w:widowControl w:val="off"/>
    </w:pPr>
    <w:rPr>
      <w:rFonts w:ascii="Times New Roman" w:hAnsi="Times New Roman" w:eastAsia="宋体" w:cs="Times New Roman"/>
      <w:sz w:val="21"/>
      <w:szCs w:val="24"/>
      <w:lang w:val="en-US" w:eastAsia="zh-CN" w:bidi="ar-SA"/>
    </w:rPr>
  </w:style>
  <w:style w:type="paragraph" w:styleId="886">
    <w:name w:val="Heading 1"/>
    <w:basedOn w:val="885"/>
    <w:next w:val="885"/>
    <w:uiPriority w:val="0"/>
    <w:qFormat/>
    <w:pPr>
      <w:keepLines/>
      <w:keepNext/>
      <w:spacing w:before="340" w:after="330" w:line="578" w:lineRule="auto"/>
      <w:outlineLvl w:val="0"/>
    </w:pPr>
    <w:rPr>
      <w:b/>
      <w:bCs/>
      <w:sz w:val="44"/>
      <w:szCs w:val="44"/>
    </w:rPr>
  </w:style>
  <w:style w:type="paragraph" w:styleId="887">
    <w:name w:val="Heading 2"/>
    <w:basedOn w:val="885"/>
    <w:next w:val="885"/>
    <w:link w:val="932"/>
    <w:uiPriority w:val="0"/>
    <w:qFormat/>
    <w:pPr>
      <w:keepLines/>
      <w:keepNext/>
      <w:spacing w:before="260" w:after="260" w:line="416" w:lineRule="auto"/>
      <w:outlineLvl w:val="1"/>
    </w:pPr>
    <w:rPr>
      <w:rFonts w:ascii="Arial" w:hAnsi="Arial" w:eastAsia="黑体"/>
      <w:b/>
      <w:bCs/>
      <w:sz w:val="32"/>
      <w:szCs w:val="32"/>
    </w:rPr>
  </w:style>
  <w:style w:type="paragraph" w:styleId="888">
    <w:name w:val="Heading 3"/>
    <w:basedOn w:val="885"/>
    <w:next w:val="895"/>
    <w:link w:val="917"/>
    <w:uiPriority w:val="0"/>
    <w:qFormat/>
    <w:pPr>
      <w:keepLines/>
      <w:keepNext/>
      <w:spacing w:before="260" w:after="260" w:line="416" w:lineRule="auto"/>
      <w:outlineLvl w:val="2"/>
    </w:pPr>
    <w:rPr>
      <w:b/>
      <w:sz w:val="32"/>
      <w:szCs w:val="20"/>
    </w:rPr>
  </w:style>
  <w:style w:type="paragraph" w:styleId="889">
    <w:name w:val="Heading 4"/>
    <w:basedOn w:val="885"/>
    <w:next w:val="885"/>
    <w:link w:val="918"/>
    <w:uiPriority w:val="0"/>
    <w:qFormat/>
    <w:pPr>
      <w:keepLines/>
      <w:keepNext/>
      <w:spacing w:before="280" w:after="290" w:line="376" w:lineRule="auto"/>
      <w:outlineLvl w:val="3"/>
    </w:pPr>
    <w:rPr>
      <w:rFonts w:ascii="Arial" w:hAnsi="Arial" w:eastAsia="黑体"/>
      <w:b/>
      <w:bCs/>
      <w:sz w:val="28"/>
      <w:szCs w:val="28"/>
    </w:rPr>
  </w:style>
  <w:style w:type="character" w:styleId="890" w:default="1">
    <w:name w:val="Default Paragraph Font"/>
    <w:uiPriority w:val="1"/>
    <w:semiHidden/>
    <w:unhideWhenUsed/>
    <w:qFormat/>
  </w:style>
  <w:style w:type="table" w:styleId="89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92">
    <w:name w:val="Body Text First Indent 2"/>
    <w:basedOn w:val="893"/>
    <w:next w:val="885"/>
    <w:uiPriority w:val="0"/>
    <w:qFormat/>
    <w:pPr>
      <w:ind w:left="420" w:firstLine="420"/>
      <w:jc w:val="both"/>
      <w:keepLines w:val="0"/>
      <w:keepNext w:val="0"/>
      <w:spacing w:after="120" w:afterAutospacing="0" w:line="240" w:lineRule="auto"/>
      <w:widowControl w:val="off"/>
      <w:suppressLineNumbers w:val="0"/>
    </w:pPr>
    <w:rPr>
      <w:rFonts w:hint="default" w:ascii="方正仿宋简体" w:hAnsi="创艺简仿宋" w:eastAsia="方正仿宋简体" w:cs="Times New Roman"/>
      <w:sz w:val="21"/>
      <w:szCs w:val="21"/>
      <w:lang w:val="en-US" w:eastAsia="zh-CN" w:bidi="ar"/>
    </w:rPr>
  </w:style>
  <w:style w:type="paragraph" w:styleId="893">
    <w:name w:val="Body Text Indent"/>
    <w:basedOn w:val="885"/>
    <w:next w:val="894"/>
    <w:uiPriority w:val="0"/>
    <w:qFormat/>
    <w:pPr>
      <w:ind w:left="420"/>
      <w:spacing w:after="120"/>
    </w:pPr>
  </w:style>
  <w:style w:type="paragraph" w:styleId="894">
    <w:name w:val="envelope return"/>
    <w:basedOn w:val="885"/>
    <w:uiPriority w:val="0"/>
    <w:qFormat/>
    <w:rPr>
      <w:rFonts w:ascii="Arial" w:hAnsi="Arial"/>
    </w:rPr>
  </w:style>
  <w:style w:type="paragraph" w:styleId="895">
    <w:name w:val="Normal Indent"/>
    <w:basedOn w:val="885"/>
    <w:link w:val="923"/>
    <w:uiPriority w:val="0"/>
    <w:qFormat/>
    <w:pPr>
      <w:ind w:firstLine="420"/>
    </w:pPr>
  </w:style>
  <w:style w:type="paragraph" w:styleId="896">
    <w:name w:val="Note Heading"/>
    <w:basedOn w:val="885"/>
    <w:next w:val="885"/>
    <w:uiPriority w:val="0"/>
    <w:qFormat/>
    <w:pPr>
      <w:ind w:left="0" w:right="0"/>
      <w:jc w:val="both"/>
      <w:keepLines w:val="0"/>
      <w:keepNext w:val="0"/>
      <w:spacing w:before="0" w:beforeAutospacing="0" w:after="0" w:afterAutospacing="0"/>
      <w:widowControl w:val="off"/>
      <w:suppressLineNumbers w:val="0"/>
    </w:pPr>
    <w:rPr>
      <w:rFonts w:hint="default" w:ascii="Verdana" w:hAnsi="Verdana" w:eastAsia="宋体" w:cs="Times New Roman"/>
      <w:sz w:val="21"/>
      <w:szCs w:val="21"/>
      <w:lang w:val="en-US" w:eastAsia="zh-CN" w:bidi="ar"/>
    </w:rPr>
  </w:style>
  <w:style w:type="paragraph" w:styleId="897">
    <w:name w:val="Document Map"/>
    <w:basedOn w:val="885"/>
    <w:uiPriority w:val="0"/>
    <w:semiHidden/>
    <w:qFormat/>
    <w:pPr>
      <w:shd w:val="clear" w:color="auto" w:fill="000080"/>
    </w:pPr>
  </w:style>
  <w:style w:type="paragraph" w:styleId="898">
    <w:name w:val="Block Text"/>
    <w:basedOn w:val="885"/>
    <w:next w:val="885"/>
    <w:uiPriority w:val="0"/>
    <w:qFormat/>
    <w:pPr>
      <w:ind w:left="237" w:right="216" w:firstLine="420"/>
      <w:spacing w:line="360" w:lineRule="auto"/>
    </w:pPr>
    <w:rPr>
      <w:rFonts w:ascii="宋体" w:hAnsi="宋体"/>
      <w:sz w:val="24"/>
      <w:szCs w:val="21"/>
    </w:rPr>
  </w:style>
  <w:style w:type="paragraph" w:styleId="899">
    <w:name w:val="Plain Text"/>
    <w:basedOn w:val="885"/>
    <w:link w:val="922"/>
    <w:uiPriority w:val="99"/>
    <w:qFormat/>
    <w:pPr>
      <w:jc w:val="left"/>
      <w:spacing w:after="200" w:line="252" w:lineRule="auto"/>
      <w:widowControl/>
    </w:pPr>
    <w:rPr>
      <w:rFonts w:ascii="宋体" w:hAnsi="Courier New"/>
      <w:szCs w:val="20"/>
    </w:rPr>
  </w:style>
  <w:style w:type="paragraph" w:styleId="900">
    <w:name w:val="Date"/>
    <w:basedOn w:val="885"/>
    <w:next w:val="885"/>
    <w:link w:val="913"/>
    <w:uiPriority w:val="0"/>
    <w:qFormat/>
    <w:rPr>
      <w:sz w:val="24"/>
      <w:szCs w:val="20"/>
    </w:rPr>
  </w:style>
  <w:style w:type="paragraph" w:styleId="901">
    <w:name w:val="Body Text Indent 2"/>
    <w:basedOn w:val="885"/>
    <w:link w:val="933"/>
    <w:uiPriority w:val="0"/>
    <w:qFormat/>
    <w:pPr>
      <w:ind w:left="420"/>
      <w:spacing w:after="120" w:line="480" w:lineRule="auto"/>
    </w:pPr>
  </w:style>
  <w:style w:type="paragraph" w:styleId="902">
    <w:name w:val="Balloon Text"/>
    <w:basedOn w:val="885"/>
    <w:link w:val="915"/>
    <w:uiPriority w:val="0"/>
    <w:qFormat/>
    <w:rPr>
      <w:sz w:val="18"/>
      <w:szCs w:val="18"/>
    </w:rPr>
  </w:style>
  <w:style w:type="paragraph" w:styleId="903">
    <w:name w:val="Footer"/>
    <w:basedOn w:val="885"/>
    <w:uiPriority w:val="0"/>
    <w:qFormat/>
    <w:pPr>
      <w:jc w:val="left"/>
      <w:tabs>
        <w:tab w:val="center" w:pos="4153" w:leader="none"/>
        <w:tab w:val="right" w:pos="8306" w:leader="none"/>
      </w:tabs>
    </w:pPr>
    <w:rPr>
      <w:sz w:val="18"/>
      <w:szCs w:val="18"/>
    </w:rPr>
  </w:style>
  <w:style w:type="paragraph" w:styleId="904">
    <w:name w:val="Header"/>
    <w:basedOn w:val="885"/>
    <w:link w:val="924"/>
    <w:uiPriority w:val="99"/>
    <w:qFormat/>
    <w:pPr>
      <w:jc w:val="center"/>
      <w:tabs>
        <w:tab w:val="center" w:pos="4153" w:leader="none"/>
        <w:tab w:val="right" w:pos="8306" w:leader="none"/>
      </w:tabs>
      <w:pBdr>
        <w:bottom w:val="single" w:color="auto" w:sz="6" w:space="1"/>
      </w:pBdr>
    </w:pPr>
    <w:rPr>
      <w:sz w:val="18"/>
      <w:szCs w:val="18"/>
    </w:rPr>
  </w:style>
  <w:style w:type="paragraph" w:styleId="905">
    <w:name w:val="toc 1"/>
    <w:basedOn w:val="885"/>
    <w:next w:val="885"/>
    <w:uiPriority w:val="0"/>
    <w:qFormat/>
  </w:style>
  <w:style w:type="paragraph" w:styleId="906">
    <w:name w:val="Body Text Indent 3"/>
    <w:basedOn w:val="885"/>
    <w:link w:val="914"/>
    <w:uiPriority w:val="0"/>
    <w:qFormat/>
    <w:pPr>
      <w:ind w:left="420"/>
      <w:spacing w:after="120"/>
    </w:pPr>
    <w:rPr>
      <w:sz w:val="16"/>
      <w:szCs w:val="16"/>
    </w:rPr>
  </w:style>
  <w:style w:type="paragraph" w:styleId="907">
    <w:name w:val="toc 2"/>
    <w:basedOn w:val="885"/>
    <w:next w:val="885"/>
    <w:uiPriority w:val="0"/>
    <w:qFormat/>
    <w:pPr>
      <w:ind w:left="420"/>
    </w:pPr>
  </w:style>
  <w:style w:type="paragraph" w:styleId="908">
    <w:name w:val="Normal (Web)"/>
    <w:basedOn w:val="885"/>
    <w:uiPriority w:val="99"/>
    <w:unhideWhenUsed/>
    <w:qFormat/>
    <w:pPr>
      <w:jc w:val="left"/>
      <w:spacing w:before="100" w:beforeAutospacing="1" w:after="100" w:afterAutospacing="1"/>
      <w:widowControl/>
    </w:pPr>
    <w:rPr>
      <w:rFonts w:ascii="宋体" w:hAnsi="宋体" w:cs="宋体"/>
      <w:sz w:val="24"/>
    </w:rPr>
  </w:style>
  <w:style w:type="paragraph" w:styleId="909">
    <w:name w:val="Title"/>
    <w:basedOn w:val="885"/>
    <w:uiPriority w:val="0"/>
    <w:qFormat/>
    <w:pPr>
      <w:ind w:left="0" w:right="0"/>
      <w:jc w:val="center"/>
      <w:keepLines w:val="0"/>
      <w:keepNext w:val="0"/>
      <w:spacing w:before="0" w:beforeAutospacing="0" w:after="0" w:afterAutospacing="0" w:line="360" w:lineRule="auto"/>
      <w:shd w:val="clear" w:color="auto" w:fill="7f7f7f"/>
      <w:widowControl/>
      <w:suppressLineNumbers w:val="0"/>
    </w:pPr>
    <w:rPr>
      <w:rFonts w:hint="default" w:ascii="Times New Roman" w:hAnsi="Times New Roman" w:eastAsia="宋体" w:cs="Times New Roman"/>
      <w:b/>
      <w:sz w:val="30"/>
      <w:szCs w:val="30"/>
      <w:lang w:val="en-US" w:eastAsia="zh-CN" w:bidi="ar"/>
    </w:rPr>
  </w:style>
  <w:style w:type="table" w:styleId="910">
    <w:name w:val="Table Grid"/>
    <w:basedOn w:val="891"/>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911">
    <w:name w:val="page number"/>
    <w:basedOn w:val="890"/>
    <w:uiPriority w:val="0"/>
    <w:qFormat/>
  </w:style>
  <w:style w:type="character" w:styleId="912">
    <w:name w:val="Hyperlink"/>
    <w:basedOn w:val="890"/>
    <w:uiPriority w:val="0"/>
    <w:qFormat/>
    <w:rPr>
      <w:color w:val="0000ff"/>
      <w:u w:val="single"/>
    </w:rPr>
  </w:style>
  <w:style w:type="character" w:styleId="913" w:customStyle="1">
    <w:name w:val="日期 Char"/>
    <w:basedOn w:val="890"/>
    <w:link w:val="900"/>
    <w:uiPriority w:val="0"/>
    <w:qFormat/>
    <w:rPr>
      <w:sz w:val="24"/>
    </w:rPr>
  </w:style>
  <w:style w:type="character" w:styleId="914" w:customStyle="1">
    <w:name w:val="正文文本缩进 3 Char"/>
    <w:basedOn w:val="890"/>
    <w:link w:val="906"/>
    <w:uiPriority w:val="0"/>
    <w:qFormat/>
    <w:rPr>
      <w:sz w:val="16"/>
      <w:szCs w:val="16"/>
    </w:rPr>
  </w:style>
  <w:style w:type="character" w:styleId="915" w:customStyle="1">
    <w:name w:val="批注框文本 Char"/>
    <w:basedOn w:val="890"/>
    <w:link w:val="902"/>
    <w:uiPriority w:val="0"/>
    <w:qFormat/>
    <w:rPr>
      <w:sz w:val="18"/>
      <w:szCs w:val="18"/>
    </w:rPr>
  </w:style>
  <w:style w:type="character" w:styleId="916" w:customStyle="1">
    <w:name w:val="纯文本 Char"/>
    <w:uiPriority w:val="99"/>
    <w:qFormat/>
    <w:rPr>
      <w:rFonts w:ascii="宋体" w:hAnsi="Courier New"/>
      <w:sz w:val="21"/>
    </w:rPr>
  </w:style>
  <w:style w:type="character" w:styleId="917" w:customStyle="1">
    <w:name w:val="标题 3 Char"/>
    <w:basedOn w:val="890"/>
    <w:link w:val="888"/>
    <w:uiPriority w:val="0"/>
    <w:qFormat/>
    <w:rPr>
      <w:b/>
      <w:sz w:val="32"/>
    </w:rPr>
  </w:style>
  <w:style w:type="character" w:styleId="918" w:customStyle="1">
    <w:name w:val="标题 4 Char"/>
    <w:basedOn w:val="890"/>
    <w:link w:val="889"/>
    <w:uiPriority w:val="0"/>
    <w:qFormat/>
    <w:rPr>
      <w:rFonts w:ascii="Arial" w:hAnsi="Arial" w:eastAsia="黑体"/>
      <w:b/>
      <w:bCs/>
      <w:sz w:val="28"/>
      <w:szCs w:val="28"/>
    </w:rPr>
  </w:style>
  <w:style w:type="character" w:styleId="919" w:customStyle="1">
    <w:name w:val="正文缩进2格 Char"/>
    <w:link w:val="920"/>
    <w:uiPriority w:val="0"/>
    <w:qFormat/>
    <w:rPr>
      <w:rFonts w:ascii="仿宋_GB2312" w:hAnsi="宋体" w:eastAsia="仿宋_GB2312"/>
      <w:sz w:val="31"/>
      <w:szCs w:val="28"/>
      <w:lang w:bidi="ar-SA"/>
    </w:rPr>
  </w:style>
  <w:style w:type="paragraph" w:styleId="920" w:customStyle="1">
    <w:name w:val="正文缩进2格"/>
    <w:basedOn w:val="885"/>
    <w:link w:val="919"/>
    <w:uiPriority w:val="0"/>
    <w:qFormat/>
    <w:pPr>
      <w:ind w:firstLine="639"/>
      <w:spacing w:line="600" w:lineRule="exact"/>
    </w:pPr>
    <w:rPr>
      <w:rFonts w:ascii="仿宋_GB2312" w:hAnsi="宋体" w:eastAsia="仿宋_GB2312"/>
      <w:sz w:val="31"/>
      <w:szCs w:val="28"/>
    </w:rPr>
  </w:style>
  <w:style w:type="character" w:styleId="921" w:customStyle="1">
    <w:name w:val="纯文本 Char2"/>
    <w:basedOn w:val="890"/>
    <w:uiPriority w:val="0"/>
    <w:qFormat/>
    <w:rPr>
      <w:rFonts w:ascii="宋体" w:hAnsi="Courier New" w:eastAsia="宋体"/>
      <w:sz w:val="24"/>
      <w:lang w:val="en-US" w:eastAsia="zh-CN" w:bidi="ar-SA"/>
    </w:rPr>
  </w:style>
  <w:style w:type="character" w:styleId="922" w:customStyle="1">
    <w:name w:val="纯文本 Char1"/>
    <w:basedOn w:val="890"/>
    <w:link w:val="899"/>
    <w:uiPriority w:val="0"/>
    <w:qFormat/>
    <w:rPr>
      <w:rFonts w:ascii="宋体" w:hAnsi="Courier New" w:cs="Courier New"/>
      <w:sz w:val="21"/>
      <w:szCs w:val="21"/>
    </w:rPr>
  </w:style>
  <w:style w:type="character" w:styleId="923" w:customStyle="1">
    <w:name w:val="正文缩进 Char"/>
    <w:link w:val="895"/>
    <w:uiPriority w:val="0"/>
    <w:qFormat/>
    <w:rPr>
      <w:rFonts w:eastAsia="宋体"/>
      <w:sz w:val="21"/>
      <w:szCs w:val="24"/>
      <w:lang w:val="en-US" w:eastAsia="zh-CN" w:bidi="ar-SA"/>
    </w:rPr>
  </w:style>
  <w:style w:type="character" w:styleId="924" w:customStyle="1">
    <w:name w:val="页眉 Char"/>
    <w:link w:val="904"/>
    <w:uiPriority w:val="99"/>
    <w:qFormat/>
    <w:rPr>
      <w:sz w:val="18"/>
      <w:szCs w:val="18"/>
    </w:rPr>
  </w:style>
  <w:style w:type="paragraph" w:styleId="925" w:customStyle="1">
    <w:name w:val="Char"/>
    <w:basedOn w:val="897"/>
    <w:uiPriority w:val="0"/>
    <w:qFormat/>
    <w:rPr>
      <w:rFonts w:ascii="Tahoma" w:hAnsi="Tahoma"/>
      <w:sz w:val="24"/>
    </w:rPr>
  </w:style>
  <w:style w:type="paragraph" w:styleId="926" w:customStyle="1">
    <w:name w:val="普通正文"/>
    <w:basedOn w:val="885"/>
    <w:uiPriority w:val="0"/>
    <w:qFormat/>
    <w:pPr>
      <w:ind w:firstLine="480"/>
      <w:jc w:val="left"/>
      <w:spacing w:before="120" w:after="120" w:line="360" w:lineRule="auto"/>
    </w:pPr>
    <w:rPr>
      <w:rFonts w:ascii="Arial" w:hAnsi="Arial"/>
      <w:sz w:val="24"/>
    </w:rPr>
  </w:style>
  <w:style w:type="paragraph" w:styleId="927" w:customStyle="1">
    <w:name w:val="msonormalcxspmiddle"/>
    <w:basedOn w:val="885"/>
    <w:uiPriority w:val="0"/>
    <w:qFormat/>
    <w:pPr>
      <w:jc w:val="left"/>
      <w:spacing w:before="100" w:beforeAutospacing="1" w:after="100" w:afterAutospacing="1"/>
      <w:widowControl/>
    </w:pPr>
    <w:rPr>
      <w:rFonts w:ascii="宋体" w:hAnsi="宋体" w:cs="宋体"/>
      <w:sz w:val="24"/>
    </w:rPr>
  </w:style>
  <w:style w:type="paragraph" w:styleId="928" w:customStyle="1">
    <w:name w:val="Char1"/>
    <w:basedOn w:val="885"/>
    <w:uiPriority w:val="0"/>
    <w:qFormat/>
    <w:pPr>
      <w:tabs>
        <w:tab w:val="left" w:pos="360" w:leader="none"/>
      </w:tabs>
    </w:pPr>
    <w:rPr>
      <w:color w:val="000000"/>
      <w:sz w:val="24"/>
    </w:rPr>
  </w:style>
  <w:style w:type="paragraph" w:styleId="929" w:customStyle="1">
    <w:name w:val="Char Char Char Char"/>
    <w:basedOn w:val="897"/>
    <w:uiPriority w:val="0"/>
    <w:qFormat/>
    <w:pPr>
      <w:spacing w:line="360" w:lineRule="auto"/>
    </w:pPr>
    <w:rPr>
      <w:szCs w:val="20"/>
    </w:rPr>
  </w:style>
  <w:style w:type="character" w:styleId="930" w:customStyle="1">
    <w:name w:val="p0 Char"/>
    <w:link w:val="931"/>
    <w:uiPriority w:val="0"/>
    <w:qFormat/>
    <w:rPr>
      <w:sz w:val="21"/>
      <w:szCs w:val="21"/>
    </w:rPr>
  </w:style>
  <w:style w:type="paragraph" w:styleId="931" w:customStyle="1">
    <w:name w:val="p0"/>
    <w:basedOn w:val="885"/>
    <w:link w:val="930"/>
    <w:uiPriority w:val="0"/>
    <w:qFormat/>
    <w:pPr>
      <w:widowControl/>
    </w:pPr>
    <w:rPr>
      <w:szCs w:val="21"/>
    </w:rPr>
  </w:style>
  <w:style w:type="character" w:styleId="932" w:customStyle="1">
    <w:name w:val="标题 2 Char"/>
    <w:link w:val="887"/>
    <w:uiPriority w:val="0"/>
    <w:qFormat/>
    <w:rPr>
      <w:rFonts w:ascii="Arial" w:hAnsi="Arial" w:eastAsia="黑体"/>
      <w:b/>
      <w:bCs/>
      <w:sz w:val="32"/>
      <w:szCs w:val="32"/>
    </w:rPr>
  </w:style>
  <w:style w:type="character" w:styleId="933" w:customStyle="1">
    <w:name w:val="正文文本缩进 2 Char"/>
    <w:basedOn w:val="890"/>
    <w:link w:val="901"/>
    <w:uiPriority w:val="0"/>
    <w:qFormat/>
    <w:rPr>
      <w:sz w:val="21"/>
      <w:szCs w:val="24"/>
    </w:rPr>
  </w:style>
  <w:style w:type="character" w:styleId="934" w:customStyle="1">
    <w:name w:val="10"/>
    <w:basedOn w:val="890"/>
    <w:uiPriority w:val="0"/>
    <w:qFormat/>
    <w:rPr>
      <w:rFonts w:hint="default" w:ascii="Times New Roman" w:hAnsi="Times New Roman" w:cs="Times New Roman"/>
    </w:rPr>
  </w:style>
  <w:style w:type="character" w:styleId="935" w:customStyle="1">
    <w:name w:val="15"/>
    <w:basedOn w:val="890"/>
    <w:uiPriority w:val="0"/>
    <w:qFormat/>
    <w:rPr>
      <w:rFonts w:hint="default" w:ascii="Times New Roman" w:hAnsi="Times New Roman" w:cs="Times New Roman"/>
    </w:rPr>
  </w:style>
  <w:style w:type="character" w:styleId="936" w:customStyle="1">
    <w:name w:val="17"/>
    <w:basedOn w:val="890"/>
    <w:uiPriority w:val="0"/>
    <w:qFormat/>
    <w:rPr>
      <w:rFonts w:hint="eastAsia" w:ascii="宋体" w:hAnsi="宋体" w:eastAsia="宋体" w:cs="宋体"/>
      <w:color w:val="000000"/>
      <w:sz w:val="24"/>
      <w:szCs w:val="24"/>
    </w:rPr>
  </w:style>
  <w:style w:type="character" w:styleId="937" w:customStyle="1">
    <w:name w:val="18"/>
    <w:basedOn w:val="890"/>
    <w:uiPriority w:val="0"/>
    <w:qFormat/>
    <w:rPr>
      <w:rFonts w:hint="default" w:ascii="Times New Roman" w:hAnsi="Times New Roman" w:cs="Times New Roman"/>
      <w:color w:val="000000"/>
      <w:sz w:val="24"/>
      <w:szCs w:val="24"/>
    </w:rPr>
  </w:style>
  <w:style w:type="character" w:styleId="938" w:customStyle="1">
    <w:name w:val="16"/>
    <w:basedOn w:val="890"/>
    <w:uiPriority w:val="0"/>
    <w:qFormat/>
    <w:rPr>
      <w:rFonts w:hint="default" w:ascii="Times New Roman" w:hAnsi="Times New Roman" w:cs="Times New Roman"/>
      <w:color w:val="000000"/>
      <w:sz w:val="24"/>
      <w:szCs w:val="24"/>
    </w:rPr>
  </w:style>
  <w:style w:type="character" w:styleId="939" w:customStyle="1">
    <w:name w:val="19"/>
    <w:basedOn w:val="890"/>
    <w:uiPriority w:val="0"/>
    <w:qFormat/>
    <w:rPr>
      <w:rFonts w:hint="eastAsia" w:ascii="宋体" w:hAnsi="宋体" w:eastAsia="宋体" w:cs="宋体"/>
      <w:color w:val="000000"/>
      <w:sz w:val="24"/>
      <w:szCs w:val="24"/>
      <w:vertAlign w:val="subscript"/>
    </w:rPr>
  </w:style>
  <w:style w:type="character" w:styleId="940" w:customStyle="1">
    <w:name w:val="20"/>
    <w:basedOn w:val="890"/>
    <w:uiPriority w:val="0"/>
    <w:qFormat/>
    <w:rPr>
      <w:rFonts w:hint="eastAsia" w:ascii="宋体" w:hAnsi="宋体" w:eastAsia="宋体" w:cs="宋体"/>
      <w:color w:val="000000"/>
      <w:sz w:val="24"/>
      <w:szCs w:val="24"/>
    </w:rPr>
  </w:style>
  <w:style w:type="paragraph" w:styleId="941" w:customStyle="1">
    <w:name w:val="Default"/>
    <w:basedOn w:val="885"/>
    <w:uiPriority w:val="0"/>
    <w:qFormat/>
    <w:pPr>
      <w:ind w:left="0" w:right="0"/>
      <w:jc w:val="left"/>
      <w:spacing w:before="0" w:beforeAutospacing="0" w:after="0" w:afterAutospacing="0"/>
      <w:widowControl/>
    </w:pPr>
    <w:rPr>
      <w:rFonts w:hint="default" w:ascii="Arial" w:hAnsi="Arial" w:eastAsia="宋体" w:cs="Arial"/>
      <w:color w:val="000000"/>
      <w:sz w:val="24"/>
      <w:szCs w:val="24"/>
      <w:lang w:val="en-US" w:eastAsia="zh-CN" w:bidi="ar"/>
    </w:rPr>
  </w:style>
  <w:style w:type="paragraph" w:styleId="942" w:customStyle="1">
    <w:name w:val="正文文本1111"/>
    <w:basedOn w:val="885"/>
    <w:uiPriority w:val="0"/>
    <w:qFormat/>
    <w:pPr>
      <w:ind w:left="0" w:right="0"/>
      <w:jc w:val="both"/>
      <w:keepLines w:val="0"/>
      <w:keepNext w:val="0"/>
      <w:spacing w:before="0" w:beforeAutospacing="0" w:after="0" w:afterAutospacing="0" w:line="360" w:lineRule="auto"/>
      <w:widowControl w:val="off"/>
      <w:suppressLineNumbers w:val="0"/>
    </w:pPr>
    <w:rPr>
      <w:rFonts w:hint="eastAsia" w:ascii="宋体" w:hAnsi="Times New Roman" w:eastAsia="宋体" w:cs="Times New Roman"/>
      <w:sz w:val="28"/>
      <w:szCs w:val="28"/>
      <w:lang w:val="en-US" w:eastAsia="zh-CN" w:bidi="ar"/>
    </w:rPr>
  </w:style>
  <w:style w:type="paragraph" w:styleId="943" w:customStyle="1">
    <w:name w:val="附件正文"/>
    <w:basedOn w:val="885"/>
    <w:uiPriority w:val="0"/>
    <w:qFormat/>
    <w:pPr>
      <w:ind w:left="0" w:right="0"/>
      <w:jc w:val="both"/>
      <w:keepLines w:val="0"/>
      <w:keepNext w:val="0"/>
      <w:spacing w:before="0" w:beforeAutospacing="0" w:after="0" w:afterAutospacing="0" w:line="360" w:lineRule="auto"/>
      <w:widowControl w:val="off"/>
      <w:suppressLineNumbers w:val="0"/>
    </w:pPr>
    <w:rPr>
      <w:rFonts w:hint="eastAsia" w:ascii="宋体" w:hAnsi="宋体" w:eastAsia="宋体" w:cs="Times New Roman"/>
      <w:bCs/>
      <w:sz w:val="24"/>
      <w:szCs w:val="24"/>
      <w:lang w:val="en-US" w:eastAsia="zh-CN" w:bidi="ar"/>
    </w:rPr>
  </w:style>
  <w:style w:type="paragraph" w:styleId="944" w:customStyle="1">
    <w:name w:val="UserStyle_0"/>
    <w:basedOn w:val="885"/>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1"/>
      <w:lang w:val="en-US" w:eastAsia="zh-CN" w:bidi="ar"/>
    </w:rPr>
  </w:style>
  <w:style w:type="paragraph" w:styleId="945" w:customStyle="1">
    <w:name w:val="列出段落1"/>
    <w:basedOn w:val="885"/>
    <w:hidden/>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1"/>
      <w:lang w:val="en-US" w:eastAsia="zh-CN" w:bidi="ar"/>
    </w:rPr>
  </w:style>
  <w:style w:type="paragraph" w:styleId="946" w:customStyle="1">
    <w:name w:val="List Paragraph"/>
    <w:basedOn w:val="885"/>
    <w:uiPriority w:val="0"/>
    <w:qFormat/>
    <w:pPr>
      <w:contextualSpacing/>
      <w:ind w:left="720"/>
      <w:jc w:val="left"/>
      <w:keepLines w:val="0"/>
      <w:keepNext w:val="0"/>
      <w:widowControl/>
      <w:suppressLineNumbers w:val="0"/>
    </w:pPr>
    <w:rPr>
      <w:rFonts w:hint="default" w:ascii="Calibri" w:hAnsi="Calibri" w:eastAsia="宋体" w:cs="Times New Roman"/>
      <w:sz w:val="24"/>
      <w:szCs w:val="24"/>
      <w:lang w:val="en-US" w:eastAsia="zh-CN" w:bidi="ar"/>
    </w:rPr>
  </w:style>
  <w:style w:type="character" w:styleId="947" w:customStyle="1">
    <w:name w:val="NormalCharacter"/>
    <w:link w:val="885"/>
    <w:uiPriority w:val="0"/>
    <w:semiHidden/>
    <w:qFormat/>
    <w:rPr>
      <w:rFonts w:ascii="Times New Roman" w:hAnsi="Times New Roman" w:eastAsia="宋体" w:cs="Times New Roman"/>
      <w:sz w:val="21"/>
      <w:szCs w:val="24"/>
      <w:lang w:val="en-US" w:eastAsia="zh-CN" w:bidi="ar-SA"/>
    </w:rPr>
  </w:style>
  <w:style w:type="paragraph" w:styleId="948" w:customStyle="1">
    <w:name w:val="正文1"/>
    <w:basedOn w:val="885"/>
    <w:uiPriority w:val="0"/>
    <w:qFormat/>
    <w:pPr>
      <w:ind w:firstLine="490"/>
      <w:spacing w:line="360" w:lineRule="auto"/>
    </w:pPr>
    <w:rPr>
      <w:rFonts w:ascii="宋体" w:hAnsi="宋体"/>
      <w:sz w:val="24"/>
      <w:szCs w:val="28"/>
    </w:rPr>
  </w:style>
  <w:style w:type="paragraph" w:styleId="949" w:customStyle="1">
    <w:name w:val="WPSOffice手动目录 1"/>
    <w:uiPriority w:val="0"/>
    <w:rPr>
      <w:rFonts w:ascii="Times New Roman" w:hAnsi="Times New Roman" w:eastAsia="宋体" w:cs="Times New Roman"/>
      <w:sz w:val="20"/>
      <w:szCs w:val="20"/>
    </w:rPr>
  </w:style>
  <w:style w:type="paragraph" w:styleId="950" w:customStyle="1">
    <w:name w:val="WPSOffice手动目录 2"/>
    <w:uiPriority w:val="0"/>
    <w:rPr>
      <w:rFonts w:ascii="Times New Roman" w:hAnsi="Times New Roman" w:eastAsia="宋体" w:cs="Times New Roman"/>
      <w:sz w:val="20"/>
      <w:szCs w:val="20"/>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3</cp:revision>
  <dcterms:created xsi:type="dcterms:W3CDTF">2023-07-31T00:20:00Z</dcterms:created>
  <dcterms:modified xsi:type="dcterms:W3CDTF">2024-09-30T02:24:45Z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4D899B72C5FD4715BC96BABC0B350960_12</vt:lpwstr>
  </property>
</Properties>
</file>