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w:t>
      </w:r>
      <w:r>
        <w:rPr>
          <w:rFonts w:hint="eastAsia" w:ascii="宋体" w:hAnsi="宋体" w:eastAsia="宋体" w:cs="宋体"/>
          <w:bCs/>
          <w:sz w:val="32"/>
          <w:szCs w:val="32"/>
        </w:rPr>
        <w:t xml:space="preserve">医院电</w:t>
      </w:r>
      <w:r>
        <w:rPr>
          <w:rFonts w:hint="eastAsia" w:ascii="宋体" w:hAnsi="宋体" w:eastAsia="宋体" w:cs="宋体"/>
          <w:bCs/>
          <w:sz w:val="32"/>
          <w:szCs w:val="32"/>
        </w:rPr>
        <w:t xml:space="preserve">生理参数监测仪项目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JSZC-320281-JZCG-G2025-0061</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九</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37"/>
        <w:spacing w:line="600" w:lineRule="exact"/>
        <w:tabs>
          <w:tab w:val="right" w:pos="9402" w:leader="dot"/>
        </w:tabs>
        <w:rPr>
          <w:rStyle w:val="938"/>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201302569" w:anchor="_Toc201302569" w:history="1">
        <w:r>
          <w:rPr>
            <w:rStyle w:val="938"/>
            <w:rFonts w:hint="eastAsia"/>
            <w:color w:val="auto"/>
            <w:sz w:val="30"/>
            <w:szCs w:val="30"/>
          </w:rPr>
          <w:t xml:space="preserve">第一章　投标邀请</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_Toc201302569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3</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0" w:anchor="_Toc201302570" w:history="1">
        <w:r>
          <w:rPr>
            <w:rStyle w:val="938"/>
            <w:rFonts w:hint="eastAsia"/>
            <w:color w:val="auto"/>
            <w:sz w:val="30"/>
            <w:szCs w:val="30"/>
          </w:rPr>
          <w:t xml:space="preserve">第二章　投标人须知</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_Toc201302570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6</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1" w:anchor="_Toc201302571" w:history="1">
        <w:r>
          <w:rPr>
            <w:rStyle w:val="938"/>
            <w:rFonts w:hint="eastAsia"/>
            <w:color w:val="auto"/>
            <w:sz w:val="30"/>
            <w:szCs w:val="30"/>
          </w:rPr>
          <w:t xml:space="preserve">第三章　项目要求和有关说明</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_Toc201302571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17</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2" w:anchor="_Toc201302572" w:history="1">
        <w:r>
          <w:rPr>
            <w:rStyle w:val="938"/>
            <w:rFonts w:hint="eastAsia"/>
            <w:color w:val="auto"/>
            <w:sz w:val="30"/>
            <w:szCs w:val="30"/>
          </w:rPr>
          <w:t xml:space="preserve">第四章　评标方法和评标标准</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_Toc201302572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21</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3" w:anchor="_Toc201302573" w:history="1">
        <w:r>
          <w:rPr>
            <w:rStyle w:val="938"/>
            <w:rFonts w:hint="eastAsia"/>
            <w:color w:val="auto"/>
            <w:sz w:val="30"/>
            <w:szCs w:val="30"/>
          </w:rPr>
          <w:t xml:space="preserve">第五章　合同书（格式）</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_Toc201302573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24</w:t>
        </w:r>
        <w:r>
          <w:rPr>
            <w:rStyle w:val="938"/>
            <w:color w:val="auto"/>
            <w:sz w:val="30"/>
            <w:szCs w:val="30"/>
          </w:rPr>
        </w:r>
        <w:r>
          <w:rPr>
            <w:rStyle w:val="938"/>
            <w:color w:val="auto"/>
            <w:sz w:val="30"/>
            <w:szCs w:val="30"/>
          </w:rPr>
          <w:fldChar w:fldCharType="end"/>
        </w:r>
      </w:hyperlink>
      <w:r/>
      <w:r/>
    </w:p>
    <w:p>
      <w:pPr>
        <w:pStyle w:val="937"/>
        <w:spacing w:line="600" w:lineRule="exact"/>
        <w:tabs>
          <w:tab w:val="right" w:pos="9402" w:leader="dot"/>
        </w:tabs>
        <w:rPr>
          <w:rStyle w:val="938"/>
          <w:color w:val="auto"/>
          <w:sz w:val="30"/>
          <w:szCs w:val="30"/>
        </w:rPr>
      </w:pPr>
      <w:r/>
      <w:hyperlink w:tooltip="#_Toc201302574" w:anchor="_Toc201302574" w:history="1">
        <w:r>
          <w:rPr>
            <w:rStyle w:val="938"/>
            <w:rFonts w:hint="eastAsia"/>
            <w:color w:val="auto"/>
            <w:sz w:val="30"/>
            <w:szCs w:val="30"/>
          </w:rPr>
          <w:t xml:space="preserve">第六章　投标文件的组成和格式</w:t>
        </w:r>
        <w:r>
          <w:rPr>
            <w:rStyle w:val="938"/>
            <w:color w:val="auto"/>
            <w:sz w:val="30"/>
            <w:szCs w:val="30"/>
          </w:rPr>
          <w:tab/>
        </w:r>
        <w:r>
          <w:rPr>
            <w:rStyle w:val="938"/>
            <w:color w:val="auto"/>
            <w:sz w:val="30"/>
            <w:szCs w:val="30"/>
          </w:rPr>
          <w:fldChar w:fldCharType="begin"/>
        </w:r>
        <w:r>
          <w:rPr>
            <w:rStyle w:val="938"/>
            <w:color w:val="auto"/>
            <w:sz w:val="30"/>
            <w:szCs w:val="30"/>
          </w:rPr>
          <w:instrText xml:space="preserve"> PAGEREF _Toc201302574 \h </w:instrText>
        </w:r>
        <w:r>
          <w:rPr>
            <w:rStyle w:val="938"/>
            <w:color w:val="auto"/>
            <w:sz w:val="30"/>
            <w:szCs w:val="30"/>
          </w:rPr>
        </w:r>
        <w:r>
          <w:rPr>
            <w:rStyle w:val="938"/>
            <w:color w:val="auto"/>
            <w:sz w:val="30"/>
            <w:szCs w:val="30"/>
          </w:rPr>
          <w:fldChar w:fldCharType="separate"/>
        </w:r>
        <w:r>
          <w:rPr>
            <w:rStyle w:val="938"/>
            <w:rFonts w:hint="eastAsia"/>
            <w:color w:val="auto"/>
            <w:sz w:val="30"/>
            <w:szCs w:val="30"/>
          </w:rPr>
          <w:t xml:space="preserve">28</w:t>
        </w:r>
        <w:r>
          <w:rPr>
            <w:rStyle w:val="938"/>
            <w:color w:val="auto"/>
            <w:sz w:val="30"/>
            <w:szCs w:val="30"/>
          </w:rPr>
        </w:r>
        <w:r>
          <w:rPr>
            <w:rStyle w:val="938"/>
            <w:color w:val="auto"/>
            <w:sz w:val="30"/>
            <w:szCs w:val="30"/>
          </w:rPr>
          <w:fldChar w:fldCharType="end"/>
        </w:r>
      </w:hyperlink>
      <w:r/>
      <w:r/>
    </w:p>
    <w:p>
      <w:pPr>
        <w:pStyle w:val="935"/>
        <w:spacing w:before="120" w:after="120" w:line="600" w:lineRule="exact"/>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35"/>
      </w:pPr>
      <w:r/>
      <w:r/>
    </w:p>
    <w:p>
      <w:pPr>
        <w:pStyle w:val="935"/>
      </w:pPr>
      <w:r/>
      <w:bookmarkStart w:id="6" w:name="_Toc201302569"/>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w:t>
      </w:r>
      <w:r>
        <w:rPr>
          <w:rFonts w:hint="eastAsia" w:ascii="宋体" w:hAnsi="宋体" w:eastAsia="宋体" w:cs="Times New Roman"/>
          <w:sz w:val="24"/>
          <w:szCs w:val="24"/>
        </w:rPr>
        <w:t xml:space="preserve">仪项目</w:t>
      </w:r>
      <w:r>
        <w:rPr>
          <w:rFonts w:ascii="宋体" w:hAnsi="宋体" w:eastAsia="宋体" w:cs="Times New Roman"/>
          <w:bCs/>
          <w:sz w:val="24"/>
          <w:szCs w:val="24"/>
        </w:rPr>
        <w:t xml:space="preserve">JSZC-320281-JZCG-G2025-0061</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JSZC-320281-JZCG-G2025-0061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生理参数监测仪项目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70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70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w:t>
      </w:r>
      <w:r>
        <w:rPr>
          <w:rFonts w:hint="eastAsia" w:ascii="宋体" w:hAnsi="宋体" w:eastAsia="宋体" w:cs="Times New Roman"/>
          <w:sz w:val="24"/>
          <w:szCs w:val="24"/>
        </w:rPr>
        <w:t xml:space="preserve">医院电</w:t>
      </w:r>
      <w:r>
        <w:rPr>
          <w:rFonts w:hint="eastAsia" w:ascii="宋体" w:hAnsi="宋体" w:eastAsia="宋体" w:cs="Times New Roman"/>
          <w:sz w:val="24"/>
          <w:szCs w:val="24"/>
        </w:rPr>
        <w:t xml:space="preserve">生理参数监测仪项目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投标产品属于医疗器械注册范畴的，投标人须具有《医疗器械经营许可证》（或《医疗器械经营备案凭证》</w:t>
      </w:r>
      <w:r>
        <w:rPr>
          <w:rFonts w:hint="eastAsia" w:ascii="宋体" w:hAnsi="宋体"/>
          <w:sz w:val="24"/>
        </w:rPr>
        <w:t xml:space="preserve">）</w:t>
      </w:r>
      <w:r>
        <w:rPr>
          <w:rFonts w:hint="eastAsia" w:ascii="宋体" w:hAnsi="宋体"/>
          <w:sz w:val="24"/>
        </w:rPr>
        <w:t xml:space="preserve">且在经营范围内</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10</w:t>
      </w:r>
      <w:r>
        <w:rPr>
          <w:rFonts w:ascii="宋体" w:hAnsi="宋体" w:eastAsia="宋体" w:cs="Times New Roman"/>
          <w:sz w:val="24"/>
          <w:szCs w:val="24"/>
        </w:rPr>
        <w:t xml:space="preserve">-15</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4"/>
        </w:rPr>
        <w:t xml:space="preserve">江阴市寿山路</w:t>
      </w:r>
      <w:r>
        <w:rPr>
          <w:rFonts w:hint="eastAsia" w:ascii="宋体" w:hAnsi="宋体" w:eastAsia="宋体" w:cs="Times New Roman"/>
          <w:sz w:val="24"/>
          <w:szCs w:val="24"/>
        </w:rPr>
        <w:t xml:space="preserve">163号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项目联系人：徐女士</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联系电话：18921233102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35"/>
      </w:pPr>
      <w:r/>
      <w:r/>
    </w:p>
    <w:p>
      <w:pPr>
        <w:pStyle w:val="935"/>
      </w:pPr>
      <w:r/>
      <w:bookmarkStart w:id="9" w:name="_Toc201302570"/>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项目实施方案及需要说明的其他内容；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文件4：</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9</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w:t>
      </w:r>
      <w:r>
        <w:rPr>
          <w:rFonts w:hint="eastAsia" w:ascii="宋体" w:hAnsi="宋体" w:eastAsia="宋体" w:cs="Times New Roman"/>
          <w:bCs/>
          <w:sz w:val="24"/>
          <w:szCs w:val="24"/>
        </w:rPr>
        <w:t xml:space="preserve">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w:t>
      </w:r>
      <w:r>
        <w:rPr>
          <w:rFonts w:hint="eastAsia" w:ascii="宋体" w:hAnsi="宋体" w:eastAsia="宋体" w:cs="Times New Roman"/>
          <w:sz w:val="24"/>
          <w:szCs w:val="24"/>
        </w:rPr>
        <w:t xml:space="preserve">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4</w:t>
      </w:r>
      <w:bookmarkStart w:id="10" w:name="_GoBack"/>
      <w:r/>
      <w:bookmarkEnd w:id="10"/>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投标供应商通过初审的，方可进入比较与评价程序。</w:t>
      </w:r>
      <w:r>
        <w:rPr>
          <w:rFonts w:ascii="宋体" w:hAnsi="宋体" w:eastAsia="宋体" w:cs="Times New Roman"/>
          <w:sz w:val="24"/>
          <w:szCs w:val="24"/>
        </w:rPr>
        <w:t xml:space="preserve">评标委员会应当按照招标文件中规定的评标方法和标准，对符合性审查合格的投标文件进行商务和技术评估，综合比较与评价。</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w:t>
      </w:r>
      <w:r>
        <w:rPr>
          <w:rFonts w:ascii="宋体" w:hAnsi="宋体" w:eastAsia="宋体" w:cs="Times New Roman"/>
          <w:sz w:val="24"/>
          <w:szCs w:val="24"/>
        </w:rPr>
        <w:t xml:space="preserve">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w:t>
      </w:r>
      <w:r>
        <w:rPr>
          <w:rFonts w:hint="eastAsia" w:ascii="宋体" w:hAnsi="宋体" w:eastAsia="宋体" w:cs="Times New Roman"/>
          <w:sz w:val="24"/>
          <w:szCs w:val="24"/>
        </w:rPr>
        <w:t xml:space="preserve">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采购人收件人：徐女士   收件地址：江阴市人民医院敔</w:t>
      </w:r>
      <w:r>
        <w:rPr>
          <w:rFonts w:hint="eastAsia" w:ascii="宋体" w:hAnsi="宋体" w:eastAsia="宋体" w:cs="Times New Roman"/>
          <w:sz w:val="24"/>
          <w:szCs w:val="24"/>
          <w:u w:val="single"/>
        </w:rPr>
        <w:t xml:space="preserve">山湾院区</w:t>
      </w:r>
      <w:r>
        <w:rPr>
          <w:rFonts w:hint="eastAsia" w:ascii="宋体" w:hAnsi="宋体" w:eastAsia="宋体" w:cs="Times New Roman"/>
          <w:sz w:val="24"/>
          <w:szCs w:val="24"/>
          <w:u w:val="single"/>
        </w:rPr>
        <w:t xml:space="preserve">1号楼一层医学工程部办公室   收件电话：</w:t>
      </w:r>
      <w:r>
        <w:rPr>
          <w:rFonts w:ascii="宋体" w:hAnsi="宋体" w:eastAsia="宋体" w:cs="Times New Roman"/>
          <w:sz w:val="24"/>
          <w:szCs w:val="24"/>
          <w:u w:val="single"/>
        </w:rPr>
        <w:t xml:space="preserve">0510</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88017546</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、履约保证金的收取：合同签署前，中标方向采购单位缴纳履约保证金。</w:t>
      </w:r>
      <w:r>
        <w:rPr>
          <w:rFonts w:hint="eastAsia" w:ascii="宋体" w:hAnsi="宋体" w:eastAsia="宋体" w:cs="Times New Roman"/>
          <w:bCs/>
          <w:sz w:val="24"/>
          <w:szCs w:val="24"/>
        </w:rPr>
        <w:t xml:space="preserve">中标方向采购单位缴纳政府采购合同金额5%的履约保证金，采购人应当允许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项目验收合格后（货物类）或有效期结束后（服务类），采购单位应及时退还履约保证金，不计利息。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w:t>
      </w:r>
      <w:r>
        <w:rPr>
          <w:rFonts w:hint="eastAsia" w:ascii="宋体" w:hAnsi="宋体" w:eastAsia="宋体" w:cs="Times New Roman"/>
          <w:sz w:val="24"/>
          <w:szCs w:val="24"/>
        </w:rPr>
        <w:t xml:space="preserve">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w:t>
      </w:r>
      <w:r>
        <w:rPr>
          <w:rFonts w:ascii="宋体" w:hAnsi="宋体" w:eastAsia="宋体" w:cs="Times New Roman"/>
          <w:sz w:val="24"/>
          <w:szCs w:val="24"/>
        </w:rPr>
        <w:t xml:space="preserve">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35"/>
        <w:sectPr>
          <w:footnotePr/>
          <w:endnotePr/>
          <w:type w:val="nextPage"/>
          <w:pgSz w:w="11906" w:h="16838" w:orient="portrait"/>
          <w:pgMar w:top="1247" w:right="1247" w:bottom="1247" w:left="1247" w:header="680" w:footer="992" w:gutter="0"/>
          <w:cols w:num="1" w:sep="0" w:space="720" w:equalWidth="1"/>
          <w:docGrid w:linePitch="360"/>
        </w:sectPr>
      </w:pPr>
      <w:r/>
      <w:r/>
    </w:p>
    <w:p>
      <w:pPr>
        <w:pStyle w:val="935"/>
      </w:pPr>
      <w:r/>
      <w:r/>
    </w:p>
    <w:p>
      <w:pPr>
        <w:pStyle w:val="935"/>
        <w:rPr>
          <w:rFonts w:ascii="楷体_GB2312" w:hAnsi="Times New Roman" w:eastAsia="楷体_GB2312"/>
          <w:b/>
          <w:sz w:val="28"/>
          <w:szCs w:val="28"/>
        </w:rPr>
      </w:pPr>
      <w:r/>
      <w:bookmarkStart w:id="11" w:name="_Toc201302571"/>
      <w:r>
        <w:rPr>
          <w:rFonts w:hint="eastAsia"/>
        </w:rPr>
        <w:t xml:space="preserve">第三章　项目要求和有关说明</w:t>
      </w:r>
      <w:bookmarkEnd w:id="11"/>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（以下除“三、详细的技术参数要求”中的非打“★”项，其余均为实质性要求）</w:t>
      </w:r>
      <w:r/>
    </w:p>
    <w:p>
      <w:pPr>
        <w:ind w:firstLine="482"/>
        <w:jc w:val="center"/>
        <w:spacing w:line="400" w:lineRule="exact"/>
        <w:widowControl/>
        <w:rPr>
          <w:rFonts w:ascii="宋体" w:hAnsi="宋体" w:eastAsia="宋体" w:cs="宋体"/>
          <w:b/>
          <w:sz w:val="24"/>
        </w:rPr>
      </w:pPr>
      <w:r/>
      <w:bookmarkStart w:id="12" w:name="_Toc251268361"/>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一、项目概述：</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本项目为江阴市人民</w:t>
      </w:r>
      <w:r>
        <w:rPr>
          <w:rFonts w:hint="eastAsia" w:ascii="宋体" w:hAnsi="宋体" w:eastAsia="宋体" w:cs="Times New Roman"/>
          <w:bCs/>
          <w:sz w:val="24"/>
          <w:szCs w:val="24"/>
        </w:rPr>
        <w:t xml:space="preserve">医院电</w:t>
      </w:r>
      <w:r>
        <w:rPr>
          <w:rFonts w:hint="eastAsia" w:ascii="宋体" w:hAnsi="宋体" w:eastAsia="宋体" w:cs="Times New Roman"/>
          <w:bCs/>
          <w:sz w:val="24"/>
          <w:szCs w:val="24"/>
        </w:rPr>
        <w:t xml:space="preserve">生理参数监测仪项目，最高限价70万元。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设备用途：通过诱发电位、肌电图、TOF 等项目，为手术医生提供中枢神经、周围神经、肌肉及麻醉用药的客观评价指标，实时反馈手术过程中神经的活动情况，对于外科医生（如神经外科、骨科、五官科、血管外科、甲状腺科、胸外科等科室）手术中是否触及神经或对神经有无损伤及损伤的部位进行指导。 </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本项目标的所属行业：工业。</w:t>
      </w:r>
      <w:r/>
    </w:p>
    <w:p>
      <w:pPr>
        <w:ind w:firstLine="482"/>
        <w:spacing w:line="400" w:lineRule="exact"/>
        <w:tabs>
          <w:tab w:val="left" w:pos="8475" w:leader="none"/>
        </w:tabs>
        <w:rPr>
          <w:rFonts w:ascii="宋体" w:hAnsi="宋体" w:eastAsia="宋体" w:cs="Times New Roman"/>
          <w:b/>
          <w:sz w:val="24"/>
          <w:szCs w:val="24"/>
        </w:rPr>
      </w:pPr>
      <w:r>
        <w:tab/>
      </w:r>
      <w:r/>
    </w:p>
    <w:p>
      <w:pPr>
        <w:jc w:val="left"/>
        <w:spacing w:line="400" w:lineRule="exact"/>
        <w:rPr>
          <w:rFonts w:ascii="黑体" w:hAnsi="黑体" w:eastAsia="黑体" w:cs="宋体"/>
          <w:sz w:val="28"/>
          <w:szCs w:val="28"/>
        </w:rPr>
      </w:pPr>
      <w:r>
        <w:rPr>
          <w:rFonts w:hint="eastAsia" w:ascii="黑体" w:hAnsi="黑体" w:eastAsia="黑体" w:cs="Times New Roman"/>
          <w:sz w:val="28"/>
          <w:szCs w:val="28"/>
        </w:rPr>
        <w:t xml:space="preserve">二、项目采购清单：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87"/>
        <w:gridCol w:w="4869"/>
        <w:gridCol w:w="1586"/>
        <w:gridCol w:w="1586"/>
      </w:tblGrid>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名称</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电生理参数监测仪</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1台</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三、详细的技术参数要求：</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计算机系统</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CPU性能相当于i5或更高，基础频率</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GHz</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运行内存</w:t>
      </w:r>
      <w:r>
        <w:rPr>
          <w:rFonts w:ascii="宋体" w:hAnsi="宋体" w:eastAsia="宋体" w:cs="Times New Roman"/>
          <w:sz w:val="24"/>
          <w:szCs w:val="24"/>
        </w:rPr>
        <w:t xml:space="preserve">RAM</w:t>
      </w:r>
      <w:r>
        <w:rPr>
          <w:rFonts w:hint="eastAsia" w:ascii="宋体" w:hAnsi="宋体" w:eastAsia="宋体" w:cs="Times New Roman"/>
          <w:sz w:val="24"/>
          <w:szCs w:val="24"/>
        </w:rPr>
        <w:t xml:space="preserve">≥8</w:t>
      </w:r>
      <w:r>
        <w:rPr>
          <w:rFonts w:ascii="宋体" w:hAnsi="宋体" w:eastAsia="宋体" w:cs="Times New Roman"/>
          <w:sz w:val="24"/>
          <w:szCs w:val="24"/>
        </w:rPr>
        <w:t xml:space="preserve">GB</w:t>
      </w:r>
      <w:r>
        <w:rPr>
          <w:rFonts w:hint="eastAsia" w:ascii="宋体" w:hAnsi="宋体" w:eastAsia="宋体" w:cs="Times New Roman"/>
          <w:sz w:val="24"/>
          <w:szCs w:val="24"/>
        </w:rPr>
        <w:t xml:space="preserve">；</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存储内存≥1T；</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操作系统与设备软件兼容（如Windows 10或以上）；</w:t>
      </w:r>
      <w:r/>
    </w:p>
    <w:p>
      <w:pPr>
        <w:numPr>
          <w:ilvl w:val="1"/>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显示器尺寸≥</w:t>
      </w:r>
      <w:r>
        <w:rPr>
          <w:rFonts w:hint="eastAsia" w:ascii="宋体" w:hAnsi="宋体" w:eastAsia="宋体" w:cs="Times New Roman"/>
          <w:sz w:val="24"/>
          <w:szCs w:val="24"/>
        </w:rPr>
        <w:t xml:space="preserve">24</w:t>
      </w:r>
      <w:r>
        <w:rPr>
          <w:rFonts w:ascii="宋体" w:hAnsi="宋体" w:eastAsia="宋体" w:cs="Times New Roman"/>
          <w:sz w:val="24"/>
          <w:szCs w:val="24"/>
        </w:rPr>
        <w:t xml:space="preserve">寸，图像分辨率≥</w:t>
      </w:r>
      <w:r>
        <w:rPr>
          <w:rFonts w:hint="eastAsia" w:ascii="宋体" w:hAnsi="宋体" w:eastAsia="宋体" w:cs="Times New Roman"/>
          <w:sz w:val="24"/>
          <w:szCs w:val="24"/>
        </w:rPr>
        <w:t xml:space="preserve">1920×1080。</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★通道</w:t>
      </w:r>
      <w:r>
        <w:rPr>
          <w:rFonts w:ascii="宋体" w:hAnsi="宋体" w:eastAsia="宋体" w:cs="Times New Roman"/>
          <w:sz w:val="24"/>
          <w:szCs w:val="24"/>
        </w:rPr>
        <w:t xml:space="preserve">数要求</w:t>
      </w:r>
      <w:r>
        <w:rPr>
          <w:rFonts w:ascii="宋体" w:hAnsi="宋体" w:eastAsia="宋体" w:cs="Times New Roman"/>
          <w:sz w:val="24"/>
          <w:szCs w:val="24"/>
        </w:rPr>
        <w:t xml:space="preserve">为：32通道输入</w:t>
      </w:r>
      <w:r>
        <w:rPr>
          <w:rFonts w:hint="eastAsia" w:ascii="宋体" w:hAnsi="宋体" w:eastAsia="宋体" w:cs="Times New Roman"/>
          <w:sz w:val="24"/>
          <w:szCs w:val="24"/>
        </w:rPr>
        <w:t xml:space="preserve">或</w:t>
      </w:r>
      <w:r>
        <w:rPr>
          <w:rFonts w:ascii="宋体" w:hAnsi="宋体" w:eastAsia="宋体" w:cs="Times New Roman"/>
          <w:sz w:val="24"/>
          <w:szCs w:val="24"/>
        </w:rPr>
        <w:t xml:space="preserve">以上</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前置放大盒放大器支持多个通道集合成为一个输出端口与耗材相连。</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支持采集电极快速连接，或提供等效功能。</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★要求脑电术中监测（EEG）至少具备：</w:t>
      </w:r>
      <w:r>
        <w:rPr>
          <w:rFonts w:ascii="宋体" w:hAnsi="宋体" w:eastAsia="宋体" w:cs="Times New Roman"/>
          <w:sz w:val="24"/>
          <w:szCs w:val="24"/>
        </w:rPr>
        <w:t xml:space="preserve">缩</w:t>
      </w:r>
      <w:r>
        <w:rPr>
          <w:rFonts w:ascii="宋体" w:hAnsi="宋体" w:eastAsia="宋体" w:cs="Times New Roman"/>
          <w:sz w:val="24"/>
          <w:szCs w:val="24"/>
        </w:rPr>
        <w:t xml:space="preserve">阵列谱（CSA）、密度阵列谱（DSA）、或彩色密度阵列谱（CDSA）等，能定量测量脑电的爆发抑制比、功率谱、波幅、频谱峰值、不对称性和相干函数等</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术</w:t>
      </w:r>
      <w:r>
        <w:rPr>
          <w:rFonts w:hint="eastAsia" w:ascii="宋体" w:hAnsi="宋体" w:eastAsia="宋体" w:cs="Times New Roman"/>
          <w:sz w:val="24"/>
          <w:szCs w:val="24"/>
        </w:rPr>
        <w:t xml:space="preserve">中脑电</w:t>
      </w:r>
      <w:r>
        <w:rPr>
          <w:rFonts w:hint="eastAsia" w:ascii="宋体" w:hAnsi="宋体" w:eastAsia="宋体" w:cs="Times New Roman"/>
          <w:sz w:val="24"/>
          <w:szCs w:val="24"/>
        </w:rPr>
        <w:t xml:space="preserve">监测操作界面应与专业脑电图操作界面功能相当，支持采集脑电图同时实时回放。</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★要求肌电图术中监护至少具备：自发肌电图</w:t>
      </w:r>
      <w:r>
        <w:rPr>
          <w:rFonts w:hint="eastAsia" w:ascii="宋体" w:hAnsi="宋体" w:eastAsia="宋体" w:cs="Times New Roman"/>
          <w:sz w:val="24"/>
          <w:szCs w:val="24"/>
        </w:rPr>
        <w:t xml:space="preserve">（</w:t>
      </w:r>
      <w:r>
        <w:rPr>
          <w:rFonts w:ascii="宋体" w:hAnsi="宋体" w:eastAsia="宋体" w:cs="Times New Roman"/>
          <w:sz w:val="24"/>
          <w:szCs w:val="24"/>
        </w:rPr>
        <w:t xml:space="preserve">Free EMG</w:t>
      </w:r>
      <w:r>
        <w:rPr>
          <w:rFonts w:hint="eastAsia" w:ascii="宋体" w:hAnsi="宋体" w:eastAsia="宋体" w:cs="Times New Roman"/>
          <w:sz w:val="24"/>
          <w:szCs w:val="24"/>
        </w:rPr>
        <w:t xml:space="preserve">）</w:t>
      </w:r>
      <w:r>
        <w:rPr>
          <w:rFonts w:ascii="宋体" w:hAnsi="宋体" w:eastAsia="宋体" w:cs="Times New Roman"/>
          <w:sz w:val="24"/>
          <w:szCs w:val="24"/>
        </w:rPr>
        <w:t xml:space="preserve">，触发肌电图</w:t>
      </w:r>
      <w:r>
        <w:rPr>
          <w:rFonts w:hint="eastAsia" w:ascii="宋体" w:hAnsi="宋体" w:eastAsia="宋体" w:cs="Times New Roman"/>
          <w:sz w:val="24"/>
          <w:szCs w:val="24"/>
        </w:rPr>
        <w:t xml:space="preserve">（</w:t>
      </w:r>
      <w:r>
        <w:rPr>
          <w:rFonts w:ascii="宋体" w:hAnsi="宋体" w:eastAsia="宋体" w:cs="Times New Roman"/>
          <w:sz w:val="24"/>
          <w:szCs w:val="24"/>
        </w:rPr>
        <w:t xml:space="preserve">Triggered EMG</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要求诱发电位术中监护至少具备：运动诱发电</w:t>
      </w:r>
      <w:r>
        <w:rPr>
          <w:rFonts w:ascii="宋体" w:hAnsi="宋体" w:eastAsia="宋体" w:cs="Times New Roman"/>
          <w:sz w:val="24"/>
          <w:szCs w:val="24"/>
        </w:rPr>
        <w:t xml:space="preserve">TceMEP</w:t>
      </w:r>
      <w:r>
        <w:rPr>
          <w:rFonts w:ascii="宋体" w:hAnsi="宋体" w:eastAsia="宋体" w:cs="Times New Roman"/>
          <w:sz w:val="24"/>
          <w:szCs w:val="24"/>
        </w:rPr>
        <w:t xml:space="preserve">、体感诱发电位SEP、听觉诱发电位AEP、视觉诱发电位VEP、</w:t>
      </w:r>
      <w:r>
        <w:rPr>
          <w:rFonts w:ascii="宋体" w:hAnsi="宋体" w:eastAsia="宋体" w:cs="Times New Roman"/>
          <w:sz w:val="24"/>
          <w:szCs w:val="24"/>
        </w:rPr>
        <w:t xml:space="preserve">肌松测试</w:t>
      </w:r>
      <w:r>
        <w:rPr>
          <w:rFonts w:ascii="宋体" w:hAnsi="宋体" w:eastAsia="宋体" w:cs="Times New Roman"/>
          <w:sz w:val="24"/>
          <w:szCs w:val="24"/>
        </w:rPr>
        <w:t xml:space="preserve">TOF等功能</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（需提供相关佐证材料）</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要求具备刺激电极脱落自动报警功能</w:t>
      </w:r>
      <w:r>
        <w:rPr>
          <w:rFonts w:hint="eastAsia" w:ascii="宋体" w:hAnsi="宋体" w:eastAsia="宋体" w:cs="Times New Roman"/>
          <w:sz w:val="24"/>
          <w:szCs w:val="24"/>
        </w:rPr>
        <w:t xml:space="preserve">。</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要求具备监测的数据超出预警范围，仪器自动发出声音预警功能</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要求实时显示波形数据至少包含：</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数据的绝对值；</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每个波形与基线的差值；</w:t>
      </w:r>
      <w:r/>
    </w:p>
    <w:p>
      <w:pPr>
        <w:numPr>
          <w:ilvl w:val="1"/>
          <w:numId w:val="37"/>
        </w:num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每个波形与基线的百分比值。</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大脑皮层刺激功能：皮层反转，用于脑功能区定位。</w:t>
      </w:r>
      <w:r/>
    </w:p>
    <w:p>
      <w:pPr>
        <w:numPr>
          <w:ilvl w:val="0"/>
          <w:numId w:val="37"/>
        </w:numPr>
        <w:spacing w:line="400" w:lineRule="exact"/>
        <w:rPr>
          <w:rFonts w:ascii="宋体" w:hAnsi="宋体" w:eastAsia="宋体" w:cs="Times New Roman"/>
          <w:sz w:val="24"/>
          <w:szCs w:val="24"/>
        </w:rPr>
      </w:pPr>
      <w:r>
        <w:rPr>
          <w:rFonts w:ascii="宋体" w:hAnsi="宋体" w:eastAsia="宋体" w:cs="Times New Roman"/>
          <w:sz w:val="24"/>
          <w:szCs w:val="24"/>
        </w:rPr>
        <w:t xml:space="preserve">▲视频同步监测功能</w:t>
      </w:r>
      <w:r>
        <w:rPr>
          <w:rFonts w:hint="eastAsia" w:ascii="宋体" w:hAnsi="宋体" w:eastAsia="宋体" w:cs="Times New Roman"/>
          <w:sz w:val="24"/>
          <w:szCs w:val="24"/>
        </w:rPr>
        <w:t xml:space="preserve">：</w:t>
      </w:r>
      <w:r>
        <w:rPr>
          <w:rFonts w:ascii="宋体" w:hAnsi="宋体" w:eastAsia="宋体" w:cs="Times New Roman"/>
          <w:sz w:val="24"/>
          <w:szCs w:val="24"/>
        </w:rPr>
        <w:t xml:space="preserve">可同步显示显微镜视频、摄像头视频以及其他影像输出视频，有助于提高操作者的报警准确度。</w:t>
      </w:r>
      <w:r>
        <w:rPr>
          <w:rFonts w:hint="eastAsia" w:ascii="宋体" w:hAnsi="宋体" w:eastAsia="宋体" w:cs="Times New Roman"/>
          <w:b/>
          <w:sz w:val="24"/>
          <w:szCs w:val="24"/>
        </w:rPr>
        <w:t xml:space="preserve">（需提供相关佐证材料）</w:t>
      </w:r>
      <w:r/>
    </w:p>
    <w:p>
      <w:pPr>
        <w:ind w:left="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其中打</w:t>
      </w:r>
      <w:r>
        <w:rPr>
          <w:rFonts w:hint="eastAsia" w:ascii="宋体" w:hAnsi="宋体" w:eastAsia="宋体" w:cs="宋体"/>
          <w:b/>
          <w:bCs/>
          <w:sz w:val="24"/>
          <w:szCs w:val="24"/>
        </w:rPr>
        <w:t xml:space="preserve">“★”项为实质性要求，有一项负偏离将作为无效投标；打“▲”项为重要指标项。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未按要求提供佐证材料的视为负偏离，佐证材料可为产品注册证、有效检测报告、官方使用说明书、产品铭牌、实物照片、功能界面截图等。</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2、投标产品属于医疗器械注册范畴的，须提供《医疗器械注册证》。（扫描件）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Times New Roman"/>
          <w:sz w:val="24"/>
          <w:szCs w:val="24"/>
        </w:rPr>
        <w:t xml:space="preserve">4、所投产品技术参数单位与采购文件不一致的由投标供应商自行换算成与采购文件一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5、如中标单位供货产品的技术参数与“投标文件技术规范描述”不符，则按“提供虚假材料谋取中标”处理。</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四、交货时间和地点：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交货时间：签订合同后</w:t>
      </w:r>
      <w:r>
        <w:rPr>
          <w:rFonts w:hint="eastAsia" w:ascii="宋体" w:hAnsi="宋体" w:eastAsia="宋体" w:cs="Times New Roman"/>
          <w:sz w:val="24"/>
          <w:szCs w:val="24"/>
          <w:u w:val="single"/>
        </w:rPr>
        <w:t xml:space="preserve">30</w:t>
      </w:r>
      <w:r>
        <w:rPr>
          <w:rFonts w:hint="eastAsia" w:ascii="宋体" w:hAnsi="宋体" w:eastAsia="宋体" w:cs="Times New Roman"/>
          <w:sz w:val="24"/>
          <w:szCs w:val="24"/>
        </w:rPr>
        <w:t xml:space="preserve">天内。（各供应商报出最早交货期限）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交货地点：江阴市人民医院。</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五、安装及验收：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3、提供设备的出厂检验报告、合格证书、装箱单，并且预先提供验收标准，填写验收报告书，供双方最终确认所用。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4、设备安装后，按国际和国家标准及厂方标准进行质量验收。卖方应向买方提供详细的验收标准，验收专用仪器，并承担相关费用。</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六、技术培训：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1、卖方技术人员必须免费对安装、调试、操作、维修、保养等事项向买方作现场技术培训，提供必要次数厂家</w:t>
      </w:r>
      <w:r>
        <w:rPr>
          <w:rFonts w:hint="eastAsia" w:ascii="宋体" w:hAnsi="宋体" w:eastAsia="宋体" w:cs="Times New Roman"/>
          <w:sz w:val="24"/>
          <w:szCs w:val="24"/>
        </w:rPr>
        <w:t xml:space="preserve">工程师跟台服务</w:t>
      </w:r>
      <w:r>
        <w:rPr>
          <w:rFonts w:hint="eastAsia" w:ascii="宋体" w:hAnsi="宋体" w:eastAsia="宋体" w:cs="Times New Roman"/>
          <w:sz w:val="24"/>
          <w:szCs w:val="24"/>
        </w:rPr>
        <w:t xml:space="preserve">，保证使用人员正常操作设备的各种功能。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2、根据设备技术要求，向买方提供使用人员的集中培训。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3、如买方需将该设备联入内部网络或外部网络（LIS,HIS,PACS等系统），卖方必须承担所有相关费用（</w:t>
      </w:r>
      <w:r>
        <w:rPr>
          <w:rFonts w:hint="eastAsia" w:ascii="宋体" w:hAnsi="宋体" w:eastAsia="宋体" w:cs="Times New Roman"/>
          <w:sz w:val="24"/>
          <w:szCs w:val="24"/>
        </w:rPr>
        <w:t xml:space="preserve">含开放</w:t>
      </w:r>
      <w:r>
        <w:rPr>
          <w:rFonts w:hint="eastAsia" w:ascii="宋体" w:hAnsi="宋体" w:eastAsia="宋体" w:cs="Times New Roman"/>
          <w:sz w:val="24"/>
          <w:szCs w:val="24"/>
        </w:rPr>
        <w:t xml:space="preserve">端口费用）并提供技术支持。</w:t>
      </w:r>
      <w:r/>
    </w:p>
    <w:p>
      <w:pPr>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七、备件和资料：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1、为保证设备正常运行,卖方应在中国境内设置备件库,存入所有必须的备件,并保证10年以上的供应期。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2、专用工具：卖方向买方提供设备维护的专用工具。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如后期涉及到软件重装或升级，终身免费</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八、质量保证及售后服务：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1、投标方</w:t>
      </w:r>
      <w:r>
        <w:rPr>
          <w:rFonts w:hint="eastAsia" w:ascii="宋体" w:hAnsi="宋体" w:eastAsia="宋体" w:cs="Times New Roman"/>
          <w:b/>
          <w:sz w:val="24"/>
          <w:szCs w:val="24"/>
        </w:rPr>
        <w:t xml:space="preserve">须在投标文件中注明所投产品说明书或质量保修卡等其他</w:t>
      </w:r>
      <w:r>
        <w:rPr>
          <w:rFonts w:hint="eastAsia" w:ascii="宋体" w:hAnsi="宋体" w:eastAsia="宋体" w:cs="Times New Roman"/>
          <w:b/>
          <w:sz w:val="24"/>
          <w:szCs w:val="24"/>
        </w:rPr>
        <w:t xml:space="preserve">随设备</w:t>
      </w:r>
      <w:r>
        <w:rPr>
          <w:rFonts w:hint="eastAsia" w:ascii="宋体" w:hAnsi="宋体" w:eastAsia="宋体" w:cs="Times New Roman"/>
          <w:b/>
          <w:sz w:val="24"/>
          <w:szCs w:val="24"/>
        </w:rPr>
        <w:t xml:space="preserve">出厂资料的原厂质保期限</w:t>
      </w:r>
      <w:r>
        <w:rPr>
          <w:rFonts w:hint="eastAsia" w:ascii="宋体" w:hAnsi="宋体" w:eastAsia="宋体" w:cs="Times New Roman"/>
          <w:sz w:val="24"/>
          <w:szCs w:val="24"/>
        </w:rPr>
        <w:t xml:space="preserve">，至少1年（合同签订后采购方货物开箱验收时与产品说明书或质量保修卡等其他</w:t>
      </w:r>
      <w:r>
        <w:rPr>
          <w:rFonts w:hint="eastAsia" w:ascii="宋体" w:hAnsi="宋体" w:eastAsia="宋体" w:cs="Times New Roman"/>
          <w:sz w:val="24"/>
          <w:szCs w:val="24"/>
        </w:rPr>
        <w:t xml:space="preserve">随设备</w:t>
      </w:r>
      <w:r>
        <w:rPr>
          <w:rFonts w:hint="eastAsia" w:ascii="宋体" w:hAnsi="宋体" w:eastAsia="宋体" w:cs="Times New Roman"/>
          <w:sz w:val="24"/>
          <w:szCs w:val="24"/>
        </w:rPr>
        <w:t xml:space="preserve">出厂的资料进行核对）。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2、质保期内每年保养≥4次，按“12个月/保养次数”作为最大保养间隔时间，按产品说明书要求执行保养。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4、要求具备客户服务专线电话，接医院报修电话须0.5小时内给予明确答复，并在24小时内赶到现场维修，单次故障最长修复时间在2日之内。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5、要求保证开机率≥96%（按一年365天），全年停机日期不超过14天，若开机率 ＜ 96%，每停机1天则保修期延长7天。</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九、付款方式：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分两期付款</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第1期：</w:t>
      </w:r>
      <w:r>
        <w:rPr>
          <w:rFonts w:ascii="宋体" w:hAnsi="宋体" w:eastAsia="宋体" w:cs="Times New Roman"/>
          <w:sz w:val="24"/>
          <w:szCs w:val="24"/>
        </w:rPr>
        <w:t xml:space="preserve">全部设备到货后，由买方逐一清点无误，与合同规定相符；设备软、硬件安装完毕，系统工作稳定，无故障，由买方组织验收，符合</w:t>
      </w:r>
      <w:r>
        <w:rPr>
          <w:rFonts w:hint="eastAsia" w:ascii="宋体" w:hAnsi="宋体" w:eastAsia="宋体" w:cs="Times New Roman"/>
          <w:sz w:val="24"/>
          <w:szCs w:val="24"/>
        </w:rPr>
        <w:t xml:space="preserve">招标文件及合同要求</w:t>
      </w:r>
      <w:r>
        <w:rPr>
          <w:rFonts w:ascii="宋体" w:hAnsi="宋体" w:eastAsia="宋体" w:cs="Times New Roman"/>
          <w:sz w:val="24"/>
          <w:szCs w:val="24"/>
        </w:rPr>
        <w:t xml:space="preserve">，正常运行满1个月后，</w:t>
      </w:r>
      <w:r>
        <w:rPr>
          <w:rFonts w:hint="eastAsia" w:ascii="宋体" w:hAnsi="宋体" w:eastAsia="宋体" w:cs="Times New Roman"/>
          <w:sz w:val="24"/>
          <w:szCs w:val="24"/>
        </w:rPr>
        <w:t xml:space="preserve">由买方组织验收合格签字后，买方</w:t>
      </w:r>
      <w:r>
        <w:rPr>
          <w:rFonts w:ascii="宋体" w:hAnsi="宋体" w:eastAsia="宋体" w:cs="Times New Roman"/>
          <w:sz w:val="24"/>
          <w:szCs w:val="24"/>
        </w:rPr>
        <w:t xml:space="preserve">将在10个工作日内支付合同总价的</w:t>
      </w:r>
      <w:r>
        <w:rPr>
          <w:rFonts w:hint="eastAsia" w:ascii="宋体" w:hAnsi="宋体" w:eastAsia="宋体" w:cs="Times New Roman"/>
          <w:sz w:val="24"/>
          <w:szCs w:val="24"/>
        </w:rPr>
        <w:t xml:space="preserve">80</w:t>
      </w:r>
      <w:r>
        <w:rPr>
          <w:rFonts w:ascii="宋体" w:hAnsi="宋体" w:eastAsia="宋体" w:cs="Times New Roman"/>
          <w:sz w:val="24"/>
          <w:szCs w:val="24"/>
        </w:rPr>
        <w:t xml:space="preserve">%。</w:t>
      </w:r>
      <w:r>
        <w:rPr>
          <w:rFonts w:ascii="宋体" w:hAnsi="宋体" w:eastAsia="宋体" w:cs="Times New Roman"/>
          <w:sz w:val="24"/>
          <w:szCs w:val="24"/>
        </w:rPr>
        <w:br/>
      </w:r>
      <w:r>
        <w:rPr>
          <w:rFonts w:hint="eastAsia" w:ascii="宋体" w:hAnsi="宋体" w:eastAsia="宋体" w:cs="Times New Roman"/>
          <w:sz w:val="24"/>
          <w:szCs w:val="24"/>
        </w:rPr>
        <w:t xml:space="preserve">    </w:t>
      </w:r>
      <w:r>
        <w:rPr>
          <w:rFonts w:ascii="宋体" w:hAnsi="宋体" w:eastAsia="宋体" w:cs="Times New Roman"/>
          <w:sz w:val="24"/>
          <w:szCs w:val="24"/>
        </w:rPr>
        <w:t xml:space="preserve">2、</w:t>
      </w:r>
      <w:r>
        <w:rPr>
          <w:rFonts w:hint="eastAsia" w:ascii="宋体" w:hAnsi="宋体" w:eastAsia="宋体" w:cs="Times New Roman"/>
          <w:sz w:val="24"/>
          <w:szCs w:val="24"/>
        </w:rPr>
        <w:t xml:space="preserve">第2期：验收合格</w:t>
      </w:r>
      <w:r>
        <w:rPr>
          <w:rFonts w:ascii="宋体" w:hAnsi="宋体" w:eastAsia="宋体" w:cs="Times New Roman"/>
          <w:sz w:val="24"/>
          <w:szCs w:val="24"/>
        </w:rPr>
        <w:t xml:space="preserve">满</w:t>
      </w:r>
      <w:r>
        <w:rPr>
          <w:rFonts w:hint="eastAsia" w:ascii="宋体" w:hAnsi="宋体" w:eastAsia="宋体" w:cs="Times New Roman"/>
          <w:sz w:val="24"/>
          <w:szCs w:val="24"/>
        </w:rPr>
        <w:t xml:space="preserve">12</w:t>
      </w:r>
      <w:r>
        <w:rPr>
          <w:rFonts w:ascii="宋体" w:hAnsi="宋体" w:eastAsia="宋体" w:cs="Times New Roman"/>
          <w:sz w:val="24"/>
          <w:szCs w:val="24"/>
        </w:rPr>
        <w:t xml:space="preserve">个月，</w:t>
      </w:r>
      <w:r>
        <w:rPr>
          <w:rFonts w:hint="eastAsia" w:ascii="宋体" w:hAnsi="宋体" w:eastAsia="宋体" w:cs="Times New Roman"/>
          <w:sz w:val="24"/>
          <w:szCs w:val="24"/>
        </w:rPr>
        <w:t xml:space="preserve">买方</w:t>
      </w:r>
      <w:r>
        <w:rPr>
          <w:rFonts w:ascii="宋体" w:hAnsi="宋体" w:eastAsia="宋体" w:cs="Times New Roman"/>
          <w:sz w:val="24"/>
          <w:szCs w:val="24"/>
        </w:rPr>
        <w:t xml:space="preserve">将在</w:t>
      </w:r>
      <w:r>
        <w:rPr>
          <w:rFonts w:hint="eastAsia" w:ascii="宋体" w:hAnsi="宋体" w:eastAsia="宋体" w:cs="Times New Roman"/>
          <w:sz w:val="24"/>
          <w:szCs w:val="24"/>
        </w:rPr>
        <w:t xml:space="preserve">一个月</w:t>
      </w:r>
      <w:r>
        <w:rPr>
          <w:rFonts w:ascii="宋体" w:hAnsi="宋体" w:eastAsia="宋体" w:cs="Times New Roman"/>
          <w:sz w:val="24"/>
          <w:szCs w:val="24"/>
        </w:rPr>
        <w:t xml:space="preserve">内付</w:t>
      </w:r>
      <w:r>
        <w:rPr>
          <w:rFonts w:hint="eastAsia" w:ascii="宋体" w:hAnsi="宋体" w:eastAsia="宋体" w:cs="Times New Roman"/>
          <w:sz w:val="24"/>
          <w:szCs w:val="24"/>
        </w:rPr>
        <w:t xml:space="preserve">清余款</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十、有关说明：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1、公开招标为一次性报价，投标单位所报内容必须完整，不得漏项。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2、投标报价包括应包括产品、税金、包装、运费、仓储、质量检验、技术指导、验收、售后服务费、安装、培训等所有费用。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产品质量必须符合《中华人民共和国国家标准》及我国最新颁布的与之相关的技术规范与正宗合格产品标准，同时必须满足招标书中所列全部规格、条件及要求和卖方承诺的其它指标；产品质量出现问题，卖方负责包退、包换，费用由卖方负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5、供应商若非投标产品原厂家的，成交后签订合同时须提供该产品原厂家（或驻中国办事机构）出具的有效的经销授权书</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7、江阴市政府采购中心对本次招标结果不作任何解释</w:t>
      </w:r>
      <w:r>
        <w:rPr>
          <w:rFonts w:hint="eastAsia" w:ascii="宋体" w:hAnsi="宋体" w:eastAsia="宋体" w:cs="Times New Roman"/>
          <w:sz w:val="24"/>
          <w:szCs w:val="24"/>
        </w:rPr>
        <w:t xml:space="preserve">。</w:t>
      </w:r>
      <w:bookmarkEnd w:id="12"/>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pStyle w:val="935"/>
      </w:pPr>
      <w:r/>
      <w:bookmarkStart w:id="13" w:name="_Toc201302572"/>
      <w:r>
        <w:rPr>
          <w:rFonts w:hint="eastAsia"/>
        </w:rPr>
        <w:t xml:space="preserve">第四章　</w:t>
      </w:r>
      <w:r>
        <w:rPr>
          <w:rFonts w:hint="eastAsia"/>
        </w:rPr>
        <w:t xml:space="preserve">评标方法和评标标准</w:t>
      </w:r>
      <w:bookmarkEnd w:id="13"/>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jc w:val="lef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本次评审采用综合评标法，</w:t>
      </w:r>
      <w:r>
        <w:rPr>
          <w:rFonts w:ascii="宋体" w:hAnsi="宋体" w:eastAsia="宋体" w:cs="Times New Roman"/>
          <w:sz w:val="24"/>
          <w:szCs w:val="24"/>
        </w:rPr>
        <w:t xml:space="preserve">是指投标文件满足招标文件全部实质性要求，</w:t>
      </w:r>
      <w:r>
        <w:rPr>
          <w:rFonts w:ascii="宋体" w:hAnsi="宋体" w:eastAsia="宋体" w:cs="Times New Roman"/>
          <w:sz w:val="24"/>
          <w:szCs w:val="24"/>
        </w:rPr>
        <w:t xml:space="preserve">且按照</w:t>
      </w:r>
      <w:r>
        <w:rPr>
          <w:rFonts w:ascii="宋体" w:hAnsi="宋体" w:eastAsia="宋体" w:cs="Times New Roman"/>
          <w:sz w:val="24"/>
          <w:szCs w:val="24"/>
        </w:rPr>
        <w:t xml:space="preserve">评审因素的量化指标评审得分最高的投标人为中标候选人的评标方法</w:t>
      </w:r>
      <w:r>
        <w:rPr>
          <w:rFonts w:hint="eastAsia" w:ascii="宋体" w:hAnsi="宋体" w:eastAsia="宋体" w:cs="Times New Roman"/>
          <w:sz w:val="24"/>
          <w:szCs w:val="24"/>
        </w:rPr>
        <w:t xml:space="preserve">，</w:t>
      </w:r>
      <w:r>
        <w:rPr>
          <w:rFonts w:ascii="宋体" w:hAnsi="宋体" w:eastAsia="宋体" w:cs="Times New Roman"/>
          <w:sz w:val="24"/>
          <w:szCs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注：每部分的得分保留小数点后两位，合计得分保留小数点后两位。</w:t>
      </w:r>
      <w:r/>
    </w:p>
    <w:p>
      <w:pPr>
        <w:jc w:val="left"/>
        <w:spacing w:line="400" w:lineRule="exact"/>
        <w:rPr>
          <w:rFonts w:ascii="宋体" w:hAnsi="宋体" w:eastAsia="宋体" w:cs="Times New Roman"/>
          <w:b/>
          <w:sz w:val="24"/>
          <w:szCs w:val="24"/>
        </w:rPr>
      </w:pPr>
      <w:r>
        <w:rPr>
          <w:rFonts w:ascii="宋体" w:hAnsi="宋体" w:eastAsia="宋体" w:cs="Times New Roman"/>
          <w:b/>
          <w:sz w:val="24"/>
          <w:szCs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rPr>
            </w:pPr>
            <w:r>
              <w:rPr>
                <w:rFonts w:hint="eastAsia" w:ascii="宋体" w:hAnsi="宋体"/>
                <w:sz w:val="24"/>
              </w:rPr>
              <w:t xml:space="preserve">根据所投产品的主要技术指标的性能、技术参数的响应情况进行</w:t>
            </w:r>
            <w:r>
              <w:rPr>
                <w:rFonts w:hint="eastAsia" w:ascii="宋体" w:hAnsi="宋体"/>
                <w:sz w:val="24"/>
              </w:rPr>
              <w:t xml:space="preserve">评审打分</w:t>
            </w:r>
            <w:r>
              <w:rPr>
                <w:rFonts w:hint="eastAsia" w:ascii="宋体" w:hAnsi="宋体"/>
                <w:sz w:val="24"/>
              </w:rPr>
              <w:t xml:space="preserve">，产品符合招标文件要求，无负偏离得40分。打“★”项参数有一项负偏离，则视为无效投标，打“▲”项参数每一项负偏离扣4分，</w:t>
            </w:r>
            <w:r>
              <w:rPr>
                <w:rFonts w:hint="eastAsia" w:ascii="宋体" w:hAnsi="宋体"/>
                <w:sz w:val="24"/>
              </w:rPr>
              <w:t xml:space="preserve">非</w:t>
            </w:r>
            <w:r>
              <w:rPr>
                <w:rFonts w:hint="eastAsia" w:ascii="宋体" w:hAnsi="宋体"/>
                <w:sz w:val="24"/>
              </w:rPr>
              <w:t xml:space="preserve">打“▲”项参数每一项负偏离扣2.5分，扣完为止。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40</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实施方案，包括①包装运输方案、②进度计划、③安装调试流程、④安装调试技术重难点、⑤安装调试人员安排，方案内容描述全面合理符合采购需求的得7.5分，每有一项内容缺失的扣1.5分；每有一项内容存在缺陷或不满足要求的扣</w:t>
            </w:r>
            <w:r>
              <w:rPr>
                <w:rFonts w:hint="eastAsia" w:ascii="宋体" w:hAnsi="宋体" w:cs="宋体"/>
                <w:sz w:val="24"/>
              </w:rPr>
              <w:t xml:space="preserve">1</w:t>
            </w:r>
            <w:r>
              <w:rPr>
                <w:rFonts w:hint="eastAsia" w:ascii="宋体" w:hAnsi="宋体" w:cs="宋体"/>
                <w:sz w:val="24"/>
              </w:rPr>
              <w:t xml:space="preserve">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培训方案</w:t>
            </w:r>
            <w:r>
              <w:rPr>
                <w:rFonts w:hint="eastAsia" w:ascii="宋体" w:hAnsi="宋体" w:cs="宋体"/>
                <w:sz w:val="24"/>
              </w:rPr>
              <w:t xml:space="preserve">，包括①培训内容、</w:t>
            </w:r>
            <w:r>
              <w:rPr>
                <w:rFonts w:hint="eastAsia" w:ascii="宋体" w:hAnsi="宋体" w:cs="宋体"/>
                <w:sz w:val="24"/>
              </w:rPr>
              <w:t xml:space="preserve">②培训人员安排、③培训周期，方案内容描述全面合理符合采购需求的得7.5分，每有一项内容缺失的扣2.5分；每有一项内容存在缺陷或不满足要求的扣1.5分，扣完为止。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7.5</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应急保障方案</w:t>
            </w:r>
            <w:r>
              <w:rPr>
                <w:rFonts w:hint="eastAsia" w:ascii="宋体" w:hAnsi="宋体" w:cs="宋体"/>
                <w:sz w:val="24"/>
              </w:rPr>
              <w:t xml:space="preserve">，包括①</w:t>
            </w:r>
            <w:r>
              <w:rPr>
                <w:rFonts w:hint="eastAsia" w:ascii="宋体" w:hAnsi="宋体"/>
                <w:sz w:val="24"/>
              </w:rPr>
              <w:t xml:space="preserve">应急响应时间及修复时间、</w:t>
            </w:r>
            <w:r>
              <w:rPr>
                <w:rFonts w:hint="eastAsia" w:ascii="宋体" w:hAnsi="宋体" w:cs="宋体"/>
                <w:sz w:val="24"/>
              </w:rPr>
              <w:t xml:space="preserve">②</w:t>
            </w:r>
            <w:r>
              <w:rPr>
                <w:rFonts w:hint="eastAsia" w:ascii="宋体" w:hAnsi="宋体"/>
                <w:sz w:val="24"/>
              </w:rPr>
              <w:t xml:space="preserve">应急保障措施</w:t>
            </w:r>
            <w:r>
              <w:rPr>
                <w:rFonts w:hint="eastAsia" w:ascii="宋体" w:hAnsi="宋体" w:cs="宋体"/>
                <w:sz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w:t>
            </w:r>
            <w:r>
              <w:rPr>
                <w:rFonts w:hint="eastAsia" w:ascii="宋体" w:hAnsi="宋体"/>
                <w:sz w:val="24"/>
              </w:rPr>
              <w:t xml:space="preserve">售后服务方案</w:t>
            </w:r>
            <w:r>
              <w:rPr>
                <w:rFonts w:hint="eastAsia" w:ascii="宋体" w:hAnsi="宋体" w:cs="宋体"/>
                <w:sz w:val="24"/>
              </w:rPr>
              <w:t xml:space="preserve">，包括①售后服务内容、②售后</w:t>
            </w:r>
            <w:r>
              <w:rPr>
                <w:rFonts w:hint="eastAsia" w:ascii="宋体" w:hAnsi="宋体"/>
                <w:sz w:val="24"/>
              </w:rPr>
              <w:t xml:space="preserve">服务</w:t>
            </w:r>
            <w:r>
              <w:rPr>
                <w:rFonts w:hint="eastAsia" w:ascii="宋体" w:hAnsi="宋体" w:cs="宋体"/>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Borders>
              <w:top w:val="single" w:color="auto" w:sz="6" w:space="0"/>
              <w:left w:val="single" w:color="auto" w:sz="8" w:space="0"/>
              <w:right w:val="single" w:color="auto" w:sz="6" w:space="0"/>
            </w:tcBorders>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rPr>
            </w:pPr>
            <w:r>
              <w:rPr>
                <w:rFonts w:hint="eastAsia" w:ascii="宋体" w:hAnsi="宋体"/>
                <w:sz w:val="24"/>
              </w:rPr>
              <w:t xml:space="preserve">2022年1月1日以来（以合同签订时间为准），投标人具有与本项目同类项目的销售业绩的，有一个得1分，最高得5分。</w:t>
            </w:r>
            <w:r>
              <w:rPr>
                <w:rFonts w:hint="eastAsia" w:ascii="宋体" w:hAnsi="宋体"/>
                <w:sz w:val="24"/>
              </w:rPr>
              <w:t xml:space="preserve">【</w:t>
            </w:r>
            <w:r>
              <w:rPr>
                <w:rFonts w:hint="eastAsia" w:ascii="宋体" w:hAnsi="宋体"/>
                <w:sz w:val="24"/>
              </w:rPr>
              <w:t xml:space="preserve">如有多个同型号设备同一个采购人的业绩仅作同一个业绩计算，</w:t>
            </w:r>
            <w:r>
              <w:rPr>
                <w:rFonts w:hint="eastAsia" w:ascii="宋体" w:hAnsi="宋体"/>
                <w:sz w:val="24"/>
              </w:rPr>
              <w:t xml:space="preserve">须</w:t>
            </w:r>
            <w:r>
              <w:rPr>
                <w:rFonts w:hint="eastAsia" w:ascii="宋体" w:hAnsi="宋体"/>
                <w:b/>
                <w:sz w:val="24"/>
              </w:rPr>
              <w:t xml:space="preserve">同时提供</w:t>
            </w:r>
            <w:r>
              <w:rPr>
                <w:rFonts w:hint="eastAsia" w:ascii="宋体" w:hAnsi="宋体"/>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r>
    </w:tbl>
    <w:p>
      <w:pP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935"/>
      </w:pPr>
      <w:r/>
      <w:r/>
    </w:p>
    <w:p>
      <w:pPr>
        <w:pStyle w:val="935"/>
      </w:pPr>
      <w:r/>
      <w:bookmarkStart w:id="14" w:name="_Toc201302573"/>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、乙方所提供的货物的技术规格应与招标文件与投标文件规定的技术规格相一致；若技术性能无特殊说明，则按国家有关部门最新颁布的标准及规范为准。</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 xml:space="preserve">如验收完成后发生质量问题，在质保期内应免费进行维修或更换。对于货物由设计、工艺、或材料的缺陷所发生的任何故障或不足都应终身免费更换。</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ascii="宋体" w:hAnsi="宋体" w:eastAsia="宋体" w:cs="Times New Roman"/>
          <w:sz w:val="24"/>
          <w:szCs w:val="24"/>
        </w:rPr>
        <w:t xml:space="preserve">规</w:t>
      </w:r>
      <w:r>
        <w:rPr>
          <w:rFonts w:ascii="宋体" w:hAnsi="宋体" w:eastAsia="宋体" w:cs="Times New Roman"/>
          <w:sz w:val="24"/>
          <w:szCs w:val="24"/>
        </w:rPr>
        <w:t xml:space="preserve">〔2024〕7号）组织验收，费用由</w:t>
      </w:r>
      <w:r>
        <w:rPr>
          <w:rFonts w:hint="eastAsia" w:ascii="宋体" w:hAnsi="宋体" w:eastAsia="宋体" w:cs="Times New Roman"/>
          <w:sz w:val="24"/>
          <w:szCs w:val="24"/>
        </w:rPr>
        <w:t xml:space="preserve">乙方</w:t>
      </w:r>
      <w:r>
        <w:rPr>
          <w:rFonts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1</w:t>
      </w:r>
      <w:r>
        <w:rPr>
          <w:rFonts w:hint="eastAsia" w:ascii="宋体" w:hAnsi="宋体" w:eastAsia="宋体" w:cs="Times New Roman"/>
          <w:sz w:val="24"/>
          <w:szCs w:val="24"/>
          <w:lang w:val="zh-CN"/>
        </w:rPr>
        <w:t xml:space="preserve">）货物的现场安装、调试、运行、维护等；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t xml:space="preserve">2</w:t>
      </w:r>
      <w:r>
        <w:rPr>
          <w:rFonts w:hint="eastAsia" w:ascii="宋体" w:hAnsi="宋体" w:eastAsia="宋体" w:cs="Times New Roman"/>
          <w:sz w:val="24"/>
          <w:szCs w:val="24"/>
          <w:lang w:val="zh-CN"/>
        </w:rPr>
        <w:t xml:space="preserve">）对甲方人员进行免费培训。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w:t>
      </w:r>
      <w:r>
        <w:rPr>
          <w:rFonts w:ascii="宋体" w:hAnsi="宋体" w:eastAsia="宋体" w:cs="Times New Roman"/>
          <w:sz w:val="24"/>
          <w:szCs w:val="24"/>
          <w:lang w:val="zh-CN"/>
        </w:rPr>
        <w:t xml:space="preserve">8</w:t>
      </w:r>
      <w:r>
        <w:rPr>
          <w:rFonts w:hint="eastAsia" w:ascii="宋体" w:hAnsi="宋体" w:eastAsia="宋体" w:cs="Times New Roman"/>
          <w:sz w:val="24"/>
          <w:szCs w:val="24"/>
          <w:lang w:val="zh-CN"/>
        </w:rPr>
        <w:t xml:space="preserve">工作小时后仍无法排除，乙方应在</w:t>
      </w:r>
      <w:r>
        <w:rPr>
          <w:rFonts w:ascii="宋体" w:hAnsi="宋体" w:eastAsia="宋体" w:cs="Times New Roman"/>
          <w:sz w:val="24"/>
          <w:szCs w:val="24"/>
          <w:lang w:val="zh-CN"/>
        </w:rPr>
        <w:t xml:space="preserve">48</w:t>
      </w:r>
      <w:r>
        <w:rPr>
          <w:rFonts w:hint="eastAsia" w:ascii="宋体" w:hAnsi="宋体" w:eastAsia="宋体" w:cs="Times New Roman"/>
          <w:sz w:val="24"/>
          <w:szCs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2、因履行本合同引起的或与本合同有关的争议，甲、乙双方应首先通过友好协商解决，如果协商不能解决争议，则采取向甲方所在地有管辖权的人民法院提起诉讼的方式解决争议。</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3、在诉讼期间，本合同应继续履行。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outlineLvl w:val="0"/>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935"/>
      </w:pPr>
      <w:r/>
      <w:r/>
    </w:p>
    <w:p>
      <w:pPr>
        <w:pStyle w:val="935"/>
      </w:pPr>
      <w:r/>
      <w:bookmarkStart w:id="16" w:name="_Toc201302574"/>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JSZC-320281-JZCG-G2025-0061</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w:t>
            </w:r>
            <w:r>
              <w:rPr>
                <w:rFonts w:hint="eastAsia" w:ascii="宋体" w:hAnsi="宋体" w:eastAsia="宋体" w:cs="宋体"/>
                <w:sz w:val="24"/>
                <w:szCs w:val="24"/>
              </w:rPr>
              <w:t xml:space="preserve">医院电</w:t>
            </w:r>
            <w:r>
              <w:rPr>
                <w:rFonts w:hint="eastAsia" w:ascii="宋体" w:hAnsi="宋体" w:eastAsia="宋体" w:cs="宋体"/>
                <w:sz w:val="24"/>
                <w:szCs w:val="24"/>
              </w:rPr>
              <w:t xml:space="preserve">生理参数监测</w:t>
            </w:r>
            <w:r>
              <w:rPr>
                <w:rFonts w:hint="eastAsia" w:ascii="宋体" w:hAnsi="宋体" w:eastAsia="宋体" w:cs="宋体"/>
                <w:sz w:val="24"/>
                <w:szCs w:val="24"/>
              </w:rPr>
              <w:t xml:space="preserve">仪项目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2" w:name="_Toc158691783"/>
      <w:r/>
      <w:bookmarkStart w:id="23" w:name="_Toc129333640"/>
      <w:r/>
      <w:bookmarkStart w:id="24"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bookmarkEnd w:id="17"/>
      <w:r/>
      <w:bookmarkEnd w:id="18"/>
      <w:r/>
      <w:bookmarkEnd w:id="22"/>
      <w:r/>
      <w:bookmarkEnd w:id="23"/>
      <w:r/>
      <w:bookmarkEnd w:id="24"/>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ind w:right="147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tbl>
      <w:tblPr>
        <w:tblW w:w="993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513"/>
        <w:gridCol w:w="856"/>
        <w:gridCol w:w="708"/>
        <w:gridCol w:w="709"/>
        <w:gridCol w:w="706"/>
        <w:gridCol w:w="1277"/>
        <w:gridCol w:w="993"/>
        <w:gridCol w:w="1277"/>
        <w:gridCol w:w="851"/>
        <w:gridCol w:w="852"/>
        <w:gridCol w:w="1188"/>
      </w:tblGrid>
      <w:tr>
        <w:trPr>
          <w:jc w:val="center"/>
          <w:trHeight w:val="360"/>
        </w:trPr>
        <w:tc>
          <w:tcPr>
            <w:tcBorders>
              <w:top w:val="single" w:color="000000" w:sz="12"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000000" w:sz="12"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000000" w:sz="12"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000000" w:sz="12"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000000" w:sz="12"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p>
        </w:tc>
        <w:tc>
          <w:tcPr>
            <w:tcBorders>
              <w:top w:val="single" w:color="000000" w:sz="12"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000000" w:sz="12"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000000" w:sz="12"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000000" w:sz="12"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000000" w:sz="12"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000000" w:sz="12"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407"/>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300"/>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6"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6"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6"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000000" w:sz="6" w:space="0"/>
              <w:left w:val="single" w:color="000000" w:sz="12" w:space="0"/>
              <w:bottom w:val="single" w:color="000000" w:sz="12" w:space="0"/>
              <w:right w:val="single" w:color="000000"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12" w:space="0"/>
              <w:right w:val="single" w:color="000000"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4" w:space="0"/>
              <w:bottom w:val="single" w:color="000000" w:sz="12" w:space="0"/>
              <w:right w:val="single" w:color="000000"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000000" w:sz="6" w:space="0"/>
              <w:left w:val="single" w:color="000000" w:sz="6" w:space="0"/>
              <w:bottom w:val="single" w:color="000000" w:sz="12" w:space="0"/>
              <w:right w:val="single" w:color="000000"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注：1、所报产品的各项指标必须等于或大于采购文件需求中所列要求。</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3、本表可根据需要自行添行。</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4、因表述含糊导致的评审风险将由投标人承担。（必须详细填写品牌、型号、规格。）</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项目实施方案及需要说明的其他内容</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1、投标人对该项目招标文件中提出的采购需求提供具体的项目实施方案：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（1）设备安装调试方案；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（2）售后服务、培训方案；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（3）人员配置方案；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（4）其他方案等。</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2、投标人认为需要加以说明的其他内容，格式自定。</w:t>
      </w:r>
      <w:r/>
    </w:p>
    <w:p>
      <w:pPr>
        <w:jc w:val="center"/>
        <w:spacing w:line="36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八、关于资格的声明函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中小企业声明函（货物）</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江阴市人民医院电生理参数监测仪项目</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rPr>
        <w:t xml:space="preserve"> </w:t>
      </w:r>
      <w:r>
        <w:rPr>
          <w:rFonts w:hint="eastAsia" w:ascii="宋体" w:hAnsi="宋体" w:eastAsia="宋体" w:cs="仿宋"/>
          <w:sz w:val="24"/>
          <w:szCs w:val="24"/>
          <w:u w:val="single"/>
        </w:rPr>
        <w:t xml:space="preserve">电生理参数监测仪</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仿宋">
    <w:panose1 w:val="02010609060101010101"/>
  </w:font>
  <w:font w:name="Batang">
    <w:panose1 w:val="02010600040101010101"/>
  </w:font>
  <w:font w:name="Calibri">
    <w:panose1 w:val="020F050202020403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49"/>
          <w:jc w:val="center"/>
        </w:pPr>
        <w:r>
          <w:fldChar w:fldCharType="begin"/>
        </w:r>
        <w:r>
          <w:instrText xml:space="preserve">PAGE   \* MERGEFORMAT</w:instrText>
        </w:r>
        <w:r>
          <w:fldChar w:fldCharType="separate"/>
        </w:r>
        <w:r>
          <w:rPr>
            <w:lang w:val="zh-CN"/>
          </w:rPr>
          <w:t xml:space="preserve">-</w:t>
        </w:r>
        <w:r>
          <w:t xml:space="preserve"> 10 -</w:t>
        </w:r>
        <w:r>
          <w:fldChar w:fldCharType="end"/>
        </w:r>
        <w:r/>
      </w:p>
    </w:sdtContent>
  </w:sdt>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JSZC-320281-JZCG-G2025-00</w:t>
    </w:r>
    <w:r>
      <w:rPr>
        <w:rFonts w:hint="eastAsia" w:ascii="黑体" w:hAnsi="黑体" w:eastAsia="黑体" w:cs="Times New Roman"/>
        <w:bCs/>
        <w:sz w:val="16"/>
        <w:szCs w:val="18"/>
      </w:rPr>
      <w:t xml:space="preserve">61</w:t>
    </w:r>
    <w:r>
      <w:rPr>
        <w:rFonts w:hint="eastAsia" w:ascii="黑体" w:hAnsi="黑体" w:eastAsia="黑体" w:cs="Times New Roman"/>
        <w:bCs/>
        <w:sz w:val="16"/>
        <w:szCs w:val="18"/>
      </w:rPr>
      <w:t xml:space="preserve">江阴市人民</w:t>
    </w:r>
    <w:r>
      <w:rPr>
        <w:rFonts w:hint="eastAsia" w:ascii="黑体" w:hAnsi="黑体" w:eastAsia="黑体" w:cs="Times New Roman"/>
        <w:bCs/>
        <w:sz w:val="16"/>
        <w:szCs w:val="18"/>
      </w:rPr>
      <w:t xml:space="preserve">医院电</w:t>
    </w:r>
    <w:r>
      <w:rPr>
        <w:rFonts w:hint="eastAsia" w:ascii="黑体" w:hAnsi="黑体" w:eastAsia="黑体" w:cs="Times New Roman"/>
        <w:bCs/>
        <w:sz w:val="16"/>
        <w:szCs w:val="18"/>
      </w:rPr>
      <w:t xml:space="preserve">生理参数监测</w:t>
    </w:r>
    <w:r>
      <w:rPr>
        <w:rFonts w:hint="eastAsia" w:ascii="黑体" w:hAnsi="黑体" w:eastAsia="黑体" w:cs="Times New Roman"/>
        <w:bCs/>
        <w:sz w:val="16"/>
        <w:szCs w:val="18"/>
      </w:rPr>
      <w:t xml:space="preserve">仪项目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874"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8">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space"/>
      <w:lvlText w:val="%1.%2."/>
      <w:lvlJc w:val="left"/>
      <w:pPr>
        <w:ind w:left="0" w:firstLine="283"/>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6">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8.%2、"/>
      <w:lvlJc w:val="left"/>
      <w:pPr>
        <w:ind w:left="567" w:hanging="567"/>
      </w:pPr>
      <w:rPr>
        <w:rFonts w:hint="default" w:ascii="宋体" w:hAnsi="宋体" w:eastAsia="宋体" w:cs="宋体"/>
      </w:rPr>
    </w:lvl>
    <w:lvl w:ilvl="2">
      <w:start w:val="1"/>
      <w:numFmt w:val="decimal"/>
      <w:isLgl w:val="false"/>
      <w:suff w:val="nothing"/>
      <w:lvlText w:val="8.%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EnclosedCircleChinese"/>
      <w:isLgl w:val="false"/>
      <w:suff w:val="nothing"/>
      <w:lvlText w:val="%1　"/>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9"/>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nothing"/>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2">
    <w:multiLevelType w:val="hybridMultilevel"/>
    <w:lvl w:ilvl="0">
      <w:start w:val="1"/>
      <w:numFmt w:val="decimal"/>
      <w:isLgl w:val="false"/>
      <w:suff w:val="nothing"/>
      <w:lvlText w:val="%1."/>
      <w:lvlJc w:val="left"/>
      <w:pPr>
        <w:ind w:left="0" w:firstLine="480"/>
      </w:pPr>
      <w:rPr>
        <w:rFonts w:hint="default"/>
      </w:rPr>
    </w:lvl>
    <w:lvl w:ilvl="1">
      <w:start w:val="1"/>
      <w:numFmt w:val="decimal"/>
      <w:isLgl w:val="false"/>
      <w:suff w:val="space"/>
      <w:lvlText w:val="%1.%2."/>
      <w:lvlJc w:val="left"/>
      <w:pPr>
        <w:ind w:left="0" w:firstLine="567"/>
      </w:pPr>
      <w:rPr>
        <w:rFonts w:hint="default"/>
      </w:rPr>
    </w:lvl>
    <w:lvl w:ilvl="2">
      <w:start w:val="1"/>
      <w:numFmt w:val="decimal"/>
      <w:isLgl w:val="false"/>
      <w:suff w:val="space"/>
      <w:lvlText w:val="%1.%2.%3."/>
      <w:lvlJc w:val="left"/>
      <w:pPr>
        <w:ind w:left="0" w:firstLine="567"/>
      </w:pPr>
      <w:rPr>
        <w:rFonts w:hint="default"/>
      </w:rPr>
    </w:lvl>
    <w:lvl w:ilvl="3">
      <w:start w:val="1"/>
      <w:numFmt w:val="decimal"/>
      <w:isLgl w:val="false"/>
      <w:suff w:val="space"/>
      <w:lvlText w:val="%1.%2.%3.%4."/>
      <w:lvlJc w:val="left"/>
      <w:pPr>
        <w:ind w:left="0" w:firstLine="85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7"/>
      <w:numFmt w:val="decimal"/>
      <w:isLgl w:val="false"/>
      <w:suff w:val="tab"/>
      <w:lvlText w:val="%1."/>
      <w:lvlJc w:val="left"/>
      <w:pPr>
        <w:ind w:left="425" w:hanging="425"/>
      </w:pPr>
      <w:rPr>
        <w:rFonts w:hint="default" w:ascii="宋体" w:hAnsi="宋体" w:eastAsia="宋体" w:cs="宋体"/>
      </w:rPr>
    </w:lvl>
    <w:lvl w:ilvl="1">
      <w:start w:val="1"/>
      <w:numFmt w:val="decimal"/>
      <w:isLgl w:val="false"/>
      <w:suff w:val="nothing"/>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0" w:hanging="42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0">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1200" w:hanging="720"/>
      </w:pPr>
      <w:rPr>
        <w:rFonts w:hint="default"/>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3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8"/>
  </w:num>
  <w:num w:numId="3">
    <w:abstractNumId w:val="32"/>
  </w:num>
  <w:num w:numId="4">
    <w:abstractNumId w:val="12"/>
  </w:num>
  <w:num w:numId="5">
    <w:abstractNumId w:val="2"/>
  </w:num>
  <w:num w:numId="6">
    <w:abstractNumId w:val="27"/>
  </w:num>
  <w:num w:numId="7">
    <w:abstractNumId w:val="29"/>
  </w:num>
  <w:num w:numId="8">
    <w:abstractNumId w:val="35"/>
  </w:num>
  <w:num w:numId="9">
    <w:abstractNumId w:val="33"/>
  </w:num>
  <w:num w:numId="10">
    <w:abstractNumId w:val="8"/>
  </w:num>
  <w:num w:numId="11">
    <w:abstractNumId w:val="7"/>
  </w:num>
  <w:num w:numId="12">
    <w:abstractNumId w:val="10"/>
  </w:num>
  <w:num w:numId="13">
    <w:abstractNumId w:val="1"/>
  </w:num>
  <w:num w:numId="14">
    <w:abstractNumId w:val="28"/>
  </w:num>
  <w:num w:numId="15">
    <w:abstractNumId w:val="24"/>
  </w:num>
  <w:num w:numId="16">
    <w:abstractNumId w:val="34"/>
  </w:num>
  <w:num w:numId="17">
    <w:abstractNumId w:val="36"/>
  </w:num>
  <w:num w:numId="18">
    <w:abstractNumId w:val="9"/>
  </w:num>
  <w:num w:numId="19">
    <w:abstractNumId w:val="19"/>
  </w:num>
  <w:num w:numId="20">
    <w:abstractNumId w:val="16"/>
  </w:num>
  <w:num w:numId="21">
    <w:abstractNumId w:val="21"/>
  </w:num>
  <w:num w:numId="22">
    <w:abstractNumId w:val="17"/>
  </w:num>
  <w:num w:numId="23">
    <w:abstractNumId w:val="3"/>
  </w:num>
  <w:num w:numId="24">
    <w:abstractNumId w:val="13"/>
  </w:num>
  <w:num w:numId="25">
    <w:abstractNumId w:val="5"/>
  </w:num>
  <w:num w:numId="26">
    <w:abstractNumId w:val="4"/>
  </w:num>
  <w:num w:numId="27">
    <w:abstractNumId w:val="11"/>
  </w:num>
  <w:num w:numId="28">
    <w:abstractNumId w:val="20"/>
  </w:num>
  <w:num w:numId="29">
    <w:abstractNumId w:val="26"/>
  </w:num>
  <w:num w:numId="30">
    <w:abstractNumId w:val="30"/>
  </w:num>
  <w:num w:numId="31">
    <w:abstractNumId w:val="31"/>
  </w:num>
  <w:num w:numId="32">
    <w:abstractNumId w:val="14"/>
  </w:num>
  <w:num w:numId="33">
    <w:abstractNumId w:val="25"/>
  </w:num>
  <w:num w:numId="34">
    <w:abstractNumId w:val="23"/>
  </w:num>
  <w:num w:numId="35">
    <w:abstractNumId w:val="6"/>
  </w:num>
  <w:num w:numId="36">
    <w:abstractNumId w:val="15"/>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32"/>
    <w:link w:val="931"/>
    <w:uiPriority w:val="9"/>
    <w:rPr>
      <w:rFonts w:ascii="Arial" w:hAnsi="Arial" w:eastAsia="Arial" w:cs="Arial"/>
      <w:sz w:val="40"/>
      <w:szCs w:val="40"/>
    </w:rPr>
  </w:style>
  <w:style w:type="paragraph" w:styleId="770">
    <w:name w:val="Heading 2"/>
    <w:basedOn w:val="930"/>
    <w:next w:val="930"/>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basedOn w:val="932"/>
    <w:link w:val="770"/>
    <w:uiPriority w:val="9"/>
    <w:rPr>
      <w:rFonts w:ascii="Arial" w:hAnsi="Arial" w:eastAsia="Arial" w:cs="Arial"/>
      <w:sz w:val="34"/>
    </w:rPr>
  </w:style>
  <w:style w:type="paragraph" w:styleId="772">
    <w:name w:val="Heading 3"/>
    <w:basedOn w:val="930"/>
    <w:next w:val="930"/>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basedOn w:val="932"/>
    <w:link w:val="772"/>
    <w:uiPriority w:val="9"/>
    <w:rPr>
      <w:rFonts w:ascii="Arial" w:hAnsi="Arial" w:eastAsia="Arial" w:cs="Arial"/>
      <w:sz w:val="30"/>
      <w:szCs w:val="30"/>
    </w:rPr>
  </w:style>
  <w:style w:type="paragraph" w:styleId="774">
    <w:name w:val="Heading 4"/>
    <w:basedOn w:val="930"/>
    <w:next w:val="930"/>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basedOn w:val="932"/>
    <w:link w:val="774"/>
    <w:uiPriority w:val="9"/>
    <w:rPr>
      <w:rFonts w:ascii="Arial" w:hAnsi="Arial" w:eastAsia="Arial" w:cs="Arial"/>
      <w:b/>
      <w:bCs/>
      <w:sz w:val="26"/>
      <w:szCs w:val="26"/>
    </w:rPr>
  </w:style>
  <w:style w:type="paragraph" w:styleId="776">
    <w:name w:val="Heading 5"/>
    <w:basedOn w:val="930"/>
    <w:next w:val="930"/>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basedOn w:val="932"/>
    <w:link w:val="776"/>
    <w:uiPriority w:val="9"/>
    <w:rPr>
      <w:rFonts w:ascii="Arial" w:hAnsi="Arial" w:eastAsia="Arial" w:cs="Arial"/>
      <w:b/>
      <w:bCs/>
      <w:sz w:val="24"/>
      <w:szCs w:val="24"/>
    </w:rPr>
  </w:style>
  <w:style w:type="paragraph" w:styleId="778">
    <w:name w:val="Heading 6"/>
    <w:basedOn w:val="930"/>
    <w:next w:val="930"/>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basedOn w:val="932"/>
    <w:link w:val="778"/>
    <w:uiPriority w:val="9"/>
    <w:rPr>
      <w:rFonts w:ascii="Arial" w:hAnsi="Arial" w:eastAsia="Arial" w:cs="Arial"/>
      <w:b/>
      <w:bCs/>
      <w:sz w:val="22"/>
      <w:szCs w:val="22"/>
    </w:rPr>
  </w:style>
  <w:style w:type="paragraph" w:styleId="780">
    <w:name w:val="Heading 7"/>
    <w:basedOn w:val="930"/>
    <w:next w:val="930"/>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basedOn w:val="932"/>
    <w:link w:val="780"/>
    <w:uiPriority w:val="9"/>
    <w:rPr>
      <w:rFonts w:ascii="Arial" w:hAnsi="Arial" w:eastAsia="Arial" w:cs="Arial"/>
      <w:b/>
      <w:bCs/>
      <w:i/>
      <w:iCs/>
      <w:sz w:val="22"/>
      <w:szCs w:val="22"/>
    </w:rPr>
  </w:style>
  <w:style w:type="paragraph" w:styleId="782">
    <w:name w:val="Heading 8"/>
    <w:basedOn w:val="930"/>
    <w:next w:val="930"/>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basedOn w:val="932"/>
    <w:link w:val="782"/>
    <w:uiPriority w:val="9"/>
    <w:rPr>
      <w:rFonts w:ascii="Arial" w:hAnsi="Arial" w:eastAsia="Arial" w:cs="Arial"/>
      <w:i/>
      <w:iCs/>
      <w:sz w:val="22"/>
      <w:szCs w:val="22"/>
    </w:rPr>
  </w:style>
  <w:style w:type="paragraph" w:styleId="784">
    <w:name w:val="Heading 9"/>
    <w:basedOn w:val="930"/>
    <w:next w:val="930"/>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32"/>
    <w:link w:val="784"/>
    <w:uiPriority w:val="9"/>
    <w:rPr>
      <w:rFonts w:ascii="Arial" w:hAnsi="Arial" w:eastAsia="Arial" w:cs="Arial"/>
      <w:i/>
      <w:iCs/>
      <w:sz w:val="21"/>
      <w:szCs w:val="21"/>
    </w:rPr>
  </w:style>
  <w:style w:type="paragraph" w:styleId="786">
    <w:name w:val="List Paragraph"/>
    <w:basedOn w:val="930"/>
    <w:uiPriority w:val="34"/>
    <w:qFormat/>
    <w:pPr>
      <w:contextualSpacing/>
      <w:ind w:left="720"/>
    </w:pPr>
  </w:style>
  <w:style w:type="character" w:styleId="787">
    <w:name w:val="Title Char"/>
    <w:basedOn w:val="932"/>
    <w:link w:val="935"/>
    <w:uiPriority w:val="10"/>
    <w:rPr>
      <w:sz w:val="48"/>
      <w:szCs w:val="48"/>
    </w:rPr>
  </w:style>
  <w:style w:type="paragraph" w:styleId="788">
    <w:name w:val="Subtitle"/>
    <w:basedOn w:val="930"/>
    <w:next w:val="930"/>
    <w:link w:val="789"/>
    <w:uiPriority w:val="11"/>
    <w:qFormat/>
    <w:pPr>
      <w:spacing w:before="200" w:after="200"/>
    </w:pPr>
    <w:rPr>
      <w:sz w:val="24"/>
      <w:szCs w:val="24"/>
    </w:rPr>
  </w:style>
  <w:style w:type="character" w:styleId="789">
    <w:name w:val="Subtitle Char"/>
    <w:basedOn w:val="932"/>
    <w:link w:val="788"/>
    <w:uiPriority w:val="11"/>
    <w:rPr>
      <w:sz w:val="24"/>
      <w:szCs w:val="24"/>
    </w:rPr>
  </w:style>
  <w:style w:type="paragraph" w:styleId="790">
    <w:name w:val="Quote"/>
    <w:basedOn w:val="930"/>
    <w:next w:val="930"/>
    <w:link w:val="791"/>
    <w:uiPriority w:val="29"/>
    <w:qFormat/>
    <w:pPr>
      <w:ind w:left="720" w:right="720"/>
    </w:pPr>
    <w:rPr>
      <w:i/>
    </w:rPr>
  </w:style>
  <w:style w:type="character" w:styleId="791">
    <w:name w:val="Quote Char"/>
    <w:link w:val="790"/>
    <w:uiPriority w:val="29"/>
    <w:rPr>
      <w:i/>
    </w:rPr>
  </w:style>
  <w:style w:type="paragraph" w:styleId="792">
    <w:name w:val="Intense Quote"/>
    <w:basedOn w:val="930"/>
    <w:next w:val="93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2"/>
    <w:link w:val="947"/>
    <w:uiPriority w:val="99"/>
  </w:style>
  <w:style w:type="character" w:styleId="795">
    <w:name w:val="Footer Char"/>
    <w:basedOn w:val="932"/>
    <w:link w:val="949"/>
    <w:uiPriority w:val="99"/>
  </w:style>
  <w:style w:type="paragraph" w:styleId="796">
    <w:name w:val="Caption"/>
    <w:basedOn w:val="930"/>
    <w:next w:val="930"/>
    <w:uiPriority w:val="35"/>
    <w:semiHidden/>
    <w:unhideWhenUsed/>
    <w:qFormat/>
    <w:pPr>
      <w:spacing w:line="276" w:lineRule="auto"/>
    </w:pPr>
    <w:rPr>
      <w:b/>
      <w:bCs/>
      <w:color w:val="4f81bd" w:themeColor="accent1"/>
      <w:sz w:val="18"/>
      <w:szCs w:val="18"/>
    </w:rPr>
  </w:style>
  <w:style w:type="character" w:styleId="797">
    <w:name w:val="Caption Char"/>
    <w:basedOn w:val="796"/>
    <w:link w:val="949"/>
    <w:uiPriority w:val="99"/>
  </w:style>
  <w:style w:type="table" w:styleId="798">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2"/>
    <w:uiPriority w:val="99"/>
    <w:unhideWhenUsed/>
    <w:rPr>
      <w:vertAlign w:val="superscript"/>
    </w:rPr>
  </w:style>
  <w:style w:type="paragraph" w:styleId="926">
    <w:name w:val="endnote text"/>
    <w:basedOn w:val="93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32"/>
    <w:uiPriority w:val="99"/>
    <w:semiHidden/>
    <w:unhideWhenUsed/>
    <w:rPr>
      <w:vertAlign w:val="superscript"/>
    </w:rPr>
  </w:style>
  <w:style w:type="paragraph" w:styleId="929">
    <w:name w:val="table of figures"/>
    <w:basedOn w:val="930"/>
    <w:next w:val="930"/>
    <w:uiPriority w:val="99"/>
    <w:unhideWhenUsed/>
    <w:pPr>
      <w:spacing w:after="0" w:afterAutospacing="0"/>
    </w:pPr>
  </w:style>
  <w:style w:type="paragraph" w:styleId="930" w:default="1">
    <w:name w:val="Normal"/>
    <w:qFormat/>
    <w:pPr>
      <w:jc w:val="both"/>
      <w:widowControl w:val="off"/>
    </w:pPr>
  </w:style>
  <w:style w:type="paragraph" w:styleId="931">
    <w:name w:val="Heading 1"/>
    <w:basedOn w:val="930"/>
    <w:next w:val="930"/>
    <w:link w:val="976"/>
    <w:uiPriority w:val="9"/>
    <w:qFormat/>
    <w:pPr>
      <w:keepLines/>
      <w:keepNext/>
      <w:spacing w:before="340" w:after="330" w:line="578" w:lineRule="auto"/>
      <w:outlineLvl w:val="0"/>
    </w:pPr>
    <w:rPr>
      <w:b/>
      <w:bCs/>
      <w:sz w:val="44"/>
      <w:szCs w:val="44"/>
    </w:rPr>
  </w:style>
  <w:style w:type="character" w:styleId="932" w:default="1">
    <w:name w:val="Default Paragraph Font"/>
    <w:uiPriority w:val="1"/>
    <w:semiHidden/>
    <w:unhideWhenUsed/>
  </w:style>
  <w:style w:type="table" w:styleId="933" w:default="1">
    <w:name w:val="Normal Table"/>
    <w:uiPriority w:val="99"/>
    <w:semiHidden/>
    <w:unhideWhenUsed/>
    <w:tblPr>
      <w:tblInd w:w="0" w:type="dxa"/>
      <w:tblCellMar>
        <w:left w:w="108" w:type="dxa"/>
        <w:top w:w="0" w:type="dxa"/>
        <w:right w:w="108" w:type="dxa"/>
        <w:bottom w:w="0" w:type="dxa"/>
      </w:tblCellMar>
    </w:tblPr>
  </w:style>
  <w:style w:type="numbering" w:styleId="934" w:default="1">
    <w:name w:val="No List"/>
    <w:uiPriority w:val="99"/>
    <w:semiHidden/>
    <w:unhideWhenUsed/>
  </w:style>
  <w:style w:type="paragraph" w:styleId="935">
    <w:name w:val="Title"/>
    <w:basedOn w:val="930"/>
    <w:next w:val="930"/>
    <w:link w:val="936"/>
    <w:uiPriority w:val="10"/>
    <w:qFormat/>
    <w:pPr>
      <w:jc w:val="center"/>
      <w:spacing w:line="400" w:lineRule="exact"/>
      <w:outlineLvl w:val="0"/>
    </w:pPr>
    <w:rPr>
      <w:rFonts w:eastAsia="黑体" w:asciiTheme="majorHAnsi" w:hAnsiTheme="majorHAnsi" w:cstheme="majorBidi"/>
      <w:bCs/>
      <w:sz w:val="30"/>
      <w:szCs w:val="32"/>
    </w:rPr>
  </w:style>
  <w:style w:type="character" w:styleId="936" w:customStyle="1">
    <w:name w:val="标题 Char"/>
    <w:basedOn w:val="932"/>
    <w:link w:val="935"/>
    <w:uiPriority w:val="10"/>
    <w:rPr>
      <w:rFonts w:eastAsia="黑体" w:asciiTheme="majorHAnsi" w:hAnsiTheme="majorHAnsi" w:cstheme="majorBidi"/>
      <w:bCs/>
      <w:sz w:val="30"/>
      <w:szCs w:val="32"/>
    </w:rPr>
  </w:style>
  <w:style w:type="paragraph" w:styleId="937">
    <w:name w:val="toc 1"/>
    <w:basedOn w:val="930"/>
    <w:next w:val="930"/>
    <w:uiPriority w:val="39"/>
    <w:unhideWhenUsed/>
    <w:qFormat/>
    <w:pPr>
      <w:jc w:val="left"/>
      <w:spacing w:before="120" w:after="120"/>
    </w:pPr>
    <w:rPr>
      <w:b/>
      <w:bCs/>
      <w:caps/>
      <w:sz w:val="20"/>
      <w:szCs w:val="20"/>
    </w:rPr>
  </w:style>
  <w:style w:type="character" w:styleId="938">
    <w:name w:val="Hyperlink"/>
    <w:basedOn w:val="932"/>
    <w:uiPriority w:val="99"/>
    <w:unhideWhenUsed/>
    <w:rPr>
      <w:color w:val="0000ff" w:themeColor="hyperlink"/>
      <w:u w:val="single"/>
    </w:rPr>
  </w:style>
  <w:style w:type="paragraph" w:styleId="939">
    <w:name w:val="toc 2"/>
    <w:basedOn w:val="930"/>
    <w:next w:val="930"/>
    <w:uiPriority w:val="39"/>
    <w:unhideWhenUsed/>
    <w:qFormat/>
    <w:pPr>
      <w:ind w:left="210"/>
      <w:jc w:val="left"/>
    </w:pPr>
    <w:rPr>
      <w:smallCaps/>
      <w:sz w:val="20"/>
      <w:szCs w:val="20"/>
    </w:rPr>
  </w:style>
  <w:style w:type="paragraph" w:styleId="940">
    <w:name w:val="toc 3"/>
    <w:basedOn w:val="930"/>
    <w:next w:val="930"/>
    <w:uiPriority w:val="39"/>
    <w:unhideWhenUsed/>
    <w:qFormat/>
    <w:pPr>
      <w:ind w:left="420"/>
      <w:jc w:val="left"/>
    </w:pPr>
    <w:rPr>
      <w:i/>
      <w:iCs/>
      <w:sz w:val="20"/>
      <w:szCs w:val="20"/>
    </w:rPr>
  </w:style>
  <w:style w:type="paragraph" w:styleId="941">
    <w:name w:val="toc 4"/>
    <w:basedOn w:val="930"/>
    <w:next w:val="930"/>
    <w:uiPriority w:val="39"/>
    <w:unhideWhenUsed/>
    <w:pPr>
      <w:ind w:left="630"/>
      <w:jc w:val="left"/>
    </w:pPr>
    <w:rPr>
      <w:sz w:val="18"/>
      <w:szCs w:val="18"/>
    </w:rPr>
  </w:style>
  <w:style w:type="paragraph" w:styleId="942">
    <w:name w:val="toc 5"/>
    <w:basedOn w:val="930"/>
    <w:next w:val="930"/>
    <w:uiPriority w:val="39"/>
    <w:unhideWhenUsed/>
    <w:pPr>
      <w:ind w:left="840"/>
      <w:jc w:val="left"/>
    </w:pPr>
    <w:rPr>
      <w:sz w:val="18"/>
      <w:szCs w:val="18"/>
    </w:rPr>
  </w:style>
  <w:style w:type="paragraph" w:styleId="943">
    <w:name w:val="toc 6"/>
    <w:basedOn w:val="930"/>
    <w:next w:val="930"/>
    <w:uiPriority w:val="39"/>
    <w:unhideWhenUsed/>
    <w:pPr>
      <w:ind w:left="1050"/>
      <w:jc w:val="left"/>
    </w:pPr>
    <w:rPr>
      <w:sz w:val="18"/>
      <w:szCs w:val="18"/>
    </w:rPr>
  </w:style>
  <w:style w:type="paragraph" w:styleId="944">
    <w:name w:val="toc 7"/>
    <w:basedOn w:val="930"/>
    <w:next w:val="930"/>
    <w:uiPriority w:val="39"/>
    <w:unhideWhenUsed/>
    <w:pPr>
      <w:ind w:left="1260"/>
      <w:jc w:val="left"/>
    </w:pPr>
    <w:rPr>
      <w:sz w:val="18"/>
      <w:szCs w:val="18"/>
    </w:rPr>
  </w:style>
  <w:style w:type="paragraph" w:styleId="945">
    <w:name w:val="toc 8"/>
    <w:basedOn w:val="930"/>
    <w:next w:val="930"/>
    <w:uiPriority w:val="39"/>
    <w:unhideWhenUsed/>
    <w:pPr>
      <w:ind w:left="1470"/>
      <w:jc w:val="left"/>
    </w:pPr>
    <w:rPr>
      <w:sz w:val="18"/>
      <w:szCs w:val="18"/>
    </w:rPr>
  </w:style>
  <w:style w:type="paragraph" w:styleId="946">
    <w:name w:val="toc 9"/>
    <w:basedOn w:val="930"/>
    <w:next w:val="930"/>
    <w:uiPriority w:val="39"/>
    <w:unhideWhenUsed/>
    <w:pPr>
      <w:ind w:left="1680"/>
      <w:jc w:val="left"/>
    </w:pPr>
    <w:rPr>
      <w:sz w:val="18"/>
      <w:szCs w:val="18"/>
    </w:rPr>
  </w:style>
  <w:style w:type="paragraph" w:styleId="947">
    <w:name w:val="Header"/>
    <w:basedOn w:val="930"/>
    <w:link w:val="948"/>
    <w:unhideWhenUsed/>
    <w:pPr>
      <w:jc w:val="center"/>
      <w:tabs>
        <w:tab w:val="center" w:pos="4153" w:leader="none"/>
        <w:tab w:val="right" w:pos="8306" w:leader="none"/>
      </w:tabs>
      <w:pBdr>
        <w:bottom w:val="single" w:color="auto" w:sz="6" w:space="1"/>
      </w:pBdr>
    </w:pPr>
    <w:rPr>
      <w:sz w:val="18"/>
      <w:szCs w:val="18"/>
    </w:rPr>
  </w:style>
  <w:style w:type="character" w:styleId="948" w:customStyle="1">
    <w:name w:val="页眉 Char"/>
    <w:basedOn w:val="932"/>
    <w:link w:val="947"/>
    <w:qFormat/>
    <w:rPr>
      <w:sz w:val="18"/>
      <w:szCs w:val="18"/>
    </w:rPr>
  </w:style>
  <w:style w:type="paragraph" w:styleId="949">
    <w:name w:val="Footer"/>
    <w:basedOn w:val="930"/>
    <w:link w:val="950"/>
    <w:unhideWhenUsed/>
    <w:pPr>
      <w:jc w:val="left"/>
      <w:tabs>
        <w:tab w:val="center" w:pos="4153" w:leader="none"/>
        <w:tab w:val="right" w:pos="8306" w:leader="none"/>
      </w:tabs>
    </w:pPr>
    <w:rPr>
      <w:sz w:val="18"/>
      <w:szCs w:val="18"/>
    </w:rPr>
  </w:style>
  <w:style w:type="character" w:styleId="950" w:customStyle="1">
    <w:name w:val="页脚 Char"/>
    <w:basedOn w:val="932"/>
    <w:link w:val="949"/>
    <w:rPr>
      <w:sz w:val="18"/>
      <w:szCs w:val="18"/>
    </w:rPr>
  </w:style>
  <w:style w:type="character" w:styleId="951">
    <w:name w:val="page number"/>
  </w:style>
  <w:style w:type="character" w:styleId="952" w:customStyle="1">
    <w:name w:val="font2800"/>
    <w:basedOn w:val="932"/>
  </w:style>
  <w:style w:type="table" w:styleId="953">
    <w:name w:val="Table Grid"/>
    <w:basedOn w:val="93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4">
    <w:name w:val="Balloon Text"/>
    <w:basedOn w:val="930"/>
    <w:link w:val="955"/>
    <w:uiPriority w:val="99"/>
    <w:semiHidden/>
    <w:unhideWhenUsed/>
    <w:qFormat/>
    <w:rPr>
      <w:sz w:val="18"/>
      <w:szCs w:val="18"/>
    </w:rPr>
  </w:style>
  <w:style w:type="character" w:styleId="955" w:customStyle="1">
    <w:name w:val="批注框文本 Char"/>
    <w:basedOn w:val="932"/>
    <w:link w:val="954"/>
    <w:uiPriority w:val="99"/>
    <w:semiHidden/>
    <w:qFormat/>
    <w:rPr>
      <w:sz w:val="18"/>
      <w:szCs w:val="18"/>
    </w:rPr>
  </w:style>
  <w:style w:type="table" w:styleId="956" w:customStyle="1">
    <w:name w:val="网格型1"/>
    <w:basedOn w:val="933"/>
    <w:next w:val="95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annotation reference"/>
    <w:basedOn w:val="932"/>
    <w:uiPriority w:val="99"/>
    <w:semiHidden/>
    <w:unhideWhenUsed/>
    <w:qFormat/>
    <w:rPr>
      <w:sz w:val="21"/>
      <w:szCs w:val="21"/>
    </w:rPr>
  </w:style>
  <w:style w:type="paragraph" w:styleId="958">
    <w:name w:val="annotation text"/>
    <w:basedOn w:val="930"/>
    <w:link w:val="959"/>
    <w:uiPriority w:val="99"/>
    <w:semiHidden/>
    <w:unhideWhenUsed/>
    <w:pPr>
      <w:jc w:val="left"/>
    </w:pPr>
  </w:style>
  <w:style w:type="character" w:styleId="959" w:customStyle="1">
    <w:name w:val="批注文字 Char"/>
    <w:basedOn w:val="932"/>
    <w:link w:val="958"/>
    <w:uiPriority w:val="99"/>
    <w:semiHidden/>
    <w:qFormat/>
  </w:style>
  <w:style w:type="paragraph" w:styleId="960">
    <w:name w:val="annotation subject"/>
    <w:basedOn w:val="958"/>
    <w:next w:val="958"/>
    <w:link w:val="961"/>
    <w:uiPriority w:val="99"/>
    <w:semiHidden/>
    <w:unhideWhenUsed/>
    <w:rPr>
      <w:b/>
      <w:bCs/>
    </w:rPr>
  </w:style>
  <w:style w:type="character" w:styleId="961" w:customStyle="1">
    <w:name w:val="批注主题 Char"/>
    <w:basedOn w:val="959"/>
    <w:link w:val="960"/>
    <w:uiPriority w:val="99"/>
    <w:semiHidden/>
    <w:rPr>
      <w:b/>
      <w:bCs/>
    </w:rPr>
  </w:style>
  <w:style w:type="paragraph" w:styleId="962">
    <w:name w:val="Body Text"/>
    <w:basedOn w:val="930"/>
    <w:link w:val="964"/>
    <w:pPr>
      <w:spacing w:line="360" w:lineRule="auto"/>
    </w:pPr>
    <w:rPr>
      <w:rFonts w:ascii="楷体_GB2312" w:hAnsi="Times New Roman" w:eastAsia="楷体_GB2312" w:cs="Times New Roman"/>
      <w:bCs/>
      <w:sz w:val="28"/>
      <w:szCs w:val="24"/>
    </w:rPr>
  </w:style>
  <w:style w:type="character" w:styleId="963" w:customStyle="1">
    <w:name w:val="正文文本 Char"/>
    <w:basedOn w:val="932"/>
    <w:uiPriority w:val="99"/>
    <w:semiHidden/>
    <w:qFormat/>
  </w:style>
  <w:style w:type="character" w:styleId="964" w:customStyle="1">
    <w:name w:val="正文文本 Char1"/>
    <w:link w:val="962"/>
    <w:qFormat/>
    <w:rPr>
      <w:rFonts w:ascii="楷体_GB2312" w:hAnsi="Times New Roman" w:eastAsia="楷体_GB2312" w:cs="Times New Roman"/>
      <w:bCs/>
      <w:sz w:val="28"/>
      <w:szCs w:val="24"/>
    </w:rPr>
  </w:style>
  <w:style w:type="paragraph" w:styleId="965" w:customStyle="1">
    <w:name w:val="Table Paragraph"/>
    <w:basedOn w:val="930"/>
    <w:uiPriority w:val="1"/>
    <w:pPr>
      <w:ind w:firstLine="260"/>
      <w:jc w:val="left"/>
      <w:spacing w:line="360" w:lineRule="auto"/>
    </w:pPr>
    <w:rPr>
      <w:rFonts w:ascii="Calibri" w:hAnsi="Calibri" w:eastAsia="仿宋" w:cs="Times New Roman"/>
      <w:sz w:val="28"/>
      <w:lang w:eastAsia="en-US"/>
    </w:rPr>
  </w:style>
  <w:style w:type="paragraph" w:styleId="966">
    <w:name w:val="No Spacing"/>
    <w:link w:val="967"/>
    <w:uiPriority w:val="1"/>
    <w:qFormat/>
    <w:pPr>
      <w:jc w:val="both"/>
      <w:spacing w:line="360" w:lineRule="auto"/>
      <w:widowControl w:val="off"/>
    </w:pPr>
    <w:rPr>
      <w:rFonts w:ascii="宋体" w:hAnsi="宋体"/>
      <w:sz w:val="24"/>
    </w:rPr>
  </w:style>
  <w:style w:type="character" w:styleId="967" w:customStyle="1">
    <w:name w:val="无间隔 Char"/>
    <w:link w:val="966"/>
    <w:uiPriority w:val="1"/>
    <w:qFormat/>
    <w:rPr>
      <w:rFonts w:ascii="宋体" w:hAnsi="宋体"/>
      <w:sz w:val="24"/>
    </w:rPr>
  </w:style>
  <w:style w:type="paragraph" w:styleId="968">
    <w:name w:val="Body Text Indent"/>
    <w:basedOn w:val="930"/>
    <w:link w:val="969"/>
    <w:unhideWhenUsed/>
    <w:pPr>
      <w:ind w:left="420"/>
      <w:spacing w:after="120"/>
    </w:pPr>
  </w:style>
  <w:style w:type="character" w:styleId="969" w:customStyle="1">
    <w:name w:val="正文文本缩进 Char"/>
    <w:basedOn w:val="932"/>
    <w:link w:val="968"/>
    <w:qFormat/>
  </w:style>
  <w:style w:type="table" w:styleId="970" w:customStyle="1">
    <w:name w:val="网格型2"/>
    <w:basedOn w:val="933"/>
    <w:next w:val="953"/>
    <w:uiPriority w:val="59"/>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1">
    <w:name w:val="Revision"/>
    <w:hidden/>
    <w:uiPriority w:val="99"/>
    <w:unhideWhenUsed/>
  </w:style>
  <w:style w:type="table" w:styleId="972" w:customStyle="1">
    <w:name w:val="网格型3"/>
    <w:basedOn w:val="933"/>
    <w:next w:val="95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3" w:customStyle="1">
    <w:name w:val="无列表1"/>
    <w:next w:val="934"/>
    <w:uiPriority w:val="99"/>
    <w:semiHidden/>
    <w:unhideWhenUsed/>
  </w:style>
  <w:style w:type="table" w:styleId="974" w:customStyle="1">
    <w:name w:val="网格型4"/>
    <w:basedOn w:val="933"/>
    <w:next w:val="95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Table Normal"/>
    <w:semiHidden/>
    <w:unhideWhenUsed/>
    <w:qFormat/>
    <w:rPr>
      <w:sz w:val="20"/>
      <w:szCs w:val="20"/>
    </w:rPr>
    <w:tblPr>
      <w:tblCellMar>
        <w:left w:w="0" w:type="dxa"/>
        <w:top w:w="0" w:type="dxa"/>
        <w:right w:w="0" w:type="dxa"/>
        <w:bottom w:w="0" w:type="dxa"/>
      </w:tblCellMar>
    </w:tblPr>
  </w:style>
  <w:style w:type="character" w:styleId="976" w:customStyle="1">
    <w:name w:val="标题 1 Char"/>
    <w:basedOn w:val="932"/>
    <w:link w:val="931"/>
    <w:uiPriority w:val="9"/>
    <w:rPr>
      <w:b/>
      <w:bCs/>
      <w:sz w:val="44"/>
      <w:szCs w:val="44"/>
    </w:rPr>
  </w:style>
  <w:style w:type="paragraph" w:styleId="977">
    <w:name w:val="TOC Heading"/>
    <w:basedOn w:val="931"/>
    <w:next w:val="930"/>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978" w:customStyle="1">
    <w:name w:val="font21"/>
    <w:basedOn w:val="932"/>
    <w:rPr>
      <w:rFonts w:ascii="Calibri" w:hAnsi="Calibri" w:cs="Calibri"/>
      <w:color w:val="000000"/>
      <w:sz w:val="21"/>
      <w:szCs w:val="21"/>
      <w:u w:val="none"/>
    </w:rPr>
  </w:style>
  <w:style w:type="character" w:styleId="979" w:customStyle="1">
    <w:name w:val="font11"/>
    <w:basedOn w:val="932"/>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A4FB1-C5C3-4BEC-AC6A-035288EF8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张林乔</cp:lastModifiedBy>
  <cp:revision>632</cp:revision>
  <dcterms:created xsi:type="dcterms:W3CDTF">2024-05-14T07:17:00Z</dcterms:created>
  <dcterms:modified xsi:type="dcterms:W3CDTF">2025-09-23T02:17:20Z</dcterms:modified>
</cp:coreProperties>
</file>