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spacing w:line="253"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1396"/>
        <w:spacing w:before="273" w:line="219" w:lineRule="auto"/>
        <w:rPr>
          <w:rFonts w:ascii="黑体" w:hAnsi="黑体" w:eastAsia="黑体" w:cs="黑体"/>
          <w:color w:val="000000" w:themeColor="text1"/>
          <w:sz w:val="84"/>
          <w:szCs w:val="84"/>
          <w14:textFill>
            <w14:solidFill>
              <w14:schemeClr w14:val="tx1"/>
            </w14:solidFill>
          </w14:textFill>
        </w:rPr>
        <w:outlineLvl w:val="0"/>
      </w:pPr>
      <w:r>
        <w:rPr>
          <w:rFonts w:ascii="黑体" w:hAnsi="黑体" w:eastAsia="黑体" w:cs="黑体"/>
          <w:b/>
          <w:bCs/>
          <w:color w:val="000000" w:themeColor="text1"/>
          <w:spacing w:val="-32"/>
          <w:sz w:val="84"/>
          <w:szCs w:val="84"/>
          <w14:textFill>
            <w14:solidFill>
              <w14:schemeClr w14:val="tx1"/>
            </w14:solidFill>
          </w14:textFill>
        </w:rPr>
        <w:t xml:space="preserve">招</w:t>
      </w:r>
      <w:r>
        <w:rPr>
          <w:rFonts w:ascii="黑体" w:hAnsi="黑体" w:eastAsia="黑体" w:cs="黑体"/>
          <w:color w:val="000000" w:themeColor="text1"/>
          <w:spacing w:val="13"/>
          <w:sz w:val="84"/>
          <w:szCs w:val="84"/>
          <w14:textFill>
            <w14:solidFill>
              <w14:schemeClr w14:val="tx1"/>
            </w14:solidFill>
          </w14:textFill>
        </w:rPr>
        <w:t xml:space="preserve">  </w:t>
      </w:r>
      <w:r>
        <w:rPr>
          <w:rFonts w:ascii="黑体" w:hAnsi="黑体" w:eastAsia="黑体" w:cs="黑体"/>
          <w:b/>
          <w:bCs/>
          <w:color w:val="000000" w:themeColor="text1"/>
          <w:spacing w:val="-32"/>
          <w:sz w:val="84"/>
          <w:szCs w:val="84"/>
          <w14:textFill>
            <w14:solidFill>
              <w14:schemeClr w14:val="tx1"/>
            </w14:solidFill>
          </w14:textFill>
        </w:rPr>
        <w:t xml:space="preserve">标</w:t>
      </w:r>
      <w:r>
        <w:rPr>
          <w:rFonts w:ascii="黑体" w:hAnsi="黑体" w:eastAsia="黑体" w:cs="黑体"/>
          <w:color w:val="000000" w:themeColor="text1"/>
          <w:spacing w:val="25"/>
          <w:sz w:val="84"/>
          <w:szCs w:val="84"/>
          <w14:textFill>
            <w14:solidFill>
              <w14:schemeClr w14:val="tx1"/>
            </w14:solidFill>
          </w14:textFill>
        </w:rPr>
        <w:t xml:space="preserve">  </w:t>
      </w:r>
      <w:r>
        <w:rPr>
          <w:rFonts w:ascii="黑体" w:hAnsi="黑体" w:eastAsia="黑体" w:cs="黑体"/>
          <w:b/>
          <w:bCs/>
          <w:color w:val="000000" w:themeColor="text1"/>
          <w:spacing w:val="-32"/>
          <w:sz w:val="84"/>
          <w:szCs w:val="84"/>
          <w14:textFill>
            <w14:solidFill>
              <w14:schemeClr w14:val="tx1"/>
            </w14:solidFill>
          </w14:textFill>
        </w:rPr>
        <w:t xml:space="preserve">文</w:t>
      </w:r>
      <w:r>
        <w:rPr>
          <w:rFonts w:ascii="黑体" w:hAnsi="黑体" w:eastAsia="黑体" w:cs="黑体"/>
          <w:color w:val="000000" w:themeColor="text1"/>
          <w:spacing w:val="17"/>
          <w:sz w:val="84"/>
          <w:szCs w:val="84"/>
          <w14:textFill>
            <w14:solidFill>
              <w14:schemeClr w14:val="tx1"/>
            </w14:solidFill>
          </w14:textFill>
        </w:rPr>
        <w:t xml:space="preserve">  </w:t>
      </w:r>
      <w:r>
        <w:rPr>
          <w:rFonts w:ascii="黑体" w:hAnsi="黑体" w:eastAsia="黑体" w:cs="黑体"/>
          <w:b/>
          <w:bCs/>
          <w:color w:val="000000" w:themeColor="text1"/>
          <w:spacing w:val="-32"/>
          <w:sz w:val="84"/>
          <w:szCs w:val="84"/>
          <w14:textFill>
            <w14:solidFill>
              <w14:schemeClr w14:val="tx1"/>
            </w14:solidFill>
          </w14:textFill>
        </w:rPr>
        <w:t xml:space="preserve">件</w:t>
      </w:r>
      <w:r/>
    </w:p>
    <w:p>
      <w:pPr>
        <w:jc w:val="right"/>
        <w:spacing w:before="255" w:line="225" w:lineRule="auto"/>
        <w:rPr>
          <w:rFonts w:ascii="宋体" w:hAnsi="宋体" w:cs="宋体"/>
          <w:color w:val="000000" w:themeColor="text1"/>
          <w:sz w:val="31"/>
          <w:szCs w:val="31"/>
          <w14:textFill>
            <w14:solidFill>
              <w14:schemeClr w14:val="tx1"/>
            </w14:solidFill>
          </w14:textFill>
        </w:rPr>
      </w:pPr>
      <w:r/>
      <w:bookmarkStart w:id="0" w:name="OLE_LINK7"/>
      <w:r/>
      <w:bookmarkStart w:id="1" w:name="OLE_LINK8"/>
      <w:r>
        <w:rPr>
          <w:rFonts w:ascii="宋体" w:hAnsi="宋体" w:cs="宋体"/>
          <w:b/>
          <w:bCs/>
          <w:color w:val="000000" w:themeColor="text1"/>
          <w:spacing w:val="7"/>
          <w:sz w:val="31"/>
          <w:szCs w:val="31"/>
          <w14:textFill>
            <w14:solidFill>
              <w14:schemeClr w14:val="tx1"/>
            </w14:solidFill>
          </w14:textFill>
        </w:rPr>
        <w:t xml:space="preserve">项目名称：基于“苏学码”的江苏省终身教育学分银行网络服</w:t>
      </w:r>
      <w:r/>
    </w:p>
    <w:p>
      <w:pPr>
        <w:ind w:left="3530"/>
        <w:spacing w:before="200" w:line="225" w:lineRule="auto"/>
        <w:rPr>
          <w:rFonts w:ascii="宋体" w:hAnsi="宋体" w:cs="宋体"/>
          <w:color w:val="000000" w:themeColor="text1"/>
          <w:sz w:val="31"/>
          <w:szCs w:val="31"/>
          <w14:textFill>
            <w14:solidFill>
              <w14:schemeClr w14:val="tx1"/>
            </w14:solidFill>
          </w14:textFill>
        </w:rPr>
      </w:pPr>
      <w:r>
        <w:rPr>
          <w:rFonts w:ascii="宋体" w:hAnsi="宋体" w:cs="宋体"/>
          <w:b/>
          <w:bCs/>
          <w:color w:val="000000" w:themeColor="text1"/>
          <w:spacing w:val="4"/>
          <w:sz w:val="31"/>
          <w:szCs w:val="31"/>
          <w14:textFill>
            <w14:solidFill>
              <w14:schemeClr w14:val="tx1"/>
            </w14:solidFill>
          </w14:textFill>
        </w:rPr>
        <w:t xml:space="preserve">务平台建设</w:t>
      </w:r>
      <w:r/>
    </w:p>
    <w:p>
      <w:pPr>
        <w:pStyle w:val="1016"/>
        <w:ind w:firstLine="961"/>
        <w:spacing w:before="323" w:line="237" w:lineRule="auto"/>
        <w:rPr>
          <w:rFonts w:eastAsia="宋体"/>
          <w:color w:val="000000" w:themeColor="text1"/>
          <w:sz w:val="31"/>
          <w:szCs w:val="31"/>
          <w:lang w:eastAsia="zh-CN"/>
          <w14:textFill>
            <w14:solidFill>
              <w14:schemeClr w14:val="tx1"/>
            </w14:solidFill>
          </w14:textFill>
        </w:rPr>
      </w:pPr>
      <w:r>
        <w:rPr>
          <w:rFonts w:ascii="宋体" w:hAnsi="宋体" w:eastAsia="宋体" w:cs="宋体"/>
          <w:b/>
          <w:bCs/>
          <w:color w:val="000000" w:themeColor="text1"/>
          <w:spacing w:val="9"/>
          <w:sz w:val="31"/>
          <w:szCs w:val="31"/>
          <w:lang w:eastAsia="zh-CN"/>
          <w14:textFill>
            <w14:solidFill>
              <w14:schemeClr w14:val="tx1"/>
            </w14:solidFill>
          </w14:textFill>
        </w:rPr>
        <w:t xml:space="preserve">标书编号：JSZC-320000-SCZX-G2024-</w:t>
      </w:r>
      <w:r>
        <w:rPr>
          <w:rFonts w:hint="eastAsia" w:ascii="宋体" w:hAnsi="宋体" w:eastAsia="宋体" w:cs="宋体"/>
          <w:b/>
          <w:bCs/>
          <w:color w:val="000000" w:themeColor="text1"/>
          <w:spacing w:val="9"/>
          <w:sz w:val="31"/>
          <w:szCs w:val="31"/>
          <w:lang w:eastAsia="zh-CN"/>
          <w14:textFill>
            <w14:solidFill>
              <w14:schemeClr w14:val="tx1"/>
            </w14:solidFill>
          </w14:textFill>
        </w:rPr>
        <w:t xml:space="preserve">0541</w:t>
      </w:r>
      <w:bookmarkEnd w:id="0"/>
      <w:r/>
      <w:bookmarkEnd w:id="1"/>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left="2981" w:right="2891" w:hanging="95"/>
        <w:spacing w:before="101" w:line="413" w:lineRule="auto"/>
        <w:rPr>
          <w:rFonts w:ascii="宋体" w:hAnsi="宋体" w:eastAsia="宋体" w:cs="宋体"/>
          <w:color w:val="000000" w:themeColor="text1"/>
          <w:sz w:val="31"/>
          <w:szCs w:val="31"/>
          <w:lang w:eastAsia="zh-CN"/>
          <w14:textFill>
            <w14:solidFill>
              <w14:schemeClr w14:val="tx1"/>
            </w14:solidFill>
          </w14:textFill>
        </w:rPr>
      </w:pPr>
      <w:r>
        <w:rPr>
          <w:rFonts w:ascii="宋体" w:hAnsi="宋体" w:eastAsia="宋体" w:cs="宋体"/>
          <w:b/>
          <w:bCs/>
          <w:color w:val="000000" w:themeColor="text1"/>
          <w:spacing w:val="6"/>
          <w:sz w:val="31"/>
          <w:szCs w:val="31"/>
          <w:lang w:eastAsia="zh-CN"/>
          <w14:textFill>
            <w14:solidFill>
              <w14:schemeClr w14:val="tx1"/>
            </w14:solidFill>
          </w14:textFill>
        </w:rPr>
        <w:t xml:space="preserve">江苏省政府采购中心</w:t>
      </w:r>
      <w:r>
        <w:rPr>
          <w:rFonts w:ascii="宋体" w:hAnsi="宋体" w:eastAsia="宋体" w:cs="宋体"/>
          <w:color w:val="000000" w:themeColor="text1"/>
          <w:sz w:val="31"/>
          <w:szCs w:val="31"/>
          <w:lang w:eastAsia="zh-CN"/>
          <w14:textFill>
            <w14:solidFill>
              <w14:schemeClr w14:val="tx1"/>
            </w14:solidFill>
          </w14:textFill>
        </w:rPr>
        <w:t xml:space="preserve"> </w:t>
      </w:r>
      <w:r>
        <w:rPr>
          <w:b/>
          <w:bCs/>
          <w:color w:val="000000" w:themeColor="text1"/>
          <w:spacing w:val="2"/>
          <w:sz w:val="31"/>
          <w:szCs w:val="31"/>
          <w:lang w:eastAsia="zh-CN"/>
          <w14:textFill>
            <w14:solidFill>
              <w14:schemeClr w14:val="tx1"/>
            </w14:solidFill>
          </w14:textFill>
        </w:rPr>
        <w:t xml:space="preserve">2024 </w:t>
      </w:r>
      <w:r>
        <w:rPr>
          <w:rFonts w:ascii="宋体" w:hAnsi="宋体" w:eastAsia="宋体" w:cs="宋体"/>
          <w:b/>
          <w:bCs/>
          <w:color w:val="000000" w:themeColor="text1"/>
          <w:spacing w:val="2"/>
          <w:sz w:val="31"/>
          <w:szCs w:val="31"/>
          <w:lang w:eastAsia="zh-CN"/>
          <w14:textFill>
            <w14:solidFill>
              <w14:schemeClr w14:val="tx1"/>
            </w14:solidFill>
          </w14:textFill>
        </w:rPr>
        <w:t xml:space="preserve">年</w:t>
      </w:r>
      <w:r>
        <w:rPr>
          <w:rFonts w:ascii="宋体" w:hAnsi="宋体" w:eastAsia="宋体" w:cs="宋体"/>
          <w:color w:val="000000" w:themeColor="text1"/>
          <w:spacing w:val="2"/>
          <w:sz w:val="31"/>
          <w:szCs w:val="31"/>
          <w:lang w:eastAsia="zh-CN"/>
          <w14:textFill>
            <w14:solidFill>
              <w14:schemeClr w14:val="tx1"/>
            </w14:solidFill>
          </w14:textFill>
        </w:rPr>
        <w:t xml:space="preserve"> </w:t>
      </w:r>
      <w:r>
        <w:rPr>
          <w:rFonts w:hint="eastAsia"/>
          <w:b/>
          <w:bCs/>
          <w:color w:val="000000" w:themeColor="text1"/>
          <w:spacing w:val="2"/>
          <w:sz w:val="31"/>
          <w:szCs w:val="31"/>
          <w:lang w:eastAsia="zh-CN"/>
          <w14:textFill>
            <w14:solidFill>
              <w14:schemeClr w14:val="tx1"/>
            </w14:solidFill>
          </w14:textFill>
        </w:rPr>
        <w:t xml:space="preserve">10</w:t>
      </w:r>
      <w:r>
        <w:rPr>
          <w:b/>
          <w:bCs/>
          <w:color w:val="000000" w:themeColor="text1"/>
          <w:spacing w:val="13"/>
          <w:sz w:val="31"/>
          <w:szCs w:val="31"/>
          <w:lang w:eastAsia="zh-CN"/>
          <w14:textFill>
            <w14:solidFill>
              <w14:schemeClr w14:val="tx1"/>
            </w14:solidFill>
          </w14:textFill>
        </w:rPr>
        <w:t xml:space="preserve"> </w:t>
      </w:r>
      <w:r>
        <w:rPr>
          <w:rFonts w:ascii="宋体" w:hAnsi="宋体" w:eastAsia="宋体" w:cs="宋体"/>
          <w:b/>
          <w:bCs/>
          <w:color w:val="000000" w:themeColor="text1"/>
          <w:spacing w:val="2"/>
          <w:sz w:val="31"/>
          <w:szCs w:val="31"/>
          <w:lang w:eastAsia="zh-CN"/>
          <w14:textFill>
            <w14:solidFill>
              <w14:schemeClr w14:val="tx1"/>
            </w14:solidFill>
          </w14:textFill>
        </w:rPr>
        <w:t xml:space="preserve">月</w:t>
      </w:r>
      <w:r>
        <w:rPr>
          <w:rFonts w:ascii="宋体" w:hAnsi="宋体" w:eastAsia="宋体" w:cs="宋体"/>
          <w:color w:val="000000" w:themeColor="text1"/>
          <w:spacing w:val="-71"/>
          <w:sz w:val="31"/>
          <w:szCs w:val="31"/>
          <w:lang w:eastAsia="zh-CN"/>
          <w14:textFill>
            <w14:solidFill>
              <w14:schemeClr w14:val="tx1"/>
            </w14:solidFill>
          </w14:textFill>
        </w:rPr>
        <w:t xml:space="preserve"> </w:t>
      </w:r>
      <w:r>
        <w:rPr>
          <w:rFonts w:hint="eastAsia"/>
          <w:b/>
          <w:bCs/>
          <w:color w:val="000000" w:themeColor="text1"/>
          <w:sz w:val="31"/>
          <w:szCs w:val="31"/>
          <w:lang w:eastAsia="zh-CN"/>
          <w14:textFill>
            <w14:solidFill>
              <w14:schemeClr w14:val="tx1"/>
            </w14:solidFill>
          </w14:textFill>
        </w:rPr>
        <w:t xml:space="preserve">14</w:t>
      </w:r>
      <w:r>
        <w:rPr>
          <w:rFonts w:ascii="宋体" w:hAnsi="宋体" w:eastAsia="宋体" w:cs="宋体"/>
          <w:b/>
          <w:bCs/>
          <w:color w:val="000000" w:themeColor="text1"/>
          <w:spacing w:val="2"/>
          <w:sz w:val="31"/>
          <w:szCs w:val="31"/>
          <w:lang w:eastAsia="zh-CN"/>
          <w14:textFill>
            <w14:solidFill>
              <w14:schemeClr w14:val="tx1"/>
            </w14:solidFill>
          </w14:textFill>
        </w:rPr>
        <w:t xml:space="preserve">日</w:t>
      </w:r>
      <w:r/>
    </w:p>
    <w:p>
      <w:pPr>
        <w:spacing w:line="413" w:lineRule="auto"/>
        <w:rPr>
          <w:rFonts w:ascii="宋体" w:hAnsi="宋体" w:cs="宋体"/>
          <w:color w:val="000000" w:themeColor="text1"/>
          <w:sz w:val="31"/>
          <w:szCs w:val="31"/>
          <w14:textFill>
            <w14:solidFill>
              <w14:schemeClr w14:val="tx1"/>
            </w14:solidFill>
          </w14:textFill>
        </w:rPr>
        <w:sectPr>
          <w:footerReference w:type="default" r:id="rId10"/>
          <w:footnotePr/>
          <w:endnotePr/>
          <w:type w:val="nextPage"/>
          <w:pgSz w:w="11906" w:h="16838" w:orient="portrait"/>
          <w:pgMar w:top="1431" w:right="1731" w:bottom="0" w:left="1522" w:header="0" w:footer="0" w:gutter="0"/>
          <w:cols w:num="1" w:sep="0" w:space="720" w:equalWidth="1"/>
          <w:docGrid w:linePitch="360"/>
        </w:sectPr>
      </w:pPr>
      <w:r>
        <w:rPr>
          <w:rFonts w:ascii="宋体" w:hAnsi="宋体" w:cs="宋体"/>
          <w:color w:val="000000" w:themeColor="text1"/>
          <w:sz w:val="31"/>
          <w:szCs w:val="31"/>
          <w14:textFill>
            <w14:solidFill>
              <w14:schemeClr w14:val="tx1"/>
            </w14:solidFill>
          </w14:textFill>
        </w:rPr>
      </w:r>
      <w:r/>
    </w:p>
    <w:p>
      <w:pPr>
        <w:jc w:val="center"/>
        <w:spacing w:line="480" w:lineRule="auto"/>
        <w:rPr>
          <w:rFonts w:ascii="黑体" w:hAnsi="Arial" w:eastAsia="黑体"/>
          <w:b/>
          <w:sz w:val="44"/>
        </w:rPr>
        <w:outlineLvl w:val="0"/>
      </w:pPr>
      <w:r>
        <w:rPr>
          <w:rFonts w:ascii="黑体" w:hAnsi="Arial" w:eastAsia="黑体"/>
          <w:b/>
          <w:sz w:val="44"/>
        </w:r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2"/>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t xml:space="preserve">第一章  投标邀请</w:t>
      </w:r>
      <w:r/>
    </w:p>
    <w:p>
      <w:pPr>
        <w:ind w:left="131" w:right="119" w:firstLine="480"/>
        <w:spacing w:before="160" w:line="402" w:lineRule="auto"/>
        <w:rPr>
          <w:rFonts w:ascii="宋体" w:hAnsi="宋体" w:cs="宋体"/>
          <w:color w:val="000000" w:themeColor="text1"/>
          <w:sz w:val="24"/>
          <w:szCs w:val="24"/>
          <w14:textFill>
            <w14:solidFill>
              <w14:schemeClr w14:val="tx1"/>
            </w14:solidFill>
          </w14:textFill>
        </w:rPr>
      </w:pPr>
      <w:r/>
      <w:bookmarkStart w:id="2" w:name="OLE_LINK11"/>
      <w:r/>
      <w:bookmarkStart w:id="3" w:name="OLE_LINK12"/>
      <w:r/>
      <w:bookmarkStart w:id="4" w:name="OLE_LINK10"/>
      <w:r/>
      <w:bookmarkStart w:id="5" w:name="OLE_LINK9"/>
      <w:r>
        <w:rPr>
          <w:rFonts w:ascii="宋体" w:hAnsi="宋体" w:cs="宋体"/>
          <w:color w:val="000000" w:themeColor="text1"/>
          <w:spacing w:val="-5"/>
          <w:sz w:val="24"/>
          <w:szCs w:val="24"/>
          <w14:textFill>
            <w14:solidFill>
              <w14:schemeClr w14:val="tx1"/>
            </w14:solidFill>
          </w14:textFill>
        </w:rPr>
        <w:t xml:space="preserve">受江苏开放大学（江苏城市职业学院）的委托，基于“苏学码”的江苏省</w:t>
      </w:r>
      <w:r>
        <w:rPr>
          <w:rFonts w:ascii="宋体" w:hAnsi="宋体" w:cs="宋体"/>
          <w:color w:val="000000" w:themeColor="text1"/>
          <w:spacing w:val="-6"/>
          <w:sz w:val="24"/>
          <w:szCs w:val="24"/>
          <w14:textFill>
            <w14:solidFill>
              <w14:schemeClr w14:val="tx1"/>
            </w14:solidFill>
          </w14:textFill>
        </w:rPr>
        <w:t xml:space="preserve">终身教育</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学分银行网络服务平台建设(</w:t>
      </w:r>
      <w:r>
        <w:rPr>
          <w:rFonts w:ascii="宋体" w:hAnsi="宋体" w:cs="宋体"/>
          <w:color w:val="000000" w:themeColor="text1"/>
          <w:spacing w:val="-5"/>
          <w:sz w:val="24"/>
          <w:szCs w:val="24"/>
          <w14:textFill>
            <w14:solidFill>
              <w14:schemeClr w14:val="tx1"/>
            </w14:solidFill>
          </w14:textFill>
        </w:rPr>
        <w:t xml:space="preserve">JSZC-320000-SCZX-G2024-</w:t>
      </w:r>
      <w:r>
        <w:rPr>
          <w:rFonts w:hint="eastAsia" w:ascii="宋体" w:hAnsi="宋体" w:cs="宋体"/>
          <w:color w:val="000000" w:themeColor="text1"/>
          <w:spacing w:val="-5"/>
          <w:sz w:val="24"/>
          <w:szCs w:val="24"/>
          <w14:textFill>
            <w14:solidFill>
              <w14:schemeClr w14:val="tx1"/>
            </w14:solidFill>
          </w14:textFill>
        </w:rPr>
        <w:t xml:space="preserve">0541</w:t>
      </w:r>
      <w:r>
        <w:rPr>
          <w:rFonts w:ascii="宋体" w:hAnsi="宋体" w:cs="宋体"/>
          <w:color w:val="000000" w:themeColor="text1"/>
          <w:spacing w:val="1"/>
          <w:sz w:val="24"/>
          <w:szCs w:val="24"/>
          <w14:textFill>
            <w14:solidFill>
              <w14:schemeClr w14:val="tx1"/>
            </w14:solidFill>
          </w14:textFill>
        </w:rPr>
        <w:t xml:space="preserve">)项目进行公开招标采购，欢迎符合条件的供应</w:t>
      </w:r>
      <w:r>
        <w:rPr>
          <w:rFonts w:ascii="宋体" w:hAnsi="宋体" w:cs="宋体"/>
          <w:color w:val="000000" w:themeColor="text1"/>
          <w:spacing w:val="18"/>
          <w:sz w:val="24"/>
          <w:szCs w:val="24"/>
          <w14:textFill>
            <w14:solidFill>
              <w14:schemeClr w14:val="tx1"/>
            </w14:solidFill>
          </w14:textFill>
        </w:rPr>
        <w:t xml:space="preserve"> </w:t>
      </w:r>
      <w:r>
        <w:rPr>
          <w:rFonts w:ascii="宋体" w:hAnsi="宋体" w:cs="宋体"/>
          <w:color w:val="000000" w:themeColor="text1"/>
          <w:spacing w:val="-10"/>
          <w:sz w:val="24"/>
          <w:szCs w:val="24"/>
          <w14:textFill>
            <w14:solidFill>
              <w14:schemeClr w14:val="tx1"/>
            </w14:solidFill>
          </w14:textFill>
        </w:rPr>
        <w:t xml:space="preserve">商投标。</w:t>
      </w:r>
      <w:bookmarkEnd w:id="2"/>
      <w:r/>
      <w:bookmarkEnd w:id="3"/>
      <w:r/>
      <w:r/>
    </w:p>
    <w:tbl>
      <w:tblPr>
        <w:tblStyle w:val="1188"/>
        <w:tblW w:w="918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184"/>
      </w:tblGrid>
      <w:tr>
        <w:trPr>
          <w:trHeight w:val="2371"/>
        </w:trPr>
        <w:tc>
          <w:tcPr>
            <w:tcW w:w="9184" w:type="dxa"/>
            <w:textDirection w:val="lrTb"/>
            <w:noWrap w:val="false"/>
          </w:tcPr>
          <w:p>
            <w:pPr>
              <w:pStyle w:val="1189"/>
              <w:ind w:left="605"/>
              <w:spacing w:before="196" w:line="220" w:lineRule="auto"/>
              <w:rPr>
                <w:color w:val="000000" w:themeColor="text1"/>
                <w:lang w:eastAsia="zh-CN"/>
                <w14:textFill>
                  <w14:solidFill>
                    <w14:schemeClr w14:val="tx1"/>
                  </w14:solidFill>
                </w14:textFill>
              </w:rPr>
            </w:pPr>
            <w:r>
              <w:rPr>
                <w:color w:val="000000" w:themeColor="text1"/>
                <w:spacing w:val="-3"/>
                <w:lang w:eastAsia="zh-CN"/>
                <w14:textFill>
                  <w14:solidFill>
                    <w14:schemeClr w14:val="tx1"/>
                  </w14:solidFill>
                </w14:textFill>
              </w:rPr>
              <w:t xml:space="preserve">项目概况</w:t>
            </w:r>
            <w:r/>
          </w:p>
          <w:p>
            <w:pPr>
              <w:pStyle w:val="1189"/>
              <w:ind w:left="120" w:right="110" w:firstLine="480"/>
              <w:spacing w:before="299" w:line="405" w:lineRule="auto"/>
              <w:rPr>
                <w:color w:val="000000" w:themeColor="text1"/>
                <w:lang w:eastAsia="zh-CN"/>
                <w14:textFill>
                  <w14:solidFill>
                    <w14:schemeClr w14:val="tx1"/>
                  </w14:solidFill>
                </w14:textFill>
              </w:rPr>
            </w:pPr>
            <w:r/>
            <w:bookmarkStart w:id="6" w:name="OLE_LINK13"/>
            <w:r/>
            <w:bookmarkStart w:id="7" w:name="OLE_LINK14"/>
            <w:r/>
            <w:bookmarkStart w:id="8" w:name="OLE_LINK15"/>
            <w:r>
              <w:rPr>
                <w:color w:val="000000" w:themeColor="text1"/>
                <w:spacing w:val="2"/>
                <w:lang w:eastAsia="zh-CN"/>
                <w14:textFill>
                  <w14:solidFill>
                    <w14:schemeClr w14:val="tx1"/>
                  </w14:solidFill>
                </w14:textFill>
              </w:rPr>
              <w:t xml:space="preserve">基于“苏学码”的江苏省终身教育学分银行网络服务平台建设招标</w:t>
            </w:r>
            <w:r>
              <w:rPr>
                <w:color w:val="000000" w:themeColor="text1"/>
                <w:spacing w:val="1"/>
                <w:lang w:eastAsia="zh-CN"/>
                <w14:textFill>
                  <w14:solidFill>
                    <w14:schemeClr w14:val="tx1"/>
                  </w14:solidFill>
                </w14:textFill>
              </w:rPr>
              <w:t xml:space="preserve">项目的潜在投</w:t>
            </w:r>
            <w:r>
              <w:rPr>
                <w:color w:val="000000" w:themeColor="text1"/>
                <w:lang w:eastAsia="zh-CN"/>
                <w14:textFill>
                  <w14:solidFill>
                    <w14:schemeClr w14:val="tx1"/>
                  </w14:solidFill>
                </w14:textFill>
              </w:rPr>
              <w:t xml:space="preserve"> </w:t>
            </w:r>
            <w:r>
              <w:rPr>
                <w:color w:val="000000" w:themeColor="text1"/>
                <w:spacing w:val="-3"/>
                <w:lang w:eastAsia="zh-CN"/>
                <w14:textFill>
                  <w14:solidFill>
                    <w14:schemeClr w14:val="tx1"/>
                  </w14:solidFill>
                </w14:textFill>
              </w:rPr>
              <w:t xml:space="preserve">标人可在</w:t>
            </w:r>
            <w:r>
              <w:rPr>
                <w:color w:val="000000" w:themeColor="text1"/>
                <w:spacing w:val="-3"/>
                <w:u w:val="single"/>
                <w:lang w:eastAsia="zh-CN"/>
                <w14:textFill>
                  <w14:solidFill>
                    <w14:schemeClr w14:val="tx1"/>
                  </w14:solidFill>
                </w14:textFill>
              </w:rPr>
              <w:t xml:space="preserve">“江苏政府采购网”自行免费下载</w:t>
            </w:r>
            <w:r>
              <w:rPr>
                <w:color w:val="000000" w:themeColor="text1"/>
                <w:spacing w:val="-3"/>
                <w:lang w:eastAsia="zh-CN"/>
                <w14:textFill>
                  <w14:solidFill>
                    <w14:schemeClr w14:val="tx1"/>
                  </w14:solidFill>
                </w14:textFill>
              </w:rPr>
              <w:t xml:space="preserve">招</w:t>
            </w:r>
            <w:r>
              <w:rPr>
                <w:color w:val="000000" w:themeColor="text1"/>
                <w:spacing w:val="-4"/>
                <w:lang w:eastAsia="zh-CN"/>
                <w14:textFill>
                  <w14:solidFill>
                    <w14:schemeClr w14:val="tx1"/>
                  </w14:solidFill>
                </w14:textFill>
              </w:rPr>
              <w:t xml:space="preserve">标文件，并于</w:t>
            </w:r>
            <w:r>
              <w:rPr>
                <w:color w:val="000000" w:themeColor="text1"/>
                <w:spacing w:val="-37"/>
                <w:lang w:eastAsia="zh-CN"/>
                <w14:textFill>
                  <w14:solidFill>
                    <w14:schemeClr w14:val="tx1"/>
                  </w14:solidFill>
                </w14:textFill>
              </w:rPr>
              <w:t xml:space="preserve"> </w:t>
            </w:r>
            <w:r>
              <w:rPr>
                <w:color w:val="000000" w:themeColor="text1"/>
                <w:spacing w:val="-4"/>
                <w:u w:val="single"/>
                <w:lang w:eastAsia="zh-CN"/>
                <w14:textFill>
                  <w14:solidFill>
                    <w14:schemeClr w14:val="tx1"/>
                  </w14:solidFill>
                </w14:textFill>
              </w:rPr>
              <w:t xml:space="preserve">2024</w:t>
            </w:r>
            <w:r>
              <w:rPr>
                <w:color w:val="000000" w:themeColor="text1"/>
                <w:spacing w:val="-40"/>
                <w:u w:val="single"/>
                <w:lang w:eastAsia="zh-CN"/>
                <w14:textFill>
                  <w14:solidFill>
                    <w14:schemeClr w14:val="tx1"/>
                  </w14:solidFill>
                </w14:textFill>
              </w:rPr>
              <w:t xml:space="preserve"> </w:t>
            </w:r>
            <w:r>
              <w:rPr>
                <w:color w:val="000000" w:themeColor="text1"/>
                <w:spacing w:val="-4"/>
                <w:u w:val="single"/>
                <w:lang w:eastAsia="zh-CN"/>
                <w14:textFill>
                  <w14:solidFill>
                    <w14:schemeClr w14:val="tx1"/>
                  </w14:solidFill>
                </w14:textFill>
              </w:rPr>
              <w:t xml:space="preserve">年</w:t>
            </w:r>
            <w:r>
              <w:rPr>
                <w:color w:val="000000" w:themeColor="text1"/>
                <w:spacing w:val="-45"/>
                <w:u w:val="single"/>
                <w:lang w:eastAsia="zh-CN"/>
                <w14:textFill>
                  <w14:solidFill>
                    <w14:schemeClr w14:val="tx1"/>
                  </w14:solidFill>
                </w14:textFill>
              </w:rPr>
              <w:t xml:space="preserve">11</w:t>
            </w:r>
            <w:r>
              <w:rPr>
                <w:color w:val="000000" w:themeColor="text1"/>
                <w:spacing w:val="-35"/>
                <w:u w:val="single"/>
                <w:lang w:eastAsia="zh-CN"/>
                <w14:textFill>
                  <w14:solidFill>
                    <w14:schemeClr w14:val="tx1"/>
                  </w14:solidFill>
                </w14:textFill>
              </w:rPr>
              <w:t xml:space="preserve"> </w:t>
            </w:r>
            <w:r>
              <w:rPr>
                <w:color w:val="000000" w:themeColor="text1"/>
                <w:spacing w:val="-4"/>
                <w:u w:val="single"/>
                <w:lang w:eastAsia="zh-CN"/>
                <w14:textFill>
                  <w14:solidFill>
                    <w14:schemeClr w14:val="tx1"/>
                  </w14:solidFill>
                </w14:textFill>
              </w:rPr>
              <w:t xml:space="preserve">月13</w:t>
            </w:r>
            <w:r>
              <w:rPr>
                <w:color w:val="000000" w:themeColor="text1"/>
                <w:spacing w:val="-4"/>
                <w:u w:val="single"/>
                <w:lang w:eastAsia="zh-CN"/>
                <w14:textFill>
                  <w14:solidFill>
                    <w14:schemeClr w14:val="tx1"/>
                  </w14:solidFill>
                </w14:textFill>
              </w:rPr>
              <w:t xml:space="preserve"> 日</w:t>
            </w:r>
            <w:r>
              <w:rPr>
                <w:color w:val="000000" w:themeColor="text1"/>
                <w:spacing w:val="-42"/>
                <w:u w:val="single"/>
                <w:lang w:eastAsia="zh-CN"/>
                <w14:textFill>
                  <w14:solidFill>
                    <w14:schemeClr w14:val="tx1"/>
                  </w14:solidFill>
                </w14:textFill>
              </w:rPr>
              <w:t xml:space="preserve">9</w:t>
            </w:r>
            <w:r>
              <w:rPr>
                <w:color w:val="000000" w:themeColor="text1"/>
                <w:spacing w:val="-29"/>
                <w:u w:val="single"/>
                <w:lang w:eastAsia="zh-CN"/>
                <w14:textFill>
                  <w14:solidFill>
                    <w14:schemeClr w14:val="tx1"/>
                  </w14:solidFill>
                </w14:textFill>
              </w:rPr>
              <w:t xml:space="preserve"> </w:t>
            </w:r>
            <w:r>
              <w:rPr>
                <w:color w:val="000000" w:themeColor="text1"/>
                <w:spacing w:val="-4"/>
                <w:u w:val="single"/>
                <w:lang w:eastAsia="zh-CN"/>
                <w14:textFill>
                  <w14:solidFill>
                    <w14:schemeClr w14:val="tx1"/>
                  </w14:solidFill>
                </w14:textFill>
              </w:rPr>
              <w:t xml:space="preserve">点</w:t>
            </w:r>
            <w:r>
              <w:rPr>
                <w:color w:val="000000" w:themeColor="text1"/>
                <w:u w:val="single"/>
                <w:lang w:eastAsia="zh-CN"/>
                <w14:textFill>
                  <w14:solidFill>
                    <w14:schemeClr w14:val="tx1"/>
                  </w14:solidFill>
                </w14:textFill>
              </w:rPr>
              <w:t xml:space="preserve">30</w:t>
            </w:r>
            <w:r>
              <w:rPr>
                <w:color w:val="000000" w:themeColor="text1"/>
                <w:spacing w:val="-2"/>
                <w:u w:val="single"/>
                <w:lang w:eastAsia="zh-CN"/>
                <w14:textFill>
                  <w14:solidFill>
                    <w14:schemeClr w14:val="tx1"/>
                  </w14:solidFill>
                </w14:textFill>
              </w:rPr>
              <w:t xml:space="preserve">分（</w:t>
            </w:r>
            <w:r>
              <w:rPr>
                <w:color w:val="000000" w:themeColor="text1"/>
                <w:spacing w:val="-2"/>
                <w:u w:val="single"/>
                <w:lang w:eastAsia="zh-CN"/>
                <w14:textFill>
                  <w14:solidFill>
                    <w14:schemeClr w14:val="tx1"/>
                  </w14:solidFill>
                </w14:textFill>
              </w:rPr>
              <w:t xml:space="preserve">北京时间）</w:t>
            </w:r>
            <w:r>
              <w:rPr>
                <w:color w:val="000000" w:themeColor="text1"/>
                <w:spacing w:val="-2"/>
                <w:lang w:eastAsia="zh-CN"/>
                <w14:textFill>
                  <w14:solidFill>
                    <w14:schemeClr w14:val="tx1"/>
                  </w14:solidFill>
                </w14:textFill>
              </w:rPr>
              <w:t xml:space="preserve">前递交投标文件。</w:t>
            </w:r>
            <w:bookmarkEnd w:id="6"/>
            <w:r/>
            <w:bookmarkEnd w:id="7"/>
            <w:r/>
            <w:bookmarkEnd w:id="8"/>
            <w:r/>
            <w:r/>
          </w:p>
        </w:tc>
      </w:tr>
    </w:tbl>
    <w:p>
      <w:pPr>
        <w:ind w:left="631"/>
        <w:spacing w:before="278" w:line="224"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3"/>
          <w:sz w:val="31"/>
          <w:szCs w:val="31"/>
          <w14:textFill>
            <w14:solidFill>
              <w14:schemeClr w14:val="tx1"/>
            </w14:solidFill>
          </w14:textFill>
        </w:rPr>
        <w:t xml:space="preserve">一、项目基本情况</w:t>
      </w:r>
      <w:r/>
    </w:p>
    <w:p>
      <w:pPr>
        <w:pStyle w:val="1016"/>
        <w:spacing w:line="309"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624"/>
        <w:spacing w:before="78"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1.项目编号：</w:t>
      </w:r>
      <w:bookmarkStart w:id="9" w:name="OLE_LINK19"/>
      <w:r/>
      <w:bookmarkStart w:id="10" w:name="OLE_LINK18"/>
      <w:r>
        <w:rPr>
          <w:rFonts w:ascii="宋体" w:hAnsi="宋体" w:cs="宋体"/>
          <w:color w:val="000000" w:themeColor="text1"/>
          <w:spacing w:val="-3"/>
          <w:sz w:val="24"/>
          <w:szCs w:val="24"/>
          <w14:textFill>
            <w14:solidFill>
              <w14:schemeClr w14:val="tx1"/>
            </w14:solidFill>
          </w14:textFill>
        </w:rPr>
        <w:t xml:space="preserve">JSZC-320000-SCZX-G2024-</w:t>
      </w:r>
      <w:r>
        <w:rPr>
          <w:rFonts w:hint="eastAsia" w:ascii="宋体" w:hAnsi="宋体" w:cs="宋体"/>
          <w:color w:val="000000" w:themeColor="text1"/>
          <w:spacing w:val="-3"/>
          <w:sz w:val="24"/>
          <w:szCs w:val="24"/>
          <w14:textFill>
            <w14:solidFill>
              <w14:schemeClr w14:val="tx1"/>
            </w14:solidFill>
          </w14:textFill>
        </w:rPr>
        <w:t xml:space="preserve">0541</w:t>
      </w:r>
      <w:bookmarkEnd w:id="9"/>
      <w:r/>
      <w:bookmarkEnd w:id="10"/>
      <w:r/>
      <w:r/>
    </w:p>
    <w:p>
      <w:pPr>
        <w:ind w:left="609"/>
        <w:spacing w:before="292"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2.项目名称：</w:t>
      </w:r>
      <w:bookmarkStart w:id="11" w:name="OLE_LINK20"/>
      <w:r/>
      <w:bookmarkStart w:id="12" w:name="OLE_LINK21"/>
      <w:r>
        <w:rPr>
          <w:rFonts w:ascii="宋体" w:hAnsi="宋体" w:cs="宋体"/>
          <w:color w:val="000000" w:themeColor="text1"/>
          <w:sz w:val="24"/>
          <w:szCs w:val="24"/>
          <w14:textFill>
            <w14:solidFill>
              <w14:schemeClr w14:val="tx1"/>
            </w14:solidFill>
          </w14:textFill>
        </w:rPr>
        <w:t xml:space="preserve">基于“苏学码”的江苏省终身</w:t>
      </w:r>
      <w:r>
        <w:rPr>
          <w:rFonts w:ascii="宋体" w:hAnsi="宋体" w:cs="宋体"/>
          <w:color w:val="000000" w:themeColor="text1"/>
          <w:spacing w:val="-1"/>
          <w:sz w:val="24"/>
          <w:szCs w:val="24"/>
          <w14:textFill>
            <w14:solidFill>
              <w14:schemeClr w14:val="tx1"/>
            </w14:solidFill>
          </w14:textFill>
        </w:rPr>
        <w:t xml:space="preserve">教育学分银行网络服务平台建设</w:t>
      </w:r>
      <w:bookmarkEnd w:id="11"/>
      <w:r/>
      <w:bookmarkEnd w:id="12"/>
      <w:r/>
      <w:r/>
    </w:p>
    <w:p>
      <w:pPr>
        <w:ind w:left="611"/>
        <w:spacing w:before="294"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3.预算金额：</w:t>
      </w:r>
      <w:bookmarkStart w:id="13" w:name="OLE_LINK27"/>
      <w:r/>
      <w:bookmarkStart w:id="14" w:name="OLE_LINK28"/>
      <w:r>
        <w:rPr>
          <w:rFonts w:ascii="宋体" w:hAnsi="宋体" w:cs="宋体"/>
          <w:color w:val="000000" w:themeColor="text1"/>
          <w:spacing w:val="-4"/>
          <w:sz w:val="24"/>
          <w:szCs w:val="24"/>
          <w14:textFill>
            <w14:solidFill>
              <w14:schemeClr w14:val="tx1"/>
            </w14:solidFill>
          </w14:textFill>
        </w:rPr>
        <w:t xml:space="preserve">450</w:t>
      </w:r>
      <w:r>
        <w:rPr>
          <w:rFonts w:ascii="宋体" w:hAnsi="宋体" w:cs="宋体"/>
          <w:color w:val="000000" w:themeColor="text1"/>
          <w:spacing w:val="-41"/>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万元。</w:t>
      </w:r>
      <w:bookmarkEnd w:id="13"/>
      <w:r/>
      <w:bookmarkEnd w:id="14"/>
      <w:r/>
      <w:r/>
    </w:p>
    <w:p>
      <w:pPr>
        <w:ind w:left="605"/>
        <w:spacing w:before="296" w:line="21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4.</w:t>
      </w:r>
      <w:bookmarkStart w:id="15" w:name="OLE_LINK29"/>
      <w:r/>
      <w:bookmarkStart w:id="16" w:name="OLE_LINK30"/>
      <w:r>
        <w:rPr>
          <w:rFonts w:ascii="宋体" w:hAnsi="宋体" w:cs="宋体"/>
          <w:color w:val="000000" w:themeColor="text1"/>
          <w:spacing w:val="-3"/>
          <w:sz w:val="24"/>
          <w:szCs w:val="24"/>
          <w14:textFill>
            <w14:solidFill>
              <w14:schemeClr w14:val="tx1"/>
            </w14:solidFill>
          </w14:textFill>
        </w:rPr>
        <w:t xml:space="preserve">本项目设定最高限价，最高限价为</w:t>
      </w:r>
      <w:r>
        <w:rPr>
          <w:rFonts w:ascii="宋体" w:hAnsi="宋体" w:cs="宋体"/>
          <w:color w:val="000000" w:themeColor="text1"/>
          <w:spacing w:val="-33"/>
          <w:sz w:val="24"/>
          <w:szCs w:val="24"/>
          <w14:textFill>
            <w14:solidFill>
              <w14:schemeClr w14:val="tx1"/>
            </w14:solidFill>
          </w14:textFill>
        </w:rPr>
        <w:t xml:space="preserve"> </w:t>
      </w:r>
      <w:r>
        <w:rPr>
          <w:rFonts w:ascii="宋体" w:hAnsi="宋体" w:cs="宋体"/>
          <w:color w:val="000000" w:themeColor="text1"/>
          <w:spacing w:val="-3"/>
          <w:sz w:val="24"/>
          <w:szCs w:val="24"/>
          <w:u w:val="single"/>
          <w14:textFill>
            <w14:solidFill>
              <w14:schemeClr w14:val="tx1"/>
            </w14:solidFill>
          </w14:textFill>
        </w:rPr>
        <w:t xml:space="preserve">450</w:t>
      </w:r>
      <w:r>
        <w:rPr>
          <w:rFonts w:ascii="宋体" w:hAnsi="宋体" w:cs="宋体"/>
          <w:color w:val="000000" w:themeColor="text1"/>
          <w:spacing w:val="-45"/>
          <w:sz w:val="24"/>
          <w:szCs w:val="24"/>
          <w:u w:val="single"/>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万元。</w:t>
      </w:r>
      <w:bookmarkEnd w:id="15"/>
      <w:r/>
      <w:bookmarkEnd w:id="16"/>
      <w:r/>
      <w:r/>
    </w:p>
    <w:p>
      <w:pPr>
        <w:ind w:left="125" w:right="114" w:firstLine="485"/>
        <w:spacing w:before="295" w:line="441"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5.采购需求：</w:t>
      </w:r>
      <w:bookmarkStart w:id="17" w:name="OLE_LINK32"/>
      <w:r/>
      <w:bookmarkStart w:id="18" w:name="OLE_LINK31"/>
      <w:r>
        <w:rPr>
          <w:rFonts w:ascii="宋体" w:hAnsi="宋体" w:cs="宋体"/>
          <w:color w:val="000000" w:themeColor="text1"/>
          <w:spacing w:val="-5"/>
          <w:sz w:val="24"/>
          <w:szCs w:val="24"/>
          <w14:textFill>
            <w14:solidFill>
              <w14:schemeClr w14:val="tx1"/>
            </w14:solidFill>
          </w14:textFill>
        </w:rPr>
        <w:t xml:space="preserve">基于“苏学码”的江苏省终身教育学分银行网络服务平台的建设是实</w:t>
      </w:r>
      <w:r>
        <w:rPr>
          <w:rFonts w:ascii="宋体" w:hAnsi="宋体" w:cs="宋体"/>
          <w:color w:val="000000" w:themeColor="text1"/>
          <w:spacing w:val="2"/>
          <w:sz w:val="24"/>
          <w:szCs w:val="24"/>
          <w14:textFill>
            <w14:solidFill>
              <w14:schemeClr w14:val="tx1"/>
            </w14:solidFill>
          </w14:textFill>
        </w:rPr>
        <w:t xml:space="preserve">现江苏省各学习阶段学习成果认证、积累和转换的重要基础建设之一</w:t>
      </w:r>
      <w:r>
        <w:rPr>
          <w:rFonts w:ascii="宋体" w:hAnsi="宋体" w:cs="宋体"/>
          <w:color w:val="000000" w:themeColor="text1"/>
          <w:spacing w:val="1"/>
          <w:sz w:val="24"/>
          <w:szCs w:val="24"/>
          <w14:textFill>
            <w14:solidFill>
              <w14:schemeClr w14:val="tx1"/>
            </w14:solidFill>
          </w14:textFill>
        </w:rPr>
        <w:t xml:space="preserve">。通过网络服务</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平台的建设，促进教育联盟内优质教育资源的共享，促进学习成果的转换与互认，承载</w:t>
      </w:r>
      <w:r>
        <w:rPr>
          <w:rFonts w:ascii="宋体" w:hAnsi="宋体" w:cs="宋体"/>
          <w:color w:val="000000" w:themeColor="text1"/>
          <w:spacing w:val="2"/>
          <w:sz w:val="24"/>
          <w:szCs w:val="24"/>
          <w14:textFill>
            <w14:solidFill>
              <w14:schemeClr w14:val="tx1"/>
            </w14:solidFill>
          </w14:textFill>
        </w:rPr>
        <w:t xml:space="preserve">与运行学分银行管理的核心业务流程，实现学分认证、积累与转换的</w:t>
      </w:r>
      <w:r>
        <w:rPr>
          <w:rFonts w:ascii="宋体" w:hAnsi="宋体" w:cs="宋体"/>
          <w:color w:val="000000" w:themeColor="text1"/>
          <w:spacing w:val="1"/>
          <w:sz w:val="24"/>
          <w:szCs w:val="24"/>
          <w14:textFill>
            <w14:solidFill>
              <w14:schemeClr w14:val="tx1"/>
            </w14:solidFill>
          </w14:textFill>
        </w:rPr>
        <w:t xml:space="preserve">核心业务模型的</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信息化</w:t>
      </w:r>
      <w:bookmarkEnd w:id="17"/>
      <w:r/>
      <w:bookmarkEnd w:id="18"/>
      <w:r/>
      <w:r/>
    </w:p>
    <w:p>
      <w:pPr>
        <w:ind w:left="608"/>
        <w:spacing w:before="35"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6.合同履行期限：</w:t>
      </w:r>
      <w:r>
        <w:rPr>
          <w:rFonts w:ascii="宋体" w:hAnsi="宋体" w:cs="宋体"/>
          <w:color w:val="000000" w:themeColor="text1"/>
          <w:spacing w:val="-59"/>
          <w:sz w:val="24"/>
          <w:szCs w:val="24"/>
          <w14:textFill>
            <w14:solidFill>
              <w14:schemeClr w14:val="tx1"/>
            </w14:solidFill>
          </w14:textFill>
        </w:rPr>
        <w:t xml:space="preserve"> </w:t>
      </w:r>
      <w:bookmarkStart w:id="19" w:name="OLE_LINK33"/>
      <w:r>
        <w:rPr>
          <w:rFonts w:ascii="宋体" w:hAnsi="宋体" w:cs="宋体"/>
          <w:color w:val="000000" w:themeColor="text1"/>
          <w:spacing w:val="-5"/>
          <w:sz w:val="24"/>
          <w:szCs w:val="24"/>
          <w14:textFill>
            <w14:solidFill>
              <w14:schemeClr w14:val="tx1"/>
            </w14:solidFill>
          </w14:textFill>
        </w:rPr>
        <w:t xml:space="preserve">自合同签订之日起</w:t>
      </w:r>
      <w:r>
        <w:rPr>
          <w:rFonts w:ascii="宋体" w:hAnsi="宋体" w:cs="宋体"/>
          <w:color w:val="000000" w:themeColor="text1"/>
          <w:spacing w:val="-32"/>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12</w:t>
      </w:r>
      <w:r>
        <w:rPr>
          <w:rFonts w:ascii="宋体" w:hAnsi="宋体" w:cs="宋体"/>
          <w:color w:val="000000" w:themeColor="text1"/>
          <w:spacing w:val="-5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个月完成项目交付。</w:t>
      </w:r>
      <w:bookmarkEnd w:id="19"/>
      <w:r/>
      <w:r/>
    </w:p>
    <w:p>
      <w:pPr>
        <w:pStyle w:val="1016"/>
        <w:spacing w:line="295"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631"/>
        <w:spacing w:before="101" w:line="225"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5"/>
          <w:sz w:val="31"/>
          <w:szCs w:val="31"/>
          <w14:textFill>
            <w14:solidFill>
              <w14:schemeClr w14:val="tx1"/>
            </w14:solidFill>
          </w14:textFill>
        </w:rPr>
        <w:t xml:space="preserve">二、申请人的资格要求：</w:t>
      </w:r>
      <w:r/>
    </w:p>
    <w:p>
      <w:pPr>
        <w:pStyle w:val="1016"/>
        <w:spacing w:line="308"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613"/>
        <w:spacing w:before="78"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（一）通用资格要求</w:t>
      </w:r>
      <w:r/>
    </w:p>
    <w:p>
      <w:pPr>
        <w:ind w:left="624"/>
        <w:spacing w:before="293"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1.满足《中华人民共和国政府采购法》第二</w:t>
      </w:r>
      <w:r>
        <w:rPr>
          <w:rFonts w:ascii="宋体" w:hAnsi="宋体" w:cs="宋体"/>
          <w:color w:val="000000" w:themeColor="text1"/>
          <w:spacing w:val="-3"/>
          <w:sz w:val="24"/>
          <w:szCs w:val="24"/>
          <w14:textFill>
            <w14:solidFill>
              <w14:schemeClr w14:val="tx1"/>
            </w14:solidFill>
          </w14:textFill>
        </w:rPr>
        <w:t xml:space="preserve">十二条规定，并提供下列材料：</w:t>
      </w:r>
      <w:r/>
    </w:p>
    <w:p>
      <w:pPr>
        <w:ind w:left="624"/>
        <w:spacing w:before="29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1.1 法人或者其他组织的营业执照等证明文件，自然人的身份证明；</w:t>
      </w:r>
      <w:r/>
    </w:p>
    <w:p>
      <w:pPr>
        <w:spacing w:before="160" w:line="21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6"/>
          <w:sz w:val="24"/>
          <w:szCs w:val="24"/>
          <w14:textFill>
            <w14:solidFill>
              <w14:schemeClr w14:val="tx1"/>
            </w14:solidFill>
          </w14:textFill>
        </w:rPr>
        <w:t xml:space="preserve">1.2</w:t>
      </w:r>
      <w:r>
        <w:rPr>
          <w:rFonts w:ascii="宋体" w:hAnsi="宋体" w:cs="宋体"/>
          <w:color w:val="000000" w:themeColor="text1"/>
          <w:spacing w:val="-48"/>
          <w:sz w:val="24"/>
          <w:szCs w:val="24"/>
          <w14:textFill>
            <w14:solidFill>
              <w14:schemeClr w14:val="tx1"/>
            </w14:solidFill>
          </w14:textFill>
        </w:rPr>
        <w:t xml:space="preserve"> </w:t>
      </w:r>
      <w:r>
        <w:rPr>
          <w:rFonts w:ascii="宋体" w:hAnsi="宋体" w:cs="宋体"/>
          <w:color w:val="000000" w:themeColor="text1"/>
          <w:spacing w:val="-6"/>
          <w:sz w:val="24"/>
          <w:szCs w:val="24"/>
          <w14:textFill>
            <w14:solidFill>
              <w14:schemeClr w14:val="tx1"/>
            </w14:solidFill>
          </w14:textFill>
        </w:rPr>
        <w:t xml:space="preserve">上一年度的财务状况报告（成立不满一年无</w:t>
      </w:r>
      <w:r>
        <w:rPr>
          <w:rFonts w:ascii="宋体" w:hAnsi="宋体" w:cs="宋体"/>
          <w:color w:val="000000" w:themeColor="text1"/>
          <w:spacing w:val="-7"/>
          <w:sz w:val="24"/>
          <w:szCs w:val="24"/>
          <w14:textFill>
            <w14:solidFill>
              <w14:schemeClr w14:val="tx1"/>
            </w14:solidFill>
          </w14:textFill>
        </w:rPr>
        <w:t xml:space="preserve">需提供</w:t>
      </w:r>
      <w:r>
        <w:rPr>
          <w:rFonts w:ascii="宋体" w:hAnsi="宋体" w:cs="宋体"/>
          <w:color w:val="000000" w:themeColor="text1"/>
          <w:spacing w:val="-12"/>
          <w:sz w:val="24"/>
          <w:szCs w:val="24"/>
          <w14:textFill>
            <w14:solidFill>
              <w14:schemeClr w14:val="tx1"/>
            </w14:solidFill>
          </w14:textFill>
        </w:rPr>
        <w:t xml:space="preserve">）；</w:t>
      </w:r>
      <w:r/>
    </w:p>
    <w:p>
      <w:pPr>
        <w:ind w:left="5" w:firstLine="492"/>
        <w:spacing w:before="293" w:line="43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1.3</w:t>
      </w:r>
      <w:r>
        <w:rPr>
          <w:rFonts w:ascii="宋体" w:hAnsi="宋体" w:cs="宋体"/>
          <w:color w:val="000000" w:themeColor="text1"/>
          <w:spacing w:val="-49"/>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依法缴纳税收和社会保障资金的相关材料（提供提交投标文件截止时间前一年</w:t>
      </w:r>
      <w:r>
        <w:rPr>
          <w:rFonts w:ascii="宋体" w:hAnsi="宋体" w:cs="宋体"/>
          <w:color w:val="000000" w:themeColor="text1"/>
          <w:spacing w:val="-3"/>
          <w:sz w:val="24"/>
          <w:szCs w:val="24"/>
          <w14:textFill>
            <w14:solidFill>
              <w14:schemeClr w14:val="tx1"/>
            </w14:solidFill>
          </w14:textFill>
        </w:rPr>
        <w:t xml:space="preserve">内连续三个月的依法缴纳税收及缴纳社会保障资金的证明材料。投标人依法享受缓缴、</w:t>
      </w:r>
      <w:r>
        <w:rPr>
          <w:rFonts w:ascii="宋体" w:hAnsi="宋体" w:cs="宋体"/>
          <w:color w:val="000000" w:themeColor="text1"/>
          <w:spacing w:val="15"/>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免缴税收、社会保障资金的提供证明材料。</w:t>
      </w:r>
      <w:r>
        <w:rPr>
          <w:rFonts w:ascii="宋体" w:hAnsi="宋体" w:cs="宋体"/>
          <w:color w:val="000000" w:themeColor="text1"/>
          <w:spacing w:val="-51"/>
          <w:sz w:val="24"/>
          <w:szCs w:val="24"/>
          <w14:textFill>
            <w14:solidFill>
              <w14:schemeClr w14:val="tx1"/>
            </w14:solidFill>
          </w14:textFill>
        </w:rPr>
        <w:t xml:space="preserve">）；</w:t>
      </w:r>
      <w:r/>
    </w:p>
    <w:p>
      <w:pPr>
        <w:ind w:left="497"/>
        <w:spacing w:before="32"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1.4</w:t>
      </w:r>
      <w:r>
        <w:rPr>
          <w:rFonts w:ascii="宋体" w:hAnsi="宋体" w:cs="宋体"/>
          <w:color w:val="000000" w:themeColor="text1"/>
          <w:spacing w:val="-30"/>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具备履行合同所必需的设备和专业技术能力的书面声明；</w:t>
      </w:r>
      <w:r/>
    </w:p>
    <w:p>
      <w:pPr>
        <w:ind w:left="497"/>
        <w:spacing w:before="296"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1.5</w:t>
      </w:r>
      <w:r>
        <w:rPr>
          <w:rFonts w:ascii="宋体" w:hAnsi="宋体" w:cs="宋体"/>
          <w:color w:val="000000" w:themeColor="text1"/>
          <w:spacing w:val="-4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参加政府采购活动前</w:t>
      </w:r>
      <w:r>
        <w:rPr>
          <w:rFonts w:ascii="宋体" w:hAnsi="宋体" w:cs="宋体"/>
          <w:color w:val="000000" w:themeColor="text1"/>
          <w:spacing w:val="-45"/>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3</w:t>
      </w:r>
      <w:r>
        <w:rPr>
          <w:rFonts w:ascii="宋体" w:hAnsi="宋体" w:cs="宋体"/>
          <w:color w:val="000000" w:themeColor="text1"/>
          <w:spacing w:val="-50"/>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年内在经营活动中没有重大违法记录的书面声明。</w:t>
      </w:r>
      <w:r/>
    </w:p>
    <w:p>
      <w:pPr>
        <w:ind w:right="83" w:firstLine="482"/>
        <w:spacing w:before="298" w:line="43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8"/>
          <w:sz w:val="24"/>
          <w:szCs w:val="24"/>
          <w14:textFill>
            <w14:solidFill>
              <w14:schemeClr w14:val="tx1"/>
            </w14:solidFill>
          </w14:textFill>
        </w:rPr>
        <w:t xml:space="preserve">2.在“信用中国”网站（www.credi</w:t>
      </w:r>
      <w:r>
        <w:rPr>
          <w:rFonts w:ascii="宋体" w:hAnsi="宋体" w:cs="宋体"/>
          <w:color w:val="000000" w:themeColor="text1"/>
          <w:spacing w:val="-9"/>
          <w:sz w:val="24"/>
          <w:szCs w:val="24"/>
          <w14:textFill>
            <w14:solidFill>
              <w14:schemeClr w14:val="tx1"/>
            </w14:solidFill>
          </w14:textFill>
        </w:rPr>
        <w:t xml:space="preserve">tchina.gov.cn）查询，无被列入失信被执行人、</w:t>
      </w:r>
      <w:r>
        <w:rPr>
          <w:rFonts w:ascii="宋体" w:hAnsi="宋体" w:cs="宋体"/>
          <w:color w:val="000000" w:themeColor="text1"/>
          <w:spacing w:val="2"/>
          <w:sz w:val="24"/>
          <w:szCs w:val="24"/>
          <w14:textFill>
            <w14:solidFill>
              <w14:schemeClr w14:val="tx1"/>
            </w14:solidFill>
          </w14:textFill>
        </w:rPr>
        <w:t xml:space="preserve">重大税收违法案件当事人名单、政府采购严重失信行为记录</w:t>
      </w:r>
      <w:r>
        <w:rPr>
          <w:rFonts w:ascii="宋体" w:hAnsi="宋体" w:cs="宋体"/>
          <w:color w:val="000000" w:themeColor="text1"/>
          <w:spacing w:val="1"/>
          <w:sz w:val="24"/>
          <w:szCs w:val="24"/>
          <w14:textFill>
            <w14:solidFill>
              <w14:schemeClr w14:val="tx1"/>
            </w14:solidFill>
          </w14:textFill>
        </w:rPr>
        <w:t xml:space="preserve">名单及其他不符合《中华</w:t>
      </w:r>
      <w:r>
        <w:rPr>
          <w:rFonts w:ascii="宋体" w:hAnsi="宋体" w:cs="宋体"/>
          <w:color w:val="000000" w:themeColor="text1"/>
          <w:spacing w:val="-5"/>
          <w:sz w:val="24"/>
          <w:szCs w:val="24"/>
          <w14:textFill>
            <w14:solidFill>
              <w14:schemeClr w14:val="tx1"/>
            </w14:solidFill>
          </w14:textFill>
        </w:rPr>
        <w:t xml:space="preserve">人民共和国政府采购法》第二十二条规定条件的信用</w:t>
      </w:r>
      <w:r>
        <w:rPr>
          <w:rFonts w:ascii="宋体" w:hAnsi="宋体" w:cs="宋体"/>
          <w:color w:val="000000" w:themeColor="text1"/>
          <w:spacing w:val="-6"/>
          <w:sz w:val="24"/>
          <w:szCs w:val="24"/>
          <w14:textFill>
            <w14:solidFill>
              <w14:schemeClr w14:val="tx1"/>
            </w14:solidFill>
          </w14:textFill>
        </w:rPr>
        <w:t xml:space="preserve">记录。（投标文件中无需提供证明</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7"/>
          <w:sz w:val="24"/>
          <w:szCs w:val="24"/>
          <w14:textFill>
            <w14:solidFill>
              <w14:schemeClr w14:val="tx1"/>
            </w14:solidFill>
          </w14:textFill>
        </w:rPr>
        <w:t xml:space="preserve">材料）。</w:t>
      </w:r>
      <w:r/>
    </w:p>
    <w:p>
      <w:pPr>
        <w:ind w:left="479" w:right="3500" w:firstLine="5"/>
        <w:spacing w:before="35" w:line="433" w:lineRule="auto"/>
        <w:rPr>
          <w:rFonts w:ascii="宋体" w:hAnsi="宋体" w:cs="宋体"/>
          <w:color w:val="000000" w:themeColor="text1"/>
          <w:spacing w:val="-3"/>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3.落实政府采购政策需满足的资格要：无。</w:t>
      </w:r>
      <w:r/>
    </w:p>
    <w:p>
      <w:pPr>
        <w:ind w:left="479" w:right="3500" w:firstLine="5"/>
        <w:spacing w:before="35" w:line="433" w:lineRule="auto"/>
        <w:rPr>
          <w:rFonts w:ascii="宋体" w:hAnsi="宋体" w:cs="宋体"/>
          <w:color w:val="000000" w:themeColor="text1"/>
          <w:spacing w:val="-3"/>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4.</w:t>
      </w:r>
      <w:bookmarkStart w:id="20" w:name="OLE_LINK35"/>
      <w:r/>
      <w:bookmarkStart w:id="21" w:name="OLE_LINK34"/>
      <w:r>
        <w:rPr>
          <w:rFonts w:ascii="宋体" w:hAnsi="宋体" w:cs="宋体"/>
          <w:color w:val="000000" w:themeColor="text1"/>
          <w:spacing w:val="-3"/>
          <w:sz w:val="24"/>
          <w:szCs w:val="24"/>
          <w14:textFill>
            <w14:solidFill>
              <w14:schemeClr w14:val="tx1"/>
            </w14:solidFill>
          </w14:textFill>
        </w:rPr>
        <w:t xml:space="preserve">本项目不接受联合体投标。</w:t>
      </w:r>
      <w:bookmarkEnd w:id="20"/>
      <w:r/>
      <w:bookmarkEnd w:id="21"/>
      <w:r/>
      <w:r/>
    </w:p>
    <w:p>
      <w:pPr>
        <w:ind w:left="486"/>
        <w:spacing w:before="35"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（二）本项目的特定资格要求：无。</w:t>
      </w:r>
      <w:r/>
    </w:p>
    <w:p>
      <w:pPr>
        <w:pStyle w:val="1016"/>
        <w:spacing w:line="296"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499"/>
        <w:spacing w:before="101" w:line="225"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6"/>
          <w:sz w:val="31"/>
          <w:szCs w:val="31"/>
          <w14:textFill>
            <w14:solidFill>
              <w14:schemeClr w14:val="tx1"/>
            </w14:solidFill>
          </w14:textFill>
        </w:rPr>
        <w:t xml:space="preserve">三、获取招标文件</w:t>
      </w:r>
      <w:r/>
    </w:p>
    <w:p>
      <w:pPr>
        <w:pStyle w:val="1016"/>
        <w:spacing w:line="308"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557"/>
        <w:spacing w:before="79" w:line="21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1.时间：自招标文件公告发布之日起</w:t>
      </w:r>
      <w:r>
        <w:rPr>
          <w:rFonts w:ascii="宋体" w:hAnsi="宋体" w:cs="宋体"/>
          <w:color w:val="000000" w:themeColor="text1"/>
          <w:spacing w:val="-31"/>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5</w:t>
      </w:r>
      <w:r>
        <w:rPr>
          <w:rFonts w:ascii="宋体" w:hAnsi="宋体" w:cs="宋体"/>
          <w:color w:val="000000" w:themeColor="text1"/>
          <w:spacing w:val="-51"/>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个工作日。</w:t>
      </w:r>
      <w:r/>
    </w:p>
    <w:p>
      <w:pPr>
        <w:ind w:left="542"/>
        <w:spacing w:before="298"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2.方式：在“江苏政府采购网”自行免费下载招标文件。</w:t>
      </w:r>
      <w:r/>
    </w:p>
    <w:p>
      <w:pPr>
        <w:pStyle w:val="1016"/>
        <w:spacing w:line="296"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529"/>
        <w:spacing w:before="100" w:line="225"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5"/>
          <w:sz w:val="31"/>
          <w:szCs w:val="31"/>
          <w14:textFill>
            <w14:solidFill>
              <w14:schemeClr w14:val="tx1"/>
            </w14:solidFill>
          </w14:textFill>
        </w:rPr>
        <w:t xml:space="preserve">四、提交投标文件截止时间、开标时间和地点</w:t>
      </w:r>
      <w:r/>
    </w:p>
    <w:p>
      <w:pPr>
        <w:pStyle w:val="1016"/>
        <w:spacing w:line="308"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497"/>
        <w:spacing w:before="79"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6"/>
          <w:sz w:val="24"/>
          <w:szCs w:val="24"/>
          <w:u w:val="single"/>
          <w14:textFill>
            <w14:solidFill>
              <w14:schemeClr w14:val="tx1"/>
            </w14:solidFill>
          </w14:textFill>
        </w:rPr>
        <w:t xml:space="preserve">1.2024</w:t>
      </w:r>
      <w:r>
        <w:rPr>
          <w:rFonts w:ascii="宋体" w:hAnsi="宋体" w:cs="宋体"/>
          <w:color w:val="000000" w:themeColor="text1"/>
          <w:spacing w:val="-50"/>
          <w:sz w:val="24"/>
          <w:szCs w:val="24"/>
          <w:u w:val="single"/>
          <w14:textFill>
            <w14:solidFill>
              <w14:schemeClr w14:val="tx1"/>
            </w14:solidFill>
          </w14:textFill>
        </w:rPr>
        <w:t xml:space="preserve"> </w:t>
      </w:r>
      <w:r>
        <w:rPr>
          <w:rFonts w:ascii="宋体" w:hAnsi="宋体" w:cs="宋体"/>
          <w:color w:val="000000" w:themeColor="text1"/>
          <w:spacing w:val="-6"/>
          <w:sz w:val="24"/>
          <w:szCs w:val="24"/>
          <w:u w:val="single"/>
          <w14:textFill>
            <w14:solidFill>
              <w14:schemeClr w14:val="tx1"/>
            </w14:solidFill>
          </w14:textFill>
        </w:rPr>
        <w:t xml:space="preserve">年</w:t>
      </w:r>
      <w:r>
        <w:rPr>
          <w:rFonts w:ascii="宋体" w:hAnsi="宋体" w:cs="宋体"/>
          <w:color w:val="000000" w:themeColor="text1"/>
          <w:spacing w:val="-53"/>
          <w:sz w:val="24"/>
          <w:szCs w:val="24"/>
          <w:u w:val="single"/>
          <w14:textFill>
            <w14:solidFill>
              <w14:schemeClr w14:val="tx1"/>
            </w14:solidFill>
          </w14:textFill>
        </w:rPr>
        <w:t xml:space="preserve"> 11</w:t>
      </w:r>
      <w:r>
        <w:rPr>
          <w:rFonts w:ascii="宋体" w:hAnsi="宋体" w:cs="宋体"/>
          <w:color w:val="000000" w:themeColor="text1"/>
          <w:spacing w:val="-45"/>
          <w:sz w:val="24"/>
          <w:szCs w:val="24"/>
          <w:u w:val="single"/>
          <w14:textFill>
            <w14:solidFill>
              <w14:schemeClr w14:val="tx1"/>
            </w14:solidFill>
          </w14:textFill>
        </w:rPr>
        <w:t xml:space="preserve"> </w:t>
      </w:r>
      <w:r>
        <w:rPr>
          <w:rFonts w:ascii="宋体" w:hAnsi="宋体" w:cs="宋体"/>
          <w:color w:val="000000" w:themeColor="text1"/>
          <w:spacing w:val="-6"/>
          <w:sz w:val="24"/>
          <w:szCs w:val="24"/>
          <w:u w:val="single"/>
          <w14:textFill>
            <w14:solidFill>
              <w14:schemeClr w14:val="tx1"/>
            </w14:solidFill>
          </w14:textFill>
        </w:rPr>
        <w:t xml:space="preserve">月</w:t>
      </w:r>
      <w:r>
        <w:rPr>
          <w:rFonts w:ascii="宋体" w:hAnsi="宋体" w:cs="宋体"/>
          <w:color w:val="000000" w:themeColor="text1"/>
          <w:spacing w:val="-53"/>
          <w:sz w:val="24"/>
          <w:szCs w:val="24"/>
          <w:u w:val="single"/>
          <w14:textFill>
            <w14:solidFill>
              <w14:schemeClr w14:val="tx1"/>
            </w14:solidFill>
          </w14:textFill>
        </w:rPr>
        <w:t xml:space="preserve"> 13</w:t>
      </w:r>
      <w:r>
        <w:rPr>
          <w:rFonts w:ascii="宋体" w:hAnsi="宋体" w:cs="宋体"/>
          <w:color w:val="000000" w:themeColor="text1"/>
          <w:spacing w:val="-6"/>
          <w:sz w:val="24"/>
          <w:szCs w:val="24"/>
          <w:u w:val="single"/>
          <w14:textFill>
            <w14:solidFill>
              <w14:schemeClr w14:val="tx1"/>
            </w14:solidFill>
          </w14:textFill>
        </w:rPr>
        <w:t xml:space="preserve"> 日</w:t>
      </w:r>
      <w:r>
        <w:rPr>
          <w:rFonts w:ascii="宋体" w:hAnsi="宋体" w:cs="宋体"/>
          <w:color w:val="000000" w:themeColor="text1"/>
          <w:spacing w:val="-54"/>
          <w:sz w:val="24"/>
          <w:szCs w:val="24"/>
          <w:u w:val="single"/>
          <w14:textFill>
            <w14:solidFill>
              <w14:schemeClr w14:val="tx1"/>
            </w14:solidFill>
          </w14:textFill>
        </w:rPr>
        <w:t xml:space="preserve"> 9</w:t>
      </w:r>
      <w:r>
        <w:rPr>
          <w:rFonts w:ascii="宋体" w:hAnsi="宋体" w:cs="宋体"/>
          <w:color w:val="000000" w:themeColor="text1"/>
          <w:spacing w:val="-6"/>
          <w:sz w:val="24"/>
          <w:szCs w:val="24"/>
          <w:u w:val="single"/>
          <w14:textFill>
            <w14:solidFill>
              <w14:schemeClr w14:val="tx1"/>
            </w14:solidFill>
          </w14:textFill>
        </w:rPr>
        <w:t xml:space="preserve">点30</w:t>
      </w:r>
      <w:r>
        <w:rPr>
          <w:rFonts w:ascii="宋体" w:hAnsi="宋体" w:cs="宋体"/>
          <w:color w:val="000000" w:themeColor="text1"/>
          <w:spacing w:val="-47"/>
          <w:sz w:val="24"/>
          <w:szCs w:val="24"/>
          <w:u w:val="single"/>
          <w14:textFill>
            <w14:solidFill>
              <w14:schemeClr w14:val="tx1"/>
            </w14:solidFill>
          </w14:textFill>
        </w:rPr>
        <w:t xml:space="preserve"> </w:t>
      </w:r>
      <w:r>
        <w:rPr>
          <w:rFonts w:ascii="宋体" w:hAnsi="宋体" w:cs="宋体"/>
          <w:color w:val="000000" w:themeColor="text1"/>
          <w:spacing w:val="-7"/>
          <w:sz w:val="24"/>
          <w:szCs w:val="24"/>
          <w:u w:val="single"/>
          <w14:textFill>
            <w14:solidFill>
              <w14:schemeClr w14:val="tx1"/>
            </w14:solidFill>
          </w14:textFill>
        </w:rPr>
        <w:t xml:space="preserve">分</w:t>
      </w:r>
      <w:r>
        <w:rPr>
          <w:rFonts w:ascii="宋体" w:hAnsi="宋体" w:cs="宋体"/>
          <w:color w:val="000000" w:themeColor="text1"/>
          <w:spacing w:val="-7"/>
          <w:sz w:val="24"/>
          <w:szCs w:val="24"/>
          <w14:textFill>
            <w14:solidFill>
              <w14:schemeClr w14:val="tx1"/>
            </w14:solidFill>
          </w14:textFill>
        </w:rPr>
        <w:t xml:space="preserve">（北京时间）</w:t>
      </w:r>
      <w:r/>
    </w:p>
    <w:p>
      <w:pPr>
        <w:ind w:left="482"/>
        <w:spacing w:before="292"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2.地点：江苏省政府采购交易执行系统网上开标大厅。</w:t>
      </w:r>
      <w:r/>
    </w:p>
    <w:p>
      <w:pPr>
        <w:pStyle w:val="1016"/>
        <w:spacing w:line="297"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504"/>
        <w:spacing w:before="102" w:line="224"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5"/>
          <w:sz w:val="31"/>
          <w:szCs w:val="31"/>
          <w14:textFill>
            <w14:solidFill>
              <w14:schemeClr w14:val="tx1"/>
            </w14:solidFill>
          </w14:textFill>
        </w:rPr>
        <w:t xml:space="preserve">五、公告期限</w:t>
      </w:r>
      <w:r/>
    </w:p>
    <w:p>
      <w:pPr>
        <w:pStyle w:val="1016"/>
        <w:spacing w:line="31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480"/>
        <w:spacing w:before="79" w:line="218" w:lineRule="auto"/>
        <w:rPr>
          <w:rFonts w:ascii="宋体" w:hAnsi="宋体" w:cs="宋体"/>
          <w:color w:val="000000" w:themeColor="text1"/>
          <w:spacing w:val="-3"/>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招标公告及招标文件公告期限为自本公告发布之日起</w:t>
      </w:r>
      <w:r>
        <w:rPr>
          <w:rFonts w:ascii="宋体" w:hAnsi="宋体" w:cs="宋体"/>
          <w:color w:val="000000" w:themeColor="text1"/>
          <w:spacing w:val="-45"/>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5</w:t>
      </w:r>
      <w:r>
        <w:rPr>
          <w:rFonts w:ascii="宋体" w:hAnsi="宋体" w:cs="宋体"/>
          <w:color w:val="000000" w:themeColor="text1"/>
          <w:spacing w:val="-5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个工</w:t>
      </w:r>
      <w:r>
        <w:rPr>
          <w:rFonts w:ascii="宋体" w:hAnsi="宋体" w:cs="宋体"/>
          <w:color w:val="000000" w:themeColor="text1"/>
          <w:spacing w:val="-3"/>
          <w:sz w:val="24"/>
          <w:szCs w:val="24"/>
          <w14:textFill>
            <w14:solidFill>
              <w14:schemeClr w14:val="tx1"/>
            </w14:solidFill>
          </w14:textFill>
        </w:rPr>
        <w:t xml:space="preserve">作日</w:t>
      </w:r>
      <w:r/>
    </w:p>
    <w:p>
      <w:pPr>
        <w:spacing w:before="118" w:line="226" w:lineRule="auto"/>
        <w:rPr>
          <w:rFonts w:ascii="宋体" w:hAnsi="宋体" w:cs="宋体"/>
          <w:b/>
          <w:bCs/>
          <w:color w:val="000000" w:themeColor="text1"/>
          <w:spacing w:val="5"/>
          <w:sz w:val="31"/>
          <w:szCs w:val="31"/>
          <w14:textFill>
            <w14:solidFill>
              <w14:schemeClr w14:val="tx1"/>
            </w14:solidFill>
          </w14:textFill>
        </w:rPr>
        <w:outlineLvl w:val="1"/>
      </w:pPr>
      <w:r>
        <w:rPr>
          <w:rFonts w:ascii="宋体" w:hAnsi="宋体" w:cs="宋体"/>
          <w:b/>
          <w:bCs/>
          <w:color w:val="000000" w:themeColor="text1"/>
          <w:spacing w:val="5"/>
          <w:sz w:val="31"/>
          <w:szCs w:val="31"/>
          <w14:textFill>
            <w14:solidFill>
              <w14:schemeClr w14:val="tx1"/>
            </w14:solidFill>
          </w14:textFill>
        </w:rPr>
      </w:r>
      <w:r/>
    </w:p>
    <w:p>
      <w:pPr>
        <w:ind w:firstLine="632"/>
        <w:spacing w:before="118" w:line="226"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5"/>
          <w:sz w:val="31"/>
          <w:szCs w:val="31"/>
          <w14:textFill>
            <w14:solidFill>
              <w14:schemeClr w14:val="tx1"/>
            </w14:solidFill>
          </w14:textFill>
        </w:rPr>
        <w:t xml:space="preserve">六、其他补充事宜</w:t>
      </w:r>
      <w:r/>
    </w:p>
    <w:p>
      <w:pPr>
        <w:pStyle w:val="1016"/>
        <w:spacing w:line="307"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498"/>
        <w:spacing w:before="78"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无</w:t>
      </w:r>
      <w:r/>
    </w:p>
    <w:p>
      <w:pPr>
        <w:pStyle w:val="1016"/>
        <w:spacing w:line="297"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515"/>
        <w:spacing w:before="100" w:line="224"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6"/>
          <w:sz w:val="31"/>
          <w:szCs w:val="31"/>
          <w14:textFill>
            <w14:solidFill>
              <w14:schemeClr w14:val="tx1"/>
            </w14:solidFill>
          </w14:textFill>
        </w:rPr>
        <w:t xml:space="preserve">七、本次招标联系方式</w:t>
      </w:r>
      <w:r/>
    </w:p>
    <w:p>
      <w:pPr>
        <w:pStyle w:val="1016"/>
        <w:spacing w:line="307"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876"/>
        <w:spacing w:before="78" w:line="219" w:lineRule="auto"/>
        <w:rPr>
          <w:rFonts w:ascii="宋体" w:hAnsi="宋体" w:cs="宋体"/>
          <w:color w:val="000000" w:themeColor="text1"/>
          <w:sz w:val="24"/>
          <w:szCs w:val="24"/>
          <w14:textFill>
            <w14:solidFill>
              <w14:schemeClr w14:val="tx1"/>
            </w14:solidFill>
          </w14:textFill>
        </w:rPr>
      </w:pPr>
      <w:r/>
      <w:bookmarkStart w:id="22" w:name="OLE_LINK45"/>
      <w:r/>
      <w:bookmarkStart w:id="23" w:name="OLE_LINK44"/>
      <w:r>
        <w:rPr>
          <w:rFonts w:ascii="宋体" w:hAnsi="宋体" w:cs="宋体"/>
          <w:color w:val="000000" w:themeColor="text1"/>
          <w:spacing w:val="-4"/>
          <w:sz w:val="24"/>
          <w:szCs w:val="24"/>
          <w14:textFill>
            <w14:solidFill>
              <w14:schemeClr w14:val="tx1"/>
            </w14:solidFill>
          </w14:textFill>
        </w:rPr>
        <w:t xml:space="preserve">1.采购人信息</w:t>
      </w:r>
      <w:r/>
    </w:p>
    <w:p>
      <w:pPr>
        <w:ind w:left="799"/>
        <w:spacing w:before="291" w:line="219" w:lineRule="auto"/>
        <w:rPr>
          <w:rFonts w:ascii="宋体" w:hAnsi="宋体" w:cs="宋体"/>
          <w:color w:val="000000" w:themeColor="text1"/>
          <w:spacing w:val="-1"/>
          <w:sz w:val="24"/>
          <w:szCs w:val="24"/>
          <w14:textFill>
            <w14:solidFill>
              <w14:schemeClr w14:val="tx1"/>
            </w14:solidFill>
          </w14:textFill>
        </w:rPr>
      </w:pPr>
      <w:r>
        <w:rPr>
          <w:rFonts w:hint="eastAsia" w:ascii="宋体" w:hAnsi="宋体" w:cs="宋体"/>
          <w:color w:val="000000" w:themeColor="text1"/>
          <w:spacing w:val="-1"/>
          <w:sz w:val="24"/>
          <w:szCs w:val="24"/>
          <w14:textFill>
            <w14:solidFill>
              <w14:schemeClr w14:val="tx1"/>
            </w14:solidFill>
          </w14:textFill>
        </w:rPr>
        <w:t xml:space="preserve">名</w:t>
      </w:r>
      <w:r>
        <w:rPr>
          <w:rFonts w:ascii="宋体" w:hAnsi="宋体" w:cs="宋体"/>
          <w:color w:val="000000" w:themeColor="text1"/>
          <w:spacing w:val="-1"/>
          <w:sz w:val="24"/>
          <w:szCs w:val="24"/>
          <w14:textFill>
            <w14:solidFill>
              <w14:schemeClr w14:val="tx1"/>
            </w14:solidFill>
          </w14:textFill>
        </w:rPr>
        <w:t xml:space="preserve"> </w:t>
      </w:r>
      <w:r>
        <w:rPr>
          <w:rFonts w:hint="eastAsia" w:ascii="宋体" w:hAnsi="宋体" w:cs="宋体"/>
          <w:color w:val="000000" w:themeColor="text1"/>
          <w:spacing w:val="-1"/>
          <w:sz w:val="24"/>
          <w:szCs w:val="24"/>
          <w14:textFill>
            <w14:solidFill>
              <w14:schemeClr w14:val="tx1"/>
            </w14:solidFill>
          </w14:textFill>
        </w:rPr>
        <w:t xml:space="preserve">称：</w:t>
      </w:r>
      <w:bookmarkStart w:id="24" w:name="OLE_LINK37"/>
      <w:r/>
      <w:bookmarkStart w:id="25" w:name="OLE_LINK39"/>
      <w:r/>
      <w:bookmarkStart w:id="26" w:name="OLE_LINK38"/>
      <w:r>
        <w:rPr>
          <w:rFonts w:hint="eastAsia" w:ascii="宋体" w:hAnsi="宋体" w:cs="宋体"/>
          <w:color w:val="000000" w:themeColor="text1"/>
          <w:spacing w:val="-1"/>
          <w:sz w:val="24"/>
          <w:szCs w:val="24"/>
          <w14:textFill>
            <w14:solidFill>
              <w14:schemeClr w14:val="tx1"/>
            </w14:solidFill>
          </w14:textFill>
        </w:rPr>
        <w:t xml:space="preserve">江苏开放大学（江苏城市职业学院）</w:t>
      </w:r>
      <w:bookmarkEnd w:id="24"/>
      <w:r/>
      <w:bookmarkEnd w:id="25"/>
      <w:r/>
      <w:bookmarkEnd w:id="26"/>
      <w:r>
        <w:rPr>
          <w:rFonts w:ascii="宋体" w:hAnsi="宋体" w:cs="宋体"/>
          <w:color w:val="000000" w:themeColor="text1"/>
          <w:spacing w:val="-1"/>
          <w:sz w:val="24"/>
          <w:szCs w:val="24"/>
          <w14:textFill>
            <w14:solidFill>
              <w14:schemeClr w14:val="tx1"/>
            </w14:solidFill>
          </w14:textFill>
        </w:rPr>
        <w:t xml:space="preserve"> </w:t>
      </w:r>
      <w:r/>
    </w:p>
    <w:p>
      <w:pPr>
        <w:ind w:left="799"/>
        <w:spacing w:before="291" w:line="219" w:lineRule="auto"/>
        <w:rPr>
          <w:rFonts w:ascii="宋体" w:hAnsi="宋体" w:cs="宋体"/>
          <w:color w:val="000000" w:themeColor="text1"/>
          <w:spacing w:val="-1"/>
          <w:sz w:val="24"/>
          <w:szCs w:val="24"/>
          <w14:textFill>
            <w14:solidFill>
              <w14:schemeClr w14:val="tx1"/>
            </w14:solidFill>
          </w14:textFill>
        </w:rPr>
      </w:pPr>
      <w:r>
        <w:rPr>
          <w:rFonts w:hint="eastAsia" w:ascii="宋体" w:hAnsi="宋体" w:cs="宋体"/>
          <w:color w:val="000000" w:themeColor="text1"/>
          <w:spacing w:val="-1"/>
          <w:sz w:val="24"/>
          <w:szCs w:val="24"/>
          <w14:textFill>
            <w14:solidFill>
              <w14:schemeClr w14:val="tx1"/>
            </w14:solidFill>
          </w14:textFill>
        </w:rPr>
        <w:t xml:space="preserve">地</w:t>
      </w:r>
      <w:r>
        <w:rPr>
          <w:rFonts w:ascii="宋体" w:hAnsi="宋体" w:cs="宋体"/>
          <w:color w:val="000000" w:themeColor="text1"/>
          <w:spacing w:val="-1"/>
          <w:sz w:val="24"/>
          <w:szCs w:val="24"/>
          <w14:textFill>
            <w14:solidFill>
              <w14:schemeClr w14:val="tx1"/>
            </w14:solidFill>
          </w14:textFill>
        </w:rPr>
        <w:t xml:space="preserve"> </w:t>
      </w:r>
      <w:r>
        <w:rPr>
          <w:rFonts w:hint="eastAsia" w:ascii="宋体" w:hAnsi="宋体" w:cs="宋体"/>
          <w:color w:val="000000" w:themeColor="text1"/>
          <w:spacing w:val="-1"/>
          <w:sz w:val="24"/>
          <w:szCs w:val="24"/>
          <w14:textFill>
            <w14:solidFill>
              <w14:schemeClr w14:val="tx1"/>
            </w14:solidFill>
          </w14:textFill>
        </w:rPr>
        <w:t xml:space="preserve">址：</w:t>
      </w:r>
      <w:r>
        <w:rPr>
          <w:rFonts w:ascii="宋体" w:hAnsi="宋体" w:cs="宋体"/>
          <w:color w:val="000000" w:themeColor="text1"/>
          <w:spacing w:val="-1"/>
          <w:sz w:val="24"/>
          <w:szCs w:val="24"/>
          <w14:textFill>
            <w14:solidFill>
              <w14:schemeClr w14:val="tx1"/>
            </w14:solidFill>
          </w14:textFill>
        </w:rPr>
        <w:t xml:space="preserve">  </w:t>
      </w:r>
      <w:bookmarkStart w:id="27" w:name="OLE_LINK41"/>
      <w:r/>
      <w:bookmarkStart w:id="28" w:name="OLE_LINK40"/>
      <w:r>
        <w:rPr>
          <w:rFonts w:hint="eastAsia" w:ascii="宋体" w:hAnsi="宋体" w:cs="宋体"/>
          <w:color w:val="000000" w:themeColor="text1"/>
          <w:spacing w:val="-1"/>
          <w:sz w:val="24"/>
          <w:szCs w:val="24"/>
          <w14:textFill>
            <w14:solidFill>
              <w14:schemeClr w14:val="tx1"/>
            </w14:solidFill>
          </w14:textFill>
        </w:rPr>
        <w:t xml:space="preserve">南京市鼓楼区江东北路</w:t>
      </w:r>
      <w:r>
        <w:rPr>
          <w:rFonts w:ascii="宋体" w:hAnsi="宋体" w:cs="宋体"/>
          <w:color w:val="000000" w:themeColor="text1"/>
          <w:spacing w:val="-1"/>
          <w:sz w:val="24"/>
          <w:szCs w:val="24"/>
          <w14:textFill>
            <w14:solidFill>
              <w14:schemeClr w14:val="tx1"/>
            </w14:solidFill>
          </w14:textFill>
        </w:rPr>
        <w:t xml:space="preserve"> 399 </w:t>
      </w:r>
      <w:r>
        <w:rPr>
          <w:rFonts w:hint="eastAsia" w:ascii="宋体" w:hAnsi="宋体" w:cs="宋体"/>
          <w:color w:val="000000" w:themeColor="text1"/>
          <w:spacing w:val="-1"/>
          <w:sz w:val="24"/>
          <w:szCs w:val="24"/>
          <w14:textFill>
            <w14:solidFill>
              <w14:schemeClr w14:val="tx1"/>
            </w14:solidFill>
          </w14:textFill>
        </w:rPr>
        <w:t xml:space="preserve">号</w:t>
      </w:r>
      <w:bookmarkEnd w:id="27"/>
      <w:r/>
      <w:bookmarkEnd w:id="28"/>
      <w:r/>
      <w:r/>
    </w:p>
    <w:p>
      <w:pPr>
        <w:ind w:left="799"/>
        <w:spacing w:before="291" w:line="219" w:lineRule="auto"/>
        <w:rPr>
          <w:rFonts w:ascii="宋体" w:hAnsi="宋体" w:cs="宋体"/>
          <w:color w:val="000000" w:themeColor="text1"/>
          <w:spacing w:val="-1"/>
          <w:sz w:val="24"/>
          <w:szCs w:val="24"/>
          <w14:textFill>
            <w14:solidFill>
              <w14:schemeClr w14:val="tx1"/>
            </w14:solidFill>
          </w14:textFill>
        </w:rPr>
      </w:pPr>
      <w:r/>
      <w:bookmarkStart w:id="29" w:name="_Hlk179900141"/>
      <w:r>
        <w:rPr>
          <w:rFonts w:hint="eastAsia" w:ascii="宋体" w:hAnsi="宋体" w:cs="宋体"/>
          <w:color w:val="000000" w:themeColor="text1"/>
          <w:spacing w:val="-1"/>
          <w:sz w:val="24"/>
          <w:szCs w:val="24"/>
          <w14:textFill>
            <w14:solidFill>
              <w14:schemeClr w14:val="tx1"/>
            </w14:solidFill>
          </w14:textFill>
        </w:rPr>
        <w:t xml:space="preserve">联系人：</w:t>
      </w:r>
      <w:bookmarkStart w:id="30" w:name="OLE_LINK42"/>
      <w:r/>
      <w:bookmarkStart w:id="31" w:name="OLE_LINK43"/>
      <w:r>
        <w:rPr>
          <w:rFonts w:hint="eastAsia" w:ascii="宋体" w:hAnsi="宋体" w:cs="宋体"/>
          <w:color w:val="000000" w:themeColor="text1"/>
          <w:spacing w:val="-1"/>
          <w:sz w:val="24"/>
          <w:szCs w:val="24"/>
          <w14:textFill>
            <w14:solidFill>
              <w14:schemeClr w14:val="tx1"/>
            </w14:solidFill>
          </w14:textFill>
        </w:rPr>
        <w:t xml:space="preserve">李老师</w:t>
      </w:r>
      <w:bookmarkEnd w:id="30"/>
      <w:r/>
      <w:bookmarkEnd w:id="31"/>
      <w:r/>
      <w:r/>
    </w:p>
    <w:p>
      <w:pPr>
        <w:ind w:left="799"/>
        <w:spacing w:before="291" w:line="219" w:lineRule="auto"/>
        <w:rPr>
          <w:rFonts w:ascii="宋体" w:hAnsi="宋体" w:cs="宋体"/>
          <w:color w:val="000000" w:themeColor="text1"/>
          <w:spacing w:val="-1"/>
          <w:sz w:val="24"/>
          <w:szCs w:val="24"/>
          <w14:textFill>
            <w14:solidFill>
              <w14:schemeClr w14:val="tx1"/>
            </w14:solidFill>
          </w14:textFill>
        </w:rPr>
      </w:pPr>
      <w:r>
        <w:rPr>
          <w:rFonts w:hint="eastAsia" w:ascii="宋体" w:hAnsi="宋体" w:cs="宋体"/>
          <w:color w:val="000000" w:themeColor="text1"/>
          <w:spacing w:val="-1"/>
          <w:sz w:val="24"/>
          <w:szCs w:val="24"/>
          <w14:textFill>
            <w14:solidFill>
              <w14:schemeClr w14:val="tx1"/>
            </w14:solidFill>
          </w14:textFill>
        </w:rPr>
        <w:t xml:space="preserve">联系方式：025-86265605</w:t>
      </w:r>
      <w:bookmarkEnd w:id="22"/>
      <w:r/>
      <w:bookmarkEnd w:id="23"/>
      <w:r/>
      <w:bookmarkEnd w:id="29"/>
      <w:r/>
      <w:r/>
    </w:p>
    <w:p>
      <w:pPr>
        <w:ind w:left="799"/>
        <w:spacing w:before="291" w:line="219" w:lineRule="auto"/>
        <w:rPr>
          <w:rFonts w:ascii="宋体" w:hAnsi="宋体" w:cs="宋体"/>
          <w:color w:val="000000" w:themeColor="text1"/>
          <w:sz w:val="24"/>
          <w:szCs w:val="24"/>
          <w14:textFill>
            <w14:solidFill>
              <w14:schemeClr w14:val="tx1"/>
            </w14:solidFill>
          </w14:textFill>
        </w:rPr>
      </w:pPr>
      <w:r/>
      <w:bookmarkStart w:id="32" w:name="OLE_LINK46"/>
      <w:r/>
      <w:bookmarkStart w:id="33" w:name="OLE_LINK47"/>
      <w:r>
        <w:rPr>
          <w:rFonts w:ascii="宋体" w:hAnsi="宋体" w:cs="宋体"/>
          <w:color w:val="000000" w:themeColor="text1"/>
          <w:spacing w:val="-1"/>
          <w:sz w:val="24"/>
          <w:szCs w:val="24"/>
          <w14:textFill>
            <w14:solidFill>
              <w14:schemeClr w14:val="tx1"/>
            </w14:solidFill>
          </w14:textFill>
        </w:rPr>
        <w:t xml:space="preserve">2.江苏省政府采购中心信息</w:t>
      </w:r>
      <w:r/>
    </w:p>
    <w:p>
      <w:pPr>
        <w:ind w:left="736"/>
        <w:spacing w:before="29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地  址：</w:t>
      </w:r>
      <w:r>
        <w:rPr>
          <w:rFonts w:ascii="宋体" w:hAnsi="宋体" w:cs="宋体"/>
          <w:color w:val="000000" w:themeColor="text1"/>
          <w:spacing w:val="-3"/>
          <w:sz w:val="24"/>
          <w:szCs w:val="24"/>
          <w:u w:val="single"/>
          <w14:textFill>
            <w14:solidFill>
              <w14:schemeClr w14:val="tx1"/>
            </w14:solidFill>
          </w14:textFill>
        </w:rPr>
        <w:t xml:space="preserve">南京市汉中门大街</w:t>
      </w:r>
      <w:r>
        <w:rPr>
          <w:rFonts w:ascii="宋体" w:hAnsi="宋体" w:cs="宋体"/>
          <w:color w:val="000000" w:themeColor="text1"/>
          <w:spacing w:val="-21"/>
          <w:sz w:val="24"/>
          <w:szCs w:val="24"/>
          <w:u w:val="single"/>
          <w14:textFill>
            <w14:solidFill>
              <w14:schemeClr w14:val="tx1"/>
            </w14:solidFill>
          </w14:textFill>
        </w:rPr>
        <w:t xml:space="preserve"> </w:t>
      </w:r>
      <w:r>
        <w:rPr>
          <w:rFonts w:ascii="宋体" w:hAnsi="宋体" w:cs="宋体"/>
          <w:color w:val="000000" w:themeColor="text1"/>
          <w:spacing w:val="-3"/>
          <w:sz w:val="24"/>
          <w:szCs w:val="24"/>
          <w:u w:val="single"/>
          <w14:textFill>
            <w14:solidFill>
              <w14:schemeClr w14:val="tx1"/>
            </w14:solidFill>
          </w14:textFill>
        </w:rPr>
        <w:t xml:space="preserve">145</w:t>
      </w:r>
      <w:r>
        <w:rPr>
          <w:rFonts w:ascii="宋体" w:hAnsi="宋体" w:cs="宋体"/>
          <w:color w:val="000000" w:themeColor="text1"/>
          <w:spacing w:val="-45"/>
          <w:sz w:val="24"/>
          <w:szCs w:val="24"/>
          <w:u w:val="single"/>
          <w14:textFill>
            <w14:solidFill>
              <w14:schemeClr w14:val="tx1"/>
            </w14:solidFill>
          </w14:textFill>
        </w:rPr>
        <w:t xml:space="preserve"> </w:t>
      </w:r>
      <w:r>
        <w:rPr>
          <w:rFonts w:ascii="宋体" w:hAnsi="宋体" w:cs="宋体"/>
          <w:color w:val="000000" w:themeColor="text1"/>
          <w:spacing w:val="-3"/>
          <w:sz w:val="24"/>
          <w:szCs w:val="24"/>
          <w:u w:val="single"/>
          <w14:textFill>
            <w14:solidFill>
              <w14:schemeClr w14:val="tx1"/>
            </w14:solidFill>
          </w14:textFill>
        </w:rPr>
        <w:t xml:space="preserve">号省政务中心二期</w:t>
      </w:r>
      <w:r>
        <w:rPr>
          <w:rFonts w:ascii="宋体" w:hAnsi="宋体" w:cs="宋体"/>
          <w:color w:val="000000" w:themeColor="text1"/>
          <w:spacing w:val="-45"/>
          <w:sz w:val="24"/>
          <w:szCs w:val="24"/>
          <w:u w:val="single"/>
          <w14:textFill>
            <w14:solidFill>
              <w14:schemeClr w14:val="tx1"/>
            </w14:solidFill>
          </w14:textFill>
        </w:rPr>
        <w:t xml:space="preserve"> </w:t>
      </w:r>
      <w:r>
        <w:rPr>
          <w:rFonts w:ascii="宋体" w:hAnsi="宋体" w:cs="宋体"/>
          <w:color w:val="000000" w:themeColor="text1"/>
          <w:spacing w:val="-3"/>
          <w:sz w:val="24"/>
          <w:szCs w:val="24"/>
          <w:u w:val="single"/>
          <w14:textFill>
            <w14:solidFill>
              <w14:schemeClr w14:val="tx1"/>
            </w14:solidFill>
          </w14:textFill>
        </w:rPr>
        <w:t xml:space="preserve">3</w:t>
      </w:r>
      <w:r>
        <w:rPr>
          <w:rFonts w:ascii="宋体" w:hAnsi="宋体" w:cs="宋体"/>
          <w:color w:val="000000" w:themeColor="text1"/>
          <w:spacing w:val="-52"/>
          <w:sz w:val="24"/>
          <w:szCs w:val="24"/>
          <w:u w:val="single"/>
          <w14:textFill>
            <w14:solidFill>
              <w14:schemeClr w14:val="tx1"/>
            </w14:solidFill>
          </w14:textFill>
        </w:rPr>
        <w:t xml:space="preserve"> </w:t>
      </w:r>
      <w:r>
        <w:rPr>
          <w:rFonts w:ascii="宋体" w:hAnsi="宋体" w:cs="宋体"/>
          <w:color w:val="000000" w:themeColor="text1"/>
          <w:spacing w:val="-3"/>
          <w:sz w:val="24"/>
          <w:szCs w:val="24"/>
          <w:u w:val="single"/>
          <w14:textFill>
            <w14:solidFill>
              <w14:schemeClr w14:val="tx1"/>
            </w14:solidFill>
          </w14:textFill>
        </w:rPr>
        <w:t xml:space="preserve">楼南区</w:t>
      </w:r>
      <w:r/>
    </w:p>
    <w:p>
      <w:pPr>
        <w:ind w:left="737"/>
        <w:spacing w:before="295" w:line="22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联系人：</w:t>
      </w:r>
      <w:r>
        <w:rPr>
          <w:rFonts w:hint="eastAsia" w:ascii="宋体" w:hAnsi="宋体" w:cs="宋体"/>
          <w:color w:val="000000" w:themeColor="text1"/>
          <w:spacing w:val="-2"/>
          <w:sz w:val="24"/>
          <w:szCs w:val="24"/>
          <w:u w:val="single"/>
          <w14:textFill>
            <w14:solidFill>
              <w14:schemeClr w14:val="tx1"/>
            </w14:solidFill>
          </w14:textFill>
        </w:rPr>
        <w:t xml:space="preserve">许滢</w:t>
      </w:r>
      <w:r/>
    </w:p>
    <w:p>
      <w:pPr>
        <w:ind w:left="737"/>
        <w:spacing w:before="290" w:line="221"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联系方式：</w:t>
      </w:r>
      <w:r>
        <w:rPr>
          <w:rFonts w:hint="eastAsia" w:ascii="宋体" w:hAnsi="宋体" w:cs="宋体"/>
          <w:color w:val="000000" w:themeColor="text1"/>
          <w:spacing w:val="-1"/>
          <w:sz w:val="24"/>
          <w:szCs w:val="24"/>
          <w:u w:val="single"/>
          <w14:textFill>
            <w14:solidFill>
              <w14:schemeClr w14:val="tx1"/>
            </w14:solidFill>
          </w14:textFill>
        </w:rPr>
        <w:t xml:space="preserve">025-83668515</w:t>
      </w:r>
      <w:bookmarkEnd w:id="32"/>
      <w:r/>
      <w:bookmarkEnd w:id="33"/>
      <w:r/>
      <w:r/>
    </w:p>
    <w:p>
      <w:pPr>
        <w:pStyle w:val="1016"/>
        <w:spacing w:line="295"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521"/>
        <w:spacing w:before="101" w:line="226" w:lineRule="auto"/>
        <w:rPr>
          <w:rFonts w:ascii="宋体" w:hAnsi="宋体" w:cs="宋体"/>
          <w:color w:val="000000" w:themeColor="text1"/>
          <w:sz w:val="31"/>
          <w:szCs w:val="31"/>
          <w14:textFill>
            <w14:solidFill>
              <w14:schemeClr w14:val="tx1"/>
            </w14:solidFill>
          </w14:textFill>
        </w:rPr>
        <w:outlineLvl w:val="1"/>
      </w:pPr>
      <w:r/>
      <w:bookmarkStart w:id="34" w:name="OLE_LINK48"/>
      <w:r/>
      <w:bookmarkStart w:id="35" w:name="OLE_LINK49"/>
      <w:r>
        <w:rPr>
          <w:rFonts w:ascii="宋体" w:hAnsi="宋体" w:cs="宋体"/>
          <w:b/>
          <w:bCs/>
          <w:color w:val="000000" w:themeColor="text1"/>
          <w:spacing w:val="3"/>
          <w:sz w:val="31"/>
          <w:szCs w:val="31"/>
          <w14:textFill>
            <w14:solidFill>
              <w14:schemeClr w14:val="tx1"/>
            </w14:solidFill>
          </w14:textFill>
        </w:rPr>
        <w:t xml:space="preserve">八、其他</w:t>
      </w:r>
      <w:bookmarkEnd w:id="34"/>
      <w:r/>
      <w:bookmarkEnd w:id="35"/>
      <w:r/>
      <w:r/>
    </w:p>
    <w:p>
      <w:pPr>
        <w:pStyle w:val="1016"/>
        <w:spacing w:line="375"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13" w:right="3" w:firstLine="500"/>
        <w:spacing w:before="78" w:line="4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 供应商如确定参加投标，可自行下载招标文件及有关资料，按照《江苏</w:t>
      </w:r>
      <w:r>
        <w:rPr>
          <w:rFonts w:ascii="宋体" w:hAnsi="宋体" w:cs="宋体"/>
          <w:color w:val="000000" w:themeColor="text1"/>
          <w:spacing w:val="-3"/>
          <w:sz w:val="24"/>
          <w:szCs w:val="24"/>
          <w14:textFill>
            <w14:solidFill>
              <w14:schemeClr w14:val="tx1"/>
            </w14:solidFill>
          </w14:textFill>
        </w:rPr>
        <w:t xml:space="preserve">省政府</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3"/>
          <w:sz w:val="24"/>
          <w:szCs w:val="24"/>
          <w14:textFill>
            <w14:solidFill>
              <w14:schemeClr w14:val="tx1"/>
            </w14:solidFill>
          </w14:textFill>
        </w:rPr>
        <w:t xml:space="preserve">采购交易执行系统供应商操作手册》（以下简称《</w:t>
      </w:r>
      <w:r>
        <w:rPr>
          <w:rFonts w:ascii="宋体" w:hAnsi="宋体" w:cs="宋体"/>
          <w:color w:val="000000" w:themeColor="text1"/>
          <w:spacing w:val="-31"/>
          <w:sz w:val="24"/>
          <w:szCs w:val="24"/>
          <w14:textFill>
            <w14:solidFill>
              <w14:schemeClr w14:val="tx1"/>
            </w14:solidFill>
          </w14:textFill>
        </w:rPr>
        <w:t xml:space="preserve"> </w:t>
      </w:r>
      <w:r>
        <w:rPr>
          <w:rFonts w:ascii="宋体" w:hAnsi="宋体" w:cs="宋体"/>
          <w:color w:val="000000" w:themeColor="text1"/>
          <w:spacing w:val="23"/>
          <w:sz w:val="24"/>
          <w:szCs w:val="24"/>
          <w14:textFill>
            <w14:solidFill>
              <w14:schemeClr w14:val="tx1"/>
            </w14:solidFill>
          </w14:textFill>
        </w:rPr>
        <w:t xml:space="preserve">操作手册》，</w:t>
      </w:r>
      <w:r>
        <w:rPr>
          <w:rFonts w:ascii="宋体" w:hAnsi="宋体" w:cs="宋体"/>
          <w:color w:val="000000" w:themeColor="text1"/>
          <w:spacing w:val="-15"/>
          <w:sz w:val="24"/>
          <w:szCs w:val="24"/>
          <w14:textFill>
            <w14:solidFill>
              <w14:schemeClr w14:val="tx1"/>
            </w14:solidFill>
          </w14:textFill>
        </w:rPr>
        <w:t xml:space="preserve"> </w:t>
      </w:r>
      <w:r>
        <w:rPr>
          <w:rFonts w:ascii="宋体" w:hAnsi="宋体" w:cs="宋体"/>
          <w:color w:val="000000" w:themeColor="text1"/>
          <w:spacing w:val="23"/>
          <w:sz w:val="24"/>
          <w:szCs w:val="24"/>
          <w14:textFill>
            <w14:solidFill>
              <w14:schemeClr w14:val="tx1"/>
            </w14:solidFill>
          </w14:textFill>
        </w:rPr>
        <w:t xml:space="preserve">下载地址：</w:t>
      </w:r>
      <w:r>
        <w:rPr>
          <w:rFonts w:ascii="宋体" w:hAnsi="宋体" w:cs="宋体"/>
          <w:color w:val="000000" w:themeColor="text1"/>
          <w:sz w:val="24"/>
          <w:szCs w:val="24"/>
          <w14:textFill>
            <w14:solidFill>
              <w14:schemeClr w14:val="tx1"/>
            </w14:solidFill>
          </w14:textFill>
        </w:rPr>
        <w:t xml:space="preserve">http://www.ccgp-jiangsu.gov.cn/jiangsu/zlxz/aa/aa22e7f645df4922b</w:t>
      </w:r>
      <w:r>
        <w:rPr>
          <w:rFonts w:ascii="宋体" w:hAnsi="宋体" w:cs="宋体"/>
          <w:color w:val="000000" w:themeColor="text1"/>
          <w:spacing w:val="-1"/>
          <w:sz w:val="24"/>
          <w:szCs w:val="24"/>
          <w14:textFill>
            <w14:solidFill>
              <w14:schemeClr w14:val="tx1"/>
            </w14:solidFill>
          </w14:textFill>
        </w:rPr>
        <w:t xml:space="preserve">5056d34396771d3.html</w:t>
      </w:r>
      <w:r>
        <w:rPr>
          <w:rFonts w:ascii="宋体" w:hAnsi="宋体" w:cs="宋体"/>
          <w:color w:val="000000" w:themeColor="text1"/>
          <w:spacing w:val="-60"/>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）规定</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领取</w:t>
      </w:r>
      <w:r>
        <w:rPr>
          <w:rFonts w:ascii="宋体" w:hAnsi="宋体" w:cs="宋体"/>
          <w:color w:val="000000" w:themeColor="text1"/>
          <w:spacing w:val="-53"/>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CA</w:t>
      </w:r>
      <w:r>
        <w:rPr>
          <w:rFonts w:ascii="宋体" w:hAnsi="宋体" w:cs="宋体"/>
          <w:color w:val="000000" w:themeColor="text1"/>
          <w:spacing w:val="-50"/>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和办理电子签章（请至南京汉中门大街</w:t>
      </w:r>
      <w:r>
        <w:rPr>
          <w:rFonts w:ascii="宋体" w:hAnsi="宋体" w:cs="宋体"/>
          <w:color w:val="000000" w:themeColor="text1"/>
          <w:spacing w:val="-22"/>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145</w:t>
      </w:r>
      <w:r>
        <w:rPr>
          <w:rFonts w:ascii="宋体" w:hAnsi="宋体" w:cs="宋体"/>
          <w:color w:val="000000" w:themeColor="text1"/>
          <w:spacing w:val="-45"/>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号江苏省</w:t>
      </w:r>
      <w:r>
        <w:rPr>
          <w:rFonts w:ascii="宋体" w:hAnsi="宋体" w:cs="宋体"/>
          <w:color w:val="000000" w:themeColor="text1"/>
          <w:spacing w:val="-4"/>
          <w:sz w:val="24"/>
          <w:szCs w:val="24"/>
          <w14:textFill>
            <w14:solidFill>
              <w14:schemeClr w14:val="tx1"/>
            </w14:solidFill>
          </w14:textFill>
        </w:rPr>
        <w:t xml:space="preserve">政务服务中心二期三楼大</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8"/>
          <w:sz w:val="24"/>
          <w:szCs w:val="24"/>
          <w14:textFill>
            <w14:solidFill>
              <w14:schemeClr w14:val="tx1"/>
            </w14:solidFill>
          </w14:textFill>
        </w:rPr>
        <w:t xml:space="preserve">厅</w:t>
      </w:r>
      <w:r>
        <w:rPr>
          <w:rFonts w:ascii="宋体" w:hAnsi="宋体" w:cs="宋体"/>
          <w:color w:val="000000" w:themeColor="text1"/>
          <w:spacing w:val="-53"/>
          <w:sz w:val="24"/>
          <w:szCs w:val="24"/>
          <w14:textFill>
            <w14:solidFill>
              <w14:schemeClr w14:val="tx1"/>
            </w14:solidFill>
          </w14:textFill>
        </w:rPr>
        <w:t xml:space="preserve"> </w:t>
      </w:r>
      <w:r>
        <w:rPr>
          <w:rFonts w:ascii="宋体" w:hAnsi="宋体" w:cs="宋体"/>
          <w:color w:val="000000" w:themeColor="text1"/>
          <w:spacing w:val="-8"/>
          <w:sz w:val="24"/>
          <w:szCs w:val="24"/>
          <w14:textFill>
            <w14:solidFill>
              <w14:schemeClr w14:val="tx1"/>
            </w14:solidFill>
          </w14:textFill>
        </w:rPr>
        <w:t xml:space="preserve">CA</w:t>
      </w:r>
      <w:r>
        <w:rPr>
          <w:rFonts w:ascii="宋体" w:hAnsi="宋体" w:cs="宋体"/>
          <w:color w:val="000000" w:themeColor="text1"/>
          <w:spacing w:val="-46"/>
          <w:sz w:val="24"/>
          <w:szCs w:val="24"/>
          <w14:textFill>
            <w14:solidFill>
              <w14:schemeClr w14:val="tx1"/>
            </w14:solidFill>
          </w14:textFill>
        </w:rPr>
        <w:t xml:space="preserve"> </w:t>
      </w:r>
      <w:r>
        <w:rPr>
          <w:rFonts w:ascii="宋体" w:hAnsi="宋体" w:cs="宋体"/>
          <w:color w:val="000000" w:themeColor="text1"/>
          <w:spacing w:val="-8"/>
          <w:sz w:val="24"/>
          <w:szCs w:val="24"/>
          <w14:textFill>
            <w14:solidFill>
              <w14:schemeClr w14:val="tx1"/>
            </w14:solidFill>
          </w14:textFill>
        </w:rPr>
        <w:t xml:space="preserve">办理窗口办理，具体联系方式见《操作手册》）、进行注册并按</w:t>
      </w:r>
      <w:r>
        <w:rPr>
          <w:rFonts w:ascii="宋体" w:hAnsi="宋体" w:cs="宋体"/>
          <w:color w:val="000000" w:themeColor="text1"/>
          <w:spacing w:val="-9"/>
          <w:sz w:val="24"/>
          <w:szCs w:val="24"/>
          <w14:textFill>
            <w14:solidFill>
              <w14:schemeClr w14:val="tx1"/>
            </w14:solidFill>
          </w14:textFill>
        </w:rPr>
        <w:t xml:space="preserve">《操作手册》要求</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7"/>
          <w:sz w:val="24"/>
          <w:szCs w:val="24"/>
          <w14:textFill>
            <w14:solidFill>
              <w14:schemeClr w14:val="tx1"/>
            </w14:solidFill>
          </w14:textFill>
        </w:rPr>
        <w:t xml:space="preserve">制作、上传电子投标文件。</w:t>
      </w:r>
      <w:r>
        <w:rPr>
          <w:rFonts w:ascii="宋体" w:hAnsi="宋体" w:cs="宋体"/>
          <w:color w:val="000000" w:themeColor="text1"/>
          <w:spacing w:val="-30"/>
          <w:sz w:val="24"/>
          <w:szCs w:val="24"/>
          <w14:textFill>
            <w14:solidFill>
              <w14:schemeClr w14:val="tx1"/>
            </w14:solidFill>
          </w14:textFill>
        </w:rPr>
        <w:t xml:space="preserve"> </w:t>
      </w:r>
      <w:r>
        <w:rPr>
          <w:rFonts w:ascii="宋体" w:hAnsi="宋体" w:cs="宋体"/>
          <w:color w:val="000000" w:themeColor="text1"/>
          <w:spacing w:val="-7"/>
          <w:sz w:val="24"/>
          <w:szCs w:val="24"/>
          <w14:textFill>
            <w14:solidFill>
              <w14:schemeClr w14:val="tx1"/>
            </w14:solidFill>
          </w14:textFill>
        </w:rPr>
        <w:t xml:space="preserve">有关本次招标的事项若存在变动或修改，敬请及时关注“江</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苏政府采购网”发布的信息更正公告。</w:t>
      </w:r>
      <w:r/>
    </w:p>
    <w:p>
      <w:pPr>
        <w:numPr>
          <w:ilvl w:val="0"/>
          <w:numId w:val="3"/>
        </w:numPr>
        <w:spacing w:before="229" w:line="219" w:lineRule="auto"/>
        <w:rPr>
          <w:rFonts w:ascii="宋体" w:hAnsi="宋体" w:cs="宋体"/>
          <w:color w:val="000000" w:themeColor="text1"/>
          <w:spacing w:val="-2"/>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有关本次招标的事项若存在变动或修改，敬请及时关注江苏省政府采购中心在“江苏政府采购网”发布的更正公告。</w:t>
      </w:r>
      <w:r/>
    </w:p>
    <w:p>
      <w:pPr>
        <w:numPr>
          <w:ilvl w:val="0"/>
          <w:numId w:val="3"/>
        </w:numPr>
        <w:spacing w:before="229" w:line="219" w:lineRule="auto"/>
        <w:rPr>
          <w:rFonts w:ascii="宋体" w:hAnsi="宋体" w:cs="宋体"/>
          <w:color w:val="000000" w:themeColor="text1"/>
          <w:sz w:val="24"/>
          <w:szCs w:val="24"/>
          <w14:textFill>
            <w14:solidFill>
              <w14:schemeClr w14:val="tx1"/>
            </w14:solidFill>
          </w14:textFill>
        </w:rPr>
        <w:sectPr>
          <w:footerReference w:type="default" r:id="rId11"/>
          <w:footnotePr/>
          <w:endnotePr/>
          <w:type w:val="nextPage"/>
          <w:pgSz w:w="11907" w:h="16839" w:orient="portrait"/>
          <w:pgMar w:top="1134" w:right="1701" w:bottom="1134" w:left="1701" w:header="0" w:footer="1119" w:gutter="0"/>
          <w:cols w:num="1" w:sep="0" w:space="720" w:equalWidth="1"/>
          <w:docGrid w:linePitch="360"/>
        </w:sectPr>
      </w:pPr>
      <w:r>
        <w:rPr>
          <w:rFonts w:ascii="宋体" w:hAnsi="宋体" w:cs="宋体"/>
          <w:color w:val="000000" w:themeColor="text1"/>
          <w:spacing w:val="-3"/>
          <w:sz w:val="24"/>
          <w:szCs w:val="24"/>
          <w14:textFill>
            <w14:solidFill>
              <w14:schemeClr w14:val="tx1"/>
            </w14:solidFill>
          </w14:textFill>
        </w:rPr>
        <w:t xml:space="preserve">本次招标不收取投标保证金</w:t>
      </w:r>
      <w:r>
        <w:rPr>
          <w:rFonts w:hint="eastAsia" w:ascii="宋体" w:hAnsi="宋体" w:cs="宋体"/>
          <w:color w:val="000000" w:themeColor="text1"/>
          <w:spacing w:val="-3"/>
          <w:sz w:val="24"/>
          <w:szCs w:val="24"/>
          <w14:textFill>
            <w14:solidFill>
              <w14:schemeClr w14:val="tx1"/>
            </w14:solidFill>
          </w14:textFill>
        </w:rPr>
        <w:t xml:space="preserve">。</w:t>
      </w:r>
      <w:bookmarkEnd w:id="4"/>
      <w:r/>
      <w:bookmarkEnd w:id="5"/>
      <w:r/>
      <w:r/>
    </w:p>
    <w:p>
      <w:pPr>
        <w:pStyle w:val="1002"/>
      </w:pPr>
      <w:r/>
      <w:bookmarkStart w:id="36" w:name="_Toc120614211"/>
      <w:r>
        <w:rPr>
          <w:rFonts w:hint="eastAsia"/>
        </w:rPr>
        <w:t xml:space="preserve">第二章  </w:t>
      </w:r>
      <w:bookmarkEnd w:id="36"/>
      <w:r/>
      <w:bookmarkStart w:id="37" w:name="_Toc20823274"/>
      <w:r/>
      <w:bookmarkStart w:id="38" w:name="_Toc16938518"/>
      <w:r/>
      <w:bookmarkStart w:id="39" w:name="_Toc120614213"/>
      <w:r/>
      <w:bookmarkStart w:id="40" w:name="_Toc513029202"/>
      <w:r>
        <w:rPr>
          <w:rFonts w:hint="eastAsia"/>
        </w:rPr>
        <w:t xml:space="preserve">投标人须知</w:t>
      </w:r>
      <w:bookmarkEnd w:id="37"/>
      <w:r/>
      <w:bookmarkEnd w:id="38"/>
      <w:r/>
      <w:bookmarkEnd w:id="39"/>
      <w:r/>
      <w:bookmarkEnd w:id="40"/>
      <w:r/>
      <w:r/>
    </w:p>
    <w:p>
      <w:pPr>
        <w:pStyle w:val="1003"/>
        <w:ind w:firstLine="498"/>
        <w:spacing w:line="400" w:lineRule="exact"/>
        <w:rPr>
          <w:rFonts w:ascii="Times New Roman" w:eastAsia="宋体"/>
          <w:bCs/>
          <w:lang w:eastAsia="zh-CN"/>
        </w:rPr>
      </w:pPr>
      <w:r/>
      <w:bookmarkStart w:id="41" w:name="_Toc120614214"/>
      <w:r/>
      <w:bookmarkStart w:id="42" w:name="_Toc20823275"/>
      <w:r/>
      <w:bookmarkStart w:id="43" w:name="_Toc513029203"/>
      <w:r/>
      <w:bookmarkStart w:id="44" w:name="_Toc16938519"/>
      <w:r>
        <w:rPr>
          <w:rFonts w:hint="eastAsia" w:ascii="宋体" w:hAnsi="宋体" w:eastAsia="宋体" w:cs="宋体"/>
          <w:lang w:eastAsia="zh-CN"/>
        </w:rPr>
        <w:t xml:space="preserve">一、总则</w:t>
      </w:r>
      <w:bookmarkEnd w:id="41"/>
      <w:r/>
      <w:bookmarkEnd w:id="42"/>
      <w:r/>
      <w:bookmarkEnd w:id="43"/>
      <w:r/>
      <w:bookmarkEnd w:id="44"/>
      <w:r/>
      <w:r/>
    </w:p>
    <w:p>
      <w:pPr>
        <w:pStyle w:val="1004"/>
        <w:ind w:firstLine="420"/>
        <w:spacing w:before="0" w:after="0" w:line="400" w:lineRule="exact"/>
        <w:rPr>
          <w:b w:val="0"/>
          <w:bCs w:val="0"/>
          <w:lang w:eastAsia="zh-CN"/>
        </w:rPr>
      </w:pPr>
      <w:r/>
      <w:bookmarkStart w:id="45" w:name="_Hlt16619475"/>
      <w:r/>
      <w:bookmarkEnd w:id="45"/>
      <w:r/>
      <w:bookmarkStart w:id="46" w:name="_Toc458694821"/>
      <w:r/>
      <w:bookmarkStart w:id="47" w:name="_Toc513029204"/>
      <w:r/>
      <w:bookmarkStart w:id="48" w:name="_Toc16938520"/>
      <w:r/>
      <w:bookmarkStart w:id="49" w:name="_Toc20823276"/>
      <w:r>
        <w:rPr>
          <w:b w:val="0"/>
          <w:bCs w:val="0"/>
          <w:lang w:eastAsia="zh-CN"/>
        </w:rPr>
        <w:t xml:space="preserve">1</w:t>
      </w:r>
      <w:bookmarkEnd w:id="46"/>
      <w:r>
        <w:rPr>
          <w:rFonts w:hint="eastAsia"/>
          <w:b w:val="0"/>
          <w:bCs w:val="0"/>
          <w:lang w:eastAsia="zh-CN"/>
        </w:rPr>
        <w:t xml:space="preserve">、招标方式</w:t>
      </w:r>
      <w:bookmarkEnd w:id="47"/>
      <w:r/>
      <w:bookmarkEnd w:id="48"/>
      <w:r/>
      <w:bookmarkEnd w:id="49"/>
      <w:r/>
      <w:r/>
    </w:p>
    <w:p>
      <w:pPr>
        <w:ind w:firstLine="480"/>
        <w:spacing w:line="4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1004"/>
        <w:ind w:firstLine="420"/>
        <w:spacing w:before="0" w:after="0" w:line="400" w:lineRule="exact"/>
        <w:rPr>
          <w:b w:val="0"/>
          <w:bCs w:val="0"/>
          <w:lang w:eastAsia="zh-CN"/>
        </w:rPr>
      </w:pPr>
      <w:r/>
      <w:bookmarkStart w:id="50" w:name="_Toc513029205"/>
      <w:r/>
      <w:bookmarkStart w:id="51" w:name="_Toc16938521"/>
      <w:r/>
      <w:bookmarkStart w:id="52" w:name="_Toc20823277"/>
      <w:r>
        <w:rPr>
          <w:b w:val="0"/>
          <w:bCs w:val="0"/>
          <w:lang w:eastAsia="zh-CN"/>
        </w:rPr>
        <w:t xml:space="preserve">2</w:t>
      </w:r>
      <w:r>
        <w:rPr>
          <w:rFonts w:hint="eastAsia"/>
          <w:b w:val="0"/>
          <w:bCs w:val="0"/>
          <w:lang w:eastAsia="zh-CN"/>
        </w:rPr>
        <w:t xml:space="preserve">、合格的投标人</w:t>
      </w:r>
      <w:bookmarkEnd w:id="50"/>
      <w:r/>
      <w:bookmarkEnd w:id="51"/>
      <w:r/>
      <w:bookmarkEnd w:id="52"/>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pStyle w:val="1004"/>
        <w:ind w:firstLine="420"/>
        <w:spacing w:before="0" w:after="0" w:line="400" w:lineRule="exact"/>
        <w:rPr>
          <w:b w:val="0"/>
          <w:bCs w:val="0"/>
          <w:lang w:eastAsia="zh-CN"/>
        </w:rPr>
      </w:pPr>
      <w:r/>
      <w:bookmarkStart w:id="53" w:name="_Toc16938522"/>
      <w:r/>
      <w:bookmarkStart w:id="54" w:name="_Toc20823278"/>
      <w:r/>
      <w:bookmarkStart w:id="55" w:name="_Toc513029206"/>
      <w:r>
        <w:rPr>
          <w:b w:val="0"/>
          <w:bCs w:val="0"/>
          <w:lang w:eastAsia="zh-CN"/>
        </w:rPr>
        <w:t xml:space="preserve">3</w:t>
      </w:r>
      <w:r>
        <w:rPr>
          <w:rFonts w:hint="eastAsia"/>
          <w:b w:val="0"/>
          <w:bCs w:val="0"/>
          <w:lang w:eastAsia="zh-CN"/>
        </w:rPr>
        <w:t xml:space="preserve">、适用法律</w:t>
      </w:r>
      <w:bookmarkEnd w:id="53"/>
      <w:r/>
      <w:bookmarkEnd w:id="54"/>
      <w:r/>
      <w:bookmarkEnd w:id="55"/>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1004"/>
        <w:ind w:firstLine="420"/>
        <w:spacing w:before="0" w:after="0" w:line="400" w:lineRule="exact"/>
        <w:rPr>
          <w:b w:val="0"/>
          <w:bCs w:val="0"/>
          <w:lang w:eastAsia="zh-CN"/>
        </w:rPr>
      </w:pPr>
      <w:r/>
      <w:bookmarkStart w:id="56" w:name="_Toc462564067"/>
      <w:r/>
      <w:bookmarkStart w:id="57" w:name="_Toc20823279"/>
      <w:r/>
      <w:bookmarkStart w:id="58" w:name="_Toc16938523"/>
      <w:r/>
      <w:bookmarkStart w:id="59" w:name="_Toc513029207"/>
      <w:r>
        <w:rPr>
          <w:b w:val="0"/>
          <w:bCs w:val="0"/>
          <w:lang w:eastAsia="zh-CN"/>
        </w:rPr>
        <w:t xml:space="preserve">4</w:t>
      </w:r>
      <w:r>
        <w:rPr>
          <w:rFonts w:hint="eastAsia"/>
          <w:b w:val="0"/>
          <w:bCs w:val="0"/>
          <w:lang w:eastAsia="zh-CN"/>
        </w:rPr>
        <w:t xml:space="preserve">、投标费用</w:t>
      </w:r>
      <w:bookmarkEnd w:id="56"/>
      <w:r/>
      <w:bookmarkEnd w:id="57"/>
      <w:r/>
      <w:bookmarkEnd w:id="58"/>
      <w:r/>
      <w:bookmarkEnd w:id="59"/>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1004"/>
        <w:ind w:firstLine="602"/>
        <w:spacing w:before="0" w:after="0" w:line="400" w:lineRule="exact"/>
        <w:rPr>
          <w:rFonts w:ascii="黑体" w:hAnsi="宋体"/>
          <w:b w:val="0"/>
          <w:bCs w:val="0"/>
          <w:lang w:eastAsia="zh-CN"/>
        </w:rPr>
      </w:pPr>
      <w:r>
        <w:rPr>
          <w:rFonts w:hint="eastAsia" w:ascii="宋体" w:hAnsi="宋体"/>
          <w:sz w:val="30"/>
          <w:lang w:eastAsia="zh-CN"/>
        </w:rPr>
        <w:t xml:space="preserve">5、</w:t>
      </w:r>
      <w:r>
        <w:rPr>
          <w:rFonts w:hint="eastAsia" w:ascii="黑体" w:hAnsi="宋体"/>
          <w:b w:val="0"/>
          <w:bCs w:val="0"/>
          <w:lang w:eastAsia="zh-CN"/>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03"/>
        <w:ind w:firstLine="321"/>
        <w:spacing w:line="400" w:lineRule="exact"/>
        <w:rPr>
          <w:rFonts w:ascii="Times New Roman" w:hAnsi="Times New Roman"/>
          <w:szCs w:val="32"/>
          <w:lang w:eastAsia="zh-CN"/>
        </w:rPr>
      </w:pPr>
      <w:r/>
      <w:bookmarkStart w:id="60" w:name="_Toc120614215"/>
      <w:r/>
      <w:bookmarkStart w:id="61" w:name="_Toc16938525"/>
      <w:r/>
      <w:bookmarkStart w:id="62" w:name="_Toc20823281"/>
      <w:r/>
      <w:bookmarkStart w:id="63" w:name="_Toc513029209"/>
      <w:r>
        <w:rPr>
          <w:rFonts w:hint="eastAsia" w:ascii="宋体" w:hAnsi="宋体" w:eastAsia="宋体" w:cs="宋体"/>
          <w:lang w:eastAsia="zh-CN"/>
        </w:rPr>
        <w:t xml:space="preserve">二、招标文件</w:t>
      </w:r>
      <w:bookmarkEnd w:id="60"/>
      <w:r/>
      <w:bookmarkEnd w:id="61"/>
      <w:r/>
      <w:bookmarkEnd w:id="62"/>
      <w:r/>
      <w:bookmarkEnd w:id="63"/>
      <w:r/>
      <w:r/>
    </w:p>
    <w:p>
      <w:pPr>
        <w:pStyle w:val="1004"/>
        <w:ind w:firstLine="420"/>
        <w:spacing w:before="0" w:after="0" w:line="400" w:lineRule="exact"/>
        <w:rPr>
          <w:b w:val="0"/>
          <w:bCs w:val="0"/>
          <w:lang w:eastAsia="zh-CN"/>
        </w:rPr>
      </w:pPr>
      <w:r/>
      <w:bookmarkStart w:id="64" w:name="_Toc513029210"/>
      <w:r/>
      <w:bookmarkStart w:id="65" w:name="_Toc16938526"/>
      <w:r/>
      <w:bookmarkStart w:id="66" w:name="_Toc20823282"/>
      <w:r>
        <w:rPr>
          <w:b w:val="0"/>
          <w:bCs w:val="0"/>
          <w:lang w:eastAsia="zh-CN"/>
        </w:rPr>
        <w:t xml:space="preserve">6</w:t>
      </w:r>
      <w:r>
        <w:rPr>
          <w:rFonts w:hint="eastAsia"/>
          <w:b w:val="0"/>
          <w:bCs w:val="0"/>
          <w:lang w:eastAsia="zh-CN"/>
        </w:rPr>
        <w:t xml:space="preserve">、招标文件构成</w:t>
      </w:r>
      <w:bookmarkEnd w:id="64"/>
      <w:r/>
      <w:bookmarkEnd w:id="65"/>
      <w:r/>
      <w:bookmarkEnd w:id="66"/>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4"/>
        <w:ind w:firstLine="560"/>
        <w:spacing w:before="0" w:after="0" w:line="400" w:lineRule="exact"/>
        <w:rPr>
          <w:b w:val="0"/>
          <w:bCs w:val="0"/>
          <w:lang w:eastAsia="zh-CN"/>
        </w:rPr>
      </w:pPr>
      <w:r/>
      <w:bookmarkStart w:id="67" w:name="_Toc20823284"/>
      <w:r/>
      <w:bookmarkStart w:id="68" w:name="_Toc462564071"/>
      <w:r/>
      <w:bookmarkStart w:id="69" w:name="_Toc513029212"/>
      <w:r/>
      <w:bookmarkStart w:id="70" w:name="_Toc16938528"/>
      <w:r>
        <w:rPr>
          <w:b w:val="0"/>
          <w:bCs w:val="0"/>
          <w:lang w:eastAsia="zh-CN"/>
        </w:rPr>
        <w:t xml:space="preserve">7</w:t>
      </w:r>
      <w:r>
        <w:rPr>
          <w:rFonts w:hint="eastAsia"/>
          <w:b w:val="0"/>
          <w:bCs w:val="0"/>
          <w:lang w:eastAsia="zh-CN"/>
        </w:rPr>
        <w:t xml:space="preserve">、招标文件的修改</w:t>
      </w:r>
      <w:bookmarkEnd w:id="67"/>
      <w:r/>
      <w:bookmarkEnd w:id="68"/>
      <w:r/>
      <w:bookmarkEnd w:id="69"/>
      <w:r/>
      <w:bookmarkEnd w:id="70"/>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03"/>
        <w:ind w:firstLine="482"/>
        <w:spacing w:line="400" w:lineRule="exact"/>
        <w:rPr>
          <w:rFonts w:ascii="Times New Roman" w:hAnsi="Times New Roman"/>
          <w:lang w:eastAsia="zh-CN"/>
        </w:rPr>
      </w:pPr>
      <w:r/>
      <w:bookmarkStart w:id="71" w:name="_Toc20823285"/>
      <w:r/>
      <w:bookmarkStart w:id="72" w:name="_Toc513029213"/>
      <w:r/>
      <w:bookmarkStart w:id="73" w:name="_Toc16938529"/>
      <w:r/>
      <w:bookmarkStart w:id="74" w:name="_Toc462564072"/>
      <w:r/>
      <w:bookmarkStart w:id="75" w:name="_Toc120614216"/>
      <w:r>
        <w:rPr>
          <w:rFonts w:hint="eastAsia" w:ascii="宋体" w:hAnsi="宋体" w:eastAsia="宋体" w:cs="宋体"/>
          <w:lang w:eastAsia="zh-CN"/>
        </w:rPr>
        <w:t xml:space="preserve">三、投标文件的编制</w:t>
      </w:r>
      <w:bookmarkEnd w:id="71"/>
      <w:r/>
      <w:bookmarkEnd w:id="72"/>
      <w:r/>
      <w:bookmarkEnd w:id="73"/>
      <w:r/>
      <w:bookmarkEnd w:id="74"/>
      <w:r/>
      <w:bookmarkEnd w:id="75"/>
      <w:r/>
      <w:r/>
    </w:p>
    <w:p>
      <w:pPr>
        <w:pStyle w:val="1004"/>
        <w:ind w:firstLine="560"/>
        <w:spacing w:before="0" w:after="0" w:line="400" w:lineRule="exact"/>
        <w:rPr>
          <w:bCs w:val="0"/>
          <w:lang w:eastAsia="zh-CN"/>
        </w:rPr>
      </w:pPr>
      <w:r/>
      <w:bookmarkStart w:id="76" w:name="_Toc513029214"/>
      <w:r/>
      <w:bookmarkStart w:id="77" w:name="_Toc462564073"/>
      <w:r/>
      <w:bookmarkStart w:id="78" w:name="_Toc20823286"/>
      <w:r/>
      <w:bookmarkStart w:id="79" w:name="_Toc16938530"/>
      <w:r>
        <w:rPr>
          <w:b w:val="0"/>
          <w:bCs w:val="0"/>
          <w:lang w:eastAsia="zh-CN"/>
        </w:rPr>
        <w:t xml:space="preserve">8</w:t>
      </w:r>
      <w:r>
        <w:rPr>
          <w:rFonts w:hint="eastAsia"/>
          <w:b w:val="0"/>
          <w:bCs w:val="0"/>
          <w:lang w:eastAsia="zh-CN"/>
        </w:rPr>
        <w:t xml:space="preserve">、投标文件的语言及度量衡单位</w:t>
      </w:r>
      <w:bookmarkEnd w:id="76"/>
      <w:r/>
      <w:bookmarkEnd w:id="77"/>
      <w:r/>
      <w:bookmarkEnd w:id="78"/>
      <w:r/>
      <w:bookmarkEnd w:id="79"/>
      <w:r/>
      <w:r/>
    </w:p>
    <w:p>
      <w:pPr>
        <w:ind w:firstLine="480"/>
        <w:spacing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p>
    <w:p>
      <w:pPr>
        <w:pStyle w:val="1004"/>
        <w:ind w:firstLine="420"/>
        <w:spacing w:before="0" w:after="0" w:line="400" w:lineRule="exact"/>
        <w:rPr>
          <w:b w:val="0"/>
          <w:bCs w:val="0"/>
          <w:lang w:eastAsia="zh-CN"/>
        </w:rPr>
      </w:pPr>
      <w:r/>
      <w:bookmarkStart w:id="80" w:name="_Toc16938531"/>
      <w:r/>
      <w:bookmarkStart w:id="81" w:name="_Toc513029215"/>
      <w:r/>
      <w:bookmarkStart w:id="82" w:name="_Toc462564074"/>
      <w:r/>
      <w:bookmarkStart w:id="83" w:name="_Toc20823287"/>
      <w:r>
        <w:rPr>
          <w:b w:val="0"/>
          <w:bCs w:val="0"/>
          <w:lang w:eastAsia="zh-CN"/>
        </w:rPr>
        <w:t xml:space="preserve">9</w:t>
      </w:r>
      <w:r>
        <w:rPr>
          <w:rFonts w:hint="eastAsia"/>
          <w:b w:val="0"/>
          <w:bCs w:val="0"/>
          <w:lang w:eastAsia="zh-CN"/>
        </w:rPr>
        <w:t xml:space="preserve">、投标文件构成</w:t>
      </w:r>
      <w:bookmarkEnd w:id="80"/>
      <w:r/>
      <w:bookmarkEnd w:id="81"/>
      <w:r/>
      <w:bookmarkEnd w:id="82"/>
      <w:r/>
      <w:bookmarkEnd w:id="83"/>
      <w:r/>
      <w:r/>
    </w:p>
    <w:p>
      <w:pPr>
        <w:ind w:firstLine="480"/>
        <w:spacing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hint="eastAsia" w:ascii="宋体" w:hAnsi="宋体"/>
          <w:sz w:val="24"/>
        </w:rPr>
        <w:t xml:space="preserve">9.2 如标书制作工具中格式和内容与“江苏政府采购网”发布的招标文件不一致，请以“江苏政府采购网”发布的招标文件为准。</w:t>
      </w:r>
      <w:r/>
    </w:p>
    <w:p>
      <w:pPr>
        <w:pStyle w:val="1004"/>
        <w:ind w:firstLine="420"/>
        <w:spacing w:before="0" w:after="0" w:line="400" w:lineRule="exact"/>
        <w:rPr>
          <w:b w:val="0"/>
          <w:bCs w:val="0"/>
          <w:lang w:eastAsia="zh-CN"/>
        </w:rPr>
      </w:pPr>
      <w:r/>
      <w:bookmarkStart w:id="84" w:name="_Hlt26668975"/>
      <w:r/>
      <w:bookmarkEnd w:id="84"/>
      <w:r/>
      <w:bookmarkStart w:id="85" w:name="_Hlt26954838"/>
      <w:r/>
      <w:bookmarkEnd w:id="85"/>
      <w:r/>
      <w:bookmarkStart w:id="86" w:name="_Hlt26670360"/>
      <w:r/>
      <w:bookmarkEnd w:id="86"/>
      <w:r/>
      <w:bookmarkStart w:id="87" w:name="_Toc49090509"/>
      <w:r/>
      <w:bookmarkStart w:id="88" w:name="_Toc513029219"/>
      <w:r/>
      <w:bookmarkStart w:id="89" w:name="_Toc14577357"/>
      <w:r/>
      <w:bookmarkStart w:id="90" w:name="_Toc14577354"/>
      <w:r/>
      <w:bookmarkStart w:id="91" w:name="_Toc513029216"/>
      <w:r/>
      <w:bookmarkStart w:id="92" w:name="_Toc49090507"/>
      <w:r>
        <w:rPr>
          <w:b w:val="0"/>
          <w:bCs w:val="0"/>
          <w:lang w:eastAsia="zh-CN"/>
        </w:rPr>
        <w:t xml:space="preserve">10</w:t>
      </w:r>
      <w:r>
        <w:rPr>
          <w:rFonts w:hint="eastAsia"/>
          <w:b w:val="0"/>
          <w:bCs w:val="0"/>
          <w:lang w:eastAsia="zh-CN"/>
        </w:rPr>
        <w:t xml:space="preserve">、证明投标人及投标标的符合招标文件规定的文件</w:t>
      </w:r>
      <w:bookmarkEnd w:id="87"/>
      <w:r/>
      <w:bookmarkEnd w:id="88"/>
      <w:r/>
      <w:bookmarkEnd w:id="89"/>
      <w:r/>
      <w:bookmarkEnd w:id="90"/>
      <w:r/>
      <w:bookmarkEnd w:id="91"/>
      <w:r/>
      <w:bookmarkEnd w:id="92"/>
      <w:r/>
      <w:r/>
    </w:p>
    <w:p>
      <w:pPr>
        <w:spacing w:line="400" w:lineRule="exact"/>
        <w:rPr>
          <w:rFonts w:ascii="宋体" w:hAnsi="宋体"/>
          <w:sz w:val="24"/>
          <w:szCs w:val="24"/>
        </w:rPr>
      </w:pPr>
      <w:r/>
      <w:bookmarkStart w:id="93" w:name="_Toc14577355"/>
      <w:r/>
      <w:bookmarkStart w:id="94" w:name="_Toc49090508"/>
      <w:r>
        <w:rPr>
          <w:rFonts w:hint="eastAsia" w:ascii="宋体" w:hAnsi="宋体"/>
          <w:sz w:val="24"/>
          <w:szCs w:val="24"/>
        </w:rPr>
        <w:t xml:space="preserve">    10.1 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10.2招标文件对证明文件无明确形式要求的，证明文件可以以文字资料、图纸和数据等形式提交。</w:t>
      </w:r>
      <w:r/>
    </w:p>
    <w:p>
      <w:pPr>
        <w:pStyle w:val="1004"/>
        <w:ind w:firstLine="420"/>
        <w:spacing w:before="0" w:after="0" w:line="400" w:lineRule="exact"/>
        <w:rPr>
          <w:b w:val="0"/>
          <w:bCs w:val="0"/>
          <w:lang w:eastAsia="zh-CN"/>
        </w:rPr>
      </w:pPr>
      <w:r>
        <w:rPr>
          <w:b w:val="0"/>
          <w:bCs w:val="0"/>
          <w:lang w:eastAsia="zh-CN"/>
        </w:rPr>
        <w:t xml:space="preserve">11</w:t>
      </w:r>
      <w:r>
        <w:rPr>
          <w:rFonts w:hint="eastAsia"/>
          <w:b w:val="0"/>
          <w:bCs w:val="0"/>
          <w:lang w:eastAsia="zh-CN"/>
        </w:rPr>
        <w:t xml:space="preserve">、投标分项报价</w:t>
      </w:r>
      <w:bookmarkEnd w:id="93"/>
      <w:r/>
      <w:bookmarkStart w:id="95" w:name="_Hlt26670373"/>
      <w:r/>
      <w:bookmarkEnd w:id="95"/>
      <w:r>
        <w:rPr>
          <w:rFonts w:hint="eastAsia"/>
          <w:b w:val="0"/>
          <w:bCs w:val="0"/>
          <w:lang w:eastAsia="zh-CN"/>
        </w:rPr>
        <w:t xml:space="preserve">表</w:t>
      </w:r>
      <w:bookmarkEnd w:id="94"/>
      <w:r/>
      <w:r/>
    </w:p>
    <w:p>
      <w:pPr>
        <w:ind w:firstLine="480"/>
        <w:spacing w:line="400" w:lineRule="exact"/>
        <w:rPr>
          <w:rFonts w:ascii="宋体" w:hAnsi="宋体"/>
          <w:bCs/>
          <w:sz w:val="24"/>
        </w:rPr>
      </w:pPr>
      <w:r>
        <w:rPr>
          <w:rFonts w:hint="eastAsia" w:ascii="宋体" w:hAnsi="宋体"/>
          <w:bCs/>
          <w:sz w:val="24"/>
        </w:rPr>
        <w:t xml:space="preserve">11.1</w:t>
      </w:r>
      <w:r>
        <w:rPr>
          <w:rFonts w:hint="eastAsia" w:ascii="宋体" w:hAnsi="宋体"/>
          <w:sz w:val="24"/>
        </w:rPr>
        <w:t xml:space="preserve"> 投</w:t>
      </w:r>
      <w:bookmarkStart w:id="96" w:name="_Hlt26954840"/>
      <w:r/>
      <w:bookmarkEnd w:id="96"/>
      <w:r>
        <w:rPr>
          <w:rFonts w:hint="eastAsia" w:ascii="宋体" w:hAnsi="宋体"/>
          <w:sz w:val="24"/>
        </w:rPr>
        <w:t xml:space="preserve">标人按照招标文件规定格式填报投标分项报价表</w:t>
      </w:r>
      <w:bookmarkStart w:id="97" w:name="_Hlt26670399"/>
      <w:r/>
      <w:bookmarkEnd w:id="97"/>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11.2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04"/>
        <w:ind w:firstLine="420"/>
        <w:spacing w:before="0" w:after="0" w:line="400" w:lineRule="exact"/>
        <w:rPr>
          <w:b w:val="0"/>
          <w:bCs w:val="0"/>
          <w:lang w:eastAsia="zh-CN"/>
        </w:rPr>
      </w:pPr>
      <w:r/>
      <w:bookmarkStart w:id="98" w:name="_Hlt26668983"/>
      <w:r/>
      <w:bookmarkEnd w:id="98"/>
      <w:r/>
      <w:bookmarkStart w:id="99" w:name="_Hlt26954846"/>
      <w:r/>
      <w:bookmarkEnd w:id="99"/>
      <w:r/>
      <w:bookmarkStart w:id="100" w:name="_Hlt26954844"/>
      <w:r/>
      <w:bookmarkEnd w:id="100"/>
      <w:r/>
      <w:bookmarkStart w:id="101" w:name="_Hlt26670403"/>
      <w:r/>
      <w:bookmarkEnd w:id="101"/>
      <w:r/>
      <w:bookmarkStart w:id="102" w:name="_Hlt26954731"/>
      <w:r/>
      <w:bookmarkEnd w:id="102"/>
      <w:r/>
      <w:bookmarkStart w:id="103" w:name="_Hlt26670425"/>
      <w:r/>
      <w:bookmarkEnd w:id="103"/>
      <w:r/>
      <w:bookmarkStart w:id="104" w:name="_Hlt26670486"/>
      <w:r/>
      <w:bookmarkEnd w:id="104"/>
      <w:r/>
      <w:bookmarkStart w:id="105" w:name="_Hlt26670482"/>
      <w:r/>
      <w:bookmarkEnd w:id="105"/>
      <w:r/>
      <w:bookmarkStart w:id="106" w:name="_Hlt26954848"/>
      <w:r/>
      <w:bookmarkEnd w:id="106"/>
      <w:r/>
      <w:bookmarkStart w:id="107" w:name="_Hlt26954842"/>
      <w:r/>
      <w:bookmarkEnd w:id="107"/>
      <w:r>
        <w:rPr>
          <w:b w:val="0"/>
          <w:bCs w:val="0"/>
          <w:lang w:eastAsia="zh-CN"/>
        </w:rPr>
        <w:t xml:space="preserve">12</w:t>
      </w:r>
      <w:r>
        <w:rPr>
          <w:rFonts w:hint="eastAsia"/>
          <w:b w:val="0"/>
          <w:bCs w:val="0"/>
          <w:lang w:eastAsia="zh-CN"/>
        </w:rPr>
        <w:t xml:space="preserve">、技术要求响应及偏离表、商务要求响应及偏离表</w:t>
      </w:r>
      <w:r/>
    </w:p>
    <w:p>
      <w:pPr>
        <w:ind w:firstLine="480"/>
        <w:spacing w:line="400" w:lineRule="exact"/>
        <w:rPr>
          <w:rFonts w:ascii="宋体" w:hAnsi="Arial" w:cs="宋体"/>
          <w:sz w:val="24"/>
          <w:lang w:val="zh-CN"/>
        </w:rPr>
      </w:pPr>
      <w:r>
        <w:rPr>
          <w:rFonts w:hint="eastAsia" w:ascii="宋体" w:hAnsi="Arial" w:cs="宋体"/>
          <w:bCs/>
          <w:sz w:val="24"/>
          <w:lang w:val="zh-CN"/>
        </w:rPr>
        <w:t xml:space="preserve">12.1</w:t>
      </w:r>
      <w:r>
        <w:rPr>
          <w:rFonts w:hint="eastAsia" w:ascii="宋体" w:hAnsi="Arial" w:cs="宋体"/>
          <w:sz w:val="24"/>
          <w:lang w:val="zh-CN"/>
        </w:rPr>
        <w:t xml:space="preserve"> 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08" w:name="_Toc49090510"/>
      <w:r/>
      <w:bookmarkStart w:id="109" w:name="_Toc14577359"/>
      <w:r>
        <w:rPr>
          <w:rFonts w:hint="eastAsia" w:ascii="宋体" w:hAnsi="Arial" w:cs="宋体"/>
          <w:sz w:val="24"/>
          <w:lang w:val="zh-CN"/>
        </w:rPr>
        <w:t xml:space="preserve">12.2 投标人需按照招标文件要求，在投标文件中提供与技术要求和商务要求相关的证明材料。</w:t>
      </w:r>
      <w:r/>
    </w:p>
    <w:p>
      <w:pPr>
        <w:pStyle w:val="1004"/>
        <w:ind w:firstLine="420"/>
        <w:spacing w:before="0" w:after="0" w:line="400" w:lineRule="exact"/>
        <w:rPr>
          <w:b w:val="0"/>
          <w:bCs w:val="0"/>
          <w:lang w:eastAsia="zh-CN"/>
        </w:rPr>
      </w:pPr>
      <w:r>
        <w:rPr>
          <w:b w:val="0"/>
          <w:bCs w:val="0"/>
          <w:lang w:eastAsia="zh-CN"/>
        </w:rPr>
        <w:t xml:space="preserve">13</w:t>
      </w:r>
      <w:r>
        <w:rPr>
          <w:rFonts w:hint="eastAsia"/>
          <w:b w:val="0"/>
          <w:bCs w:val="0"/>
          <w:lang w:eastAsia="zh-CN"/>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13.1</w:t>
      </w:r>
      <w:r>
        <w:rPr>
          <w:rFonts w:hint="eastAsia" w:ascii="宋体" w:hAnsi="宋体"/>
          <w:sz w:val="24"/>
        </w:rPr>
        <w:t xml:space="preserve"> 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13.2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08"/>
      <w:r/>
      <w:bookmarkEnd w:id="109"/>
      <w:r/>
      <w:r/>
    </w:p>
    <w:p>
      <w:pPr>
        <w:pStyle w:val="1004"/>
        <w:ind w:firstLine="420"/>
        <w:spacing w:before="0" w:after="0" w:line="400" w:lineRule="exact"/>
        <w:rPr>
          <w:b w:val="0"/>
          <w:bCs w:val="0"/>
          <w:lang w:eastAsia="zh-CN"/>
        </w:rPr>
      </w:pPr>
      <w:r/>
      <w:bookmarkStart w:id="110" w:name="_Hlt26954850"/>
      <w:r/>
      <w:bookmarkEnd w:id="110"/>
      <w:r/>
      <w:bookmarkStart w:id="111" w:name="_Hlt26670489"/>
      <w:r/>
      <w:bookmarkEnd w:id="111"/>
      <w:r/>
      <w:bookmarkStart w:id="112" w:name="_Hlt26954734"/>
      <w:r/>
      <w:bookmarkEnd w:id="112"/>
      <w:r/>
      <w:bookmarkStart w:id="113" w:name="_Toc49090511"/>
      <w:r/>
      <w:bookmarkStart w:id="114" w:name="_Toc14577360"/>
      <w:r>
        <w:rPr>
          <w:b w:val="0"/>
          <w:bCs w:val="0"/>
          <w:lang w:eastAsia="zh-CN"/>
        </w:rPr>
        <w:t xml:space="preserve">14</w:t>
      </w:r>
      <w:r>
        <w:rPr>
          <w:rFonts w:hint="eastAsia"/>
          <w:b w:val="0"/>
          <w:bCs w:val="0"/>
          <w:lang w:eastAsia="zh-CN"/>
        </w:rPr>
        <w:t xml:space="preserve">、投标有效期</w:t>
      </w:r>
      <w:bookmarkEnd w:id="113"/>
      <w:r/>
      <w:bookmarkEnd w:id="114"/>
      <w:r/>
      <w:r/>
    </w:p>
    <w:p>
      <w:pPr>
        <w:ind w:firstLine="480"/>
        <w:spacing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。投标有效期比规定短的将被视为未实质性响应招标文件而予以拒绝。</w:t>
      </w:r>
      <w:r/>
    </w:p>
    <w:p>
      <w:pPr>
        <w:pStyle w:val="1004"/>
        <w:ind w:firstLine="420"/>
        <w:spacing w:before="0" w:after="0" w:line="400" w:lineRule="exact"/>
        <w:rPr>
          <w:b w:val="0"/>
          <w:bCs w:val="0"/>
          <w:lang w:eastAsia="zh-CN"/>
        </w:rPr>
      </w:pPr>
      <w:r>
        <w:rPr>
          <w:b w:val="0"/>
          <w:bCs w:val="0"/>
          <w:lang w:eastAsia="zh-CN"/>
        </w:rPr>
        <w:t xml:space="preserve">15</w:t>
      </w:r>
      <w:r>
        <w:rPr>
          <w:rFonts w:hint="eastAsia"/>
          <w:b w:val="0"/>
          <w:bCs w:val="0"/>
          <w:lang w:eastAsia="zh-CN"/>
        </w:rPr>
        <w:t xml:space="preserve">、投标有效期的延长</w:t>
      </w:r>
      <w:r/>
    </w:p>
    <w:p>
      <w:pPr>
        <w:ind w:firstLine="480"/>
        <w:spacing w:line="4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03"/>
        <w:ind w:firstLine="482"/>
        <w:spacing w:line="400" w:lineRule="exact"/>
        <w:rPr>
          <w:rFonts w:ascii="Times New Roman" w:hAnsi="Times New Roman"/>
          <w:bCs/>
          <w:lang w:eastAsia="zh-CN"/>
        </w:rPr>
      </w:pPr>
      <w:r/>
      <w:bookmarkStart w:id="115" w:name="_Hlt26954852"/>
      <w:r/>
      <w:bookmarkEnd w:id="115"/>
      <w:r/>
      <w:bookmarkStart w:id="116" w:name="_Hlt26954739"/>
      <w:r/>
      <w:bookmarkEnd w:id="116"/>
      <w:r/>
      <w:bookmarkStart w:id="117" w:name="_Toc20823296"/>
      <w:r/>
      <w:bookmarkStart w:id="118" w:name="_Toc513029224"/>
      <w:r/>
      <w:bookmarkStart w:id="119" w:name="_Toc120614217"/>
      <w:r/>
      <w:bookmarkStart w:id="120" w:name="_Toc16938540"/>
      <w:r>
        <w:rPr>
          <w:rFonts w:hint="eastAsia" w:ascii="宋体" w:hAnsi="宋体" w:eastAsia="宋体" w:cs="宋体"/>
          <w:lang w:eastAsia="zh-CN"/>
        </w:rPr>
        <w:t xml:space="preserve">四、投标文件的递交</w:t>
      </w:r>
      <w:bookmarkEnd w:id="117"/>
      <w:r/>
      <w:bookmarkEnd w:id="118"/>
      <w:r/>
      <w:bookmarkEnd w:id="119"/>
      <w:r/>
      <w:bookmarkEnd w:id="120"/>
      <w:r/>
      <w:r/>
    </w:p>
    <w:p>
      <w:pPr>
        <w:pStyle w:val="1004"/>
        <w:ind w:firstLine="560"/>
        <w:spacing w:before="0" w:after="0" w:line="400" w:lineRule="exact"/>
        <w:rPr>
          <w:rFonts w:ascii="黑体"/>
          <w:b w:val="0"/>
          <w:bCs w:val="0"/>
          <w:lang w:eastAsia="zh-CN"/>
        </w:rPr>
      </w:pPr>
      <w:r/>
      <w:bookmarkStart w:id="121" w:name="_Toc462564084"/>
      <w:r/>
      <w:bookmarkStart w:id="122" w:name="_Toc16938541"/>
      <w:r/>
      <w:bookmarkStart w:id="123" w:name="_Toc20823297"/>
      <w:r/>
      <w:bookmarkStart w:id="124" w:name="_Toc513029225"/>
      <w:r>
        <w:rPr>
          <w:b w:val="0"/>
          <w:bCs w:val="0"/>
          <w:lang w:eastAsia="zh-CN"/>
        </w:rPr>
        <w:t xml:space="preserve">16</w:t>
      </w:r>
      <w:r>
        <w:rPr>
          <w:rFonts w:hint="eastAsia"/>
          <w:b w:val="0"/>
          <w:bCs w:val="0"/>
          <w:lang w:eastAsia="zh-CN"/>
        </w:rPr>
        <w:t xml:space="preserve">、</w:t>
      </w:r>
      <w:r>
        <w:rPr>
          <w:rFonts w:hint="eastAsia" w:ascii="黑体"/>
          <w:b w:val="0"/>
          <w:bCs w:val="0"/>
          <w:lang w:eastAsia="zh-CN"/>
        </w:rPr>
        <w:t xml:space="preserve">投标文件</w:t>
      </w:r>
      <w:bookmarkEnd w:id="121"/>
      <w:r/>
      <w:bookmarkEnd w:id="122"/>
      <w:r/>
      <w:bookmarkEnd w:id="123"/>
      <w:r/>
      <w:bookmarkEnd w:id="124"/>
      <w:r>
        <w:rPr>
          <w:rFonts w:hint="eastAsia" w:ascii="黑体"/>
          <w:b w:val="0"/>
          <w:bCs w:val="0"/>
          <w:lang w:eastAsia="zh-CN"/>
        </w:rPr>
        <w:t xml:space="preserve">的递交</w:t>
      </w:r>
      <w:r/>
    </w:p>
    <w:p>
      <w:pPr>
        <w:ind w:firstLine="480"/>
        <w:spacing w:line="4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电子投标文件的递交</w:t>
      </w:r>
      <w:r/>
    </w:p>
    <w:p>
      <w:pPr>
        <w:pStyle w:val="1199"/>
        <w:ind w:left="525"/>
        <w:spacing w:line="400" w:lineRule="exact"/>
        <w:rPr>
          <w:rFonts w:ascii="宋体" w:hAnsi="宋体"/>
          <w:bCs/>
          <w:sz w:val="24"/>
        </w:rPr>
      </w:pPr>
      <w:r>
        <w:rPr>
          <w:rFonts w:hint="eastAsia" w:ascii="宋体" w:hAnsi="宋体"/>
          <w:bCs/>
          <w:sz w:val="24"/>
        </w:rPr>
        <w:t xml:space="preserve">投标人应当按照《操作手册》规定，在投标截止时间前制作并上传电子投标文件。</w:t>
      </w:r>
      <w:bookmarkStart w:id="125" w:name="_Toc513029226"/>
      <w:r/>
      <w:bookmarkStart w:id="126" w:name="_Toc20823298"/>
      <w:r/>
      <w:bookmarkStart w:id="127" w:name="_Toc16938542"/>
      <w:r/>
      <w:r/>
    </w:p>
    <w:p>
      <w:pPr>
        <w:pStyle w:val="1004"/>
        <w:ind w:firstLine="420"/>
        <w:spacing w:line="400" w:lineRule="exact"/>
        <w:rPr>
          <w:b w:val="0"/>
          <w:lang w:eastAsia="zh-CN"/>
        </w:rPr>
      </w:pPr>
      <w:r>
        <w:rPr>
          <w:b w:val="0"/>
          <w:lang w:eastAsia="zh-CN"/>
        </w:rPr>
        <w:t xml:space="preserve">17</w:t>
      </w:r>
      <w:r>
        <w:rPr>
          <w:rFonts w:hint="eastAsia"/>
          <w:b w:val="0"/>
          <w:lang w:eastAsia="zh-CN"/>
        </w:rPr>
        <w:t xml:space="preserve">、投标截止</w:t>
      </w:r>
      <w:bookmarkEnd w:id="125"/>
      <w:r/>
      <w:bookmarkEnd w:id="126"/>
      <w:r/>
      <w:bookmarkEnd w:id="127"/>
      <w:r>
        <w:rPr>
          <w:rFonts w:hint="eastAsia"/>
          <w:b w:val="0"/>
          <w:lang w:eastAsia="zh-CN"/>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1004"/>
        <w:ind w:firstLine="420"/>
        <w:spacing w:before="0" w:after="0" w:line="400" w:lineRule="exact"/>
        <w:rPr>
          <w:b w:val="0"/>
          <w:bCs w:val="0"/>
          <w:lang w:eastAsia="zh-CN"/>
        </w:rPr>
      </w:pPr>
      <w:r/>
      <w:bookmarkStart w:id="128" w:name="_Toc16938543"/>
      <w:r/>
      <w:bookmarkStart w:id="129" w:name="_Toc20823299"/>
      <w:r/>
      <w:bookmarkStart w:id="130" w:name="_Toc513029227"/>
      <w:r>
        <w:rPr>
          <w:b w:val="0"/>
          <w:bCs w:val="0"/>
          <w:lang w:eastAsia="zh-CN"/>
        </w:rPr>
        <w:t xml:space="preserve">18</w:t>
      </w:r>
      <w:r>
        <w:rPr>
          <w:rFonts w:hint="eastAsia"/>
          <w:b w:val="0"/>
          <w:bCs w:val="0"/>
          <w:lang w:eastAsia="zh-CN"/>
        </w:rPr>
        <w:t xml:space="preserve">、投标文件</w:t>
      </w:r>
      <w:bookmarkEnd w:id="128"/>
      <w:r/>
      <w:bookmarkEnd w:id="129"/>
      <w:r/>
      <w:bookmarkEnd w:id="130"/>
      <w:r>
        <w:rPr>
          <w:rFonts w:hint="eastAsia"/>
          <w:b w:val="0"/>
          <w:bCs w:val="0"/>
          <w:lang w:eastAsia="zh-CN"/>
        </w:rPr>
        <w:t xml:space="preserve">的拒收</w:t>
      </w:r>
      <w:r/>
    </w:p>
    <w:p>
      <w:pPr>
        <w:ind w:firstLine="480"/>
        <w:spacing w:line="400" w:lineRule="exact"/>
        <w:rPr>
          <w:rFonts w:ascii="宋体" w:hAnsi="宋体"/>
          <w:bCs/>
          <w:sz w:val="24"/>
        </w:rPr>
      </w:pPr>
      <w:r>
        <w:rPr>
          <w:rFonts w:hint="eastAsia" w:ascii="宋体" w:hAnsi="宋体"/>
          <w:sz w:val="24"/>
        </w:rPr>
        <w:t xml:space="preserve">18.1</w:t>
      </w:r>
      <w:r>
        <w:rPr>
          <w:rFonts w:hint="eastAsia" w:ascii="宋体" w:hAnsi="宋体"/>
          <w:bCs/>
          <w:sz w:val="24"/>
        </w:rPr>
        <w:t xml:space="preserve">采购中心拒绝接收在其规定的投标截止时间后上传的任何投标文件。</w:t>
      </w:r>
      <w:r/>
    </w:p>
    <w:p>
      <w:pPr>
        <w:pStyle w:val="1004"/>
        <w:ind w:firstLine="420"/>
        <w:spacing w:before="0" w:after="0" w:line="400" w:lineRule="exact"/>
        <w:rPr>
          <w:b w:val="0"/>
          <w:bCs w:val="0"/>
          <w:lang w:eastAsia="zh-CN"/>
        </w:rPr>
      </w:pPr>
      <w:r/>
      <w:bookmarkStart w:id="131" w:name="_Toc20823300"/>
      <w:r/>
      <w:bookmarkStart w:id="132" w:name="_Toc16938544"/>
      <w:r/>
      <w:bookmarkStart w:id="133" w:name="_Toc513029228"/>
      <w:r>
        <w:rPr>
          <w:b w:val="0"/>
          <w:bCs w:val="0"/>
          <w:lang w:eastAsia="zh-CN"/>
        </w:rPr>
        <w:t xml:space="preserve">19</w:t>
      </w:r>
      <w:r>
        <w:rPr>
          <w:rFonts w:hint="eastAsia"/>
          <w:b w:val="0"/>
          <w:bCs w:val="0"/>
          <w:lang w:eastAsia="zh-CN"/>
        </w:rPr>
        <w:t xml:space="preserve">、投标文件的撤回和修改</w:t>
      </w:r>
      <w:bookmarkEnd w:id="131"/>
      <w:r/>
      <w:bookmarkEnd w:id="132"/>
      <w:r/>
      <w:bookmarkEnd w:id="133"/>
      <w:r/>
      <w:r/>
    </w:p>
    <w:p>
      <w:pPr>
        <w:ind w:firstLine="480"/>
        <w:spacing w:line="400" w:lineRule="exact"/>
        <w:rPr>
          <w:rFonts w:ascii="宋体" w:hAnsi="宋体"/>
          <w:sz w:val="24"/>
        </w:rPr>
      </w:pPr>
      <w:r>
        <w:rPr>
          <w:rFonts w:hint="eastAsia" w:ascii="宋体" w:hAnsi="宋体"/>
          <w:sz w:val="24"/>
        </w:rPr>
        <w:t xml:space="preserve">19.1 投标文件的撤回</w:t>
      </w:r>
      <w:r/>
    </w:p>
    <w:p>
      <w:pPr>
        <w:ind w:firstLine="480"/>
        <w:spacing w:line="400" w:lineRule="exact"/>
        <w:rPr>
          <w:rFonts w:ascii="宋体" w:hAnsi="宋体"/>
          <w:sz w:val="24"/>
        </w:rPr>
      </w:pPr>
      <w:r>
        <w:rPr>
          <w:rFonts w:hint="eastAsia" w:ascii="宋体" w:hAnsi="宋体"/>
          <w:sz w:val="24"/>
        </w:rPr>
        <w:t xml:space="preserve">19.1.1 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hint="eastAsia" w:ascii="宋体" w:hAnsi="宋体"/>
          <w:sz w:val="24"/>
          <w:szCs w:val="24"/>
        </w:rPr>
        <w:t xml:space="preserve">19.1.2 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投标文件的修改</w:t>
      </w:r>
      <w:r/>
    </w:p>
    <w:p>
      <w:pPr>
        <w:ind w:firstLine="480"/>
        <w:spacing w:line="400" w:lineRule="exact"/>
        <w:rPr>
          <w:rFonts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1003"/>
        <w:ind w:firstLine="482"/>
        <w:spacing w:line="400" w:lineRule="exact"/>
        <w:rPr>
          <w:rFonts w:ascii="Times New Roman" w:hAnsi="Times New Roman"/>
          <w:bCs/>
          <w:lang w:eastAsia="zh-CN"/>
        </w:rPr>
      </w:pPr>
      <w:r/>
      <w:bookmarkStart w:id="134" w:name="_Toc16938545"/>
      <w:r/>
      <w:bookmarkStart w:id="135" w:name="_Toc513029229"/>
      <w:r/>
      <w:bookmarkStart w:id="136" w:name="_Toc20823301"/>
      <w:r/>
      <w:bookmarkStart w:id="137" w:name="_Toc120614218"/>
      <w:r>
        <w:rPr>
          <w:rFonts w:hint="eastAsia" w:ascii="宋体" w:hAnsi="宋体" w:eastAsia="宋体" w:cs="宋体"/>
          <w:lang w:eastAsia="zh-CN"/>
        </w:rPr>
        <w:t xml:space="preserve">五、开标与评标</w:t>
      </w:r>
      <w:bookmarkEnd w:id="134"/>
      <w:r/>
      <w:bookmarkEnd w:id="135"/>
      <w:r/>
      <w:bookmarkEnd w:id="136"/>
      <w:r/>
      <w:bookmarkEnd w:id="137"/>
      <w:r/>
      <w:r/>
    </w:p>
    <w:p>
      <w:pPr>
        <w:pStyle w:val="1004"/>
        <w:ind w:firstLine="420"/>
        <w:spacing w:before="0" w:after="0" w:line="400" w:lineRule="exact"/>
        <w:rPr>
          <w:b w:val="0"/>
          <w:bCs w:val="0"/>
          <w:lang w:eastAsia="zh-CN"/>
        </w:rPr>
      </w:pPr>
      <w:r/>
      <w:bookmarkStart w:id="138" w:name="_Toc513029230"/>
      <w:r/>
      <w:bookmarkStart w:id="139" w:name="_Toc20823302"/>
      <w:r/>
      <w:bookmarkStart w:id="140" w:name="_Toc16938546"/>
      <w:r>
        <w:rPr>
          <w:b w:val="0"/>
          <w:bCs w:val="0"/>
          <w:lang w:eastAsia="zh-CN"/>
        </w:rPr>
        <w:t xml:space="preserve">20</w:t>
      </w:r>
      <w:r>
        <w:rPr>
          <w:rFonts w:hint="eastAsia"/>
          <w:b w:val="0"/>
          <w:bCs w:val="0"/>
          <w:lang w:eastAsia="zh-CN"/>
        </w:rPr>
        <w:t xml:space="preserve">、开标</w:t>
      </w:r>
      <w:bookmarkEnd w:id="138"/>
      <w:r/>
      <w:bookmarkEnd w:id="139"/>
      <w:r/>
      <w:bookmarkEnd w:id="140"/>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。投标人应当按照《操作手册》规定，参加开标活动和在苏采云系统规定的时间内对投标文件进行解密。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开标仪式由采购中心组织。苏采云系统将自动对项目进行开标，并宣布各投标人名称和投标价格。</w:t>
      </w:r>
      <w:r/>
    </w:p>
    <w:p>
      <w:pPr>
        <w:ind w:firstLine="480"/>
        <w:spacing w:line="400" w:lineRule="exact"/>
        <w:rPr>
          <w:rFonts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 苏采云系统中《开标记录表》宣布后5分钟内未提出的，视同认可开标结果。</w:t>
      </w:r>
      <w:r/>
    </w:p>
    <w:p>
      <w:pPr>
        <w:pStyle w:val="1004"/>
        <w:ind w:firstLine="420"/>
        <w:spacing w:before="0" w:after="0" w:line="400" w:lineRule="exact"/>
        <w:rPr>
          <w:b w:val="0"/>
          <w:bCs w:val="0"/>
          <w:lang w:eastAsia="zh-CN"/>
        </w:rPr>
      </w:pPr>
      <w:r/>
      <w:bookmarkStart w:id="141" w:name="_Toc20823303"/>
      <w:r/>
      <w:bookmarkStart w:id="142" w:name="_Toc16938547"/>
      <w:r/>
      <w:bookmarkStart w:id="143" w:name="_Toc513029231"/>
      <w:r>
        <w:rPr>
          <w:b w:val="0"/>
          <w:bCs w:val="0"/>
          <w:lang w:eastAsia="zh-CN"/>
        </w:rPr>
        <w:t xml:space="preserve">21</w:t>
      </w:r>
      <w:r>
        <w:rPr>
          <w:rFonts w:hint="eastAsia"/>
          <w:b w:val="0"/>
          <w:bCs w:val="0"/>
          <w:lang w:eastAsia="zh-CN"/>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21.1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21.2 评委会由采购人代表和有关技术、经济等方面的专家组成，且人员构成符合政府采购有关规定。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21.3评委会独立工作，负责评审所有投标文件并确定中标侯选人。</w:t>
      </w:r>
      <w:r/>
    </w:p>
    <w:p>
      <w:pPr>
        <w:pStyle w:val="1004"/>
        <w:ind w:firstLine="420"/>
        <w:spacing w:before="0" w:after="0" w:line="400" w:lineRule="exact"/>
        <w:rPr>
          <w:rFonts w:ascii="黑体"/>
          <w:b w:val="0"/>
          <w:bCs w:val="0"/>
          <w:lang w:eastAsia="zh-CN"/>
        </w:rPr>
      </w:pPr>
      <w:r>
        <w:rPr>
          <w:rFonts w:hint="eastAsia" w:ascii="黑体"/>
          <w:b w:val="0"/>
          <w:bCs w:val="0"/>
          <w:lang w:eastAsia="zh-CN"/>
        </w:rPr>
        <w:t xml:space="preserve">22、评标过程的保密与公正</w:t>
      </w:r>
      <w:bookmarkEnd w:id="141"/>
      <w:r/>
      <w:bookmarkEnd w:id="142"/>
      <w:r/>
      <w:bookmarkEnd w:id="143"/>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22.3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1004"/>
        <w:ind w:firstLine="420"/>
        <w:spacing w:before="0" w:after="0" w:line="400" w:lineRule="exact"/>
        <w:rPr>
          <w:b w:val="0"/>
          <w:bCs w:val="0"/>
          <w:lang w:eastAsia="zh-CN"/>
        </w:rPr>
      </w:pPr>
      <w:r/>
      <w:bookmarkStart w:id="144" w:name="_Toc16938548"/>
      <w:r/>
      <w:bookmarkStart w:id="145" w:name="_Toc513029232"/>
      <w:r/>
      <w:bookmarkStart w:id="146" w:name="_Toc20823304"/>
      <w:r>
        <w:rPr>
          <w:b w:val="0"/>
          <w:bCs w:val="0"/>
          <w:lang w:eastAsia="zh-CN"/>
        </w:rPr>
        <w:t xml:space="preserve">23</w:t>
      </w:r>
      <w:r>
        <w:rPr>
          <w:rFonts w:hint="eastAsia"/>
          <w:b w:val="0"/>
          <w:bCs w:val="0"/>
          <w:lang w:eastAsia="zh-CN"/>
        </w:rPr>
        <w:t xml:space="preserve">、投标文件的澄清</w:t>
      </w:r>
      <w:bookmarkEnd w:id="144"/>
      <w:r/>
      <w:bookmarkEnd w:id="145"/>
      <w:r/>
      <w:bookmarkEnd w:id="146"/>
      <w:r/>
      <w:r/>
    </w:p>
    <w:p>
      <w:pPr>
        <w:ind w:firstLine="480"/>
        <w:spacing w:line="400" w:lineRule="exact"/>
        <w:rPr>
          <w:rFonts w:ascii="宋体" w:hAnsi="宋体"/>
          <w:sz w:val="24"/>
          <w:szCs w:val="24"/>
        </w:rPr>
      </w:pPr>
      <w:r>
        <w:rPr>
          <w:rFonts w:hint="eastAsia" w:ascii="宋体" w:hAnsi="宋体"/>
          <w:sz w:val="24"/>
          <w:szCs w:val="24"/>
        </w:rPr>
        <w:t xml:space="preserve">23.1评标期间，评委会对投标文件中含义不明确、同类问题表述不一致或者有明显文字和计算错误的内容 ，有权要求投标人作出必要的澄清、说明或者补正。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评标委员会并非对每个投标人都做澄清要求。</w:t>
      </w:r>
      <w:r/>
    </w:p>
    <w:p>
      <w:pPr>
        <w:ind w:firstLine="480"/>
        <w:spacing w:line="400" w:lineRule="exact"/>
        <w:rPr>
          <w:rFonts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1004"/>
        <w:ind w:firstLine="420"/>
        <w:spacing w:before="0" w:after="0" w:line="400" w:lineRule="exact"/>
        <w:rPr>
          <w:b w:val="0"/>
          <w:bCs w:val="0"/>
          <w:lang w:eastAsia="zh-CN"/>
        </w:rPr>
      </w:pPr>
      <w:r/>
      <w:bookmarkStart w:id="147" w:name="_Toc513029233"/>
      <w:r/>
      <w:bookmarkStart w:id="148" w:name="_Toc16938549"/>
      <w:r/>
      <w:bookmarkStart w:id="149" w:name="_Toc20823305"/>
      <w:r>
        <w:rPr>
          <w:b w:val="0"/>
          <w:bCs w:val="0"/>
          <w:lang w:eastAsia="zh-CN"/>
        </w:rPr>
        <w:t xml:space="preserve">24</w:t>
      </w:r>
      <w:r>
        <w:rPr>
          <w:rFonts w:hint="eastAsia"/>
          <w:b w:val="0"/>
          <w:bCs w:val="0"/>
          <w:lang w:eastAsia="zh-CN"/>
        </w:rPr>
        <w:t xml:space="preserve">、对投标文件的初审</w:t>
      </w:r>
      <w:bookmarkEnd w:id="147"/>
      <w:r/>
      <w:bookmarkEnd w:id="148"/>
      <w:r/>
      <w:bookmarkEnd w:id="149"/>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24.1.3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中告知未通过资格审查或符合性审查的原因，评标结束后，采购中心将不再告知未通过资格审查和符合性审查的原因。</w:t>
      </w:r>
      <w:r/>
    </w:p>
    <w:p>
      <w:pPr>
        <w:ind w:firstLine="480"/>
        <w:spacing w:line="400" w:lineRule="exact"/>
        <w:rPr>
          <w:rFonts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24.5 </w:t>
      </w:r>
      <w:r>
        <w:rPr>
          <w:rFonts w:hint="eastAsia" w:ascii="宋体" w:hAnsi="宋体"/>
          <w:bCs/>
          <w:sz w:val="24"/>
        </w:rPr>
        <w:t xml:space="preserve">评委会将按上述修正错误的方法调整投标文件中的投标报价，并通过</w:t>
      </w:r>
      <w:r>
        <w:rPr>
          <w:rFonts w:hint="eastAsia" w:ascii="宋体" w:hAnsi="宋体"/>
          <w:sz w:val="24"/>
          <w:szCs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p>
    <w:p>
      <w:pPr>
        <w:ind w:firstLine="420"/>
        <w:spacing w:line="400" w:lineRule="exact"/>
        <w:rPr>
          <w:rFonts w:ascii="宋体" w:hAnsi="宋体"/>
          <w:sz w:val="24"/>
        </w:rPr>
      </w:pPr>
      <w:r/>
      <w:bookmarkStart w:id="150" w:name="_Toc513029234"/>
      <w:r/>
      <w:bookmarkStart w:id="151" w:name="_Toc16938550"/>
      <w:r/>
      <w:bookmarkStart w:id="152"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查阅、答复相关信息，并安排专人与采购中心及评标委员会联系。</w:t>
      </w:r>
      <w:r/>
    </w:p>
    <w:p>
      <w:pPr>
        <w:pStyle w:val="1004"/>
        <w:ind w:firstLine="420"/>
        <w:spacing w:before="0" w:after="0" w:line="400" w:lineRule="exact"/>
        <w:rPr>
          <w:b w:val="0"/>
          <w:bCs w:val="0"/>
          <w:lang w:eastAsia="zh-CN"/>
        </w:rPr>
      </w:pPr>
      <w:r>
        <w:rPr>
          <w:b w:val="0"/>
          <w:bCs w:val="0"/>
          <w:lang w:eastAsia="zh-CN"/>
        </w:rPr>
        <w:t xml:space="preserve">25</w:t>
      </w:r>
      <w:r>
        <w:rPr>
          <w:rFonts w:hint="eastAsia"/>
          <w:b w:val="0"/>
          <w:bCs w:val="0"/>
          <w:lang w:eastAsia="zh-CN"/>
        </w:rPr>
        <w:t xml:space="preserve">、</w:t>
      </w:r>
      <w:bookmarkEnd w:id="150"/>
      <w:r/>
      <w:bookmarkEnd w:id="151"/>
      <w:r/>
      <w:bookmarkEnd w:id="152"/>
      <w:r>
        <w:rPr>
          <w:rFonts w:hint="eastAsia"/>
          <w:b w:val="0"/>
          <w:bCs w:val="0"/>
          <w:lang w:eastAsia="zh-CN"/>
        </w:rPr>
        <w:t xml:space="preserve">无效投标条款和废标条款</w:t>
      </w:r>
      <w:r/>
    </w:p>
    <w:p>
      <w:pPr>
        <w:ind w:left="479"/>
        <w:spacing w:line="400" w:lineRule="exact"/>
        <w:rPr>
          <w:rFonts w:ascii="宋体" w:hAnsi="宋体"/>
          <w:bCs/>
          <w:sz w:val="24"/>
        </w:rPr>
      </w:pPr>
      <w:r/>
      <w:bookmarkStart w:id="153" w:name="_Toc513029235"/>
      <w:r/>
      <w:bookmarkStart w:id="154" w:name="_Toc16938551"/>
      <w:r/>
      <w:bookmarkStart w:id="155" w:name="_Toc20823307"/>
      <w:r>
        <w:rPr>
          <w:rFonts w:hint="eastAsia" w:ascii="宋体" w:hAnsi="宋体"/>
          <w:bCs/>
          <w:sz w:val="24"/>
        </w:rPr>
        <w:t xml:space="preserve">25.1无效投标条款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投标人同一采购包提交两个（含两个）以上不同的投标报价的。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25.1.5投标人的报价超过了采购预算或最高限价的。</w:t>
      </w:r>
      <w:r/>
    </w:p>
    <w:p>
      <w:pPr>
        <w:ind w:firstLine="480"/>
        <w:spacing w:line="400" w:lineRule="exact"/>
        <w:rPr>
          <w:rFonts w:ascii="宋体" w:hAnsi="宋体"/>
          <w:bCs/>
          <w:i/>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25.1.6未通过符合性审查的。</w:t>
      </w:r>
      <w:r/>
    </w:p>
    <w:p>
      <w:pPr>
        <w:ind w:firstLine="360"/>
        <w:spacing w:line="400" w:lineRule="exact"/>
        <w:rPr>
          <w:rFonts w:ascii="宋体" w:hAnsi="宋体"/>
          <w:bCs/>
          <w:i/>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25.1.7不符合招标文件中规定的实质性要求的</w:t>
      </w:r>
      <w:r>
        <w:rPr>
          <w:rFonts w:hint="eastAsia" w:ascii="宋体" w:hAnsi="宋体"/>
          <w:b/>
          <w:bCs/>
          <w:color w:val="000000" w:themeColor="text1"/>
          <w:sz w:val="24"/>
          <w14:textFill>
            <w14:solidFill>
              <w14:schemeClr w14:val="tx1"/>
            </w14:solidFill>
          </w14:textFill>
        </w:rPr>
        <w:t xml:space="preserve">（本招标文件中</w:t>
      </w:r>
      <w:r>
        <w:rPr>
          <w:rFonts w:hint="eastAsia" w:ascii="宋体" w:hAnsi="宋体"/>
          <w:b/>
          <w:bCs/>
          <w:i/>
          <w:color w:val="000000" w:themeColor="text1"/>
          <w:sz w:val="24"/>
          <w:u w:val="single"/>
          <w14:textFill>
            <w14:solidFill>
              <w14:schemeClr w14:val="tx1"/>
            </w14:solidFill>
          </w14:textFill>
        </w:rPr>
        <w:t xml:space="preserve">斜体且有下划线部分</w:t>
      </w:r>
      <w:r>
        <w:rPr>
          <w:rFonts w:hint="eastAsia" w:ascii="宋体" w:hAnsi="宋体"/>
          <w:b/>
          <w:bCs/>
          <w:color w:val="000000" w:themeColor="text1"/>
          <w:sz w:val="24"/>
          <w14:textFill>
            <w14:solidFill>
              <w14:schemeClr w14:val="tx1"/>
            </w14:solidFill>
          </w14:textFill>
        </w:rPr>
        <w:t xml:space="preserve">或加*号条款为实质性要求）</w:t>
      </w:r>
      <w:r/>
    </w:p>
    <w:p>
      <w:pPr>
        <w:ind w:firstLine="480"/>
        <w:spacing w:line="400" w:lineRule="exact"/>
        <w:rPr>
          <w:rFonts w:ascii="宋体" w:hAnsi="宋体"/>
          <w:bCs/>
          <w:sz w:val="24"/>
        </w:rPr>
      </w:pPr>
      <w:r>
        <w:rPr>
          <w:rFonts w:hint="eastAsia" w:ascii="宋体" w:hAnsi="宋体"/>
          <w:bCs/>
          <w:color w:val="000000" w:themeColor="text1"/>
          <w:sz w:val="24"/>
          <w14:textFill>
            <w14:solidFill>
              <w14:schemeClr w14:val="tx1"/>
            </w14:solidFill>
          </w14:textFill>
        </w:rPr>
        <w:t xml:space="preserve">25.1.8 投标人被 “信用中国”网站（www.creditchina.gov.cn）列入失信被执行人或重大税收违法案件当事人名单或政府采购严</w:t>
      </w:r>
      <w:r>
        <w:rPr>
          <w:rFonts w:hint="eastAsia" w:ascii="宋体" w:hAnsi="宋体"/>
          <w:bCs/>
          <w:sz w:val="24"/>
        </w:rPr>
        <w:t xml:space="preserve">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25.1.10评标委员会认为投标人的报价明显低于其他通过符合性审查投标人的报价，有可能影响产品质量或者不能诚信履约的，将通过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00" w:lineRule="exact"/>
        <w:rPr>
          <w:rFonts w:ascii="宋体" w:hAnsi="宋体"/>
          <w:bCs/>
          <w:sz w:val="24"/>
        </w:rPr>
      </w:pPr>
      <w:r>
        <w:rPr>
          <w:rFonts w:hint="eastAsia" w:ascii="宋体" w:hAnsi="宋体"/>
          <w:bCs/>
          <w:sz w:val="24"/>
        </w:rPr>
        <w:t xml:space="preserve">25.1.11 投标文件未按照招标文件要求加盖CA电子公章的。</w:t>
      </w:r>
      <w:r/>
    </w:p>
    <w:p>
      <w:pPr>
        <w:ind w:firstLine="480"/>
        <w:spacing w:line="400" w:lineRule="exact"/>
        <w:rPr>
          <w:rFonts w:ascii="宋体" w:hAnsi="宋体"/>
          <w:bCs/>
          <w:sz w:val="24"/>
        </w:rPr>
      </w:pPr>
      <w:r>
        <w:rPr>
          <w:rFonts w:hint="eastAsia" w:ascii="宋体" w:hAnsi="宋体"/>
          <w:bCs/>
          <w:sz w:val="24"/>
        </w:rPr>
        <w:t xml:space="preserve">25.1.12其他法律、法规及本招标文件规定的属无效投标的情形。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25.2废标条款</w:t>
      </w:r>
      <w:r/>
    </w:p>
    <w:p>
      <w:pPr>
        <w:ind w:left="479"/>
        <w:spacing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hint="eastAsia" w:ascii="宋体" w:hAnsi="宋体"/>
          <w:bCs/>
          <w:sz w:val="24"/>
        </w:rPr>
        <w:t xml:space="preserve">系统故障原因造成开标不成功的。</w:t>
      </w:r>
      <w:r/>
    </w:p>
    <w:p>
      <w:pPr>
        <w:ind w:left="479"/>
        <w:spacing w:line="400" w:lineRule="exact"/>
        <w:rPr>
          <w:rFonts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1003"/>
        <w:ind w:firstLine="482"/>
        <w:spacing w:line="400" w:lineRule="exact"/>
        <w:rPr>
          <w:rFonts w:ascii="Times New Roman" w:hAnsi="Times New Roman"/>
          <w:bCs/>
          <w:lang w:eastAsia="zh-CN"/>
        </w:rPr>
      </w:pPr>
      <w:r/>
      <w:bookmarkStart w:id="156" w:name="_Toc120614219"/>
      <w:r>
        <w:rPr>
          <w:rFonts w:hint="eastAsia" w:ascii="宋体" w:hAnsi="宋体" w:eastAsia="宋体" w:cs="宋体"/>
          <w:lang w:eastAsia="zh-CN"/>
        </w:rPr>
        <w:t xml:space="preserve">六、</w:t>
      </w:r>
      <w:bookmarkEnd w:id="153"/>
      <w:r/>
      <w:bookmarkEnd w:id="154"/>
      <w:r/>
      <w:bookmarkEnd w:id="155"/>
      <w:r>
        <w:rPr>
          <w:rFonts w:hint="eastAsia" w:ascii="宋体" w:hAnsi="宋体" w:eastAsia="宋体" w:cs="宋体"/>
          <w:lang w:eastAsia="zh-CN"/>
        </w:rPr>
        <w:t xml:space="preserve">定标</w:t>
      </w:r>
      <w:bookmarkEnd w:id="156"/>
      <w:r/>
      <w:r/>
    </w:p>
    <w:p>
      <w:pPr>
        <w:pStyle w:val="1004"/>
        <w:ind w:firstLine="600"/>
        <w:spacing w:before="0" w:after="0" w:line="400" w:lineRule="exact"/>
        <w:rPr>
          <w:rFonts w:ascii="黑体" w:hAnsi="宋体" w:cs="Times New Roman"/>
          <w:b w:val="0"/>
          <w:sz w:val="30"/>
          <w:szCs w:val="30"/>
          <w:lang w:eastAsia="zh-CN"/>
        </w:rPr>
      </w:pPr>
      <w:r/>
      <w:bookmarkStart w:id="157" w:name="_Toc513029238"/>
      <w:r/>
      <w:bookmarkStart w:id="158" w:name="_Toc20823310"/>
      <w:r/>
      <w:bookmarkStart w:id="159" w:name="_Toc16938554"/>
      <w:r>
        <w:rPr>
          <w:rFonts w:hint="eastAsia" w:ascii="黑体" w:hAnsi="宋体" w:cs="Times New Roman"/>
          <w:b w:val="0"/>
          <w:sz w:val="30"/>
          <w:szCs w:val="30"/>
          <w:lang w:eastAsia="zh-CN"/>
        </w:rPr>
        <w:t xml:space="preserve">26、</w:t>
      </w:r>
      <w:bookmarkEnd w:id="157"/>
      <w:r>
        <w:rPr>
          <w:rFonts w:hint="eastAsia" w:ascii="黑体" w:hAnsi="宋体" w:cs="Times New Roman"/>
          <w:b w:val="0"/>
          <w:sz w:val="30"/>
          <w:szCs w:val="30"/>
          <w:lang w:eastAsia="zh-CN"/>
        </w:rPr>
        <w:t xml:space="preserve">确定</w:t>
      </w:r>
      <w:bookmarkEnd w:id="158"/>
      <w:r/>
      <w:bookmarkEnd w:id="159"/>
      <w:r>
        <w:rPr>
          <w:rFonts w:hint="eastAsia" w:ascii="黑体" w:hAnsi="宋体" w:cs="Times New Roman"/>
          <w:b w:val="0"/>
          <w:sz w:val="30"/>
          <w:szCs w:val="30"/>
          <w:lang w:eastAsia="zh-CN"/>
        </w:rPr>
        <w:t xml:space="preserve">中标单位</w:t>
      </w:r>
      <w:r/>
    </w:p>
    <w:p>
      <w:pPr>
        <w:ind w:firstLine="480"/>
        <w:spacing w:line="400" w:lineRule="exact"/>
        <w:rPr>
          <w:rFonts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0" w:name="_Toc200451960"/>
      <w:r>
        <w:rPr>
          <w:rFonts w:hint="eastAsia" w:ascii="宋体" w:hAnsi="宋体"/>
          <w:sz w:val="24"/>
          <w:szCs w:val="24"/>
        </w:rPr>
        <w:t xml:space="preserve">27.5 </w:t>
      </w:r>
      <w:r>
        <w:rPr>
          <w:rFonts w:hint="eastAsia" w:hAnsi="宋体" w:cs="宋体"/>
          <w:sz w:val="24"/>
          <w:szCs w:val="24"/>
        </w:rPr>
        <w:t xml:space="preserve">有下列情形之一的，视为投标人串通投标，投标无效：</w:t>
      </w:r>
      <w:r/>
    </w:p>
    <w:p>
      <w:pPr>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004"/>
        <w:ind w:firstLine="600"/>
        <w:spacing w:before="0" w:after="0" w:line="400" w:lineRule="exact"/>
        <w:rPr>
          <w:rFonts w:ascii="黑体" w:hAnsi="宋体" w:cs="Times New Roman"/>
          <w:b w:val="0"/>
          <w:sz w:val="30"/>
          <w:szCs w:val="30"/>
          <w:lang w:eastAsia="zh-CN"/>
        </w:rPr>
      </w:pPr>
      <w:r>
        <w:rPr>
          <w:rFonts w:hint="eastAsia" w:ascii="黑体" w:hAnsi="宋体" w:cs="Times New Roman"/>
          <w:b w:val="0"/>
          <w:sz w:val="30"/>
          <w:szCs w:val="30"/>
          <w:lang w:eastAsia="zh-CN"/>
        </w:rPr>
        <w:t xml:space="preserve">27、质疑处理</w:t>
      </w:r>
      <w:bookmarkEnd w:id="160"/>
      <w:r/>
      <w:r/>
    </w:p>
    <w:p>
      <w:pPr>
        <w:ind w:firstLine="480"/>
        <w:spacing w:line="400" w:lineRule="exact"/>
        <w:rPr>
          <w:rFonts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27.2.1</w:t>
      </w:r>
      <w:r>
        <w:rPr>
          <w:rFonts w:hint="eastAsia"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27.2.2</w:t>
      </w:r>
      <w:r>
        <w:rPr>
          <w:rFonts w:hint="eastAsia"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27.2.3</w:t>
      </w:r>
      <w:r>
        <w:rPr>
          <w:rFonts w:hint="eastAsia"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27.5 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1004"/>
        <w:ind w:firstLine="600"/>
        <w:spacing w:before="0" w:after="0" w:line="400" w:lineRule="exact"/>
        <w:rPr>
          <w:rFonts w:ascii="黑体" w:hAnsi="宋体" w:cs="Times New Roman"/>
          <w:b w:val="0"/>
          <w:sz w:val="30"/>
          <w:szCs w:val="30"/>
          <w:lang w:eastAsia="zh-CN"/>
        </w:rPr>
      </w:pPr>
      <w:r>
        <w:rPr>
          <w:rFonts w:hint="eastAsia" w:ascii="黑体" w:hAnsi="宋体" w:cs="Times New Roman"/>
          <w:b w:val="0"/>
          <w:sz w:val="30"/>
          <w:szCs w:val="30"/>
          <w:lang w:eastAsia="zh-CN"/>
        </w:rPr>
        <w:t xml:space="preserve">28、中标通知书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1003"/>
        <w:spacing w:line="400" w:lineRule="exact"/>
        <w:rPr>
          <w:rFonts w:ascii="Times New Roman" w:hAnsi="Times New Roman"/>
          <w:szCs w:val="32"/>
          <w:lang w:eastAsia="zh-CN"/>
        </w:rPr>
      </w:pPr>
      <w:r/>
      <w:bookmarkStart w:id="161" w:name="_Toc120614220"/>
      <w:r/>
      <w:bookmarkStart w:id="162" w:name="_Toc16938552"/>
      <w:r/>
      <w:bookmarkStart w:id="163" w:name="_Toc513029236"/>
      <w:r/>
      <w:bookmarkStart w:id="164" w:name="_Toc20823308"/>
      <w:r>
        <w:rPr>
          <w:rFonts w:hint="eastAsia" w:ascii="宋体" w:hAnsi="宋体" w:eastAsia="宋体" w:cs="宋体"/>
          <w:lang w:eastAsia="zh-CN"/>
        </w:rPr>
        <w:t xml:space="preserve">七、授予合同</w:t>
      </w:r>
      <w:bookmarkEnd w:id="161"/>
      <w:r/>
      <w:bookmarkEnd w:id="162"/>
      <w:r/>
      <w:bookmarkEnd w:id="163"/>
      <w:r/>
      <w:bookmarkEnd w:id="164"/>
      <w:r/>
      <w:r/>
    </w:p>
    <w:p>
      <w:pPr>
        <w:pStyle w:val="1004"/>
        <w:ind w:firstLine="600"/>
        <w:spacing w:before="0" w:after="0" w:line="400" w:lineRule="exact"/>
        <w:rPr>
          <w:rFonts w:ascii="黑体" w:hAnsi="宋体" w:cs="Times New Roman"/>
          <w:b w:val="0"/>
          <w:sz w:val="30"/>
          <w:szCs w:val="30"/>
          <w:lang w:eastAsia="zh-CN"/>
        </w:rPr>
      </w:pPr>
      <w:r/>
      <w:bookmarkStart w:id="165" w:name="_Toc16938553"/>
      <w:r/>
      <w:bookmarkStart w:id="166" w:name="_Toc20823309"/>
      <w:r/>
      <w:bookmarkStart w:id="167" w:name="_Toc513029237"/>
      <w:r>
        <w:rPr>
          <w:rFonts w:hint="eastAsia" w:ascii="黑体" w:hAnsi="宋体" w:cs="Times New Roman"/>
          <w:b w:val="0"/>
          <w:sz w:val="30"/>
          <w:szCs w:val="30"/>
          <w:lang w:eastAsia="zh-CN"/>
        </w:rPr>
        <w:t xml:space="preserve">29、签订合同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04"/>
        <w:ind w:firstLine="600"/>
        <w:spacing w:before="0" w:after="0" w:line="400" w:lineRule="exact"/>
        <w:rPr>
          <w:rFonts w:ascii="黑体" w:hAnsi="宋体" w:cs="Times New Roman"/>
          <w:b w:val="0"/>
          <w:sz w:val="30"/>
          <w:szCs w:val="30"/>
          <w:lang w:eastAsia="zh-CN"/>
        </w:rPr>
      </w:pPr>
      <w:r>
        <w:rPr>
          <w:rFonts w:hint="eastAsia" w:ascii="黑体" w:hAnsi="宋体" w:cs="Times New Roman"/>
          <w:b w:val="0"/>
          <w:sz w:val="30"/>
          <w:szCs w:val="30"/>
          <w:lang w:eastAsia="zh-CN"/>
        </w:rPr>
        <w:t xml:space="preserve">30、服务（包含与服务相关的货物）的追加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65"/>
      <w:r/>
      <w:bookmarkEnd w:id="166"/>
      <w:r/>
      <w:bookmarkEnd w:id="167"/>
      <w:r/>
      <w:r/>
    </w:p>
    <w:p>
      <w:pPr>
        <w:pStyle w:val="1004"/>
        <w:ind w:firstLine="600"/>
        <w:spacing w:before="0" w:after="0" w:line="400" w:lineRule="exact"/>
        <w:rPr>
          <w:rFonts w:ascii="黑体" w:hAnsi="宋体" w:cs="Times New Roman"/>
          <w:b w:val="0"/>
          <w:sz w:val="30"/>
          <w:szCs w:val="30"/>
          <w:lang w:eastAsia="zh-CN"/>
        </w:rPr>
      </w:pPr>
      <w:r>
        <w:rPr>
          <w:rFonts w:hint="eastAsia" w:ascii="黑体" w:hAnsi="宋体" w:cs="Times New Roman"/>
          <w:b w:val="0"/>
          <w:sz w:val="30"/>
          <w:szCs w:val="30"/>
          <w:lang w:eastAsia="zh-CN"/>
        </w:rPr>
        <w:t xml:space="preserve">31、政府采购履约资金扶持政策</w:t>
      </w:r>
      <w:r/>
    </w:p>
    <w:p>
      <w:pPr>
        <w:pStyle w:val="1012"/>
        <w:spacing w:line="400" w:lineRule="exact"/>
        <w:rPr>
          <w:rFonts w:ascii="Times New Roman" w:hAnsi="Times New Roman" w:cs="Times New Roman"/>
          <w:lang w:eastAsia="zh-CN"/>
        </w:rPr>
      </w:pPr>
      <w:r>
        <w:rPr>
          <w:rFonts w:hint="eastAsia" w:ascii="宋体" w:hAnsi="宋体" w:eastAsia="宋体" w:cs="宋体"/>
          <w:bCs/>
          <w:sz w:val="24"/>
          <w:lang w:eastAsia="zh-CN"/>
        </w:rPr>
        <w:t xml:space="preserve">中标供应商可凭政府采购合同办理融资贷款，详情请见江苏政府采购网</w:t>
      </w:r>
      <w:r>
        <w:rPr>
          <w:bCs/>
          <w:sz w:val="24"/>
          <w:lang w:eastAsia="zh-CN"/>
        </w:rPr>
        <w:t xml:space="preserve">“</w:t>
      </w:r>
      <w:r>
        <w:rPr>
          <w:rFonts w:hint="eastAsia" w:ascii="宋体" w:hAnsi="宋体" w:eastAsia="宋体" w:cs="宋体"/>
          <w:bCs/>
          <w:sz w:val="24"/>
          <w:lang w:eastAsia="zh-CN"/>
        </w:rPr>
        <w:t xml:space="preserve">政采贷</w:t>
      </w:r>
      <w:r>
        <w:rPr>
          <w:bCs/>
          <w:sz w:val="24"/>
          <w:lang w:eastAsia="zh-CN"/>
        </w:rPr>
        <w:t xml:space="preserve">”</w:t>
      </w:r>
      <w:r>
        <w:rPr>
          <w:rFonts w:hint="eastAsia" w:ascii="宋体" w:hAnsi="宋体" w:eastAsia="宋体" w:cs="宋体"/>
          <w:bCs/>
          <w:sz w:val="24"/>
          <w:lang w:eastAsia="zh-CN"/>
        </w:rPr>
        <w:t xml:space="preserve">专栏。</w:t>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jc w:val="center"/>
        <w:spacing w:before="140" w:line="223" w:lineRule="auto"/>
        <w:rPr>
          <w:rFonts w:ascii="黑体" w:hAnsi="黑体" w:eastAsia="黑体" w:cs="黑体"/>
          <w:color w:val="000000" w:themeColor="text1"/>
          <w:sz w:val="43"/>
          <w:szCs w:val="43"/>
          <w14:textFill>
            <w14:solidFill>
              <w14:schemeClr w14:val="tx1"/>
            </w14:solidFill>
          </w14:textFill>
        </w:rPr>
        <w:outlineLvl w:val="0"/>
      </w:pPr>
      <w:r>
        <w:rPr>
          <w:rFonts w:ascii="黑体" w:hAnsi="黑体" w:eastAsia="黑体" w:cs="黑体"/>
          <w:color w:val="000000" w:themeColor="text1"/>
          <w:spacing w:val="7"/>
          <w:sz w:val="43"/>
          <w:szCs w:val="43"/>
          <w14:textFill>
            <w14:solidFill>
              <w14:schemeClr w14:val="tx1"/>
            </w14:solidFill>
          </w14:textFill>
        </w:rPr>
        <w:t xml:space="preserve">第三章  合同文本</w:t>
      </w:r>
      <w:r/>
    </w:p>
    <w:p>
      <w:pPr>
        <w:ind w:right="2" w:firstLine="506"/>
        <w:spacing w:before="184" w:line="372" w:lineRule="auto"/>
        <w:rPr>
          <w:rFonts w:ascii="宋体" w:hAnsi="宋体" w:cs="宋体"/>
          <w:color w:val="000000" w:themeColor="text1"/>
          <w:sz w:val="24"/>
          <w:szCs w:val="24"/>
          <w14:textFill>
            <w14:solidFill>
              <w14:schemeClr w14:val="tx1"/>
            </w14:solidFill>
          </w14:textFill>
        </w:rPr>
      </w:pPr>
      <w:r/>
      <w:bookmarkStart w:id="168" w:name="OLE_LINK50"/>
      <w:r/>
      <w:bookmarkStart w:id="169" w:name="OLE_LINK51"/>
      <w:r>
        <w:rPr>
          <w:rFonts w:ascii="宋体" w:hAnsi="宋体" w:cs="宋体"/>
          <w:color w:val="000000" w:themeColor="text1"/>
          <w:spacing w:val="1"/>
          <w:sz w:val="24"/>
          <w:szCs w:val="24"/>
          <w14:textFill>
            <w14:solidFill>
              <w14:schemeClr w14:val="tx1"/>
            </w14:solidFill>
          </w14:textFill>
        </w:rPr>
        <w:t xml:space="preserve">以下为中标后签定本项目合同的通用条款，中标人不得提出实质性的修改。关于 </w:t>
      </w:r>
      <w:r>
        <w:rPr>
          <w:rFonts w:ascii="宋体" w:hAnsi="宋体" w:cs="宋体"/>
          <w:color w:val="000000" w:themeColor="text1"/>
          <w:spacing w:val="-2"/>
          <w:sz w:val="24"/>
          <w:szCs w:val="24"/>
          <w14:textFill>
            <w14:solidFill>
              <w14:schemeClr w14:val="tx1"/>
            </w14:solidFill>
          </w14:textFill>
        </w:rPr>
        <w:t xml:space="preserve">专用条款将由采购人与中标人结合本项目具体情况协商后签订。</w:t>
      </w:r>
      <w:bookmarkEnd w:id="168"/>
      <w:r/>
      <w:bookmarkEnd w:id="169"/>
      <w:r/>
      <w:r/>
    </w:p>
    <w:p>
      <w:pPr>
        <w:pStyle w:val="1016"/>
        <w:spacing w:line="33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1136"/>
        <w:spacing w:before="117" w:line="219" w:lineRule="auto"/>
        <w:rPr>
          <w:rFonts w:ascii="宋体" w:hAnsi="宋体" w:cs="宋体"/>
          <w:color w:val="000000" w:themeColor="text1"/>
          <w:sz w:val="36"/>
          <w:szCs w:val="36"/>
          <w14:textFill>
            <w14:solidFill>
              <w14:schemeClr w14:val="tx1"/>
            </w14:solidFill>
          </w14:textFill>
        </w:rPr>
      </w:pPr>
      <w:r>
        <w:rPr>
          <w:rFonts w:ascii="宋体" w:hAnsi="宋体" w:cs="宋体"/>
          <w:b/>
          <w:bCs/>
          <w:color w:val="000000" w:themeColor="text1"/>
          <w:spacing w:val="-7"/>
          <w:sz w:val="36"/>
          <w:szCs w:val="36"/>
          <w14:textFill>
            <w14:solidFill>
              <w14:schemeClr w14:val="tx1"/>
            </w14:solidFill>
          </w14:textFill>
        </w:rPr>
        <w:t xml:space="preserve">江苏省政府采购合同（服务</w:t>
      </w:r>
      <w:r>
        <w:rPr>
          <w:rFonts w:ascii="宋体" w:hAnsi="宋体" w:cs="宋体"/>
          <w:b/>
          <w:bCs/>
          <w:color w:val="000000" w:themeColor="text1"/>
          <w:spacing w:val="-63"/>
          <w:sz w:val="36"/>
          <w:szCs w:val="36"/>
          <w14:textFill>
            <w14:solidFill>
              <w14:schemeClr w14:val="tx1"/>
            </w14:solidFill>
          </w14:textFill>
        </w:rPr>
        <w:t xml:space="preserve">）（</w:t>
      </w:r>
      <w:r>
        <w:rPr>
          <w:rFonts w:ascii="宋体" w:hAnsi="宋体" w:cs="宋体"/>
          <w:b/>
          <w:bCs/>
          <w:color w:val="000000" w:themeColor="text1"/>
          <w:spacing w:val="-7"/>
          <w:sz w:val="36"/>
          <w:szCs w:val="36"/>
          <w14:textFill>
            <w14:solidFill>
              <w14:schemeClr w14:val="tx1"/>
            </w14:solidFill>
          </w14:textFill>
        </w:rPr>
        <w:t xml:space="preserve">合同编号）</w:t>
      </w:r>
      <w:r/>
    </w:p>
    <w:p>
      <w:pPr>
        <w:ind w:left="3"/>
        <w:spacing w:before="197" w:line="220" w:lineRule="auto"/>
        <w:rPr>
          <w:rFonts w:ascii="宋体" w:hAnsi="宋体" w:cs="宋体"/>
          <w:color w:val="000000" w:themeColor="text1"/>
          <w:sz w:val="24"/>
          <w:szCs w:val="24"/>
          <w14:textFill>
            <w14:solidFill>
              <w14:schemeClr w14:val="tx1"/>
            </w14:solidFill>
          </w14:textFill>
        </w:rPr>
      </w:pPr>
      <w:r/>
      <w:bookmarkStart w:id="170" w:name="OLE_LINK53"/>
      <w:r/>
      <w:bookmarkStart w:id="171" w:name="OLE_LINK52"/>
      <w:r>
        <w:rPr>
          <w:rFonts w:ascii="宋体" w:hAnsi="宋体" w:cs="宋体"/>
          <w:color w:val="000000" w:themeColor="text1"/>
          <w:spacing w:val="-3"/>
          <w:sz w:val="24"/>
          <w:szCs w:val="24"/>
          <w14:textFill>
            <w14:solidFill>
              <w14:schemeClr w14:val="tx1"/>
            </w14:solidFill>
          </w14:textFill>
        </w:rPr>
        <w:t xml:space="preserve">项目名称：                    </w:t>
      </w:r>
      <w:r>
        <w:rPr>
          <w:rFonts w:ascii="宋体" w:hAnsi="宋体" w:cs="宋体"/>
          <w:color w:val="000000" w:themeColor="text1"/>
          <w:spacing w:val="-4"/>
          <w:sz w:val="24"/>
          <w:szCs w:val="24"/>
          <w14:textFill>
            <w14:solidFill>
              <w14:schemeClr w14:val="tx1"/>
            </w14:solidFill>
          </w14:textFill>
        </w:rPr>
        <w:t xml:space="preserve">                    项目编号：</w:t>
      </w:r>
      <w:r/>
    </w:p>
    <w:p>
      <w:pPr>
        <w:ind w:left="30"/>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9"/>
          <w:sz w:val="24"/>
          <w:szCs w:val="24"/>
          <w14:textFill>
            <w14:solidFill>
              <w14:schemeClr w14:val="tx1"/>
            </w14:solidFill>
          </w14:textFill>
        </w:rPr>
        <w:t xml:space="preserve">甲方</w:t>
      </w:r>
      <w:r>
        <w:rPr>
          <w:rFonts w:ascii="宋体" w:hAnsi="宋体" w:cs="宋体"/>
          <w:color w:val="000000" w:themeColor="text1"/>
          <w:spacing w:val="-36"/>
          <w:sz w:val="24"/>
          <w:szCs w:val="24"/>
          <w14:textFill>
            <w14:solidFill>
              <w14:schemeClr w14:val="tx1"/>
            </w14:solidFill>
          </w14:textFill>
        </w:rPr>
        <w:t xml:space="preserve">：（</w:t>
      </w:r>
      <w:r>
        <w:rPr>
          <w:rFonts w:ascii="宋体" w:hAnsi="宋体" w:cs="宋体"/>
          <w:color w:val="000000" w:themeColor="text1"/>
          <w:spacing w:val="-29"/>
          <w:sz w:val="24"/>
          <w:szCs w:val="24"/>
          <w14:textFill>
            <w14:solidFill>
              <w14:schemeClr w14:val="tx1"/>
            </w14:solidFill>
          </w14:textFill>
        </w:rPr>
        <w:t xml:space="preserve">买方）</w:t>
      </w:r>
      <w:r>
        <w:rPr>
          <w:rFonts w:ascii="宋体" w:hAnsi="宋体" w:cs="宋体"/>
          <w:color w:val="000000" w:themeColor="text1"/>
          <w:spacing w:val="-65"/>
          <w:sz w:val="24"/>
          <w:szCs w:val="24"/>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p>
    <w:p>
      <w:pPr>
        <w:ind w:left="23"/>
        <w:spacing w:before="144"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8"/>
          <w:sz w:val="24"/>
          <w:szCs w:val="24"/>
          <w14:textFill>
            <w14:solidFill>
              <w14:schemeClr w14:val="tx1"/>
            </w14:solidFill>
          </w14:textFill>
        </w:rPr>
        <w:t xml:space="preserve">乙方</w:t>
      </w:r>
      <w:r>
        <w:rPr>
          <w:rFonts w:ascii="宋体" w:hAnsi="宋体" w:cs="宋体"/>
          <w:color w:val="000000" w:themeColor="text1"/>
          <w:spacing w:val="-35"/>
          <w:sz w:val="24"/>
          <w:szCs w:val="24"/>
          <w14:textFill>
            <w14:solidFill>
              <w14:schemeClr w14:val="tx1"/>
            </w14:solidFill>
          </w14:textFill>
        </w:rPr>
        <w:t xml:space="preserve">：（</w:t>
      </w:r>
      <w:r>
        <w:rPr>
          <w:rFonts w:ascii="宋体" w:hAnsi="宋体" w:cs="宋体"/>
          <w:color w:val="000000" w:themeColor="text1"/>
          <w:spacing w:val="-28"/>
          <w:sz w:val="24"/>
          <w:szCs w:val="24"/>
          <w14:textFill>
            <w14:solidFill>
              <w14:schemeClr w14:val="tx1"/>
            </w14:solidFill>
          </w14:textFill>
        </w:rPr>
        <w:t xml:space="preserve">卖方）</w:t>
      </w:r>
      <w:r>
        <w:rPr>
          <w:rFonts w:ascii="宋体" w:hAnsi="宋体" w:cs="宋体"/>
          <w:color w:val="000000" w:themeColor="text1"/>
          <w:spacing w:val="-64"/>
          <w:sz w:val="24"/>
          <w:szCs w:val="24"/>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p>
    <w:p>
      <w:pPr>
        <w:ind w:right="28"/>
        <w:jc w:val="right"/>
        <w:spacing w:before="145"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8"/>
          <w:sz w:val="24"/>
          <w:szCs w:val="24"/>
          <w14:textFill>
            <w14:solidFill>
              <w14:schemeClr w14:val="tx1"/>
            </w14:solidFill>
          </w14:textFill>
        </w:rPr>
        <w:t xml:space="preserve">甲、乙双方根据江苏省政府采购中心</w:t>
      </w:r>
      <w:r>
        <w:rPr>
          <w:rFonts w:ascii="宋体" w:hAnsi="宋体" w:cs="宋体"/>
          <w:color w:val="000000" w:themeColor="text1"/>
          <w:spacing w:val="-116"/>
          <w:sz w:val="24"/>
          <w:szCs w:val="24"/>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pacing w:val="-107"/>
          <w:sz w:val="24"/>
          <w:szCs w:val="24"/>
          <w14:textFill>
            <w14:solidFill>
              <w14:schemeClr w14:val="tx1"/>
            </w14:solidFill>
          </w14:textFill>
        </w:rPr>
        <w:t xml:space="preserve"> </w:t>
      </w:r>
      <w:r>
        <w:rPr>
          <w:rFonts w:ascii="宋体" w:hAnsi="宋体" w:cs="宋体"/>
          <w:color w:val="000000" w:themeColor="text1"/>
          <w:spacing w:val="-8"/>
          <w:sz w:val="24"/>
          <w:szCs w:val="24"/>
          <w14:textFill>
            <w14:solidFill>
              <w14:schemeClr w14:val="tx1"/>
            </w14:solidFill>
          </w14:textFill>
        </w:rPr>
        <w:t xml:space="preserve">项目公开招标的结果，签署本合同。</w:t>
      </w:r>
      <w:r/>
    </w:p>
    <w:p>
      <w:pPr>
        <w:ind w:left="3"/>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一、合同内容</w:t>
      </w:r>
      <w:r/>
    </w:p>
    <w:p>
      <w:pPr>
        <w:ind w:left="17"/>
        <w:spacing w:before="145"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0"/>
          <w:sz w:val="24"/>
          <w:szCs w:val="24"/>
          <w14:textFill>
            <w14:solidFill>
              <w14:schemeClr w14:val="tx1"/>
            </w14:solidFill>
          </w14:textFill>
        </w:rPr>
        <w:t xml:space="preserve">1.1</w:t>
      </w:r>
      <w:r>
        <w:rPr>
          <w:rFonts w:ascii="宋体" w:hAnsi="宋体" w:cs="宋体"/>
          <w:color w:val="000000" w:themeColor="text1"/>
          <w:spacing w:val="15"/>
          <w:sz w:val="24"/>
          <w:szCs w:val="24"/>
          <w14:textFill>
            <w14:solidFill>
              <w14:schemeClr w14:val="tx1"/>
            </w14:solidFill>
          </w14:textFill>
        </w:rPr>
        <w:t xml:space="preserve"> </w:t>
      </w:r>
      <w:r>
        <w:rPr>
          <w:rFonts w:ascii="宋体" w:hAnsi="宋体" w:cs="宋体"/>
          <w:color w:val="000000" w:themeColor="text1"/>
          <w:spacing w:val="-10"/>
          <w:sz w:val="24"/>
          <w:szCs w:val="24"/>
          <w14:textFill>
            <w14:solidFill>
              <w14:schemeClr w14:val="tx1"/>
            </w14:solidFill>
          </w14:textFill>
        </w:rPr>
        <w:t xml:space="preserve">标的名称：</w:t>
      </w:r>
      <w:r/>
    </w:p>
    <w:p>
      <w:pPr>
        <w:ind w:left="17"/>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0"/>
          <w:sz w:val="24"/>
          <w:szCs w:val="24"/>
          <w14:textFill>
            <w14:solidFill>
              <w14:schemeClr w14:val="tx1"/>
            </w14:solidFill>
          </w14:textFill>
        </w:rPr>
        <w:t xml:space="preserve">1.2</w:t>
      </w:r>
      <w:r>
        <w:rPr>
          <w:rFonts w:ascii="宋体" w:hAnsi="宋体" w:cs="宋体"/>
          <w:color w:val="000000" w:themeColor="text1"/>
          <w:spacing w:val="-50"/>
          <w:sz w:val="24"/>
          <w:szCs w:val="24"/>
          <w14:textFill>
            <w14:solidFill>
              <w14:schemeClr w14:val="tx1"/>
            </w14:solidFill>
          </w14:textFill>
        </w:rPr>
        <w:t xml:space="preserve"> </w:t>
      </w:r>
      <w:r>
        <w:rPr>
          <w:rFonts w:ascii="宋体" w:hAnsi="宋体" w:cs="宋体"/>
          <w:color w:val="000000" w:themeColor="text1"/>
          <w:spacing w:val="-10"/>
          <w:sz w:val="24"/>
          <w:szCs w:val="24"/>
          <w14:textFill>
            <w14:solidFill>
              <w14:schemeClr w14:val="tx1"/>
            </w14:solidFill>
          </w14:textFill>
        </w:rPr>
        <w:t xml:space="preserve">标的质量：</w:t>
      </w:r>
      <w:r/>
    </w:p>
    <w:p>
      <w:pPr>
        <w:ind w:left="17"/>
        <w:spacing w:before="145"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4"/>
          <w:sz w:val="24"/>
          <w:szCs w:val="24"/>
          <w14:textFill>
            <w14:solidFill>
              <w14:schemeClr w14:val="tx1"/>
            </w14:solidFill>
          </w14:textFill>
        </w:rPr>
        <w:t xml:space="preserve">1.3 标的数量（规模</w:t>
      </w:r>
      <w:r>
        <w:rPr>
          <w:rFonts w:ascii="宋体" w:hAnsi="宋体" w:cs="宋体"/>
          <w:color w:val="000000" w:themeColor="text1"/>
          <w:spacing w:val="-5"/>
          <w:sz w:val="24"/>
          <w:szCs w:val="24"/>
          <w14:textFill>
            <w14:solidFill>
              <w14:schemeClr w14:val="tx1"/>
            </w14:solidFill>
          </w14:textFill>
        </w:rPr>
        <w:t xml:space="preserve">）：</w:t>
      </w:r>
      <w:r/>
    </w:p>
    <w:p>
      <w:pPr>
        <w:ind w:left="17"/>
        <w:spacing w:before="144"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6"/>
          <w:sz w:val="24"/>
          <w:szCs w:val="24"/>
          <w14:textFill>
            <w14:solidFill>
              <w14:schemeClr w14:val="tx1"/>
            </w14:solidFill>
          </w14:textFill>
        </w:rPr>
        <w:t xml:space="preserve">1.4</w:t>
      </w:r>
      <w:r>
        <w:rPr>
          <w:rFonts w:ascii="宋体" w:hAnsi="宋体" w:cs="宋体"/>
          <w:color w:val="000000" w:themeColor="text1"/>
          <w:spacing w:val="14"/>
          <w:sz w:val="24"/>
          <w:szCs w:val="24"/>
          <w14:textFill>
            <w14:solidFill>
              <w14:schemeClr w14:val="tx1"/>
            </w14:solidFill>
          </w14:textFill>
        </w:rPr>
        <w:t xml:space="preserve"> </w:t>
      </w:r>
      <w:r>
        <w:rPr>
          <w:rFonts w:ascii="宋体" w:hAnsi="宋体" w:cs="宋体"/>
          <w:color w:val="000000" w:themeColor="text1"/>
          <w:spacing w:val="-16"/>
          <w:sz w:val="24"/>
          <w:szCs w:val="24"/>
          <w14:textFill>
            <w14:solidFill>
              <w14:schemeClr w14:val="tx1"/>
            </w14:solidFill>
          </w14:textFill>
        </w:rPr>
        <w:t xml:space="preserve">履行时间（期限</w:t>
      </w:r>
      <w:r>
        <w:rPr>
          <w:rFonts w:ascii="宋体" w:hAnsi="宋体" w:cs="宋体"/>
          <w:color w:val="000000" w:themeColor="text1"/>
          <w:spacing w:val="-9"/>
          <w:sz w:val="24"/>
          <w:szCs w:val="24"/>
          <w14:textFill>
            <w14:solidFill>
              <w14:schemeClr w14:val="tx1"/>
            </w14:solidFill>
          </w14:textFill>
        </w:rPr>
        <w:t xml:space="preserve">）：</w:t>
      </w:r>
      <w:r/>
    </w:p>
    <w:p>
      <w:pPr>
        <w:ind w:left="17"/>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1"/>
          <w:sz w:val="24"/>
          <w:szCs w:val="24"/>
          <w14:textFill>
            <w14:solidFill>
              <w14:schemeClr w14:val="tx1"/>
            </w14:solidFill>
          </w14:textFill>
        </w:rPr>
        <w:t xml:space="preserve">1.5</w:t>
      </w:r>
      <w:r>
        <w:rPr>
          <w:rFonts w:ascii="宋体" w:hAnsi="宋体" w:cs="宋体"/>
          <w:color w:val="000000" w:themeColor="text1"/>
          <w:spacing w:val="18"/>
          <w:sz w:val="24"/>
          <w:szCs w:val="24"/>
          <w14:textFill>
            <w14:solidFill>
              <w14:schemeClr w14:val="tx1"/>
            </w14:solidFill>
          </w14:textFill>
        </w:rPr>
        <w:t xml:space="preserve"> </w:t>
      </w:r>
      <w:r>
        <w:rPr>
          <w:rFonts w:ascii="宋体" w:hAnsi="宋体" w:cs="宋体"/>
          <w:color w:val="000000" w:themeColor="text1"/>
          <w:spacing w:val="-11"/>
          <w:sz w:val="24"/>
          <w:szCs w:val="24"/>
          <w14:textFill>
            <w14:solidFill>
              <w14:schemeClr w14:val="tx1"/>
            </w14:solidFill>
          </w14:textFill>
        </w:rPr>
        <w:t xml:space="preserve">履行地点：</w:t>
      </w:r>
      <w:r/>
    </w:p>
    <w:p>
      <w:pPr>
        <w:ind w:left="17"/>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1"/>
          <w:sz w:val="24"/>
          <w:szCs w:val="24"/>
          <w14:textFill>
            <w14:solidFill>
              <w14:schemeClr w14:val="tx1"/>
            </w14:solidFill>
          </w14:textFill>
        </w:rPr>
        <w:t xml:space="preserve">1.6</w:t>
      </w:r>
      <w:r>
        <w:rPr>
          <w:rFonts w:ascii="宋体" w:hAnsi="宋体" w:cs="宋体"/>
          <w:color w:val="000000" w:themeColor="text1"/>
          <w:spacing w:val="-42"/>
          <w:sz w:val="24"/>
          <w:szCs w:val="24"/>
          <w14:textFill>
            <w14:solidFill>
              <w14:schemeClr w14:val="tx1"/>
            </w14:solidFill>
          </w14:textFill>
        </w:rPr>
        <w:t xml:space="preserve"> </w:t>
      </w:r>
      <w:r>
        <w:rPr>
          <w:rFonts w:ascii="宋体" w:hAnsi="宋体" w:cs="宋体"/>
          <w:color w:val="000000" w:themeColor="text1"/>
          <w:spacing w:val="-11"/>
          <w:sz w:val="24"/>
          <w:szCs w:val="24"/>
          <w14:textFill>
            <w14:solidFill>
              <w14:schemeClr w14:val="tx1"/>
            </w14:solidFill>
          </w14:textFill>
        </w:rPr>
        <w:t xml:space="preserve">履行方式：</w:t>
      </w:r>
      <w:r/>
    </w:p>
    <w:p>
      <w:pPr>
        <w:ind w:left="3"/>
        <w:spacing w:before="145"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二、合同金额</w:t>
      </w:r>
      <w:r/>
    </w:p>
    <w:p>
      <w:pPr>
        <w:jc w:val="right"/>
        <w:spacing w:before="144"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9"/>
          <w:sz w:val="24"/>
          <w:szCs w:val="24"/>
          <w14:textFill>
            <w14:solidFill>
              <w14:schemeClr w14:val="tx1"/>
            </w14:solidFill>
          </w14:textFill>
        </w:rPr>
        <w:t xml:space="preserve">2.1</w:t>
      </w:r>
      <w:r>
        <w:rPr>
          <w:rFonts w:ascii="宋体" w:hAnsi="宋体" w:cs="宋体"/>
          <w:color w:val="000000" w:themeColor="text1"/>
          <w:spacing w:val="24"/>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本 合 同 金 额 为</w:t>
      </w:r>
      <w:r>
        <w:rPr>
          <w:rFonts w:ascii="宋体" w:hAnsi="宋体" w:cs="宋体"/>
          <w:color w:val="000000" w:themeColor="text1"/>
          <w:spacing w:val="75"/>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（大</w:t>
      </w:r>
      <w:r>
        <w:rPr>
          <w:rFonts w:ascii="宋体" w:hAnsi="宋体" w:cs="宋体"/>
          <w:color w:val="000000" w:themeColor="text1"/>
          <w:spacing w:val="11"/>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写</w:t>
      </w:r>
      <w:r>
        <w:rPr>
          <w:rFonts w:ascii="宋体" w:hAnsi="宋体" w:cs="宋体"/>
          <w:color w:val="000000" w:themeColor="text1"/>
          <w:spacing w:val="18"/>
          <w:sz w:val="24"/>
          <w:szCs w:val="24"/>
          <w14:textFill>
            <w14:solidFill>
              <w14:schemeClr w14:val="tx1"/>
            </w14:solidFill>
          </w14:textFill>
        </w:rPr>
        <w:t xml:space="preserve"> </w:t>
      </w:r>
      <w:r>
        <w:rPr>
          <w:rFonts w:ascii="宋体" w:hAnsi="宋体" w:cs="宋体"/>
          <w:color w:val="000000" w:themeColor="text1"/>
          <w:spacing w:val="-21"/>
          <w:sz w:val="24"/>
          <w:szCs w:val="24"/>
          <w14:textFill>
            <w14:solidFill>
              <w14:schemeClr w14:val="tx1"/>
            </w14:solidFill>
          </w14:textFill>
        </w:rPr>
        <w:t xml:space="preserve">）：</w:t>
      </w:r>
      <w:r>
        <w:rPr>
          <w:rFonts w:ascii="宋体" w:hAnsi="宋体" w:cs="宋体"/>
          <w:color w:val="000000" w:themeColor="text1"/>
          <w:spacing w:val="-16"/>
          <w:sz w:val="24"/>
          <w:szCs w:val="24"/>
          <w14:textFill>
            <w14:solidFill>
              <w14:schemeClr w14:val="tx1"/>
            </w14:solidFill>
          </w14:textFill>
        </w:rPr>
        <w:t xml:space="preserve"> </w:t>
      </w:r>
      <w:r>
        <w:rPr>
          <w:rFonts w:ascii="宋体" w:hAnsi="宋体" w:cs="宋体"/>
          <w:color w:val="000000" w:themeColor="text1"/>
          <w:spacing w:val="3"/>
          <w:sz w:val="24"/>
          <w:szCs w:val="24"/>
          <w:u w:val="single"/>
          <w14:textFill>
            <w14:solidFill>
              <w14:schemeClr w14:val="tx1"/>
            </w14:solidFill>
          </w14:textFill>
        </w:rPr>
        <w:t xml:space="preserve">                                   </w:t>
      </w:r>
      <w:r>
        <w:rPr>
          <w:rFonts w:ascii="宋体" w:hAnsi="宋体" w:cs="宋体"/>
          <w:color w:val="000000" w:themeColor="text1"/>
          <w:spacing w:val="26"/>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圆</w:t>
      </w:r>
      <w:r/>
    </w:p>
    <w:p>
      <w:pPr>
        <w:ind w:left="416"/>
        <w:spacing w:before="27" w:line="219" w:lineRule="auto"/>
        <w:rPr>
          <w:rFonts w:ascii="宋体" w:hAnsi="宋体" w:cs="宋体"/>
          <w:color w:val="000000" w:themeColor="text1"/>
          <w:spacing w:val="-2"/>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w:t>
      </w:r>
      <w:r>
        <w:rPr>
          <w:rFonts w:ascii="宋体" w:hAnsi="宋体" w:cs="宋体"/>
          <w:color w:val="000000" w:themeColor="text1"/>
          <w:spacing w:val="-1"/>
          <w:sz w:val="24"/>
          <w:szCs w:val="24"/>
          <w:u w:val="single"/>
          <w14:textFill>
            <w14:solidFill>
              <w14:schemeClr w14:val="tx1"/>
            </w14:solidFill>
          </w14:textFill>
        </w:rPr>
        <w:t xml:space="preserve">               </w:t>
      </w:r>
      <w:r>
        <w:rPr>
          <w:rFonts w:ascii="宋体" w:hAnsi="宋体" w:cs="宋体"/>
          <w:color w:val="000000" w:themeColor="text1"/>
          <w:spacing w:val="-108"/>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元）人民币或其他币</w:t>
      </w:r>
      <w:r>
        <w:rPr>
          <w:rFonts w:ascii="宋体" w:hAnsi="宋体" w:cs="宋体"/>
          <w:color w:val="000000" w:themeColor="text1"/>
          <w:spacing w:val="-2"/>
          <w:sz w:val="24"/>
          <w:szCs w:val="24"/>
          <w14:textFill>
            <w14:solidFill>
              <w14:schemeClr w14:val="tx1"/>
            </w14:solidFill>
          </w14:textFill>
        </w:rPr>
        <w:t xml:space="preserve">种。</w:t>
      </w:r>
      <w:r/>
    </w:p>
    <w:p>
      <w:pPr>
        <w:ind w:left="3"/>
        <w:spacing w:before="145" w:line="220" w:lineRule="auto"/>
        <w:rPr>
          <w:rFonts w:ascii="宋体" w:hAnsi="宋体" w:cs="宋体"/>
          <w:b/>
          <w:bCs/>
          <w:color w:val="000000" w:themeColor="text1"/>
          <w:spacing w:val="-4"/>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三、技术资料</w:t>
      </w:r>
      <w:r/>
    </w:p>
    <w:p>
      <w:pPr>
        <w:ind w:left="412" w:right="222" w:hanging="407"/>
        <w:spacing w:before="143" w:line="23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3.1</w:t>
      </w:r>
      <w:r>
        <w:rPr>
          <w:rFonts w:ascii="宋体" w:hAnsi="宋体" w:cs="宋体"/>
          <w:color w:val="000000" w:themeColor="text1"/>
          <w:spacing w:val="-24"/>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乙方应按招标文件规定的时间向甲方提供服务（包含与服务相关的产品）的有关技</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术资料。</w:t>
      </w:r>
      <w:r/>
    </w:p>
    <w:p>
      <w:pPr>
        <w:ind w:left="410" w:right="223" w:hanging="405"/>
        <w:spacing w:before="147" w:line="23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3.2</w:t>
      </w:r>
      <w:r>
        <w:rPr>
          <w:rFonts w:ascii="宋体" w:hAnsi="宋体" w:cs="宋体"/>
          <w:color w:val="000000" w:themeColor="text1"/>
          <w:spacing w:val="73"/>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没有甲方事先书面同意，乙方不得将由</w:t>
      </w:r>
      <w:r>
        <w:rPr>
          <w:rFonts w:ascii="宋体" w:hAnsi="宋体" w:cs="宋体"/>
          <w:color w:val="000000" w:themeColor="text1"/>
          <w:spacing w:val="-1"/>
          <w:sz w:val="24"/>
          <w:szCs w:val="24"/>
          <w14:textFill>
            <w14:solidFill>
              <w14:schemeClr w14:val="tx1"/>
            </w14:solidFill>
          </w14:textFill>
        </w:rPr>
        <w:t xml:space="preserve">甲方提供的有关合同或任何合同条文、规</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格、计划、图纸、样品或资料提供给与履行本合同无关的任何其他人。即使向履行</w:t>
      </w:r>
      <w:r>
        <w:rPr>
          <w:rFonts w:ascii="宋体" w:hAnsi="宋体" w:cs="宋体"/>
          <w:color w:val="000000" w:themeColor="text1"/>
          <w:spacing w:val="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本合同有关的人员提供，也应注意保密并限于履行合同的必需范围。</w:t>
      </w:r>
      <w:r/>
    </w:p>
    <w:p>
      <w:pPr>
        <w:ind w:left="23"/>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8"/>
          <w:sz w:val="24"/>
          <w:szCs w:val="24"/>
          <w14:textFill>
            <w14:solidFill>
              <w14:schemeClr w14:val="tx1"/>
            </w14:solidFill>
          </w14:textFill>
        </w:rPr>
        <w:t xml:space="preserve">四、知识产权</w:t>
      </w:r>
      <w:r/>
    </w:p>
    <w:p>
      <w:pPr>
        <w:ind w:left="410" w:right="140" w:hanging="411"/>
        <w:spacing w:before="146" w:line="233"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4.1</w:t>
      </w:r>
      <w:r>
        <w:rPr>
          <w:rFonts w:ascii="宋体" w:hAnsi="宋体" w:cs="宋体"/>
          <w:color w:val="000000" w:themeColor="text1"/>
          <w:spacing w:val="-22"/>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乙方应保证甲方在使用、接受本合同服务（包含与服务相关的产品）或其任何一部</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7"/>
          <w:sz w:val="24"/>
          <w:szCs w:val="24"/>
          <w14:textFill>
            <w14:solidFill>
              <w14:schemeClr w14:val="tx1"/>
            </w14:solidFill>
          </w14:textFill>
        </w:rPr>
        <w:t xml:space="preserve">分时不受第三方提出侵犯其专利权、版权、商标权和工业设计权等知识</w:t>
      </w:r>
      <w:r>
        <w:rPr>
          <w:rFonts w:ascii="宋体" w:hAnsi="宋体" w:cs="宋体"/>
          <w:color w:val="000000" w:themeColor="text1"/>
          <w:spacing w:val="-8"/>
          <w:sz w:val="24"/>
          <w:szCs w:val="24"/>
          <w14:textFill>
            <w14:solidFill>
              <w14:schemeClr w14:val="tx1"/>
            </w14:solidFill>
          </w14:textFill>
        </w:rPr>
        <w:t xml:space="preserve">产权的起诉。</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一旦出现侵权，由乙方负全部责任。</w:t>
      </w:r>
      <w:r/>
    </w:p>
    <w:p>
      <w:pPr>
        <w:ind w:left="4"/>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五、产权担保</w:t>
      </w:r>
      <w:r/>
    </w:p>
    <w:p>
      <w:pPr>
        <w:ind w:left="412" w:right="224" w:hanging="407"/>
        <w:spacing w:before="143" w:line="23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5.1</w:t>
      </w:r>
      <w:r>
        <w:rPr>
          <w:rFonts w:ascii="宋体" w:hAnsi="宋体" w:cs="宋体"/>
          <w:color w:val="000000" w:themeColor="text1"/>
          <w:spacing w:val="96"/>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乙方保证所交付的服务（包含与服务相关的产品）的所有权完全属于乙方且无任</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何抵押、查封等产权瑕疵。</w:t>
      </w:r>
      <w:r/>
    </w:p>
    <w:p>
      <w:pPr>
        <w:ind w:left="2"/>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六、履约保证金</w:t>
      </w:r>
      <w:r/>
    </w:p>
    <w:p>
      <w:pPr>
        <w:jc w:val="right"/>
        <w:spacing w:before="143"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9"/>
          <w:sz w:val="24"/>
          <w:szCs w:val="24"/>
          <w14:textFill>
            <w14:solidFill>
              <w14:schemeClr w14:val="tx1"/>
            </w14:solidFill>
          </w14:textFill>
        </w:rPr>
        <w:t xml:space="preserve">6.1</w:t>
      </w:r>
      <w:r>
        <w:rPr>
          <w:rFonts w:ascii="宋体" w:hAnsi="宋体" w:cs="宋体"/>
          <w:color w:val="000000" w:themeColor="text1"/>
          <w:spacing w:val="33"/>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乙方交纳人民币</w:t>
      </w:r>
      <w:r>
        <w:rPr>
          <w:rFonts w:ascii="宋体" w:hAnsi="宋体" w:cs="宋体"/>
          <w:color w:val="000000" w:themeColor="text1"/>
          <w:spacing w:val="-120"/>
          <w:sz w:val="24"/>
          <w:szCs w:val="24"/>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pacing w:val="-109"/>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元作为本合同的履约保证</w:t>
      </w:r>
      <w:r>
        <w:rPr>
          <w:rFonts w:ascii="宋体" w:hAnsi="宋体" w:cs="宋体"/>
          <w:color w:val="000000" w:themeColor="text1"/>
          <w:spacing w:val="-10"/>
          <w:sz w:val="24"/>
          <w:szCs w:val="24"/>
          <w14:textFill>
            <w14:solidFill>
              <w14:schemeClr w14:val="tx1"/>
            </w14:solidFill>
          </w14:textFill>
        </w:rPr>
        <w:t xml:space="preserve">金。（不得超过合同金额的 10%）</w:t>
      </w:r>
      <w:r/>
    </w:p>
    <w:p>
      <w:pPr>
        <w:ind w:left="2"/>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6.2</w:t>
      </w:r>
      <w:r>
        <w:rPr>
          <w:rFonts w:ascii="宋体" w:hAnsi="宋体" w:cs="宋体"/>
          <w:color w:val="000000" w:themeColor="text1"/>
          <w:spacing w:val="-50"/>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合同履行结束后，甲方应及时退还交纳的履约保证</w:t>
      </w:r>
      <w:r>
        <w:rPr>
          <w:rFonts w:ascii="宋体" w:hAnsi="宋体" w:cs="宋体"/>
          <w:color w:val="000000" w:themeColor="text1"/>
          <w:spacing w:val="-3"/>
          <w:sz w:val="24"/>
          <w:szCs w:val="24"/>
          <w14:textFill>
            <w14:solidFill>
              <w14:schemeClr w14:val="tx1"/>
            </w14:solidFill>
          </w14:textFill>
        </w:rPr>
        <w:t xml:space="preserve">金。</w:t>
      </w:r>
      <w:r/>
    </w:p>
    <w:p>
      <w:pPr>
        <w:ind w:left="2"/>
        <w:spacing w:before="148"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6.2.1</w:t>
      </w:r>
      <w:r>
        <w:rPr>
          <w:rFonts w:ascii="宋体" w:hAnsi="宋体" w:cs="宋体"/>
          <w:color w:val="000000" w:themeColor="text1"/>
          <w:spacing w:val="-46"/>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履约保证金退还方式：</w:t>
      </w:r>
      <w:r/>
    </w:p>
    <w:p>
      <w:pPr>
        <w:ind w:left="2"/>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6.2.2</w:t>
      </w:r>
      <w:r>
        <w:rPr>
          <w:rFonts w:ascii="宋体" w:hAnsi="宋体" w:cs="宋体"/>
          <w:color w:val="000000" w:themeColor="text1"/>
          <w:spacing w:val="-46"/>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履约保证金退还时间：</w:t>
      </w:r>
      <w:r/>
    </w:p>
    <w:p>
      <w:pPr>
        <w:ind w:left="2"/>
        <w:spacing w:before="142"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6.2.3</w:t>
      </w:r>
      <w:r>
        <w:rPr>
          <w:rFonts w:ascii="宋体" w:hAnsi="宋体" w:cs="宋体"/>
          <w:color w:val="000000" w:themeColor="text1"/>
          <w:spacing w:val="-46"/>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履约保证金退还条件：</w:t>
      </w:r>
      <w:r/>
    </w:p>
    <w:p>
      <w:pPr>
        <w:ind w:left="2"/>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6.2.4</w:t>
      </w:r>
      <w:r>
        <w:rPr>
          <w:rFonts w:ascii="宋体" w:hAnsi="宋体" w:cs="宋体"/>
          <w:color w:val="000000" w:themeColor="text1"/>
          <w:spacing w:val="-33"/>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履约保证金不予退还的情形：</w:t>
      </w:r>
      <w:r/>
    </w:p>
    <w:p>
      <w:pPr>
        <w:spacing w:before="173"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3"/>
          <w:sz w:val="24"/>
          <w:szCs w:val="24"/>
          <w14:textFill>
            <w14:solidFill>
              <w14:schemeClr w14:val="tx1"/>
            </w14:solidFill>
          </w14:textFill>
        </w:rPr>
        <w:t xml:space="preserve">七、合同转包或分包</w:t>
      </w:r>
      <w:r/>
    </w:p>
    <w:p>
      <w:pPr>
        <w:ind w:left="6"/>
        <w:spacing w:before="16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7.1</w:t>
      </w:r>
      <w:r>
        <w:rPr>
          <w:rFonts w:ascii="宋体" w:hAnsi="宋体" w:cs="宋体"/>
          <w:color w:val="000000" w:themeColor="text1"/>
          <w:spacing w:val="-27"/>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乙方不得将合同标的转包给他人履行。</w:t>
      </w:r>
      <w:r/>
    </w:p>
    <w:p>
      <w:pPr>
        <w:ind w:left="6"/>
        <w:spacing w:before="170"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7.2</w:t>
      </w:r>
      <w:r>
        <w:rPr>
          <w:rFonts w:ascii="宋体" w:hAnsi="宋体" w:cs="宋体"/>
          <w:color w:val="000000" w:themeColor="text1"/>
          <w:spacing w:val="-27"/>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乙方不得将合同标的分包给他人履行。</w:t>
      </w:r>
      <w:r/>
    </w:p>
    <w:p>
      <w:pPr>
        <w:ind w:left="6"/>
        <w:spacing w:before="171"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7.3</w:t>
      </w:r>
      <w:r>
        <w:rPr>
          <w:rFonts w:ascii="宋体" w:hAnsi="宋体" w:cs="宋体"/>
          <w:color w:val="000000" w:themeColor="text1"/>
          <w:spacing w:val="-16"/>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乙方如有转包或未经甲方同意的分包行为，甲方有权解除合同。</w:t>
      </w:r>
      <w:r/>
    </w:p>
    <w:p>
      <w:pPr>
        <w:ind w:left="4"/>
        <w:spacing w:before="170"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八、合同款项支付</w:t>
      </w:r>
      <w:r/>
    </w:p>
    <w:p>
      <w:pPr>
        <w:ind w:left="1"/>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8.1</w:t>
      </w:r>
      <w:r>
        <w:rPr>
          <w:rFonts w:ascii="宋体" w:hAnsi="宋体" w:cs="宋体"/>
          <w:color w:val="000000" w:themeColor="text1"/>
          <w:spacing w:val="-37"/>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合同款项的支付方式及进度安排</w:t>
      </w:r>
      <w:r/>
    </w:p>
    <w:p>
      <w:pPr>
        <w:ind w:left="2"/>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预付款支付时间</w:t>
      </w:r>
      <w:r>
        <w:rPr>
          <w:rFonts w:ascii="宋体" w:hAnsi="宋体" w:cs="宋体"/>
          <w:color w:val="000000" w:themeColor="text1"/>
          <w:spacing w:val="7"/>
          <w:sz w:val="24"/>
          <w:szCs w:val="24"/>
          <w14:textFill>
            <w14:solidFill>
              <w14:schemeClr w14:val="tx1"/>
            </w14:solidFill>
          </w14:textFill>
        </w:rPr>
        <w:t xml:space="preserve">：</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pacing w:val="7"/>
          <w:sz w:val="24"/>
          <w:szCs w:val="24"/>
          <w14:textFill>
            <w14:solidFill>
              <w14:schemeClr w14:val="tx1"/>
            </w14:solidFill>
          </w14:textFill>
        </w:rPr>
        <w:t xml:space="preserve">，</w:t>
      </w:r>
      <w:r>
        <w:rPr>
          <w:rFonts w:ascii="宋体" w:hAnsi="宋体" w:cs="宋体"/>
          <w:color w:val="000000" w:themeColor="text1"/>
          <w:spacing w:val="-1"/>
          <w:sz w:val="24"/>
          <w:szCs w:val="24"/>
          <w14:textFill>
            <w14:solidFill>
              <w14:schemeClr w14:val="tx1"/>
            </w14:solidFill>
          </w14:textFill>
        </w:rPr>
        <w:t xml:space="preserve">预付款支付比例：</w:t>
      </w:r>
      <w:r>
        <w:rPr>
          <w:rFonts w:ascii="宋体" w:hAnsi="宋体" w:cs="宋体"/>
          <w:color w:val="000000" w:themeColor="text1"/>
          <w:spacing w:val="-1"/>
          <w:sz w:val="24"/>
          <w:szCs w:val="24"/>
          <w:u w:val="single"/>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w:t>
      </w:r>
      <w:r/>
    </w:p>
    <w:p>
      <w:pPr>
        <w:ind w:left="6"/>
        <w:spacing w:before="171"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6"/>
          <w:sz w:val="24"/>
          <w:szCs w:val="24"/>
          <w14:textFill>
            <w14:solidFill>
              <w14:schemeClr w14:val="tx1"/>
            </w14:solidFill>
          </w14:textFill>
        </w:rPr>
        <w:t xml:space="preserve">九、税费</w:t>
      </w:r>
      <w:r/>
    </w:p>
    <w:p>
      <w:pPr>
        <w:ind w:left="1"/>
        <w:spacing w:before="169"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9.1</w:t>
      </w:r>
      <w:r>
        <w:rPr>
          <w:rFonts w:ascii="宋体" w:hAnsi="宋体" w:cs="宋体"/>
          <w:color w:val="000000" w:themeColor="text1"/>
          <w:spacing w:val="-34"/>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本合同执行中相关的一切税费均由乙方负担。</w:t>
      </w:r>
      <w:r/>
    </w:p>
    <w:p>
      <w:pPr>
        <w:ind w:left="1"/>
        <w:spacing w:before="171"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十、项目验收</w:t>
      </w:r>
      <w:r/>
    </w:p>
    <w:p>
      <w:pPr>
        <w:ind w:left="18"/>
        <w:spacing w:before="147"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6"/>
          <w:sz w:val="24"/>
          <w:szCs w:val="24"/>
          <w14:textFill>
            <w14:solidFill>
              <w14:schemeClr w14:val="tx1"/>
            </w14:solidFill>
          </w14:textFill>
        </w:rPr>
        <w:t xml:space="preserve">10.1</w:t>
      </w:r>
      <w:r>
        <w:rPr>
          <w:rFonts w:ascii="宋体" w:hAnsi="宋体" w:cs="宋体"/>
          <w:color w:val="000000" w:themeColor="text1"/>
          <w:spacing w:val="44"/>
          <w:sz w:val="24"/>
          <w:szCs w:val="24"/>
          <w14:textFill>
            <w14:solidFill>
              <w14:schemeClr w14:val="tx1"/>
            </w14:solidFill>
          </w14:textFill>
        </w:rPr>
        <w:t xml:space="preserve"> </w:t>
      </w:r>
      <w:r>
        <w:rPr>
          <w:rFonts w:ascii="宋体" w:hAnsi="宋体" w:cs="宋体"/>
          <w:color w:val="000000" w:themeColor="text1"/>
          <w:spacing w:val="-6"/>
          <w:sz w:val="24"/>
          <w:szCs w:val="24"/>
          <w14:textFill>
            <w14:solidFill>
              <w14:schemeClr w14:val="tx1"/>
            </w14:solidFill>
          </w14:textFill>
        </w:rPr>
        <w:t xml:space="preserve">甲方依法组织履约验收工作。</w:t>
      </w:r>
      <w:r/>
    </w:p>
    <w:p>
      <w:pPr>
        <w:ind w:left="481" w:right="140" w:hanging="463"/>
        <w:spacing w:before="146" w:line="233"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10.2</w:t>
      </w:r>
      <w:r>
        <w:rPr>
          <w:rFonts w:ascii="宋体" w:hAnsi="宋体" w:cs="宋体"/>
          <w:color w:val="000000" w:themeColor="text1"/>
          <w:spacing w:val="100"/>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甲方在组织履约验收前，将根据项目特点制定</w:t>
      </w:r>
      <w:r>
        <w:rPr>
          <w:rFonts w:ascii="宋体" w:hAnsi="宋体" w:cs="宋体"/>
          <w:color w:val="000000" w:themeColor="text1"/>
          <w:spacing w:val="-3"/>
          <w:sz w:val="24"/>
          <w:szCs w:val="24"/>
          <w14:textFill>
            <w14:solidFill>
              <w14:schemeClr w14:val="tx1"/>
            </w14:solidFill>
          </w14:textFill>
        </w:rPr>
        <w:t xml:space="preserve">验收方案，明确履约验收的时间、</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方式、程序等内容，并可根据项目特点对服务期内的服务实施情况进行分期考核，</w:t>
      </w:r>
      <w:r>
        <w:rPr>
          <w:rFonts w:ascii="宋体" w:hAnsi="宋体" w:cs="宋体"/>
          <w:color w:val="000000" w:themeColor="text1"/>
          <w:spacing w:val="15"/>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综合考核情况和服务效果进行验收。乙方应根据验收方案内容做好相应配合工作。</w:t>
      </w:r>
      <w:r/>
    </w:p>
    <w:p>
      <w:pPr>
        <w:spacing w:before="47"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10.3 对于实际使用人和甲方分离的项目，甲方邀请实际使用人参与验收。</w:t>
      </w:r>
      <w:r/>
    </w:p>
    <w:p>
      <w:pPr>
        <w:ind w:left="478" w:hanging="462"/>
        <w:spacing w:before="145" w:line="22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10.4 如有必要，甲方邀请参加本项目的其他供应商或第三方专业机构及</w:t>
      </w:r>
      <w:r>
        <w:rPr>
          <w:rFonts w:ascii="宋体" w:hAnsi="宋体" w:cs="宋体"/>
          <w:color w:val="000000" w:themeColor="text1"/>
          <w:spacing w:val="-4"/>
          <w:sz w:val="24"/>
          <w:szCs w:val="24"/>
          <w14:textFill>
            <w14:solidFill>
              <w14:schemeClr w14:val="tx1"/>
            </w14:solidFill>
          </w14:textFill>
        </w:rPr>
        <w:t xml:space="preserve">专家参与验收，</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相关意见将作为验收书的参考资料。</w:t>
      </w:r>
      <w:r/>
    </w:p>
    <w:p>
      <w:pPr>
        <w:ind w:left="478" w:right="184" w:hanging="462"/>
        <w:spacing w:before="144" w:line="236"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10.5</w:t>
      </w:r>
      <w:r>
        <w:rPr>
          <w:rFonts w:ascii="宋体" w:hAnsi="宋体" w:cs="宋体"/>
          <w:color w:val="000000" w:themeColor="text1"/>
          <w:spacing w:val="100"/>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甲方成立验收小组，按照采购合同的约定对</w:t>
      </w:r>
      <w:r>
        <w:rPr>
          <w:rFonts w:ascii="宋体" w:hAnsi="宋体" w:cs="宋体"/>
          <w:color w:val="000000" w:themeColor="text1"/>
          <w:spacing w:val="-2"/>
          <w:sz w:val="24"/>
          <w:szCs w:val="24"/>
          <w14:textFill>
            <w14:solidFill>
              <w14:schemeClr w14:val="tx1"/>
            </w14:solidFill>
          </w14:textFill>
        </w:rPr>
        <w:t xml:space="preserve">乙方的履约情况进行验收。验收时,</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甲方按照采购合同的约定对每一项技术、服务、安全标准的履约情况进行确认。验</w:t>
      </w:r>
      <w:r>
        <w:rPr>
          <w:rFonts w:ascii="宋体" w:hAnsi="宋体" w:cs="宋体"/>
          <w:color w:val="000000" w:themeColor="text1"/>
          <w:spacing w:val="4"/>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收结束后,验收小组出具验收书,列明各项标准的验收情况及项目总体评价,由验</w:t>
      </w:r>
      <w:r>
        <w:rPr>
          <w:rFonts w:ascii="宋体" w:hAnsi="宋体" w:cs="宋体"/>
          <w:color w:val="000000" w:themeColor="text1"/>
          <w:spacing w:val="3"/>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收双方共同签署。验收结果与采购合同约定的资金支付及履约保证</w:t>
      </w:r>
      <w:r>
        <w:rPr>
          <w:rFonts w:ascii="宋体" w:hAnsi="宋体" w:cs="宋体"/>
          <w:color w:val="000000" w:themeColor="text1"/>
          <w:spacing w:val="1"/>
          <w:sz w:val="24"/>
          <w:szCs w:val="24"/>
          <w14:textFill>
            <w14:solidFill>
              <w14:schemeClr w14:val="tx1"/>
            </w14:solidFill>
          </w14:textFill>
        </w:rPr>
        <w:t xml:space="preserve">金返还条件挂</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钩。履约验收的各项资料存档备查。</w:t>
      </w:r>
      <w:r/>
    </w:p>
    <w:p>
      <w:pPr>
        <w:ind w:left="479" w:right="184" w:hanging="463"/>
        <w:spacing w:before="143" w:line="23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10.6</w:t>
      </w:r>
      <w:r>
        <w:rPr>
          <w:rFonts w:ascii="宋体" w:hAnsi="宋体" w:cs="宋体"/>
          <w:color w:val="000000" w:themeColor="text1"/>
          <w:spacing w:val="82"/>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验收合格的项目,甲方根据采购合同的约定及时向乙方支付合同款项、退还履约</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8"/>
          <w:sz w:val="24"/>
          <w:szCs w:val="24"/>
          <w14:textFill>
            <w14:solidFill>
              <w14:schemeClr w14:val="tx1"/>
            </w14:solidFill>
          </w14:textFill>
        </w:rPr>
        <w:t xml:space="preserve">保证金。验收不合格的项目， 甲方依法及时处理。采购合同的履行、违约责任和解</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决争议的方式等适用《民法典》。乙方在履约过程中有政府采购法律法规规定的违</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法违规情形的,甲方将及时报告本级财政部门。</w:t>
      </w:r>
      <w:r/>
    </w:p>
    <w:p>
      <w:pPr>
        <w:spacing w:before="149"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十一、违约责任</w:t>
      </w:r>
      <w:r/>
    </w:p>
    <w:p>
      <w:pPr>
        <w:ind w:left="409" w:right="184" w:hanging="393"/>
        <w:spacing w:before="143" w:line="23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11.1</w:t>
      </w:r>
      <w:r>
        <w:rPr>
          <w:rFonts w:ascii="宋体" w:hAnsi="宋体" w:cs="宋体"/>
          <w:color w:val="000000" w:themeColor="text1"/>
          <w:spacing w:val="42"/>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甲方无正当理由拒绝接受乙方提供服务的，甲方向乙方偿付拒绝接受服务合同价</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6"/>
          <w:sz w:val="24"/>
          <w:szCs w:val="24"/>
          <w14:textFill>
            <w14:solidFill>
              <w14:schemeClr w14:val="tx1"/>
            </w14:solidFill>
          </w14:textFill>
        </w:rPr>
        <w:t xml:space="preserve">款总值</w:t>
      </w:r>
      <w:r>
        <w:rPr>
          <w:rFonts w:ascii="宋体" w:hAnsi="宋体" w:cs="宋体"/>
          <w:color w:val="000000" w:themeColor="text1"/>
          <w:spacing w:val="-6"/>
          <w:sz w:val="24"/>
          <w:szCs w:val="24"/>
          <w:u w:val="single"/>
          <w14:textFill>
            <w14:solidFill>
              <w14:schemeClr w14:val="tx1"/>
            </w14:solidFill>
          </w14:textFill>
        </w:rPr>
        <w:t xml:space="preserve">    </w:t>
      </w:r>
      <w:r>
        <w:rPr>
          <w:rFonts w:ascii="宋体" w:hAnsi="宋体" w:cs="宋体"/>
          <w:color w:val="000000" w:themeColor="text1"/>
          <w:spacing w:val="-82"/>
          <w:sz w:val="24"/>
          <w:szCs w:val="24"/>
          <w14:textFill>
            <w14:solidFill>
              <w14:schemeClr w14:val="tx1"/>
            </w14:solidFill>
          </w14:textFill>
        </w:rPr>
        <w:t xml:space="preserve"> </w:t>
      </w:r>
      <w:r>
        <w:rPr>
          <w:rFonts w:ascii="宋体" w:hAnsi="宋体" w:cs="宋体"/>
          <w:color w:val="000000" w:themeColor="text1"/>
          <w:spacing w:val="-6"/>
          <w:sz w:val="24"/>
          <w:szCs w:val="24"/>
          <w14:textFill>
            <w14:solidFill>
              <w14:schemeClr w14:val="tx1"/>
            </w14:solidFill>
          </w14:textFill>
        </w:rPr>
        <w:t xml:space="preserve">的违约金。</w:t>
      </w:r>
      <w:r/>
    </w:p>
    <w:p>
      <w:pPr>
        <w:ind w:left="433" w:right="184" w:hanging="417"/>
        <w:spacing w:before="146" w:line="23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11.2</w:t>
      </w:r>
      <w:r>
        <w:rPr>
          <w:rFonts w:ascii="宋体" w:hAnsi="宋体" w:cs="宋体"/>
          <w:color w:val="000000" w:themeColor="text1"/>
          <w:spacing w:val="54"/>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甲方无故逾期验收和办理合同款项支付手续的,甲方应按逾期付款总</w:t>
      </w:r>
      <w:r>
        <w:rPr>
          <w:rFonts w:ascii="宋体" w:hAnsi="宋体" w:cs="宋体"/>
          <w:color w:val="000000" w:themeColor="text1"/>
          <w:spacing w:val="-3"/>
          <w:sz w:val="24"/>
          <w:szCs w:val="24"/>
          <w14:textFill>
            <w14:solidFill>
              <w14:schemeClr w14:val="tx1"/>
            </w14:solidFill>
          </w14:textFill>
        </w:rPr>
        <w:t xml:space="preserve">额</w:t>
      </w:r>
      <w:r>
        <w:rPr>
          <w:rFonts w:ascii="宋体" w:hAnsi="宋体" w:cs="宋体"/>
          <w:color w:val="000000" w:themeColor="text1"/>
          <w:spacing w:val="-119"/>
          <w:sz w:val="24"/>
          <w:szCs w:val="24"/>
          <w14:textFill>
            <w14:solidFill>
              <w14:schemeClr w14:val="tx1"/>
            </w14:solidFill>
          </w14:textFill>
        </w:rPr>
        <w:t xml:space="preserve"> </w:t>
      </w:r>
      <w:r>
        <w:rPr>
          <w:rFonts w:ascii="宋体" w:hAnsi="宋体" w:cs="宋体"/>
          <w:color w:val="000000" w:themeColor="text1"/>
          <w:spacing w:val="14"/>
          <w:sz w:val="24"/>
          <w:szCs w:val="24"/>
          <w:u w:val="single"/>
          <w14:textFill>
            <w14:solidFill>
              <w14:schemeClr w14:val="tx1"/>
            </w14:solidFill>
          </w14:textFill>
        </w:rPr>
        <w:t xml:space="preserve">    </w:t>
      </w:r>
      <w:r>
        <w:rPr>
          <w:rFonts w:ascii="宋体" w:hAnsi="宋体" w:cs="宋体"/>
          <w:color w:val="000000" w:themeColor="text1"/>
          <w:spacing w:val="-109"/>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每日</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7"/>
          <w:sz w:val="24"/>
          <w:szCs w:val="24"/>
          <w14:textFill>
            <w14:solidFill>
              <w14:schemeClr w14:val="tx1"/>
            </w14:solidFill>
          </w14:textFill>
        </w:rPr>
        <w:t xml:space="preserve">向乙方支付违约金。</w:t>
      </w:r>
      <w:r/>
    </w:p>
    <w:p>
      <w:pPr>
        <w:ind w:left="408" w:right="182" w:hanging="392"/>
        <w:spacing w:before="142" w:line="236"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11.3</w:t>
      </w:r>
      <w:r>
        <w:rPr>
          <w:rFonts w:ascii="宋体" w:hAnsi="宋体" w:cs="宋体"/>
          <w:color w:val="000000" w:themeColor="text1"/>
          <w:spacing w:val="4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乙方逾期提供服务的，乙方应按逾期提供服务合同总额每日千分之六向甲方支付</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违约金，由甲方从待付合同款项中扣除。逾期超过约定日期 10</w:t>
      </w:r>
      <w:r>
        <w:rPr>
          <w:rFonts w:ascii="宋体" w:hAnsi="宋体" w:cs="宋体"/>
          <w:color w:val="000000" w:themeColor="text1"/>
          <w:spacing w:val="-3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个工作日不能提供</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服务的，甲方可解除本合同。乙方因逾期提供服务或因其他违约行为导致甲方解除</w:t>
      </w:r>
      <w:r>
        <w:rPr>
          <w:rFonts w:ascii="宋体" w:hAnsi="宋体" w:cs="宋体"/>
          <w:color w:val="000000" w:themeColor="text1"/>
          <w:spacing w:val="2"/>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合同的，乙方应向甲方支付合同价款总额</w:t>
      </w:r>
      <w:r>
        <w:rPr>
          <w:rFonts w:ascii="宋体" w:hAnsi="宋体" w:cs="宋体"/>
          <w:color w:val="000000" w:themeColor="text1"/>
          <w:spacing w:val="-120"/>
          <w:sz w:val="24"/>
          <w:szCs w:val="24"/>
          <w14:textFill>
            <w14:solidFill>
              <w14:schemeClr w14:val="tx1"/>
            </w14:solidFill>
          </w14:textFill>
        </w:rPr>
        <w:t xml:space="preserve"> </w:t>
      </w:r>
      <w:r>
        <w:rPr>
          <w:rFonts w:ascii="宋体" w:hAnsi="宋体" w:cs="宋体"/>
          <w:color w:val="000000" w:themeColor="text1"/>
          <w:spacing w:val="4"/>
          <w:sz w:val="24"/>
          <w:szCs w:val="24"/>
          <w:u w:val="single"/>
          <w14:textFill>
            <w14:solidFill>
              <w14:schemeClr w14:val="tx1"/>
            </w14:solidFill>
          </w14:textFill>
        </w:rPr>
        <w:t xml:space="preserve">     </w:t>
      </w:r>
      <w:r>
        <w:rPr>
          <w:rFonts w:ascii="宋体" w:hAnsi="宋体" w:cs="宋体"/>
          <w:color w:val="000000" w:themeColor="text1"/>
          <w:spacing w:val="-87"/>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的违约金，如造成甲</w:t>
      </w:r>
      <w:r>
        <w:rPr>
          <w:rFonts w:ascii="宋体" w:hAnsi="宋体" w:cs="宋体"/>
          <w:color w:val="000000" w:themeColor="text1"/>
          <w:spacing w:val="-2"/>
          <w:sz w:val="24"/>
          <w:szCs w:val="24"/>
          <w14:textFill>
            <w14:solidFill>
              <w14:schemeClr w14:val="tx1"/>
            </w14:solidFill>
          </w14:textFill>
        </w:rPr>
        <w:t xml:space="preserve">方损失超过违</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约金的，超出部分由乙方继续承担赔偿责任。</w:t>
      </w:r>
      <w:r/>
    </w:p>
    <w:p>
      <w:pPr>
        <w:ind w:left="413" w:right="184" w:hanging="397"/>
        <w:spacing w:before="146" w:line="23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11.4</w:t>
      </w:r>
      <w:r>
        <w:rPr>
          <w:rFonts w:ascii="宋体" w:hAnsi="宋体" w:cs="宋体"/>
          <w:color w:val="000000" w:themeColor="text1"/>
          <w:spacing w:val="42"/>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乙方所提供服务的标准不符合合同规定及招标文件规定标准的，甲方有权拒绝接</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受服务，并可单方面解除合同。</w:t>
      </w:r>
      <w:r/>
    </w:p>
    <w:p>
      <w:pPr>
        <w:spacing w:before="143"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十二、不可抗力事件处理</w:t>
      </w:r>
      <w:r/>
    </w:p>
    <w:p>
      <w:pPr>
        <w:ind w:left="479" w:right="185" w:hanging="463"/>
        <w:spacing w:before="147" w:line="23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12.1 在合同有效期内，任何一方因不可抗力事件导致不能履行合同，则合同履行期可</w:t>
      </w:r>
      <w:r>
        <w:rPr>
          <w:rFonts w:ascii="宋体" w:hAnsi="宋体" w:cs="宋体"/>
          <w:color w:val="000000" w:themeColor="text1"/>
          <w:spacing w:val="4"/>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延长，其延长期与不可抗力影响 期相同。</w:t>
      </w:r>
      <w:r/>
    </w:p>
    <w:p>
      <w:pPr>
        <w:ind w:left="16"/>
        <w:spacing w:before="144"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12.2 不可抗力事件发生后，应立即通知对方，并寄送有关权威机构出具的证明。</w:t>
      </w:r>
      <w:r/>
    </w:p>
    <w:p>
      <w:pPr>
        <w:ind w:left="16"/>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12.3</w:t>
      </w:r>
      <w:r>
        <w:rPr>
          <w:rFonts w:ascii="宋体" w:hAnsi="宋体" w:cs="宋体"/>
          <w:color w:val="000000" w:themeColor="text1"/>
          <w:spacing w:val="75"/>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不可抗力事件延续</w:t>
      </w:r>
      <w:r>
        <w:rPr>
          <w:rFonts w:ascii="宋体" w:hAnsi="宋体" w:cs="宋体"/>
          <w:color w:val="000000" w:themeColor="text1"/>
          <w:spacing w:val="-25"/>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120</w:t>
      </w:r>
      <w:r>
        <w:rPr>
          <w:rFonts w:ascii="宋体" w:hAnsi="宋体" w:cs="宋体"/>
          <w:color w:val="000000" w:themeColor="text1"/>
          <w:spacing w:val="-39"/>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天以上，双方应通过友好协商，确定是否继续履行合同。</w:t>
      </w:r>
      <w:r/>
    </w:p>
    <w:p>
      <w:pPr>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6"/>
          <w:sz w:val="24"/>
          <w:szCs w:val="24"/>
          <w14:textFill>
            <w14:solidFill>
              <w14:schemeClr w14:val="tx1"/>
            </w14:solidFill>
          </w14:textFill>
        </w:rPr>
        <w:t xml:space="preserve">十三、诉讼</w:t>
      </w:r>
      <w:r/>
    </w:p>
    <w:p>
      <w:pPr>
        <w:ind w:left="483" w:right="184" w:hanging="467"/>
        <w:spacing w:before="144" w:line="23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13.1 双方在执行合同中所发生的一切争议，应通过协商解决。如协商不成，可向甲方</w:t>
      </w:r>
      <w:r>
        <w:rPr>
          <w:rFonts w:ascii="宋体" w:hAnsi="宋体" w:cs="宋体"/>
          <w:color w:val="000000" w:themeColor="text1"/>
          <w:spacing w:val="5"/>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实际所在地法院起诉。</w:t>
      </w:r>
      <w:r/>
    </w:p>
    <w:p>
      <w:pPr>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十四、合同生效及其他</w:t>
      </w:r>
      <w:r/>
    </w:p>
    <w:p>
      <w:pPr>
        <w:ind w:left="16"/>
        <w:spacing w:before="145"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14.1 合同经双方法定代表人或授权委托代表人签字并加盖单位公章后生效。</w:t>
      </w:r>
      <w:r/>
    </w:p>
    <w:p>
      <w:pPr>
        <w:ind w:left="16"/>
        <w:spacing w:before="145"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14.2</w:t>
      </w:r>
      <w:r>
        <w:rPr>
          <w:rFonts w:ascii="宋体" w:hAnsi="宋体" w:cs="宋体"/>
          <w:color w:val="000000" w:themeColor="text1"/>
          <w:spacing w:val="-38"/>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本合同未尽事宜，遵照《民法典》有关条文执行。</w:t>
      </w:r>
      <w:r/>
    </w:p>
    <w:p>
      <w:pPr>
        <w:ind w:left="269" w:right="219" w:hanging="253"/>
        <w:spacing w:before="147" w:line="277"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8"/>
          <w:sz w:val="24"/>
          <w:szCs w:val="24"/>
          <w14:textFill>
            <w14:solidFill>
              <w14:schemeClr w14:val="tx1"/>
            </w14:solidFill>
          </w14:textFill>
        </w:rPr>
        <w:t xml:space="preserve">14.3 本合同正本一式三份，具有同等</w:t>
      </w:r>
      <w:r>
        <w:rPr>
          <w:rFonts w:ascii="宋体" w:hAnsi="宋体" w:cs="宋体"/>
          <w:color w:val="000000" w:themeColor="text1"/>
          <w:spacing w:val="-9"/>
          <w:sz w:val="24"/>
          <w:szCs w:val="24"/>
          <w14:textFill>
            <w14:solidFill>
              <w14:schemeClr w14:val="tx1"/>
            </w14:solidFill>
          </w14:textFill>
        </w:rPr>
        <w:t xml:space="preserve">法律效力，甲方、乙方及财政监管部门各执一份。</w:t>
      </w:r>
      <w:r/>
    </w:p>
    <w:p>
      <w:pPr>
        <w:ind w:left="269" w:right="219" w:hanging="253"/>
        <w:spacing w:before="147" w:line="277"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left="269" w:right="219" w:hanging="253"/>
        <w:spacing w:before="147" w:line="277" w:lineRule="auto"/>
        <w:rPr>
          <w:rFonts w:ascii="宋体" w:hAnsi="宋体" w:cs="宋体"/>
          <w:color w:val="000000" w:themeColor="text1"/>
          <w:spacing w:val="-10"/>
          <w:sz w:val="24"/>
          <w:szCs w:val="24"/>
          <w14:textFill>
            <w14:solidFill>
              <w14:schemeClr w14:val="tx1"/>
            </w14:solidFill>
          </w14:textFill>
        </w:rPr>
      </w:pPr>
      <w:r>
        <w:rPr>
          <w:rFonts w:ascii="宋体" w:hAnsi="宋体" w:cs="宋体"/>
          <w:color w:val="000000" w:themeColor="text1"/>
          <w:spacing w:val="-10"/>
          <w:sz w:val="24"/>
          <w:szCs w:val="24"/>
          <w14:textFill>
            <w14:solidFill>
              <w14:schemeClr w14:val="tx1"/>
            </w14:solidFill>
          </w14:textFill>
        </w:rPr>
      </w:r>
      <w:r/>
    </w:p>
    <w:p>
      <w:pPr>
        <w:ind w:left="269" w:right="219" w:hanging="253"/>
        <w:spacing w:before="147" w:line="277" w:lineRule="auto"/>
        <w:rPr>
          <w:rFonts w:ascii="宋体" w:hAnsi="宋体" w:cs="宋体"/>
          <w:color w:val="000000" w:themeColor="text1"/>
          <w:spacing w:val="-10"/>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10"/>
          <w:sz w:val="24"/>
          <w:szCs w:val="24"/>
          <w14:textFill>
            <w14:solidFill>
              <w14:schemeClr w14:val="tx1"/>
            </w14:solidFill>
          </w14:textFill>
        </w:rPr>
        <w:t xml:space="preserve">甲方：                          乙方：</w:t>
      </w:r>
      <w:r/>
    </w:p>
    <w:p>
      <w:pPr>
        <w:spacing w:before="47" w:line="22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9"/>
          <w:sz w:val="24"/>
          <w:szCs w:val="24"/>
          <w14:textFill>
            <w14:solidFill>
              <w14:schemeClr w14:val="tx1"/>
            </w14:solidFill>
          </w14:textFill>
        </w:rPr>
        <w:t xml:space="preserve">地址：</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地址：</w:t>
      </w:r>
      <w:r/>
    </w:p>
    <w:p>
      <w:pPr>
        <w:spacing w:before="133"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法定代表人或授权代表：        </w:t>
      </w:r>
      <w:r>
        <w:rPr>
          <w:rFonts w:ascii="宋体" w:hAnsi="宋体" w:cs="宋体"/>
          <w:color w:val="000000" w:themeColor="text1"/>
          <w:spacing w:val="-1"/>
          <w:sz w:val="24"/>
          <w:szCs w:val="24"/>
          <w14:textFill>
            <w14:solidFill>
              <w14:schemeClr w14:val="tx1"/>
            </w14:solidFill>
          </w14:textFill>
        </w:rPr>
        <w:t xml:space="preserve">法定代表人或授权代表：</w:t>
      </w:r>
      <w:r/>
    </w:p>
    <w:p>
      <w:pPr>
        <w:spacing w:line="96" w:lineRule="exact"/>
        <w:rPr>
          <w:color w:val="000000" w:themeColor="text1"/>
          <w14:textFill>
            <w14:solidFill>
              <w14:schemeClr w14:val="tx1"/>
            </w14:solidFill>
          </w14:textFill>
        </w:rPr>
      </w:pPr>
      <w:r>
        <w:rPr>
          <w:color w:val="000000" w:themeColor="text1"/>
          <w14:textFill>
            <w14:solidFill>
              <w14:schemeClr w14:val="tx1"/>
            </w14:solidFill>
          </w14:textFill>
        </w:rPr>
      </w:r>
      <w:r/>
    </w:p>
    <w:p>
      <w:pPr>
        <w:spacing w:line="96" w:lineRule="exact"/>
        <w:rPr>
          <w:color w:val="000000" w:themeColor="text1"/>
          <w14:textFill>
            <w14:solidFill>
              <w14:schemeClr w14:val="tx1"/>
            </w14:solidFill>
          </w14:textFill>
        </w:rPr>
        <w:sectPr>
          <w:footerReference w:type="default" r:id="rId12"/>
          <w:footnotePr/>
          <w:endnotePr/>
          <w:type w:val="nextPage"/>
          <w:pgSz w:w="11907" w:h="16839" w:orient="portrait"/>
          <w:pgMar w:top="1407" w:right="1785" w:bottom="1294" w:left="1615" w:header="0" w:footer="1119" w:gutter="0"/>
          <w:cols w:num="1" w:sep="0" w:space="1701" w:equalWidth="0">
            <w:col w:w="8505" w:space="0"/>
          </w:cols>
          <w:docGrid w:linePitch="360"/>
        </w:sectPr>
      </w:pPr>
      <w:r>
        <w:rPr>
          <w:color w:val="000000" w:themeColor="text1"/>
          <w14:textFill>
            <w14:solidFill>
              <w14:schemeClr w14:val="tx1"/>
            </w14:solidFill>
          </w14:textFill>
        </w:rPr>
      </w:r>
      <w:r/>
    </w:p>
    <w:p>
      <w:pPr>
        <w:spacing w:before="47" w:line="22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1"/>
          <w:sz w:val="24"/>
          <w:szCs w:val="24"/>
          <w14:textFill>
            <w14:solidFill>
              <w14:schemeClr w14:val="tx1"/>
            </w14:solidFill>
          </w14:textFill>
        </w:rPr>
        <w:t xml:space="preserve">联系电话：</w:t>
      </w:r>
      <w:r/>
    </w:p>
    <w:p>
      <w:pPr>
        <w:pStyle w:val="1016"/>
        <w:spacing w:line="14" w:lineRule="auto"/>
        <w:rPr>
          <w:color w:val="000000" w:themeColor="text1"/>
          <w:sz w:val="2"/>
          <w:lang w:eastAsia="zh-CN"/>
          <w14:textFill>
            <w14:solidFill>
              <w14:schemeClr w14:val="tx1"/>
            </w14:solidFill>
          </w14:textFill>
        </w:rPr>
      </w:pPr>
      <w:r>
        <w:rPr>
          <w:color w:val="000000" w:themeColor="text1"/>
          <w:sz w:val="2"/>
          <w:szCs w:val="2"/>
          <w:lang w:eastAsia="zh-CN"/>
          <w14:textFill>
            <w14:solidFill>
              <w14:schemeClr w14:val="tx1"/>
            </w14:solidFill>
          </w14:textFill>
        </w:rPr>
        <w:br w:type="column"/>
      </w:r>
      <w:r/>
    </w:p>
    <w:p>
      <w:pPr>
        <w:ind w:left="1293"/>
        <w:spacing w:before="46" w:line="22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1"/>
          <w:sz w:val="24"/>
          <w:szCs w:val="24"/>
          <w14:textFill>
            <w14:solidFill>
              <w14:schemeClr w14:val="tx1"/>
            </w14:solidFill>
          </w14:textFill>
        </w:rPr>
        <w:t xml:space="preserve">联系电话：</w:t>
      </w:r>
      <w:r/>
    </w:p>
    <w:p>
      <w:pPr>
        <w:ind w:left="2611"/>
        <w:spacing w:before="137" w:line="186" w:lineRule="auto"/>
        <w:rPr>
          <w:rFonts w:ascii="宋体" w:hAnsi="宋体" w:cs="宋体"/>
          <w:color w:val="000000" w:themeColor="text1"/>
          <w14:textFill>
            <w14:solidFill>
              <w14:schemeClr w14:val="tx1"/>
            </w14:solidFill>
          </w14:textFill>
        </w:rPr>
      </w:pPr>
      <w:r>
        <w:rPr>
          <w:rFonts w:ascii="宋体" w:hAnsi="宋体" w:cs="宋体"/>
          <w:color w:val="000000" w:themeColor="text1"/>
          <w:spacing w:val="-9"/>
          <w14:textFill>
            <w14:solidFill>
              <w14:schemeClr w14:val="tx1"/>
            </w14:solidFill>
          </w14:textFill>
        </w:rPr>
        <w:t xml:space="preserve">签订日期：</w:t>
      </w:r>
      <w:r/>
    </w:p>
    <w:p>
      <w:pPr>
        <w:pStyle w:val="1016"/>
        <w:spacing w:line="14" w:lineRule="auto"/>
        <w:rPr>
          <w:color w:val="000000" w:themeColor="text1"/>
          <w:sz w:val="2"/>
          <w:lang w:eastAsia="zh-CN"/>
          <w14:textFill>
            <w14:solidFill>
              <w14:schemeClr w14:val="tx1"/>
            </w14:solidFill>
          </w14:textFill>
        </w:rPr>
      </w:pPr>
      <w:r>
        <w:rPr>
          <w:color w:val="000000" w:themeColor="text1"/>
          <w:sz w:val="2"/>
          <w:szCs w:val="2"/>
          <w:lang w:eastAsia="zh-CN"/>
          <w14:textFill>
            <w14:solidFill>
              <w14:schemeClr w14:val="tx1"/>
            </w14:solidFill>
          </w14:textFill>
        </w:rPr>
        <w:br w:type="column"/>
      </w:r>
      <w:r/>
    </w:p>
    <w:p>
      <w:pPr>
        <w:pStyle w:val="1016"/>
        <w:spacing w:line="40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396"/>
        <w:spacing w:before="68" w:line="186" w:lineRule="auto"/>
        <w:rPr>
          <w:rFonts w:ascii="宋体" w:hAnsi="宋体" w:cs="宋体"/>
          <w:color w:val="000000" w:themeColor="text1"/>
          <w14:textFill>
            <w14:solidFill>
              <w14:schemeClr w14:val="tx1"/>
            </w14:solidFill>
          </w14:textFill>
        </w:rPr>
      </w:pPr>
      <w:r>
        <w:rPr>
          <w:rFonts w:ascii="宋体" w:hAnsi="宋体" w:cs="宋体"/>
          <w:color w:val="000000" w:themeColor="text1"/>
          <w:spacing w:val="-7"/>
          <w14:textFill>
            <w14:solidFill>
              <w14:schemeClr w14:val="tx1"/>
            </w14:solidFill>
          </w14:textFill>
        </w:rPr>
        <w:t xml:space="preserve">年</w:t>
      </w:r>
      <w:r>
        <w:rPr>
          <w:rFonts w:ascii="宋体" w:hAnsi="宋体" w:cs="宋体"/>
          <w:color w:val="000000" w:themeColor="text1"/>
          <w:spacing w:val="2"/>
          <w14:textFill>
            <w14:solidFill>
              <w14:schemeClr w14:val="tx1"/>
            </w14:solidFill>
          </w14:textFill>
        </w:rPr>
        <w:t xml:space="preserve">    </w:t>
      </w:r>
      <w:r>
        <w:rPr>
          <w:rFonts w:ascii="宋体" w:hAnsi="宋体" w:cs="宋体"/>
          <w:color w:val="000000" w:themeColor="text1"/>
          <w:spacing w:val="-7"/>
          <w14:textFill>
            <w14:solidFill>
              <w14:schemeClr w14:val="tx1"/>
            </w14:solidFill>
          </w14:textFill>
        </w:rPr>
        <w:t xml:space="preserve">月</w:t>
      </w:r>
      <w:r>
        <w:rPr>
          <w:rFonts w:ascii="宋体" w:hAnsi="宋体" w:cs="宋体"/>
          <w:color w:val="000000" w:themeColor="text1"/>
          <w:spacing w:val="14"/>
          <w14:textFill>
            <w14:solidFill>
              <w14:schemeClr w14:val="tx1"/>
            </w14:solidFill>
          </w14:textFill>
        </w:rPr>
        <w:t xml:space="preserve">   </w:t>
      </w:r>
      <w:r>
        <w:rPr>
          <w:rFonts w:ascii="宋体" w:hAnsi="宋体" w:cs="宋体"/>
          <w:color w:val="000000" w:themeColor="text1"/>
          <w:spacing w:val="-7"/>
          <w14:textFill>
            <w14:solidFill>
              <w14:schemeClr w14:val="tx1"/>
            </w14:solidFill>
          </w14:textFill>
        </w:rPr>
        <w:t xml:space="preserve">日</w:t>
      </w:r>
      <w:bookmarkEnd w:id="170"/>
      <w:r/>
      <w:bookmarkEnd w:id="171"/>
      <w:r/>
      <w:r/>
    </w:p>
    <w:p>
      <w:pPr>
        <w:spacing w:line="186" w:lineRule="auto"/>
        <w:rPr>
          <w:rFonts w:ascii="宋体" w:hAnsi="宋体" w:cs="宋体"/>
          <w:color w:val="000000" w:themeColor="text1"/>
          <w14:textFill>
            <w14:solidFill>
              <w14:schemeClr w14:val="tx1"/>
            </w14:solidFill>
          </w14:textFill>
        </w:rPr>
        <w:sectPr>
          <w:footnotePr/>
          <w:endnotePr/>
          <w:type w:val="continuous"/>
          <w:pgSz w:w="11907" w:h="16839" w:orient="portrait"/>
          <w:pgMar w:top="1407" w:right="1785" w:bottom="1294" w:left="1615" w:header="0" w:footer="1119" w:gutter="0"/>
          <w:cols w:num="3" w:sep="0" w:space="1701" w:equalWidth="0">
            <w:col w:w="2309" w:space="0"/>
            <w:col w:w="3897" w:space="0"/>
            <w:col w:w="2301" w:space="0"/>
          </w:cols>
          <w:docGrid w:linePitch="360"/>
        </w:sectPr>
      </w:pPr>
      <w:r>
        <w:rPr>
          <w:rFonts w:ascii="宋体" w:hAnsi="宋体" w:cs="宋体"/>
          <w:color w:val="000000" w:themeColor="text1"/>
          <w14:textFill>
            <w14:solidFill>
              <w14:schemeClr w14:val="tx1"/>
            </w14:solidFill>
          </w14:textFill>
        </w:rPr>
      </w:r>
      <w:r/>
    </w:p>
    <w:p>
      <w:pPr>
        <w:jc w:val="center"/>
        <w:spacing w:before="140" w:line="223" w:lineRule="auto"/>
        <w:rPr>
          <w:rFonts w:ascii="黑体" w:hAnsi="黑体" w:eastAsia="黑体" w:cs="黑体"/>
          <w:color w:val="000000" w:themeColor="text1"/>
          <w:sz w:val="43"/>
          <w:szCs w:val="43"/>
          <w14:textFill>
            <w14:solidFill>
              <w14:schemeClr w14:val="tx1"/>
            </w14:solidFill>
          </w14:textFill>
        </w:rPr>
        <w:outlineLvl w:val="0"/>
      </w:pPr>
      <w:r>
        <w:rPr>
          <w:rFonts w:ascii="黑体" w:hAnsi="黑体" w:eastAsia="黑体" w:cs="黑体"/>
          <w:color w:val="000000" w:themeColor="text1"/>
          <w:spacing w:val="7"/>
          <w:sz w:val="43"/>
          <w:szCs w:val="43"/>
          <w14:textFill>
            <w14:solidFill>
              <w14:schemeClr w14:val="tx1"/>
            </w14:solidFill>
          </w14:textFill>
        </w:rPr>
        <w:t xml:space="preserve">第四章  项目需求</w:t>
      </w:r>
      <w:r/>
    </w:p>
    <w:p>
      <w:pPr>
        <w:pStyle w:val="1016"/>
        <w:spacing w:line="282"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采购标的清单</w:t>
      </w:r>
      <w:r/>
    </w:p>
    <w:tbl>
      <w:tblPr>
        <w:tblStyle w:val="10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840"/>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textDirection w:val="lrTb"/>
            <w:noWrap w:val="false"/>
          </w:tcPr>
          <w:p>
            <w:pPr>
              <w:tabs>
                <w:tab w:val="left" w:pos="2020" w:leader="none"/>
              </w:tabs>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江苏开放大学“苏学码”江苏省终身教育学分银行网络服务平台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软件和信息技术服务业</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1016"/>
        <w:spacing w:line="282"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25"/>
        <w:spacing w:before="101" w:line="225" w:lineRule="auto"/>
        <w:rPr>
          <w:rFonts w:ascii="宋体" w:hAnsi="宋体" w:cs="宋体"/>
          <w:color w:val="000000" w:themeColor="text1"/>
          <w:sz w:val="31"/>
          <w:szCs w:val="31"/>
          <w:highlight w:val="white"/>
          <w14:textFill>
            <w14:solidFill>
              <w14:schemeClr w14:val="tx1"/>
            </w14:solidFill>
          </w14:textFill>
        </w:rPr>
        <w:outlineLvl w:val="1"/>
      </w:pPr>
      <w:r>
        <w:rPr>
          <w:rFonts w:ascii="宋体" w:hAnsi="宋体" w:cs="宋体"/>
          <w:b/>
          <w:bCs/>
          <w:color w:val="000000" w:themeColor="text1"/>
          <w:spacing w:val="2"/>
          <w:sz w:val="31"/>
          <w:szCs w:val="31"/>
          <w:highlight w:val="white"/>
          <w14:textFill>
            <w14:solidFill>
              <w14:schemeClr w14:val="tx1"/>
            </w14:solidFill>
          </w14:textFill>
        </w:rPr>
        <w:t xml:space="preserve">（一）项目概述</w:t>
      </w:r>
      <w:r>
        <w:rPr>
          <w:highlight w:val="white"/>
        </w:rPr>
      </w:r>
      <w:r/>
    </w:p>
    <w:p>
      <w:pPr>
        <w:ind w:left="9" w:right="193" w:firstLine="480"/>
        <w:spacing w:before="195" w:line="268" w:lineRule="auto"/>
        <w:rPr>
          <w:rFonts w:ascii="宋体" w:hAnsi="宋体" w:cs="宋体"/>
          <w:sz w:val="24"/>
          <w:szCs w:val="24"/>
          <w:highlight w:val="white"/>
        </w:rPr>
      </w:pPr>
      <w:r>
        <w:rPr>
          <w:rFonts w:hint="eastAsia" w:ascii="宋体" w:hAnsi="宋体" w:cs="宋体"/>
          <w:spacing w:val="-1"/>
          <w:sz w:val="24"/>
          <w:szCs w:val="24"/>
          <w:highlight w:val="white"/>
        </w:rPr>
        <w:t xml:space="preserve">近年来信息技术快速发展</w:t>
      </w:r>
      <w:r>
        <w:rPr>
          <w:rFonts w:ascii="宋体" w:hAnsi="宋体" w:cs="宋体"/>
          <w:spacing w:val="-1"/>
          <w:sz w:val="24"/>
          <w:szCs w:val="24"/>
          <w:highlight w:val="white"/>
        </w:rPr>
        <w:t xml:space="preserve">，学习</w:t>
      </w:r>
      <w:r>
        <w:rPr>
          <w:rFonts w:hint="eastAsia" w:ascii="宋体" w:hAnsi="宋体" w:cs="宋体"/>
          <w:spacing w:val="-1"/>
          <w:sz w:val="24"/>
          <w:szCs w:val="24"/>
          <w:highlight w:val="white"/>
        </w:rPr>
        <w:t xml:space="preserve">理念与模式逐步</w:t>
      </w:r>
      <w:r>
        <w:rPr>
          <w:rFonts w:ascii="宋体" w:hAnsi="宋体" w:cs="宋体"/>
          <w:spacing w:val="-1"/>
          <w:sz w:val="24"/>
          <w:szCs w:val="24"/>
          <w:highlight w:val="white"/>
        </w:rPr>
        <w:t xml:space="preserve">转变，</w:t>
      </w:r>
      <w:r>
        <w:rPr>
          <w:rFonts w:ascii="宋体" w:hAnsi="宋体" w:cs="宋体"/>
          <w:sz w:val="24"/>
          <w:szCs w:val="24"/>
          <w:highlight w:val="white"/>
        </w:rPr>
        <w:t xml:space="preserve">学分银行</w:t>
      </w:r>
      <w:r>
        <w:rPr>
          <w:rFonts w:hint="eastAsia" w:ascii="宋体" w:hAnsi="宋体" w:cs="宋体"/>
          <w:sz w:val="24"/>
          <w:szCs w:val="24"/>
          <w:highlight w:val="white"/>
        </w:rPr>
        <w:t xml:space="preserve">探索与建设也不断深入，上线运行多年的江苏省终身教育学分银行</w:t>
      </w:r>
      <w:r>
        <w:rPr>
          <w:rFonts w:ascii="宋体" w:hAnsi="宋体" w:cs="宋体"/>
          <w:sz w:val="24"/>
          <w:szCs w:val="24"/>
          <w:highlight w:val="white"/>
        </w:rPr>
        <w:t xml:space="preserve">信息</w:t>
      </w:r>
      <w:r>
        <w:rPr>
          <w:rFonts w:hint="eastAsia" w:ascii="宋体" w:hAnsi="宋体" w:cs="宋体"/>
          <w:sz w:val="24"/>
          <w:szCs w:val="24"/>
          <w:highlight w:val="white"/>
        </w:rPr>
        <w:t xml:space="preserve">管理</w:t>
      </w:r>
      <w:r>
        <w:rPr>
          <w:rFonts w:ascii="宋体" w:hAnsi="宋体" w:cs="宋体"/>
          <w:sz w:val="24"/>
          <w:szCs w:val="24"/>
          <w:highlight w:val="white"/>
        </w:rPr>
        <w:t xml:space="preserve">系统</w:t>
      </w:r>
      <w:r>
        <w:rPr>
          <w:rFonts w:hint="eastAsia" w:ascii="宋体" w:hAnsi="宋体" w:cs="宋体"/>
          <w:sz w:val="24"/>
          <w:szCs w:val="24"/>
          <w:highlight w:val="white"/>
        </w:rPr>
        <w:t xml:space="preserve">已</w:t>
      </w:r>
      <w:r>
        <w:rPr>
          <w:rFonts w:ascii="宋体" w:hAnsi="宋体" w:cs="宋体"/>
          <w:sz w:val="24"/>
          <w:szCs w:val="24"/>
          <w:highlight w:val="white"/>
        </w:rPr>
        <w:t xml:space="preserve">无法</w:t>
      </w:r>
      <w:r>
        <w:rPr>
          <w:rFonts w:hint="eastAsia" w:ascii="宋体" w:hAnsi="宋体" w:cs="宋体"/>
          <w:sz w:val="24"/>
          <w:szCs w:val="24"/>
          <w:highlight w:val="white"/>
        </w:rPr>
        <w:t xml:space="preserve">满足工作</w:t>
      </w:r>
      <w:r>
        <w:rPr>
          <w:rFonts w:ascii="宋体" w:hAnsi="宋体" w:cs="宋体"/>
          <w:sz w:val="24"/>
          <w:szCs w:val="24"/>
          <w:highlight w:val="white"/>
        </w:rPr>
        <w:t xml:space="preserve">需</w:t>
      </w:r>
      <w:r>
        <w:rPr>
          <w:rFonts w:hint="eastAsia" w:ascii="宋体" w:hAnsi="宋体" w:cs="宋体"/>
          <w:sz w:val="24"/>
          <w:szCs w:val="24"/>
          <w:highlight w:val="white"/>
        </w:rPr>
        <w:t xml:space="preserve">要</w:t>
      </w:r>
      <w:r>
        <w:rPr>
          <w:rFonts w:ascii="宋体" w:hAnsi="宋体" w:cs="宋体"/>
          <w:sz w:val="24"/>
          <w:szCs w:val="24"/>
          <w:highlight w:val="white"/>
        </w:rPr>
        <w:t xml:space="preserve">。</w:t>
      </w:r>
      <w:r>
        <w:rPr>
          <w:rFonts w:ascii="宋体" w:hAnsi="宋体" w:cs="宋体"/>
          <w:spacing w:val="-4"/>
          <w:sz w:val="24"/>
          <w:szCs w:val="24"/>
          <w:highlight w:val="white"/>
        </w:rPr>
        <w:t xml:space="preserve">江苏省“十四五”教</w:t>
      </w:r>
      <w:r>
        <w:rPr>
          <w:rFonts w:ascii="宋体" w:hAnsi="宋体" w:cs="宋体"/>
          <w:sz w:val="24"/>
          <w:szCs w:val="24"/>
          <w:highlight w:val="white"/>
        </w:rPr>
        <w:t xml:space="preserve">育发展规划中提出“完善终身学习制度。加快推进‘江苏</w:t>
      </w:r>
      <w:r>
        <w:rPr>
          <w:rFonts w:ascii="宋体" w:hAnsi="宋体" w:cs="宋体"/>
          <w:spacing w:val="-1"/>
          <w:sz w:val="24"/>
          <w:szCs w:val="24"/>
          <w:highlight w:val="white"/>
        </w:rPr>
        <w:t xml:space="preserve">省终身教育学分银行’建</w:t>
      </w:r>
      <w:r>
        <w:rPr>
          <w:rFonts w:ascii="宋体" w:hAnsi="宋体" w:cs="宋体"/>
          <w:spacing w:val="-7"/>
          <w:sz w:val="24"/>
          <w:szCs w:val="24"/>
          <w:highlight w:val="white"/>
        </w:rPr>
        <w:t xml:space="preserve">设，开展学习成果认证、积累与转换，畅通终身学习‘立交桥’。”学分银行信息系统</w:t>
      </w:r>
      <w:r>
        <w:rPr>
          <w:rFonts w:ascii="宋体" w:hAnsi="宋体" w:cs="宋体"/>
          <w:spacing w:val="-4"/>
          <w:sz w:val="24"/>
          <w:szCs w:val="24"/>
          <w:highlight w:val="white"/>
        </w:rPr>
        <w:t xml:space="preserve">建设纳入构建全省终身学习平台建设计划专项工作中（专栏</w:t>
      </w:r>
      <w:r>
        <w:rPr>
          <w:rFonts w:ascii="宋体" w:hAnsi="宋体" w:cs="宋体"/>
          <w:spacing w:val="-32"/>
          <w:sz w:val="24"/>
          <w:szCs w:val="24"/>
          <w:highlight w:val="white"/>
        </w:rPr>
        <w:t xml:space="preserve"> </w:t>
      </w:r>
      <w:r>
        <w:rPr>
          <w:rFonts w:ascii="宋体" w:hAnsi="宋体" w:cs="宋体"/>
          <w:spacing w:val="-4"/>
          <w:sz w:val="24"/>
          <w:szCs w:val="24"/>
          <w:highlight w:val="white"/>
        </w:rPr>
        <w:t xml:space="preserve">10）</w:t>
      </w:r>
      <w:r>
        <w:rPr>
          <w:rFonts w:ascii="宋体" w:hAnsi="宋体" w:cs="宋体"/>
          <w:spacing w:val="-5"/>
          <w:sz w:val="24"/>
          <w:szCs w:val="24"/>
          <w:highlight w:val="white"/>
        </w:rPr>
        <w:t xml:space="preserve">。</w:t>
      </w:r>
      <w:r>
        <w:rPr>
          <w:rFonts w:ascii="宋体" w:hAnsi="宋体" w:cs="宋体"/>
          <w:sz w:val="24"/>
          <w:szCs w:val="24"/>
          <w:highlight w:val="white"/>
        </w:rPr>
        <w:t xml:space="preserve">基于“苏学码”</w:t>
      </w:r>
      <w:r>
        <w:rPr>
          <w:rFonts w:ascii="宋体" w:hAnsi="宋体" w:cs="宋体"/>
          <w:spacing w:val="-1"/>
          <w:sz w:val="24"/>
          <w:szCs w:val="24"/>
          <w:highlight w:val="white"/>
        </w:rPr>
        <w:t xml:space="preserve">的江苏省终身教育学分银行</w:t>
      </w:r>
      <w:r>
        <w:rPr>
          <w:rFonts w:ascii="宋体" w:hAnsi="宋体" w:cs="宋体"/>
          <w:sz w:val="24"/>
          <w:szCs w:val="24"/>
          <w:highlight w:val="white"/>
        </w:rPr>
        <w:t xml:space="preserve">网络服务平台的</w:t>
      </w:r>
      <w:r>
        <w:rPr>
          <w:rFonts w:hint="eastAsia" w:ascii="宋体" w:hAnsi="宋体" w:cs="宋体"/>
          <w:sz w:val="24"/>
          <w:szCs w:val="24"/>
          <w:highlight w:val="white"/>
        </w:rPr>
        <w:t xml:space="preserve">以更广泛的服务对象和</w:t>
      </w:r>
      <w:r>
        <w:rPr>
          <w:rFonts w:ascii="宋体" w:hAnsi="宋体" w:cs="宋体"/>
          <w:sz w:val="24"/>
          <w:szCs w:val="24"/>
          <w:highlight w:val="white"/>
        </w:rPr>
        <w:t xml:space="preserve">应用范围</w:t>
      </w:r>
      <w:r>
        <w:rPr>
          <w:rFonts w:hint="eastAsia" w:ascii="宋体" w:hAnsi="宋体" w:cs="宋体"/>
          <w:sz w:val="24"/>
          <w:szCs w:val="24"/>
          <w:highlight w:val="white"/>
        </w:rPr>
        <w:t xml:space="preserve">、更高的</w:t>
      </w:r>
      <w:r>
        <w:rPr>
          <w:rFonts w:ascii="宋体" w:hAnsi="宋体" w:cs="宋体"/>
          <w:sz w:val="24"/>
          <w:szCs w:val="24"/>
          <w:highlight w:val="white"/>
        </w:rPr>
        <w:t xml:space="preserve">建设标准</w:t>
      </w:r>
      <w:r>
        <w:rPr>
          <w:rFonts w:ascii="宋体" w:hAnsi="宋体" w:cs="宋体"/>
          <w:spacing w:val="-1"/>
          <w:sz w:val="24"/>
          <w:szCs w:val="24"/>
          <w:highlight w:val="white"/>
        </w:rPr>
        <w:t xml:space="preserve">安全保障</w:t>
      </w:r>
      <w:r>
        <w:rPr>
          <w:rFonts w:hint="eastAsia" w:ascii="宋体" w:hAnsi="宋体" w:cs="宋体"/>
          <w:spacing w:val="-1"/>
          <w:sz w:val="24"/>
          <w:szCs w:val="24"/>
          <w:highlight w:val="white"/>
        </w:rPr>
        <w:t xml:space="preserve">为目标，</w:t>
      </w:r>
      <w:r>
        <w:rPr>
          <w:rFonts w:ascii="宋体" w:hAnsi="宋体" w:cs="宋体"/>
          <w:spacing w:val="-1"/>
          <w:sz w:val="24"/>
          <w:szCs w:val="24"/>
          <w:highlight w:val="white"/>
        </w:rPr>
        <w:t xml:space="preserve">重新设计系统架构，提高性能和可扩展性，在满足</w:t>
      </w:r>
      <w:r>
        <w:rPr>
          <w:rFonts w:hint="eastAsia" w:ascii="宋体" w:hAnsi="宋体" w:cs="宋体"/>
          <w:spacing w:val="-1"/>
          <w:sz w:val="24"/>
          <w:szCs w:val="24"/>
          <w:highlight w:val="white"/>
        </w:rPr>
        <w:t xml:space="preserve">已产生的新</w:t>
      </w:r>
      <w:r>
        <w:rPr>
          <w:rFonts w:ascii="宋体" w:hAnsi="宋体" w:cs="宋体"/>
          <w:spacing w:val="-1"/>
          <w:sz w:val="24"/>
          <w:szCs w:val="24"/>
          <w:highlight w:val="white"/>
        </w:rPr>
        <w:t xml:space="preserve">需</w:t>
      </w:r>
      <w:r>
        <w:rPr>
          <w:rFonts w:ascii="宋体" w:hAnsi="宋体" w:cs="宋体"/>
          <w:spacing w:val="-3"/>
          <w:sz w:val="24"/>
          <w:szCs w:val="24"/>
          <w:highlight w:val="white"/>
        </w:rPr>
        <w:t xml:space="preserve">求的基础上，还可以更好的适应未来需求</w:t>
      </w:r>
      <w:r>
        <w:rPr>
          <w:rFonts w:hint="eastAsia" w:ascii="宋体" w:hAnsi="宋体" w:cs="宋体"/>
          <w:spacing w:val="-3"/>
          <w:sz w:val="24"/>
          <w:szCs w:val="24"/>
          <w:highlight w:val="white"/>
        </w:rPr>
        <w:t xml:space="preserve">，</w:t>
      </w:r>
      <w:r>
        <w:rPr>
          <w:rFonts w:ascii="宋体" w:hAnsi="宋体" w:cs="宋体"/>
          <w:sz w:val="24"/>
          <w:szCs w:val="24"/>
          <w:highlight w:val="white"/>
        </w:rPr>
        <w:t xml:space="preserve">是实现江苏省各学习阶段学习成果认</w:t>
      </w:r>
      <w:r>
        <w:rPr>
          <w:rFonts w:ascii="宋体" w:hAnsi="宋体" w:cs="宋体"/>
          <w:spacing w:val="-1"/>
          <w:sz w:val="24"/>
          <w:szCs w:val="24"/>
          <w:highlight w:val="white"/>
        </w:rPr>
        <w:t xml:space="preserve">证、积累和转换的基础，</w:t>
      </w:r>
      <w:r>
        <w:rPr>
          <w:rFonts w:hint="eastAsia" w:ascii="宋体" w:hAnsi="宋体" w:cs="宋体"/>
          <w:spacing w:val="-1"/>
          <w:sz w:val="24"/>
          <w:szCs w:val="24"/>
          <w:highlight w:val="white"/>
        </w:rPr>
        <w:t xml:space="preserve">服务江苏省学习型社会建设的数字底座之一。</w:t>
      </w:r>
      <w:r>
        <w:rPr>
          <w:highlight w:val="white"/>
        </w:rPr>
      </w:r>
      <w:r/>
    </w:p>
    <w:p>
      <w:pPr>
        <w:ind w:left="25"/>
        <w:spacing w:before="154" w:line="225" w:lineRule="auto"/>
        <w:rPr>
          <w:rFonts w:ascii="宋体" w:hAnsi="宋体" w:cs="宋体"/>
          <w:color w:val="000000" w:themeColor="text1"/>
          <w:sz w:val="31"/>
          <w:szCs w:val="31"/>
          <w:highlight w:val="white"/>
          <w14:textFill>
            <w14:solidFill>
              <w14:schemeClr w14:val="tx1"/>
            </w14:solidFill>
          </w14:textFill>
        </w:rPr>
        <w:outlineLvl w:val="1"/>
      </w:pPr>
      <w:r>
        <w:rPr>
          <w:rFonts w:ascii="宋体" w:hAnsi="宋体" w:cs="宋体"/>
          <w:b/>
          <w:bCs/>
          <w:color w:val="000000" w:themeColor="text1"/>
          <w:spacing w:val="2"/>
          <w:sz w:val="31"/>
          <w:szCs w:val="31"/>
          <w:highlight w:val="white"/>
          <w14:textFill>
            <w14:solidFill>
              <w14:schemeClr w14:val="tx1"/>
            </w14:solidFill>
          </w14:textFill>
        </w:rPr>
        <w:t xml:space="preserve">（二）服务清单</w:t>
      </w:r>
      <w:r>
        <w:rPr>
          <w:highlight w:val="white"/>
        </w:rPr>
      </w:r>
      <w:r/>
    </w:p>
    <w:p>
      <w:pPr>
        <w:spacing w:line="115"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188"/>
        <w:tblW w:w="89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8"/>
        <w:gridCol w:w="3263"/>
        <w:gridCol w:w="2231"/>
        <w:gridCol w:w="2236"/>
      </w:tblGrid>
      <w:tr>
        <w:trPr>
          <w:trHeight w:val="441"/>
        </w:trPr>
        <w:tc>
          <w:tcPr>
            <w:tcW w:w="1218" w:type="dxa"/>
            <w:textDirection w:val="lrTb"/>
            <w:noWrap w:val="false"/>
          </w:tcPr>
          <w:p>
            <w:pPr>
              <w:pStyle w:val="1189"/>
              <w:ind w:left="372"/>
              <w:spacing w:before="86" w:line="221" w:lineRule="auto"/>
              <w:rPr>
                <w:color w:val="000000" w:themeColor="text1"/>
                <w14:textFill>
                  <w14:solidFill>
                    <w14:schemeClr w14:val="tx1"/>
                  </w14:solidFill>
                </w14:textFill>
              </w:rPr>
            </w:pPr>
            <w:r>
              <w:rPr>
                <w:b/>
                <w:bCs/>
                <w:color w:val="000000" w:themeColor="text1"/>
                <w:spacing w:val="-5"/>
                <w14:textFill>
                  <w14:solidFill>
                    <w14:schemeClr w14:val="tx1"/>
                  </w14:solidFill>
                </w14:textFill>
              </w:rPr>
              <w:t xml:space="preserve">序号</w:t>
            </w:r>
            <w:r/>
          </w:p>
        </w:tc>
        <w:tc>
          <w:tcPr>
            <w:tcW w:w="3263" w:type="dxa"/>
            <w:textDirection w:val="lrTb"/>
            <w:noWrap w:val="false"/>
          </w:tcPr>
          <w:p>
            <w:pPr>
              <w:pStyle w:val="1189"/>
              <w:ind w:left="1155"/>
              <w:spacing w:before="85" w:line="220" w:lineRule="auto"/>
              <w:rPr>
                <w:color w:val="000000" w:themeColor="text1"/>
                <w14:textFill>
                  <w14:solidFill>
                    <w14:schemeClr w14:val="tx1"/>
                  </w14:solidFill>
                </w14:textFill>
              </w:rPr>
            </w:pPr>
            <w:r>
              <w:rPr>
                <w:b/>
                <w:bCs/>
                <w:color w:val="000000" w:themeColor="text1"/>
                <w:spacing w:val="-4"/>
                <w14:textFill>
                  <w14:solidFill>
                    <w14:schemeClr w14:val="tx1"/>
                  </w14:solidFill>
                </w14:textFill>
              </w:rPr>
              <w:t xml:space="preserve">服务名称</w:t>
            </w:r>
            <w:r/>
          </w:p>
        </w:tc>
        <w:tc>
          <w:tcPr>
            <w:tcW w:w="2231" w:type="dxa"/>
            <w:textDirection w:val="lrTb"/>
            <w:noWrap w:val="false"/>
          </w:tcPr>
          <w:p>
            <w:pPr>
              <w:pStyle w:val="1189"/>
              <w:ind w:left="882"/>
              <w:spacing w:before="85" w:line="220" w:lineRule="auto"/>
              <w:rPr>
                <w:color w:val="000000" w:themeColor="text1"/>
                <w14:textFill>
                  <w14:solidFill>
                    <w14:schemeClr w14:val="tx1"/>
                  </w14:solidFill>
                </w14:textFill>
              </w:rPr>
            </w:pPr>
            <w:r>
              <w:rPr>
                <w:b/>
                <w:bCs/>
                <w:color w:val="000000" w:themeColor="text1"/>
                <w:spacing w:val="-5"/>
                <w14:textFill>
                  <w14:solidFill>
                    <w14:schemeClr w14:val="tx1"/>
                  </w14:solidFill>
                </w14:textFill>
              </w:rPr>
              <w:t xml:space="preserve">数量</w:t>
            </w:r>
            <w:r/>
          </w:p>
        </w:tc>
        <w:tc>
          <w:tcPr>
            <w:tcW w:w="2236" w:type="dxa"/>
            <w:textDirection w:val="lrTb"/>
            <w:noWrap w:val="false"/>
          </w:tcPr>
          <w:p>
            <w:pPr>
              <w:pStyle w:val="1189"/>
              <w:ind w:left="884"/>
              <w:spacing w:before="86" w:line="220" w:lineRule="auto"/>
              <w:rPr>
                <w:color w:val="000000" w:themeColor="text1"/>
                <w14:textFill>
                  <w14:solidFill>
                    <w14:schemeClr w14:val="tx1"/>
                  </w14:solidFill>
                </w14:textFill>
              </w:rPr>
            </w:pPr>
            <w:r>
              <w:rPr>
                <w:b/>
                <w:bCs/>
                <w:color w:val="000000" w:themeColor="text1"/>
                <w:spacing w:val="-5"/>
                <w14:textFill>
                  <w14:solidFill>
                    <w14:schemeClr w14:val="tx1"/>
                  </w14:solidFill>
                </w14:textFill>
              </w:rPr>
              <w:t xml:space="preserve">单位</w:t>
            </w:r>
            <w:r/>
          </w:p>
        </w:tc>
      </w:tr>
      <w:tr>
        <w:trPr>
          <w:trHeight w:val="436"/>
        </w:trPr>
        <w:tc>
          <w:tcPr>
            <w:tcW w:w="1218" w:type="dxa"/>
            <w:textDirection w:val="lrTb"/>
            <w:noWrap w:val="false"/>
          </w:tcPr>
          <w:p>
            <w:pPr>
              <w:pStyle w:val="1189"/>
              <w:ind w:left="574"/>
              <w:spacing w:before="121"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3263" w:type="dxa"/>
            <w:textDirection w:val="lrTb"/>
            <w:noWrap w:val="false"/>
          </w:tcPr>
          <w:p>
            <w:pPr>
              <w:pStyle w:val="1189"/>
              <w:ind w:left="1282"/>
              <w:spacing w:before="82" w:line="220"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苏学码</w:t>
            </w:r>
            <w:r/>
          </w:p>
        </w:tc>
        <w:tc>
          <w:tcPr>
            <w:tcW w:w="2231" w:type="dxa"/>
            <w:textDirection w:val="lrTb"/>
            <w:noWrap w:val="false"/>
          </w:tcPr>
          <w:p>
            <w:pPr>
              <w:pStyle w:val="1189"/>
              <w:ind w:left="1081"/>
              <w:spacing w:before="121"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2"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7"/>
        </w:trPr>
        <w:tc>
          <w:tcPr>
            <w:tcW w:w="1218" w:type="dxa"/>
            <w:textDirection w:val="lrTb"/>
            <w:noWrap w:val="false"/>
          </w:tcPr>
          <w:p>
            <w:pPr>
              <w:pStyle w:val="1189"/>
              <w:ind w:left="559"/>
              <w:spacing w:before="123" w:line="181" w:lineRule="auto"/>
              <w:rPr>
                <w:color w:val="000000" w:themeColor="text1"/>
                <w14:textFill>
                  <w14:solidFill>
                    <w14:schemeClr w14:val="tx1"/>
                  </w14:solidFill>
                </w14:textFill>
              </w:rPr>
            </w:pPr>
            <w:r>
              <w:rPr>
                <w:color w:val="000000" w:themeColor="text1"/>
                <w14:textFill>
                  <w14:solidFill>
                    <w14:schemeClr w14:val="tx1"/>
                  </w14:solidFill>
                </w14:textFill>
              </w:rPr>
              <w:t xml:space="preserve">2</w:t>
            </w:r>
            <w:r/>
          </w:p>
        </w:tc>
        <w:tc>
          <w:tcPr>
            <w:tcW w:w="3263" w:type="dxa"/>
            <w:textDirection w:val="lrTb"/>
            <w:noWrap w:val="false"/>
          </w:tcPr>
          <w:p>
            <w:pPr>
              <w:pStyle w:val="1189"/>
              <w:ind w:left="1157"/>
              <w:spacing w:before="82"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业务中台</w:t>
            </w:r>
            <w:r/>
          </w:p>
        </w:tc>
        <w:tc>
          <w:tcPr>
            <w:tcW w:w="2231" w:type="dxa"/>
            <w:textDirection w:val="lrTb"/>
            <w:noWrap w:val="false"/>
          </w:tcPr>
          <w:p>
            <w:pPr>
              <w:pStyle w:val="1189"/>
              <w:ind w:left="1081"/>
              <w:spacing w:before="122"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3"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61"/>
              <w:spacing w:before="123" w:line="181"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t>
            </w:r>
            <w:r/>
          </w:p>
        </w:tc>
        <w:tc>
          <w:tcPr>
            <w:tcW w:w="3263" w:type="dxa"/>
            <w:textDirection w:val="lrTb"/>
            <w:noWrap w:val="false"/>
          </w:tcPr>
          <w:p>
            <w:pPr>
              <w:pStyle w:val="1189"/>
              <w:ind w:left="1159"/>
              <w:spacing w:before="82" w:line="22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数据中台</w:t>
            </w:r>
            <w:r/>
          </w:p>
        </w:tc>
        <w:tc>
          <w:tcPr>
            <w:tcW w:w="2231" w:type="dxa"/>
            <w:textDirection w:val="lrTb"/>
            <w:noWrap w:val="false"/>
          </w:tcPr>
          <w:p>
            <w:pPr>
              <w:pStyle w:val="1189"/>
              <w:ind w:left="1081"/>
              <w:spacing w:before="122"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3"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55"/>
              <w:spacing w:before="123" w:line="181" w:lineRule="auto"/>
              <w:rPr>
                <w:color w:val="000000" w:themeColor="text1"/>
                <w14:textFill>
                  <w14:solidFill>
                    <w14:schemeClr w14:val="tx1"/>
                  </w14:solidFill>
                </w14:textFill>
              </w:rPr>
            </w:pPr>
            <w:r>
              <w:rPr>
                <w:color w:val="000000" w:themeColor="text1"/>
                <w14:textFill>
                  <w14:solidFill>
                    <w14:schemeClr w14:val="tx1"/>
                  </w14:solidFill>
                </w14:textFill>
              </w:rPr>
              <w:t xml:space="preserve">4</w:t>
            </w:r>
            <w:r/>
          </w:p>
        </w:tc>
        <w:tc>
          <w:tcPr>
            <w:tcW w:w="3263" w:type="dxa"/>
            <w:textDirection w:val="lrTb"/>
            <w:noWrap w:val="false"/>
          </w:tcPr>
          <w:p>
            <w:pPr>
              <w:pStyle w:val="1189"/>
              <w:ind w:left="682"/>
              <w:spacing w:before="82"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学习成果服务系统</w:t>
            </w:r>
            <w:r/>
          </w:p>
        </w:tc>
        <w:tc>
          <w:tcPr>
            <w:tcW w:w="2231" w:type="dxa"/>
            <w:textDirection w:val="lrTb"/>
            <w:noWrap w:val="false"/>
          </w:tcPr>
          <w:p>
            <w:pPr>
              <w:pStyle w:val="1189"/>
              <w:ind w:left="1081"/>
              <w:spacing w:before="122"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3"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9"/>
        </w:trPr>
        <w:tc>
          <w:tcPr>
            <w:tcW w:w="1218" w:type="dxa"/>
            <w:textDirection w:val="lrTb"/>
            <w:noWrap w:val="false"/>
          </w:tcPr>
          <w:p>
            <w:pPr>
              <w:pStyle w:val="1189"/>
              <w:ind w:left="561"/>
              <w:spacing w:before="128" w:line="18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w:t>
            </w:r>
            <w:r/>
          </w:p>
        </w:tc>
        <w:tc>
          <w:tcPr>
            <w:tcW w:w="3263" w:type="dxa"/>
            <w:textDirection w:val="lrTb"/>
            <w:noWrap w:val="false"/>
          </w:tcPr>
          <w:p>
            <w:pPr>
              <w:pStyle w:val="1189"/>
              <w:ind w:left="917"/>
              <w:spacing w:before="86"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在线约课系统</w:t>
            </w:r>
            <w:r/>
          </w:p>
        </w:tc>
        <w:tc>
          <w:tcPr>
            <w:tcW w:w="2231" w:type="dxa"/>
            <w:textDirection w:val="lrTb"/>
            <w:noWrap w:val="false"/>
          </w:tcPr>
          <w:p>
            <w:pPr>
              <w:pStyle w:val="1189"/>
              <w:ind w:left="1081"/>
              <w:spacing w:before="125"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6"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58"/>
              <w:spacing w:before="124" w:line="181" w:lineRule="auto"/>
              <w:rPr>
                <w:color w:val="000000" w:themeColor="text1"/>
                <w14:textFill>
                  <w14:solidFill>
                    <w14:schemeClr w14:val="tx1"/>
                  </w14:solidFill>
                </w14:textFill>
              </w:rPr>
            </w:pPr>
            <w:r>
              <w:rPr>
                <w:color w:val="000000" w:themeColor="text1"/>
                <w14:textFill>
                  <w14:solidFill>
                    <w14:schemeClr w14:val="tx1"/>
                  </w14:solidFill>
                </w14:textFill>
              </w:rPr>
              <w:t xml:space="preserve">6</w:t>
            </w:r>
            <w:r/>
          </w:p>
        </w:tc>
        <w:tc>
          <w:tcPr>
            <w:tcW w:w="3263" w:type="dxa"/>
            <w:textDirection w:val="lrTb"/>
            <w:noWrap w:val="false"/>
          </w:tcPr>
          <w:p>
            <w:pPr>
              <w:pStyle w:val="1189"/>
              <w:ind w:left="682"/>
              <w:spacing w:before="83"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学习资源服务系统</w:t>
            </w:r>
            <w:r/>
          </w:p>
        </w:tc>
        <w:tc>
          <w:tcPr>
            <w:tcW w:w="2231" w:type="dxa"/>
            <w:textDirection w:val="lrTb"/>
            <w:noWrap w:val="false"/>
          </w:tcPr>
          <w:p>
            <w:pPr>
              <w:pStyle w:val="1189"/>
              <w:ind w:left="1081"/>
              <w:spacing w:before="123"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4"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62"/>
              <w:spacing w:before="126" w:line="18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w:t>
            </w:r>
            <w:r/>
          </w:p>
        </w:tc>
        <w:tc>
          <w:tcPr>
            <w:tcW w:w="3263" w:type="dxa"/>
            <w:textDirection w:val="lrTb"/>
            <w:noWrap w:val="false"/>
          </w:tcPr>
          <w:p>
            <w:pPr>
              <w:pStyle w:val="1189"/>
              <w:ind w:left="1039"/>
              <w:spacing w:before="84"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专家库管理</w:t>
            </w:r>
            <w:r/>
          </w:p>
        </w:tc>
        <w:tc>
          <w:tcPr>
            <w:tcW w:w="2231" w:type="dxa"/>
            <w:textDirection w:val="lrTb"/>
            <w:noWrap w:val="false"/>
          </w:tcPr>
          <w:p>
            <w:pPr>
              <w:pStyle w:val="1189"/>
              <w:ind w:left="1081"/>
              <w:spacing w:before="123"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4"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Borders>
              <w:bottom w:val="single" w:color="000000" w:sz="4" w:space="0"/>
            </w:tcBorders>
            <w:tcW w:w="1218" w:type="dxa"/>
            <w:textDirection w:val="lrTb"/>
            <w:noWrap w:val="false"/>
          </w:tcPr>
          <w:p>
            <w:pPr>
              <w:pStyle w:val="1189"/>
              <w:ind w:left="557"/>
              <w:spacing w:before="125" w:line="181" w:lineRule="auto"/>
              <w:rPr>
                <w:color w:val="000000" w:themeColor="text1"/>
                <w14:textFill>
                  <w14:solidFill>
                    <w14:schemeClr w14:val="tx1"/>
                  </w14:solidFill>
                </w14:textFill>
              </w:rPr>
            </w:pPr>
            <w:r>
              <w:rPr>
                <w:color w:val="000000" w:themeColor="text1"/>
                <w14:textFill>
                  <w14:solidFill>
                    <w14:schemeClr w14:val="tx1"/>
                  </w14:solidFill>
                </w14:textFill>
              </w:rPr>
              <w:t xml:space="preserve">8</w:t>
            </w:r>
            <w:r/>
          </w:p>
        </w:tc>
        <w:tc>
          <w:tcPr>
            <w:tcBorders>
              <w:bottom w:val="single" w:color="000000" w:sz="4" w:space="0"/>
            </w:tcBorders>
            <w:tcW w:w="3263" w:type="dxa"/>
            <w:textDirection w:val="lrTb"/>
            <w:noWrap w:val="false"/>
          </w:tcPr>
          <w:p>
            <w:pPr>
              <w:pStyle w:val="1189"/>
              <w:ind w:left="1158"/>
              <w:spacing w:before="85"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积分广场</w:t>
            </w:r>
            <w:r/>
          </w:p>
        </w:tc>
        <w:tc>
          <w:tcPr>
            <w:tcBorders>
              <w:bottom w:val="single" w:color="000000" w:sz="4" w:space="0"/>
            </w:tcBorders>
            <w:tcW w:w="2231" w:type="dxa"/>
            <w:textDirection w:val="lrTb"/>
            <w:noWrap w:val="false"/>
          </w:tcPr>
          <w:p>
            <w:pPr>
              <w:pStyle w:val="1189"/>
              <w:ind w:left="1081"/>
              <w:spacing w:before="124"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bottom w:val="single" w:color="000000" w:sz="4" w:space="0"/>
            </w:tcBorders>
            <w:tcW w:w="2236" w:type="dxa"/>
            <w:textDirection w:val="lrTb"/>
            <w:noWrap w:val="false"/>
          </w:tcPr>
          <w:p>
            <w:pPr>
              <w:pStyle w:val="1189"/>
              <w:ind w:left="1008"/>
              <w:spacing w:before="85"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2"/>
        </w:trPr>
        <w:tc>
          <w:tcPr>
            <w:tcBorders>
              <w:top w:val="single" w:color="000000" w:sz="4" w:space="0"/>
            </w:tcBorders>
            <w:tcW w:w="1218" w:type="dxa"/>
            <w:textDirection w:val="lrTb"/>
            <w:noWrap w:val="false"/>
          </w:tcPr>
          <w:p>
            <w:pPr>
              <w:pStyle w:val="1189"/>
              <w:ind w:left="557"/>
              <w:spacing w:before="121" w:line="181" w:lineRule="auto"/>
              <w:rPr>
                <w:color w:val="000000" w:themeColor="text1"/>
                <w14:textFill>
                  <w14:solidFill>
                    <w14:schemeClr w14:val="tx1"/>
                  </w14:solidFill>
                </w14:textFill>
              </w:rPr>
            </w:pPr>
            <w:r>
              <w:rPr>
                <w:color w:val="000000" w:themeColor="text1"/>
                <w14:textFill>
                  <w14:solidFill>
                    <w14:schemeClr w14:val="tx1"/>
                  </w14:solidFill>
                </w14:textFill>
              </w:rPr>
              <w:t xml:space="preserve">9</w:t>
            </w:r>
            <w:r/>
          </w:p>
        </w:tc>
        <w:tc>
          <w:tcPr>
            <w:tcBorders>
              <w:top w:val="single" w:color="000000" w:sz="4" w:space="0"/>
            </w:tcBorders>
            <w:tcW w:w="3263" w:type="dxa"/>
            <w:textDirection w:val="lrTb"/>
            <w:noWrap w:val="false"/>
          </w:tcPr>
          <w:p>
            <w:pPr>
              <w:pStyle w:val="1189"/>
              <w:ind w:left="919"/>
              <w:spacing w:before="81"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家庭学分银行</w:t>
            </w:r>
            <w:r/>
          </w:p>
        </w:tc>
        <w:tc>
          <w:tcPr>
            <w:tcBorders>
              <w:top w:val="single" w:color="000000" w:sz="4" w:space="0"/>
            </w:tcBorders>
            <w:tcW w:w="2231" w:type="dxa"/>
            <w:textDirection w:val="lrTb"/>
            <w:noWrap w:val="false"/>
          </w:tcPr>
          <w:p>
            <w:pPr>
              <w:pStyle w:val="1189"/>
              <w:ind w:left="1081"/>
              <w:spacing w:before="120"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single" w:color="000000" w:sz="4" w:space="0"/>
            </w:tcBorders>
            <w:tcW w:w="2236" w:type="dxa"/>
            <w:textDirection w:val="lrTb"/>
            <w:noWrap w:val="false"/>
          </w:tcPr>
          <w:p>
            <w:pPr>
              <w:pStyle w:val="1189"/>
              <w:ind w:left="1008"/>
              <w:spacing w:before="81"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14"/>
              <w:spacing w:before="125"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10</w:t>
            </w:r>
            <w:r/>
          </w:p>
        </w:tc>
        <w:tc>
          <w:tcPr>
            <w:tcW w:w="3263" w:type="dxa"/>
            <w:textDirection w:val="lrTb"/>
            <w:noWrap w:val="false"/>
          </w:tcPr>
          <w:p>
            <w:pPr>
              <w:pStyle w:val="1189"/>
              <w:ind w:left="921"/>
              <w:spacing w:before="85"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老年学分银行</w:t>
            </w:r>
            <w:r/>
          </w:p>
        </w:tc>
        <w:tc>
          <w:tcPr>
            <w:tcW w:w="2231" w:type="dxa"/>
            <w:textDirection w:val="lrTb"/>
            <w:noWrap w:val="false"/>
          </w:tcPr>
          <w:p>
            <w:pPr>
              <w:pStyle w:val="1189"/>
              <w:ind w:left="1081"/>
              <w:spacing w:before="125"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6"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43"/>
        </w:trPr>
        <w:tc>
          <w:tcPr>
            <w:tcW w:w="1218" w:type="dxa"/>
            <w:textDirection w:val="lrTb"/>
            <w:noWrap w:val="false"/>
          </w:tcPr>
          <w:p>
            <w:pPr>
              <w:pStyle w:val="1189"/>
              <w:ind w:left="514"/>
              <w:spacing w:before="128"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11</w:t>
            </w:r>
            <w:r/>
          </w:p>
        </w:tc>
        <w:tc>
          <w:tcPr>
            <w:tcW w:w="3263" w:type="dxa"/>
            <w:textDirection w:val="lrTb"/>
            <w:noWrap w:val="false"/>
          </w:tcPr>
          <w:p>
            <w:pPr>
              <w:pStyle w:val="1189"/>
              <w:ind w:left="919"/>
              <w:spacing w:before="88"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标签管理系统</w:t>
            </w:r>
            <w:r/>
          </w:p>
        </w:tc>
        <w:tc>
          <w:tcPr>
            <w:tcW w:w="2231" w:type="dxa"/>
            <w:textDirection w:val="lrTb"/>
            <w:noWrap w:val="false"/>
          </w:tcPr>
          <w:p>
            <w:pPr>
              <w:pStyle w:val="1189"/>
              <w:ind w:left="1081"/>
              <w:spacing w:before="128"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9"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bl>
    <w:p>
      <w:pPr>
        <w:pStyle w:val="101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13"/>
          <w:footnotePr/>
          <w:endnotePr/>
          <w:type w:val="nextPage"/>
          <w:pgSz w:w="11907" w:h="16839" w:orient="portrait"/>
          <w:pgMar w:top="1431" w:right="1586" w:bottom="1293" w:left="1366" w:header="0" w:footer="1120" w:gutter="0"/>
          <w:cols w:num="1" w:sep="0" w:space="720" w:equalWidth="1"/>
          <w:docGrid w:linePitch="360"/>
        </w:sectPr>
      </w:pPr>
      <w:r>
        <w:rPr>
          <w:color w:val="000000" w:themeColor="text1"/>
          <w14:textFill>
            <w14:solidFill>
              <w14:schemeClr w14:val="tx1"/>
            </w14:solidFill>
          </w14:textFill>
        </w:rPr>
      </w:r>
      <w:r/>
    </w:p>
    <w:tbl>
      <w:tblPr>
        <w:tblStyle w:val="1188"/>
        <w:tblW w:w="89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8"/>
        <w:gridCol w:w="3263"/>
        <w:gridCol w:w="2231"/>
        <w:gridCol w:w="2236"/>
      </w:tblGrid>
      <w:tr>
        <w:trPr>
          <w:trHeight w:val="442"/>
        </w:trPr>
        <w:tc>
          <w:tcPr>
            <w:tcW w:w="1218" w:type="dxa"/>
            <w:textDirection w:val="lrTb"/>
            <w:noWrap w:val="false"/>
          </w:tcPr>
          <w:p>
            <w:pPr>
              <w:pStyle w:val="1189"/>
              <w:ind w:left="514"/>
              <w:spacing w:before="126"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12</w:t>
            </w:r>
            <w:r/>
          </w:p>
        </w:tc>
        <w:tc>
          <w:tcPr>
            <w:tcW w:w="3263" w:type="dxa"/>
            <w:textDirection w:val="lrTb"/>
            <w:noWrap w:val="false"/>
          </w:tcPr>
          <w:p>
            <w:pPr>
              <w:pStyle w:val="1189"/>
              <w:ind w:left="919"/>
              <w:spacing w:before="86"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就业服务系统</w:t>
            </w:r>
            <w:r/>
          </w:p>
        </w:tc>
        <w:tc>
          <w:tcPr>
            <w:tcW w:w="2231" w:type="dxa"/>
            <w:textDirection w:val="lrTb"/>
            <w:noWrap w:val="false"/>
          </w:tcPr>
          <w:p>
            <w:pPr>
              <w:pStyle w:val="1189"/>
              <w:ind w:left="1081"/>
              <w:spacing w:before="126"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7"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14"/>
              <w:spacing w:before="120"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13</w:t>
            </w:r>
            <w:r/>
          </w:p>
        </w:tc>
        <w:tc>
          <w:tcPr>
            <w:tcW w:w="3263" w:type="dxa"/>
            <w:textDirection w:val="lrTb"/>
            <w:noWrap w:val="false"/>
          </w:tcPr>
          <w:p>
            <w:pPr>
              <w:pStyle w:val="1189"/>
              <w:ind w:left="922"/>
              <w:spacing w:before="81" w:line="219"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简历服务系统</w:t>
            </w:r>
            <w:r/>
          </w:p>
        </w:tc>
        <w:tc>
          <w:tcPr>
            <w:tcW w:w="2231" w:type="dxa"/>
            <w:textDirection w:val="lrTb"/>
            <w:noWrap w:val="false"/>
          </w:tcPr>
          <w:p>
            <w:pPr>
              <w:pStyle w:val="1189"/>
              <w:ind w:left="1081"/>
              <w:spacing w:before="120"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1"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14"/>
              <w:spacing w:before="121"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14</w:t>
            </w:r>
            <w:r/>
          </w:p>
        </w:tc>
        <w:tc>
          <w:tcPr>
            <w:tcW w:w="3263" w:type="dxa"/>
            <w:textDirection w:val="lrTb"/>
            <w:noWrap w:val="false"/>
          </w:tcPr>
          <w:p>
            <w:pPr>
              <w:pStyle w:val="1189"/>
              <w:ind w:left="1159"/>
              <w:spacing w:before="81" w:line="22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数据分析</w:t>
            </w:r>
            <w:r/>
          </w:p>
        </w:tc>
        <w:tc>
          <w:tcPr>
            <w:tcW w:w="2231" w:type="dxa"/>
            <w:textDirection w:val="lrTb"/>
            <w:noWrap w:val="false"/>
          </w:tcPr>
          <w:p>
            <w:pPr>
              <w:pStyle w:val="1189"/>
              <w:ind w:left="1081"/>
              <w:spacing w:before="121"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2"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9"/>
        </w:trPr>
        <w:tc>
          <w:tcPr>
            <w:tcW w:w="1218" w:type="dxa"/>
            <w:textDirection w:val="lrTb"/>
            <w:noWrap w:val="false"/>
          </w:tcPr>
          <w:p>
            <w:pPr>
              <w:pStyle w:val="1189"/>
              <w:ind w:left="514"/>
              <w:spacing w:before="124"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15</w:t>
            </w:r>
            <w:r/>
          </w:p>
        </w:tc>
        <w:tc>
          <w:tcPr>
            <w:tcW w:w="3263" w:type="dxa"/>
            <w:textDirection w:val="lrTb"/>
            <w:noWrap w:val="false"/>
          </w:tcPr>
          <w:p>
            <w:pPr>
              <w:pStyle w:val="1189"/>
              <w:ind w:left="1279"/>
              <w:spacing w:before="84" w:line="22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移动端</w:t>
            </w:r>
            <w:r/>
          </w:p>
        </w:tc>
        <w:tc>
          <w:tcPr>
            <w:tcW w:w="2231" w:type="dxa"/>
            <w:textDirection w:val="lrTb"/>
            <w:noWrap w:val="false"/>
          </w:tcPr>
          <w:p>
            <w:pPr>
              <w:pStyle w:val="1189"/>
              <w:ind w:left="1081"/>
              <w:spacing w:before="124"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5"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14"/>
              <w:spacing w:before="121"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16</w:t>
            </w:r>
            <w:r/>
          </w:p>
        </w:tc>
        <w:tc>
          <w:tcPr>
            <w:tcW w:w="3263" w:type="dxa"/>
            <w:textDirection w:val="lrTb"/>
            <w:noWrap w:val="false"/>
          </w:tcPr>
          <w:p>
            <w:pPr>
              <w:pStyle w:val="1189"/>
              <w:ind w:left="557"/>
              <w:spacing w:before="82" w:line="219"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个人服务一体机适配</w:t>
            </w:r>
            <w:r/>
          </w:p>
        </w:tc>
        <w:tc>
          <w:tcPr>
            <w:tcW w:w="2231" w:type="dxa"/>
            <w:textDirection w:val="lrTb"/>
            <w:noWrap w:val="false"/>
          </w:tcPr>
          <w:p>
            <w:pPr>
              <w:pStyle w:val="1189"/>
              <w:ind w:left="1081"/>
              <w:spacing w:before="121"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2"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14"/>
              <w:spacing w:before="122"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17</w:t>
            </w:r>
            <w:r/>
          </w:p>
        </w:tc>
        <w:tc>
          <w:tcPr>
            <w:tcW w:w="3263" w:type="dxa"/>
            <w:textDirection w:val="lrTb"/>
            <w:noWrap w:val="false"/>
          </w:tcPr>
          <w:p>
            <w:pPr>
              <w:pStyle w:val="1189"/>
              <w:ind w:left="1185"/>
              <w:spacing w:before="83" w:line="220" w:lineRule="auto"/>
              <w:rPr>
                <w:color w:val="000000" w:themeColor="text1"/>
                <w14:textFill>
                  <w14:solidFill>
                    <w14:schemeClr w14:val="tx1"/>
                  </w14:solidFill>
                </w14:textFill>
              </w:rPr>
            </w:pPr>
            <w:r>
              <w:rPr>
                <w:color w:val="000000" w:themeColor="text1"/>
                <w:spacing w:val="-7"/>
                <w14:textFill>
                  <w14:solidFill>
                    <w14:schemeClr w14:val="tx1"/>
                  </w14:solidFill>
                </w14:textFill>
              </w:rPr>
              <w:t xml:space="preserve">门户网站</w:t>
            </w:r>
            <w:r/>
          </w:p>
        </w:tc>
        <w:tc>
          <w:tcPr>
            <w:tcW w:w="2231" w:type="dxa"/>
            <w:textDirection w:val="lrTb"/>
            <w:noWrap w:val="false"/>
          </w:tcPr>
          <w:p>
            <w:pPr>
              <w:pStyle w:val="1189"/>
              <w:ind w:left="1081"/>
              <w:spacing w:before="122"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3"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7"/>
        </w:trPr>
        <w:tc>
          <w:tcPr>
            <w:tcBorders>
              <w:bottom w:val="single" w:color="000000" w:sz="4" w:space="0"/>
            </w:tcBorders>
            <w:tcW w:w="1218" w:type="dxa"/>
            <w:textDirection w:val="lrTb"/>
            <w:noWrap w:val="false"/>
          </w:tcPr>
          <w:p>
            <w:pPr>
              <w:pStyle w:val="1189"/>
              <w:ind w:left="514"/>
              <w:spacing w:before="123"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18</w:t>
            </w:r>
            <w:r/>
          </w:p>
        </w:tc>
        <w:tc>
          <w:tcPr>
            <w:tcBorders>
              <w:bottom w:val="single" w:color="000000" w:sz="4" w:space="0"/>
            </w:tcBorders>
            <w:tcW w:w="3263" w:type="dxa"/>
            <w:textDirection w:val="lrTb"/>
            <w:noWrap w:val="false"/>
          </w:tcPr>
          <w:p>
            <w:pPr>
              <w:pStyle w:val="1189"/>
              <w:ind w:left="1160"/>
              <w:spacing w:before="83" w:line="22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教育地图</w:t>
            </w:r>
            <w:r/>
          </w:p>
        </w:tc>
        <w:tc>
          <w:tcPr>
            <w:tcBorders>
              <w:bottom w:val="single" w:color="000000" w:sz="4" w:space="0"/>
            </w:tcBorders>
            <w:tcW w:w="2231" w:type="dxa"/>
            <w:textDirection w:val="lrTb"/>
            <w:noWrap w:val="false"/>
          </w:tcPr>
          <w:p>
            <w:pPr>
              <w:pStyle w:val="1189"/>
              <w:ind w:left="1081"/>
              <w:spacing w:before="123"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bottom w:val="single" w:color="000000" w:sz="4" w:space="0"/>
            </w:tcBorders>
            <w:tcW w:w="2236" w:type="dxa"/>
            <w:textDirection w:val="lrTb"/>
            <w:noWrap w:val="false"/>
          </w:tcPr>
          <w:p>
            <w:pPr>
              <w:pStyle w:val="1189"/>
              <w:ind w:left="1008"/>
              <w:spacing w:before="84"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2"/>
        </w:trPr>
        <w:tc>
          <w:tcPr>
            <w:tcBorders>
              <w:top w:val="single" w:color="000000" w:sz="4" w:space="0"/>
            </w:tcBorders>
            <w:tcW w:w="1218" w:type="dxa"/>
            <w:textDirection w:val="lrTb"/>
            <w:noWrap w:val="false"/>
          </w:tcPr>
          <w:p>
            <w:pPr>
              <w:pStyle w:val="1189"/>
              <w:ind w:left="514"/>
              <w:spacing w:before="118"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19</w:t>
            </w:r>
            <w:r/>
          </w:p>
        </w:tc>
        <w:tc>
          <w:tcPr>
            <w:tcBorders>
              <w:top w:val="single" w:color="000000" w:sz="4" w:space="0"/>
            </w:tcBorders>
            <w:tcW w:w="3263" w:type="dxa"/>
            <w:textDirection w:val="lrTb"/>
            <w:noWrap w:val="false"/>
          </w:tcPr>
          <w:p>
            <w:pPr>
              <w:pStyle w:val="1189"/>
              <w:ind w:left="1163"/>
              <w:spacing w:before="79" w:line="22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智能客服</w:t>
            </w:r>
            <w:r/>
          </w:p>
        </w:tc>
        <w:tc>
          <w:tcPr>
            <w:tcBorders>
              <w:top w:val="single" w:color="000000" w:sz="4" w:space="0"/>
            </w:tcBorders>
            <w:tcW w:w="2231" w:type="dxa"/>
            <w:textDirection w:val="lrTb"/>
            <w:noWrap w:val="false"/>
          </w:tcPr>
          <w:p>
            <w:pPr>
              <w:pStyle w:val="1189"/>
              <w:ind w:left="1081"/>
              <w:spacing w:before="118"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single" w:color="000000" w:sz="4" w:space="0"/>
            </w:tcBorders>
            <w:tcW w:w="2236" w:type="dxa"/>
            <w:textDirection w:val="lrTb"/>
            <w:noWrap w:val="false"/>
          </w:tcPr>
          <w:p>
            <w:pPr>
              <w:pStyle w:val="1189"/>
              <w:ind w:left="1008"/>
              <w:spacing w:before="79"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499"/>
              <w:spacing w:before="124" w:line="181" w:lineRule="auto"/>
              <w:rPr>
                <w:color w:val="000000" w:themeColor="text1"/>
                <w14:textFill>
                  <w14:solidFill>
                    <w14:schemeClr w14:val="tx1"/>
                  </w14:solidFill>
                </w14:textFill>
              </w:rPr>
            </w:pPr>
            <w:r>
              <w:rPr>
                <w:color w:val="000000" w:themeColor="text1"/>
                <w:spacing w:val="-7"/>
                <w14:textFill>
                  <w14:solidFill>
                    <w14:schemeClr w14:val="tx1"/>
                  </w14:solidFill>
                </w14:textFill>
              </w:rPr>
              <w:t xml:space="preserve">20</w:t>
            </w:r>
            <w:r/>
          </w:p>
        </w:tc>
        <w:tc>
          <w:tcPr>
            <w:tcW w:w="3263" w:type="dxa"/>
            <w:textDirection w:val="lrTb"/>
            <w:noWrap w:val="false"/>
          </w:tcPr>
          <w:p>
            <w:pPr>
              <w:pStyle w:val="1189"/>
              <w:ind w:left="799"/>
              <w:spacing w:before="83"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轻应用构建平台</w:t>
            </w:r>
            <w:r/>
          </w:p>
        </w:tc>
        <w:tc>
          <w:tcPr>
            <w:tcW w:w="2231" w:type="dxa"/>
            <w:textDirection w:val="lrTb"/>
            <w:noWrap w:val="false"/>
          </w:tcPr>
          <w:p>
            <w:pPr>
              <w:pStyle w:val="1189"/>
              <w:ind w:left="1081"/>
              <w:spacing w:before="122"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3"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9"/>
        </w:trPr>
        <w:tc>
          <w:tcPr>
            <w:tcW w:w="1218" w:type="dxa"/>
            <w:textDirection w:val="lrTb"/>
            <w:noWrap w:val="false"/>
          </w:tcPr>
          <w:p>
            <w:pPr>
              <w:pStyle w:val="1189"/>
              <w:ind w:left="499"/>
              <w:spacing w:before="125" w:line="182" w:lineRule="auto"/>
              <w:rPr>
                <w:color w:val="000000" w:themeColor="text1"/>
                <w14:textFill>
                  <w14:solidFill>
                    <w14:schemeClr w14:val="tx1"/>
                  </w14:solidFill>
                </w14:textFill>
              </w:rPr>
            </w:pPr>
            <w:r>
              <w:rPr>
                <w:color w:val="000000" w:themeColor="text1"/>
                <w:spacing w:val="-7"/>
                <w14:textFill>
                  <w14:solidFill>
                    <w14:schemeClr w14:val="tx1"/>
                  </w14:solidFill>
                </w14:textFill>
              </w:rPr>
              <w:t xml:space="preserve">21</w:t>
            </w:r>
            <w:r/>
          </w:p>
        </w:tc>
        <w:tc>
          <w:tcPr>
            <w:tcW w:w="3263" w:type="dxa"/>
            <w:textDirection w:val="lrTb"/>
            <w:noWrap w:val="false"/>
          </w:tcPr>
          <w:p>
            <w:pPr>
              <w:pStyle w:val="1189"/>
              <w:ind w:left="1176"/>
              <w:spacing w:before="87" w:line="222" w:lineRule="auto"/>
              <w:rPr>
                <w:color w:val="000000" w:themeColor="text1"/>
                <w14:textFill>
                  <w14:solidFill>
                    <w14:schemeClr w14:val="tx1"/>
                  </w14:solidFill>
                </w14:textFill>
              </w:rPr>
            </w:pPr>
            <w:r>
              <w:rPr>
                <w:color w:val="000000" w:themeColor="text1"/>
                <w:spacing w:val="-6"/>
                <w14:textFill>
                  <w14:solidFill>
                    <w14:schemeClr w14:val="tx1"/>
                  </w14:solidFill>
                </w14:textFill>
              </w:rPr>
              <w:t xml:space="preserve">网络空间</w:t>
            </w:r>
            <w:r/>
          </w:p>
        </w:tc>
        <w:tc>
          <w:tcPr>
            <w:tcW w:w="2231" w:type="dxa"/>
            <w:textDirection w:val="lrTb"/>
            <w:noWrap w:val="false"/>
          </w:tcPr>
          <w:p>
            <w:pPr>
              <w:pStyle w:val="1189"/>
              <w:ind w:left="1081"/>
              <w:spacing w:before="125"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6"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7"/>
        </w:trPr>
        <w:tc>
          <w:tcPr>
            <w:tcW w:w="1218" w:type="dxa"/>
            <w:textDirection w:val="lrTb"/>
            <w:noWrap w:val="false"/>
          </w:tcPr>
          <w:p>
            <w:pPr>
              <w:pStyle w:val="1189"/>
              <w:ind w:left="499"/>
              <w:spacing w:before="124" w:line="181" w:lineRule="auto"/>
              <w:rPr>
                <w:color w:val="000000" w:themeColor="text1"/>
                <w14:textFill>
                  <w14:solidFill>
                    <w14:schemeClr w14:val="tx1"/>
                  </w14:solidFill>
                </w14:textFill>
              </w:rPr>
            </w:pPr>
            <w:r>
              <w:rPr>
                <w:color w:val="000000" w:themeColor="text1"/>
                <w:spacing w:val="-7"/>
                <w14:textFill>
                  <w14:solidFill>
                    <w14:schemeClr w14:val="tx1"/>
                  </w14:solidFill>
                </w14:textFill>
              </w:rPr>
              <w:t xml:space="preserve">22</w:t>
            </w:r>
            <w:r/>
          </w:p>
        </w:tc>
        <w:tc>
          <w:tcPr>
            <w:tcW w:w="3263" w:type="dxa"/>
            <w:textDirection w:val="lrTb"/>
            <w:noWrap w:val="false"/>
          </w:tcPr>
          <w:p>
            <w:pPr>
              <w:pStyle w:val="1189"/>
              <w:ind w:left="1158"/>
              <w:spacing w:before="83"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应用集成</w:t>
            </w:r>
            <w:r/>
          </w:p>
        </w:tc>
        <w:tc>
          <w:tcPr>
            <w:tcW w:w="2231" w:type="dxa"/>
            <w:textDirection w:val="lrTb"/>
            <w:noWrap w:val="false"/>
          </w:tcPr>
          <w:p>
            <w:pPr>
              <w:pStyle w:val="1189"/>
              <w:ind w:left="1081"/>
              <w:spacing w:before="123"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4"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499"/>
              <w:spacing w:before="124" w:line="18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23</w:t>
            </w:r>
            <w:r/>
          </w:p>
        </w:tc>
        <w:tc>
          <w:tcPr>
            <w:tcW w:w="3263" w:type="dxa"/>
            <w:textDirection w:val="lrTb"/>
            <w:noWrap w:val="false"/>
          </w:tcPr>
          <w:p>
            <w:pPr>
              <w:pStyle w:val="1189"/>
              <w:ind w:left="640"/>
              <w:spacing w:before="83" w:line="219"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UI</w:t>
            </w:r>
            <w:r>
              <w:rPr>
                <w:color w:val="000000" w:themeColor="text1"/>
                <w:spacing w:val="-45"/>
                <w14:textFill>
                  <w14:solidFill>
                    <w14:schemeClr w14:val="tx1"/>
                  </w14:solidFill>
                </w14:textFill>
              </w:rPr>
              <w:t xml:space="preserve"> </w:t>
            </w:r>
            <w:r>
              <w:rPr>
                <w:color w:val="000000" w:themeColor="text1"/>
                <w:spacing w:val="-2"/>
                <w14:textFill>
                  <w14:solidFill>
                    <w14:schemeClr w14:val="tx1"/>
                  </w14:solidFill>
                </w14:textFill>
              </w:rPr>
              <w:t xml:space="preserve">宣传等设计服务</w:t>
            </w:r>
            <w:r/>
          </w:p>
        </w:tc>
        <w:tc>
          <w:tcPr>
            <w:tcW w:w="2231" w:type="dxa"/>
            <w:textDirection w:val="lrTb"/>
            <w:noWrap w:val="false"/>
          </w:tcPr>
          <w:p>
            <w:pPr>
              <w:pStyle w:val="1189"/>
              <w:ind w:left="1081"/>
              <w:spacing w:before="123"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4"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499"/>
              <w:spacing w:before="124" w:line="181" w:lineRule="auto"/>
              <w:rPr>
                <w:color w:val="000000" w:themeColor="text1"/>
                <w14:textFill>
                  <w14:solidFill>
                    <w14:schemeClr w14:val="tx1"/>
                  </w14:solidFill>
                </w14:textFill>
              </w:rPr>
            </w:pPr>
            <w:r>
              <w:rPr>
                <w:color w:val="000000" w:themeColor="text1"/>
                <w:spacing w:val="-7"/>
                <w14:textFill>
                  <w14:solidFill>
                    <w14:schemeClr w14:val="tx1"/>
                  </w14:solidFill>
                </w14:textFill>
              </w:rPr>
              <w:t xml:space="preserve">24</w:t>
            </w:r>
            <w:r/>
          </w:p>
        </w:tc>
        <w:tc>
          <w:tcPr>
            <w:tcW w:w="3263" w:type="dxa"/>
            <w:textDirection w:val="lrTb"/>
            <w:noWrap w:val="false"/>
          </w:tcPr>
          <w:p>
            <w:pPr>
              <w:pStyle w:val="1189"/>
              <w:ind w:left="803"/>
              <w:spacing w:before="84"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原系统全量迁移</w:t>
            </w:r>
            <w:r/>
          </w:p>
        </w:tc>
        <w:tc>
          <w:tcPr>
            <w:tcW w:w="2231" w:type="dxa"/>
            <w:textDirection w:val="lrTb"/>
            <w:noWrap w:val="false"/>
          </w:tcPr>
          <w:p>
            <w:pPr>
              <w:pStyle w:val="1189"/>
              <w:ind w:left="1081"/>
              <w:spacing w:before="123"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4"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7"/>
        </w:trPr>
        <w:tc>
          <w:tcPr>
            <w:tcW w:w="1218" w:type="dxa"/>
            <w:textDirection w:val="lrTb"/>
            <w:noWrap w:val="false"/>
          </w:tcPr>
          <w:p>
            <w:pPr>
              <w:pStyle w:val="1189"/>
              <w:ind w:left="499"/>
              <w:spacing w:before="125" w:line="18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25</w:t>
            </w:r>
            <w:r/>
          </w:p>
        </w:tc>
        <w:tc>
          <w:tcPr>
            <w:tcW w:w="3263" w:type="dxa"/>
            <w:textDirection w:val="lrTb"/>
            <w:noWrap w:val="false"/>
          </w:tcPr>
          <w:p>
            <w:pPr>
              <w:pStyle w:val="1189"/>
              <w:ind w:left="678"/>
              <w:spacing w:before="84"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信创迁移适配服务</w:t>
            </w:r>
            <w:r/>
          </w:p>
        </w:tc>
        <w:tc>
          <w:tcPr>
            <w:tcW w:w="2231" w:type="dxa"/>
            <w:textDirection w:val="lrTb"/>
            <w:noWrap w:val="false"/>
          </w:tcPr>
          <w:p>
            <w:pPr>
              <w:pStyle w:val="1189"/>
              <w:ind w:left="1081"/>
              <w:spacing w:before="124"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5"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499"/>
              <w:spacing w:before="125" w:line="18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26</w:t>
            </w:r>
            <w:r/>
          </w:p>
        </w:tc>
        <w:tc>
          <w:tcPr>
            <w:tcW w:w="3263" w:type="dxa"/>
            <w:textDirection w:val="lrTb"/>
            <w:noWrap w:val="false"/>
          </w:tcPr>
          <w:p>
            <w:pPr>
              <w:pStyle w:val="1189"/>
              <w:ind w:left="317"/>
              <w:spacing w:before="84" w:line="220" w:lineRule="auto"/>
              <w:rPr>
                <w:color w:val="000000" w:themeColor="text1"/>
                <w:lang w:eastAsia="zh-CN"/>
                <w14:textFill>
                  <w14:solidFill>
                    <w14:schemeClr w14:val="tx1"/>
                  </w14:solidFill>
                </w14:textFill>
              </w:rPr>
            </w:pPr>
            <w:r>
              <w:rPr>
                <w:color w:val="000000" w:themeColor="text1"/>
                <w:spacing w:val="-1"/>
                <w:lang w:eastAsia="zh-CN"/>
                <w14:textFill>
                  <w14:solidFill>
                    <w14:schemeClr w14:val="tx1"/>
                  </w14:solidFill>
                </w14:textFill>
              </w:rPr>
              <w:t xml:space="preserve">第三方系统对接操作手册</w:t>
            </w:r>
            <w:r/>
          </w:p>
        </w:tc>
        <w:tc>
          <w:tcPr>
            <w:tcW w:w="2231" w:type="dxa"/>
            <w:textDirection w:val="lrTb"/>
            <w:noWrap w:val="false"/>
          </w:tcPr>
          <w:p>
            <w:pPr>
              <w:pStyle w:val="1189"/>
              <w:ind w:left="1081"/>
              <w:spacing w:before="124"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5"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9"/>
        </w:trPr>
        <w:tc>
          <w:tcPr>
            <w:tcW w:w="1218" w:type="dxa"/>
            <w:textDirection w:val="lrTb"/>
            <w:noWrap w:val="false"/>
          </w:tcPr>
          <w:p>
            <w:pPr>
              <w:pStyle w:val="1189"/>
              <w:ind w:left="499"/>
              <w:spacing w:before="128" w:line="18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27</w:t>
            </w:r>
            <w:r/>
          </w:p>
        </w:tc>
        <w:tc>
          <w:tcPr>
            <w:tcW w:w="3263" w:type="dxa"/>
            <w:textDirection w:val="lrTb"/>
            <w:noWrap w:val="false"/>
          </w:tcPr>
          <w:p>
            <w:pPr>
              <w:pStyle w:val="1189"/>
              <w:ind w:left="436"/>
              <w:spacing w:before="87" w:line="220" w:lineRule="auto"/>
              <w:rPr>
                <w:color w:val="000000" w:themeColor="text1"/>
                <w:lang w:eastAsia="zh-CN"/>
                <w14:textFill>
                  <w14:solidFill>
                    <w14:schemeClr w14:val="tx1"/>
                  </w14:solidFill>
                </w14:textFill>
              </w:rPr>
            </w:pPr>
            <w:r>
              <w:rPr>
                <w:color w:val="000000" w:themeColor="text1"/>
                <w:spacing w:val="-1"/>
                <w:lang w:eastAsia="zh-CN"/>
                <w14:textFill>
                  <w14:solidFill>
                    <w14:schemeClr w14:val="tx1"/>
                  </w14:solidFill>
                </w14:textFill>
              </w:rPr>
              <w:t xml:space="preserve">平台应用集成开发规范</w:t>
            </w:r>
            <w:r/>
          </w:p>
        </w:tc>
        <w:tc>
          <w:tcPr>
            <w:tcW w:w="2231" w:type="dxa"/>
            <w:textDirection w:val="lrTb"/>
            <w:noWrap w:val="false"/>
          </w:tcPr>
          <w:p>
            <w:pPr>
              <w:pStyle w:val="1189"/>
              <w:ind w:left="1081"/>
              <w:spacing w:before="127"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8"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499"/>
              <w:spacing w:before="126" w:line="18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28</w:t>
            </w:r>
            <w:r/>
          </w:p>
        </w:tc>
        <w:tc>
          <w:tcPr>
            <w:tcW w:w="3263" w:type="dxa"/>
            <w:textDirection w:val="lrTb"/>
            <w:noWrap w:val="false"/>
          </w:tcPr>
          <w:p>
            <w:pPr>
              <w:pStyle w:val="1189"/>
              <w:ind w:left="919"/>
              <w:spacing w:before="85"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用户使用手册</w:t>
            </w:r>
            <w:r/>
          </w:p>
        </w:tc>
        <w:tc>
          <w:tcPr>
            <w:tcW w:w="2231" w:type="dxa"/>
            <w:textDirection w:val="lrTb"/>
            <w:noWrap w:val="false"/>
          </w:tcPr>
          <w:p>
            <w:pPr>
              <w:pStyle w:val="1189"/>
              <w:ind w:left="1081"/>
              <w:spacing w:before="124"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5"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41"/>
        </w:trPr>
        <w:tc>
          <w:tcPr>
            <w:tcW w:w="1218" w:type="dxa"/>
            <w:textDirection w:val="lrTb"/>
            <w:noWrap w:val="false"/>
          </w:tcPr>
          <w:p>
            <w:pPr>
              <w:pStyle w:val="1189"/>
              <w:ind w:left="499"/>
              <w:spacing w:before="126" w:line="181" w:lineRule="auto"/>
              <w:rPr>
                <w:color w:val="000000" w:themeColor="text1"/>
                <w14:textFill>
                  <w14:solidFill>
                    <w14:schemeClr w14:val="tx1"/>
                  </w14:solidFill>
                </w14:textFill>
              </w:rPr>
            </w:pPr>
            <w:r>
              <w:rPr>
                <w:color w:val="000000" w:themeColor="text1"/>
                <w:spacing w:val="-7"/>
                <w14:textFill>
                  <w14:solidFill>
                    <w14:schemeClr w14:val="tx1"/>
                  </w14:solidFill>
                </w14:textFill>
              </w:rPr>
              <w:t xml:space="preserve">29</w:t>
            </w:r>
            <w:r/>
          </w:p>
        </w:tc>
        <w:tc>
          <w:tcPr>
            <w:tcW w:w="3263" w:type="dxa"/>
            <w:textDirection w:val="lrTb"/>
            <w:noWrap w:val="false"/>
          </w:tcPr>
          <w:p>
            <w:pPr>
              <w:pStyle w:val="1189"/>
              <w:ind w:left="1161"/>
              <w:spacing w:before="86" w:line="22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项目团队</w:t>
            </w:r>
            <w:r/>
          </w:p>
        </w:tc>
        <w:tc>
          <w:tcPr>
            <w:tcW w:w="2231" w:type="dxa"/>
            <w:textDirection w:val="lrTb"/>
            <w:noWrap w:val="false"/>
          </w:tcPr>
          <w:p>
            <w:pPr>
              <w:pStyle w:val="1189"/>
              <w:ind w:left="1081"/>
              <w:spacing w:before="125"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6"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bl>
    <w:p>
      <w:pPr>
        <w:pStyle w:val="101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14"/>
          <w:footnotePr/>
          <w:endnotePr/>
          <w:type w:val="nextPage"/>
          <w:pgSz w:w="11907" w:h="16839" w:orient="portrait"/>
          <w:pgMar w:top="1418" w:right="1586" w:bottom="1293" w:left="1366" w:header="0" w:footer="1116" w:gutter="0"/>
          <w:cols w:num="1" w:sep="0" w:space="720" w:equalWidth="1"/>
          <w:docGrid w:linePitch="360"/>
        </w:sectPr>
      </w:pPr>
      <w:r>
        <w:rPr>
          <w:color w:val="000000" w:themeColor="text1"/>
          <w14:textFill>
            <w14:solidFill>
              <w14:schemeClr w14:val="tx1"/>
            </w14:solidFill>
          </w14:textFill>
        </w:rPr>
      </w:r>
      <w:r/>
    </w:p>
    <w:p>
      <w:pPr>
        <w:pStyle w:val="1016"/>
        <w:spacing w:line="314"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4"/>
        <w:spacing w:before="101" w:line="226" w:lineRule="auto"/>
        <w:rPr>
          <w:rFonts w:ascii="宋体" w:hAnsi="宋体" w:cs="宋体"/>
          <w:b/>
          <w:bCs/>
          <w:color w:val="000000" w:themeColor="text1"/>
          <w:spacing w:val="5"/>
          <w:sz w:val="31"/>
          <w:szCs w:val="31"/>
          <w14:textFill>
            <w14:solidFill>
              <w14:schemeClr w14:val="tx1"/>
            </w14:solidFill>
          </w14:textFill>
        </w:rPr>
        <w:outlineLvl w:val="1"/>
      </w:pPr>
      <w:r>
        <w:rPr>
          <w:rFonts w:hint="eastAsia" w:ascii="宋体" w:hAnsi="宋体" w:cs="宋体"/>
          <w:b/>
          <w:bCs/>
          <w:color w:val="000000" w:themeColor="text1"/>
          <w:spacing w:val="5"/>
          <w:sz w:val="31"/>
          <w:szCs w:val="31"/>
          <w14:textFill>
            <w14:solidFill>
              <w14:schemeClr w14:val="tx1"/>
            </w14:solidFill>
          </w14:textFill>
        </w:rPr>
        <w:t xml:space="preserve">（三）技术要求</w:t>
      </w:r>
      <w:r/>
    </w:p>
    <w:p>
      <w:pPr>
        <w:pStyle w:val="1004"/>
        <w:jc w:val="both"/>
        <w:spacing w:after="60"/>
        <w:widowControl w:val="off"/>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1.苏学码</w:t>
      </w:r>
      <w:r/>
    </w:p>
    <w:p>
      <w:pPr>
        <w:pStyle w:val="1185"/>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苏学码系统融合了个人身份信息、学习场所管理和学习成果</w:t>
      </w:r>
      <w:r>
        <w:rPr>
          <w:color w:val="000000" w:themeColor="text1"/>
          <w:spacing w:val="-1"/>
          <w:sz w:val="24"/>
          <w:szCs w:val="24"/>
          <w:lang w:eastAsia="zh-CN"/>
          <w14:textFill>
            <w14:solidFill>
              <w14:schemeClr w14:val="tx1"/>
            </w14:solidFill>
          </w14:textFill>
        </w:rPr>
        <w:t xml:space="preserve">记录三大核心功能。用户可以通过展</w:t>
      </w:r>
      <w:r>
        <w:rPr>
          <w:color w:val="000000" w:themeColor="text1"/>
          <w:sz w:val="24"/>
          <w:szCs w:val="24"/>
          <w:lang w:eastAsia="zh-CN"/>
          <w14:textFill>
            <w14:solidFill>
              <w14:schemeClr w14:val="tx1"/>
            </w14:solidFill>
          </w14:textFill>
        </w:rPr>
        <w:t xml:space="preserve"> 示个人码，轻松验证身份信息、查看个人相关业务数据和办理学分银行</w:t>
      </w:r>
      <w:r>
        <w:rPr>
          <w:color w:val="000000" w:themeColor="text1"/>
          <w:spacing w:val="-1"/>
          <w:sz w:val="24"/>
          <w:szCs w:val="24"/>
          <w:lang w:eastAsia="zh-CN"/>
          <w14:textFill>
            <w14:solidFill>
              <w14:schemeClr w14:val="tx1"/>
            </w14:solidFill>
          </w14:textFill>
        </w:rPr>
        <w:t xml:space="preserve">相关业务，确保个人数据</w:t>
      </w:r>
      <w:r>
        <w:rPr>
          <w:color w:val="000000" w:themeColor="text1"/>
          <w:sz w:val="24"/>
          <w:szCs w:val="24"/>
          <w:lang w:eastAsia="zh-CN"/>
          <w14:textFill>
            <w14:solidFill>
              <w14:schemeClr w14:val="tx1"/>
            </w14:solidFill>
          </w14:textFill>
        </w:rPr>
        <w:t xml:space="preserve"> </w:t>
      </w:r>
      <w:r>
        <w:rPr>
          <w:color w:val="000000" w:themeColor="text1"/>
          <w:spacing w:val="-1"/>
          <w:sz w:val="24"/>
          <w:szCs w:val="24"/>
          <w:lang w:eastAsia="zh-CN"/>
          <w14:textFill>
            <w14:solidFill>
              <w14:schemeClr w14:val="tx1"/>
            </w14:solidFill>
          </w14:textFill>
        </w:rPr>
        <w:t xml:space="preserve">的安全性和准确性。场所码支持为学习场所进行统一赋码，进一步提升学习场所的管理</w:t>
      </w:r>
      <w:r>
        <w:rPr>
          <w:color w:val="000000" w:themeColor="text1"/>
          <w:spacing w:val="-2"/>
          <w:sz w:val="24"/>
          <w:szCs w:val="24"/>
          <w:lang w:eastAsia="zh-CN"/>
          <w14:textFill>
            <w14:solidFill>
              <w14:schemeClr w14:val="tx1"/>
            </w14:solidFill>
          </w14:textFill>
        </w:rPr>
        <w:t xml:space="preserve">便捷性。</w:t>
      </w:r>
      <w:r>
        <w:rPr>
          <w:color w:val="000000" w:themeColor="text1"/>
          <w:sz w:val="24"/>
          <w:szCs w:val="24"/>
          <w:lang w:eastAsia="zh-CN"/>
          <w14:textFill>
            <w14:solidFill>
              <w14:schemeClr w14:val="tx1"/>
            </w14:solidFill>
          </w14:textFill>
        </w:rPr>
        <w:t xml:space="preserve"> </w:t>
      </w:r>
      <w:r>
        <w:rPr>
          <w:color w:val="000000" w:themeColor="text1"/>
          <w:spacing w:val="-1"/>
          <w:sz w:val="24"/>
          <w:szCs w:val="24"/>
          <w:lang w:eastAsia="zh-CN"/>
          <w14:textFill>
            <w14:solidFill>
              <w14:schemeClr w14:val="tx1"/>
            </w14:solidFill>
          </w14:textFill>
        </w:rPr>
        <w:t xml:space="preserve">第三方系统可通过接口实现利用苏学码与学分银行系统</w:t>
      </w:r>
      <w:r>
        <w:rPr>
          <w:color w:val="000000" w:themeColor="text1"/>
          <w:spacing w:val="-2"/>
          <w:sz w:val="24"/>
          <w:szCs w:val="24"/>
          <w:lang w:eastAsia="zh-CN"/>
          <w14:textFill>
            <w14:solidFill>
              <w14:schemeClr w14:val="tx1"/>
            </w14:solidFill>
          </w14:textFill>
        </w:rPr>
        <w:t xml:space="preserve">的数据传输与记录。</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1.1 苏学码生成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1.1.1 个人码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为每位学习者生成一个独特的身份识别码，可用于业务应用和身份识别。</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1、支持通过移动端扫码或智能终端扫描个人码展示学习者个人 终身学习档案，包括个人身份信息、所有的成果记录及报告、学分获取记录、课程学习进度等；</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2、支持通过移动端或智能终端扫码个人码进行线下活动签到；</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3、支持通过移动端或智能终端扫码个人码进行线下积分礼品兑换；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4、支持码的按设置频率进行自动刷新</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1.1.2 场所码</w:t>
      </w:r>
      <w:r/>
    </w:p>
    <w:p>
      <w:pPr>
        <w:pStyle w:val="1185"/>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分为固定场所码和活动码，固定场所生成一个唯一的识别码， 通过约课系统创建活动与场所关联。活动码为不固定场所举行 的各类学习活动生成识别码。通过场所码可为各类学习活动提 供便捷的扫码签到和签退服务。</w:t>
      </w:r>
      <w:r/>
    </w:p>
    <w:p>
      <w:pPr>
        <w:pStyle w:val="1185"/>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1、支持场所管理，支持新增、修改、删除场所信息；</w:t>
      </w:r>
      <w:r/>
    </w:p>
    <w:p>
      <w:pPr>
        <w:pStyle w:val="1185"/>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2、支持管理用户在系统中下载打印生成的场所码；</w:t>
      </w:r>
      <w:r/>
    </w:p>
    <w:p>
      <w:pPr>
        <w:pStyle w:val="1185"/>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3、支持场所码与活动信息关联，明确场所在特定时间的活动信息；</w:t>
      </w:r>
      <w:r/>
    </w:p>
    <w:p>
      <w:pPr>
        <w:pStyle w:val="1185"/>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4、支持扫描场所码进行活动签到操作，系统验证扫码用户的身 份和签到条件，确保签到有效性；</w:t>
      </w:r>
      <w:r/>
    </w:p>
    <w:p>
      <w:pPr>
        <w:pStyle w:val="1185"/>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5、支持批量导入学习活动。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1.1.3 个人成果码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为每一份成果报告生成一个唯一的个人成果码，可用于成果分 享、验真伪、查报告详情等业务场景。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1、支持扫描成果码，查验成果报告真伪；</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2、支持成果码分享，识别成果码查看成果详情。</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1.1.4 成果名录码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为每一个成果名录生成一个成果名录码，扫码可查看成果名录 的基本信息介绍及该名录的相关学习资源，其中学习资料通过 “学习资源服务系统”进行配置。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1、支持扫码可查看成果名录基本信息介绍；</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2、支持查看成果名录的相关学习资源，并进行在线学习。</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1.2  一键扫码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1.2.1 移动端扫码功能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苏学码移动端支持扫码功能，该功能允许用户通过智能手机或 其他智能设备上的摄像头，快速扫描并识别苏学码。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1、支持通过智能手机或其他智能设备上的摄像头，快速扫描并 识别苏学码；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2、支持对学习者个人码、学习场所码、成果码的扫码，并支持 扫码签到、扫码验证、扫码学习等业务。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1.2.2 微信和支付宝扫码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苏学码系统集成了微信、支付宝扫码功能。用户可以通过微信 或支付宝的扫一扫功能，直接扫描并识别苏学码。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1、支持通过微信扫一扫功能，直接扫描并识别苏学码；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2、支持通过支付宝的扫一扫功能，直接扫描并识别苏学码。</w:t>
      </w:r>
      <w:r/>
    </w:p>
    <w:p>
      <w:pPr>
        <w:pStyle w:val="1004"/>
        <w:jc w:val="both"/>
        <w:spacing w:after="60"/>
        <w:widowControl w:val="off"/>
      </w:pPr>
      <w:r>
        <w:rPr>
          <w:rFonts w:hint="eastAsia"/>
          <w:color w:val="000000" w:themeColor="text1"/>
          <w:lang w:eastAsia="zh-CN"/>
          <w14:textFill>
            <w14:solidFill>
              <w14:schemeClr w14:val="tx1"/>
            </w14:solidFill>
          </w14:textFill>
        </w:rPr>
        <w:t xml:space="preserve">2. 业务中台</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2.1 用户管理中心</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通过对用户基本信息、用户关系信息、账号管理、统一身份管理、统一认证、统一授权等管理服 务，实现用户注册、审核、认证、权限分配等全流程管理。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2.1.1 组织机构管理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通过纵横协同的组织机构管理模式对行政主管机构和合作单位、协议单位进行管理，支持同一社会信用代码下多个平行组 织的创建及纵横组织之间进行岗位账号分配。</w:t>
      </w:r>
      <w:r/>
    </w:p>
    <w:p>
      <w:pPr>
        <w:numPr>
          <w:ilvl w:val="0"/>
          <w:numId w:val="4"/>
        </w:num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平台支持纵横协同的组织机构管理模式，纵向组织机构主要 为行政管理机构，包括省、市、县、街道、社区、协议单位五级组织，横向组织机构包括合作单位、协议单位、积分商家等  单位的统一管理；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2、支持管理员进行组织添加或根据导入模板进行批量组织添 加，省级教育行政管理者和学分银行管理中心可管理各级组  织，其他组织可管理本级及下级组织。</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3、各级合作单位、协议单位、合作商家等横向组织支持同一社 会信用代码下存在多个平行组织及纵横组织之间进行岗位账号分配。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4、横向组织可通过“申请入驻”自主申请入驻，入驻单位在线 填写单位基本信息，支持对应分组下合作协议的在线签订。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5、入驻单位注册提交后，由学分银行管理中心进行审核，审核 通过后，审核管理员可根据工作需要为机构用户分配不同分</w:t>
      </w:r>
      <w:r/>
    </w:p>
    <w:p>
      <w:p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组，分组分配后自动完成用户权限分配。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6、平台提供机构标签管理功能，学分银行管理中心管理员可通 过此功能为各级组织、合作单位、协议单位进行标签设置，可  根据工作需要建立不同的机构分组标签，将各单位分配到各分组中，通过标签支撑多视角组织的构建；同时支持按照标签筛 选查看组织机构信息。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7、机构信息变更历史查看，提供机构创建、归属变更、机构撤 销的操作变更历史记录。</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2.1.2 学银账号管理</w:t>
      </w:r>
      <w:r/>
    </w:p>
    <w:p>
      <w:pPr>
        <w:ind w:firstLine="420"/>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 xml:space="preserve">2.1.2.1 学习者账号注册</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用户通过江苏政务服务平台、我的南京 APP、苏服办 APP 入口 访问学银系统，通过调用获取用户实名认证信息接口，完成学 银系统用户实名注册。</w:t>
      </w:r>
      <w:r/>
    </w:p>
    <w:p>
      <w:pPr>
        <w:numPr>
          <w:ilvl w:val="0"/>
          <w:numId w:val="5"/>
        </w:num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通过江苏政务服务平台的业务逻辑为用户通过江苏学银平台 的登录页面，点击登录按钮后系统自动跳转到江苏政府服务平 台登录页面，输入完账号密码或扫码登录成功后，江苏学银平台自动从江苏政务服务平台中获取该用户的基本信息，并自动 为该用户完成江苏学银平台账号创建及绑定；</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2、平台移动端支持通过“我的南京 APP”和“苏服办 APP”统  一登录，业务逻辑为用户登录我的南京 APP、苏服办 APP，选择 “我的学银”应用，若该用户在江苏学银暂未开通账号，学银  系统通过调用我的南京 APP、苏服办 APP 用户实名信息获取接口获取用户的实名信息，并在江苏学银完成实名账号注册。</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3、协议单位可批量为学习者在学分银行平台进行开户注册，且 批量注册用户通过江苏政务服务平台或我的南京 APP、苏服办APP 首次登录时，系统自动对该学习者的账号进行激活。</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4、系统支持对学习者注册来源进行记录和区分。</w:t>
      </w:r>
      <w:r/>
    </w:p>
    <w:p>
      <w:pPr>
        <w:ind w:firstLine="420"/>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 xml:space="preserve">2.1.2.2 单位账号注册</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通过单位自行注册、管理者后台账号添加等形式完成单位账号 注册，支持 1 人多岗的账号管理模式，实现同一账号登录、多 岗位、跨单位自由切换。</w:t>
      </w:r>
      <w:r/>
    </w:p>
    <w:p>
      <w:pPr>
        <w:numPr>
          <w:ilvl w:val="0"/>
          <w:numId w:val="6"/>
        </w:num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合作单位、协议单位在江苏学银平台主页点击“申请入驻学 分银行”，填入单位信息、管理员信息后提交至学分银行管理  员进行审核；</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2、学分银行管理员审核通过后，系统自动为该单位完成管理账 号生成，管理员可为账号设置对应分组，系统自动赋予管理权  限，本单位管理员通过江苏学银平台完成本单位账号注册；</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3、除单位自行注册外，学分银行管理中心也可在后台为单位创 建账号；</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4、单位账号支持 1 人多岗的账号管理模式，即同一个登录账号 可承担多个组织不同岗位的工作职责，以满足人员轮岗、流动及兼职的需求。</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5、账号可根据工作需要设置停用、激活。</w:t>
      </w:r>
      <w:r/>
    </w:p>
    <w:p>
      <w:pPr>
        <w:ind w:firstLine="420"/>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 xml:space="preserve">2.1.2.3 单位账号审核</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通过单位账号审核功能，管理者审核通过单位自行注册的账号 后，此账号方可使用，单位账号审核兼容当前系统的管理方</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式。</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1、各级学分银行管理中心审核本中心及其所管辖单位的已注册 待审核账号；</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2、省级学分银行管理本级及所有下级中心中已注册待审核的账 号。</w:t>
      </w:r>
      <w:r/>
    </w:p>
    <w:p>
      <w:pPr>
        <w:ind w:firstLine="420"/>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 xml:space="preserve">2.1.2.4 误删账号恢复</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1、提供对误删账号的恢复功能，支持管理员管理恢复本级及管辖下级组织机构和学校误删账号。支持通过组织树筛选或通过账号、姓名、身份证号等条件搜索进行恢复操作。</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2、各级学分银行管理中心恢复本中心及其所管辖单位的误删除 账号。</w:t>
      </w:r>
      <w:r/>
    </w:p>
    <w:p>
      <w:pPr>
        <w:ind w:firstLine="420"/>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 xml:space="preserve">2.1.2.5 第三方账号绑定</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各类用户可通过此功能实现与微信、支付宝等第三方应用账号 的绑定，绑定完成后通过扫码即可一键登录至平台，进一步提 升用户登录体验。</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2.1.3 统一认证管理</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1、平台提供统一认证登录中心，通过统一认证体系，一次登录 即可在多个系统之间自由穿梭，不必重复输入用户名密码来确定身份；</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2、支持双因子认证 ，支持用户通过输入账号/手机号/邮箱/身 份证+动态码相结合的方式进行登录；</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3、支持与微信开放平台、支付宝、政务服务门户等第三方单点 登录集成。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2.1.4  业务组管理</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▲平台提供业务组管理功能，通过业务组管理实现用户的分组 管理和分组授权。</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1、支持业务组分级管理，即各级管理中心可以创建各自的业务 组；（需提供该功能相应系统界面截图，并加盖投标人公章）。</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2、提供添加/移除人员到业务组的功能，组内成员自动拥有业 务组的功能权限和应用权限；（需提供该功能相应系统界面截图，并加盖 投标人公章）</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3、提供业务组授权管理功能，即为业务组授予角色和应用的访 问权限。（需提供该功能相应系统界面截图，并加盖 投标人公章）。</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2.1.5 统一权限管理</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1、平台提供基于应用的权限管理体系和基于业务管理的角色管 理体系，通过给角色赋予不同的权限来实现不同角色用户拥有  不同的操作权限，支持子角色继承父角色的权限；</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2、支持按业务组进行应用授权和角色分配，业务组内的用户同 时具备本组全部应用下对应角色的业务操作权限。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2.1.6 账号自助服务</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1、平台提供找回账号、密码重置等自助账号服务；</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2、支持短信或邮箱等方式进行密码重置；</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3、提供查询各级组织机构管理员功能，邮箱验证码或手机短信验证码验证通过后即可查询，支持限置每个手机或邮箱每天查 询的次数。</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2.2 应用管理中心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提供自建应用、第三方应用标准流程接入和全生命周期管理，支持应用接入、应用组件管理、应 用授权、分类、应用广场和专题推荐。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2.2.1 应用接入管理</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1、平台提供自建应用、第三方应用标准流程接入和全生命周期 管理，包括应用的接入、审核、上下线等操作，同时支持对应  用统一授权并颁发接入平台的唯一凭证和秘钥.</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2、提供应用接入 IP 白名单配置功能，只有在白名单内的 IP 才 能与平台进行单点登录集成，以及调用平台的接口服务。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2.2.2 微应用管理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平台提供微应用和组件管理功能，便于接入维护第三方应用内 各项专题服务，实现业务聚合，功能直达.。</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1、提供微应用分组管理功能，支持维护修改分组及子分组名 称、排序、简介、背景图片等信息。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2、提供微应用注册功能，支持维护微应用名称、适用角色、所 属应用、访问地址、所属组织、打开方式、面向对象、简介、图标等相关信息。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3、提供微应用组件，可快速集成进网络空间。</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4、支持按角色、组织、业务组授权微应用访问权限。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2.2.3 应用秘钥管理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对第三方应用授权平台网关开放接口的访问权限。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1、支持对第三方应用颁发接入平台的唯一凭证和秘钥；</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2、第三方应用凭平台颁发的 client_id 和 client_secret，依 据平台的接口调用规范可实现授权接口的调用；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3、提供秘钥重置功能</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2.2.4 应用授权管理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平台支持控制应用访问权限，通过角色授权、组织授权、业务 组授权和单用户授权多种方式快速实现对应用访问的统一授权。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1、支持通过用户账号、姓名、身份证号等条件查询需授权用 户，为其添加授权应用</w:t>
      </w:r>
      <w:r>
        <w:rPr>
          <w:rFonts w:hint="eastAsia"/>
          <w:color w:val="000000" w:themeColor="text1"/>
          <w:sz w:val="24"/>
          <w:szCs w:val="24"/>
          <w14:textFill>
            <w14:solidFill>
              <w14:schemeClr w14:val="tx1"/>
            </w14:solidFill>
          </w14:textFill>
        </w:rPr>
        <w:t xml:space="preserve">.。</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2、支持通过对应用的用户角色设置管理实现对应用访问授权， 实现管理者、学习者等不同角色用户看到不同应用</w:t>
      </w:r>
      <w:r>
        <w:rPr>
          <w:rFonts w:hint="eastAsia"/>
          <w:color w:val="000000" w:themeColor="text1"/>
          <w:sz w:val="24"/>
          <w:szCs w:val="24"/>
          <w14:textFill>
            <w14:solidFill>
              <w14:schemeClr w14:val="tx1"/>
            </w14:solidFill>
          </w14:textFill>
        </w:rPr>
        <w:t xml:space="preserve">。</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3、支持批量授权应用到业务组，即业务组内成员会自动拥有访 问授权应用权限</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2.2.5 应用分类管理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1、支持应用分组及其子分组的创建、修改、查询、删除功能；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2、支持设置上传应用分组的图片。</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2.2.6 应用广场管理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1、支持多维度联合检索有权限查看的应用；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2、支持应用的收藏、评分等操作；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3、支持查看应用的宣传图、简介等详情信息；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4、支持应用累计使用排行显示</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2.2.7 应用专题推荐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1、支持应用专题推荐管理功能，包括设置为专题应用、上下架 专题应用等；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2、支持查看专题下的应用列表，并查看应用详情，一键进入应用</w:t>
      </w:r>
      <w:r>
        <w:rPr>
          <w:rFonts w:hint="eastAsia"/>
          <w:color w:val="000000" w:themeColor="text1"/>
          <w:sz w:val="24"/>
          <w:szCs w:val="24"/>
          <w14:textFill>
            <w14:solidFill>
              <w14:schemeClr w14:val="tx1"/>
            </w14:solidFill>
          </w14:textFill>
        </w:rPr>
        <w:t xml:space="preserve">.。</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2.3 服务管理中心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采用微服务架构设计理念进行构建，提供两大业务支撑。对内，围绕微服务模块管理以微服务引 擎的方式提供路由管理、黑白名单访问控制、流量控制、调用申请、认证鉴权等功能。对外，以 服务开放中心提供涵盖服务注册发布、在线测试、服务监控等功能服务，提升平台的业务服务能 力和开放能力，实现教育 API 仓库的统一管理，同时实现服务调用的安全访问控制、调度和监</w:t>
      </w:r>
      <w:r/>
    </w:p>
    <w:p>
      <w:p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控。</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2.3.1 开放服务注册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1、平台内部服务和第三方平台提供的服务都可以注册到开放服 务平台，通过开放平台对外提供服务 API；</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2、可以注册发布 HTTP 服务和高速服务（RPC）两种类型的服务 接口；</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3、对开放服务的入参字段、返回参数字段描述进行配置维护；</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4、提供服务审核上下线功能，审核通过并上线的服务方可正式 被使用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2.3.2 开放服务申请</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1、订阅者可在线查看服务接口的详细信息，包含服务描述、服 务上下文、服务版本、服务访问地址、服务入参，服务返回值  等信息；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2、订阅者可选择自己的应用，申请服务的调用权限，等待服务 发布者审核通过后，方可调用该服务；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3、订阅者可查看自己已申请的服务列表，可执行取消申请操作 服务；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4、发布者可以按应用、按申请时间、按服务分类查看已提交的 服务申请记录，并进行审核操作。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2.3.3 开放服务测试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服务订阅者可以在线测试服务接口，订阅者输入平台颁发的client_id 和client_secret，根据服务的入参要求输入相应的 入参即可在线测试查看服务的响应结果。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2.3.4 开放服务监控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支持开放服务监控，包含服务调用成功率和访问成功数的监控，能够监控各个服务响应时间，支持监控各个服务的调用频 率</w:t>
      </w:r>
      <w:r>
        <w:rPr>
          <w:rFonts w:hint="eastAsia"/>
          <w:color w:val="000000" w:themeColor="text1"/>
          <w:sz w:val="24"/>
          <w:szCs w:val="24"/>
          <w14:textFill>
            <w14:solidFill>
              <w14:schemeClr w14:val="tx1"/>
            </w14:solidFill>
          </w14:textFill>
        </w:rPr>
        <w:t xml:space="preserve">.</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2.4 微服务引擎</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2.4.1 服务列表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依据命名筛选服务列表，可查看服务所属分组，服务集群数目、服务实例数、服务健康数等信息，并支持服务详情信息查看</w:t>
      </w:r>
      <w:r>
        <w:rPr>
          <w:rFonts w:hint="eastAsia"/>
          <w:color w:val="000000" w:themeColor="text1"/>
          <w:sz w:val="24"/>
          <w:szCs w:val="24"/>
          <w14:textFill>
            <w14:solidFill>
              <w14:schemeClr w14:val="tx1"/>
            </w14:solidFill>
          </w14:textFill>
        </w:rPr>
        <w:t xml:space="preserve">.。</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1、支持服务列表查询，包含服务调用成功率和访问成功数的监 控，能够监控各个服务响应时间，支持监控各个服务的调用频率；</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2、支持服务详情查看，服务基本信息包含服务名称、服务发布 者、服务分组、路由名称；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3、支持服务实例列表查看并可对服务实例进行上下线，实例列 表包含各个实例的 IP 地址、端口、权重、健康状态等信息，并 可对每个实例执行上下线操作。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2.4.2 访问控制</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1、支持黑名单（拒绝），白名单（允许）的访问策略控制，同 时支持 IP 和域名来配置黑白名单；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2、提供 API 接口白名单录入功能，录入白名单的接口 API 不需 要认证鉴权即可访问。</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2.4.3 API 列表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依据命名筛选服务列表，可查看服务所属分组，服务集群数目、服务实例数、服务健康数等信息，并支持服务详情信息查 看。</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 api 列表查询；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 API 设置微服务名称，接口访问地址等 ;</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3、支持给第三方应用授权 API 接口，授权通过后第三方应用可依据平台颁发的凭证调用 API 接口</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2.4.4 路由管理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1、支持网关路由配置管理，包含路由名称、编码、路由前缀、 路由方式（负载均衡、反向代理）等；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2、支持启用、禁用失败重试策略配置，支持路由配置的启用、 禁用操作。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2.4.5 流量控制</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1、API 分组管理支持精确匹配、前缀匹配、正则匹配。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2、支持线程数、QPS 阈值等方式设置流控降级规则。</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3、支持快速失败、均匀排队等流控方式。支持 RT、异常比例、异常数等降级策略方式。</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2.5  消息管理中心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实现对平台消息的统一调度、待办消息推送、通知下达等消息服务，支持配置业务类型消息模板 以及相应渠道媒介；连接上下游，掌握和监控消息的全生命周期；同时可提供标准的消息 API 接 口，对业务系统提供消息服务，帮助业务系统完成基础消息的闭环流程。</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2.5.1 通知分级下达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1、支持通知公告发布功能，管理员可通过通知通告发布相关规 章制度、通知文件等，可快速通知到区域内的全体教育用户；</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2、支持对通知的查看权限进行设置，设置指定角色用户或者指 定组织下的用户可看。</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2.5.2 政策库</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支持政策库发布，管理员可通过政策库发布上级、本级单位部 门发布的政策文件。</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2.5.3 我的待办</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统一消息办理提供待办消息组件，便于用户查看自己的待办消 息并处理。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1、平台提供统一待办、统一消息查看处理入口，可集中查看待 办消息；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2、提供统一消息接入接口规范，对平台接入的各管理、教学等 应用实现统一消息接入。</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2.5.4 消息服务引擎</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1、支持消息配置管理，提供消息模板、消息类型、消息推送策 略以及消息发送渠道等消息引擎基础配置管理功能；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2、支持消息模板自定义配置，同时提供丰富的模板库供选择； </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3、消息服务接口提供消息服务标准 API 接口，平台接入应用可 申请使用该接口进行消息推送；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4、消息日志查询提供系统消息日志查询功能，支持按应用、时间、状态等查询。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2.5.5 即时消息集成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提供对接微信公众号、短信平台、邮件服务的能力，可以调 用这类平台的通讯能力实现业务应用的消息提醒等功能</w:t>
      </w:r>
      <w:r>
        <w:rPr>
          <w:rFonts w:hint="eastAsia"/>
          <w:color w:val="000000" w:themeColor="text1"/>
          <w:sz w:val="24"/>
          <w:szCs w:val="24"/>
          <w14:textFill>
            <w14:solidFill>
              <w14:schemeClr w14:val="tx1"/>
            </w14:solidFill>
          </w14:textFill>
        </w:rPr>
        <w:t xml:space="preserve">.。</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2.6 运维管理中心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将服务平台中所涉及的平台访问情况、应用使用情况、用户操作审计、应用健康状态、教育地图 热门检索等进行统一监控审计，对平台运行过程中出现的异常情况能够提前预警。</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2.6.1 平台访问概况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1、支持平台访问概况查询，可视化查看今日平台浏览量、IP  数以及登录用户数，按地域、单位查看区域内的平台访问浏览 情况，分时段查看平台接入应用的累计使用情况，平台每天的 浏览趋势图；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2、支持分时段查看热门访问页面统计情况。</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2.6.2 应用健康监控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▲支持对已上线的应用创建健康监控，可视化查看监控中应用 的健康状态，对于显示访问异常的应用采用红色高亮方式进行 提醒（需提供该功能相应系统界面截图，并加盖投标人公章）</w:t>
      </w:r>
      <w:r>
        <w:rPr>
          <w:rFonts w:hint="eastAsia"/>
          <w:color w:val="000000" w:themeColor="text1"/>
          <w:sz w:val="24"/>
          <w:szCs w:val="24"/>
          <w14:textFill>
            <w14:solidFill>
              <w14:schemeClr w14:val="tx1"/>
            </w14:solidFill>
          </w14:textFill>
        </w:rPr>
        <w:t xml:space="preserve"> 。</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2.6.3 服务访问监控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▲支持服务调用情况监控，包括调用成功率、访问成功数、服 务响应时间以及服务调用频率的监控（需提供该功能相应系统 界面截图，并加盖投标人公章）</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2.6.4 访问日志检索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▲支持按时段查询平台的所有访问日志功能，可以查询某个用 户的访问日志。支持记录访问用户、访问时间、访问的接口路 径、访问成功状态、访问耗时、访问用户所属组织、地区等相 关信息（需提供该功能相应系统界面截图，并加盖投标人公章）</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2.6.5 平台通用配置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支持平台内所有字典配置管理和标签的管理，包括对字典项列 表进行新增、更新等操作，支持维护不同类型、领域下的标签 属性。</w:t>
      </w:r>
      <w:r/>
    </w:p>
    <w:p>
      <w:pPr>
        <w:pStyle w:val="1004"/>
        <w:jc w:val="both"/>
        <w:spacing w:after="60"/>
        <w:widowControl w:val="off"/>
        <w:rPr>
          <w:lang w:eastAsia="zh-CN"/>
        </w:rPr>
      </w:pPr>
      <w:r>
        <w:rPr>
          <w:rFonts w:hint="eastAsia"/>
          <w:color w:val="000000" w:themeColor="text1"/>
          <w:lang w:eastAsia="zh-CN"/>
          <w14:textFill>
            <w14:solidFill>
              <w14:schemeClr w14:val="tx1"/>
            </w14:solidFill>
          </w14:textFill>
        </w:rPr>
        <w:t xml:space="preserve">3 数据中台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数据中台提供数据治理全方位支撑服务，支持按照统一标准，建立不同粒度、不同主题、不同维 度的学分银行全息数据仓库，包括数据管理、数据集成、数据治理、资源库、数据服务、数据安 全、数据工作台、运维监控、应用门户、数据可视化等。</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3.1 数据资产</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 目录管理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数据目录管理是实现信息资源共享、业务协同和数据开放的基 础，是各业务部门之间信息共享及数据向社会开放的依据。数据目录包含目录编制、目录管理、目录资源挂接、目录资源化等功能。</w:t>
      </w:r>
      <w:r/>
    </w:p>
    <w:p>
      <w:pPr>
        <w:numPr>
          <w:ilvl w:val="0"/>
          <w:numId w:val="7"/>
        </w:num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提供目录全生命周期管理功能，包括目录编制、目录维护、 目录资源挂接、目录资源化；</w:t>
      </w:r>
      <w:r/>
    </w:p>
    <w:p>
      <w:pPr>
        <w:numPr>
          <w:ilvl w:val="0"/>
          <w:numId w:val="7"/>
        </w:num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支持按照目录名称、所属部门、目录分类、目录状态等维度 分页查询数据目录；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3、支持按照部门、角色等多种数据权限控制目录展示；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4、支持按照原始库、资源库分类管理数据目录；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5、提供在线编制、导入编制两种编目形式；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6、提供目录关键信息项编制，包含信息项名称、数据类别等， 支持手动添加、批量导入两种方式；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7、提供目录基本信息（目录名称、所属部门、目录分类、安全 及共享属性、数据更新周期、数据格式等）编辑、目录信息项  编辑、标签编辑、目录批量删除、批量导出等功能；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8、支持对目录名称、摘要、信息项等信息进行智能标签提取；</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9、支持库表、接口、文件资源挂接；</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10、具备目录编制、编制审核、发布、撤销发布、撤销发布审 核全流程管理能力；</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11、支持根据目录名称、目录信息项在线生成库表资源以及数 据库表。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3.1.2 目录分类</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目录分类是按照数据的某种共同属性或特征（包括数据对象、 重要程度、共享属性、开放属性、应用场景等），采用一定的 原则和方法进行区分和归类的功能。目录编制时需要选择目录 的分类，以便于数据的定位、管理和使用。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支持目录分类管理，包含目录分类新增、编辑、删除、启用、 禁用。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3.1.3 目录标签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数据目录标签是对目录的基本信息和信息项信息进行关键字提 取得到的一组标签。支持目录标签及标签分组的维护，包含标签的查询、新增、编 辑、删除、关联数据目录等。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3.1.4 数据资源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数据资源是部门生产及管理过程中所涉及到的一切文件、库表、接口的数据信息的总称，是对平台汇聚的文件、库表、接 口三种数据资源类型提供统一管理的功能。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▲1、具备库表类型数据资源接入的能力，支持跨域多源异构数据库的统一适配，支持包含但不限于 MySQL、MariaDB、Oracle、PostgreSQL、SQLServer、Greenplum、达梦、人大金仓、瀚高等不少于10种数据库类型（需提供该功能相应系统界面截图，并加盖投标人公章）；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2、支持文件类型数据资源接入的能力，支持包括但不限于 WORD、EXCEL、TXT、PNG 等多种格式；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3、支持接口类型数据资源接入的能力，支持 Http、</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WebService 两种类型的接口接入，根据接入方需求选择不同的 接口类型；</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4、具备对数据资源全生命周期的管理能力，支持资源新增、编 辑、发布、发布审核、撤销、撤销审核、删除等全流程管理；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5、支持按照部门、角色等多种数据权限控制资源展示；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6、库表资源支持选取数据源表，支持库表字段自动拉取展示， 支持对库表字段安全等级、目录信息项匹配等配置；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7、支持库表资源发布数据服务接口的能力，支持单表及多表联 合发布数据服务接口，支持左连接或内连接的连接方式；支持请求参数列表及参数属性信息配置，支持出参字段选择，查询 SQL 预览，返回示例查看等；具备数据服务接口的测试、发布、发布审核、撤销、撤销审核 等全流程管理功能；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8、接口资源支持 Http、WebService 接口的代理转发，支持请 求参数列表及参数属性的配置，支持返回示例、返回参数的配 置，支持接口超时时间，最大访问量的配置及访问请求限制； WebService 接口支持 basic 认证方式，支持wsdl 的配置及解 析，支持请求方法、soap 协议版本的配置；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9、文件资源支持文件的上传、下载及删除功能；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10、支持库表接入的方式反向生成数据资源及数据目录；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11、具备数据资源的版本管理及版本对比能力。</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3.2 数据集成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3.2.1  库表集成</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库表集成提供库表到库表之间的数据迁移服务，实现了全量或 增量的数据同步，支持集成任务执行策略配置、数据同步模式 选择、自动填充字段、在线建表、数据加密存储等功能。库表 集成可分为整库迁移、多表迁移、单表同步、SQL 同步。</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整库迁移支持通过指定源库与目标库即可实现整库数据的同 步，可根据源库表结构批量创建目标库库表，提供源表与目标 表映射界面，支持建表前对目标表字段属性进行确认修改；</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多表迁移支持指定源库与目标库后可选择多个数据表进行数 据集成，支持自动拉取源与目标库数据表并实现同名映射；</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单表同步支持自动拉取源表与目标表字段并实现同名映射， 允许自定义修改字段映射关系，实现字段灵活对应的数据同步；</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SQL 同步支持通过自定义查询 SQL 的方式定义源端数据抽取 范围，实现多表联合或者复杂条件的数据同步；允许自定义修 改字段映射关系，实现字段灵活对应的数据同步；</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除整库迁移外，多表迁移、单表同步、SQL 同步均支持自动 生成 uuid、时间戳字段的功能，入库方式支持仅插入、插入更 新两种，支持入库的加密或解密，支持设置指定表或操作的前 后置 SQL，实现表数据同步前后的特定执行动作，支持目标库  单个表的在线构建；</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具备常用数据库的数据采集能力，包括但不限于 MySQL、 MariaDB、Oracle、PostgreSQL、SQLServer、达梦、人大金 仓、瀚高；</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支持生成定时调度执行的集成任务，实现数据定期同步，支 持可视化、向导式任务构建，支持任务启停、执行一次、全部  启停、批量归档、任务编辑、删除及运行实例日志查看等功能；</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支持按照部门、角色等多种数据权限控制集成任务展示； </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支持配置任务调度频率。支持手动调度和自动调度两种方 式，自动调度任务可以选择任务执行的调度时间（精确到日  期、时、分、秒）及调度周期；手动调度可根据用户的需求， 手动触发任务执行；</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支持告警邮箱配置，可实现任务告警结果推送；</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支持路由策略、阻塞处理策略、执行超时时间、失败重试 次数等配置。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库表集成监控，提供监控库表集成任务的执行次数、集成成功/ 失败数量等功能，可查看执行明细、下载实时日志。</w:t>
      </w:r>
      <w:r/>
    </w:p>
    <w:p>
      <w:pPr>
        <w:numPr>
          <w:ilvl w:val="0"/>
          <w:numId w:val="9"/>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支持库表集成任务执行总览情况展示，包含各类型集成任务 的数量、任务执行情况、集成数据量；</w:t>
      </w:r>
      <w:r/>
    </w:p>
    <w:p>
      <w:pPr>
        <w:numPr>
          <w:ilvl w:val="0"/>
          <w:numId w:val="9"/>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支持按照任务名称、任务状态、集成类型查询监控列表，包 含任务名称、所属部门、集成类型、数据总量、执行总次数、任务状态、上次执行时间等信息；</w:t>
      </w:r>
      <w:r/>
    </w:p>
    <w:p>
      <w:pPr>
        <w:numPr>
          <w:ilvl w:val="0"/>
          <w:numId w:val="9"/>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支持查看单个任务的运行实例，支持按照源端表名、目标表 名查询实例列表，包含源端表名、目标表名、数据总量、执行  总次数、上次执行结果等信息，支持查看运行实例的实时日志  及日志明细，支持对日志进行下载。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数据对账，提供对任务执行情况的统计服务，支持以天为维度 查看对账明细、对账结果。支持按照核对结果、对账日期查询 对账列表，包含对账日期、任务执行数、读取数据量、写入数 据量、核对结果等信息。支持查看单日任务执行的对账信息，支持按照任务名称、核对 结果、表名查询对账列表，包含任务名称、源表目标表、读取 数据量、写入数据量、核对结果等信息，支持日志下载。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3.2.2 文件集成</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文件导入集成，提供半结构化离线文件数据集成入库的能力， 支持 TXT、CSV、XLS、XLSX 等格式的文件。</w:t>
      </w:r>
      <w:r/>
    </w:p>
    <w:p>
      <w:pPr>
        <w:numPr>
          <w:ilvl w:val="0"/>
          <w:numId w:val="1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支持任务构建、文件导入、批量执行归档、任务编辑删除、 执行记录查看及实时日志查看等；支持同结构文件多次导入；</w:t>
      </w:r>
      <w:r/>
    </w:p>
    <w:p>
      <w:pPr>
        <w:numPr>
          <w:ilvl w:val="0"/>
          <w:numId w:val="1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支持按照部门、角色等多种数据权限控制集成任务展示；</w:t>
      </w:r>
      <w:r/>
    </w:p>
    <w:p>
      <w:pPr>
        <w:numPr>
          <w:ilvl w:val="0"/>
          <w:numId w:val="1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支持可视化、向导式文件导入任务的构建，支持上传源文件 与表头模板文件；支持自动拉取源文件表头与目标表字段并实  现同名映射，允许自定义修改字段映射关系，实现字段灵活对  应的数据同步；</w:t>
      </w:r>
      <w:r/>
    </w:p>
    <w:p>
      <w:pPr>
        <w:numPr>
          <w:ilvl w:val="0"/>
          <w:numId w:val="1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支持路由策略、阻塞处理策略的配置，保证任务顺畅执行；</w:t>
      </w:r>
      <w:r/>
    </w:p>
    <w:p>
      <w:pPr>
        <w:numPr>
          <w:ilvl w:val="0"/>
          <w:numId w:val="1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具备自动生成 uuid、时间戳字段的功能；</w:t>
      </w:r>
      <w:r/>
    </w:p>
    <w:p>
      <w:pPr>
        <w:numPr>
          <w:ilvl w:val="0"/>
          <w:numId w:val="1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入库方式支持仅插入、插入更新两种，支持入库的加密或解密；</w:t>
      </w:r>
      <w:r/>
    </w:p>
    <w:p>
      <w:pPr>
        <w:numPr>
          <w:ilvl w:val="0"/>
          <w:numId w:val="1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支持将文件数据导入至多种常用数据库中，包括但不限于MySQL、MariaDB、Oracle、PostgreSQL、SQLServer、达梦、人 大金仓、瀚高；</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文件集成任务，提供对 FTP、SFTP 文件服务器的半结构化、结构化文件导入数据库表任务的构建、启停、执行一次等功能。</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支持将文件数据同步至多种常用数据库中，包括但不限于MySQL、MariaDB、Oracle、PostgreSQL、SQLServer、达梦、人 大金仓、瀚高；</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支持任务执行一次、批量启停、批量归档、任务编辑删除及 实时日志查看等；</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支持按照部门、角色等多种数据权限控制集成任务展示；</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支持可视化、向导式文件导入任务的构建，选取文件源及文 件存储路径，可实现文件的定时拉取；</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具备对数据入库字段加密解密的能力，包含 AES、RSA、 DES、3DES、MD5 及国产加密算法 SM2、SM4 等；</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支持备份路径配置，方便原文件集成后迁移至此，避免相同 文件数据重复调度；</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支持仅插入与插入更新两种入库形式；</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支持源文件表头字段与目标表字段间的映射关系配置，从而 方便数据的迁移和同步；</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支持配置任务调度频率；支持手动调度和自动调度两种方 式，自动调度任务可以选择任务执行的调度时间（精确到日期、时、分、秒）及调度周期；手动调度就可以根据用户的需 求，手动触发任务执行；</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支持告警邮箱配置，实现任务告警结果推送；支持路由策 略、阻塞处理策略、执行超时时间、失败重试次数等配置，保 证任务顺畅执行。</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文件集成监控，监控文件集成任务的执行次数、集成成功/失败 数量等，可查看执行明细、下载实时日志。支持文件集成任务执行总览情况展示，包含任务总数、任务执 行情况、集成数据量；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支持按照任务名称、任务状态查询监控列表，包含任务名称、 所属部门、数据总量、执行总次数、任务状态、上次执行时间 等信息；支持查看任务的实时日志及日志明细，支持对日志进 行下载。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3.2.3 接口集成</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接口集成任务，提供 HTTP、WEBSERVICE 接口数据集成至数据库 表任务的构建、启停、执行一次等功能。</w:t>
      </w:r>
      <w:r/>
    </w:p>
    <w:p>
      <w:pPr>
        <w:numPr>
          <w:ilvl w:val="0"/>
          <w:numId w:val="1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支持任务构建、执行一次、批量启停、批量归档、任务编 辑、删除、终止、克隆、脚本设计及实时日志查看等；</w:t>
      </w:r>
      <w:r/>
    </w:p>
    <w:p>
      <w:pPr>
        <w:numPr>
          <w:ilvl w:val="0"/>
          <w:numId w:val="1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支持按照部门、角色等多种数据权限控制集成任务展示；</w:t>
      </w:r>
      <w:r/>
    </w:p>
    <w:p>
      <w:pPr>
        <w:numPr>
          <w:ilvl w:val="0"/>
          <w:numId w:val="1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支持可视化、向导式接口集成任务的构建，支持处理脚本选 择，支持新建脚本，新建脚本时提供内置接口集成脚本模板，实现脚本快速创建；</w:t>
      </w:r>
      <w:r/>
    </w:p>
    <w:p>
      <w:pPr>
        <w:numPr>
          <w:ilvl w:val="0"/>
          <w:numId w:val="1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目标数据库支持 MySQL、MariaDB、Oracle、PostgreSQL、 SQLServer、达梦、人大金仓、瀚高等；</w:t>
      </w:r>
      <w:r/>
    </w:p>
    <w:p>
      <w:pPr>
        <w:numPr>
          <w:ilvl w:val="0"/>
          <w:numId w:val="1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支持配置任务调度频率；支持手动调度和自动调度两种方 式，自动调度任务可以选择任务执行的调度时间（精确到日期、时、分、秒）及调度周期；手动调度就可以根据用户的需 求，手动触发任务执行；</w:t>
      </w:r>
      <w:r/>
    </w:p>
    <w:p>
      <w:pPr>
        <w:numPr>
          <w:ilvl w:val="0"/>
          <w:numId w:val="1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支持日志级别设置，包含基本日志、详细日志、调试日志；</w:t>
      </w:r>
      <w:r/>
    </w:p>
    <w:p>
      <w:pPr>
        <w:numPr>
          <w:ilvl w:val="0"/>
          <w:numId w:val="1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支持路由策略、阻塞处理策略、执行超时时间、失败重试次 数、告警时间阈值等配置，保证任务顺畅执行；</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接口集成监控，提供集成任务的执行次数、集成成功/失败数量 等，可查看执行明细、下载实时日志。</w:t>
      </w:r>
      <w:r/>
    </w:p>
    <w:p>
      <w:pPr>
        <w:numPr>
          <w:ilvl w:val="0"/>
          <w:numId w:val="1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支持接口集成任务监控总览情况展示，包含监控任务数、执 行情况；</w:t>
      </w:r>
      <w:r/>
    </w:p>
    <w:p>
      <w:pPr>
        <w:numPr>
          <w:ilvl w:val="0"/>
          <w:numId w:val="1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支持按照任务名称、任务状态查询监控列表，包含任务名  称、执行成功次数、失败次数、上次执行结果、任务状态等信 息；支持实时日志查看；</w:t>
      </w:r>
      <w:r/>
    </w:p>
    <w:p>
      <w:pPr>
        <w:numPr>
          <w:ilvl w:val="0"/>
          <w:numId w:val="1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支持任务运行明细查看，支持通过任务状态、起止时间查看 明细列表，包含执行总数据量、成功数据量、失败数据量、启  动时间、结束时间、执行结果等信息，支持查看处理节点详情  及日志下载；处理节点详情包含节点名称、输入输出数据量、读取数据量、写入数据量、更新数据量、错误数据量等信息。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3.2.4 服务集成</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服务管理，提供集成服务统一管理功能，包含服务的注册、发 布、管理等功能，便于后续进行服务授权，允许第三方系统在 本平台获得授权码后调用接口进行数据写入。</w:t>
      </w:r>
      <w:r/>
    </w:p>
    <w:p>
      <w:pPr>
        <w:numPr>
          <w:ilvl w:val="0"/>
          <w:numId w:val="1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支持服务接口新增、修改、删除、发布、取消发布、接口测 试等；</w:t>
      </w:r>
      <w:r/>
    </w:p>
    <w:p>
      <w:pPr>
        <w:numPr>
          <w:ilvl w:val="0"/>
          <w:numId w:val="1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支持接入 MySQL、MariaDB、Oracle、PostgreSQL、</w:t>
      </w:r>
      <w:r/>
    </w:p>
    <w:p>
      <w:pPr>
        <w:numPr>
          <w:ilvl w:val="0"/>
          <w:numId w:val="1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SQLServer、达梦、人大金仓、瀚高等数据库下的库表注册为集 成服务；</w:t>
      </w:r>
      <w:r/>
    </w:p>
    <w:p>
      <w:pPr>
        <w:numPr>
          <w:ilvl w:val="0"/>
          <w:numId w:val="1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支持可视化、向导式的服务注册，支持 API 地址的输入，支 持配置服务允许最大调用量；</w:t>
      </w:r>
      <w:r/>
    </w:p>
    <w:p>
      <w:pPr>
        <w:numPr>
          <w:ilvl w:val="0"/>
          <w:numId w:val="1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支持请求参数配置，且入参支持 String、Int、Date、 Long、Float、Double 等类型；</w:t>
      </w:r>
      <w:r/>
    </w:p>
    <w:p>
      <w:pPr>
        <w:numPr>
          <w:ilvl w:val="0"/>
          <w:numId w:val="1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支持仅插入、插入更新两种入库方式；</w:t>
      </w:r>
      <w:r/>
    </w:p>
    <w:p>
      <w:pPr>
        <w:numPr>
          <w:ilvl w:val="0"/>
          <w:numId w:val="1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支持服务调用批处理量的配置，预防目标表的单行信息过多 且批处理量过高，导致任务执行时内存溢出的问题；</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服务授权，提供对第三方系统进行集成服务调用授权的功能，支持服务使用部门、联系人等信息配置，支持服务接口使用期  限、使用时间范围、接口峰值调用频次的配置；可供第三方业  务系统作为调用凭证获取 token 信息，可通过 Apisix 鉴权调用 服务接口。</w:t>
      </w:r>
      <w:r/>
    </w:p>
    <w:p>
      <w:pPr>
        <w:numPr>
          <w:ilvl w:val="0"/>
          <w:numId w:val="15"/>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支持接口调用方进行授权码确认和在线接口测试；</w:t>
      </w:r>
      <w:r/>
    </w:p>
    <w:p>
      <w:pPr>
        <w:numPr>
          <w:ilvl w:val="0"/>
          <w:numId w:val="15"/>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支持暂停授权和终止授权，终止第三方系统接口调用。</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服务调用，提供集成服务调用日志查看功能，包含调用时间、 调用 IP 等。</w:t>
      </w:r>
      <w:r/>
    </w:p>
    <w:p>
      <w:pPr>
        <w:numPr>
          <w:ilvl w:val="0"/>
          <w:numId w:val="1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支持通过服务名称、使用部门、请求 URL 等信息查询调用列 表，包含服务名称、使用部门、请求 URL、调用者 IP、调用时  间等；</w:t>
      </w:r>
      <w:r/>
    </w:p>
    <w:p>
      <w:pPr>
        <w:numPr>
          <w:ilvl w:val="0"/>
          <w:numId w:val="1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支持服务调用参数查看。</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3.2.5 运行明细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运行明细，支持任务每次执行明细的查看，包含任务名称、集 成数据量等，具备库表集成、文件集成、文件导入集成、接口 集成任务执行记录的全量查询、展示的能力。</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1、支持按照任务名称、集成类型、执行结果等信息查询明细列表，包含任务名称、集成数据总量、成功数据量、失败数据量及执行耗时等；支持日志下载；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2、支持日志清理功能，支持清理一个月、三个月、六个月、一 年之前的日志文件，支持清理一千份、一万份、三万份、十万份以前的日志文件。</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3.2.6 归档任务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归档任务，支持将长期不运行且需要归档的任务统一管理，支持撤销归档、查看运行实例等。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支持归档任务列表的展示，支持按照任务名称、集成类型查询 任务列表，包含任务名称、归档时间等信息；支持撤销归档、 批量撤销归档及任务运行实例查看等操作。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3.2.7 DataX 集成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DataX 集成，支持用户通过自定义的任务 json 配置实现数据同 步，灵活提供全量/增量的数据迁移服务。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1、支持自定义 DataX json 脚本，生成任务配置信息，提供脚 本样例数据，方便编写；</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2、支持任务编辑、删除、启停、执行一次、全部启停等操作； </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3、支持按照部门、角色等多种数据权限控制集成任务展示；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4、支持任务执行情况监控，包括集成数据总量与失败量、执行次数、执行结果等信息，支持任务执行明细及实时日志查看支持执行日志下载。</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3.3 数据标准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3.3.1 标准文件管理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标准文件管理，是由公认机构批准，可共同使用和重复使用的 一种规范性文件。数据标准文件中的标准都是从标准规范（国 家标准，行业标准，地方标准）中抽取而来，具有较强的权威 性与适用性。标准文件管理包括标准文件基本信息的维护，标 准文件的上传预览等功能。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1、支持根据标准名称、标准类型、标准状态查询标准文件列  表，包含标准规范名称、标准号、标准类型、标准性质等，支 持标准文件新建、编辑、删除、批量删除操作；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2、标准文件新建支持中英文标准名称、中国标准分类号、国际 标准分类号、标准号、标准性质等属性配置，支持上传标准文  件。</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3.3.2 数据字典标准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数据字典标准，是对政务信息资源数据字典项集合的规范描述。数据字典标准将标准规范中抽取出来的数据集维护到系统 中，供数据质量检测及其他系统使用。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1、支持按照数据字典名称查询标准列表，包含数据字典名称、 数据字典编码、来源标准等，支持新建、编辑、删除、批量删 除、批量导入导出等操作；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2、新建数据字典标准支持配置数据字典编码、数据字典名称、 字典项信息等。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3.3.3 数据元标准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元标准，提供各类标准规范中定义的属性最小的单元，是对标准更细致的体现，为后续数据质量检测提供精准的数据支撑。数据元维护包括数据元基本信息维护、数据元关联标准规范维护、数据元命名格式规范维护等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1、支持按照数据元名称查询标准列表，包含数据元名称、数据 元编码、数据元分类等，支持新建、编辑、删除、批量删除等操作；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2、新建数据元标准支持配置标识类属性、定义类属性、表示类 属性、管理类属性信息。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3.3.4 数据元分类</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数据元分类，支持按照实际业务场景提供数据元分类维护功能。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1、支持按照数据元分类名称查询分类列表，包含分类名称、描 述等，支持新建、编辑、删除、批量删除等操作；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2、新建数据元分类支持配置名称、描述属性。</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3.3.5 数据规则</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数据规则，支持通过技术手段对数据类型、数据格式等信息的定义，是数据元标准规范的技术基础，为数据标准体系建设提供基础支撑。</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1、支持按照数据规则名称查询分类列表，包含数据规则名称、正则表达式、数据长度、更新时间等，支持新建、编辑、删除、批量删除等操作；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2、新建数据规则支持配置正则表达式、指定数据长度等属性。</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3.4 数据质量</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3.4.1 概览</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概览，支持展示质量检测整体情况，包括质量问题分布、数据 质量问题趋势分析、质量检测规则分析等信息。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支持数据质量任务执行情况的统计，包含检测数据总量、检测问题总量、质量任务检测次数、已检测资源数；支持数据质量 报告列表展示、质量问题规则类型分布情况、近 7 天质量问题 趋势分析图、质量模型规则分布词云图展示。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3.4.2 质量维度</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质量维度，是数据可测量的特性，是衡量质量规则的基础。质 量检测维度包括完整性、唯一性、关联性、冗余性、准确性等，业务人员可自定义检测维度并添加质量维度案例分析。支持质量维度维护，包含维度新增，修改，删除；内置准确性、一致性、完整性等 8 大质量维度和相关案例分析。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3.4.3 质量规则</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质量规则，提供根据数据用户的需求，制定质量检测规则管理 制度，进而为数据质量模型提供检测匹配规则。平台需内置三 大类、17 小类数据质量规则，同时业务人员也可根据自身需要 通过 SQL 语句、正则表达式、关联数据元的方式自定义质量检 测规则，有效满足各种质量检测需要。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▲1、需内置不少于 45 种数据质量规则，包括但不限于非空校 验、类型校验、长度校验、范围校验、格式校验等；（需提供该功能相应系统界面截图，并加盖投标人公章）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2、支持质量规则启用/禁用、编辑、删除、新建、分类配置 等；</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3、同时可根据具体需求通过 SQL 语句、正则表达式、关联标准 数据元、关联数据字典、自定义 Java 脚本的方式自定义质量检 测规则，有效满足各种质量检测需要；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4、规则通过关联数据元定义时，需在数据标准内，定义好标准 数据元，根据数据元配置的数据规则和数据字典定义检测规则；</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5、规则通过 SQL 语句自定义时，内置字段变量、表变量、数字 变量、字符变量按钮，方便规则表达式填写。</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3.4.4 质量模型</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质量模型，支持数据源、数据资源指定质量检测规则，为数据 质量检测任务提供模型支持。质量模型包含检测数据库表选取、检测规则匹配等功能。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1、支持选择内部资源、外部库表进行模型构建，具备对多种数 据源（包含 MySQL、MariaDB、Oracle、PostgreSQL、SQLServer、Greenplum、达梦、人大金仓、瀚高）的质量检测 功能；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2、支持为质量模型匹配多个规则，支持可视化、向导式配置具 体检测内容，实现多场景下的指标检测。</w:t>
      </w:r>
      <w:r/>
    </w:p>
    <w:p>
      <w:pPr>
        <w:numPr>
          <w:ilvl w:val="0"/>
          <w:numId w:val="17"/>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支持为某个规则批量绑定数据字段；</w:t>
      </w:r>
      <w:r/>
    </w:p>
    <w:p>
      <w:pPr>
        <w:numPr>
          <w:ilvl w:val="0"/>
          <w:numId w:val="17"/>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支持配置检测对象值域、数值范围等；</w:t>
      </w:r>
      <w:r/>
    </w:p>
    <w:p>
      <w:pPr>
        <w:numPr>
          <w:ilvl w:val="0"/>
          <w:numId w:val="17"/>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支持配置检测字段逻辑关系，包括但不限于大于、小于、等 于等；</w:t>
      </w:r>
      <w:r/>
    </w:p>
    <w:p>
      <w:pPr>
        <w:numPr>
          <w:ilvl w:val="0"/>
          <w:numId w:val="17"/>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支持配置函数类检测规则，包括但不限于取平均值、取最小 值、取最大值等；</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3、支持选择自定义评分项的权重值功能，标记问题严重程度， 方便线下整改；</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4、提供批量导入和导出规则模型的能力，实现质量模型快速迁 移；</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3.4.5 检测任务管理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检测任务管理，提供对质量检测任务全生命周期的管理，支持 任务构建、任务启停、执行一次、全部启停、批量执行归档、 任务编辑删除以及运行日志明细的查看；</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1、支持按照部门、角色等多种数据权限控制质量任务展示； 2、任务构建包含数据模型配置、基本信息配置及邮件推送配 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3、支持指定检测模型，支持全量检测与增量检测两种检测方 式，增量检测支持配置增量列字段；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4、支持配置任务分批检测的处理量，防止内存溢出；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5、支持配置检测问题明细表展示列，并支持对单个列的展示名 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6、支持主键列配置，方便在同一条数据不满足多条规则的情况 下记录问题数据；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7、支持配置任务调度频率；支持手动调度和自动调度两种方 式，自动调度任务可以选择任务执行的调度时间（精确到日期、时、分、秒）及调度周期；手动调度就可以根据用户的需 求，手动触发任务执行；支持告警邮箱配置，实现任务告警结果推送；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8、支持路由策略、阻塞处理策略、执行超时时间、失败重试次 数等配置，保证任务顺畅执行；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9、支持检测结果推送，支持选择定时推送或者立即推送结果邮 件，方便查看数据质量问题并整改；</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10、支持推送内容自定义，并提供检测字段数量、检测规则数 量等变量，方便替换为执行结果的具体信息；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11、提供批量启动和批量停止任务的功能，实现质量任务灵活 管控。</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3.4.6 检测任务监控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检测任务监控，支持监测质量检测任务运行情况的功能，方便 业务人员随时掌握检测任务执行情况。任务监控可查看检测任 务的执行实例、检测任务执行过程、执行相关的日志详情等信 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1、支持质量任务监控总览情况展示，包含检测总量、问题数据 量、执行次数、已检测资源数；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2、支持按照所属部门、任务名称、任务状态查询监控列表，包 含任务名称、检测总量、问题数据量、执行次数、上次执行结  果等，支持查看实时日志、日志明细。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3.4.7 检测问题明细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检测问题明细，支持查看检测任务检测出的问题详情信息，方 便业务人员对数据质量问题进行分析。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1、支持查看单个任务的问题明细列表，支持问题列表导出；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2、支持查看具体问题字段及问题描述。</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3.4.8 质量报告</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质量报告，支持数据质量日常监控以及质量评估等过程中累积 的各种信息进行汇总、梳理、统计和分析，形成以部门为维度 的统计报告。质量报告支持在线查看、下载等功能。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1、支持以部门为维度展示数据质量报告列表，包含部门生成报 告数量、检测总量、问题数据量、报告生成状态等，支持查看  报告详情；</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2、支持生成质量报告，包含所属部门、检测起止时间、质量报 告标题、质量报告描述等信息；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3、支持配置质量报告统计内容，支持以柱状图、折线图等多种 图表类型展示质量检测的指标变化情况；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4、支持查看历史质量报告列表，支持报告在线查看、下载。</w:t>
      </w:r>
      <w:r/>
    </w:p>
    <w:p>
      <w:pPr>
        <w:pStyle w:val="1009"/>
        <w:ind w:firstLine="482"/>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3.4.9检测运行明细</w:t>
      </w:r>
      <w:r>
        <w:rPr>
          <w:rFonts w:hint="eastAsia"/>
          <w:color w:val="000000" w:themeColor="text1"/>
          <w:sz w:val="24"/>
          <w:szCs w:val="24"/>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检测运行明细，支持以任务的每次执行实例为维度 ，进行任务 名称、检测总数据量、检测问题数据量、执行结果、检测耗时的列表展示；</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1、支持按照任务名称、执行结果、检测起止时间等信息快捷查 询明细列表；</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2、支持查看任务问题明细与日志下载。</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3.5 共享管理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3.5.1 主动共享管理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主动共享管理，支持对线下申请的用户资源进行资源申请单创 建、资源共享授权和收回授权功能。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1、持对线下申请的文件、接口、库表资源进行资源申请单创  建、资源共享授权和收回授权功能。支持按照申请单号、授权 状态、数据类型等信息查询授权列表，包含申请单号、目录名称、数据名称、授权时间、数据使用方、数据类型、授权状态 等，支持查看申请详情、撤销授权、重新授权等；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2、新建授权单包含申请目录选择、申请资源选取、申请方信 息、使用方信息填写等。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3、库表授权支持构建共享任务，支持填写任务名称、选择数据 推送执行策略、自动拉取申请库表信息、选择增量同步、全量  同步同步模式、选择仅插入、插入更新入库方式、配置是否自  动生成 uuid、时间戳字段；支持源表到目标表字段级别的自动 映射关系配置；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4、接口授权提供授权密钥供接口调用；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5、文件授权直接下载文件即可；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3.5.2 库表共享任务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库表共享任务，提供对库表资源共享任务的管理功能。支持按 照任务名称、任务状态等信息查询任务列表，包含任务名称、所属部门、执行策略、任务状态等，支持任务执行一次、批量 启动、批量停止、编辑、删除、查看运行实例等；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支持查看单个任务的运行实例，支持按照源端表名、目标表名 查询实例列表，包含源端表名、目标表名、数据总量、执行总 次数、上次执行结果等信息，支持查看运行实例的实时日志及 日志明细，支持对日志进行下载。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3.5.3 资源使用明细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资源使用明细，提供数据资源共享情况的日志查看服务，包含 文件下载日志、接口调用明细、库表执行明细。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1、文件下载日志部分支持按照文件名称、资源名称、申请方部 门等信息查询日志列表，包含文件名、文件类型、所属资源、申请方部门、下载人、下载时间、共享时间；</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接口调用明细支持按照资源名称、申请方部门等信息查询明 细列表，包含源名称、申请方部门、请求 URL、请求耗时、调用时间、调用 IP 等，支持查看服务调用参数；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3、库表执行明细部分支持按照任务名称、执行结果、表名等信 息查询明细列表，包含任务名称、表名、总数据量、执行结果、耗时、执行时间等；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4、支持日志清理功能，支持清理一个月、三个月、六个月、一 年之前的日志文件，支持清理一千份、一万份、三万份、十万  份以前的日志文件。</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3.5.4 库表任务监控</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库表任务监控，提供可视化库表授权数据交换监控功能，支持 完整的日志追踪，保障系统稳定，实现交换过程可监管。</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1、支持库表共享任务执行总览情况展示，包含各类型任务总 数、任务执行情况、交换数据量；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2、支持按照任务名称、任务状态、集成类型查询监控列表，包 含任务名称、所属部门、集成类型、数据总量、执行总次数、任务状态、上次执行时间等信息；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3、支持查看单个任务的运行实例，支持按照源端表名、目标表 名查询实例列表，包含源端表名、目标表名、数据总量、执行总次数、上次执行结果等信息，支持查看运行实例的实时日志  及日志明细，支持对日志进行下载。</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3.6 资源库</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3.6.1 资源库管理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资源库管理，支持对资源库进行全生命周期的管理，包括资源库信息维护、资源库发布等功能。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1、支持资源库构建、导入导出、发布/取消发布、编辑删除、资源库服务、资源库分析、业务模型、物理模型维护；</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2、支持资源库业务模型的构建，可按照业务场景创建目录分类 与数据目录；提供在线编制、模板批量导入、逻辑关联其他资源库或资产目 录三种目录创建形式；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3、提供目录关键信息项注册，包含信息项名称、数据类型等， 支持手动添加、批量导入两种方式；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4、目录设置支持配置主目录，作为资源库核心信息，其余目录 可关联主目录核心字段，以此生成模型数据底图；支持配置目录信息项是否为扩展字段，作为资源库的扩展信息；支持配置  目录信息项是否为状态字段，作为资源库的状态信息；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5、物理模型支持构建资源库底层的数据资源架构，是资源库的 数据描述，支持库表、接口、文件三种类型的资源接入。</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6、具备库表类型数据资源接入的能力，支持包含但不限于 MySQL、MariaDB、Oracle、PostgreSQL、SQLServer、Greenplum、达梦、人大金仓、瀚高等多种数据库类型；</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7、支持文件类型数据资源接入的能力，支持包括但不限于 WORD、EXCEL、TXT、PNG 等多种格式；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8、支持接口类型数据资源接入的能力，支持 Http、 WebService 两种类型的接口接入；</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9、具备对数据资源全生命周期的管理能力，支持资源新增、编 辑、发布、取消发布、删除10、支持按照部门、角色等多种数据权限控制资源展示；</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11、库表资源支持选取数据源表，支持库表字段自动拉取展示，支持对库表字段安全等级、目录信息项匹配等配置；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12、支持库表资源发布数据服务接口的能力，支持单表及多表联合发布数据服务接口，支持左连接或内连接的连接方式；支持请求参数列表及参数属性信息配置，支持出参字段选择，查询 SQL 预览，返回示例查看等；具备数据服务接口的测试、发布、取消发布、删除等全流程管 理功能；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13、接口资源支持 Http、WebService 接口的代理转发，支持请 求参数列表及参数属性的配置，支持返回示例、返回参数的配置，支持接口超时时间，最大访问量的配置及访问请求限制；WebService 接口支持 basic 认证方式，支持wsdl 的配置及解 析，支持请求方法、soap 协议版本的配置；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14、文件资源支持文件的上传、下载及删除功能；等全流程管理；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15、支持库表接入的方式反向生成数据资源及数据目录；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16、支持根据目录名称、目录信息项在线生成库表资源以及数据库表</w:t>
      </w:r>
      <w:r>
        <w:rPr>
          <w:rFonts w:hint="eastAsia"/>
          <w:color w:val="000000" w:themeColor="text1"/>
          <w:sz w:val="24"/>
          <w:szCs w:val="24"/>
          <w14:textFill>
            <w14:solidFill>
              <w14:schemeClr w14:val="tx1"/>
            </w14:solidFill>
          </w14:textFill>
        </w:rPr>
        <w:t xml:space="preserve">；</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17、支持资源库处理任务的构建，用于资源库数据分发、加 载、清洗等</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3.6.2 资源库服务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资源库服务，支持资源库数据统一访问接口的管理功能，资源 库服务包含代理服务与数据服务，提供可视化向导式服务接口 配置，提供服务路由、协议转换、熔断限流等网关能力，为资 源库数据利用提供接口调用服务支撑。</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1、支持服务全生命周期管理，具备零编码快速生成数据 API 的 能力，支持服务新增、修改、删除、发布、取消发布、接口测试；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 HTTP、WEBSERVICE 两种代理接口接入。</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 GET、POST 两种请求方法选取；</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4、支持请求参数列表及参数属性的配置；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5、支持返回示例、返回参数的配置；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6、支持接口超时时间，最大访问量的配置及访问请求限制；</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7、WebService 接口支持 basic 认证方式，支持wsdl 的配置及解析，支持请求方法、soap 协议版本的配置；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8、具备库表资源转化数据服务接口的能力。注册形式支持模板 配置、自定义 sql 两种，模板配置支持可视化、向导式的服务注册，自定义 sql 形式支持通过自定义 sql 脚本的形式配置返  回参数、逻辑条件等；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9、支持 API 地址填写，允许最大调用量设置、请求参数配置（名称、类型、位置、默认值等）、逻辑条件配置（库表字段 与逻辑字段的判定条件）、返回参数配置等；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10、为满足复杂的数据共享需求，平台具备同源多表关联场景下生成接口 API。支持关联方式（left join、inner join）设置、关联表选择、关联字段设置等；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11、支持配置数据服务解密策略，用于服务调用时进行数据解 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12、支持接口说明文档上传、返回示例展示等；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13、具备 API 的在线调用测试，查看 API 的测试结果</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3.6.3 资源库应用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资源库应用，支持已构建资源库的创新应用的管理，构建内容 包含应用基本信息填写、应用链接填写、数据模型上传、数据 资源构建、使用流程说明，应用发布后可在资源库门户中进行 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1、支持按照应用名称、资源库名称、库分类等信息查询应用列 表，包含应用名称、资源库名称、分类名称、状态等，支持应  用新增、修改、删除、停用、启用等；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2、资源库应用新增支持应用基本信息填写、应用链接填写、数 据模型上传、数据资源关联、使用流程说明，应用启用后可在  资源库门户中进行展示。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3.6.4 资源库统计与 分析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资源库统计与分析，根据资源库数据构建统计分析仪表板，实现资源库数据多维度可视化指标展示。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可根据资源库数据构建统计分析仪表板，实现资源库数据多维 度可视化指标展示。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支持仪表板新增、设计、分享、预览、删除、发布/取消发布等 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3.6.5 资源库分类</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资源库分类，是建设分类科学、集中规范、共享共用的统一资 源库分类的功能。资源库科学地分类实现了数据精细化、智能 化管理，可帮助用户方便科学地检索与管理资源库。平台提供 资源库分类维护的功能。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支持按照分类树、分类名称查询资源库分类列表，包含分类名 称、分类描述、创建时间等，支持分类新增、编辑、删除、授 权等操作；支持将分类授权给不同部门，使得分类下的资源库 仅对指定部门可见。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3.6.6 监控分析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监控分析，提供代理接口和数据服务接口统计页，服务申请 量、调用次数、调用指标、申请 top。</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1、提供总体服务监控情况。支持服务申请调用总览情况展示， 包含服务申请次数、服务调用次数、调用成功次数、今日调用 次数、今日成功调用次数；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2、支持展示近七天服务调用量、服务申请量统计趋势图；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3、支持展示近十分钟、近半小时、近一小时服务响应指标趋势 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4、支持展示近 30 天部门调用情况。</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3.6.7 服务统计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服务统计，数据服务接口和代理接口调用详情页，接口查询和 查看详情。</w:t>
      </w:r>
      <w:r/>
    </w:p>
    <w:p>
      <w:pPr>
        <w:numPr>
          <w:ilvl w:val="0"/>
          <w:numId w:val="18"/>
        </w:num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支持按照服务名称、服务类型等信息查询服务调用申请列  表，包含服务名称、类型、申请次数、调用次数、今日调用次 数、最新调用时间等信息；</w:t>
      </w:r>
      <w:r/>
    </w:p>
    <w:p>
      <w:pPr>
        <w:numPr>
          <w:ilvl w:val="0"/>
          <w:numId w:val="18"/>
        </w:num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支持查看服务调用详情，包含服务调用申请基本信息、以部 门为维度统计近 30 天调用情况、以天为维度展示调用情况。</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3.6.8 服务管理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服务管理，提供数据服务接口和代理接口全生命周期的管理， 包括服务的注册、发布、撤销、审批等功能。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▲1、支持服务全生命周期管理，具备零编码快速生成数据 API 的能力，支持服务新增、修改、删除、发布、取消发布、接口  测试（需提供该功能相应系统界面截图，并加盖投标人公章）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2、数据服务接口需具备高可用性，在单节点千万级单表数据 服务接口请求≥20000 的情况下，平均响应时间&lt;5s，最大响应 时间&lt;10s</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 HTTP、WEBSERVICE 两种代理接口接入；</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 GET、POST 两种请求方法选取；</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5、支持请求参数列表及参数属性的配置，参数类型包含字符串、数字型、布尔型；</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6、支持返回示例、返回状态码的配置；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7、支持接口超时时间，最大访问量的配置及访问请求限制；</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8、WebService 接口支持 basic 认证方式，支持wsdl 的配置及解析，支持请求方法、soap 协议版本的配置；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9、具备库表资源&amp;数据源库表转化为数据服务接口的能力。注 册形式支持模板配置、自定义 sql 两种，模板配置支持可视化、向导式的服务注册，自定义 sql 形式支持通过自定义 sql 脚本的形式配置返回参数、逻辑条件等；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10、支持 API 地址填写，服务允许最大调用量设置，保护数据 接口不被过度使用，防止系统资源耗尽或服务质量下降；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11、支持请求参数配置，请求参数类型支持 BODY 参数、查询参数两种，支持请求头配置、入参配置、出参配置以及错误码配 置，且参数类型支持但不限于 String、Int、Date、Long、Float、Double；</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12、支持库表字段与判定参数的逻辑条件配置，判定类型包含 但不限于=、&gt;、&gt;=、&lt;等；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13、为满足复杂的数据共享需求，平台具备同源多表关联场景 下生成接口 API。支持关联方式（左连接、内连接）设置、关 联表选择、关联字段设置等；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14、支持返回参数配置，支持批量选择返回参数；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15、支持配置数据服务解密策略，用于数据调用时进行数据解 密；支持接口说明文档上传、返回示例展示等；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16、具备 API 的在线调用测试，查看 API 的测试结果；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17、支持单机、集群多种部署模式；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18、支持动态路由、负载均衡、限流限速等功能；支持插件热更新、自定义路由、多协议代理、节点扩容与缩容等特性</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3.6.9 服务配置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服务配置，基于服务网关访问鉴权、流量控制、协议转换、服 务路由等能力，进行平台接口调用频次、调用时间及访问者的 限制。支持对服务接口消费者级别访问控制，实现平台服务精 细化管理，保证接口调用的安全性及稳定性。</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1、支持展示共享服务列表，提供访问控制配置；支持以申请部 门为维度展示每条共享服务的详情信息；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2、支持以申请部门为维度配置服务访问控制信息；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3、支持通过设置访问 IP 白名单保障 API 安全，第三方调用 时，支持白名单中指定的 IP 访问服务；</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4、支持服务流量控制配置，支持以秒、分钟、小时、天的维度 配置 API 的超限次数；</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5、支持配置服务同一时间内允许的最大并发请求次数。</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3.7 数据治理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3.7.1 批式数据处理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1、数据处理统计用来展示数据处理任务总体运行情况，包 括数据处理任务的执行记录、异常信息、总体趋势分析等。</w:t>
      </w:r>
      <w:r/>
    </w:p>
    <w:p>
      <w:pPr>
        <w:numPr>
          <w:ilvl w:val="0"/>
          <w:numId w:val="19"/>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支持数据处理任务执行情况的统计，支持任务数量、执行总 次数、成功次数、失败次数总览情况展示，支持任务监控列表、异常任务监控列表及 30 天任务执行趋势分析图展示。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2、脚本管理，提供根据业务人员不同的业务需要自定义数据处理  脚本的功能，需提供不少于 30 种数据交换、处理组件，如表交 换、文件传输、SFTP 上传下载、Http 组件、清洗与转换组件等，并支持组件的拖拽组装、处理流程编排、脚本分类设置、 任务执行策略配置等功能，满足各种不同场景的数据处理需求。</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提供脚本设计工作台，支持转换与作业两种类型的脚本在线 设计；批式数据处理效率高于 70000 条/s；支持至少 300 个数据处理组件，包括但不限于输入输出组件、校验组件、查询组件、消息组件、统计组件、大数据组件 等，通过不同组件的组合实现数据加载、转换、拆分、合并等 操作，降低技术门槛；支持组件的拖拽组装、处理流程编排、 脚本分类配置等；支持转换、作业两种脚本编排方式； </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支持处理脚本新建、设计、编辑、删除、导入导出、预览、 运行测试等；</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支持包含 MySQL、MariaDB、Oracle、PostgreSQL、SQLServer、Greenplum、达梦、人大金仓、瀚高、GBase 等多 种数据库类型的读写数据处理脚本设计；</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具备数据入库字段加密解密的能力，提供包含但不限于 AES、RSA、DES、3DES、MD5 及国产加密算法 SM2、SM4 等组 件；</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具备对字符串类型数据进行转换操作能力，支持但不限于去 除空格、大小写转换、补位、首字母大写、删除字符、字符串  切割、字符串替换、字符串加密、字符串检验、获取字符串长  度、字符串编码等操作；</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具备其他数据转换操作能力，包含但不限于值映射、去除重 复记录、比较合并记录、列拆分、列转行、过滤、排序等；</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具备对数值类型进行转换操作功能，包括但不限于加、减、 乘、除、取余、四舍五入、平方根、取整、绝对值等操作 ;</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具备将数据加载至文本文件能力，文件类型包括但不限于 EXCEL、XML、JSON 等；</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具备将数据加载至大数据组件能力，组件类型包括但不限于 MAPREDUCE、HIVE、HBASE 等；</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具备将数据加载至常用的关系型数据库能力，数据库类型包括但不限于 MySQL、MariaDB、Oracle、PostgreSQL、 SQLServer、Greenplum、达梦、人大金仓、瀚高等；</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接口数据采集满足对 WebService、Rest 类型接口数据采集；</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消息数据采集满足对 Kafka、MQTT、JMS 消息中间件数据采集；</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非结构化数据采集能力满足对 TXT、CSV、Excel、JSON、 XML 类型的文件进行抽取并解析，并且提供通过 FTP、SFTP、 HTTP 等协议采集文件；</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具备常用的关系型数据库数据采集能力，包括但不限于MySQL、MariaDB、Oracle、PostgreSQL、SQLServer、达梦、人大金仓、瀚高、GBase；</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具备大数据组件的数据采集能力，包括但不限于 Greenplum、HBase；</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▲内置至少 30 个常用数据处理模板，包含数据同步、数据 加密、数据转换、接口集成、异常处理、脚本代码等；（需提  供该功能相应系统界面截图，并加盖投标人公章）</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支持脚本模板文件的导入导出，实现脚本模板快速迁移。 并内置脚本设计注意事项、使用说明等文档。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3、任务管理，通过匹配数据处理脚本、配置数据处理调度信息生 成数据处理任务的功能。任务管理支持多种执行策略配置、分 布式任务调度、任务批量启停等功能，提供对数据处理任务全 生命周期的管理。</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支持执行一次、批量启停、批量归档、任务编辑、删除、终 止、克隆、脚本设计及实时日志查看等；</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支持按照部门、角色等多种数据权限控制处理任务展示；</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提供可视化任务的构建、编辑，支持任务名称、所属部门等 基本信息配置；</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支持处理脚本选择或新建；支持任务执行频率配置；</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支持告警结果推送，支持配置告警邮箱；</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支持执行超时时间、失败重试次数、告警时间阈值、告警次数阈值等配置，保证任务顺畅执行；</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支持日志级别设置，包含基本日志、详细日志、调试日志； </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支持参数配置，支持配置处理脚本内的局部变量，将变量值 传递给处理脚本，灵活处理脚本的执行变量；</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支持执行器集群部署；</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支持任务调度策略配置，包含路由策略、阻塞处理策略、 调度过期策略等。</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支持路由策略，即选择任务执行节点的策略，包含轮询、 最不经常使用、最近最久未使用、一致性 HASH 等；</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支持阻塞处理策略，即任务阻塞时的处理策略，包含丢弃 后续调度、覆盖之前调度、单机串行等；</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支持调度过期策略，即任务错过调度时间的补偿处理策 略，包含忽略、立即执行一次等。</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4、任务监控，用来监测数据处理任务运行情况的功能，方便业务 人员随时掌握数据处理任务运行情况。处理监控包括监控日志 实时跟踪、处理数据量统计等功能。</w:t>
      </w:r>
      <w:r/>
    </w:p>
    <w:p>
      <w:pPr>
        <w:numPr>
          <w:ilvl w:val="0"/>
          <w:numId w:val="22"/>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支持处理任务监控总览情况展示，包含监控任务数、执行情况；</w:t>
      </w:r>
      <w:r/>
    </w:p>
    <w:p>
      <w:pPr>
        <w:numPr>
          <w:ilvl w:val="0"/>
          <w:numId w:val="22"/>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支持按照任务名称、任务状态查询监控列表，包含任务名称、执行成功次数、失败次数、上次执行结果、任务状态等信 息；支持实时日志查看；</w:t>
      </w:r>
      <w:r/>
    </w:p>
    <w:p>
      <w:pPr>
        <w:numPr>
          <w:ilvl w:val="0"/>
          <w:numId w:val="22"/>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支持任务运行明细查看，支持通过任务状态、起止时间查看明细列表，包含执行总数据量、成功数据量、失败数据量、启动时间、结束时间、执行结果等信息，支持查看处理节点详情  及日志下载，处理节点详情包含节点名称、输入输出数据量、读取数据量、写入数据量、更新数据量、错误数据量等信息。</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5、运行明细，提供处理任务执行实例明细，支持查看任务每次执 行的处理数据量、任务耗时、节点详情等，支持日志下载。</w:t>
      </w:r>
      <w:r/>
    </w:p>
    <w:p>
      <w:pPr>
        <w:numPr>
          <w:ilvl w:val="0"/>
          <w:numId w:val="23"/>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支持按照任务名称、执行结果、起止时间等信息查询明细列 表，包含任务名称、集成数据总量、成功数据量、失败数据量  及执行耗时等；支持查看处理节点详情及日志下载，处理节点详情包含节点名称、输入输出数据量、读取数据量、写入数据 量、更新数据量、错误数据量等信息；</w:t>
      </w:r>
      <w:r/>
    </w:p>
    <w:p>
      <w:pPr>
        <w:numPr>
          <w:ilvl w:val="0"/>
          <w:numId w:val="23"/>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支持日志清理功能，支持清理一个月、三个月、六个月、一 年之前的日志文件，支持清理一千份、一万份、三万份、十万份以前的日志文件。</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6、配置库管理，提供存放处理任务、脚本元数据的数据库，平台 提供配置库构建、连接测试等功能。</w:t>
      </w:r>
      <w:r/>
    </w:p>
    <w:p>
      <w:pPr>
        <w:numPr>
          <w:ilvl w:val="0"/>
          <w:numId w:val="24"/>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支持数据处理工作台 spoon 设计器配置库维护，包含配置库 新增、编辑、删除；</w:t>
      </w:r>
      <w:r/>
    </w:p>
    <w:p>
      <w:pPr>
        <w:numPr>
          <w:ilvl w:val="0"/>
          <w:numId w:val="24"/>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支持依据配置库查看数据源；</w:t>
      </w:r>
      <w:r/>
    </w:p>
    <w:p>
      <w:pPr>
        <w:numPr>
          <w:ilvl w:val="0"/>
          <w:numId w:val="24"/>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 Native(JDBC)、ODBC、Plugin、JNDI 四种配置库构建访问模式。</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3.7.2 流式数据处理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1、支持数据处理任务执行情况的统计，包含任务数量、正常任务、异常任务、告警任务、停止任务、已处理数据流量；支持任务监控列表、异常任务监控列表及任务执行流量统计趋势图展示。</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任务管理，主要用于自动化管理系统间的数据流。任务管理模 块提供基于 web 页面的可视化工具，通过拉拽、连接、配置， 提供数据处理任务的构建及管理。</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支持任务构建、数据源同步、批量启动、批量停止、任务设 计、任务启动、任务模板生成等</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提供可视化的数据流展现与编辑功能，具备数据流处理任务 节点组件配置即时生效的能力，实现数据流处理组件热部署。支持 100+常用数据处理组件，包括输入组件、输出组件、清洗 组件、转换组件、检验组件、路由组件、加密组件、网络组件、大数据组件等；支持控制器服务；支持定时调度和 corn 表 达式调度；支持多关系输出；支持通过不同组件的组合实现数  据加载、转换、拆分、合并等操作；</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支持海量数据实时捕获，单节点捕获效率≥20000 条/s；</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支持包含 MySQL、MariaDB、Oracle、PostgreSQL、SQLServer、达梦、人大金仓、瀚高、GBase 等多种数据库类型 的读写及数据处理流程设计；</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支持数据加密解密的能力，提供包含但不限于 AES、RSA、 DES、3DES、MD5 等加密策略；</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具备清洗数据和校验功能，提供包括提取属性、字符替换、 json 平展、数据拆分、删除特定数据、校验 xml、校验 csv 等能力；</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具备数据转换操作能力，包含但不限于 avro 转 json、json 转 sql、json 映射、拆分 json 数组、属性转 csv、字符集转换、读取 excel 至 csv、去除重复记录、排序等；</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具备发送邮件通知功能，支持常用的邮件，例如 163、qq 等；</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具备将数据加载至文本文件能力，文件类型包括 XML、JSON 等；</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具备将数据加载至大数据组件能力，组件类型包括但不限 于 HIVE、HBASE、HDFS 等；</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具备数据路由功能，支持根据流文件属性值、流文件内 容、字典值、重复数据等维度路由；</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具备数据变更捕获能力，包括 MySQL、MariaDB 和 Oracle 数据库，支持实时捕获数据库变更日志并同步到目标数据库；</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具备执行 HTTP 或 HTTPS 网络请求的能力，支持对 WebService、Rest 类型接口进行数据采集；</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具备对 Kafka 等消息中间件、mongodb 等文件存储数据库、elasticSearch 搜索引擎、redis 内存数据库等存储介质的 数据进行采集加工处理的能力；</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具备大数据组件的数据采集能力，包括但不限于 HBase、 Hive；</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具备通过 FTP、SFTP、HTTP 等协议采集 TXT、CSV、 Excel、JSON、XML 等类型文件的能力；</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具备自定义生成查询 select 分页查询语句的能力，可实现 数据增量、全量查询；</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▲具备数据背压能力，当流入文件数据速率远大于消费数 据速率时，可设置背压阈值，平衡数据流动；（需提供该功能 相应系统界面截图，并加盖投标人公章）</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支持一个或多个数据流处理优先级方案，默认为先进先出 策略，允许选择最老的数据先出、最新的数据先出等；</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支持数据流程处理过程中处理组件单独启停，支持数据流 向分支拖动改变，数据流量可实时监控，观测任务数据流转更加容易；</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支持数据处理过程中持久性预写日志和快照记录，保证在 大规模情况依然不丢失数据。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2、任务监控，提供处理任务运行监控管理功能，可查看监控任务 状态、任务执行情况、实时日志、异常监控等。</w:t>
      </w:r>
      <w:r/>
    </w:p>
    <w:p>
      <w:pPr>
        <w:numPr>
          <w:ilvl w:val="0"/>
          <w:numId w:val="26"/>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支持处理任务监控总览情况展示，包含监控任务数、执行情 况；</w:t>
      </w:r>
      <w:r/>
    </w:p>
    <w:p>
      <w:pPr>
        <w:numPr>
          <w:ilvl w:val="0"/>
          <w:numId w:val="26"/>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支持按照任务名称、任务状态查询监控列表，包含任务名 称、任务状态、已处理数据流等信息；支持实时日志查看；</w:t>
      </w:r>
      <w:r/>
    </w:p>
    <w:p>
      <w:pPr>
        <w:numPr>
          <w:ilvl w:val="0"/>
          <w:numId w:val="26"/>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支持任务运行明细查看，可查看任务开始时间、结束时间和 任务已处理数据流大小；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3、模板管理，提供可复用的流程保存为 XML 文件，导入模板管理 模块进行统一管理，进而提高处理效率。</w:t>
      </w:r>
      <w:r/>
    </w:p>
    <w:p>
      <w:pPr>
        <w:numPr>
          <w:ilvl w:val="0"/>
          <w:numId w:val="27"/>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支持模板导入、模板导出、模板同步、模板删除；</w:t>
      </w:r>
      <w:r/>
    </w:p>
    <w:p>
      <w:pPr>
        <w:numPr>
          <w:ilvl w:val="0"/>
          <w:numId w:val="27"/>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支持模板信息列表查询；</w:t>
      </w:r>
      <w:r/>
    </w:p>
    <w:p>
      <w:pPr>
        <w:numPr>
          <w:ilvl w:val="0"/>
          <w:numId w:val="27"/>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提供至少 20 个常用数据处理模板，包含数据同步、数据加 密、数据转换、接口集成、Redis、ElasticSearch 等。</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3.8 数据工作台</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3.8.1 数据查询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1、数据查询，支持自定义库表或视图数据的查询条件及展示内容，方便用户根据不同需求定制不同查询页面，并支持定制数 据详情页、明细页，实现数据信息全方位展示、向导式一键查询。</w:t>
      </w:r>
      <w:r/>
    </w:p>
    <w:p>
      <w:pPr>
        <w:numPr>
          <w:ilvl w:val="0"/>
          <w:numId w:val="28"/>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支持自定义查询条件；支持按时间范围、标签、字典查询； 支持关键词查询，包含精确查询、模糊查询；支持配置多字段 联合查询，实现数据一键搜索；</w:t>
      </w:r>
      <w:r/>
    </w:p>
    <w:p>
      <w:pPr>
        <w:numPr>
          <w:ilvl w:val="0"/>
          <w:numId w:val="28"/>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支持以弹窗或新页面的形式展示数据详情，支持将数据表按 照业务逻辑分组或分标签页展示；</w:t>
      </w:r>
      <w:r/>
    </w:p>
    <w:p>
      <w:pPr>
        <w:numPr>
          <w:ilvl w:val="0"/>
          <w:numId w:val="28"/>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支持用户根据需求自行调整数据展示列；</w:t>
      </w:r>
      <w:r/>
    </w:p>
    <w:p>
      <w:pPr>
        <w:numPr>
          <w:ilvl w:val="0"/>
          <w:numId w:val="28"/>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数据查询页面支持被第三方系统集成。</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2、查询配置，提供查询条件、列表展示内容、详情展示内容等自定义配置的功能，可以实现对数据查询及全域数搜列表和详情 页面的查询。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(1)、列表配置，用于配置数据查询列表页面，包含列表字段配置、ES 搜索配置、标签查询配置三部分。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a、具备拉取数据库表全部字段的能力，支持列表展示字段选 取，并支持自定义展示名称；b、支持字段动态脱敏，脱敏算法支持自定义，包括截断、掩码 算法；c、支持字典匹配，支持选取平台已有基础字典或外接字典，用 于翻译字段内容；d、支持自定义查询条件配置，支持时间查询、输入查询、字典 查询三种，查询形</w:t>
      </w:r>
      <w:r>
        <w:rPr>
          <w:rFonts w:hint="eastAsia"/>
          <w:color w:val="000000" w:themeColor="text1"/>
          <w:sz w:val="24"/>
          <w:szCs w:val="24"/>
          <w14:textFill>
            <w14:solidFill>
              <w14:schemeClr w14:val="tx1"/>
            </w14:solidFill>
          </w14:textFill>
        </w:rPr>
        <w:t xml:space="preserve">式包含精确查询、模糊查询、日期查询、日  期时间查询、下拉单选查询、下拉多选查询、平铺单选查询、平铺多选查询八种；支持按照不同查询形式配置查询条件默认 值；e、支持配置隐藏字段，如主键字段，作为查询表唯一标识，需 作为详情页内容的查询参数；f、支持启用全文搜索，支持将列表字段与 ES 字段类型进行匹 配，用于优化索引和搜索的性能，提高查询效率；g、支持配置全表字段一键搜索功能，实现多字段统一关键字搜 索；h、支持启用标签查询，支持配置标签条件标签项展示顺序，包 含按照默认顺序、按标签热度、按首字母排序三种；</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(2)、支持对数据查询详情页的配置，包含数据配置与展示配置两 部分。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a、支持选取数据资源/数据源内的库表作为详情页展示数据， 支持配置详情表与主表关联关系，支持配置详</w:t>
      </w:r>
      <w:r>
        <w:rPr>
          <w:rFonts w:hint="eastAsia"/>
          <w:color w:val="000000" w:themeColor="text1"/>
          <w:sz w:val="24"/>
          <w:szCs w:val="24"/>
          <w14:textFill>
            <w14:solidFill>
              <w14:schemeClr w14:val="tx1"/>
            </w14:solidFill>
          </w14:textFill>
        </w:rPr>
        <w:t xml:space="preserve">情数据展示字  段、是否脱敏、查询条件等；b、支持自定义跳转至详情页面的方式，包含点击操作列链接、 点击具体字段两种；c、支持配置详情页面打开方式，包含打开新页面、弹出弹窗两 种；d、支持配置详情页面标题、关键信息字段等，支持使用${}显 示变量值，例如'${name}的个人信息' ；e、支持配置数据表总体展示形式，包含按照业务逻辑分组或分 标签页两种；f、支持配置每张详情表的数据展示方式，包含平铺、表格两  种。平铺用于一条或多条数据的展示，将属性名、属性值平铺 展示；表格以列表的形式展示数据，支持分页。</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(3)、权限配置支持对查询列表进行数据权限配置，支持按照行政 区划或者组织机构字段进行数据权限设置。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(4)、启用全文搜索与标签查询后，支持将列表数据与标签数据同 步至搜索引擎中，支持创建并维护同步任务。</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(5)、数据查询面板支持发布、授权功能。支持配置查询面板数据 可见部门，并支持将查询面板发布至应用门户中，仅被授权部  门可见。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3.8.2 数据标签</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标签管理，包含对数据标签分组及数据标签的管理。支持数据标签及标签分组的维护，支持按照标签分组树、分组 名称、标签名称查询数据标签列表，包含标签名称、上级分组、顺序、标签更新时间等，包含标签的查询、新增、编辑、 删除、关联数据目录等；维护标签：可配置标签名称、标签上级分组、标签顺序、标签 描述；维护标签分组：可配置标签分组名称、标签分组上级分组、标 签分组顺序、标签分组描述。</w:t>
      </w:r>
      <w:r/>
    </w:p>
    <w:p>
      <w:pPr>
        <w:numPr>
          <w:ilvl w:val="0"/>
          <w:numId w:val="29"/>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标签匹配，实现对库表数据根据数据的属性、特征信息进行维 护标签。支持手动匹配标签和自动匹配标签：</w:t>
      </w:r>
      <w:r/>
    </w:p>
    <w:p>
      <w:pPr>
        <w:numPr>
          <w:ilvl w:val="0"/>
          <w:numId w:val="29"/>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支持对数据资源、数据源库表手动匹配标签、自动构建任务 匹配标签。</w:t>
      </w:r>
      <w:r/>
    </w:p>
    <w:p>
      <w:pPr>
        <w:numPr>
          <w:ilvl w:val="0"/>
          <w:numId w:val="29"/>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支持按照表名等信息查询数据列表，包含表名、所属部门、 标签配置状态、更新时间等，支持标签匹配、标签展示功能； 3、标签匹配支持配置标签表唯一标识、选择自定义/自动匹配 标签。自定义匹配标签支持按行手动配置标签数据；自动匹配标签支 持构建标签匹配任务，选择任务处理脚本、填写任务配置信息 等；</w:t>
      </w:r>
      <w:r/>
    </w:p>
    <w:p>
      <w:pPr>
        <w:numPr>
          <w:ilvl w:val="0"/>
          <w:numId w:val="29"/>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支持在脚本设计工作台内，通过设置标签匹配规则构建标签 匹配脚本；</w:t>
      </w:r>
      <w:r/>
    </w:p>
    <w:p>
      <w:pPr>
        <w:numPr>
          <w:ilvl w:val="0"/>
          <w:numId w:val="29"/>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平台内置根据条件删除标签、添加标签等 6 大标签构建模 板；</w:t>
      </w:r>
      <w:r/>
    </w:p>
    <w:p>
      <w:pPr>
        <w:numPr>
          <w:ilvl w:val="0"/>
          <w:numId w:val="29"/>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标签查看支持查看数据库表已配置标签。</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2、标签构建任务，实现对库表数据自动匹配标签任务实行统一管 理，支持任务启停、执行一次、日志查看下载等操作：</w:t>
      </w:r>
      <w:r/>
    </w:p>
    <w:p>
      <w:pPr>
        <w:numPr>
          <w:ilvl w:val="0"/>
          <w:numId w:val="3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提供对库表数据自动匹配标签任务实行统一管理功能。</w:t>
      </w:r>
      <w:r/>
    </w:p>
    <w:p>
      <w:pPr>
        <w:numPr>
          <w:ilvl w:val="0"/>
          <w:numId w:val="3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支持按照任务名称、脚本名称、任务状态查询任务列表，包 含任务名称、脚本名称、执行策略、任务状态、上次执行时间等信息，支持执行一次、批量启停、批量归档、任务编辑、删除、脚本设计及实时日志查看等；支持按照部门、角色等多种  数据权限控制任务展示。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3.9 数据安全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3.9.1 数据脱敏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数据脱敏策略，实现敏感隐私数据的可靠保护。在涉及安全数 据或者一些商业性敏感数据的情况下，在不违反系统规则条件 下，对真实数据进行改造并提供测试使用，如身份证号、手机 号、</w:t>
      </w:r>
      <w:r>
        <w:rPr>
          <w:rFonts w:hint="eastAsia"/>
          <w:color w:val="000000" w:themeColor="text1"/>
          <w:sz w:val="24"/>
          <w:szCs w:val="24"/>
          <w14:textFill>
            <w14:solidFill>
              <w14:schemeClr w14:val="tx1"/>
            </w14:solidFill>
          </w14:textFill>
        </w:rPr>
        <w:t xml:space="preserve">卡号、客户号等个人信息都需要进行数据脱敏。提供对数据加密策略统一管理功能。支持按照策略名称、脱敏 算法、状态查询脱敏策略列表，包含策略名称、脱敏算法类型、状态、创建时间等，支持新建、编辑、禁用、启用；新建脱敏算法支持掩码、截断两种脱敏算法。掩码算法类型支 持掩码前 n 后 m、保留前 n 后 m、掩码自 n 至 m、保留自 n 至m 四种算法类型；截断算法类型支持截断前 n 后 m、保留前 n 后 m、截断自 n 至 m、保留自 n 至m 四种算法类型（n、m 为参数）。支持在线测试脱敏策略，展示测试结果。</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 静态脱敏任务，可以防止隐私数据在未经脱敏的情况下流出。 敏感数据通过静态脱敏，提供内置高效、丰富的脱敏算法，对 原始数据中敏感数据进行掩码、截断、哈希，并将脱敏后的数 据写入到目标端数据表。而目标表数据可以用来对外提供数据 服务，为数据安全使用提供基础保障。</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支持可视化、向导式库表任务构建、任务启停、执行一次、 全部启停、批量归档、任务编辑、删除及运行实例日志的查   看；支持按照部门、角色等多种数据权限控制任务展示；</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支持包含 MySQL、MariaDB、Oracle、PostgreSQL、SQLServer、Greenplum、达梦、人大金仓、瀚高、GBase 等多 种数据库类型的数据脱敏；</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支持周期性自定义任务调度频率；</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支持全量同步与增量同步两种对源端数据的同步模式；</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支持仅插入与插入更新两种对目标数据的入库形式；</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支持异构数据库在无目的表的情况下在线建表功能；</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支持数据写入目标库前后自定义 SQL 的编写，用于清空表、更新状态位字段等场景；</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支持源表到目标表字段级别的自动映射关系配置、脱敏策略 配置；</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支持告警邮箱配置，实现任务告警结果推送；</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支持路由策略、阻塞处理策略、执行超时时间、失败重试 次数等配置，保证任务顺畅执行。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2、任务运行明细，具备静态脱敏任务执行记录全量查询、展示的 能力，支持按照任务名称、集成类型、执行结果等信息查询明 细列表，包含任务名称、集成数据总量、成功数据量、失败数 据量及执行耗时等；支持日志下载；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支持日志清理功能，支持清理一个月、三个月、六个月、一年 之前的日志文件，支持清理一千份、一万份、三万份、十万份 以前的日志文件。</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静态脱敏监控，提供对静态脱敏任务实时全方位监控管理，支 持脱敏任务执行情况跟踪、实时日志、监控日志明细查看、下 载。</w:t>
      </w:r>
      <w:r/>
    </w:p>
    <w:p>
      <w:pPr>
        <w:numPr>
          <w:ilvl w:val="0"/>
          <w:numId w:val="32"/>
        </w:num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支持按照任务名称、任务状态查询监控列表，包含任务名  称、所属部门、数据总量、执行总次数、任务状态、上次执行 时间等信息；</w:t>
      </w:r>
      <w:r/>
    </w:p>
    <w:p>
      <w:pPr>
        <w:numPr>
          <w:ilvl w:val="0"/>
          <w:numId w:val="32"/>
        </w:num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支持查看单个任务的运行实例，支持按照源端表名、目标表 名查询实例列表，包含源端表名、目标表名、数据总量、执行 总次数、上次执行结果等信息，支持查看运行实例的实时日志 及日志明细，支持对日志进行下载。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脱敏数据审查，提供脱敏数据安全审查功能，用于数据追踪和 问题溯源。审查数据是否符合脱敏规则。</w:t>
      </w:r>
      <w:r/>
    </w:p>
    <w:p>
      <w:pPr>
        <w:numPr>
          <w:ilvl w:val="0"/>
          <w:numId w:val="33"/>
        </w:num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支持按照目标表名、审查状态、最新执行时间查询审查列  表，包含目标表名、所属数据库、所属部门、执行任务数、脱 敏数据总量、审查状态、上次审查结果、数据详情、审查记录 等；</w:t>
      </w:r>
      <w:r/>
    </w:p>
    <w:p>
      <w:pPr>
        <w:numPr>
          <w:ilvl w:val="0"/>
          <w:numId w:val="33"/>
        </w:num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支持对脱敏后数据进行审查通过或驳回、填写审查意见；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审查记录列表支持按照审查人、审查状态、安全审查时间等信 息查询，包含审查人，脱敏数据量、审查意见、审查状态、审 查时间、脱敏执行时间等。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3.9.2 数据加密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数据加密，通过加密算法和加密密钥将明文转变为密文，而解 密则是通过解密算法和解密密钥将密文恢复为明文。利用密码 技术对信息进行加密，实现信息隐蔽，从而起到保护信息的安 全的作用。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提供对数据加密策略统一管理功能。支持按照策略名称、加密 算法、状态查询加密策略列表，包含策略名称、加密算法、所 属部门、状态等，支持新建、编辑、禁用、启用；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加密算法支持 SM2、SM4、AES、RSA、DES、DESede、MD5、SHA1、SHA256、SHA512。支持在线测试加密算法。</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3.9.3 敏感数据识别</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识别规则管理，用户可通过定义敏感数据分类和识别规则，有 效识别数据库内的敏感数据。</w:t>
      </w:r>
      <w:r/>
    </w:p>
    <w:p>
      <w:pPr>
        <w:numPr>
          <w:ilvl w:val="0"/>
          <w:numId w:val="3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支持按照识别规则名称、风险等级、规则状态查询识别规则 列表，包含规则名称、敏感数据分类、风险等级、状态等，支 持新建、编辑、禁用、启用；新建规则支持规则名称填写、敏感数据分类选取、风险等级选 取、规则类型选取、规则表达式填写等，其中规则类型支持正 则表达式、关联数据元两种；内置多种快捷变量/常量字段按  钮，方便规则表达式填写；</w:t>
      </w:r>
      <w:r/>
    </w:p>
    <w:p>
      <w:pPr>
        <w:numPr>
          <w:ilvl w:val="0"/>
          <w:numId w:val="3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支持敏感数据分类新建、编辑、删除。</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规则组管理可根据敏感数据分类、风险等级或其他的方式进行分组。</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规则组管理支持用户对识别规则进行自定义组合，为识别任务 构建提供模型构建功能。支持按照规则组名称、状态查询识别 规则列表，包含规则组名称、规则数量、状态、创建时间等， 支持新增、编辑、禁用、启用；新建规则组支持填写基本信息，匹配识别规则，支持选择多个识别规则。</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识别任务管理，用户通过选择自定义规则组，实现对数据表进 行多种规则的识别匹配，创建敏感数据识别任务，支持任务检 测策略配置、任务启停等操作。</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支持按照任务名称、数据表类型、规则组名称、状态查询任 务列表，包含任务名称、所属部门、数据表类型、规则组名称、状态等，支持任务构建、任务启停、执行一次、全部启停、批量执行归档、任务编辑、删除及运行日志明细的查看等；支持按照部门、角色等多种数据权限控制集成任务展示；</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任务构建支持任务名称、数据表类型、规则组名称、状态等 属性快捷查询；支持任务基本信息维护、执行策略设置、识别  规则组选择、数据源数据资源选择、判别标准设定等。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w:t>
      </w:r>
      <w:r>
        <w:rPr>
          <w:color w:val="000000" w:themeColor="text1"/>
          <w:sz w:val="24"/>
          <w:szCs w:val="24"/>
          <w14:textFill>
            <w14:solidFill>
              <w14:schemeClr w14:val="tx1"/>
            </w14:solidFill>
          </w14:textFill>
        </w:rPr>
        <w:t xml:space="preserve">识别任务监控，支持查看识别任务执行实例、识别结果信息以 及识别数据信息，包含识别敏感字段情况、识别任务执行数据 量、执行次数等。</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支持识别任务监控总览情况展示，包含监控总数、任务执行 情况；</w:t>
      </w:r>
      <w:r>
        <w:rPr>
          <w:rFonts w:hint="eastAsia"/>
          <w:color w:val="000000" w:themeColor="text1"/>
          <w:sz w:val="24"/>
          <w:szCs w:val="24"/>
          <w14:textFill>
            <w14:solidFill>
              <w14:schemeClr w14:val="tx1"/>
            </w14:solidFill>
          </w14:textFill>
        </w:rPr>
        <w:t xml:space="preserve">支持按照任务名称、任务状态等信息查询监控列表，包含任务 名称、检测表数、敏感字段数、执行次数、上次执行时间等， 支持查看实时日志、日志明细；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  支持任务日志明细展示，包含检测表数、检测字段数、敏感 字段数、检测耗时统计展示。以数据表为维度展示敏感字段、触发规则、规则表达式、查询总数、匹配结果、风险等级。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5、识别任务明细，支持任务每次执行明细的查看，包含任务名 称、识别数据量等。</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支持按照任务名称、执行结果、识别起止时间查询明细列表， 包含任务名称、检测表数、检测字段数、敏感字段数、执行结 果、耗时、识别时间等，支持任务明细查询、日志下载、日志 文件清理操作。</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敏感数据分布，支持对敏感数据的统一管理，用户可对敏感数 据进行多维度查询，支持敏感数据风险等级修正，将敏感数据 移入白名单等操作。</w:t>
      </w:r>
      <w:r/>
    </w:p>
    <w:p>
      <w:pPr>
        <w:numPr>
          <w:ilvl w:val="0"/>
          <w:numId w:val="35"/>
        </w:num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支持对识别出来的敏感数据进行展示，支持数据表名、数据 类型、数据来源筛选，支持按照数据表名、数据类型、数据来  源查询敏感数据列表，包含数据表名、数据类型、数据来源、最新识别时间等；</w:t>
      </w:r>
      <w:r/>
    </w:p>
    <w:p>
      <w:pPr>
        <w:numPr>
          <w:ilvl w:val="0"/>
          <w:numId w:val="35"/>
        </w:num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支持查看敏感数据明细，支持展示每个字段级别的敏感信  息，包含触发规则、检测安全等级、敏感数据分类、所属敏感 识别任务等，支持手动修正风险等级，支持查看修正记录，支 持将此字段移入白名单。</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3.9.4 风险等级管理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风险等级管理，提供风险数据的等级配置，可以根据不同业务 场景设置不同风险等级。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支持按照风险名称、状态查询风险等级列表，包含风险名称、 状态、描述等，支持新建、批量\启用\停用、编辑、删除操  作。</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3.10 运维监控</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3.10.1 数据监控</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数据监控，对数据汇聚部门、业务目录、信息资源、数据库表 以及数据量等数据资产提供多维度、多层次的统一管理及统计，包含数据总览情况、目录资源情况、资源库情况、数据源 情况四部分，每部分均支持下钻查看详细信息。</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数据总览情况支持平台目录资源、数据源建设情况数量展示， 支持部门维度目录情况统计、部门维度资源情况展示、部门维 度数据服务情况展示、目录信息项分布情况展示、部门维度数 据源情况展示、近 30 天库表数据量趋势；</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目录资源情况支持以部门、目录分类两种维度展示目录资源列 表，包含目录数、资源数、库表资源数、文件资源数、库表数 据总量等；</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支持查看每个部门/目录分类目录资源详情，包含该部门/目录 分类总览情况、目录信息列表、库表、文件、接口信息列表； 库表资源支持库表数据量、更新时间、字段详情、数据预览、 数据服务接口详情展示；</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文件资源支持文件个数、更新时间、文件详情查看；</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接口资源支持接口数据量、更新时间、接口统计情况查看；</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资源库情况支持根据资源库分类、资源库名称检索，资源库列 表支持以卡片、列表两种方式展示。</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支持查看每个资源库目录资源详情，包含该资源库总览情况、 目录信息列表、库表、文件、接口信息列表；</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库表资源支持库表数据量、更新时间、字段信息、数据预览、 数据服务接口详情展示；</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文件资源支持文件个数、更新时间、文件详情查看；</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接口资源支持接口调用次数、更新时间、接口统计情况查看；</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数据源情况支持数据源所属部门、数据库表数量、库表数据 量、数据源详情、数据量历史统计记录查看；</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数据源详情支持所有数据库表的列表展示、数据库表的数据量 展示、历史数据量统计展示、近 30 天数据量趋势图展示。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3.10.2 任务监控</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任务监控，以时间、任务分类、状态等多维度展示异常任务、 任务告警清单，全方位保障任务平稳运行。</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平台任务总览支持任务信息概览（包含各类型任务数量、各类 型异常任务情况、各类型任务告警情况）、各类型任务数据量 分布情况、各类型最近执行任务情况、各类型未处理告警任务 分布情况、近 7 天任务执行趋势图（包含成功执行、执行失败、部分成功）、各类型近 15 天任务告警趋势图。</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3.10.3 任务告警</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支持按照任务类型、任务名称、告警类型查询告警列表，包含 任务名称、告警类型、告警信息、告警状态、告警时间，支持 处理、批量处理、全部处理等操作。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3.10.4 执行器监控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执行器监控，支持实时查看执行器和服务器资源情况。支持按 照执行器类型查询执行器列表，包含执行器类型、执行器地址、服务器 CPU 占用、服务器内存占用、服务器负载等，支持 查看详情、监控参数配置、启动监控、停止监控等操作；监控详情支持查看服务器和执行器的内存、CPU 以及负载情况，点击详情支持查看每台执行器服务器负载、CPU 占用率、 内存占用率、执行器占用内存、CPU 占用率、执行器内存占用 率，以及近 30 天内占用率趋势分析。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3.10.5 执行器告警</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支持查看执行器告警信息，支持按照执行器类型、执行器地址 等信息查询告警列表，包含执行器类型、执行器地址、告警信 息等，支持已读、批量已读、全部已读、查看详情等操作。</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 应用门户</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3.11.1 首页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首页支持，通过指定关键词搜索数据目录、数据 API、专题分 析、全域数搜查看数据整体情况，包含目录总量、已发布目  录、信息项总数、库表资源数、接口资源数，最新数据 API、 最热专题数据情况。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1、支持通过检索类型检索门户数据，类型包含数据目录、数据 API、专题分析、全域数搜；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2、支持查看平台目录、信息项、资源、数据 API、数据应用总 览情况；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3、支持按照来源部门、业务分类查看最新目录情况；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4、支持按照服务分类查看最热数据 API；</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5、支持按照专题应用类型查看最新专题数据，包含数据查询、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指标分析、数据报表三类应用。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3.11.2 数据目录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数据目录，提供多维度的目录资源信息检索，支持通过组织机 构、目录分类等快捷检索，支持通过相关属性查询，提供对库 表、接口、文件三种资源的申请功能，支持申请人、申请依据 等相关信息填写。申请提交后，由管理人员进行申请审核，审 核完成后即可使用对应资源信息。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1、目录列表页支持通过组织机构、目录分类等信息检索目录列 表，支持通过相关属性查询，包含目录名称、标签、挂接资源  情况、更新时间等；支持通过申请量、访问量、更新时间自定  义排序检索结果；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2、目录详情页支持查看目录基本信息、信息项信息、标签图谱 信息；支持查看目录挂接的文件、接口、库表资源详细信息；支持目录收藏、发起资源申请；支持相关目录推荐；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3、资源申请页支持选取申请资源、提交使用方信息、申请方信 息、支撑业务信息等发起资源申请，支持选取申请目录、申请资源；接口资源支持配置接口使用期限、IP 白名单、超时时间、调用频次、使用时间范围。</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3.11.3 数据资源中心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首页：基础、主题、专题库相关信息展示。支持根据资源库类型、资源库名称、资源库分类查询资源库列表。支持查询资源目录、查看数据目录详情、资源申请，详见信息资源目录；支持查看热门目录，查看数据底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服务中心，资源库下库表资源挂载的数据服务接口、跳转数据 服务接口详情页面、申请对应的数据服务接口；热门服务查询。支持查询资源库数据服务接口；支持查看详情；支持申请数据服务；支持查看热门服务。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应用中心，对应管理端录入的资源库应用列表，应用介绍、应 用场景、数据资源、数据模型、使用流程及进入应用。支持查看应用列表、支持查看应用详细信息。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对象中心，资源库下的对象库下的目录、服务、应用、分析及 相关数据的展示。支持查看资源库下关联对象库，支持查看对象库数据目录、服 务中心、应用中心。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统计分析，基于资源库数据进行统计分析。 支持资源库数据统计与分析仪表板的展示。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3.11.4 数据 API</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 API，对资源库数据服务进行申请、使用。支持查看全部资源库数据服务&amp;代理服务，支持服务申请。</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3.11.5 专题分析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1、支持数据报表、数据查询、指标分析三类应用按照实际业务 场景进行数据共享展示。支持按照（数据查询、指标分析、数  据报表）名称、业务分类检索数据应用；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2、支持查看数据应用数据，支持全屏展示；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3、数据查询支持数据列表展示，支持高级搜索、普通搜索，支 持标签查询，支持数据列表详情页查询；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4、指标分析支持仪表板数据展示；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5、数据报表支持报表数据查询及展示。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3.11.6 数据统计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数据统计，提供数据资源发布、数据资源申请、目录标签、发 布资源类型、申请资源类型、部门发布目录情况、部门申请目 录情况、接口调用趋势、热门资源、热门接口、质量问题趋势、质量检测规则分析图。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1、支持展示数据资源发布情况、数据资源申请情况、数据资源 使用情况；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2、支持展示部门目录发布情况、部门申请目录情况、信息资源 分布情况；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3、支持展示热门资源、最新资源；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4、支持展示近 30 天接口调用趋势图。</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3.11.7 数据标准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数据标准，考虑各行业（部门）信息共享需要、满足各行业（部门）业务需求而建立科学统一的信息资源标准化体系，提 高对信息资源的开发利用水平。</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1、支持查看信息资源标准列表以及标准详情；</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2、支持通过名称、类型、性质、状态、分类检索。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3.11.8 用户中心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我的工作台，提供待办工作的快捷入口以及最近申请、收藏数 据的展示面板，平台为不同角色用户提供个性化面板内容展示，提供目录管理、资源管理等后台管理功能的快捷入口，提供以库表、接口、文件不同资源类型的维度查看需要审核的资 源申请。根据角色展示申请审核、我的申请、授权管理、我的授权；跳转注册资源目录、注册数据资源、注册数据服务、授权数据 资源界面；共享资源授权流程图展示。</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申请审核，支持管理员对用户在平台中提交的资源申请进行审 核，并查询用户提交的资源申请明细信息，管理员填写审批意 见，将用户提交的申请进行审核通过或者驳回。</w:t>
      </w:r>
      <w:r/>
    </w:p>
    <w:p>
      <w:pPr>
        <w:numPr>
          <w:ilvl w:val="0"/>
          <w:numId w:val="37"/>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支持查看待处理资源申请、已处理资源申请；支持通过目录 名称、资源名称、资源类型、提供方、申请日期检索；</w:t>
      </w:r>
      <w:r/>
    </w:p>
    <w:p>
      <w:pPr>
        <w:numPr>
          <w:ilvl w:val="0"/>
          <w:numId w:val="37"/>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支持对申请审核；</w:t>
      </w:r>
      <w:r/>
    </w:p>
    <w:p>
      <w:pPr>
        <w:numPr>
          <w:ilvl w:val="0"/>
          <w:numId w:val="37"/>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支持查看申请详情、资源详情。</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我的申请，支持用户查看自己提交的资源申请的状态，及审核 通过的资源的明细信息，已授权的接口类型的资源支持调用频次的增加。</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支持用户查看自己提交的资源申请的状态，及审核通过的资 源的明细信息。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支持展示待审核、审核通过、已驳回、已撤销申请；支持通 过资源名称、目录名称、申请状态检索；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支持查看申请详情。</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提供方审核，对已申请的库表、接口、文件进行审核（通过或 驳回），已处理申请查看明细。提供资源提供方审核查询列表。支持提供方对资源申请审核， 详见申请审核。</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w:t>
      </w:r>
      <w:r>
        <w:rPr>
          <w:color w:val="000000" w:themeColor="text1"/>
          <w:sz w:val="24"/>
          <w:szCs w:val="24"/>
          <w14:textFill>
            <w14:solidFill>
              <w14:schemeClr w14:val="tx1"/>
            </w14:solidFill>
          </w14:textFill>
        </w:rPr>
        <w:t xml:space="preserve">我的收藏，支持用户查看收藏过的目录信息，支持跳转到对应 的目录详情页面进行查看，支持批量取消收藏目录。支持查看收藏列表；支持通过目录名称、提供方、收藏日期检 索；支持取消收藏。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w:t>
      </w:r>
      <w:r>
        <w:rPr>
          <w:color w:val="000000" w:themeColor="text1"/>
          <w:sz w:val="24"/>
          <w:szCs w:val="24"/>
          <w14:textFill>
            <w14:solidFill>
              <w14:schemeClr w14:val="tx1"/>
            </w14:solidFill>
          </w14:textFill>
        </w:rPr>
        <w:t xml:space="preserve">我的消息，用户提交资源申请时会发送消息通知，管理员可以 在此功能中查看用户资源申请时发送的消息，并及时审核用户 发起的资源申请。支持查看全部平台消息；支持消息已读和全部消息已读。</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w:t>
      </w:r>
      <w:r>
        <w:rPr>
          <w:color w:val="000000" w:themeColor="text1"/>
          <w:sz w:val="24"/>
          <w:szCs w:val="24"/>
          <w14:textFill>
            <w14:solidFill>
              <w14:schemeClr w14:val="tx1"/>
            </w14:solidFill>
          </w14:textFill>
        </w:rPr>
        <w:t xml:space="preserve">授权管理，支持对审核通过的或者线下申请的用户资源进行资 源授权和收回授权。</w:t>
      </w:r>
      <w:r/>
    </w:p>
    <w:p>
      <w:pPr>
        <w:numPr>
          <w:ilvl w:val="0"/>
          <w:numId w:val="3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支持对审核通过的或者线下申请的文件、库表、接口资源进 行资源授权、撤销授权及重新授权。</w:t>
      </w:r>
      <w:r/>
    </w:p>
    <w:p>
      <w:pPr>
        <w:numPr>
          <w:ilvl w:val="0"/>
          <w:numId w:val="3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库表授权支持构建授权任务，支持填写任务名称、选择数据 推送执行策略、选择增量同步、全量同步同步模式、选择仅插  入、插入更新入库方式、配置是否自动生成 uuid、时间戳字段；支持源表到目标表字段级别的自动映射关系配置；</w:t>
      </w:r>
      <w:r/>
    </w:p>
    <w:p>
      <w:pPr>
        <w:numPr>
          <w:ilvl w:val="0"/>
          <w:numId w:val="3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接口授权提供授权密钥供接口调用；</w:t>
      </w:r>
      <w:r/>
    </w:p>
    <w:p>
      <w:pPr>
        <w:numPr>
          <w:ilvl w:val="0"/>
          <w:numId w:val="3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文件授权直接下载文件即可；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w:t>
      </w:r>
      <w:r>
        <w:rPr>
          <w:color w:val="000000" w:themeColor="text1"/>
          <w:sz w:val="24"/>
          <w:szCs w:val="24"/>
          <w14:textFill>
            <w14:solidFill>
              <w14:schemeClr w14:val="tx1"/>
            </w14:solidFill>
          </w14:textFill>
        </w:rPr>
        <w:t xml:space="preserve">授权确认支持业务部门人员对审核通过或者线下申请的库表/接 口资源进行前置库信息/接口信息确认，并可以对已经授权成功 的资源进行使用。</w:t>
      </w:r>
      <w:r/>
    </w:p>
    <w:p>
      <w:pPr>
        <w:numPr>
          <w:ilvl w:val="0"/>
          <w:numId w:val="39"/>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支持业务部门人员对审核通过或者线下申请的库表/接口资  源进行前置库信息/接口信息确认，并可以对已经授权成功的资 源进行使用。</w:t>
      </w:r>
      <w:r/>
    </w:p>
    <w:p>
      <w:pPr>
        <w:numPr>
          <w:ilvl w:val="0"/>
          <w:numId w:val="39"/>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支持接口下载授权密钥、接口测试、查看详细信息； 文件资源支持下载使用；</w:t>
      </w:r>
      <w:r/>
    </w:p>
    <w:p>
      <w:pPr>
        <w:numPr>
          <w:ilvl w:val="0"/>
          <w:numId w:val="39"/>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库表资源支持填写前置库信息、查看详细信息；</w:t>
      </w:r>
      <w:r/>
    </w:p>
    <w:p>
      <w:pPr>
        <w:numPr>
          <w:ilvl w:val="0"/>
          <w:numId w:val="39"/>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支持通过目录、资源名称、授权状态、资源类型检索。</w:t>
      </w:r>
      <w:r/>
    </w:p>
    <w:p>
      <w:p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3.12 数据可视化</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3.12.1 设计中心</w:t>
      </w:r>
      <w:r/>
    </w:p>
    <w:p>
      <w:pPr>
        <w:ind w:firstLine="420"/>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w:t>
      </w:r>
      <w:r>
        <w:rPr>
          <w:b/>
          <w:bCs/>
          <w:color w:val="000000" w:themeColor="text1"/>
          <w:sz w:val="24"/>
          <w:szCs w:val="24"/>
          <w14:textFill>
            <w14:solidFill>
              <w14:schemeClr w14:val="tx1"/>
            </w14:solidFill>
          </w14:textFill>
        </w:rPr>
        <w:t xml:space="preserve">仪表板</w:t>
      </w:r>
      <w:r>
        <w:rPr>
          <w:color w:val="000000" w:themeColor="text1"/>
          <w:sz w:val="24"/>
          <w:szCs w:val="24"/>
          <w14:textFill>
            <w14:solidFill>
              <w14:schemeClr w14:val="tx1"/>
            </w14:solidFill>
          </w14:textFill>
        </w:rPr>
        <w:t xml:space="preserve">，提供仪表板的工作空间绘制及管理功能，通过拖拽的 方式将多个可视化图表组合在一起，形成一种交互式的、可快 速浏览和理解的界面。通过数据可视化仪表板，用户可以快速 了解数据的整体情况和趋势，同时还可以通过交互式操作来深 入探索和分析数据。提供包含饼状图、环形图、条形图、折线 图、面积图、块地图、文本、玫瑰饼图、玫瑰环形图、进度条、图片、数值动画等不少于 55 种组件。</w:t>
      </w:r>
      <w:r/>
    </w:p>
    <w:p>
      <w:pPr>
        <w:numPr>
          <w:ilvl w:val="0"/>
          <w:numId w:val="4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支持仪表板的新增、编辑、预览、克隆、重命名、分享、批 量导出、批量删除操作；</w:t>
      </w:r>
      <w:r/>
    </w:p>
    <w:p>
      <w:pPr>
        <w:numPr>
          <w:ilvl w:val="0"/>
          <w:numId w:val="4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仪表板设计工作空间，提供自动布局、绝对布局两种绘制方 式；自动布局支持将组件拖拽至画布后，元素的位置可以根据  画布的可用宽度动态调整，支持 PC 端、移动端多端适配查看； 绝对布局支持用户手动排版画布组件位置；</w:t>
      </w:r>
      <w:r/>
    </w:p>
    <w:p>
      <w:pPr>
        <w:numPr>
          <w:ilvl w:val="0"/>
          <w:numId w:val="4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支持仪表板批量导入导出，实现仪表板快速迁移；</w:t>
      </w:r>
      <w:r/>
    </w:p>
    <w:p>
      <w:pPr>
        <w:numPr>
          <w:ilvl w:val="0"/>
          <w:numId w:val="4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支持平台授权、平台授权+验证码、单点登录、免登录四种 分享方式；</w:t>
      </w:r>
      <w:r/>
    </w:p>
    <w:p>
      <w:pPr>
        <w:numPr>
          <w:ilvl w:val="0"/>
          <w:numId w:val="4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仪表板设计空间需要提供组件区、图层展示区、画布区、工 具栏、配置区五部分。支持零编码拖拽式操作，可以将不同的  可视化元素在画布上组合配置；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1）组件区提供饼状图、环形图、条形图、折线图、面积图、块 地图、文本、玫瑰饼图、玫瑰环形图、词云、漏斗图、水球图、 点地图、块地图、迁徙图、进度条、百分比环形图、正负条形图、 堆积折线图、3D 饼图等至少 30 种图表组件；</w:t>
      </w:r>
      <w:r/>
    </w:p>
    <w:p>
      <w:pPr>
        <w:numPr>
          <w:ilvl w:val="0"/>
          <w:numId w:val="41"/>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提供表格、轮播列表、滚动排名列表等列表组件；</w:t>
      </w:r>
      <w:r/>
    </w:p>
    <w:p>
      <w:pPr>
        <w:numPr>
          <w:ilvl w:val="0"/>
          <w:numId w:val="41"/>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提供文字、数值、数值动画、图片、视频、时间、评分、数字 翻牌器、网页、条件图标 10 种信息组件；</w:t>
      </w:r>
      <w:r/>
    </w:p>
    <w:p>
      <w:pPr>
        <w:numPr>
          <w:ilvl w:val="0"/>
          <w:numId w:val="41"/>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提供不少于 20 种可视化边框、装饰素材；</w:t>
      </w:r>
      <w:r/>
    </w:p>
    <w:p>
      <w:pPr>
        <w:numPr>
          <w:ilvl w:val="0"/>
          <w:numId w:val="41"/>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提供文本输入、下拉选择、下拉多选、下拉树选择、 tab 按钮 组、tab、日期选择、年月日、平铺多选、按钮 10 种控制器组件， 控制其余组件数据，实现数据联动；</w:t>
      </w:r>
      <w:r/>
    </w:p>
    <w:p>
      <w:pPr>
        <w:numPr>
          <w:ilvl w:val="0"/>
          <w:numId w:val="41"/>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提供栅格、卡片、标签页 3 种布局组件，支持将图表组件放 置进布局组件中，通过布局组件规整组件排版；</w:t>
      </w:r>
      <w:r/>
    </w:p>
    <w:p>
      <w:pPr>
        <w:numPr>
          <w:ilvl w:val="0"/>
          <w:numId w:val="41"/>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提供百度、高德在线地图组件，支持配置热力图层、轨迹图 层，支持配置地图主题背景，支持 2D、3D 地图灵活切换；</w:t>
      </w:r>
      <w:r/>
    </w:p>
    <w:p>
      <w:pPr>
        <w:numPr>
          <w:ilvl w:val="0"/>
          <w:numId w:val="41"/>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支持指标库指标拖入仪表板使用；支持将单个组件转化为数 据指标；</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2）图层展示区提供画布中所有组件的图层展示，支持拖拽进 行图层顺序变换；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3）配置区提供组件样式、数据、下钻、动画配置。</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样式模块支持配置组件标题、边框、背景、图例等； 支持配置 页面宽高、位置等；</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为灵活地适应仪表盘、大屏多种多样的样式，平台支持组件 背景、图形等渐变色配置；</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折线图、柱状图等组件支持滚动条配置，实现图表的显示范 围灵活控制；</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柱状图、环形图等组件支持轮播设置，实现组件指标循环展 示；</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表格、列表组件支持隔行换色、特殊行样式等配置；</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文本输入、下拉选择等控制器组件支持通过控制配置联动其 他组件，包含显示控制、隐藏控制、增加条件控制显隐等；</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7堆积百分比组件支持配置同比/环比条件，反映数据一段时间 内的变化情况；</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Tab 组件支持通过 tab 切换控制数据联动；tab 按钮组组件支 持通过 tab 切换控制仪表板页面切换；</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数据模块支持组件选取数据集，支持数据集指标、维度自动 划分，用户可拖拽匹配维度、指标、过滤字段；支持字典配置， 支持静态数据字典、平台已有字典、数据集自定义字典三种；</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下钻模块提供仪表板组件多层下钻功能，支持打开新页面、 组件联动、弹窗显示、外部链接、自定义代码下钻五种下钻方式， 通过下钻实现对数据分析的层层递进与微观展示；</w:t>
      </w:r>
      <w:r/>
    </w:p>
    <w:p>
      <w:pPr>
        <w:numPr>
          <w:ilvl w:val="0"/>
          <w:numId w:val="42"/>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动画模块支持组件动画效果配置，包含弹跳、闪烁、放大缩 小等至少 40 种动画效果；</w:t>
      </w:r>
      <w:r/>
    </w:p>
    <w:p>
      <w:pPr>
        <w:numPr>
          <w:ilvl w:val="0"/>
          <w:numId w:val="42"/>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工具区提供组件、图层等区域显隐， 支持配置全局参数，支 持实时预览、保存、上一步、下一步操作。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4）工具区提供组件、图层等区域显隐，支持配置全局参数， 支持实时预览、保存、上一步、下一步操作。</w:t>
      </w:r>
      <w:r/>
    </w:p>
    <w:p>
      <w:p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b/>
          <w:bCs/>
          <w:color w:val="000000" w:themeColor="text1"/>
          <w:sz w:val="24"/>
          <w:szCs w:val="24"/>
          <w14:textFill>
            <w14:solidFill>
              <w14:schemeClr w14:val="tx1"/>
            </w14:solidFill>
          </w14:textFill>
        </w:rPr>
        <w:t xml:space="preserve">数据报表</w:t>
      </w:r>
      <w:r>
        <w:rPr>
          <w:color w:val="000000" w:themeColor="text1"/>
          <w:sz w:val="24"/>
          <w:szCs w:val="24"/>
          <w14:textFill>
            <w14:solidFill>
              <w14:schemeClr w14:val="tx1"/>
            </w14:solidFill>
          </w14:textFill>
        </w:rPr>
        <w:t xml:space="preserve">，一种用来展示数据或信息的文档。它通常包含表格、 文字和其他可视化元素，以便用户能够快速了解和分析数据，帮助用户更好地理解数据，并且可以在决策过程中提供有用的信息。</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数据报表设计工作空间支持通过拖拽的方式选择报表需要 展示的数据集字段；</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提供小计、分组、补充空白行和汇总功能；</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提供撤销、恢复、格式刷、字段格式、小数位数、字体、字 号、加粗、斜体、删除线、下划线、字体颜色、单元格背景色、 边框样式、合并单元格、对齐方式选择、单元格换行配置、图片 上传、冻结行/列、自动换行等报表配置；支持报表打印；</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提供求平均值、最大值、最小值、求和、计数等函数支撑； </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支持下钻配置，支持打开新页面和报表联动下钻两种下钻 方式；</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支持报表查询条件自定义；</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支持报表数据批量导出，支持将多级下钻报表以 sheet 页 形式归档到 excel 文件中导出；</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支持平台授权、平台授权+验证码、单点登录、免登录四种分享方式；</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支持 PC 端、移动端多端适配查看。</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支持报表结构的批量导入导出，实现数据报表快速迁移；</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支持报表的新增、编辑、预览、分享、批量删除操作；</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数据报表支持插入图片及图表指标，通过报表结合图表的 形式实现数据的统计分析；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3.12.2 资源工厂</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1、自定义组件：</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自定义组件，提供组件、素材自定义，提供低代码编辑器编写 ECharts 脚本或其他 Json 脚本生成仪表板组件，支持组件代码 设计、删除、批量导入、批量导出，提高仪表板组件的灵活性 和可定制性，满足不同业务场景下的分析需求</w:t>
      </w:r>
      <w:r>
        <w:rPr>
          <w:rFonts w:hint="eastAsia"/>
          <w:color w:val="000000" w:themeColor="text1"/>
          <w:sz w:val="24"/>
          <w:szCs w:val="24"/>
          <w14:textFill>
            <w14:solidFill>
              <w14:schemeClr w14:val="tx1"/>
            </w14:solidFill>
          </w14:textFill>
        </w:rPr>
        <w:t xml:space="preserve">.</w:t>
      </w:r>
      <w:r/>
    </w:p>
    <w:p>
      <w:pPr>
        <w:numPr>
          <w:ilvl w:val="0"/>
          <w:numId w:val="4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支持自定义组件代码设计、删除、批量导入、批量导出；</w:t>
      </w:r>
      <w:r/>
    </w:p>
    <w:p>
      <w:pPr>
        <w:numPr>
          <w:ilvl w:val="0"/>
          <w:numId w:val="4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提供低代码编辑器编写 ECharts 脚本或其他 VUE3 脚本生成 仪表板组件，支持组件样式、布局位置等；</w:t>
      </w:r>
      <w:r/>
    </w:p>
    <w:p>
      <w:pPr>
        <w:numPr>
          <w:ilvl w:val="0"/>
          <w:numId w:val="4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提供实时编辑预览，支持组件脚本编辑的同时，预览组件生 成效果，方便同步调整组件内容。</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模板管理</w:t>
      </w:r>
      <w:r>
        <w:rPr>
          <w:rFonts w:hint="eastAsia"/>
          <w:color w:val="000000" w:themeColor="text1"/>
          <w:sz w:val="24"/>
          <w:szCs w:val="24"/>
          <w14:textFill>
            <w14:solidFill>
              <w14:schemeClr w14:val="tx1"/>
            </w14:solidFill>
          </w14:textFill>
        </w:rPr>
        <w:t xml:space="preserve">：</w:t>
      </w:r>
      <w:r/>
    </w:p>
    <w:p>
      <w:pPr>
        <w:numPr>
          <w:ilvl w:val="0"/>
          <w:numId w:val="45"/>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支持将沉淀下来的可视化仪表板生成指标模板，支持沉淀不 同领域下的业务模板，将业务数据量化管理，并可广泛应用于</w:t>
      </w:r>
      <w:r/>
    </w:p>
    <w:p>
      <w:pPr>
        <w:numPr>
          <w:ilvl w:val="0"/>
          <w:numId w:val="45"/>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各种场景下，使得业务经营变得可描述、可度量、可拆解</w:t>
      </w:r>
      <w:r/>
    </w:p>
    <w:p>
      <w:pPr>
        <w:numPr>
          <w:ilvl w:val="0"/>
          <w:numId w:val="45"/>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支持模板设计、编辑、预览；支持将设计好的仪表板沉淀为 模板，也支持将模板实时应用到仪表板里，沉淀业务模板，简  化仪表板设计流程，提高仪表板可复用性</w:t>
      </w:r>
      <w:r/>
    </w:p>
    <w:p>
      <w:pPr>
        <w:numPr>
          <w:ilvl w:val="0"/>
          <w:numId w:val="45"/>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支持通过拖拽方式自定义数据仪表板与数据报表，支持数据 下钻，内置数据仪表板组件≥50</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指标工厂</w:t>
      </w:r>
      <w:r>
        <w:rPr>
          <w:rFonts w:hint="eastAsia"/>
          <w:color w:val="000000" w:themeColor="text1"/>
          <w:sz w:val="24"/>
          <w:szCs w:val="24"/>
          <w14:textFill>
            <w14:solidFill>
              <w14:schemeClr w14:val="tx1"/>
            </w14:solidFill>
          </w14:textFill>
        </w:rPr>
        <w:t xml:space="preserve">:</w:t>
      </w:r>
      <w:r/>
    </w:p>
    <w:p>
      <w:pPr>
        <w:numPr>
          <w:ilvl w:val="0"/>
          <w:numId w:val="4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支持将沉淀下来的数据指标自定义样式、数据，生成指标模 板，支持指标模板导入导出，支持指标模板在仪表板构建时直接 拖拽使用，实现可视化仪表板快速生成。</w:t>
      </w:r>
      <w:r/>
    </w:p>
    <w:p>
      <w:pPr>
        <w:numPr>
          <w:ilvl w:val="0"/>
          <w:numId w:val="4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支持单个组件固定样式、数据生成数据指标， 支持批量启用、 批量停用、批量删除、新增、编辑、设计、禁用/启用等操作；  3、新建指标支持选择指标组件，包含提供饼状图、环形图、条 形图、折线图、面积图、块地图、文本、玫瑰饼图、玫瑰环形图、 词云、漏斗图、水球图、点地图、进度条、百分比环形图、正负 条形图、堆积折线图等至少 30 种图表组件元素；</w:t>
      </w:r>
      <w:r/>
    </w:p>
    <w:p>
      <w:pPr>
        <w:numPr>
          <w:ilvl w:val="0"/>
          <w:numId w:val="4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提供表格、轮播列表 2 种列表组件；提供文字、数值、图片 视频、时间、评分、数字翻牌器、网页、条件图标等信息组件； </w:t>
      </w:r>
      <w:r/>
    </w:p>
    <w:p>
      <w:pPr>
        <w:numPr>
          <w:ilvl w:val="0"/>
          <w:numId w:val="4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支持组件样式配置， 包含选中样式、标签样式、布局位置等；</w:t>
      </w:r>
      <w:r/>
    </w:p>
    <w:p>
      <w:pPr>
        <w:numPr>
          <w:ilvl w:val="0"/>
          <w:numId w:val="4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支持接入数据集数据，支持组件数据指标、维度自动划分， 拖拽匹配维度、指标、过滤字段； 支持指标动画效果配置，包含 弹跳、闪烁、放大缩小等至少 40 种动画效果；</w:t>
      </w:r>
      <w:r/>
    </w:p>
    <w:p>
      <w:pPr>
        <w:numPr>
          <w:ilvl w:val="0"/>
          <w:numId w:val="4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支持批量导入、批量导出指标数据，实现指标数据快速迁移</w:t>
      </w:r>
      <w:r>
        <w:rPr>
          <w:rFonts w:hint="eastAsia"/>
          <w:color w:val="000000" w:themeColor="text1"/>
          <w:sz w:val="24"/>
          <w:szCs w:val="24"/>
          <w14:textFill>
            <w14:solidFill>
              <w14:schemeClr w14:val="tx1"/>
            </w14:solidFill>
          </w14:textFill>
        </w:rPr>
        <w:t xml:space="preserve">。</w:t>
      </w:r>
      <w:r/>
    </w:p>
    <w:p>
      <w:p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3.12.3 数据工厂</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数据集，基于数据源功能，编写提供给仪表板&amp;报表使用的数据 查询 SQL 语句的功能。提供查询预览、 SQL 美化功能，便于使用 者快速高效地编写出数据集。</w:t>
      </w:r>
      <w:r/>
    </w:p>
    <w:p>
      <w:pPr>
        <w:numPr>
          <w:ilvl w:val="0"/>
          <w:numId w:val="47"/>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支持数据集新增、编辑、删除、批量导入、批量导出等操 作；</w:t>
      </w:r>
      <w:r/>
    </w:p>
    <w:p>
      <w:pPr>
        <w:numPr>
          <w:ilvl w:val="0"/>
          <w:numId w:val="47"/>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新建数据集支持选取数据源、SQL 查询语句编写、SQL 脚本格式美化、限制查询条数配置、SQL 运行、查询数据预览等；</w:t>
      </w:r>
      <w:r/>
    </w:p>
    <w:p>
      <w:pPr>
        <w:numPr>
          <w:ilvl w:val="0"/>
          <w:numId w:val="47"/>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支持字段明细展示，支持配置展示顺序、别名、类型，如数据集应用于数据报表，支持配置字段是否用于查询、查询模式、 查询字典等；</w:t>
      </w:r>
      <w:r/>
    </w:p>
    <w:p>
      <w:pPr>
        <w:numPr>
          <w:ilvl w:val="0"/>
          <w:numId w:val="47"/>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支持变量配置，支持手动添加变量，包含变量名、字段类 型等，可用于数据报表查询、仪表板联动等；变量类型包含字符、 数值、日期、表达式四种；内置登录用户权限变量十余种，用于控制数据集权限</w:t>
      </w:r>
      <w:r>
        <w:rPr>
          <w:rFonts w:hint="eastAsia"/>
          <w:color w:val="000000" w:themeColor="text1"/>
          <w:sz w:val="24"/>
          <w:szCs w:val="24"/>
          <w14:textFill>
            <w14:solidFill>
              <w14:schemeClr w14:val="tx1"/>
            </w14:solidFill>
          </w14:textFill>
        </w:rPr>
        <w:t xml:space="preserve">。</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数据源，提供常见类型数据库的数据库连接方式，用户通过配 置相应的数据源连接参数，即可连接对应的数据源，保存后的 数据源即可提供给数据集功能进行使用。</w:t>
      </w:r>
      <w:r/>
    </w:p>
    <w:p>
      <w:pPr>
        <w:numPr>
          <w:ilvl w:val="0"/>
          <w:numId w:val="4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支持按照数据源名称、数据源类型查询数据源列表，包含数 据源名称、数据源类型、状态、创建时间等，支持数据源的新  建、编辑、删除、启用、停用、测试连接操作；</w:t>
      </w:r>
      <w:r/>
    </w:p>
    <w:p>
      <w:pPr>
        <w:numPr>
          <w:ilvl w:val="0"/>
          <w:numId w:val="4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新建数据源支持 JDBC、文件、接口三种类型的数据接入，JDBC 数据源支持达梦、GreenPlum、瀚高、MariaDB、MySQL、Oracle、PostgreSQL、SQLServer、ClickHouse 等不少于 10种，文件数据源支持 CSV、EXCEL 格式文件数据接入，接口数据 源支持 HTTP 格式数据接入。</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3.12.4 数据集成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支持与学习地图等应用进行数据集成，可在学习地图进行相关 图表的可视化呈现。</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 学习成果服务系统</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系统支持按照设定的学习成果名录及认定、转换规则完成对学习成果的存储、认证及转化，并生 成个人档案。</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4.1 成果名录管理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4.1.1 名录查询</w:t>
      </w:r>
      <w:r/>
    </w:p>
    <w:p>
      <w:p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ab/>
      </w:r>
      <w:r>
        <w:rPr>
          <w:rFonts w:hint="eastAsia"/>
          <w:color w:val="000000" w:themeColor="text1"/>
          <w:sz w:val="24"/>
          <w:szCs w:val="24"/>
          <w14:textFill>
            <w14:solidFill>
              <w14:schemeClr w14:val="tx1"/>
            </w14:solidFill>
          </w14:textFill>
        </w:rPr>
        <w:t xml:space="preserve">显示当前单位所拥有的成果名录列表，可以新建成果名录，可 以修改草稿状态，并可以导出成果名录列表</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1、支持按条件进行成果名录查询；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2、支持成果名录导出。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4.1.2 名录录入和发布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支持管理机构、合作单位进行学历、非学历二类成果名录进行 创建和发布。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1、支持管理机构、合作单位进行学历、非学历二类成果名录进 行创建和发布；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2、学历教育名录字段包括录入成果名称、成果英文名称、来源 机构、协议单位、学习模式、协议单位内部编码、性质、级别、成果学分、专业、学科门类、学时、成绩类型、证明材料 等信息，点击“发布”按钮将名录进行发布；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3、非学历教育名录包括录入成果名称、成果英文名称、来源机 构、协议单位、协议单位内部编码、学习模式、成绩类型、成果学分、学时、类别（可设置多种类别）、证明材料等信息， 点击“发布”按钮将名录进行发布；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4、其他教育名录包括录入成果名称、成果英文名称、来源机  构、协议单位、协议单位内部编码、学习模式、类别、级别、 成绩类型、评估学分、证明材料等信息，点击“发布”按钮将 名录进行发布；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5、批量导入学习成果名录,协议单位导入的需由学分银行管理 中心审核，学分银行管理中心导入的由系统自动确认。</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4.2 转换规则管 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4.2.1 转换规则查询</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学分银行管理中心、协议单位可进行转换规则的查询、规则维 护等操作。</w:t>
      </w:r>
      <w:r/>
    </w:p>
    <w:p>
      <w:pPr>
        <w:numPr>
          <w:ilvl w:val="0"/>
          <w:numId w:val="49"/>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支持按照转换规则编码、转换前学习成果名称、转换前成果 颁证机构、目标转换学习成果名称、目标转换成果颁证机构、转换规则生效日期和转换规则失效日期等条件检索转换规则；</w:t>
      </w:r>
      <w:r/>
    </w:p>
    <w:p>
      <w:pPr>
        <w:numPr>
          <w:ilvl w:val="0"/>
          <w:numId w:val="49"/>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支持按照转换规则编码、转换前学习成果名称、转换前成果 颁证机构、目标转换学习成果名称、目标转换成果颁证机构、转换规则生效日期和转换规则失效日期等条件检索转换规则。</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4.2.2 转换规则新建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1、学银分银行管理中心或协议单位管理员可进行转换规则创  建，点击新建按钮，录入源机构、源成果、源成果列表、目标 协议单位、目标机构、目标成果、目标成果列表、备注等信息，点击保存按钮完成转换规则添加，并存为草稿状态；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2、学分银行管理中心转化规则审核管理员审核通过后，转化规 则变为“生效”状态。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4.2.3 转换规则修改</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管理员可对已保存或已发布的转换规则进行修改操作，其中若 转换已发布，那么修改时将会生产新的转换规则。</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4.2.4 转换规则发布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管理员可通过点击发布按钮，将草稿状态的转换规则正式发 布。</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4.2.5 转换规则删除</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对于草稿状态的转换规则，直接删除；对于已发布状态的转换 规则，删除后变为停用状态。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4.2.6 转换规则启用</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对于停用状态的转换规则，可以启用，启用后变为草稿状态。</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4.3 成果存储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4.3.1 个人成果查询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显示当前用户名下的所有个人成果，及认证状态，并可以查看 明细。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4.3.2 个人成果添加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机构和学习者可以录入学习成果信息和相关证明材料，学习者 录入基本信息、选择成果名录、个人学习成果信息等，进行学 历类、非学历类、其他类学习成果添加。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1、学习者录入基本信息、选择成果名录、个人学习成果信息 等，进行学历类、非学历类、其他类学习成果添加；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2、添加时学习者可以查询并选择名录中已存在的学习成果，也 可清除已选择的学习成果手动添加名录中不存在的学习成果；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3、添加后是保存状态。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4.3.3 个人成果认证申请</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1、学习者可在线发起个人成果认证申请，对已提交的学习成果 或通过选择学习成果类型，填报成果名称、来源机构、协议单  位、学习模式、成绩类型、成果学分、学时、类别、性质、成  果主要内容描述等信息，并上传证明材料后完成个人成果认证  申请；</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2、只允许对成果名录中的个人成果进行认证；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3、认证支持合作单位、高校、颁证单位等多种方式。</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4.3.4 个人成果批量 导入</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协议单位可基于系统内置模板，将学院的个人学习成果进行批 量导入；</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协议单位也可通过接口与学分银行信息系统连接，实现学习成 果批量上传。</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4.3.5 个人成果导出</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协议单位和个人可将查询到的学习成果进行批量导出。</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4.4 成果认证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4.4.1 成果认证查询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学分银行管理中心、协议单位可在线根据学习者姓名、成果名 称、成果认证状态等查询条件查询学习者提交的个人成果，并 可以查看成果明细。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4.4.2 成果认证审核</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学分银行对学习者提交的个人学习成果进行认证审核，并将不 在名录内的成果自动添加到成果名录中。</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1、对于学历类学习成果，协议单位导入后，系统自动进行成果 名录匹配，非名录内的成果系统会自动添加名录并自动审核；</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2、对于非学历类学习成果，协议单位导入后先进行名录匹配， 不在名录内的成果无法进行导入，名录内的成果导入成功后， 为提交状态，等待学分银行进行审核；</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3、学分银行管理员审核通过之后，学习者成果认证成功。</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4.5 成果转换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4.5.1 成果转换查询</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支持查询当前用户名下的所有转换申请，并可以查看明细。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4.5.2 新转换申请</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1、学习者选择所需转换规则后，点击新转换申请，打开转换明 细并确认无误后，提交转换；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2、目标协议单位审核通过后，则用户就获得转换规则的目标学 习成果，并可以申请生成学习报告；</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3、学习成果转换可通过接口实现与第三方系统的对接，根据不 同接口标准实现业务联通和数据交换。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4.5.3转换批量导入</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支持协议单位对于一批学员统一进行成果转换导入。</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4.5.4 成果报告</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1、学习者可查询到的名下的所有“未出报告学习成果”以及 “成果报告”；</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2、勾选未出报告的学习成果，可一键生成报告。并且系统为每 个成果报告加盖防伪二维码，用于扫码验证，确保成果的真实、防篡改；</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3、可出具单一成果报告，也可选择多个成果合并打印；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4、可生成季度、年度学习成果报告，并支持导出和打印。</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4.5.5 可信档案</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1、系统自动汇总分析学习者的个人基本信息、教育经历、工作 经历，以及在本平台已完成认证的学习成果等数据，形成个人  学习档案；</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2、系统为每个档案加盖防伪二维码，用于扫码验证，确保档案 的真实、防篡改；</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3、可信档案支持导出</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5、在线约课系统</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各学银机构、协议单位、合作单位、社区等可通过在线约课系统创建学习活动，选择活动场所关 联场所码并发布活动，各学习者可进行报名预约、现场签到学习，可供第三方系统调用。</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5.1 活动发布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各单位可通过在线约课系统发布或批量导入课程预告和课程内 容。</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1、发布的课程内容需选择活动场所，和场所码进行关联；</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2、支持对活动信息进行设置，包括活动开展形式（是否需要报 名）、限定报名人数、报名开始时间、报名结束时间、签到距离范围（基于 gps 定位）、签到次数、签到时间范围、活动积  分（按学时自动计算）等信息；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3、课程发布送将提交学分银行管理员审核，同时系统自动向学 分银行管理员推送待办通知；</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5.2 在线报名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1、学习者查看活动列表，点击意向活动后可查看活动详情、剩 余名额，点击“我要报名”按钮完成报名；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2、对于活动开展形式为“需报名”的活动，用户报名时需校验 报名人员基本信息，要求用户必须完善用户个人信息，且居住  信息需至少维护到街道，并校验活动指定区域的报名人数。</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5.3 签到学习</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5.3.1 主动式签到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1、已报名学习者只需使用手机扫描教室门口的活动二维码，即 可快速完成签到；同一二维码支持微信、支付宝、学银 APP 多 端扫码签到；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2、学习者还可以通过电脑或手机端进入活动详情页，轻松点击 “我要签到”按钮，完成签到流程。</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5.3.2 被动式签到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支持人脸识别、身份证识别签到、移动端扫码识别等方式进行 签到，同时支持补签功能。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1、支持人脸识别、身份证识别签到；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2、支持移动端扫码识别签到，管理员或助教可以通过移动端扫 码功能，识别学习者的个人码进行签到；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3、支持补签功能，学习者填写补签理由后提交活动管理者进行 审批，审批通过后完成补签；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4、当学习者完成所有签到学习任务后，系统自动完成结课并为 该学习者赋予相应的积分。</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5.4 统计分析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面向活动管理者，提供活动参与人数、活动签到情况、活动缺 勤情况、活动补签情况等统计功能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1、面向学分银行管理员，提供区域内活动举办详情统计，包括 活动数量、参与人数等；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2、面向活动管理者（及辅导老师），提供活动参与人数、活动 签到情况、活动缺勤情况、活动补签情况等。同时增加未签到  人员统计，并支持通过设置限制超过几次未签到，限制禁止下  次活动参与报名。</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 学习资源服务系统</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依据国家相关技术标准，建立资源接入规范，将第三方资源以外部链接的形式进行接入，同时也 支持学分银行进行本地化资源上传及管理，通过资源服务系统为全省学习者提供统一学习资源访 问服务。</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 资源门户</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6.1.1 一站式各级资源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形成教育资源数据规范、教育资源接入规范和教育资源服务目 录规范。在资源门户中可根据专题资源、学习资源等多种维度，分别展示相关维度的资源，供用户根据自己的需要，快速 访问相关的资源入口；</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系统可以通过接入多种第三方厂商平台，以资源标准目录方式 实现资源整合，同时提供教育资源接入标准规范及接入工具， 包括接口服务、批量导入工具和资源迁移工具。</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6.1.2 最新资源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提供图文结合的展示形式，显示平台中新接入的资源信息，各 级用户可以快捷点击查看</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6.1.3 精品资源</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管理员可以通过资源访问量、反馈评价等级、收藏量等多项指 标分析筛选精品资源，以图文结合的展示形式，在展示中心首 页进行显示，各级用户可以快捷访问点击查看.。</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6.1.4 推荐资源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基于数据挖掘技术，利用智能算法，从用户基础属性（学段、 年级、学科）、用户行为（浏览、下载、保存等日常行为）、 用户兴趣爱好、资源属性等分析，在用户查阅和参考资源时推 送与其资源偏好相关度较高的优质资源，实现个性化资源精准 推送</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6.1.5 相关资源</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当用户访问具体某一类型资源时，在资源详情界面会推荐同类 型的资源，包括但不限于根据学科，年级，学段进行同类型资 源展示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6.1.6 资源统计</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可以通过学科、学段、区域进行资源统计。包括但不限于下载 量、好评度、访问量等教育管理者关注的指标</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6.1.7 资源 e 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户可以通过学段、学科、版本、资源来源、资源级别和资源 格式等多种方式进行快速资源搜索和检索，服务学习者自主学习场景；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1、搜索支持单关键字搜索、多关键字组合搜索、拼音搜索等方 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2、结果支持按照教育资源浏览量、下载量、收藏量、评论数和 分享量等因素的自定义资源综合评分模型的构建，结合用户所  处学段、学科、兴趣标签以及用户浏览记录，完成个性化智能推荐</w:t>
      </w:r>
      <w:r>
        <w:rPr>
          <w:rFonts w:hint="eastAsia"/>
          <w:color w:val="000000" w:themeColor="text1"/>
          <w:sz w:val="24"/>
          <w:szCs w:val="24"/>
          <w14:textFill>
            <w14:solidFill>
              <w14:schemeClr w14:val="tx1"/>
            </w14:solidFill>
          </w14:textFill>
        </w:rPr>
        <w:t xml:space="preserve">.。</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6.2 资源管理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6.2.1 我的资源管理</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我的资源显示个人发布的资源、关注的资源、浏览过的资源、 收藏的资源、分享的资源、评论的资源、下载的资源、个人积 分等信息。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6.2.2 资源接入-服务 接口方式</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1、资源服务系统对外提供资源接入接口，各协议单位、合作单 位通过此接口将优质资源链接推送至资源服务系统中；</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2、所提供的接口服务包括：资源目录获取服务、系统标签获取 服务、资源推送服务。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6.2.3 资源接入-本地 上传方式</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资源管理员可通过本地资源上传的方式，将优质课程资源或优 质资源的链接上传至资源服务系统，供各级用户访问，包括制作资源模板、资源上传、资源审核等功能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1、资源管理员通过平台进行资源上传，上传时根据系统提示填 写资源名称、资源封面、添加资源附件或资源访问地址，并选  择资源对应的学科、目录、知识点等信息，点击上传按钮完成  资源上传；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2、资源管理员通过此功能进行本级待审资源的快捷检索，支持 按照资源类型、审核状态等方式进行检索。点击具体待审资源  可查看该资源详情，对于符合条件的资源，管理员点击“通过”按钮，可将资源审核入库；对于不符合条件的资源，管理 员点击“驳回”按钮，将资源驳回至资源提交者；</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3、资源管理员根据具体的应用场景制作相关的资源上传模板， 规范资源上传行为和保障资源的质量；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4、管理员可通过资源包的形式进行资源上传。即上传多个资源 时，可在线选择内置资源主题或设置个性化资源主题，并将所  传资源按照设置主题进行分类上传；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5、支持对已上传的视频进行打点，方便学习者在观看视频时快 速定位关心的学习内容。</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6.2.4 资源评价</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各级用户可对资源进行点赞、点踩等多角度评价，并支持收 藏，系统会自动根据评价权重进行资源推荐和排序</w:t>
      </w:r>
      <w:r>
        <w:rPr>
          <w:rFonts w:hint="eastAsia"/>
          <w:color w:val="000000" w:themeColor="text1"/>
          <w:sz w:val="24"/>
          <w:szCs w:val="24"/>
          <w14:textFill>
            <w14:solidFill>
              <w14:schemeClr w14:val="tx1"/>
            </w14:solidFill>
          </w14:textFill>
        </w:rPr>
        <w:t xml:space="preserve">.。</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6.3 成果码资源配置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管理员可利用资源平台将最优质的微课等内容按照成果、主题 等维度进行梳理，将资源添加到成果名录下，在线生成一套推 送学习资源的系列二维码，并支持通过“成果码”进行呈现。</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6.4 资源设置</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6.4.1 资源目录维护</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1、用户对资源服务系统的归类目录进行自定义维护，包括新增 一级、二级、直到末级的名录，修改和删除对应级别的名录名  称等；</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2、支持新增目录，在自定义目录管理界面上，提供新增目录的 功能。用户可以选择要新增目录的级别，如一级目录、二级目  录等。然后，填写相应的名称和描述信息，以创建新的目录；</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3、修改目录名称，用户可以在自定义目录管理界面上对已有的 目录进行修改。通过点击相应的目录项，用户可以编辑名称和  描述等信息，并保存修改；</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4、删除目录，为了满足用户需要，自定义目录管理界面上应该 提供删除目录的功能。当用户确定要删除某个目录时，系统会  提示确认，确认后将删除该目录及其所有子目录；</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5、知识点关联，为了进一步丰富资源目录的信息，并提供更精 确的分类和检索功能，资源服务系统可以支持知识点关联。用  户可以在创建或编辑目录时，选择与之相关的知识点。</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6.4.2 知识点管理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包括知识点内容维护，知识树查询展示等功能，学习资源服务 系统可以根据学习者所学习的知识点，为其推送与知识点相似 或相关的教学资源。</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1、新增知识点，在知识树管理界面上，提供新增知识点的功  能。管理员可以点击新增按钮，在相应位置添加新的知识点。 填写知识点的名称和描述、关联章节目录等信息，并设定排序 顺序；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2、修改知识点信息，管理员可以在知识树管理界面上对已有的 知识点进行修改。通过点击相应的知识点项，管理员可以编辑  名称、描述、排序和其他相关信息，并保存修改；</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3、删除知识点，为了满足需求，知识树管理界面上应提供删除 知识点的功能。当管理员确定要删除某个知识点时，系统会提  示确认，并删除该知识点及其所有子知识点。</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6.4.3 敏感词维护</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支持对资源服务系统上的文本内容进行敏感词过滤和管理，可 以帮助管理员及时发现和处理平台上存在的敏感词，提高平台 内容的安全性和合规性</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6.4.4 资源业务配置</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1、支持管理员对一些关键指标如资源综合评分、学习时长和获 取积分计算方式进行自定义，以满足不同用户需求；</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2、支持资源业务配置的新增、删除、修改功能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6.4.5 资源导入工具</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1、平台可以提供资源导入工具，使用户能够将已经积累的教学 资源批量导入到平台中。该工具可以支持标准的网络资源导入、本地资源导入、资源包导入的方式；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2、资源导入规范明确了每个字段在导入过程中的含义和允许的 数据类型。用户需要按照规范填写或选择相应的字段值，以保  证导入的资源能够正确地在平台上展示和使用。</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6.5 资源统计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1、支持多维度统计功能，平台提供多维度统计功能，使管理者 能够根据需求选择不同的统计维度，如资源数量、浏览量、收  藏量、下载量、评论数等。这样可以全面了解资源服务系统上  各项指标的情况；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2、支持横向比对资源大类指标，管理者可以利用平台的横向比 对功能，将不同学段或其他资源大类的指标进行对比。通过直  观的视觉化图表或数据报告，可以了解各学段或资源大类之间  的差异，帮助更好地了解当前教育资源的分布和均衡问题；</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3、纵向比对学科资源指标，平台还可以支持教育管理者对不同 学科的资源指标进行纵向比对。</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7、专家库管理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支持专家库管理，协议单位和学分银行管理中心均可以进行专家新增和批量导入，学分银行管理 中心可进行审核和多条件查询等操作。</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7.1 专家新增</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1、协议单位和学分银行管理中心均可以进行专家新增，专家信 息包括姓名、证件类型、身份证件号、单位、专业特长、学科  方向、联系电话等信息；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2、单个专家的新增，支持推荐表附件的上传和在线预览；</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3、支持批量导入功能，批量导入无需上传推荐表。</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7.2 专家审核</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对于协议单位新增或导入的专家信息，由学分银行管理中心进 行审核，审核通过后纳入专家库。</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7.3 专家查询</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1、学分银行管理中心可对专家库的全部人员信息进行查询，协 议单位仅可对本单位专家信息进行查询；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2、支持按专家姓名、证件类型、身份证件号、单位、专业特 长、学科方向、联系电话等多条件进行专家信息查询。</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8、积分广场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当用户注册账号、登录平台、签到打卡、成果认证、成果转换、成果存入、补充个人信息等都可 为用户赋予相应积分，积分可用于排名、礼品兑换等。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8.1 积分规则</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通过此模块可设置个人和机构的积分赋予规则，支持积分等级 标识设置，同时支持专属积分、通用积分规则设置，限专属积 分仅可用于特定组织及特定商品的兑换，通用积分可按转换规 则转为专属积分。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1、支持个人积分赋予规则的维护，如个人积分规则设置每日登 录，赋予 10 积分；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2、支持机构赋分规则的维护，支持按机构开展活动的频次、活 动数、活动参与人数、常驻人口活动参与比等规则进行赋分；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3、支持设置积分等级标识，比如每获得 100 积分，赋予一个星 星标识，四个星星标识可自动转化成月亮标识，四个月亮标识  可自动转化成太阳标识，四个太阳标识可自动转化成皇冠标识  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4、支持为不同等级设置对应的等级名称，比如达到星星标识自 动展示等级名称为“才高八斗”，达到月亮标识自动展示等级 名称为“学富五车”等；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5、支持专属积分、通用积分规则设置，限专属积分仅可用于特 定组织及特定商品的兑换，通用积分可按转换规则转为专属积分。</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8.2 机构积分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依靠学分银行积分规则，进行机构积分的汇总和展示，促进机 构开展公益活动，从而获得积分有利于提高社会贡献值。</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1、支持包括开展活动的频次、活动数、活动参与人数、常驻人 口活动参与比等规则获取机构积分，实现机构积分的积累、汇  总和展示；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2、支持企业社会培训证明的下载和打印，从而促进企业宣传， 并且可以通过此积分针对政府下达对企业政策做出快速响应。</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8.3 积分赠送</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学习者之间可以进行积分赠送。具体操作是用户点击积分赠送 按钮，在弹出的窗口中输入学习者姓名、身份证件号、手机号 等，查询到积分接收人信息（返回信息需做脱敏处理），输入 赠送积分数量，点击赠送按钮即可将个人积分赠予对方。</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8.4 积分来源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用户积分来源于两类，一类是个人登录平台完成相应业务操作 后，系统根据积分规则自动赋予积分。另一类是用户参与合作 单位活动，由合作单位调用平台提供的积分服务，为用户赋予活动积分。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1、系统支持个人登录平台完成相应业务操作后，系统根据积分规则自动赋予积分；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2、用户参与合作单位活动，系统支持由合作单位调用平台提供的积分服务，为用户赋予活动积分；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3、支持为用户详细记录每一个积分的获取详情，用户可查看积分的详细来源。</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8.5 积分兑换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8.5.1 机构管理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1、合作单位可在线申请成为礼品供货伙伴，合作单位在线填写入驻申请、入驻协议后提交学分银行管理员进行审核；</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2、学分银行审核通过后系统自动为合作单位开通账号并分配业务组，为该合作单位开通相应权限。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8.5.2 礼品管理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1、合作单位在线提报可兑换礼品清单、礼品详情及兑换规则，兑换规则支持地区范围限制，提交学分银行管理员进行审核；</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2、审核通过后即可正式发布，学习者可在线自主兑换。支持兑换的礼品类型包括虚拟、实物两类，实物包括生活物品类、学习用品类等，虚拟物品包括课程类、研学活动等。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8.5.3 订单管理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学习者选择合适的礼品点击兑换按钮，点击“立即兑换”按钮，完成积分支付后即可生成一条订单信息，可在线查看订单发货状态。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1、学习者选择合适的礼品点击兑换按钮，点击“立即兑换”按 钮，完成积分支付后即可生成一条订单信息，订单在完成发货后 7 天内将自动进行确认收货操作；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2、对于虚拟礼品，订单生成后，系统自动为学习者推送账密信 息，完成自动发货；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3、对于实物礼品，可选择线下领取和物流配送，如果选择线下 领取，学习者支付完成后，可根据门店信息前往领取，领取成  功后由管理员点击“领取完成”按钮完成订单；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4、如果选择物流配送，学习者支付完成后，提交订单。合作单 位按照学习者填写的收货地址进行邮寄，并录入物流单号信息，完成发货；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5、学习者收到礼品后点击“确认收货”按钮完成操作，完成订 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6、系统支持对实物礼品的退换货。学习者可在线提交退换货申 请，填写申请原因及证明图像提交合作单位审核，审核通过后，学习者可通过自主送达或邮寄的方式将货物进行退回；</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7、对于退货，合作单位收到货物并同意退货后，系统自动将积 分进行退回；</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8、对于换货，合作单位收到货物后并同意换货后，系统将为该 用户新生成一条订单。</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8.6 积分排行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1、系统支持按照省市县校等维度展示个人积分、家庭积分排行榜；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2、支持区域积分排行、个人总积分排行；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3、支持按积分排行评选评选学习之星、学银家庭等荣誉称号。</w:t>
      </w:r>
      <w:r/>
    </w:p>
    <w:p>
      <w:pPr>
        <w:pStyle w:val="1004"/>
        <w:rPr>
          <w:color w:val="000000" w:themeColor="text1"/>
          <w:sz w:val="24"/>
          <w:szCs w:val="24"/>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9、家庭学习积分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每个学习者都可以在平台组建“学习家庭”，通过学习家庭学分银行专属页面，可以进行动态展示、签到打卡、资源推荐等，支撑终身教育在家庭教育领域的延伸。</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9.1 学习家庭组建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1、支持学习者在个人空间中可点击“组建学习家庭”按钮，由 建立者进行学习家庭名称定义，邀请家庭成员进入学习家庭</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中，可由建立者或本人修改家庭学分银行中的身份；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2、受邀人会收到平台推动的组建邀请通知，点击通知信息可查 看具体邀请信息，点击同意按钮可加入该学习家庭，点击拒绝  按钮将拒绝加入该学习家庭；</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3、支持通过扫描学习家庭专属二维码，选择身份后，加入学习家庭；</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4、同时为了保证公平性，每个用户只允许以同一身份出现在一个学习家庭中。</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9.2 我的学习家庭</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1、学习者在个人空间中，可点击“我的学习家庭”按钮，进入 学习家庭空间；</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2、在学习家庭空间中，提供丰富的组件，用于家庭成员成果展 示、资源学习、互动交流等；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3、支持签到组件，家庭成员点击进行签到，签到完成后，系统 自动为个人及家庭赋予积分奖励；</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4、支持家庭成员信息组件，展示家庭成员的详细信息、学习成 果信息、个人积分信息等；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5、支持学习动态信息组件，可展示每位家庭成员的学习动态； 6、支持家庭积分信息组件，可展示本家庭积分总数，以及每位 家庭成员的积分贡献信息等。可动态展播各区域家庭积分的排  行，以及本家庭积分排行；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7、支持资源推荐组件，展示学分银行管理员手动推荐的优质资 源，系统根据家庭成员兴趣爱好自动推荐的资源，以及家庭成  员自行分享的资源等；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8、分享资源的来源支持两种，一种是家庭成员点击“资源分  享”按钮，手动录入资源信息进行家庭内部推荐分享；另一种是通过资源服务系统的“分享”按钮，将资源分享至个个人学 习家庭空间中。</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9.3 学习家庭退出及解散</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1、学习家庭成员点击退出按钮，可退出当前学习家庭；</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2、学习家庭管理员点击解散按钮，可解散当前学习家庭。</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9.4 学习家庭排行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支持按照总积分值、月度积分值、年度积分值、学习家庭人数、学习家庭活跃度、学习家庭学习时长等维度对学习家庭进 行动态排行展播</w:t>
      </w:r>
      <w:r>
        <w:rPr>
          <w:rFonts w:hint="eastAsia"/>
          <w:color w:val="000000" w:themeColor="text1"/>
          <w:sz w:val="24"/>
          <w:szCs w:val="24"/>
          <w14:textFill>
            <w14:solidFill>
              <w14:schemeClr w14:val="tx1"/>
            </w14:solidFill>
          </w14:textFill>
        </w:rPr>
        <w:t xml:space="preserve"> .。</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10、老年学分银行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为老年学习者提供学习资源和机会的平台，平台可帮助他们持续学习、提升技能和兴趣爱好。</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10.1 老年学银直通车</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10.1.1 学习成果存储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1、学习者录入基本信息、选择成果名录、个人学习成果信息、 报告领取方式信息等，进行学历类、非学历类、其他类学习成 果添加；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2、添加时学习者可以查询并选择名录中已存在的学习成果，也 可清除已选择的学习成果手动添加名录中不存在的学习成果；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3、添加后是提交状态，等待学分银行进行审核；</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4、系统还支持与其他教育机构的认证体系进行衔接，方便老年 学习者在不同教育机构之间进行学习成果的转换和认证。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10.1.2 学习成果认证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老年学分银行系统重视学习成果的认证工作，通过建立完善的 认证体系，对老年学习者在不同学习活动中所获得的知识、技 能和经验进行认证。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1、学习者个人学习成果添加后是提交状态，等待学分银行进行 验证。当学分银行管理员验证通过之后，学习者成果认证成功；</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2、成果认证过程中，需验证该成果是否在名录中，系统自动将 不存在的名录自动添加至成果名录库中。</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10.1.3 成果转化</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老年学习者可以在线申请进行学习成果转换，选择所需转换规 则后，点击新转换申请，打开转换明细并确认无误后，提交转 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1、学习者选择所需转换规则后，点击新转换申请，打开转换明 细并确认无误后，提交转换；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2、目标协议单位审核通过后，则用户就获得转换规则的目标学 习成果，在补录成绩后就可以申请生成学习报告</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10.1.4 成果报告</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老年学习者可通过系统可查询到的名下的所有“未出报告学习 成果”以及“成果报告”。</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1、学习者可查询到的名下的所有“未出报告学习成果”以及 “成果报告”；</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2、勾选未出报告的学习成果，可一键生成报告。并且系统为每 个成果报告加盖防伪二维码，用于扫码验证，确保成果的真实、防篡改。</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10.1.5 积分兑换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支持老年学习者可在积分广场中挑选虚拟或实物礼品，通过个 人积分进行兑换。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10.1.6 资源学习与共 享</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学银平台为老年学习者提供丰富的老年学习资源，学习者可在 线遴选个人感兴趣的资源进行在线学习，并支持对资源进行分 享、关注、下载、评论、收藏等操作。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1、支持老年人学习者可在线遴选个人感兴趣的资源进行在线学 习，并支持对资源进行分享、关注、下载、评论、收藏等操作；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2、支持根据老年学习者的兴趣标签为老年学习者进行自动化资 源推送；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3、支持学习资源在学习家庭共享，当老年学习者拥有“学习家 庭”时，系统支持老年学习者将资源一键分享至家庭学分银行- 我的学习家庭中，实现与家人之间的资源共享。</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10.2 学习档案</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1、系统支持自动汇总分析老年学习者的个人基本信息、教育经 历、工作经历，以及在本平台已完成认证的学习成果等数据，形成个人学习档案；</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2、系统支持为每个档案加盖防伪二维码，用于扫码验证，确保 档案的真实、防篡改。</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11、标签管理 系统</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通过提供丰富的标签管理功能，帮助用户更好地创建、分类、关联、搜索、统计、控制、导出导 入标签，并进行系统设置与维护。这些功能将学习成果转换、成果认证、个人档案、资源服务、 学习场所等多种场景下提供多样的使用体验，并为用户带来更多有价值的信息。</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11.1 标签字典管理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11.1.1 标签创建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标签管理系统允许用户轻松创建和管理标签。管理者可以根据 需要创建新标签，并为每个标签设置名称、描述和其他相关属 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1、支持管理者可以根据需要创建新标签，并为每个标签设置名 称、描述和其他相关属性；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2、系统支持标签编辑功能，允许管理者随时修改标签信息，确 保标签的准确性和一致性。</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11.1.2 标签分类分组</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为了更好地组织和管理标签，系统支持标签的分类与分组功能</w:t>
      </w:r>
      <w:r>
        <w:rPr>
          <w:rFonts w:hint="eastAsia"/>
          <w:color w:val="000000" w:themeColor="text1"/>
          <w:sz w:val="24"/>
          <w:szCs w:val="24"/>
          <w14:textFill>
            <w14:solidFill>
              <w14:schemeClr w14:val="tx1"/>
            </w14:solidFill>
          </w14:textFill>
        </w:rPr>
        <w:t xml:space="preserve">。</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1、管理者可以创建不同的标签分类，将相似的标签归类到同一分类下；</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2、用户还可以根据需要将标签分组，以便更方便地进行管理和查找。</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11.1.3 标签关联与映 射</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标签管理系统支持配置标签之间的关联与映射功能。用户可以 将一个标签关联到一个标签组或多个其他类型的标签，建立标 签之间的层次关系或关联关系。</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11.1.4 标签搜索与筛 选</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系统支持强大的标签搜索与筛选功能，帮助用户快速定位所需 标签。用户可以通过关键词搜索标签，系统会根据标签名称、 描述等字段进行智能匹配，并返回相关结果。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11.2 标签匹配 </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11.2.1 数据匹配处理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当系统中的业务数据更新或第三方数据被接入系统时，标签匹 配机制会自动启动，对传入的数据进行分析和识别。系统会扫 描数据的各种属性，如内容、来源、类型、主题等，并根据预 设的标签库，为这些数据自动匹配最合适的标签。</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1、支持用户可通过关键词搜索标签，系统会根据标签名称、描 述等字段进行匹配，并返回相关结果；</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2、用户还可以根据标签的属性、分类、关联资源等条件进行筛 选，精确找到所需标签及标签相关数据。</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11.2.2 用户标签判定</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1、系统支持通过记录用户的学习经历和搜索记录，可以为用户 贴上与学习和兴趣相关的标签；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2、系统支持通过用户的学习经历，如转换的成果证书、学习的 课程、专业等，也会为其贴上相应的标签；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3、系统还支持用户自行编辑和设定一部分特定范围内的标签， 以更准确地表达自己的特性和需求。这些标签可以包括兴趣爱 好、职场标签等，用户可以根据自己的实际情况进行选择和编 辑。</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11.2.3 标签资源推荐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支持通过标签匹配机制对用户进行推荐功能，它会根据这些 信息和标签库中的数据，为用户推荐与其标签特性相匹配的应  用、资源或数据及相关的课程、认证证书等。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11.3 标签权限与控制</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系统支持标签的权限与控制功能，确保标签的安全性和可控 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1、管理员可以设置不同身份的用户对标签的访问、编辑、删除 等权限，防止未经授权的访问和操作如限制协议单位使用一部  分特定标签；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2、协议单位可以对用户进行标签标记，便于协议单位对机构下 的学习者进行便捷分类，这部分标签对用户本人不可见；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3、系统还支持标签的版本控制功能，记录标签的修改历史和变 更记录，方便用户追踪和管理标签的变化。</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11.4 标签导出与导入</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为了方便用户在不同系统或平台之间迁移标签数据，标签管理 系统提供标签导出与导入功能。</w:t>
      </w:r>
      <w:r/>
    </w:p>
    <w:p>
      <w:pPr>
        <w:numPr>
          <w:ilvl w:val="0"/>
          <w:numId w:val="50"/>
        </w:num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标签管理系统提供标签导出与导入功能。用户可以将系统中 的标签数据导出为指定的文件格式（如 CSV、Excel 等），并在 其他系统中导入使用；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2、系统还支持标准化的数据接口，方便与其他系统集成和数据 共享。</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11.5 标签设置与维护</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系统支持全面的设置与维护功能，确保标签系统的稳定性和高 效性。管理员可以对标签系统进行基本设置，包括标签配置管 理、标签日志记录、标签数据备份等。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11.6 标签统计与 分析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11.6.1 标签更新与监 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1、支持定时更新标签的统计数据，确保数据的准确性和时效 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2、系统还支持对标签的变化趋势进行监控，一旦发现异常波动 或突变，就会及时发出预警。</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11.6.2 热门标签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1、系统支持根据标签的频率统计结果对标签进行排序，从而确 定哪些标签是热门标签；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2、系统支持提供数据可视化展示功能。通过图表、曲线图、柱 状图等多种形式，用户可以直观地看到标签的频率、变化趋势  等信息。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11.6.3 标签使用排名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1、系统基于收集到的数据，采用一定的算法对标签进行排名。 排名算法可以综合考虑多种因素，如标签的关联数量、用户点 击量和标签用户数等；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2、排名结果支持以直观的方式展示给用户，展示形式可以是列 表、图表等，以便用户快速了解各个标签的排名情况；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3、支持标签使用搜索功能，方便用户查找特定标签的排名信 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11.6.4 标签分类统计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1、支持将标签按照不同的属性或特征进行归类，并统计每个分 类中的标签数量；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2、支持按图表形式进行统计信息展示。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11.6.5 标签数量统计</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1、支持统计每个标签的出现次数，即标签的数量。通过统计标 签数量，用户可以了解各类标签在数据集中使用情况；</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2、支持按图表形式进行统计信息展示。</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12、就业服务系统 </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12.1 就业服务门户</w:t>
      </w:r>
      <w:r/>
    </w:p>
    <w:p>
      <w:pPr>
        <w:ind w:firstLine="420"/>
        <w:spacing w:line="360" w:lineRule="auto"/>
        <w:rPr>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以门户的方式提供就业岗位检索、热门岗位、岗位推荐、岗位</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详情、简历投递、人才浏览等栏目。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、为用户提供统一的功能操作入口，支持就业岗位检索、热门</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岗位、岗位推荐、岗位详情、简历投递、人才浏览、个人中心</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等栏目；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、就业岗位检索，支持在门户中按岗位名称、行业类别、学历</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要求、工作地点、薪资范围等条件综合检索就业岗位信息，并</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可查看岗位详情等内容；</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、热门岗位，支持根据用人单位发布岗位频次、访问者搜索频</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次、简历投递频次等维度汇总热门岗位，便于求职者了解最热</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用人需求和最热求职岗位；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、岗位推荐，支持按学习者专业、学历、学习成果情况、常住</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地、个人标签等内容，向学习者实现个性化岗位精准推送；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、岗位详情，用户可查看岗位详情信息，包括岗位名称、职务</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要求、工作描述、学历要求、工作经验要求、招聘人数等岗位</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、简历投递，学习者可以将自己的简历投递给对应的协议单</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位，支持在多份简历中选择其中一份简历进行简历投递。用户</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可设置默认简历，系统支持一键投递功能，同时系统会记录用</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户的投递历史和反馈状态，方便用户随时查看和管理自己的求</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职进程；</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、人才浏览，招聘单位人员可在系统人才浏览中根据岗位名</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称、专业名称、学历、薪资要求、工作地点等条件检索并查看</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所有学习者的已设置公开的个人简历，并且支持获取下载简历、在线查看简历；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、个人中心，学习者可在个人中心维护个人简历信息，可查看</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个人的岗位投递记录及简历回复情况。用人单位可查看本单位</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发布的岗位、收到的简历及简历回复记录等。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12.2 岗位发布</w:t>
      </w:r>
      <w:r/>
    </w:p>
    <w:p>
      <w:pPr>
        <w:ind w:firstLine="420"/>
        <w:spacing w:line="360" w:lineRule="auto"/>
        <w:tabs>
          <w:tab w:val="left" w:pos="480"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、合作单位可以在系统中发布自己的招聘信息，包括岗位名</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称、职位描述、任职要求、工作地点等详细信息；</w:t>
      </w:r>
      <w:r/>
    </w:p>
    <w:p>
      <w:pPr>
        <w:ind w:firstLine="420"/>
        <w:spacing w:line="360" w:lineRule="auto"/>
        <w:tabs>
          <w:tab w:val="left" w:pos="480"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、发布后的岗位将展示在系统的岗位查询功能中，供学习者浏</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览和申请；</w:t>
      </w:r>
      <w:r/>
    </w:p>
    <w:p>
      <w:pPr>
        <w:ind w:firstLine="420"/>
        <w:spacing w:line="360" w:lineRule="auto"/>
        <w:tabs>
          <w:tab w:val="left" w:pos="480" w:leader="none"/>
        </w:tabs>
        <w:rPr>
          <w:rFonts w:eastAsiaTheme="minorEastAsia"/>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、招聘方可发布定向招聘信息。</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12.3 岗位查询</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w:t>
      </w:r>
      <w:r>
        <w:rPr>
          <w:rFonts w:hint="eastAsia" w:eastAsiaTheme="minorEastAsia"/>
          <w:color w:val="000000" w:themeColor="text1"/>
          <w:sz w:val="24"/>
          <w:szCs w:val="24"/>
          <w14:textFill>
            <w14:solidFill>
              <w14:schemeClr w14:val="tx1"/>
            </w14:solidFill>
          </w14:textFill>
        </w:rPr>
        <w:t xml:space="preserve">、支持学习者可以在系统中查询并浏览所有已发布的岗位信</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息，根据自己的兴趣和条件进行筛选；</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w:t>
      </w:r>
      <w:r>
        <w:rPr>
          <w:rFonts w:hint="eastAsia" w:eastAsiaTheme="minorEastAsia"/>
          <w:color w:val="000000" w:themeColor="text1"/>
          <w:sz w:val="24"/>
          <w:szCs w:val="24"/>
          <w14:textFill>
            <w14:solidFill>
              <w14:schemeClr w14:val="tx1"/>
            </w14:solidFill>
          </w14:textFill>
        </w:rPr>
        <w:t xml:space="preserve">、系统支持按照岗位名称、工作地点、薪资水平等多种条件进</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行组合查询，帮助用户快速找到合适的工作机会。</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12.4 岗位推荐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w:t>
      </w:r>
      <w:r>
        <w:rPr>
          <w:rFonts w:hint="eastAsia" w:eastAsiaTheme="minorEastAsia"/>
          <w:color w:val="000000" w:themeColor="text1"/>
          <w:sz w:val="24"/>
          <w:szCs w:val="24"/>
          <w14:textFill>
            <w14:solidFill>
              <w14:schemeClr w14:val="tx1"/>
            </w14:solidFill>
          </w14:textFill>
        </w:rPr>
        <w:t xml:space="preserve">、系统支持根据用户的个人标签（如成果认证相关专业、个人</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职业标签、教育经历、工作经验等）和岗位要求，智能匹配并</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推荐最合适的岗位给用户；</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w:t>
      </w:r>
      <w:r>
        <w:rPr>
          <w:rFonts w:hint="eastAsia" w:eastAsiaTheme="minorEastAsia"/>
          <w:color w:val="000000" w:themeColor="text1"/>
          <w:sz w:val="24"/>
          <w:szCs w:val="24"/>
          <w14:textFill>
            <w14:solidFill>
              <w14:schemeClr w14:val="tx1"/>
            </w14:solidFill>
          </w14:textFill>
        </w:rPr>
        <w:t xml:space="preserve">、支持用户在个人中心中设置是否接收岗位智能推荐的消息通</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知，以便随时掌握最新推荐信息。</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12.5 简历投递</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学习者可以按岗位选择自己合适的简历投递给对应的合作单位。用户也可设置默认简历，系统支持一键投递功能，同时系</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统会记录用户的投递历史和反馈状态，方便用户随时查看和管</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理自己的求职进程。</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12.6 人才浏览</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招聘单位人员可在系统人才浏览中查看所有学习者的已设置公</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开的个人简历，并且支持获取下载简历、在线查看简历。</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12.7 第三方服务接入</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系统支持接入第三方招聘网站，在第三方满足接入条件的情况</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下，系统可支持与第三方招聘网站进行数据及服务集成，例如</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招聘岗位同步至系统、个人简历同步、简历投递至三方网站等。</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13、简历服务系统</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为学习者和用人单位提供一个高效、便捷的简历创建和简历查询的平台。该系统涵盖了个人简历</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生成、简历投递、简历服务开放以及第三方接入等多项功能，通过智能匹配和个人中心设置，为</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用户提供个性化的简历生成服务，并为就业服务系统提供简历查询服务。</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13.1 简历门户</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以门户的方式提供用户注册、人才库、智能化分析、岗位推</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荐、个人中心等栏目。</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w:t>
      </w:r>
      <w:r>
        <w:rPr>
          <w:rFonts w:hint="eastAsia" w:eastAsiaTheme="minorEastAsia"/>
          <w:color w:val="000000" w:themeColor="text1"/>
          <w:sz w:val="24"/>
          <w:szCs w:val="24"/>
          <w14:textFill>
            <w14:solidFill>
              <w14:schemeClr w14:val="tx1"/>
            </w14:solidFill>
          </w14:textFill>
        </w:rPr>
        <w:t xml:space="preserve">、用户注册，用户点击“用户注册”按钮，引导用户进入江苏</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省政务服务平台完成用户注册；在江苏省政务服务平台完成登</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录后可跳转回到简历系统，系统记录用户来源，便于后续分析</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统计；</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w:t>
      </w:r>
      <w:r>
        <w:rPr>
          <w:rFonts w:hint="eastAsia" w:eastAsiaTheme="minorEastAsia"/>
          <w:color w:val="000000" w:themeColor="text1"/>
          <w:sz w:val="24"/>
          <w:szCs w:val="24"/>
          <w14:textFill>
            <w14:solidFill>
              <w14:schemeClr w14:val="tx1"/>
            </w14:solidFill>
          </w14:textFill>
        </w:rPr>
        <w:t xml:space="preserve">、人才库，支持按岗位名称、专业名称、学历、薪资要求、工</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作地点等条件检索并查看所有学习者的已设置公开的个人简</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历，并且支持获取下载简历、在线查看简历；</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w:t>
      </w:r>
      <w:r>
        <w:rPr>
          <w:rFonts w:hint="eastAsia" w:eastAsiaTheme="minorEastAsia"/>
          <w:color w:val="000000" w:themeColor="text1"/>
          <w:sz w:val="24"/>
          <w:szCs w:val="24"/>
          <w14:textFill>
            <w14:solidFill>
              <w14:schemeClr w14:val="tx1"/>
            </w14:solidFill>
          </w14:textFill>
        </w:rPr>
        <w:t xml:space="preserve">、智能化统计，支持按职位类别、薪资范围、工作地点、在职</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状态等维度对人才库信息进行智能化分析，以图表、表格等形</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式展示；</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w:t>
      </w:r>
      <w:r>
        <w:rPr>
          <w:rFonts w:hint="eastAsia" w:eastAsiaTheme="minorEastAsia"/>
          <w:color w:val="000000" w:themeColor="text1"/>
          <w:sz w:val="24"/>
          <w:szCs w:val="24"/>
          <w14:textFill>
            <w14:solidFill>
              <w14:schemeClr w14:val="tx1"/>
            </w14:solidFill>
          </w14:textFill>
        </w:rPr>
        <w:t xml:space="preserve">、岗位推荐，用户登录到简历系统后，系统按人才标签、职位</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类别、薪资范围、工作地点、学历等条件为求职者进行智能化简历推荐，求职者可一键投递默认简历或在简历库选择某一份</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简历完成简历投递；</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5</w:t>
      </w:r>
      <w:r>
        <w:rPr>
          <w:rFonts w:hint="eastAsia" w:eastAsiaTheme="minorEastAsia"/>
          <w:color w:val="000000" w:themeColor="text1"/>
          <w:sz w:val="24"/>
          <w:szCs w:val="24"/>
          <w14:textFill>
            <w14:solidFill>
              <w14:schemeClr w14:val="tx1"/>
            </w14:solidFill>
          </w14:textFill>
        </w:rPr>
        <w:t xml:space="preserve">、个人中心，用户登录后可在个人中心进行个人简历信息完</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善、简历信息是否公开设置、默认简历设置等；</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6</w:t>
      </w:r>
      <w:r>
        <w:rPr>
          <w:rFonts w:hint="eastAsia" w:eastAsiaTheme="minorEastAsia"/>
          <w:color w:val="000000" w:themeColor="text1"/>
          <w:sz w:val="24"/>
          <w:szCs w:val="24"/>
          <w14:textFill>
            <w14:solidFill>
              <w14:schemeClr w14:val="tx1"/>
            </w14:solidFill>
          </w14:textFill>
        </w:rPr>
        <w:t xml:space="preserve">、系统支持接入第三方招聘网站，在第三方满足接入条件的情</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况下，系统可支持与第三方招聘网站进行数据及服务集成，例</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如招聘岗位同步至系统、个人简历同步、简历投递至三方网站</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13.2 个人简历生成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w:t>
      </w:r>
      <w:r>
        <w:rPr>
          <w:rFonts w:hint="eastAsia" w:eastAsiaTheme="minorEastAsia"/>
          <w:color w:val="000000" w:themeColor="text1"/>
          <w:sz w:val="24"/>
          <w:szCs w:val="24"/>
          <w14:textFill>
            <w14:solidFill>
              <w14:schemeClr w14:val="tx1"/>
            </w14:solidFill>
          </w14:textFill>
        </w:rPr>
        <w:t xml:space="preserve">、用户可以根据系统内置的简历模板创建并编辑自己的个人简</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历，包括个人信息、教育背景、工作经历等内容；</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w:t>
      </w:r>
      <w:r>
        <w:rPr>
          <w:rFonts w:hint="eastAsia" w:eastAsiaTheme="minorEastAsia"/>
          <w:color w:val="000000" w:themeColor="text1"/>
          <w:sz w:val="24"/>
          <w:szCs w:val="24"/>
          <w14:textFill>
            <w14:solidFill>
              <w14:schemeClr w14:val="tx1"/>
            </w14:solidFill>
          </w14:textFill>
        </w:rPr>
        <w:t xml:space="preserve">、系统提供简洁易用的编辑界面，可关联个人相关的学习经历</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和成果认证内容，帮助用户快速生成符合职业需求的标准简历；</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3、支持一个学习者创建多份简历，可在简历列表中查看、编</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辑；</w:t>
      </w:r>
      <w:r/>
    </w:p>
    <w:p>
      <w:pPr>
        <w:ind w:left="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w:t>
      </w:r>
      <w:r>
        <w:rPr>
          <w:rFonts w:hint="eastAsia" w:eastAsiaTheme="minorEastAsia"/>
          <w:color w:val="000000" w:themeColor="text1"/>
          <w:sz w:val="24"/>
          <w:szCs w:val="24"/>
          <w14:textFill>
            <w14:solidFill>
              <w14:schemeClr w14:val="tx1"/>
            </w14:solidFill>
          </w14:textFill>
        </w:rPr>
        <w:t xml:space="preserve">、生成简历后可下载</w:t>
      </w:r>
      <w:r>
        <w:rPr>
          <w:rFonts w:eastAsiaTheme="minorEastAsia"/>
          <w:color w:val="000000" w:themeColor="text1"/>
          <w:sz w:val="24"/>
          <w:szCs w:val="24"/>
          <w14:textFill>
            <w14:solidFill>
              <w14:schemeClr w14:val="tx1"/>
            </w14:solidFill>
          </w14:textFill>
        </w:rPr>
        <w:t xml:space="preserve"> PDF</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PDF </w:t>
      </w:r>
      <w:r>
        <w:rPr>
          <w:rFonts w:hint="eastAsia" w:eastAsiaTheme="minorEastAsia"/>
          <w:color w:val="000000" w:themeColor="text1"/>
          <w:sz w:val="24"/>
          <w:szCs w:val="24"/>
          <w14:textFill>
            <w14:solidFill>
              <w14:schemeClr w14:val="tx1"/>
            </w14:solidFill>
          </w14:textFill>
        </w:rPr>
        <w:t xml:space="preserve">文件中支持附带水印和查验二</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维码；</w:t>
      </w:r>
      <w:r/>
    </w:p>
    <w:p>
      <w:pPr>
        <w:ind w:left="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5</w:t>
      </w:r>
      <w:r>
        <w:rPr>
          <w:rFonts w:hint="eastAsia" w:eastAsiaTheme="minorEastAsia"/>
          <w:color w:val="000000" w:themeColor="text1"/>
          <w:sz w:val="24"/>
          <w:szCs w:val="24"/>
          <w14:textFill>
            <w14:solidFill>
              <w14:schemeClr w14:val="tx1"/>
            </w14:solidFill>
          </w14:textFill>
        </w:rPr>
        <w:t xml:space="preserve">、支持个人可设置简历的公开显示信息；</w:t>
      </w:r>
      <w:r/>
    </w:p>
    <w:p>
      <w:pPr>
        <w:ind w:left="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6</w:t>
      </w:r>
      <w:r>
        <w:rPr>
          <w:rFonts w:hint="eastAsia" w:eastAsiaTheme="minorEastAsia"/>
          <w:color w:val="000000" w:themeColor="text1"/>
          <w:sz w:val="24"/>
          <w:szCs w:val="24"/>
          <w14:textFill>
            <w14:solidFill>
              <w14:schemeClr w14:val="tx1"/>
            </w14:solidFill>
          </w14:textFill>
        </w:rPr>
        <w:t xml:space="preserve">、支持公开简历和个人简历的设置，公开简历为招聘方可查看</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的简历。</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13.3 简历查询服务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招聘单位可在就业服务系统线检索用户简历，系统支持按照岗</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位名称、工作地点、薪资水平等多种条件进行组合查询，本功</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能是通过开放服务形式为就业服务系统提供简历查询服务。</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13.4 简历投递服务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用户在就业服务系统找到合适的岗位后，可以向合作单位投递</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简历，本服务是通过开放服务形式为就业服务系统提供简历投</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递服务。</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13.5 简历下载服务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招聘单位人员可在就业服务系统人才浏览中查看所有学习者的</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已设置公开的个人简历，并且可下载简历。本服务是通过开放</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服务形式为就业服务系统提供简历下载服务。</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 数据分析</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基于学习者、教育机构、学习成果等基础数据以及教育管理数据对数据进行关联分析，通过柱状 图、饼状图、折线图、热力图等形式呈现，挖掘数据价值，为教育管理、学习者个性化培养、教 育质量提升以及教育决策支持提供大数据创新应用，促进管理精准化、决策科学化。</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14.1 领导驾驶舱</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14.1.1 教育机构综合分析</w:t>
      </w:r>
      <w:r/>
    </w:p>
    <w:p>
      <w:pPr>
        <w:ind w:left="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1、对机构数量、机构分布、活跃机构、机构课程等内容统计分 析；</w:t>
      </w:r>
      <w:r/>
    </w:p>
    <w:p>
      <w:pPr>
        <w:ind w:left="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2、支持多维度统计和层级下钻分析，通过表格、图表等形式展 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14.1.2 学习者综合分析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1、对学习者学习经历、性别分布、年龄分布、学历分布、区域 分布、活跃用户等内容进行统计分析；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2、支持多维度统计和层级下钻分析，通过表格、图表等形式展 示。</w:t>
      </w:r>
      <w:r/>
    </w:p>
    <w:p>
      <w:pPr>
        <w:pStyle w:val="1009"/>
        <w:ind w:firstLine="482"/>
        <w:rPr>
          <w:rFonts w:eastAsiaTheme="minorEastAsia"/>
          <w:color w:val="000000" w:themeColor="text1"/>
          <w:sz w:val="24"/>
          <w:szCs w:val="24"/>
          <w:lang w:eastAsia="zh-CN"/>
          <w14:textFill>
            <w14:solidFill>
              <w14:schemeClr w14:val="tx1"/>
            </w14:solidFill>
          </w14:textFill>
        </w:rPr>
      </w:pPr>
      <w:r>
        <w:rPr>
          <w:rFonts w:hint="eastAsia" w:eastAsiaTheme="minorEastAsia"/>
          <w:color w:val="000000" w:themeColor="text1"/>
          <w:sz w:val="24"/>
          <w:szCs w:val="24"/>
          <w:lang w:eastAsia="zh-CN"/>
          <w14:textFill>
            <w14:solidFill>
              <w14:schemeClr w14:val="tx1"/>
            </w14:solidFill>
          </w14:textFill>
        </w:rPr>
        <w:t xml:space="preserve">14.1.3 学习成果综合分析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1、对成果类型分布、学分总体分布、学历教育学习成果、非学 历教育学习成果等内容进行统计分析；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2、支持多维统计和层级下钻，通过表格、图表等形式展示。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14.1.4 学习者综合分 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1、对成果类型分布、学分总体分布、学历教育学习成果、非学 历教育学习成果等内容进行统计分析；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2、支持多维统计和层级下钻，通过表格、图表等形式展示，支 持大屏端适配。</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14.2  办事大厅分析大屏</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14.2.1 学习者综合分 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1、对成果类型分布、学分总体分布、学历教育学习成果、非学 历教育学习成果等内容进行统计分析；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2、支持多维统计和层级下钻，通过表格、图表等形式展示，支 持大屏端适配。</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14.2.2 教育机构综合分析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1、对机构数量、机构分布、活跃机构、机构课程等内容统计分 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2、支持多维度统计和层级下钻分析，通过表格、图表等形式展 示，支持大屏端适配；</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3、支持与学习地图集成，进行机构分布，学习活动开展，成果 存储等内容通过热力图、饼状图、柱状图、折线图等形式的直  观呈现。</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14.2.3 学习成果综合分析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1、对成果类型分布、学分总体分布、学历教育学习成果、非学 历教育学习成果等内容进行统计分析；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2、支持多维统计和层级下钻，通过表格、图表等形式展示，支 持大屏端适配。</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15、移动端</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将平台核心内容完成移动端适配，支持微信公众号、微信小程序、APP（安卓、鸿蒙），满足教  育管理者、个人学习者及社会公众等各类用户移动化办公和开展泛在学习的需求，支持开屏广告 设置。</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15.1 走进学银</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实现对平台重要内容进行展示介绍，便于各类用户对平台业务 进行系统性了解，主要包括规则体系、重要流程、合作联盟、 常见问题、宣传手册等内容。</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15.2学银资讯</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支持包括新闻动态、通知公告、工作简报等内容的展示。提供 热点新闻，方便各级用户掌握相关热点讯息。</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15.3 学习地图</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学习者可以利用学习地图通过分类或输入名称等信息查找系统 中添加的学分银行网点、院校、协议单位、博物馆、游学基地 等等，并进行导航。</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 学银服务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15.4.1 成果认证</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通过移动端提交某一个或多个学习成果的认证申请，并查看申 请结果。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15.4.2 成果转换</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通过移动端提交某一学习成果的转换申请，并查看申请结果。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15.4.3 积分服务</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通过移动端进行积分赠送，或通过积分兑换功能进行礼品兑 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15.4.4 学习家庭</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在移动端组建“学习家庭”，通过学习家庭可以进行动态展 示、签到打卡、资源推荐等。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15.4.5资源学习</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根据专题资源、学习资源等多种维度，分别展示相关维度的资 源，供用户根据自己的需要，快速访问相关的资源入口进行学 习 资源学习</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15.4.6 在线约课</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通过移动端查看发布的课程活动列表，点击查看活动详情，进 行预约报名、补签等操作。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15.4.7 标签管理</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通过移动端进行标签创建、分类、关联、搜索、统计等操作， 并进行相关设置与维护，支持在线对资源、用户、成果进行标 签标注。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15.4.8 岗位推荐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系统推送热门岗位给相应的用户，用户可点击查看来自管理者 或者合作单位发布的招聘岗位，并支持简历投递。</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15.4.9 个人简历生成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支持在线创建编辑个人简历，生成后可在招聘岗位中投递已创 建的简历。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15.4.10 智能客服</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支持通过移动端进入智能客服对话窗口，获取相应客户服务支 持。</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15.5 我的学银</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15.5.1 个人账户</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支持按照用户名、密码进行登录，支持密码修改及个人基本信 息的维护等功能。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15.5.2 个人消息</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支持个人待办信息、通知公告信息、系统提醒信息、即时通讯 信息等消息的精准推送，用户收到消息提醒后，可进行一站式 阅读和处理。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15.5.3 个人档案</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记录展示个人学习档案，包括学习者的个人基本信息、教育经 历、工作经历，以及在本平台已完成认证的学习成果等信息。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15.5.4 个人积分</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记录展示个人积分，可查看积分来源与消费历史记录。</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16、个人服务一体机适配</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将平台涉及学习者自助业务办理的核心功能进行 Windows 版自助服务一体机终端适配，以满足群 众自助业务办理的需求，提升办事效率和群众满意度。</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16.1广播门户</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广播门户用于在一体机首页动态展播用户定制推送的媒体内 容，包括宣传视频、动画、动态轮播宣传图等内容。</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1、支持在一体机首页动态展播用户定制推送的媒体，包括宣传 视频、动画、动态轮播宣传图等内容；</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2、学银管理中心可通过后台维护广播门户的内容，包括上架最 新媒体内容、内容启用、内容停用、设置展播顺序等操作。</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16.2 个人信息</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展示学习者个人账号信息，包括姓名、登录账号、学习单位、 积分值、成果报告数量，并可进行密码重置。</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1、支持登录用户个人信息的展示，包括姓名、登录账号、学习 单位、积分值、成果报告数量；</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2、支持进行密码重置。</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 自助服务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16.3.1 成果认证</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用户可自助通过终端提交某一个或多个学习成果的认证申请， 并查看申请结果。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16.3.2 成果转换</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用户可自助通过终端提交某一学习成果的转换申请，并查看申 请结果。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16.3.3 成果报告打印</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用户可自助通过终端对某一个或多个学习成果进行报告打印。</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16.3.4 积分兑换</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用户可自助通过终端进行积分赠送，或通过积分兑换功能进行 礼品兑换。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16.3.5 在线约课</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用户可自助通过终端查看发布的课程活动列表，点击查看活动 详情，进行预约报名等操作。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16.3.6 岗位检索</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用户可自助通过终端进行岗位检索，查看招聘岗位详情，并可 直接简历投递。</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16.3.7 简历打印</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用户可自助通过终端创建编辑个人简历，并可直接打印个人简 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16.3.8 智能客服</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用户可自助通过终端打开智能客服，进入智能客服对话窗口， 获取相应客户服务支持。</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16.4 消息中心</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用户可自助通过终端查看系统推送给个人的消息，包含个人待 办信息、通知公告信息、系统提醒信息、即时通讯信息等消息 提醒。</w:t>
      </w:r>
      <w:r/>
    </w:p>
    <w:p>
      <w:pPr>
        <w:pStyle w:val="1004"/>
        <w:numPr>
          <w:ilvl w:val="0"/>
          <w:numId w:val="51"/>
        </w:numPr>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门户网站</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门户网站是学分银行网络服务平台的入口，也是对外宣传的统一窗口。提供网站管理功能，支持 管理员通过后台管理模块进行网站内容的快速更新。</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17.1 门户主页</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支持苏银快讯、苏银公告、业务介绍、学习资源、认证标准、 服务体系、合作联盟、在线客服等资讯服务的信息展示以及各 种服务办理快速入口。</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17.2 内容发布管理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17.2.1 栏目及信息发布</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根据授权在特定的频道或栏目中发布信息；支持信息的采集、 编辑、审核、发布、撤下等功能，实现流程化的信息发布过程，支持对最终发布进行严格的权限控制，支持内容审批流程 引擎，提供单独的可视化界面实现信息发布管理功能，提供页 面区块机制。</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1、支持信息的采集、编辑、审核、发布、撤下等功能，实现流 程化的信息发布过程，支持对最终发布进行严格的权限控制，</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2、支持内容审批流程引擎，提供单独的可视化界面实现信息发 布管理功能，提供页面区块机制。</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17.2.2 定制页面样式</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支持通过图形界面或编辑代码方式灵活定制页面的样式，用户  可以直接在浏览器中 修改文档字体、字号、对齐方式、插入图 片、表格、链接等内容元素。</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17.2.3 统计分析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1、支持访问统计，多层次、多视角的分析统计与报表系统；</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 2、支持按内容节点统计总访问人数、当日访问量、当月访问 量、日访问量，提供统计访问者的操作系统、浏览器、IP 地 址、地区。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17.2.4 网站检索</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提供全文索引的能力支持面向不同的数据源进行搜索，如 Web 站点、文件系统、数 据库系统等。</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18、学习地图</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教育地图涵盖了区域内学分银行机构、协议单位、合作单位、博物馆、游学基地等等。以数字地 图的优势功能，呈现了每一所单位的地理信息、基本概况、联系电话、活动动态等基础信息，让 社会公众可以更便捷、更准确地定位到需要了解和查询的机构。</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18.1教育地图录入</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1、提供教育地图录入功能，不仅能够满足不同类型用户的需  求，包括管理员录入或批量导入、合作单位在线提报和平台用 户在线提报；</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2、支持管理员使用此功能单条或批量一次性导入大量的教育地 图数据，上传准备好的数据文件（通常是 Excel 或 CSV 格式），系统验证数据格式和内容，并将合格的数据自动录入到 教育地图数据库中。</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18.2 教育机构筛选</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支持多种教育机构筛选，如学分银行机构、学校、培训机构、 实践教育基地等，根据选择的内容进入地图展示相应的内容。</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18.3 教育机构全文检索</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支持关键字检索教育机构功能，输入教育机构名称关键字模糊 查询，展示所有查询出来的内容。</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18.4 教育机构信息公开</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支持教育机构信息公开功能，点击地图标注，显示相应机构的 宣传图片、电话、地址、简介、正在开展的课程及活动等信息</w:t>
      </w:r>
      <w:r>
        <w:rPr>
          <w:rFonts w:hint="eastAsia" w:eastAsiaTheme="minorEastAsia"/>
          <w:color w:val="000000" w:themeColor="text1"/>
          <w:sz w:val="24"/>
          <w:szCs w:val="24"/>
          <w14:textFill>
            <w14:solidFill>
              <w14:schemeClr w14:val="tx1"/>
            </w14:solidFill>
          </w14:textFill>
        </w:rPr>
        <w:t xml:space="preserve">。</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18.5 教育机构位置标注</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支持教育机构地图标点功能，不同类型教育机构可使用不同的 图片标注。支持范围大小自动切换海量点和标记点的切换，海量点不同颜色区分不同教育机构类型，标记点不同图标样式区 分不同教育机构类型</w:t>
      </w:r>
      <w:r>
        <w:rPr>
          <w:rFonts w:hint="eastAsia" w:eastAsiaTheme="minorEastAsia"/>
          <w:color w:val="000000" w:themeColor="text1"/>
          <w:sz w:val="24"/>
          <w:szCs w:val="24"/>
          <w14:textFill>
            <w14:solidFill>
              <w14:schemeClr w14:val="tx1"/>
            </w14:solidFill>
          </w14:textFill>
        </w:rPr>
        <w:t xml:space="preserve">.。</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18.6 教育机构位置导航</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支持教育机构位置导航功能，可通过机构检索列表、机构详 情、搜索多种方式进行位置导航。</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18.7 校园实景</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支持依托全景采集摄像机，对学校的校园环境、教室、餐厅、 宿舍、图书馆等重点场所进行全场景拍摄，并通过教育地图进 行开放性呈现</w:t>
      </w:r>
      <w:r>
        <w:rPr>
          <w:rFonts w:hint="eastAsia" w:eastAsiaTheme="minorEastAsia"/>
          <w:color w:val="000000" w:themeColor="text1"/>
          <w:sz w:val="24"/>
          <w:szCs w:val="24"/>
          <w14:textFill>
            <w14:solidFill>
              <w14:schemeClr w14:val="tx1"/>
            </w14:solidFill>
          </w14:textFill>
        </w:rPr>
        <w:t xml:space="preserve">.。</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19、智能客服</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以问答机器人的方式出现在江苏学银平台的首页，用户点击机器人图标即可进入智能客服对话窗 口，智能客服会推荐常见的问题类型，同时支持关键词回复、问题联想等，当 AI 问答未解决用  户问题时，用户可选择转入人工客服。</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19.1 人工客服</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支持人工坐席提供的客户服务，支持与用户进行实时沟通，可 进行文字聊天、语音通话、图片互传等。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19.2 智能客服</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支持基于人工智能技术，利用自然语言处理、机器学习和大数 据分析等技术，通过与用户进行对话来提供快速、准确和个性 化的支持和服务。</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19.3电话咨询</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用户点击电话咨询按钮，可显示平台客服电话号码以及接听时 间。</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19.4 </w:t>
      </w:r>
      <w:r>
        <w:rPr>
          <w:color w:val="000000" w:themeColor="text1"/>
          <w:lang w:eastAsia="zh-CN"/>
          <w14:textFill>
            <w14:solidFill>
              <w14:schemeClr w14:val="tx1"/>
            </w14:solidFill>
          </w14:textFill>
        </w:rPr>
        <w:t xml:space="preserve">关键词设定</w:t>
      </w:r>
      <w:r>
        <w:rPr>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支持设置关键词、制定关键词的回复策略以及定期更新关键词 回复的设定功能。</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19.5 </w:t>
      </w:r>
      <w:r>
        <w:rPr>
          <w:color w:val="000000" w:themeColor="text1"/>
          <w:lang w:eastAsia="zh-CN"/>
          <w14:textFill>
            <w14:solidFill>
              <w14:schemeClr w14:val="tx1"/>
            </w14:solidFill>
          </w14:textFill>
        </w:rPr>
        <w:t xml:space="preserve">问题及答案维护</w:t>
      </w:r>
      <w:r>
        <w:rPr>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支持修改现有问题的描述、分类、关键词等信息，以更好地反 映问题的内容和所属类别。同时用户还可以对问题进行补充说 明，提供更多上下文信息。</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19.6 </w:t>
      </w:r>
      <w:r>
        <w:rPr>
          <w:color w:val="000000" w:themeColor="text1"/>
          <w:lang w:eastAsia="zh-CN"/>
          <w14:textFill>
            <w14:solidFill>
              <w14:schemeClr w14:val="tx1"/>
            </w14:solidFill>
          </w14:textFill>
        </w:rPr>
        <w:t xml:space="preserve">记录检索</w:t>
      </w:r>
      <w:r>
        <w:rPr>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支持快速查找和浏览聊天记录的功能，包括关键词搜索、时间 范围搜索、聊天对象筛选、聊天内容分类搜索、搜索结果展示、高级搜索功能等。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19.7 </w:t>
      </w:r>
      <w:r>
        <w:rPr>
          <w:color w:val="000000" w:themeColor="text1"/>
          <w:lang w:eastAsia="zh-CN"/>
          <w14:textFill>
            <w14:solidFill>
              <w14:schemeClr w14:val="tx1"/>
            </w14:solidFill>
          </w14:textFill>
        </w:rPr>
        <w:t xml:space="preserve">消息撤回</w:t>
      </w:r>
      <w:r>
        <w:rPr>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支持在特定时间范围内撤回已送达的消息，保证服务的质量和 满意度</w:t>
      </w:r>
      <w:r>
        <w:rPr>
          <w:rFonts w:hint="eastAsia" w:eastAsiaTheme="minorEastAsia"/>
          <w:color w:val="000000" w:themeColor="text1"/>
          <w:sz w:val="24"/>
          <w:szCs w:val="24"/>
          <w14:textFill>
            <w14:solidFill>
              <w14:schemeClr w14:val="tx1"/>
            </w14:solidFill>
          </w14:textFill>
        </w:rPr>
        <w:t xml:space="preserve">.。</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20、轻应用构建平台</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提供一站式、分布式、前后端分离的应用开发服务，将应用开发过程中常用的技术能力、业务能 力组件化、模块化、低码化。用户通过轻应用构建平台，结合江苏学银平台的开放服务、开放数据，通过简单拖拽等方式，对个性化、急迫性、临时性的应用进行快速构建，降低应用开发成 本，提升平台服务质量。</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 可视化设计系统</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 表单设计器</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w:t>
      </w:r>
      <w:r>
        <w:rPr>
          <w:rFonts w:eastAsiaTheme="minorEastAsia"/>
          <w:color w:val="000000" w:themeColor="text1"/>
          <w:sz w:val="24"/>
          <w:szCs w:val="24"/>
          <w14:textFill>
            <w14:solidFill>
              <w14:schemeClr w14:val="tx1"/>
            </w14:solidFill>
          </w14:textFill>
        </w:rPr>
        <w:t xml:space="preserve">表单设计面板，提供组件库、可视化设计面板、表单预览；添 加组件、编辑组件、删除组件、复制组件；组件属性面板等功 能</w:t>
      </w:r>
      <w:r>
        <w:rPr>
          <w:rFonts w:hint="eastAsia" w:eastAsiaTheme="minorEastAsia"/>
          <w:color w:val="000000" w:themeColor="text1"/>
          <w:sz w:val="24"/>
          <w:szCs w:val="24"/>
          <w14:textFill>
            <w14:solidFill>
              <w14:schemeClr w14:val="tx1"/>
            </w14:solidFill>
          </w14:textFill>
        </w:rPr>
        <w:t xml:space="preserve">：</w:t>
      </w:r>
      <w:r/>
    </w:p>
    <w:p>
      <w:pPr>
        <w:numPr>
          <w:ilvl w:val="0"/>
          <w:numId w:val="5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组件库支持分区展示；</w:t>
      </w:r>
      <w:r/>
    </w:p>
    <w:p>
      <w:pPr>
        <w:numPr>
          <w:ilvl w:val="0"/>
          <w:numId w:val="5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设计面板支持所见即所得设计表单，后台存储物化表单字； </w:t>
      </w:r>
      <w:r/>
    </w:p>
    <w:p>
      <w:pPr>
        <w:numPr>
          <w:ilvl w:val="0"/>
          <w:numId w:val="5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属性配置区对组件的基础属性、高级属性、表单全局属性进 行配置；</w:t>
      </w:r>
      <w:r/>
    </w:p>
    <w:p>
      <w:pPr>
        <w:numPr>
          <w:ilvl w:val="0"/>
          <w:numId w:val="5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支持在表单设计面板中对组件编排设计，添加、编辑、删 除、复制组件；</w:t>
      </w:r>
      <w:r/>
    </w:p>
    <w:p>
      <w:pPr>
        <w:numPr>
          <w:ilvl w:val="0"/>
          <w:numId w:val="5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支持在组件属性配置区对组件标题、组件详解、组件录入 区、组件校验提示、组件提示文字区进行配置</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w:t>
      </w:r>
      <w:r>
        <w:rPr>
          <w:rFonts w:eastAsiaTheme="minorEastAsia"/>
          <w:color w:val="000000" w:themeColor="text1"/>
          <w:sz w:val="24"/>
          <w:szCs w:val="24"/>
          <w14:textFill>
            <w14:solidFill>
              <w14:schemeClr w14:val="tx1"/>
            </w14:solidFill>
          </w14:textFill>
        </w:rPr>
        <w:t xml:space="preserve">设计面板工具集包括表单保存为模板、撤销与重做、清空画 板、多端设计面板等功能</w:t>
      </w:r>
      <w:r>
        <w:rPr>
          <w:rFonts w:hint="eastAsia" w:eastAsiaTheme="minorEastAsia"/>
          <w:color w:val="000000" w:themeColor="text1"/>
          <w:sz w:val="24"/>
          <w:szCs w:val="24"/>
          <w14:textFill>
            <w14:solidFill>
              <w14:schemeClr w14:val="tx1"/>
            </w14:solidFill>
          </w14:textFill>
        </w:rPr>
        <w:t xml:space="preserve">：</w:t>
      </w:r>
      <w:r/>
    </w:p>
    <w:p>
      <w:pPr>
        <w:numPr>
          <w:ilvl w:val="0"/>
          <w:numId w:val="53"/>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支持对回退和重做操作；</w:t>
      </w:r>
      <w:r/>
    </w:p>
    <w:p>
      <w:pPr>
        <w:numPr>
          <w:ilvl w:val="0"/>
          <w:numId w:val="53"/>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支持清空表单设计面板；</w:t>
      </w:r>
      <w:r/>
    </w:p>
    <w:p>
      <w:pPr>
        <w:numPr>
          <w:ilvl w:val="0"/>
          <w:numId w:val="53"/>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支持多端设计面板；</w:t>
      </w:r>
      <w:r/>
    </w:p>
    <w:p>
      <w:pPr>
        <w:numPr>
          <w:ilvl w:val="0"/>
          <w:numId w:val="53"/>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支持将表单保存为模板；</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表单属性面板，提供表单全局属性设置、表单主题、表单宽度、标签对齐方式、表单标签宽度、组件尺寸、主题样式、自 定义组件库等功能</w:t>
      </w:r>
      <w:r>
        <w:rPr>
          <w:rFonts w:hint="eastAsia" w:eastAsiaTheme="minorEastAsia"/>
          <w:color w:val="000000" w:themeColor="text1"/>
          <w:sz w:val="24"/>
          <w:szCs w:val="24"/>
          <w14:textFill>
            <w14:solidFill>
              <w14:schemeClr w14:val="tx1"/>
            </w14:solidFill>
          </w14:textFill>
        </w:rPr>
        <w:t xml:space="preserve">：</w:t>
      </w:r>
      <w:r/>
    </w:p>
    <w:p>
      <w:pPr>
        <w:numPr>
          <w:ilvl w:val="0"/>
          <w:numId w:val="54"/>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表单全局属性设置面板；</w:t>
      </w:r>
      <w:r/>
    </w:p>
    <w:p>
      <w:pPr>
        <w:numPr>
          <w:ilvl w:val="0"/>
          <w:numId w:val="54"/>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支持三种表单主题；</w:t>
      </w:r>
      <w:r/>
    </w:p>
    <w:p>
      <w:pPr>
        <w:numPr>
          <w:ilvl w:val="0"/>
          <w:numId w:val="54"/>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对表单宽度、标签对齐方式、表单标签宽度、组件尺寸全局设置；</w:t>
      </w:r>
      <w:r/>
    </w:p>
    <w:p>
      <w:pPr>
        <w:numPr>
          <w:ilvl w:val="0"/>
          <w:numId w:val="54"/>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支持加载组件商店内收藏组件并使用</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4、表单预览态提供预览态多端适配、重置、禁用编辑、打印阅览 模式、JSON 模板导出等功能</w:t>
      </w:r>
      <w:r/>
    </w:p>
    <w:p>
      <w:pPr>
        <w:numPr>
          <w:ilvl w:val="0"/>
          <w:numId w:val="5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具备对设计的表单进行所见即所得的多端预览；</w:t>
      </w:r>
      <w:r/>
    </w:p>
    <w:p>
      <w:pPr>
        <w:numPr>
          <w:ilvl w:val="0"/>
          <w:numId w:val="5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支持对预览态表单数据重置；</w:t>
      </w:r>
      <w:r/>
    </w:p>
    <w:p>
      <w:pPr>
        <w:numPr>
          <w:ilvl w:val="0"/>
          <w:numId w:val="5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对表单预览态进行禁用编辑、打印模式预览；</w:t>
      </w:r>
      <w:r/>
    </w:p>
    <w:p>
      <w:pPr>
        <w:numPr>
          <w:ilvl w:val="0"/>
          <w:numId w:val="5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表单设计 JSON 模板导出；</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5、表单样式表，提供表单样式编辑面板、样式编辑模板功能：</w:t>
      </w:r>
      <w:r/>
    </w:p>
    <w:p>
      <w:pPr>
        <w:numPr>
          <w:ilvl w:val="0"/>
          <w:numId w:val="5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具备表单样式编辑能力；</w:t>
      </w:r>
      <w:r/>
    </w:p>
    <w:p>
      <w:pPr>
        <w:numPr>
          <w:ilvl w:val="0"/>
          <w:numId w:val="5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提供表单样式模板案例；</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6、动作面板，提供表单或者组件级的 JS 编辑面板、第三方 API 编 辑面板功能</w:t>
      </w:r>
      <w:r/>
    </w:p>
    <w:p>
      <w:pPr>
        <w:numPr>
          <w:ilvl w:val="0"/>
          <w:numId w:val="5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 mounted、beforeSubmit、Submited 表单动作或组件 自带动作编写函数级方法；</w:t>
      </w:r>
      <w:r/>
    </w:p>
    <w:p>
      <w:pPr>
        <w:numPr>
          <w:ilvl w:val="0"/>
          <w:numId w:val="5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支持引用表单组件树，提供原生 js 方法；</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7、表单预览态提供预览态多端适配、重置、禁用编辑、打印阅览 模式、JSON 模板导出等功能：</w:t>
      </w:r>
      <w:r/>
    </w:p>
    <w:p>
      <w:pPr>
        <w:numPr>
          <w:ilvl w:val="0"/>
          <w:numId w:val="5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具备对设计的表单进行所见即所得的多端预览；</w:t>
      </w:r>
      <w:r/>
    </w:p>
    <w:p>
      <w:pPr>
        <w:numPr>
          <w:ilvl w:val="0"/>
          <w:numId w:val="5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支持对预览态表单数据重置；</w:t>
      </w:r>
      <w:r/>
    </w:p>
    <w:p>
      <w:pPr>
        <w:numPr>
          <w:ilvl w:val="0"/>
          <w:numId w:val="5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对表单预览态进行禁用编辑、打印模式预览；</w:t>
      </w:r>
      <w:r/>
    </w:p>
    <w:p>
      <w:pPr>
        <w:numPr>
          <w:ilvl w:val="0"/>
          <w:numId w:val="5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表单设计 JSON 模板导出；</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8、表单样式表，提供表单样式编辑面板、样式编辑模板功能：</w:t>
      </w:r>
      <w:r/>
    </w:p>
    <w:p>
      <w:pPr>
        <w:numPr>
          <w:ilvl w:val="0"/>
          <w:numId w:val="5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具备表单样式编辑能力；</w:t>
      </w:r>
      <w:r/>
    </w:p>
    <w:p>
      <w:pPr>
        <w:numPr>
          <w:ilvl w:val="0"/>
          <w:numId w:val="5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提供表单样式模板案例；</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9、动作面板，提供表单或者组件级的 JS 编辑面板、第三方 API 编 辑面板功能：</w:t>
      </w:r>
      <w:r/>
    </w:p>
    <w:p>
      <w:pPr>
        <w:numPr>
          <w:ilvl w:val="0"/>
          <w:numId w:val="6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 mounted、beforeSubmit、Submited 表单动作或组件 自带动作编写函数级方法；</w:t>
      </w:r>
      <w:r/>
    </w:p>
    <w:p>
      <w:pPr>
        <w:numPr>
          <w:ilvl w:val="0"/>
          <w:numId w:val="6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支持引用表单组件树，提供原生 js 方法；</w:t>
      </w:r>
      <w:r/>
    </w:p>
    <w:p>
      <w:pPr>
        <w:numPr>
          <w:ilvl w:val="0"/>
          <w:numId w:val="6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支持引用第三方 API 接口，配置请求参数及返回参数绑定至 组件；</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10、组件联动，提供显示、隐藏、只读、编辑、禁用、启用联动配 置配置：</w:t>
      </w:r>
      <w:r/>
    </w:p>
    <w:p>
      <w:pPr>
        <w:numPr>
          <w:ilvl w:val="0"/>
          <w:numId w:val="6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配置隐藏组件数据提交规则；</w:t>
      </w:r>
      <w:r/>
    </w:p>
    <w:p>
      <w:pPr>
        <w:numPr>
          <w:ilvl w:val="0"/>
          <w:numId w:val="6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配置联动规则触发条件与联动规则触发条件，实现组件符合 某个条件触发某个联动；</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11、单行文本、数字组件支持公式计算编辑：</w:t>
      </w:r>
      <w:r/>
    </w:p>
    <w:p>
      <w:pPr>
        <w:numPr>
          <w:ilvl w:val="0"/>
          <w:numId w:val="6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支持公式计算面板；</w:t>
      </w:r>
      <w:r/>
    </w:p>
    <w:p>
      <w:pPr>
        <w:numPr>
          <w:ilvl w:val="0"/>
          <w:numId w:val="6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支持公式计算后对单行文本、数字组件赋值；</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12、物化数据库表配置：</w:t>
      </w:r>
      <w:r/>
    </w:p>
    <w:p>
      <w:pPr>
        <w:numPr>
          <w:ilvl w:val="0"/>
          <w:numId w:val="6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支持自定义表单数据库物化表名； </w:t>
      </w:r>
      <w:r/>
    </w:p>
    <w:p>
      <w:pPr>
        <w:numPr>
          <w:ilvl w:val="0"/>
          <w:numId w:val="6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支持对表单内多组件设置组合唯一索引； </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13、组件库需提供不少于 35 个组件，包括：单行文本、多行文本、 文字、分割线、数字、单选框组、多选框组、下拉选择框、日 期选择器、评分、开关、滑块、按钮、文字链接、上传附件、 上传图片、地址、子表单、关联表单、组织机构、人员选择、 级联选择器、富文本、唯一标识码、嵌入网页、嵌入图片、条 码、流水号组件、栅格布局、网格布局、按钮组、标签页、步 骤条、卡片、折叠面板等。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20.1.2 流程设计器</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1、可视化流程设计面板：</w:t>
      </w:r>
      <w:r/>
    </w:p>
    <w:p>
      <w:pPr>
        <w:numPr>
          <w:ilvl w:val="0"/>
          <w:numId w:val="6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支持流程可视化设计面板；</w:t>
      </w:r>
      <w:r/>
    </w:p>
    <w:p>
      <w:pPr>
        <w:numPr>
          <w:ilvl w:val="0"/>
          <w:numId w:val="6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支持动态新增、删除、编辑流程节点；</w:t>
      </w:r>
      <w:r/>
    </w:p>
    <w:p>
      <w:pPr>
        <w:numPr>
          <w:ilvl w:val="0"/>
          <w:numId w:val="6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支持处理人、执行器、抄送人、条件分支、并行分支、子流程六类节点</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2、发起人节点：</w:t>
      </w:r>
      <w:r/>
    </w:p>
    <w:p>
      <w:pPr>
        <w:numPr>
          <w:ilvl w:val="0"/>
          <w:numId w:val="6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发起人节点字段级的可见、编辑权限；</w:t>
      </w:r>
      <w:r/>
    </w:p>
    <w:p>
      <w:pPr>
        <w:numPr>
          <w:ilvl w:val="0"/>
          <w:numId w:val="6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支持配置终端级的可见权限</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3、处理人节点提供处理人设置、处理数据范围、多人处理方式、 配置操作权限、表单字段权限、流程超时处理、调用自定义回 调函数、发送消息、数据推送功能：</w:t>
      </w:r>
      <w:r/>
    </w:p>
    <w:p>
      <w:pPr>
        <w:numPr>
          <w:ilvl w:val="0"/>
          <w:numId w:val="6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支持指定成员、指定岗位、自选处理人、发起人本人、表单 内人员字段五种指定处理人方式；</w:t>
      </w:r>
      <w:r/>
    </w:p>
    <w:p>
      <w:pPr>
        <w:numPr>
          <w:ilvl w:val="0"/>
          <w:numId w:val="6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可指定处理人可处理数据范围，支持指定全部、区划部门、 层级发起的数据由此处理人处理；</w:t>
      </w:r>
      <w:r/>
    </w:p>
    <w:p>
      <w:pPr>
        <w:numPr>
          <w:ilvl w:val="0"/>
          <w:numId w:val="6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支持配置多人处理方式为或签或会签；</w:t>
      </w:r>
      <w:r/>
    </w:p>
    <w:p>
      <w:pPr>
        <w:numPr>
          <w:ilvl w:val="0"/>
          <w:numId w:val="6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支持设置处理人的操作权限并重命名操作按钮，包括同意、 拒绝、保存、回退、转办、打印/导出，支持处理意见是否启用 配置；</w:t>
      </w:r>
      <w:r/>
    </w:p>
    <w:p>
      <w:pPr>
        <w:numPr>
          <w:ilvl w:val="0"/>
          <w:numId w:val="6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支持处理人节点字段级的可见、编辑权限配置，并基于不同 终端展示不同字段；</w:t>
      </w:r>
      <w:r/>
    </w:p>
    <w:p>
      <w:pPr>
        <w:numPr>
          <w:ilvl w:val="0"/>
          <w:numId w:val="6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支持设置流程节点超时配置并发送消息；</w:t>
      </w:r>
      <w:r/>
    </w:p>
    <w:p>
      <w:pPr>
        <w:numPr>
          <w:ilvl w:val="0"/>
          <w:numId w:val="6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具备对当前节点配置自定义回调函数、发送消息、数据推送 等能力。</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4、执行器节点，提供调用自定义回调函数、发送消息功能：</w:t>
      </w:r>
      <w:r/>
    </w:p>
    <w:p>
      <w:pPr>
        <w:numPr>
          <w:ilvl w:val="0"/>
          <w:numId w:val="6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具备对当前节点配置自定义回调函数、发送消息、数据推送等能力；</w:t>
      </w:r>
      <w:r/>
    </w:p>
    <w:p>
      <w:pPr>
        <w:numPr>
          <w:ilvl w:val="0"/>
          <w:numId w:val="6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抄送人节点；</w:t>
      </w:r>
      <w:r/>
    </w:p>
    <w:p>
      <w:pPr>
        <w:numPr>
          <w:ilvl w:val="0"/>
          <w:numId w:val="6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支持按角色或者个人对流程添加抄送人。</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5、条件分支节点，提供根据表单字段的值，设置判断条件，以进 入不同的流程分支的支撑功能：</w:t>
      </w:r>
      <w:r/>
    </w:p>
    <w:p>
      <w:pPr>
        <w:numPr>
          <w:ilvl w:val="0"/>
          <w:numId w:val="6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支持对每个节点设置多个条件分支，流程走向符合条件的第 一个分支；</w:t>
      </w:r>
      <w:r/>
    </w:p>
    <w:p>
      <w:pPr>
        <w:numPr>
          <w:ilvl w:val="0"/>
          <w:numId w:val="6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具备通过表单内组件数据控制流程分支走向的能力；</w:t>
      </w:r>
      <w:r/>
    </w:p>
    <w:p>
      <w:pPr>
        <w:numPr>
          <w:ilvl w:val="0"/>
          <w:numId w:val="6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支持对每个分支设置多个条件，多个条件之间以“且”的关 系拼接。</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6、并行分支节点，支持根据表单字段的值设置判断条件，流程将 进入所有满足条件的分支：</w:t>
      </w:r>
      <w:r/>
    </w:p>
    <w:p>
      <w:pPr>
        <w:numPr>
          <w:ilvl w:val="0"/>
          <w:numId w:val="6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支持对每个节点设置多个条件分支，流程走向每个符合条件 的分支；</w:t>
      </w:r>
      <w:r/>
    </w:p>
    <w:p>
      <w:pPr>
        <w:numPr>
          <w:ilvl w:val="0"/>
          <w:numId w:val="6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具备通过表单内组件数据控制流程分支走向的能力；</w:t>
      </w:r>
      <w:r/>
    </w:p>
    <w:p>
      <w:pPr>
        <w:numPr>
          <w:ilvl w:val="0"/>
          <w:numId w:val="6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支持对每个分支设置多个条件，多个条件之间以“且”的关 系拼接</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7、子流程节点，提供对流程指定子流程的功能：</w:t>
      </w:r>
      <w:r/>
    </w:p>
    <w:p>
      <w:pPr>
        <w:numPr>
          <w:ilvl w:val="0"/>
          <w:numId w:val="7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对流程配置子流程，选择要执行的子流程；</w:t>
      </w:r>
      <w:r/>
    </w:p>
    <w:p>
      <w:pPr>
        <w:numPr>
          <w:ilvl w:val="0"/>
          <w:numId w:val="7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支持配置子流程发起人，指定为发起人或上一节点处理人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20.1.3 规则与自动化</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1、表单规则，提供规则管理、规则触发器、规则执行器、执行日志查询功能：</w:t>
      </w:r>
      <w:r/>
    </w:p>
    <w:p>
      <w:pPr>
        <w:numPr>
          <w:ilvl w:val="0"/>
          <w:numId w:val="7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具备表单规则查询管理能力；</w:t>
      </w:r>
      <w:r/>
    </w:p>
    <w:p>
      <w:pPr>
        <w:numPr>
          <w:ilvl w:val="0"/>
          <w:numId w:val="7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支持配置表单规则触发条件的能力，触发方式包括新增数  据、修改数据、删除数据、定时触发，触发条件可依据表单内 容设置；</w:t>
      </w:r>
      <w:r/>
    </w:p>
    <w:p>
      <w:pPr>
        <w:numPr>
          <w:ilvl w:val="0"/>
          <w:numId w:val="7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执行动作包括，新增数据、更新已有数据、更新或新增已有 数据、更新主表数据或新增子表数据、清空子表单数据、新增  子表单数据；</w:t>
      </w:r>
      <w:r/>
    </w:p>
    <w:p>
      <w:pPr>
        <w:numPr>
          <w:ilvl w:val="0"/>
          <w:numId w:val="7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支持主表对主表、主表对子表、子表对主表、子表对子表等 形式的数据同步；</w:t>
      </w:r>
      <w:r/>
    </w:p>
    <w:p>
      <w:pPr>
        <w:numPr>
          <w:ilvl w:val="0"/>
          <w:numId w:val="7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支持对表单规则执行日志查询。</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2、流程规则，提供规则管理、规则触发器、规则执行器、执行日志查询功能：</w:t>
      </w:r>
      <w:r/>
    </w:p>
    <w:p>
      <w:pPr>
        <w:numPr>
          <w:ilvl w:val="0"/>
          <w:numId w:val="7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具备流程规则查询管理能力；</w:t>
      </w:r>
      <w:r/>
    </w:p>
    <w:p>
      <w:pPr>
        <w:numPr>
          <w:ilvl w:val="0"/>
          <w:numId w:val="7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支持配置流程规则触发条件的能力，触发方式包括新增数  据、修改数据、删除数据、定时触发，触发条件可依据表单内 容和流程状态设置；</w:t>
      </w:r>
      <w:r/>
    </w:p>
    <w:p>
      <w:pPr>
        <w:numPr>
          <w:ilvl w:val="0"/>
          <w:numId w:val="7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执行动作包括发起新流程；</w:t>
      </w:r>
      <w:r/>
    </w:p>
    <w:p>
      <w:pPr>
        <w:numPr>
          <w:ilvl w:val="0"/>
          <w:numId w:val="7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支持对目标表单发起流程；</w:t>
      </w:r>
      <w:r/>
    </w:p>
    <w:p>
      <w:pPr>
        <w:numPr>
          <w:ilvl w:val="0"/>
          <w:numId w:val="7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支持对流程规则执行日志查询。</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3、数据推送，提供规则管理、规则触发器、规则执行器、执行日志查询功能：</w:t>
      </w:r>
      <w:r/>
    </w:p>
    <w:p>
      <w:pPr>
        <w:numPr>
          <w:ilvl w:val="0"/>
          <w:numId w:val="7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具备数据推送规则查询管理能力；</w:t>
      </w:r>
      <w:r/>
    </w:p>
    <w:p>
      <w:pPr>
        <w:numPr>
          <w:ilvl w:val="0"/>
          <w:numId w:val="7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支持配置数据推送规则触发条件的能力，触发方式包括新增 数据、修改数据、删除数据、定时触发，触发条件可依据表单  内容和流程状态设置；</w:t>
      </w:r>
      <w:r/>
    </w:p>
    <w:p>
      <w:pPr>
        <w:numPr>
          <w:ilvl w:val="0"/>
          <w:numId w:val="7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执行动作支持指定为数据推送；</w:t>
      </w:r>
      <w:r/>
    </w:p>
    <w:p>
      <w:pPr>
        <w:numPr>
          <w:ilvl w:val="0"/>
          <w:numId w:val="7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支持调用指定 URL。</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4、回调函数，提供规则管理、规则触发器、规则执行器、执行日 志查询功能：</w:t>
      </w:r>
      <w:r/>
    </w:p>
    <w:p>
      <w:pPr>
        <w:numPr>
          <w:ilvl w:val="0"/>
          <w:numId w:val="7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具备回调函数规则查询管理能力；</w:t>
      </w:r>
      <w:r/>
    </w:p>
    <w:p>
      <w:pPr>
        <w:numPr>
          <w:ilvl w:val="0"/>
          <w:numId w:val="7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支持配置回调函数规则触发条件的能力，触发方式包括新增 数据、修改数据、删除数据、定时触发，触发条件可依据表单  内容和流程状态设置；</w:t>
      </w:r>
      <w:r/>
    </w:p>
    <w:p>
      <w:pPr>
        <w:numPr>
          <w:ilvl w:val="0"/>
          <w:numId w:val="7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执行动作支持指定为回调函数；</w:t>
      </w:r>
      <w:r/>
    </w:p>
    <w:p>
      <w:pPr>
        <w:numPr>
          <w:ilvl w:val="0"/>
          <w:numId w:val="7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支持指定目标数据源、目标数据表；</w:t>
      </w:r>
      <w:r/>
    </w:p>
    <w:p>
      <w:pPr>
        <w:numPr>
          <w:ilvl w:val="0"/>
          <w:numId w:val="7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具备配置库表字段数据映射关系能力。</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5、消息推送，提供规则管理、规则触发器、规则执行器、执行日 志查询功能：</w:t>
      </w:r>
      <w:r/>
    </w:p>
    <w:p>
      <w:pPr>
        <w:numPr>
          <w:ilvl w:val="0"/>
          <w:numId w:val="7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具备消息推送规则查询管理能力； </w:t>
      </w:r>
      <w:r/>
    </w:p>
    <w:p>
      <w:pPr>
        <w:numPr>
          <w:ilvl w:val="0"/>
          <w:numId w:val="7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▲支持配置消息推送规则触发条件的能力，触发方式包括新增数据、修改数据、删除数据、定时触发，触发条件可依据单内容和流程状态设置；（需提供该功能相应系统界面截图，并加盖投标人公章）</w:t>
      </w:r>
      <w:r/>
    </w:p>
    <w:p>
      <w:pPr>
        <w:numPr>
          <w:ilvl w:val="0"/>
          <w:numId w:val="7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执行动作支持指定为消息推送；</w:t>
      </w:r>
      <w:r/>
    </w:p>
    <w:p>
      <w:pPr>
        <w:numPr>
          <w:ilvl w:val="0"/>
          <w:numId w:val="7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支持对指定待办中心推送消息。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20.1.4 表单设置</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w:t>
      </w:r>
      <w:r>
        <w:rPr>
          <w:rFonts w:eastAsiaTheme="minorEastAsia"/>
          <w:color w:val="000000" w:themeColor="text1"/>
          <w:sz w:val="24"/>
          <w:szCs w:val="24"/>
          <w14:textFill>
            <w14:solidFill>
              <w14:schemeClr w14:val="tx1"/>
            </w14:solidFill>
          </w14:textFill>
        </w:rPr>
        <w:t xml:space="preserve">表单信息，提供表单基本信息查询与配置功能</w:t>
      </w:r>
      <w:r>
        <w:rPr>
          <w:rFonts w:hint="eastAsia" w:eastAsiaTheme="minorEastAsia"/>
          <w:color w:val="000000" w:themeColor="text1"/>
          <w:sz w:val="24"/>
          <w:szCs w:val="24"/>
          <w14:textFill>
            <w14:solidFill>
              <w14:schemeClr w14:val="tx1"/>
            </w14:solidFill>
          </w14:textFill>
        </w:rPr>
        <w:t xml:space="preserve">：</w:t>
      </w:r>
      <w:r/>
    </w:p>
    <w:p>
      <w:pPr>
        <w:numPr>
          <w:ilvl w:val="0"/>
          <w:numId w:val="7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支持查询表单 ID；</w:t>
      </w:r>
      <w:r/>
    </w:p>
    <w:p>
      <w:pPr>
        <w:numPr>
          <w:ilvl w:val="0"/>
          <w:numId w:val="7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查询编辑表单名称与描述</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w:t>
      </w:r>
      <w:r>
        <w:rPr>
          <w:rFonts w:eastAsiaTheme="minorEastAsia"/>
          <w:color w:val="000000" w:themeColor="text1"/>
          <w:sz w:val="24"/>
          <w:szCs w:val="24"/>
          <w14:textFill>
            <w14:solidFill>
              <w14:schemeClr w14:val="tx1"/>
            </w14:solidFill>
          </w14:textFill>
        </w:rPr>
        <w:t xml:space="preserve">打印设置，提供打印模板面板、动态表单参数填充器、样式与 公式编辑器功能</w:t>
      </w:r>
      <w:r>
        <w:rPr>
          <w:rFonts w:hint="eastAsia" w:eastAsiaTheme="minorEastAsia"/>
          <w:color w:val="000000" w:themeColor="text1"/>
          <w:sz w:val="24"/>
          <w:szCs w:val="24"/>
          <w14:textFill>
            <w14:solidFill>
              <w14:schemeClr w14:val="tx1"/>
            </w14:solidFill>
          </w14:textFill>
        </w:rPr>
        <w:t xml:space="preserve">：</w:t>
      </w:r>
      <w:r/>
    </w:p>
    <w:p>
      <w:pPr>
        <w:numPr>
          <w:ilvl w:val="0"/>
          <w:numId w:val="77"/>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支持启用“表单打印模板”功能；</w:t>
      </w:r>
      <w:r/>
    </w:p>
    <w:p>
      <w:pPr>
        <w:numPr>
          <w:ilvl w:val="0"/>
          <w:numId w:val="77"/>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具备以表格的形式设计打印模板；</w:t>
      </w:r>
      <w:r/>
    </w:p>
    <w:p>
      <w:pPr>
        <w:numPr>
          <w:ilvl w:val="0"/>
          <w:numId w:val="77"/>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支持在表格中将表单字段名称与字段值绑定至单元格；</w:t>
      </w:r>
      <w:r/>
    </w:p>
    <w:p>
      <w:pPr>
        <w:numPr>
          <w:ilvl w:val="0"/>
          <w:numId w:val="77"/>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允许设置字体、底色、边框、长宽、对齐方式等样式；</w:t>
      </w:r>
      <w:r/>
    </w:p>
    <w:p>
      <w:pPr>
        <w:numPr>
          <w:ilvl w:val="0"/>
          <w:numId w:val="77"/>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支持合并单元格、公式计算、超链接等表格功能</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导出设置，提供模板识别引擎、动态表单参数填充器功能</w:t>
      </w:r>
      <w:r>
        <w:rPr>
          <w:rFonts w:hint="eastAsia" w:eastAsiaTheme="minorEastAsia"/>
          <w:color w:val="000000" w:themeColor="text1"/>
          <w:sz w:val="24"/>
          <w:szCs w:val="24"/>
          <w14:textFill>
            <w14:solidFill>
              <w14:schemeClr w14:val="tx1"/>
            </w14:solidFill>
          </w14:textFill>
        </w:rPr>
        <w:t xml:space="preserve">：</w:t>
      </w:r>
      <w:r/>
    </w:p>
    <w:p>
      <w:pPr>
        <w:numPr>
          <w:ilvl w:val="0"/>
          <w:numId w:val="7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 word 模板识别能力；</w:t>
      </w:r>
      <w:r/>
    </w:p>
    <w:p>
      <w:pPr>
        <w:numPr>
          <w:ilvl w:val="0"/>
          <w:numId w:val="7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支持将表单字段以参数的形式拼接至表单内容中；</w:t>
      </w:r>
      <w:r/>
    </w:p>
    <w:p>
      <w:pPr>
        <w:numPr>
          <w:ilvl w:val="0"/>
          <w:numId w:val="7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支持将 word 的表单参数字段翻译并导出</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4、分享设置，提供设置分享填写次数、分享动作、分享页样式、 查询历史填写数据功能：</w:t>
      </w:r>
      <w:r/>
    </w:p>
    <w:p>
      <w:pPr>
        <w:numPr>
          <w:ilvl w:val="0"/>
          <w:numId w:val="7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支持设置分享填写次数；</w:t>
      </w:r>
      <w:r/>
    </w:p>
    <w:p>
      <w:pPr>
        <w:numPr>
          <w:ilvl w:val="0"/>
          <w:numId w:val="7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允许分享后跳转至指定地址；</w:t>
      </w:r>
      <w:r/>
    </w:p>
    <w:p>
      <w:pPr>
        <w:numPr>
          <w:ilvl w:val="0"/>
          <w:numId w:val="7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支持自定义分享页样式；</w:t>
      </w:r>
      <w:r/>
    </w:p>
    <w:p>
      <w:pPr>
        <w:numPr>
          <w:ilvl w:val="0"/>
          <w:numId w:val="7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具备设置是否允许查询填写记录的能力；</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5、流程实例名称，提供流程实例名称设置面板、规则配置器：</w:t>
      </w:r>
      <w:r/>
    </w:p>
    <w:p>
      <w:pPr>
        <w:numPr>
          <w:ilvl w:val="0"/>
          <w:numId w:val="8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可视化流程实例配置面板；</w:t>
      </w:r>
      <w:r/>
    </w:p>
    <w:p>
      <w:pPr>
        <w:numPr>
          <w:ilvl w:val="0"/>
          <w:numId w:val="8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支持表单字段、变量、固定字符串拼接定义流程实例名称；</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20.1.5 数据管理页</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1、自定义列表视图，提供视图新增、删除、编辑、查询、显示、 排序、复制功能：</w:t>
      </w:r>
      <w:r/>
    </w:p>
    <w:p>
      <w:pPr>
        <w:numPr>
          <w:ilvl w:val="0"/>
          <w:numId w:val="8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支持视图新增、删除、编辑、查询、显示、排序、复制；</w:t>
      </w:r>
      <w:r/>
    </w:p>
    <w:p>
      <w:pPr>
        <w:numPr>
          <w:ilvl w:val="0"/>
          <w:numId w:val="8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视图支持配置数据筛选范围、筛选项配置、配置操作按钮；</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2、自定义操作按钮，提供视图操作按钮支持新增、删除、编辑、 显示、排序、自定义动作功能：</w:t>
      </w:r>
      <w:r/>
    </w:p>
    <w:p>
      <w:pPr>
        <w:numPr>
          <w:ilvl w:val="0"/>
          <w:numId w:val="8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支持配置操作按钮名称、按钮显隐、复制、排序；</w:t>
      </w:r>
      <w:r/>
    </w:p>
    <w:p>
      <w:pPr>
        <w:numPr>
          <w:ilvl w:val="0"/>
          <w:numId w:val="8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自定义按钮支持编写自定义 js</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3、展示列设置，提供展示列编辑、自定义展示列、自定义脚本事 件功能：</w:t>
      </w:r>
      <w:r/>
    </w:p>
    <w:p>
      <w:pPr>
        <w:numPr>
          <w:ilvl w:val="0"/>
          <w:numId w:val="8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对表单内字段及数据填报时间、数据填报人、数据填报人部 门等字段扩展字段选择是否展示；</w:t>
      </w:r>
      <w:r/>
    </w:p>
    <w:p>
      <w:pPr>
        <w:numPr>
          <w:ilvl w:val="0"/>
          <w:numId w:val="8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支持展示列拖拽排序</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4、查询条件设置，提供筛选项配置器、高级筛选模式、筛选项编 辑功能：</w:t>
      </w:r>
      <w:r/>
    </w:p>
    <w:p>
      <w:pPr>
        <w:numPr>
          <w:ilvl w:val="0"/>
          <w:numId w:val="8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支持以表单字段及扩展字段作为表单筛选条件； </w:t>
      </w:r>
      <w:r/>
    </w:p>
    <w:p>
      <w:pPr>
        <w:numPr>
          <w:ilvl w:val="0"/>
          <w:numId w:val="8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筛选条件设计面板支持可视化拖拽设计摆放；</w:t>
      </w:r>
      <w:r/>
    </w:p>
    <w:p>
      <w:pPr>
        <w:numPr>
          <w:ilvl w:val="0"/>
          <w:numId w:val="8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支持高级筛选与普通筛选双模式筛选数据</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5、样式自定义提供自定义默认排序方式、列汇总设置、进度条展示配置、行内编辑模式功能：</w:t>
      </w:r>
      <w:r/>
    </w:p>
    <w:p>
      <w:pPr>
        <w:numPr>
          <w:ilvl w:val="0"/>
          <w:numId w:val="8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按需自定义展示字段在列表内的展示样式，例如列别名、 自定义列宽、对齐方式、</w:t>
      </w:r>
      <w:r>
        <w:rPr>
          <w:rFonts w:hint="eastAsia" w:eastAsiaTheme="minorEastAsia"/>
          <w:color w:val="000000" w:themeColor="text1"/>
          <w:sz w:val="24"/>
          <w:szCs w:val="24"/>
          <w14:textFill>
            <w14:solidFill>
              <w14:schemeClr w14:val="tx1"/>
            </w14:solidFill>
          </w14:textFill>
        </w:rPr>
        <w:tab/>
      </w:r>
      <w:r>
        <w:rPr>
          <w:rFonts w:hint="eastAsia" w:eastAsiaTheme="minorEastAsia"/>
          <w:color w:val="000000" w:themeColor="text1"/>
          <w:sz w:val="24"/>
          <w:szCs w:val="24"/>
          <w14:textFill>
            <w14:solidFill>
              <w14:schemeClr w14:val="tx1"/>
            </w14:solidFill>
          </w14:textFill>
        </w:rPr>
        <w:t xml:space="preserve">固定列、字段外链、汇总列、进度    条、默认排序方式等功能；</w:t>
      </w:r>
      <w:r/>
    </w:p>
    <w:p>
      <w:pPr>
        <w:numPr>
          <w:ilvl w:val="0"/>
          <w:numId w:val="8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普通表单支持行内编辑模式； </w:t>
      </w:r>
      <w:r/>
    </w:p>
    <w:p>
      <w:pPr>
        <w:numPr>
          <w:ilvl w:val="0"/>
          <w:numId w:val="8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操作列支持宽度、按钮数自定义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20.1.6 权限设置</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1、权限组列表，提供权限组查询列表、权限组并集生效、权限组筛查功能：</w:t>
      </w:r>
      <w:r/>
    </w:p>
    <w:p>
      <w:pPr>
        <w:numPr>
          <w:ilvl w:val="0"/>
          <w:numId w:val="8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支持权限组按照权限组名、操作权限、数据权限、启用状 态、权限成员为条件查询列表；</w:t>
      </w:r>
      <w:r/>
    </w:p>
    <w:p>
      <w:pPr>
        <w:numPr>
          <w:ilvl w:val="0"/>
          <w:numId w:val="8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多条权限组间，同一用户的操作权限、数据权限并集生效； </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2、权限组操作，提供新增、编辑、复制、删除权限组功能：</w:t>
      </w:r>
      <w:r/>
    </w:p>
    <w:p>
      <w:pPr>
        <w:numPr>
          <w:ilvl w:val="0"/>
          <w:numId w:val="8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权限成员支持基于选择成员、组织、角色、岗位四种方式选择； </w:t>
      </w:r>
      <w:r/>
    </w:p>
    <w:p>
      <w:pPr>
        <w:numPr>
          <w:ilvl w:val="0"/>
          <w:numId w:val="8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操作权限包括新增、导入、数据查询、编辑、删除、导出、无权限七种； </w:t>
      </w:r>
      <w:r/>
    </w:p>
    <w:p>
      <w:pPr>
        <w:numPr>
          <w:ilvl w:val="0"/>
          <w:numId w:val="8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数据权限支持查询自己填写数据、查询本部门内数据、查询本级区划内数据、查询本级及全部下级区划内数据、查询符  合筛选条件数据、查询全部数据六类； </w:t>
      </w:r>
      <w:r/>
    </w:p>
    <w:p>
      <w:pPr>
        <w:numPr>
          <w:ilvl w:val="0"/>
          <w:numId w:val="8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权限组支持通过开关启停；</w:t>
      </w:r>
      <w:r/>
    </w:p>
    <w:p>
      <w:pPr>
        <w:numPr>
          <w:ilvl w:val="0"/>
          <w:numId w:val="8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权限组支持在列表中复制、编辑、删除</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20.1.7 网页设计器</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w:t>
      </w:r>
      <w:r>
        <w:rPr>
          <w:rFonts w:eastAsiaTheme="minorEastAsia"/>
          <w:color w:val="000000" w:themeColor="text1"/>
          <w:sz w:val="24"/>
          <w:szCs w:val="24"/>
          <w14:textFill>
            <w14:solidFill>
              <w14:schemeClr w14:val="tx1"/>
            </w14:solidFill>
          </w14:textFill>
        </w:rPr>
        <w:t xml:space="preserve">移动端网页</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支持适合移动端交互的组件，同时支持在电脑端展示；</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w:t>
      </w:r>
      <w:r>
        <w:rPr>
          <w:rFonts w:eastAsiaTheme="minorEastAsia"/>
          <w:color w:val="000000" w:themeColor="text1"/>
          <w:sz w:val="24"/>
          <w:szCs w:val="24"/>
          <w14:textFill>
            <w14:solidFill>
              <w14:schemeClr w14:val="tx1"/>
            </w14:solidFill>
          </w14:textFill>
        </w:rPr>
        <w:t xml:space="preserve">电脑端网页</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、支持适合电脑端交互的组件，同时支持在移动端展示；</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大纲树节点过滤、查询</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支持基于大纲树查看、删除页面节点</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w:t>
      </w:r>
      <w:r>
        <w:rPr>
          <w:rFonts w:eastAsiaTheme="minorEastAsia"/>
          <w:color w:val="000000" w:themeColor="text1"/>
          <w:sz w:val="24"/>
          <w:szCs w:val="24"/>
          <w14:textFill>
            <w14:solidFill>
              <w14:schemeClr w14:val="tx1"/>
            </w14:solidFill>
          </w14:textFill>
        </w:rPr>
        <w:t xml:space="preserve">子页面</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1、支持对同一页面增、删、改、查子页面； 2、子页面支持一键复制</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w:t>
      </w:r>
      <w:r>
        <w:rPr>
          <w:rFonts w:eastAsiaTheme="minorEastAsia"/>
          <w:color w:val="000000" w:themeColor="text1"/>
          <w:sz w:val="24"/>
          <w:szCs w:val="24"/>
          <w14:textFill>
            <w14:solidFill>
              <w14:schemeClr w14:val="tx1"/>
            </w14:solidFill>
          </w14:textFill>
        </w:rPr>
        <w:t xml:space="preserve">多页路由</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支持子页面间通过路由跳转</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6、</w:t>
      </w:r>
      <w:r>
        <w:rPr>
          <w:rFonts w:eastAsiaTheme="minorEastAsia"/>
          <w:color w:val="000000" w:themeColor="text1"/>
          <w:sz w:val="24"/>
          <w:szCs w:val="24"/>
          <w14:textFill>
            <w14:solidFill>
              <w14:schemeClr w14:val="tx1"/>
            </w14:solidFill>
          </w14:textFill>
        </w:rPr>
        <w:t xml:space="preserve">移动端组件</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提供普通文本、单元格、布局、轻提示、按钮、图片、弹出层、路由、日历、复选框组、输入框、表单项、选择器组、联 级选择、日期选择、表单、选择器、单选框、评分、滑块、步 进器、时间选择、搜索、签名、开关、文件上传、动作面板、 下拉菜单、下拉刷新、弹出框、消息通知、分享面板、滑动单 元格、徽标、分割线、高亮文本、通知栏、标签、折叠面板、空状态、列表、轮播、文本省略、动作栏、索引栏、分页、标 签页、宫格、导航栏、侧边导航、标签栏、分类选择、地址编 辑、地址列表、商品卡片、视频、嵌入网页</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7、</w:t>
      </w:r>
      <w:r>
        <w:rPr>
          <w:rFonts w:eastAsiaTheme="minorEastAsia"/>
          <w:color w:val="000000" w:themeColor="text1"/>
          <w:sz w:val="24"/>
          <w:szCs w:val="24"/>
          <w14:textFill>
            <w14:solidFill>
              <w14:schemeClr w14:val="tx1"/>
            </w14:solidFill>
          </w14:textFill>
        </w:rPr>
        <w:t xml:space="preserve">电脑端组件</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提供文本、头像、链接、图片、按钮、标签、徽章、骨架屏、 空状态、文字提示、分割线、日历、滚动条、卡片、行列、标 签、页面布局、间距、两栏栅格、布局一、布局二、布局三、 表格、走马灯、树、面包屑、折叠面板、时间线、分页、进度、统计、水印、卡片、标签、描述、树形选择、表单、单选 按钮、级联选择、开关、表单容器、文本输入、登录表单、自 动填充、复选框组、数字输入框、评分、下拉选择器、滑动选 择、时间选择器、穿梭框、上传、视频、嵌入网页</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8、</w:t>
      </w:r>
      <w:r>
        <w:rPr>
          <w:rFonts w:eastAsiaTheme="minorEastAsia"/>
          <w:color w:val="000000" w:themeColor="text1"/>
          <w:sz w:val="24"/>
          <w:szCs w:val="24"/>
          <w14:textFill>
            <w14:solidFill>
              <w14:schemeClr w14:val="tx1"/>
            </w14:solidFill>
          </w14:textFill>
        </w:rPr>
        <w:t xml:space="preserve">数据源-网页数据接口配置、管理、引用</w:t>
      </w:r>
      <w:r>
        <w:rPr>
          <w:rFonts w:hint="eastAsia" w:eastAsiaTheme="minorEastAsia"/>
          <w:color w:val="000000" w:themeColor="text1"/>
          <w:sz w:val="24"/>
          <w:szCs w:val="24"/>
          <w14:textFill>
            <w14:solidFill>
              <w14:schemeClr w14:val="tx1"/>
            </w14:solidFill>
          </w14:textFill>
        </w:rPr>
        <w:t xml:space="preserve">：</w:t>
      </w:r>
      <w:r/>
    </w:p>
    <w:p>
      <w:pPr>
        <w:numPr>
          <w:ilvl w:val="0"/>
          <w:numId w:val="88"/>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支持按照接口名称查询接口列表；</w:t>
      </w:r>
      <w:r/>
    </w:p>
    <w:p>
      <w:pPr>
        <w:numPr>
          <w:ilvl w:val="0"/>
          <w:numId w:val="88"/>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通过卡片视图展示接口列表；</w:t>
      </w:r>
      <w:r/>
    </w:p>
    <w:p>
      <w:pPr>
        <w:numPr>
          <w:ilvl w:val="0"/>
          <w:numId w:val="88"/>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具备填写接口名称、请求方式、接口参数等基本信息维护接口信息；</w:t>
      </w:r>
      <w:r/>
    </w:p>
    <w:p>
      <w:pPr>
        <w:numPr>
          <w:ilvl w:val="0"/>
          <w:numId w:val="88"/>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支持使用“表单数据”、“数据集”类型数据源；</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9、</w:t>
      </w:r>
      <w:r>
        <w:rPr>
          <w:rFonts w:eastAsiaTheme="minorEastAsia"/>
          <w:color w:val="000000" w:themeColor="text1"/>
          <w:sz w:val="24"/>
          <w:szCs w:val="24"/>
          <w14:textFill>
            <w14:solidFill>
              <w14:schemeClr w14:val="tx1"/>
            </w14:solidFill>
          </w14:textFill>
        </w:rPr>
        <w:t xml:space="preserve">js 编辑面板</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支持对网页内 js 编辑</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10、</w:t>
      </w:r>
      <w:r>
        <w:rPr>
          <w:rFonts w:eastAsiaTheme="minorEastAsia"/>
          <w:color w:val="000000" w:themeColor="text1"/>
          <w:sz w:val="24"/>
          <w:szCs w:val="24"/>
          <w14:textFill>
            <w14:solidFill>
              <w14:schemeClr w14:val="tx1"/>
            </w14:solidFill>
          </w14:textFill>
        </w:rPr>
        <w:t xml:space="preserve">css 编辑面板</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支持对网页内 css 编辑</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11、</w:t>
      </w:r>
      <w:r>
        <w:rPr>
          <w:rFonts w:eastAsiaTheme="minorEastAsia"/>
          <w:color w:val="000000" w:themeColor="text1"/>
          <w:sz w:val="24"/>
          <w:szCs w:val="24"/>
          <w14:textFill>
            <w14:solidFill>
              <w14:schemeClr w14:val="tx1"/>
            </w14:solidFill>
          </w14:textFill>
        </w:rPr>
        <w:t xml:space="preserve">响应器</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支持自定义变量、计算属性、自定义函数、生命周期、第三方工具扩展信息</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12、</w:t>
      </w:r>
      <w:r>
        <w:rPr>
          <w:rFonts w:eastAsiaTheme="minorEastAsia"/>
          <w:color w:val="000000" w:themeColor="text1"/>
          <w:sz w:val="24"/>
          <w:szCs w:val="24"/>
          <w14:textFill>
            <w14:solidFill>
              <w14:schemeClr w14:val="tx1"/>
            </w14:solidFill>
          </w14:textFill>
        </w:rPr>
        <w:t xml:space="preserve">网页设计面板</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提供组件库、网页设计面板、网页预览；添加组件、编辑组件、删除组件、复制组件；组件属性面板；出码；模板导出功能</w:t>
      </w:r>
      <w:r>
        <w:rPr>
          <w:rFonts w:hint="eastAsia" w:eastAsiaTheme="minorEastAsia"/>
          <w:color w:val="000000" w:themeColor="text1"/>
          <w:sz w:val="24"/>
          <w:szCs w:val="24"/>
          <w14:textFill>
            <w14:solidFill>
              <w14:schemeClr w14:val="tx1"/>
            </w14:solidFill>
          </w14:textFill>
        </w:rPr>
        <w:t xml:space="preserve">。</w:t>
      </w:r>
      <w:r/>
    </w:p>
    <w:p>
      <w:pPr>
        <w:numPr>
          <w:ilvl w:val="0"/>
          <w:numId w:val="89"/>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组件库支持分区展示；</w:t>
      </w:r>
      <w:r/>
    </w:p>
    <w:p>
      <w:pPr>
        <w:numPr>
          <w:ilvl w:val="0"/>
          <w:numId w:val="89"/>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设计面板支持所见即所得设计网页；</w:t>
      </w:r>
      <w:r/>
    </w:p>
    <w:p>
      <w:pPr>
        <w:numPr>
          <w:ilvl w:val="0"/>
          <w:numId w:val="89"/>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属性配置区对组件的属性、样式、事件、数据进行配置；</w:t>
      </w:r>
      <w:r/>
    </w:p>
    <w:p>
      <w:pPr>
        <w:numPr>
          <w:ilvl w:val="0"/>
          <w:numId w:val="89"/>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支持在网页设计面板中对组件编排设计，添加、编辑、删 除、复制组件；</w:t>
      </w:r>
      <w:r/>
    </w:p>
    <w:p>
      <w:pPr>
        <w:numPr>
          <w:ilvl w:val="0"/>
          <w:numId w:val="89"/>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将网页设计器内设计的前端代码打包下载；</w:t>
      </w:r>
      <w:r/>
    </w:p>
    <w:p>
      <w:pPr>
        <w:numPr>
          <w:ilvl w:val="0"/>
          <w:numId w:val="89"/>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支持将网页导出为模板文件</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20.1.8 仪表板设计器 </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w:t>
      </w:r>
      <w:r>
        <w:rPr>
          <w:rFonts w:eastAsiaTheme="minorEastAsia"/>
          <w:color w:val="000000" w:themeColor="text1"/>
          <w:sz w:val="24"/>
          <w:szCs w:val="24"/>
          <w14:textFill>
            <w14:solidFill>
              <w14:schemeClr w14:val="tx1"/>
            </w14:solidFill>
          </w14:textFill>
        </w:rPr>
        <w:t xml:space="preserve">仪表板-可视化展示大盘</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支持仪表盘增删改查，预览，克隆，分享（支持单点登录），重命名、导出、导入、发布、取消发布、多选、批量删除，支 持批量导入导出操作</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w:t>
      </w:r>
      <w:r>
        <w:rPr>
          <w:rFonts w:eastAsiaTheme="minorEastAsia"/>
          <w:color w:val="000000" w:themeColor="text1"/>
          <w:sz w:val="24"/>
          <w:szCs w:val="24"/>
          <w14:textFill>
            <w14:solidFill>
              <w14:schemeClr w14:val="tx1"/>
            </w14:solidFill>
          </w14:textFill>
        </w:rPr>
        <w:t xml:space="preserve">仪表盘组件-图表组件</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图表组件包含（柱状图、横向柱状图、胶囊柱图，堆积柱状图，正负值柱图，极坐标柱图，折线图，面积图，堆积折线图，堆积面积图，饼图（支持颜色自定义），环形图，玫瑰饼 图，进度条，百分比环形，柱状折线图，块地图，雷达图，漏斗图，词云，水球图，共计 21 种），图标组件均支持样式、数 据、动画编辑，边框配置、标题配置；</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仪表盘组件-列表组件</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列表组件包含（表格，轮播列表），支持样式、数据、动画编 辑；</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w:t>
      </w:r>
      <w:r>
        <w:rPr>
          <w:rFonts w:eastAsiaTheme="minorEastAsia"/>
          <w:color w:val="000000" w:themeColor="text1"/>
          <w:sz w:val="24"/>
          <w:szCs w:val="24"/>
          <w14:textFill>
            <w14:solidFill>
              <w14:schemeClr w14:val="tx1"/>
            </w14:solidFill>
          </w14:textFill>
        </w:rPr>
        <w:t xml:space="preserve">仪表盘组件-信息组件</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信息组件包含（文字、图片、视频、时间、网页，这些组件支 持样式、动画编辑；</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数值、数值动画、条件图标，支持样式、数据、动画编辑）；</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w:t>
      </w:r>
      <w:r>
        <w:rPr>
          <w:rFonts w:eastAsiaTheme="minorEastAsia"/>
          <w:color w:val="000000" w:themeColor="text1"/>
          <w:sz w:val="24"/>
          <w:szCs w:val="24"/>
          <w14:textFill>
            <w14:solidFill>
              <w14:schemeClr w14:val="tx1"/>
            </w14:solidFill>
          </w14:textFill>
        </w:rPr>
        <w:t xml:space="preserve">仪表盘组件-素材组件</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素材组件包含（14 种边框，5 种装饰，分割线，2 种提示）， 支持样式、动画编辑；</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6、</w:t>
      </w:r>
      <w:r>
        <w:rPr>
          <w:rFonts w:eastAsiaTheme="minorEastAsia"/>
          <w:color w:val="000000" w:themeColor="text1"/>
          <w:sz w:val="24"/>
          <w:szCs w:val="24"/>
          <w14:textFill>
            <w14:solidFill>
              <w14:schemeClr w14:val="tx1"/>
            </w14:solidFill>
          </w14:textFill>
        </w:rPr>
        <w:t xml:space="preserve">仪表盘组件-控制器组件</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控制器组件包含（文本输入，下拉选择，日期选择），支持样 式、数据、动画编辑；</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7、</w:t>
      </w:r>
      <w:r>
        <w:rPr>
          <w:rFonts w:eastAsiaTheme="minorEastAsia"/>
          <w:color w:val="000000" w:themeColor="text1"/>
          <w:sz w:val="24"/>
          <w:szCs w:val="24"/>
          <w14:textFill>
            <w14:solidFill>
              <w14:schemeClr w14:val="tx1"/>
            </w14:solidFill>
          </w14:textFill>
        </w:rPr>
        <w:t xml:space="preserve">仪表盘组件-布局组件</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布局组件包括（栅格，卡片，tab 页），支持样式、数据、动 画编辑及其他组件多层嵌套</w:t>
      </w:r>
      <w:r>
        <w:rPr>
          <w:rFonts w:hint="eastAsia" w:eastAsiaTheme="minorEastAsia"/>
          <w:color w:val="000000" w:themeColor="text1"/>
          <w:sz w:val="24"/>
          <w:szCs w:val="24"/>
          <w14:textFill>
            <w14:solidFill>
              <w14:schemeClr w14:val="tx1"/>
            </w14:solidFill>
          </w14:textFill>
        </w:rPr>
        <w:t xml:space="preserve">。</w:t>
      </w:r>
      <w:r/>
    </w:p>
    <w:p>
      <w:pPr>
        <w:numPr>
          <w:ilvl w:val="0"/>
          <w:numId w:val="90"/>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支持卡片新增超链接；</w:t>
      </w:r>
      <w:r/>
    </w:p>
    <w:p>
      <w:pPr>
        <w:numPr>
          <w:ilvl w:val="0"/>
          <w:numId w:val="90"/>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支持数值类组件支持左右布局配置；</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8、</w:t>
      </w:r>
      <w:r>
        <w:rPr>
          <w:rFonts w:eastAsiaTheme="minorEastAsia"/>
          <w:color w:val="000000" w:themeColor="text1"/>
          <w:sz w:val="24"/>
          <w:szCs w:val="24"/>
          <w14:textFill>
            <w14:solidFill>
              <w14:schemeClr w14:val="tx1"/>
            </w14:solidFill>
          </w14:textFill>
        </w:rPr>
        <w:t xml:space="preserve">仪表板配置</w:t>
      </w:r>
      <w:r>
        <w:rPr>
          <w:rFonts w:hint="eastAsia" w:eastAsiaTheme="minorEastAsia"/>
          <w:color w:val="000000" w:themeColor="text1"/>
          <w:sz w:val="24"/>
          <w:szCs w:val="24"/>
          <w14:textFill>
            <w14:solidFill>
              <w14:schemeClr w14:val="tx1"/>
            </w14:solidFill>
          </w14:textFill>
        </w:rPr>
        <w:t xml:space="preserve">：</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支持组件批量多选、移动、复制、删除；自定义位置，布局 等；</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支持样式、数据、动画配置；</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支持快捷键操作，撤回（优化画布拖动、调尺寸操作记录撤 回）、保存、画布放大缩小等；</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优化吸附边线、参考线；</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支持全局控制器、图表联动，下钻；</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支持图表维度、指标计算，包含排序，聚合函数等；</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支持指标、字段拖动排序；</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优化画布高度自动增长；</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所有 echarts 组件支持设置标题</w:t>
      </w:r>
      <w:r>
        <w:rPr>
          <w:rFonts w:hint="eastAsia" w:eastAsiaTheme="minorEastAsia"/>
          <w:color w:val="000000" w:themeColor="text1"/>
          <w:sz w:val="24"/>
          <w:szCs w:val="24"/>
          <w14:textFill>
            <w14:solidFill>
              <w14:schemeClr w14:val="tx1"/>
            </w14:solidFill>
          </w14:textFill>
        </w:rPr>
        <w:t xml:space="preserve">；</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图片配置支持设置 background 属性</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20.1.9 报表设计器</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w:t>
      </w:r>
      <w:r>
        <w:rPr>
          <w:rFonts w:eastAsiaTheme="minorEastAsia"/>
          <w:color w:val="000000" w:themeColor="text1"/>
          <w:sz w:val="24"/>
          <w:szCs w:val="24"/>
          <w14:textFill>
            <w14:solidFill>
              <w14:schemeClr w14:val="tx1"/>
            </w14:solidFill>
          </w14:textFill>
        </w:rPr>
        <w:t xml:space="preserve">报表设计面板</w:t>
      </w:r>
      <w:r>
        <w:rPr>
          <w:rFonts w:hint="eastAsia" w:eastAsiaTheme="minorEastAsia"/>
          <w:color w:val="000000" w:themeColor="text1"/>
          <w:sz w:val="24"/>
          <w:szCs w:val="24"/>
          <w14:textFill>
            <w14:solidFill>
              <w14:schemeClr w14:val="tx1"/>
            </w14:solidFill>
          </w14:textFill>
        </w:rPr>
        <w:t xml:space="preserve">：</w:t>
      </w:r>
      <w:r/>
    </w:p>
    <w:p>
      <w:pPr>
        <w:numPr>
          <w:ilvl w:val="0"/>
          <w:numId w:val="9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提供数据报表的工作空间绘制及管理功能；</w:t>
      </w:r>
      <w:r/>
    </w:p>
    <w:p>
      <w:pPr>
        <w:numPr>
          <w:ilvl w:val="0"/>
          <w:numId w:val="9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数据报表设计工作空间支持通过拖拽左侧数据集字段的形式 进行报表绘制；</w:t>
      </w:r>
      <w:r/>
    </w:p>
    <w:p>
      <w:pPr>
        <w:numPr>
          <w:ilvl w:val="0"/>
          <w:numId w:val="9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数据报表支持插入图片、插入图表指标，通过报表+图表的 形式实现统计分析；</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w:t>
      </w:r>
      <w:r>
        <w:rPr>
          <w:rFonts w:eastAsiaTheme="minorEastAsia"/>
          <w:color w:val="000000" w:themeColor="text1"/>
          <w:sz w:val="24"/>
          <w:szCs w:val="24"/>
          <w14:textFill>
            <w14:solidFill>
              <w14:schemeClr w14:val="tx1"/>
            </w14:solidFill>
          </w14:textFill>
        </w:rPr>
        <w:t xml:space="preserve">多端适配</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支持 PC 端、移动端多端适配查看。</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计算公式</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提供比较、小计、分组、补充空白行和汇总功能；提供求平均 值、最大值、最小值、求和、计数函数支撑；</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4、样式设计：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操作提供撤销、重做、格式刷、字段格式、小数位数、字体、 字号、加粗、斜体、删除线、下划线、字体颜色、单元格背景 色、边框样式、合并单元格、对齐方式选择、单元格换行配置、图片上传、冻结行/列、自动换行、打印等报表配置；</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5、数据联动：支持下钻配置，支持打开新页面和报表联动下钻两种下钻方 式；</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6、数据筛选配置：支持报表查询条件自定义；</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7、数据导出配置：</w:t>
      </w:r>
      <w:r/>
    </w:p>
    <w:p>
      <w:pPr>
        <w:numPr>
          <w:ilvl w:val="0"/>
          <w:numId w:val="9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支持报表数据批量导出，支持将多级下钻报表以 sheet 页形 式归档到 excel 文件中导出；</w:t>
      </w:r>
      <w:r/>
    </w:p>
    <w:p>
      <w:pPr>
        <w:numPr>
          <w:ilvl w:val="0"/>
          <w:numId w:val="93"/>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支持报表批量导入导出，实现数据报表快速迁移；</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20.1.10 字典管理</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包括字典查询列表、字典增删改查、字典项增删改查、公共/内 部字典、字典协作</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1、支持按照字典名称查询字典列表；</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2、通过字典列表展示字典集；</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3、字典分为公共字典，内部字典；</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4、字典与字典项具备查看、新增、删除、编辑能力；</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5、支持对字典设置协作组，支持分权操作</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20.1.11 标签管理</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标签查询列表、标签增删改查、标签项增删改查、公共/内部标 签、标签协作</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1、支持按照标签名称查询标签列表；</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2、通过标签列表展示标签集；</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3、标签分为公共标签，内部标签；</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4、标签具备查看、新增、删除、编辑能力；</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5、标签项具备查看、新增、删除、编辑、排序能力；</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6、支持对标签设置协作组，支持分权操作</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20.1.11 第三方服务</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第三方 API 查询列表、API 增删改查</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1、支持按照 API 名称、接口类型查询接口列表；</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2、支持对 API 查看、新增、删除、编辑；</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3、支持维护 HTTP、WebService 两类原始接口</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20.1.12 岗位配置</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岗位配置包括组织岗位设置、岗位新增、岗位人员管理</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1、支持对组织树设置岗位，并在岗位中设置对用的人员；</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2、支持基于岗位编号、岗位名称查询岗位列表，维护岗位成员；</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3、支持对岗位增删改查</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20.1.13 数据资源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数据资源，提供资源列表、资源详情查阅、接口内容查询功能</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1、支持对资源名称、应用名称查询资源列表；</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2、支持从资源详情中查询数据存储情况及数据开放方式</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20.1.14 模板中心</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w:t>
      </w:r>
      <w:r>
        <w:rPr>
          <w:rFonts w:eastAsiaTheme="minorEastAsia"/>
          <w:color w:val="000000" w:themeColor="text1"/>
          <w:sz w:val="24"/>
          <w:szCs w:val="24"/>
          <w14:textFill>
            <w14:solidFill>
              <w14:schemeClr w14:val="tx1"/>
            </w14:solidFill>
          </w14:textFill>
        </w:rPr>
        <w:t xml:space="preserve">表单模板，提供表单模板查询列表、公有模板、私有模板、批 量模板导入导出、模板增删改查功能</w:t>
      </w:r>
      <w:r>
        <w:rPr>
          <w:rFonts w:hint="eastAsia" w:eastAsiaTheme="minorEastAsia"/>
          <w:color w:val="000000" w:themeColor="text1"/>
          <w:sz w:val="24"/>
          <w:szCs w:val="24"/>
          <w14:textFill>
            <w14:solidFill>
              <w14:schemeClr w14:val="tx1"/>
            </w14:solidFill>
          </w14:textFill>
        </w:rPr>
        <w:t xml:space="preserve">：</w:t>
      </w:r>
      <w:r/>
    </w:p>
    <w:p>
      <w:pPr>
        <w:numPr>
          <w:ilvl w:val="0"/>
          <w:numId w:val="94"/>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支持模板名称查询模板列表；</w:t>
      </w:r>
      <w:r/>
    </w:p>
    <w:p>
      <w:pPr>
        <w:numPr>
          <w:ilvl w:val="0"/>
          <w:numId w:val="94"/>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支持对模板新建、预览、编辑、设计、删除、导出；</w:t>
      </w:r>
      <w:r/>
    </w:p>
    <w:p>
      <w:pPr>
        <w:numPr>
          <w:ilvl w:val="0"/>
          <w:numId w:val="94"/>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具备批量导入导出删除模板的能力</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w:t>
      </w:r>
      <w:r>
        <w:rPr>
          <w:rFonts w:eastAsiaTheme="minorEastAsia"/>
          <w:color w:val="000000" w:themeColor="text1"/>
          <w:sz w:val="24"/>
          <w:szCs w:val="24"/>
          <w14:textFill>
            <w14:solidFill>
              <w14:schemeClr w14:val="tx1"/>
            </w14:solidFill>
          </w14:textFill>
        </w:rPr>
        <w:t xml:space="preserve">网页模板，提供查询列表、公有模板、私有模板、批量模板导 入导出、模板增删改查功能</w:t>
      </w:r>
      <w:r>
        <w:rPr>
          <w:rFonts w:hint="eastAsia" w:eastAsiaTheme="minorEastAsia"/>
          <w:color w:val="000000" w:themeColor="text1"/>
          <w:sz w:val="24"/>
          <w:szCs w:val="24"/>
          <w14:textFill>
            <w14:solidFill>
              <w14:schemeClr w14:val="tx1"/>
            </w14:solidFill>
          </w14:textFill>
        </w:rPr>
        <w:t xml:space="preserve">：</w:t>
      </w:r>
      <w:r/>
    </w:p>
    <w:p>
      <w:pPr>
        <w:numPr>
          <w:ilvl w:val="0"/>
          <w:numId w:val="95"/>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支持模板名称查询模板列表；</w:t>
      </w:r>
      <w:r/>
    </w:p>
    <w:p>
      <w:pPr>
        <w:numPr>
          <w:ilvl w:val="0"/>
          <w:numId w:val="95"/>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支持移动端、电脑端网页模版；</w:t>
      </w:r>
      <w:r/>
    </w:p>
    <w:p>
      <w:pPr>
        <w:numPr>
          <w:ilvl w:val="0"/>
          <w:numId w:val="95"/>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支持对模板新建、预览、编辑、设计、删除、导出；</w:t>
      </w:r>
      <w:r/>
    </w:p>
    <w:p>
      <w:pPr>
        <w:numPr>
          <w:ilvl w:val="0"/>
          <w:numId w:val="95"/>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具备批量导入导出删除模板的能力</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报表模板，提供查询列表、公有模板、私有模板、批量模板导 入导出、模板增删改查功能</w:t>
      </w:r>
      <w:r>
        <w:rPr>
          <w:rFonts w:hint="eastAsia" w:eastAsiaTheme="minorEastAsia"/>
          <w:color w:val="000000" w:themeColor="text1"/>
          <w:sz w:val="24"/>
          <w:szCs w:val="24"/>
          <w14:textFill>
            <w14:solidFill>
              <w14:schemeClr w14:val="tx1"/>
            </w14:solidFill>
          </w14:textFill>
        </w:rPr>
        <w:t xml:space="preserve">：</w:t>
      </w:r>
      <w:r/>
    </w:p>
    <w:p>
      <w:pPr>
        <w:numPr>
          <w:ilvl w:val="0"/>
          <w:numId w:val="9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支持模板名称查询模板列表；</w:t>
      </w:r>
      <w:r/>
    </w:p>
    <w:p>
      <w:pPr>
        <w:numPr>
          <w:ilvl w:val="0"/>
          <w:numId w:val="9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支持对模板编辑、删除、导出；</w:t>
      </w:r>
      <w:r/>
    </w:p>
    <w:p>
      <w:pPr>
        <w:numPr>
          <w:ilvl w:val="0"/>
          <w:numId w:val="9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具备批量导入导出删除模板的能力</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4、仪表板模板，提供查询列表、公有模板、私有模板、批量模板 导入导出、模板增删改查功能：</w:t>
      </w:r>
      <w:r/>
    </w:p>
    <w:p>
      <w:pPr>
        <w:numPr>
          <w:ilvl w:val="0"/>
          <w:numId w:val="9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支持模板名称查询模板列表；</w:t>
      </w:r>
      <w:r/>
    </w:p>
    <w:p>
      <w:pPr>
        <w:numPr>
          <w:ilvl w:val="0"/>
          <w:numId w:val="9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支持对模板编辑、删除、导出；</w:t>
      </w:r>
      <w:r/>
    </w:p>
    <w:p>
      <w:pPr>
        <w:numPr>
          <w:ilvl w:val="0"/>
          <w:numId w:val="9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具备批量导入导出删除模板的能力</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5、应用模板，提供查询列表、公有模板、私有模板、批量模板导 入导出、模板增删改查功能：</w:t>
      </w:r>
      <w:r/>
    </w:p>
    <w:p>
      <w:pPr>
        <w:numPr>
          <w:ilvl w:val="0"/>
          <w:numId w:val="9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支持模板名称查询模板列表；</w:t>
      </w:r>
      <w:r/>
    </w:p>
    <w:p>
      <w:pPr>
        <w:numPr>
          <w:ilvl w:val="0"/>
          <w:numId w:val="9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支持对模板编辑、删除、导出；</w:t>
      </w:r>
      <w:r/>
    </w:p>
    <w:p>
      <w:pPr>
        <w:numPr>
          <w:ilvl w:val="0"/>
          <w:numId w:val="9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具备批量导入导出删除模板的能力</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20.1.15 组件工厂</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1、开发中心，用于组件编辑、开发、设计、启用/停用、删除、在 业务组件库上上架/下架。</w:t>
      </w:r>
      <w:r/>
    </w:p>
    <w:p>
      <w:pPr>
        <w:numPr>
          <w:ilvl w:val="0"/>
          <w:numId w:val="9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支持对组件名称、组件 ID 查询组件列表；</w:t>
      </w:r>
      <w:r/>
    </w:p>
    <w:p>
      <w:pPr>
        <w:numPr>
          <w:ilvl w:val="0"/>
          <w:numId w:val="9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支持对组件查看、编辑、开发、启用、停用、发布、回  收、删除等操作； </w:t>
      </w:r>
      <w:r/>
    </w:p>
    <w:p>
      <w:pPr>
        <w:numPr>
          <w:ilvl w:val="0"/>
          <w:numId w:val="9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支持注册组件，并自定义组件的功能在表单设计器、网页 设计器内引用； </w:t>
      </w:r>
      <w:r/>
    </w:p>
    <w:p>
      <w:pPr>
        <w:numPr>
          <w:ilvl w:val="0"/>
          <w:numId w:val="9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支持注册开发源码组件、复合组件； </w:t>
      </w:r>
      <w:r/>
    </w:p>
    <w:p>
      <w:pPr>
        <w:numPr>
          <w:ilvl w:val="0"/>
          <w:numId w:val="9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支持导入、导出源码组件、复合组件。</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2、业务组件库，展示在开发中心中完成开发并发布的组件，并支 持用户按需将业务组件引入表单设计器。</w:t>
      </w:r>
      <w:r/>
    </w:p>
    <w:p>
      <w:pPr>
        <w:numPr>
          <w:ilvl w:val="0"/>
          <w:numId w:val="10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支持对组件名称、组件 ID 查询可收藏组件列表； </w:t>
      </w:r>
      <w:r/>
    </w:p>
    <w:p>
      <w:pPr>
        <w:numPr>
          <w:ilvl w:val="0"/>
          <w:numId w:val="100"/>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支持对组件收藏，在表单设计器、网页设计器内引入；</w:t>
      </w:r>
      <w:r/>
    </w:p>
    <w:p>
      <w:pPr>
        <w:numPr>
          <w:ilvl w:val="0"/>
          <w:numId w:val="100"/>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支持对组件批量收藏或批量取消</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20.1.16 消息中心</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消息服务，提供查询列表、消息服务增删改查、信息动态配置功能</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1、支持基于消息名称、服务类型查询消息服务列表；</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2、具备对消息服务增删改查停用的能力；</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3、支持维护消息订阅、邮件两种类型服务；</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4、流程审批发送待办/已办/抄送消息内容支持动态配置</w:t>
      </w:r>
      <w:r>
        <w:rPr>
          <w:rFonts w:hint="eastAsia" w:eastAsiaTheme="minorEastAsia"/>
          <w:color w:val="000000" w:themeColor="text1"/>
          <w:sz w:val="24"/>
          <w:szCs w:val="24"/>
          <w14:textFill>
            <w14:solidFill>
              <w14:schemeClr w14:val="tx1"/>
            </w14:solidFill>
          </w14:textFill>
        </w:rPr>
        <w:t xml:space="preserve">。</w:t>
      </w:r>
      <w:r/>
    </w:p>
    <w:p>
      <w:pPr>
        <w:pStyle w:val="1009"/>
        <w:ind w:firstLine="482"/>
        <w:rPr>
          <w:rFonts w:eastAsiaTheme="minorEastAsia"/>
          <w:color w:val="000000" w:themeColor="text1"/>
          <w:sz w:val="24"/>
          <w:szCs w:val="24"/>
          <w:lang w:eastAsia="zh-CN"/>
          <w14:textFill>
            <w14:solidFill>
              <w14:schemeClr w14:val="tx1"/>
            </w14:solidFill>
          </w14:textFill>
        </w:rPr>
      </w:pPr>
      <w:r>
        <w:rPr>
          <w:rFonts w:hint="eastAsia" w:eastAsiaTheme="minorEastAsia"/>
          <w:color w:val="000000" w:themeColor="text1"/>
          <w:sz w:val="24"/>
          <w:szCs w:val="24"/>
          <w:lang w:eastAsia="zh-CN"/>
          <w14:textFill>
            <w14:solidFill>
              <w14:schemeClr w14:val="tx1"/>
            </w14:solidFill>
          </w14:textFill>
        </w:rPr>
        <w:t xml:space="preserve">20.1.17 系统管理</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w:t>
      </w:r>
      <w:r>
        <w:rPr>
          <w:rFonts w:eastAsiaTheme="minorEastAsia"/>
          <w:color w:val="000000" w:themeColor="text1"/>
          <w:sz w:val="24"/>
          <w:szCs w:val="24"/>
          <w14:textFill>
            <w14:solidFill>
              <w14:schemeClr w14:val="tx1"/>
            </w14:solidFill>
          </w14:textFill>
        </w:rPr>
        <w:t xml:space="preserve">参数配置，提供参数查询列表、参数管理、系统参数配置、发 布至第三方参数配置功能</w:t>
      </w:r>
      <w:r>
        <w:rPr>
          <w:rFonts w:hint="eastAsia" w:eastAsiaTheme="minorEastAsia"/>
          <w:color w:val="000000" w:themeColor="text1"/>
          <w:sz w:val="24"/>
          <w:szCs w:val="24"/>
          <w14:textFill>
            <w14:solidFill>
              <w14:schemeClr w14:val="tx1"/>
            </w14:solidFill>
          </w14:textFill>
        </w:rPr>
        <w:t xml:space="preserve">：</w:t>
      </w:r>
      <w:r/>
    </w:p>
    <w:p>
      <w:pPr>
        <w:numPr>
          <w:ilvl w:val="0"/>
          <w:numId w:val="10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基于参数名称、参数编码、参数分组查询参数列表；</w:t>
      </w:r>
      <w:r/>
    </w:p>
    <w:p>
      <w:pPr>
        <w:numPr>
          <w:ilvl w:val="0"/>
          <w:numId w:val="10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通过编辑参数详情，启停相关参数</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w:t>
      </w:r>
      <w:r>
        <w:rPr>
          <w:rFonts w:eastAsiaTheme="minorEastAsia"/>
          <w:color w:val="000000" w:themeColor="text1"/>
          <w:sz w:val="24"/>
          <w:szCs w:val="24"/>
          <w14:textFill>
            <w14:solidFill>
              <w14:schemeClr w14:val="tx1"/>
            </w14:solidFill>
          </w14:textFill>
        </w:rPr>
        <w:t xml:space="preserve">操作日志，提供查询操作日志列表功能</w:t>
      </w:r>
      <w:r>
        <w:rPr>
          <w:rFonts w:hint="eastAsia" w:eastAsiaTheme="minorEastAsia"/>
          <w:color w:val="000000" w:themeColor="text1"/>
          <w:sz w:val="24"/>
          <w:szCs w:val="24"/>
          <w14:textFill>
            <w14:solidFill>
              <w14:schemeClr w14:val="tx1"/>
            </w14:solidFill>
          </w14:textFill>
        </w:rPr>
        <w:t xml:space="preserve">：</w:t>
      </w:r>
      <w:r/>
    </w:p>
    <w:p>
      <w:pPr>
        <w:numPr>
          <w:ilvl w:val="0"/>
          <w:numId w:val="10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记录 CREATE、DELETE、EDIT、EXPORT、IMPORT、LOGIN、 OTHER、QUERY 类型操作日志；</w:t>
      </w:r>
      <w:r/>
    </w:p>
    <w:p>
      <w:pPr>
        <w:numPr>
          <w:ilvl w:val="0"/>
          <w:numId w:val="10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支持基于日志名称、日志类型查询日志列表</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数据源管理，提供数据源查询列表、数据源增删改查功能</w:t>
      </w:r>
      <w:r>
        <w:rPr>
          <w:rFonts w:hint="eastAsia" w:eastAsiaTheme="minorEastAsia"/>
          <w:color w:val="000000" w:themeColor="text1"/>
          <w:sz w:val="24"/>
          <w:szCs w:val="24"/>
          <w14:textFill>
            <w14:solidFill>
              <w14:schemeClr w14:val="tx1"/>
            </w14:solidFill>
          </w14:textFill>
        </w:rPr>
        <w:t xml:space="preserve">：</w:t>
      </w:r>
      <w:r/>
    </w:p>
    <w:p>
      <w:pPr>
        <w:numPr>
          <w:ilvl w:val="0"/>
          <w:numId w:val="103"/>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基于连接名称、端口号查询数据源列表；</w:t>
      </w:r>
      <w:r/>
    </w:p>
    <w:p>
      <w:pPr>
        <w:numPr>
          <w:ilvl w:val="0"/>
          <w:numId w:val="103"/>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支持管理、维护数据源</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20.1.18 应用门户</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1、应用运行门户，提供应用标签、应用分类展示、应用查询、应 用多端展示、应用菜单在左侧/顶部显示、应用级待办功能：</w:t>
      </w:r>
      <w:r/>
    </w:p>
    <w:p>
      <w:pPr>
        <w:numPr>
          <w:ilvl w:val="0"/>
          <w:numId w:val="10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支持应用标签顶部/左侧展示； </w:t>
      </w:r>
      <w:r/>
    </w:p>
    <w:p>
      <w:pPr>
        <w:numPr>
          <w:ilvl w:val="0"/>
          <w:numId w:val="10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支持应用门户多端适配； </w:t>
      </w:r>
      <w:r/>
    </w:p>
    <w:p>
      <w:pPr>
        <w:numPr>
          <w:ilvl w:val="0"/>
          <w:numId w:val="10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支持应用列表查询；</w:t>
      </w:r>
      <w:r/>
    </w:p>
    <w:p>
      <w:pPr>
        <w:numPr>
          <w:ilvl w:val="0"/>
          <w:numId w:val="10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支持应用级全局待办。</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2、普通表单门户，提供表单门户多端适配、表单列表查询展示、 表单数据管理、导入导出 excel 文件、表单打印、分享填报功 能：</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表单运行门户多端适配；</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数据管理页动态渲染；</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基于筛选条件查询表单数据列表；</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数据列表根据权限组动态加载；</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操作按钮根据权限组动态加载，包括数据增删改查，批量删除导入导出；</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数据动态支持按照选中字段导出为 Excel，并支持将子表单 随主表单数据导出；</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数据基于 Excel 模板批量导入；</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表单打印模板根据打印模板设计器动态加载；</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支持二维码分享填报表单，并根据分享设置动态加载</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流程表单门户，提供多端适配、流程运行多端适配、流程实例 查询展示、流程数据列表查询展示、表单数据管理、导入导出 excel 文件、批量发起流程、分享填报功能</w:t>
      </w:r>
      <w:r>
        <w:rPr>
          <w:rFonts w:hint="eastAsia" w:eastAsiaTheme="minorEastAsia"/>
          <w:color w:val="000000" w:themeColor="text1"/>
          <w:sz w:val="24"/>
          <w:szCs w:val="24"/>
          <w14:textFill>
            <w14:solidFill>
              <w14:schemeClr w14:val="tx1"/>
            </w14:solidFill>
          </w14:textFill>
        </w:rPr>
        <w:t xml:space="preserve">：</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流程表单运行门户、统一待办等多端适配；</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流程实例列表、数据管理页动态渲染；</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基于筛选条件查询表单数据列表；</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数据列表根据权限组动态加载；</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操作按钮根据权限组动态加载，包括数据增删改查，批量删除导入导出；</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数据动态支持按照选中字段导出为 Excel，并支持将子表单 随主表单数据导出；</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数据基于 Excel 模板批量导入并批量发起；</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表单打印模板根据打印模板设计器动态加载；</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支持二维码分享填报表单，并根据分享设置动态加载</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4、表单渲染引擎，提供基础组件加载、高级组件动态加载、布局  组件动态加载、业务组件动态加载，表单运行态多端适配功能：</w:t>
      </w:r>
      <w:r/>
    </w:p>
    <w:p>
      <w:pPr>
        <w:numPr>
          <w:ilvl w:val="0"/>
          <w:numId w:val="10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基础组件（单行文本、多行文本、文字、分割线、数字、单 选框组、多选框组、下拉选择框、日期选择器、评分、开关、滑块、按钮组、按钮、文字链接、附件上传、图片上传）多端 适配，动态渲染；</w:t>
      </w:r>
      <w:r/>
    </w:p>
    <w:p>
      <w:pPr>
        <w:numPr>
          <w:ilvl w:val="0"/>
          <w:numId w:val="10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高级组件（地址、子表单、关联表单、组织机构、人员选 择、级联选择器、富文本、唯一标识码、嵌入网页、嵌入图  片、条码、流水号）多端适配，动态渲染；</w:t>
      </w:r>
      <w:r/>
    </w:p>
    <w:p>
      <w:pPr>
        <w:numPr>
          <w:ilvl w:val="0"/>
          <w:numId w:val="10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布局组件（栅格布局、网格布局、标签页、卡片、业务组 件、折叠面板）多端适配，动态渲染；</w:t>
      </w:r>
      <w:r/>
    </w:p>
    <w:p>
      <w:pPr>
        <w:numPr>
          <w:ilvl w:val="0"/>
          <w:numId w:val="10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业务组件（姓名、性别、身份证号码、手机号码、固定电  话、电子邮箱、邮政编码、行政区划、备注、资金、车牌号） 动态适配；</w:t>
      </w:r>
      <w:r/>
    </w:p>
    <w:p>
      <w:pPr>
        <w:numPr>
          <w:ilvl w:val="0"/>
          <w:numId w:val="10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表单运行态支持自适应多端适配。</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5、流程运行引擎，提供流程组件动态加载、节点操作动态加载、 流程表单运行日志动态加载、流程实例运行态多端适配功能：</w:t>
      </w:r>
      <w:r/>
    </w:p>
    <w:p>
      <w:pPr>
        <w:numPr>
          <w:ilvl w:val="0"/>
          <w:numId w:val="10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流程实例动态流转；</w:t>
      </w:r>
      <w:r/>
    </w:p>
    <w:p>
      <w:pPr>
        <w:numPr>
          <w:ilvl w:val="0"/>
          <w:numId w:val="10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流程节点操作动态加载，支持同意、退回、保存、拒绝、撤 回、自选处理人、转办、并行审批等流程操作；</w:t>
      </w:r>
      <w:r/>
    </w:p>
    <w:p>
      <w:pPr>
        <w:numPr>
          <w:ilvl w:val="0"/>
          <w:numId w:val="10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支持流程日志打印、查看流程图等；</w:t>
      </w:r>
      <w:r/>
    </w:p>
    <w:p>
      <w:pPr>
        <w:numPr>
          <w:ilvl w:val="0"/>
          <w:numId w:val="10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流程实例运行态多端适配。</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6、数据管理页，提供数据管理视图渲染、自定义按钮渲染功能：</w:t>
      </w:r>
      <w:r/>
    </w:p>
    <w:p>
      <w:pPr>
        <w:numPr>
          <w:ilvl w:val="0"/>
          <w:numId w:val="10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自定义管理页视图渲染；</w:t>
      </w:r>
      <w:r/>
    </w:p>
    <w:p>
      <w:pPr>
        <w:numPr>
          <w:ilvl w:val="0"/>
          <w:numId w:val="10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操作栏自定义按钮渲染，自定义动作加载。</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7、报表渲染引擎，提供报表渲染、数据展示功能：</w:t>
      </w:r>
      <w:r/>
    </w:p>
    <w:p>
      <w:pPr>
        <w:numPr>
          <w:ilvl w:val="0"/>
          <w:numId w:val="11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报表渲染；</w:t>
      </w:r>
      <w:r/>
    </w:p>
    <w:p>
      <w:pPr>
        <w:numPr>
          <w:ilvl w:val="0"/>
          <w:numId w:val="11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数据渲染展示。</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8、仪表板渲染引擎，提供仪表板 渲染、数据展示功能：</w:t>
      </w:r>
      <w:r/>
    </w:p>
    <w:p>
      <w:pPr>
        <w:numPr>
          <w:ilvl w:val="0"/>
          <w:numId w:val="11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仪表板渲染；</w:t>
      </w:r>
      <w:r/>
    </w:p>
    <w:p>
      <w:pPr>
        <w:numPr>
          <w:ilvl w:val="0"/>
          <w:numId w:val="11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数据渲染展示。</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9、网页运行渲染，提供网页界面动态加载、渲染、分享查看功能：</w:t>
      </w:r>
      <w:r/>
    </w:p>
    <w:p>
      <w:pPr>
        <w:numPr>
          <w:ilvl w:val="0"/>
          <w:numId w:val="11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网页访问查看；</w:t>
      </w:r>
      <w:r/>
    </w:p>
    <w:p>
      <w:pPr>
        <w:numPr>
          <w:ilvl w:val="0"/>
          <w:numId w:val="11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网页分享 ;</w:t>
      </w:r>
      <w:r/>
    </w:p>
    <w:p>
      <w:pPr>
        <w:numPr>
          <w:ilvl w:val="0"/>
          <w:numId w:val="11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网页动态渲染加载。</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21、应用集成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基于统一集成标准，将本项目所涉及的应用实现：统一组织及用户集成、单点登录集成、统一待 办及统一消息集成、数据集成。</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21.1 集成设计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 统一组织及用 户集成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提供统一组织及用户集成服务，包括组织信息获取服务、最新 用户信息获取服务、已删除用户信息获取服务、用户名密码验证服务。</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1、组织信息获取服务：用于应用系统根据组织编码和获取级别 等信息获取本级及下级的组织信息；</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2、最新用户信息获取服务：获取用户信息服务接口，用于应用 系统主动获取用户信息；</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3、已删除用户信息获取服务：获取已删除用户信息服务接口， 用于应用系统主动抽取已删除用户信息；</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4、用户名密码验证服务：用户名密码验证服务接口，用于应用 系统验证用户名和密码。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20.1.2 单点登录集成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 Oauth2 统一认证服务，实现与各应用系统的单点登录 集成；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2、支持第三方应用系统调用本项目统一认证服务进行统一鉴 权；</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3、支持一键式注销所有登录会话；</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20.1.3 统一代办及统一消息集成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用于将各应用系统所产生的待办类、通知类、消息类信息进行 统一汇聚，并为用户提供统一信息查询、办理窗口。本项目涉 及应用系统所产生的各类待办类、通知类、消息类信息需实时 推送至用户空间中</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20.1.4 数据集成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对各待集成应用的组织数据、用户数据、业务数据等进行统一汇聚集成。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1、支持统一组织人员管理，统一维护管理组织人员数据，并实现全省同步</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2、支持维护业务数据基本编码和基础业务数据，并利用数据交 换平台实现全部信息资源数据的同步。</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3、支持同一部署位置应用系统之间的数据交换。</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4、支持集成组件封装业务数据提供标准数据视图和数据服务，形成业务数据服务层。</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 集成范围</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根据采购单位具体需求，实现学银平台与各应用的统一集成，集成范围包括但不限于如下：</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1、本次建设的各子系统；</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2、（指定品牌的）智能硬件设备，包括身份证识别设备、人脸识别设备、智能扫码设备；</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3、第三方平台，包括但不限于江苏学习在线、长三角学分银行 等对接系统，具体按照招标方实际工作需要进行。</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 网络空间</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江苏学银平台面向学习者、协议单位及合作单位、省市县各级学分银行管理人员分别提供个人空 间、机构空间、管理空间，通过空间为各类用户提供个性化服务。</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 个人空间</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黑体"/>
          <w:b/>
          <w:color w:val="000000" w:themeColor="text1"/>
          <w14:textFill>
            <w14:solidFill>
              <w14:schemeClr w14:val="tx1"/>
            </w14:solidFill>
          </w14:textFill>
        </w:rPr>
        <w:t xml:space="preserve">20.1.1 基本信息</w:t>
      </w:r>
      <w:r>
        <w:rPr>
          <w:rFonts w:hint="eastAsia" w:eastAsiaTheme="minorEastAsia"/>
          <w:color w:val="000000" w:themeColor="text1"/>
          <w:sz w:val="24"/>
          <w:szCs w:val="24"/>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支持展示姓名、性别、证件号码、毕业院校、邮寄号码、邮箱 地址等信息，以及个人码信息。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20.1.2 个人画像</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支持个人画像信息的展示，包括个人基本信息、个人苏学码、 个人认证成果、个人转换成果、学习积分、个人标签、个人简历等信息。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20.1.3 通知公告</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支持查看管理机构、协议单位、合作单位等发送的通知公告信 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20.1.4 待办事项</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支持汇聚与个人相关的待办信息，如约课上课时间提醒、签到提醒、异常业务流程处理、礼品兑换各环节消息提醒等。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20.1.5 版本切换</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支持用户通过版本切换组件，可进行通用版和老年版的快捷切换。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20.1.6 应用超市</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支持展示各类应用，用户可按需将所关注的应用添加至个人空间，支持用户对应用进行收藏、评论等操作。支持对优质应用 进行全员推荐。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20.1.7 数据看板</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支持展示展示学习者的学习成果数据、成果报告数据、积分值、成果转化数据、课程签到数据等信息。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20.1.8 积分广场</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支持展示个人的积分信息、积分兑换信息，并可进行积分赠 与，将个人积分赠与他人。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20.1.9 我的成果</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支持学习者进行学习成果认证、成果证明开具、学习成果转 化、学习轨迹查看等。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20.1.10 约课广场</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支持学习者查看正在进行的课程、热门课程、推荐课程，支持在线课程报名、查看学习记录、填写学习感悟等。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20.1.11 智慧就业</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支持根据学习者标签属性进行智能岗位推荐，学习者可进行岗 位查询、简历生成、在线简历投递等。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20.1.12 E 搜</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支持通过搜索组件，快捷搜索学习成果、课程、资源、岗位、 礼品、学习者、协议单位、数据集等。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20.1.13 教育地图</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支持根据网络定位，在线进行机构、协议单位、合作单位的查 询，点击可展示机构详细信息，支持一键导航。</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20.1.14 资源推荐</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支持按按个人标签、兴趣喜好等维度为学习者进行资源推荐，包括专题资源推荐、约课课程推荐、其他资源推荐等。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20.1.15 家庭学分银行</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支持用户通过此组件邀请家人组成家庭学分银行，家庭成员的积分自动汇总，系统自动根据家庭积分进行家庭排名。</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20.1.16 智能客服</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提供实时在线问答服务。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20.1.17 意见反馈</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支持收集平台、服务、课程等方面的意见及改进建议信息。</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 机构空间</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20.2.1 基本信息</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支持展示姓名、性别、证件号码、毕业院校、邮寄号码、邮箱地址等信息，以及个人码信息。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20.2.2 通知公告</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支持查看管理机构、协议单位、合作单位等发送的通知公告信 息，并支持通过此组件进行通知公告发布。</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20.2.3 待办事项</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用于汇聚与个人相关的待办信息，支持约课上课时间提醒、签 到提醒、异常业务流程处理、礼品兑换各环节消息提醒等。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20.2.4 学银直通车</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为协议单位、商家分别提供个性化微服务。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1、支持为协议单位提供成果名录查询、成果名录审核、成果转 化审核、转换规则管理、成果报告查询、学习成果管理、成果  名录管理、学习者管理等服务。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2、支持为面向商家提供商品管理、商品审核、订单管理、积分细则、配置管理、通知公告、统计看板等服务。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20.2.5 应用超市</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用户可按需将所关注的应用添加至个人空间，支持展示各类应 用，支持用户对应用进行收藏、评论等操作。支持对优质应用进行全员推荐。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20.2.6 数据看板</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支持展示学习成果数据、成果报告数据、积分值、成果转化数 据、课程签到数据等信息。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20.2.7 积分广场</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支持机构通过积分广场可浏览和发布可用的积分兑换活动。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20.2.8 岗位招聘</w:t>
      </w:r>
      <w:r>
        <w:rPr>
          <w:rFonts w:hint="eastAsia"/>
          <w:color w:val="000000" w:themeColor="text1"/>
          <w:lang w:eastAsia="zh-CN"/>
          <w14:textFill>
            <w14:solidFill>
              <w14:schemeClr w14:val="tx1"/>
            </w14:solidFill>
          </w14:textFill>
        </w:rPr>
        <w:tab/>
      </w:r>
      <w:r/>
    </w:p>
    <w:p>
      <w:pPr>
        <w:ind w:firstLine="420"/>
        <w:spacing w:line="360" w:lineRule="auto"/>
        <w:rPr>
          <w:rFonts w:eastAsia="黑体"/>
          <w:b/>
          <w:color w:val="000000" w:themeColor="text1"/>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支持合作单位创建招聘岗位，发布后系统可按照标签推送热门 岗位给相应的用户。</w:t>
      </w:r>
      <w:r>
        <w:rPr>
          <w:rFonts w:hint="eastAsia" w:eastAsia="黑体"/>
          <w:b/>
          <w:color w:val="000000" w:themeColor="text1"/>
          <w14:textFill>
            <w14:solidFill>
              <w14:schemeClr w14:val="tx1"/>
            </w14:solidFill>
          </w14:textFill>
        </w:rPr>
        <w:tab/>
      </w:r>
      <w:r>
        <w:rPr>
          <w:rFonts w:hint="eastAsia" w:eastAsia="黑体"/>
          <w:b/>
          <w:color w:val="000000" w:themeColor="text1"/>
          <w14:textFill>
            <w14:solidFill>
              <w14:schemeClr w14:val="tx1"/>
            </w14:solidFill>
          </w14:textFill>
        </w:rPr>
        <w:t xml:space="preserve">20.2.9 约课广场</w:t>
      </w:r>
      <w:r>
        <w:rPr>
          <w:rFonts w:hint="eastAsia" w:eastAsia="黑体"/>
          <w:b/>
          <w:color w:val="000000" w:themeColor="text1"/>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支持课程设置、课程发布、查看报名情况、课程学习统计、场 所码申请、场所码打印等功能。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20.2.10 E 搜</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支持通过 e 搜组件，快捷搜索学习成果、课程、资源、岗位、 礼品、学习者、协议单位、数据集等。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20.2.11 教育地图</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支持根据网络定位，在线进行机构、协议单位、合作单位的查 询，点击可展示机构详细信息，支持一键导航。</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20.2.12 资源推荐</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支持按按个人标签、兴趣喜好等维度为学习者进行资源推荐， 包括专题资源推荐、约课课程推荐、其他资源推荐等。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20.2.13 智能客服</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支持为用户提供实时在线问答服务。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20.2.14 意见反馈</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支持收集平台、服务、课程等方面的意见及改进建议信息。</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 管理空间</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20.3.1 基本信息</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用户通过此组件进行个人码出示、查看和修改个人信息等操作 支持展示姓名、性别、证件号码、毕业院校、邮寄号码、邮箱 地址等信息，以及个人码信息。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20.3.2 通知公告</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支持查看管理机构、协议单位、合作单位等发送的通知公告信 息，并支持通过此组件进行通知公告发布。</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20.3.3 待办事项</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用于汇聚与个人相关的待办信息，如约课上课时间提醒、签到 提醒、异常业务流程处理、礼品兑换各环节消息提醒等。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20.3.4 学银直通车</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为协议单位、商家分别提供个性化微服务。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支持成果名录查询、成果名录审核、成果转化审核、转换规则 管理、协议单位管理、课程设置等服务。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20.3.5 应用超市</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用户可按需将所关注的应用添加至个人空间。</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支持展示各类应用，支持用户对应用进行收藏、评论等操作。 支持对优质应用进行全员推荐。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20.3.6 数据看板</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支持展示学习成果数据、成果报告数据、积分值、成果转化数据、课程签到数据等信息。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20.3.7 积分广场</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支持商品管理、商品审核、订单管理、积分明细、配置管理、积分规则设置、个人积分等级设置、统计看板等功能。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20.3.8 岗位招聘</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支持创建招聘岗位和查看合作单位创建的热门岗位。</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20.3.9 约课广场</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支持课程发布、查看报名情况、课程学习统计、场所码审核等 功能。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20.3.10 E 搜</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支持通过 e 搜组件，可快捷搜索学习成果、课程、资源、岗 位、礼品、学习者、协议单位、数据集等。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20.3.11 教育地图</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支持根据网络定位，在线进行机构、协议单位、合作单位的查 询，点击可展示机构详细信息，支持一键导航。</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20.3.12 资源推荐</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支持按按个人标签、兴趣喜好等维度为学习者进行资源推荐， 包括专题资源推荐、约课课程推荐、其他资源推荐等。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20.3.13 智能客服</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支持为用户提供实时在线问答服务。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20.3.14 意见反馈</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支持收集平台、服务、课程等方面的意见及改进建议信息。</w:t>
      </w:r>
      <w:r/>
    </w:p>
    <w:p>
      <w:pPr>
        <w:pStyle w:val="1004"/>
        <w:numPr>
          <w:ilvl w:val="0"/>
          <w:numId w:val="113"/>
        </w:numPr>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其他需求</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21.1 UI 宣传等设 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投标人需根据采购单位实际需求围绕本平台提供推广宣传、文创类产品设计推 出、外宣大屏内容及 UI 个性化设计等服务</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21.2 原系统数据 全量迁移</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投标人需将江苏学分银行原系统数据的全量迁移至本项目新规划系统中，实现数 据的充分复用，避免重复采集。迁移内容包括但不限于组织数据、用户数据、学 习成果数据、成果名录数据、转化规则数据、专业字典、专家信息等。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21.3 信创迁移适 配</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1、待采购单位信创环境具备条件后，投标人需配合完成信创环境适配及迁移。</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2、投标人需提供完备的信创适配迁移方案，需包括系统适配方案、系统迁移方 案、系统切换方案、风险预警及处置等内容。</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21.4 第三方系统对接操作手册</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投标人需提供完备的系统集成对接操作手册，用于指导第三方系统按照标准集成 流程与本项目完成集成。</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21.5 平台应用集成开发规范</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投标人需提供完备的应用集成开发规范，包括但不限于接口开发规范、UI 开发规 范等。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21.6 用户使用手 册</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投标人需依据用户角色、应用场景，提供本项目涉及应用功能的详细、易懂的用 户使用手册。</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21.7 项目团队</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1、投标人需组建不少于 15 人的项目团队，其中项目建设期内驻场人员数量不少 于 8 人。</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2、投标人需提供拟投入项目人员近 6 个月在本单位缴纳社保的证明。</w:t>
      </w:r>
      <w:r/>
    </w:p>
    <w:p>
      <w:pPr>
        <w:ind w:left="54"/>
        <w:spacing w:before="101" w:line="226"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5"/>
          <w:sz w:val="31"/>
          <w:szCs w:val="31"/>
          <w14:textFill>
            <w14:solidFill>
              <w14:schemeClr w14:val="tx1"/>
            </w14:solidFill>
          </w14:textFill>
        </w:rPr>
        <w:t xml:space="preserve">（三）项目实施阶段要求</w:t>
      </w:r>
      <w:r/>
    </w:p>
    <w:p>
      <w:pPr>
        <w:pStyle w:val="1016"/>
        <w:spacing w:line="42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521" w:right="3797" w:firstLine="36"/>
        <w:spacing w:before="78" w:line="47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6"/>
          <w:sz w:val="24"/>
          <w:szCs w:val="24"/>
          <w14:textFill>
            <w14:solidFill>
              <w14:schemeClr w14:val="tx1"/>
            </w14:solidFill>
          </w14:textFill>
        </w:rPr>
        <w:t xml:space="preserve">自合同签订之日起</w:t>
      </w:r>
      <w:r>
        <w:rPr>
          <w:rFonts w:ascii="宋体" w:hAnsi="宋体" w:cs="宋体"/>
          <w:color w:val="000000" w:themeColor="text1"/>
          <w:spacing w:val="42"/>
          <w:sz w:val="24"/>
          <w:szCs w:val="24"/>
          <w14:textFill>
            <w14:solidFill>
              <w14:schemeClr w14:val="tx1"/>
            </w14:solidFill>
          </w14:textFill>
        </w:rPr>
        <w:t xml:space="preserve"> </w:t>
      </w:r>
      <w:r>
        <w:rPr>
          <w:rFonts w:eastAsia="Times New Roman"/>
          <w:color w:val="000000" w:themeColor="text1"/>
          <w:spacing w:val="-6"/>
          <w:sz w:val="24"/>
          <w:szCs w:val="24"/>
          <w14:textFill>
            <w14:solidFill>
              <w14:schemeClr w14:val="tx1"/>
            </w14:solidFill>
          </w14:textFill>
        </w:rPr>
        <w:t xml:space="preserve">12 </w:t>
      </w:r>
      <w:r>
        <w:rPr>
          <w:rFonts w:ascii="宋体" w:hAnsi="宋体" w:cs="宋体"/>
          <w:color w:val="000000" w:themeColor="text1"/>
          <w:spacing w:val="-6"/>
          <w:sz w:val="24"/>
          <w:szCs w:val="24"/>
          <w14:textFill>
            <w14:solidFill>
              <w14:schemeClr w14:val="tx1"/>
            </w14:solidFill>
          </w14:textFill>
        </w:rPr>
        <w:t xml:space="preserve">个月内完成项目交付。</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投标人的项目进度管理应该遵循以下原则：</w:t>
      </w:r>
      <w:r/>
    </w:p>
    <w:p>
      <w:pPr>
        <w:ind w:right="30"/>
        <w:jc w:val="right"/>
        <w:spacing w:before="1" w:line="218" w:lineRule="auto"/>
        <w:rPr>
          <w:rFonts w:ascii="宋体" w:hAnsi="宋体" w:cs="宋体"/>
          <w:color w:val="000000" w:themeColor="text1"/>
          <w:sz w:val="24"/>
          <w:szCs w:val="24"/>
          <w14:textFill>
            <w14:solidFill>
              <w14:schemeClr w14:val="tx1"/>
            </w14:solidFill>
          </w14:textFill>
        </w:rPr>
      </w:pPr>
      <w:r>
        <w:rPr>
          <w:rFonts w:ascii="Wingdings" w:hAnsi="Wingdings" w:eastAsia="Wingdings" w:cs="Wingdings"/>
          <w:color w:val="000000" w:themeColor="text1"/>
          <w:spacing w:val="-4"/>
          <w:sz w:val="24"/>
          <w:szCs w:val="24"/>
          <w14:textFill>
            <w14:solidFill>
              <w14:schemeClr w14:val="tx1"/>
            </w14:solidFill>
          </w14:textFill>
        </w:rPr>
        <w:t xml:space="preserve"></w:t>
      </w:r>
      <w:r>
        <w:rPr>
          <w:rFonts w:ascii="宋体" w:hAnsi="宋体" w:cs="宋体"/>
          <w:color w:val="000000" w:themeColor="text1"/>
          <w:spacing w:val="-4"/>
          <w:sz w:val="24"/>
          <w:szCs w:val="24"/>
          <w14:textFill>
            <w14:solidFill>
              <w14:schemeClr w14:val="tx1"/>
            </w14:solidFill>
          </w14:textFill>
        </w:rPr>
        <w:t xml:space="preserve">本项目需要投标人安排稳定的项目经理、技术开发与服务人员在内的项目团队</w:t>
      </w:r>
      <w:r/>
    </w:p>
    <w:p>
      <w:pPr>
        <w:ind w:left="937"/>
        <w:spacing w:before="296"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在招标人提供的场所现场办公；</w:t>
      </w:r>
      <w:r/>
    </w:p>
    <w:p>
      <w:pPr>
        <w:ind w:left="528"/>
        <w:spacing w:before="296" w:line="219" w:lineRule="auto"/>
        <w:rPr>
          <w:rFonts w:ascii="宋体" w:hAnsi="宋体" w:cs="宋体"/>
          <w:color w:val="000000" w:themeColor="text1"/>
          <w:sz w:val="24"/>
          <w:szCs w:val="24"/>
          <w14:textFill>
            <w14:solidFill>
              <w14:schemeClr w14:val="tx1"/>
            </w14:solidFill>
          </w14:textFill>
        </w:rPr>
      </w:pPr>
      <w:r>
        <w:rPr>
          <w:rFonts w:ascii="Wingdings" w:hAnsi="Wingdings" w:eastAsia="Wingdings" w:cs="Wingdings"/>
          <w:color w:val="000000" w:themeColor="text1"/>
          <w:spacing w:val="-3"/>
          <w:sz w:val="24"/>
          <w:szCs w:val="24"/>
          <w14:textFill>
            <w14:solidFill>
              <w14:schemeClr w14:val="tx1"/>
            </w14:solidFill>
          </w14:textFill>
        </w:rPr>
        <w:t xml:space="preserve"></w:t>
      </w:r>
      <w:r>
        <w:rPr>
          <w:rFonts w:ascii="宋体" w:hAnsi="宋体" w:cs="宋体"/>
          <w:color w:val="000000" w:themeColor="text1"/>
          <w:spacing w:val="-3"/>
          <w:sz w:val="24"/>
          <w:szCs w:val="24"/>
          <w14:textFill>
            <w14:solidFill>
              <w14:schemeClr w14:val="tx1"/>
            </w14:solidFill>
          </w14:textFill>
        </w:rPr>
        <w:t xml:space="preserve">项目进度管理的依据是项目合同所约定的工期目标；</w:t>
      </w:r>
      <w:r/>
    </w:p>
    <w:p>
      <w:pPr>
        <w:ind w:right="30"/>
        <w:jc w:val="right"/>
        <w:spacing w:before="294" w:line="220" w:lineRule="auto"/>
        <w:rPr>
          <w:rFonts w:ascii="宋体" w:hAnsi="宋体" w:cs="宋体"/>
          <w:color w:val="000000" w:themeColor="text1"/>
          <w:sz w:val="24"/>
          <w:szCs w:val="24"/>
          <w14:textFill>
            <w14:solidFill>
              <w14:schemeClr w14:val="tx1"/>
            </w14:solidFill>
          </w14:textFill>
        </w:rPr>
      </w:pPr>
      <w:r>
        <w:rPr>
          <w:rFonts w:ascii="Wingdings" w:hAnsi="Wingdings" w:eastAsia="Wingdings" w:cs="Wingdings"/>
          <w:color w:val="000000" w:themeColor="text1"/>
          <w:spacing w:val="-4"/>
          <w:sz w:val="24"/>
          <w:szCs w:val="24"/>
          <w14:textFill>
            <w14:solidFill>
              <w14:schemeClr w14:val="tx1"/>
            </w14:solidFill>
          </w14:textFill>
        </w:rPr>
        <w:t xml:space="preserve"></w:t>
      </w:r>
      <w:r>
        <w:rPr>
          <w:rFonts w:ascii="宋体" w:hAnsi="宋体" w:cs="宋体"/>
          <w:color w:val="000000" w:themeColor="text1"/>
          <w:spacing w:val="-4"/>
          <w:sz w:val="24"/>
          <w:szCs w:val="24"/>
          <w14:textFill>
            <w14:solidFill>
              <w14:schemeClr w14:val="tx1"/>
            </w14:solidFill>
          </w14:textFill>
        </w:rPr>
        <w:t xml:space="preserve">在确保项目质量的原则下，控制项目进度，制订合理的实施计划细则以及建设</w:t>
      </w:r>
      <w:r/>
    </w:p>
    <w:p>
      <w:pPr>
        <w:ind w:left="939"/>
        <w:spacing w:before="295"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1"/>
          <w:sz w:val="24"/>
          <w:szCs w:val="24"/>
          <w14:textFill>
            <w14:solidFill>
              <w14:schemeClr w14:val="tx1"/>
            </w14:solidFill>
          </w14:textFill>
        </w:rPr>
        <w:t xml:space="preserve">周期安排；</w:t>
      </w:r>
      <w:r/>
    </w:p>
    <w:p>
      <w:pPr>
        <w:ind w:right="25"/>
        <w:jc w:val="right"/>
        <w:spacing w:before="294" w:line="220" w:lineRule="auto"/>
        <w:rPr>
          <w:rFonts w:ascii="宋体" w:hAnsi="宋体" w:cs="宋体"/>
          <w:color w:val="000000" w:themeColor="text1"/>
          <w:sz w:val="24"/>
          <w:szCs w:val="24"/>
          <w14:textFill>
            <w14:solidFill>
              <w14:schemeClr w14:val="tx1"/>
            </w14:solidFill>
          </w14:textFill>
        </w:rPr>
      </w:pPr>
      <w:r>
        <w:rPr>
          <w:rFonts w:ascii="Wingdings" w:hAnsi="Wingdings" w:eastAsia="Wingdings" w:cs="Wingdings"/>
          <w:color w:val="000000" w:themeColor="text1"/>
          <w:spacing w:val="-3"/>
          <w:sz w:val="24"/>
          <w:szCs w:val="24"/>
          <w14:textFill>
            <w14:solidFill>
              <w14:schemeClr w14:val="tx1"/>
            </w14:solidFill>
          </w14:textFill>
        </w:rPr>
        <w:t xml:space="preserve"></w:t>
      </w:r>
      <w:r>
        <w:rPr>
          <w:rFonts w:ascii="宋体" w:hAnsi="宋体" w:cs="宋体"/>
          <w:color w:val="000000" w:themeColor="text1"/>
          <w:spacing w:val="-3"/>
          <w:sz w:val="24"/>
          <w:szCs w:val="24"/>
          <w14:textFill>
            <w14:solidFill>
              <w14:schemeClr w14:val="tx1"/>
            </w14:solidFill>
          </w14:textFill>
        </w:rPr>
        <w:t xml:space="preserve">投标人在了解项目特点的前提下，根据工</w:t>
      </w:r>
      <w:r>
        <w:rPr>
          <w:rFonts w:ascii="宋体" w:hAnsi="宋体" w:cs="宋体"/>
          <w:color w:val="000000" w:themeColor="text1"/>
          <w:spacing w:val="-4"/>
          <w:sz w:val="24"/>
          <w:szCs w:val="24"/>
          <w14:textFill>
            <w14:solidFill>
              <w14:schemeClr w14:val="tx1"/>
            </w14:solidFill>
          </w14:textFill>
        </w:rPr>
        <w:t xml:space="preserve">期目标，提交总体进度计划，并定期</w:t>
      </w:r>
      <w:r/>
    </w:p>
    <w:p>
      <w:pPr>
        <w:ind w:left="939"/>
        <w:spacing w:before="293" w:line="21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提交阶段性工作计划，分别按周、月提交进度报告。</w:t>
      </w:r>
      <w:r/>
    </w:p>
    <w:p>
      <w:pPr>
        <w:ind w:right="13"/>
        <w:jc w:val="right"/>
        <w:spacing w:before="297" w:line="220" w:lineRule="auto"/>
        <w:rPr>
          <w:rFonts w:ascii="宋体" w:hAnsi="宋体" w:cs="宋体"/>
          <w:color w:val="000000" w:themeColor="text1"/>
          <w:sz w:val="24"/>
          <w:szCs w:val="24"/>
          <w14:textFill>
            <w14:solidFill>
              <w14:schemeClr w14:val="tx1"/>
            </w14:solidFill>
          </w14:textFill>
        </w:rPr>
      </w:pPr>
      <w:r>
        <w:rPr>
          <w:rFonts w:ascii="Wingdings" w:hAnsi="Wingdings" w:eastAsia="Wingdings" w:cs="Wingdings"/>
          <w:color w:val="000000" w:themeColor="text1"/>
          <w:spacing w:val="-3"/>
          <w:sz w:val="24"/>
          <w:szCs w:val="24"/>
          <w14:textFill>
            <w14:solidFill>
              <w14:schemeClr w14:val="tx1"/>
            </w14:solidFill>
          </w14:textFill>
        </w:rPr>
        <w:t xml:space="preserve"></w:t>
      </w:r>
      <w:r>
        <w:rPr>
          <w:rFonts w:ascii="宋体" w:hAnsi="宋体" w:cs="宋体"/>
          <w:color w:val="000000" w:themeColor="text1"/>
          <w:spacing w:val="-3"/>
          <w:sz w:val="24"/>
          <w:szCs w:val="24"/>
          <w14:textFill>
            <w14:solidFill>
              <w14:schemeClr w14:val="tx1"/>
            </w14:solidFill>
          </w14:textFill>
        </w:rPr>
        <w:t xml:space="preserve">制定详细的项目建设进度计划，按照合同的进度计划制定具体的实施计</w:t>
      </w:r>
      <w:r>
        <w:rPr>
          <w:rFonts w:ascii="宋体" w:hAnsi="宋体" w:cs="宋体"/>
          <w:color w:val="000000" w:themeColor="text1"/>
          <w:spacing w:val="-4"/>
          <w:sz w:val="24"/>
          <w:szCs w:val="24"/>
          <w14:textFill>
            <w14:solidFill>
              <w14:schemeClr w14:val="tx1"/>
            </w14:solidFill>
          </w14:textFill>
        </w:rPr>
        <w:t xml:space="preserve">划，定</w:t>
      </w:r>
      <w:r/>
    </w:p>
    <w:p>
      <w:pPr>
        <w:ind w:left="940"/>
        <w:spacing w:before="295"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期跟踪检查，对可能发生的工程延误说明原因并提出相应对策；</w:t>
      </w:r>
      <w:r/>
    </w:p>
    <w:p>
      <w:pPr>
        <w:ind w:right="25"/>
        <w:jc w:val="right"/>
        <w:spacing w:before="292" w:line="219" w:lineRule="auto"/>
        <w:rPr>
          <w:rFonts w:ascii="宋体" w:hAnsi="宋体" w:cs="宋体"/>
          <w:color w:val="000000" w:themeColor="text1"/>
          <w:sz w:val="24"/>
          <w:szCs w:val="24"/>
          <w14:textFill>
            <w14:solidFill>
              <w14:schemeClr w14:val="tx1"/>
            </w14:solidFill>
          </w14:textFill>
        </w:rPr>
      </w:pPr>
      <w:r>
        <w:rPr>
          <w:rFonts w:ascii="Wingdings" w:hAnsi="Wingdings" w:eastAsia="Wingdings" w:cs="Wingdings"/>
          <w:color w:val="000000" w:themeColor="text1"/>
          <w:spacing w:val="-6"/>
          <w:sz w:val="24"/>
          <w:szCs w:val="24"/>
          <w14:textFill>
            <w14:solidFill>
              <w14:schemeClr w14:val="tx1"/>
            </w14:solidFill>
          </w14:textFill>
        </w:rPr>
        <w:t xml:space="preserve"></w:t>
      </w:r>
      <w:r>
        <w:rPr>
          <w:rFonts w:ascii="宋体" w:hAnsi="宋体" w:cs="宋体"/>
          <w:color w:val="000000" w:themeColor="text1"/>
          <w:spacing w:val="-6"/>
          <w:sz w:val="24"/>
          <w:szCs w:val="24"/>
          <w14:textFill>
            <w14:solidFill>
              <w14:schemeClr w14:val="tx1"/>
            </w14:solidFill>
          </w14:textFill>
        </w:rPr>
        <w:t xml:space="preserve">定期或不定期地召开或参加项目例会、协调会议等，向项目单位通报项目进展</w:t>
      </w:r>
      <w:r/>
    </w:p>
    <w:p>
      <w:pPr>
        <w:ind w:left="939"/>
        <w:spacing w:before="297" w:line="21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情况，提交进度报告，及时解决相关问题；</w:t>
      </w:r>
      <w:r/>
    </w:p>
    <w:p>
      <w:pPr>
        <w:ind w:left="528"/>
        <w:spacing w:before="298" w:line="220" w:lineRule="auto"/>
        <w:rPr>
          <w:rFonts w:ascii="宋体" w:hAnsi="宋体" w:cs="宋体"/>
          <w:color w:val="000000" w:themeColor="text1"/>
          <w:sz w:val="24"/>
          <w:szCs w:val="24"/>
          <w14:textFill>
            <w14:solidFill>
              <w14:schemeClr w14:val="tx1"/>
            </w14:solidFill>
          </w14:textFill>
        </w:rPr>
      </w:pPr>
      <w:r>
        <w:rPr>
          <w:rFonts w:ascii="Wingdings" w:hAnsi="Wingdings" w:eastAsia="Wingdings" w:cs="Wingdings"/>
          <w:color w:val="000000" w:themeColor="text1"/>
          <w:spacing w:val="-3"/>
          <w:sz w:val="24"/>
          <w:szCs w:val="24"/>
          <w14:textFill>
            <w14:solidFill>
              <w14:schemeClr w14:val="tx1"/>
            </w14:solidFill>
          </w14:textFill>
        </w:rPr>
        <w:t xml:space="preserve"></w:t>
      </w:r>
      <w:r>
        <w:rPr>
          <w:rFonts w:ascii="宋体" w:hAnsi="宋体" w:cs="宋体"/>
          <w:color w:val="000000" w:themeColor="text1"/>
          <w:spacing w:val="-3"/>
          <w:sz w:val="24"/>
          <w:szCs w:val="24"/>
          <w14:textFill>
            <w14:solidFill>
              <w14:schemeClr w14:val="tx1"/>
            </w14:solidFill>
          </w14:textFill>
        </w:rPr>
        <w:t xml:space="preserve">建立项目变更流程，记录项目变更情况。</w:t>
      </w:r>
      <w:r/>
    </w:p>
    <w:p>
      <w:pPr>
        <w:pStyle w:val="1016"/>
        <w:spacing w:line="406"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54"/>
        <w:spacing w:before="101" w:line="226"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2"/>
          <w:sz w:val="31"/>
          <w:szCs w:val="31"/>
          <w14:textFill>
            <w14:solidFill>
              <w14:schemeClr w14:val="tx1"/>
            </w14:solidFill>
          </w14:textFill>
        </w:rPr>
        <w:t xml:space="preserve">（四）培训要求</w:t>
      </w:r>
      <w:r/>
    </w:p>
    <w:p>
      <w:pPr>
        <w:pStyle w:val="1016"/>
        <w:spacing w:line="422"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38" w:right="26" w:firstLine="482"/>
        <w:spacing w:before="78" w:line="44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投标人应在投标书中提供详细的培训计划。培训应面对不同层面</w:t>
      </w:r>
      <w:r>
        <w:rPr>
          <w:rFonts w:ascii="宋体" w:hAnsi="宋体" w:cs="宋体"/>
          <w:color w:val="000000" w:themeColor="text1"/>
          <w:spacing w:val="1"/>
          <w:sz w:val="24"/>
          <w:szCs w:val="24"/>
          <w14:textFill>
            <w14:solidFill>
              <w14:schemeClr w14:val="tx1"/>
            </w14:solidFill>
          </w14:textFill>
        </w:rPr>
        <w:t xml:space="preserve">的系统用户，编</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写用户使用手册，需针对不同用户对象设置不同的培训内容，并提供相应的培训时间、</w:t>
      </w:r>
      <w:r>
        <w:rPr>
          <w:rFonts w:ascii="宋体" w:hAnsi="宋体" w:cs="宋体"/>
          <w:color w:val="000000" w:themeColor="text1"/>
          <w:spacing w:val="15"/>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培训次数、培训人数、培训方式、培训内容等事项安排。保证用户能独立地管理、维护</w:t>
      </w:r>
      <w:r>
        <w:rPr>
          <w:rFonts w:ascii="宋体" w:hAnsi="宋体" w:cs="宋体"/>
          <w:color w:val="000000" w:themeColor="text1"/>
          <w:spacing w:val="1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相关工作，以便整个系统能够正常、安全地运行。</w:t>
      </w:r>
      <w:r/>
    </w:p>
    <w:p>
      <w:pPr>
        <w:ind w:left="540"/>
        <w:spacing w:before="33" w:line="218" w:lineRule="auto"/>
        <w:rPr>
          <w:rFonts w:ascii="宋体" w:hAnsi="宋体" w:cs="宋体"/>
          <w:color w:val="000000" w:themeColor="text1"/>
          <w:spacing w:val="-3"/>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中标人应对将所有培训费用计入投标总价，不再另外报价。</w:t>
      </w:r>
      <w:r/>
    </w:p>
    <w:p>
      <w:pPr>
        <w:ind w:left="54"/>
        <w:spacing w:before="101" w:line="226" w:lineRule="auto"/>
        <w:rPr>
          <w:rFonts w:ascii="宋体" w:hAnsi="宋体" w:cs="宋体"/>
          <w:b/>
          <w:bCs/>
          <w:color w:val="000000" w:themeColor="text1"/>
          <w:spacing w:val="2"/>
          <w:sz w:val="31"/>
          <w:szCs w:val="31"/>
          <w14:textFill>
            <w14:solidFill>
              <w14:schemeClr w14:val="tx1"/>
            </w14:solidFill>
          </w14:textFill>
        </w:rPr>
      </w:pPr>
      <w:r>
        <w:rPr>
          <w:rFonts w:ascii="宋体" w:hAnsi="宋体" w:cs="宋体"/>
          <w:b/>
          <w:bCs/>
          <w:color w:val="000000" w:themeColor="text1"/>
          <w:spacing w:val="2"/>
          <w:sz w:val="31"/>
          <w:szCs w:val="31"/>
          <w14:textFill>
            <w14:solidFill>
              <w14:schemeClr w14:val="tx1"/>
            </w14:solidFill>
          </w14:textFill>
        </w:rPr>
      </w:r>
      <w:r/>
    </w:p>
    <w:p>
      <w:pPr>
        <w:ind w:left="54"/>
        <w:spacing w:before="101" w:line="226" w:lineRule="auto"/>
        <w:rPr>
          <w:rFonts w:ascii="宋体" w:hAnsi="宋体" w:cs="宋体"/>
          <w:b/>
          <w:bCs/>
          <w:color w:val="000000" w:themeColor="text1"/>
          <w:spacing w:val="2"/>
          <w:sz w:val="31"/>
          <w:szCs w:val="31"/>
          <w14:textFill>
            <w14:solidFill>
              <w14:schemeClr w14:val="tx1"/>
            </w14:solidFill>
          </w14:textFill>
        </w:rPr>
      </w:pPr>
      <w:r>
        <w:rPr>
          <w:rFonts w:ascii="宋体" w:hAnsi="宋体" w:cs="宋体"/>
          <w:b/>
          <w:bCs/>
          <w:color w:val="000000" w:themeColor="text1"/>
          <w:spacing w:val="2"/>
          <w:sz w:val="31"/>
          <w:szCs w:val="31"/>
          <w14:textFill>
            <w14:solidFill>
              <w14:schemeClr w14:val="tx1"/>
            </w14:solidFill>
          </w14:textFill>
        </w:rPr>
        <w:t xml:space="preserve">（五）项目管理要求</w:t>
      </w:r>
      <w:r/>
    </w:p>
    <w:p>
      <w:pPr>
        <w:pStyle w:val="1016"/>
        <w:spacing w:line="41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left="15"/>
        <w:spacing w:before="91" w:line="219" w:lineRule="auto"/>
        <w:rPr>
          <w:rFonts w:ascii="黑体" w:hAnsi="黑体" w:eastAsia="黑体" w:cs="黑体"/>
          <w:color w:val="000000" w:themeColor="text1"/>
          <w:sz w:val="28"/>
          <w:szCs w:val="28"/>
          <w:lang w:eastAsia="zh-CN"/>
          <w14:textFill>
            <w14:solidFill>
              <w14:schemeClr w14:val="tx1"/>
            </w14:solidFill>
          </w14:textFill>
        </w:rPr>
        <w:outlineLvl w:val="2"/>
      </w:pPr>
      <w:r>
        <w:rPr>
          <w:b/>
          <w:bCs/>
          <w:color w:val="000000" w:themeColor="text1"/>
          <w:spacing w:val="-6"/>
          <w:sz w:val="28"/>
          <w:szCs w:val="28"/>
          <w:lang w:eastAsia="zh-CN"/>
          <w14:textFill>
            <w14:solidFill>
              <w14:schemeClr w14:val="tx1"/>
            </w14:solidFill>
          </w14:textFill>
        </w:rPr>
        <w:t xml:space="preserve">1</w:t>
      </w:r>
      <w:r>
        <w:rPr>
          <w:rFonts w:ascii="黑体" w:hAnsi="黑体" w:eastAsia="黑体" w:cs="黑体"/>
          <w:b/>
          <w:bCs/>
          <w:color w:val="000000" w:themeColor="text1"/>
          <w:spacing w:val="-6"/>
          <w:sz w:val="28"/>
          <w:szCs w:val="28"/>
          <w:lang w:eastAsia="zh-CN"/>
          <w14:textFill>
            <w14:solidFill>
              <w14:schemeClr w14:val="tx1"/>
            </w14:solidFill>
          </w14:textFill>
        </w:rPr>
        <w:t xml:space="preserve">、项目人员管理</w:t>
      </w:r>
      <w:r/>
    </w:p>
    <w:p>
      <w:pPr>
        <w:pStyle w:val="1016"/>
        <w:spacing w:line="478"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3" w:firstLine="478"/>
        <w:spacing w:before="78" w:line="43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在项目建设期间，投标人需为本项目配备不少于 </w:t>
      </w:r>
      <w:r>
        <w:rPr>
          <w:rFonts w:ascii="宋体" w:hAnsi="宋体" w:cs="宋体"/>
          <w:color w:val="000000" w:themeColor="text1"/>
          <w:spacing w:val="-3"/>
          <w:sz w:val="24"/>
          <w:szCs w:val="24"/>
          <w14:textFill>
            <w14:solidFill>
              <w14:schemeClr w14:val="tx1"/>
            </w14:solidFill>
          </w14:textFill>
        </w:rPr>
        <w:t xml:space="preserve">15 人的项目团队（含项目经理、</w:t>
      </w:r>
      <w:r>
        <w:rPr>
          <w:rFonts w:ascii="宋体" w:hAnsi="宋体" w:cs="宋体"/>
          <w:color w:val="000000" w:themeColor="text1"/>
          <w:spacing w:val="-4"/>
          <w:sz w:val="24"/>
          <w:szCs w:val="24"/>
          <w14:textFill>
            <w14:solidFill>
              <w14:schemeClr w14:val="tx1"/>
            </w14:solidFill>
          </w14:textFill>
        </w:rPr>
        <w:t xml:space="preserve">技术负责人</w:t>
      </w:r>
      <w:r>
        <w:rPr>
          <w:rFonts w:ascii="宋体" w:hAnsi="宋体" w:cs="宋体"/>
          <w:color w:val="000000" w:themeColor="text1"/>
          <w:spacing w:val="-13"/>
          <w:sz w:val="24"/>
          <w:szCs w:val="24"/>
          <w14:textFill>
            <w14:solidFill>
              <w14:schemeClr w14:val="tx1"/>
            </w14:solidFill>
          </w14:textFill>
        </w:rPr>
        <w:t xml:space="preserve">），</w:t>
      </w:r>
      <w:r>
        <w:rPr>
          <w:rFonts w:ascii="宋体" w:hAnsi="宋体" w:cs="宋体"/>
          <w:color w:val="000000" w:themeColor="text1"/>
          <w:spacing w:val="-4"/>
          <w:sz w:val="24"/>
          <w:szCs w:val="24"/>
          <w14:textFill>
            <w14:solidFill>
              <w14:schemeClr w14:val="tx1"/>
            </w14:solidFill>
          </w14:textFill>
        </w:rPr>
        <w:t xml:space="preserve">并且要求项目团队分工合理、职责明确，以确保项目的</w:t>
      </w:r>
      <w:r>
        <w:rPr>
          <w:rFonts w:ascii="宋体" w:hAnsi="宋体" w:cs="宋体"/>
          <w:color w:val="000000" w:themeColor="text1"/>
          <w:spacing w:val="-5"/>
          <w:sz w:val="24"/>
          <w:szCs w:val="24"/>
          <w14:textFill>
            <w14:solidFill>
              <w14:schemeClr w14:val="tx1"/>
            </w14:solidFill>
          </w14:textFill>
        </w:rPr>
        <w:t xml:space="preserve">顺利交付。</w:t>
      </w:r>
      <w:r/>
    </w:p>
    <w:p>
      <w:pPr>
        <w:ind w:left="2" w:right="18" w:firstLine="502"/>
        <w:spacing w:before="34" w:line="44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中标方应在保证项目团队的主要人员稳定，在未经江苏开放大学同意的情况下中</w:t>
      </w:r>
      <w:r>
        <w:rPr>
          <w:rFonts w:ascii="宋体" w:hAnsi="宋体" w:cs="宋体"/>
          <w:color w:val="000000" w:themeColor="text1"/>
          <w:spacing w:val="2"/>
          <w:sz w:val="24"/>
          <w:szCs w:val="24"/>
          <w14:textFill>
            <w14:solidFill>
              <w14:schemeClr w14:val="tx1"/>
            </w14:solidFill>
          </w14:textFill>
        </w:rPr>
        <w:t xml:space="preserve">标方不得随意更换项目人员。招标方或中标方认为需要更换项目团队</w:t>
      </w:r>
      <w:r>
        <w:rPr>
          <w:rFonts w:ascii="宋体" w:hAnsi="宋体" w:cs="宋体"/>
          <w:color w:val="000000" w:themeColor="text1"/>
          <w:spacing w:val="1"/>
          <w:sz w:val="24"/>
          <w:szCs w:val="24"/>
          <w14:textFill>
            <w14:solidFill>
              <w14:schemeClr w14:val="tx1"/>
            </w14:solidFill>
          </w14:textFill>
        </w:rPr>
        <w:t xml:space="preserve">成员时，均应提</w:t>
      </w:r>
      <w:r>
        <w:rPr>
          <w:rFonts w:ascii="宋体" w:hAnsi="宋体" w:cs="宋体"/>
          <w:color w:val="000000" w:themeColor="text1"/>
          <w:spacing w:val="-3"/>
          <w:sz w:val="24"/>
          <w:szCs w:val="24"/>
          <w14:textFill>
            <w14:solidFill>
              <w14:schemeClr w14:val="tx1"/>
            </w14:solidFill>
          </w14:textFill>
        </w:rPr>
        <w:t xml:space="preserve">早一周向对方申明原因，中标方应提出新的符合技术规范书要求的项目团队成员人选，</w:t>
      </w:r>
      <w:r>
        <w:rPr>
          <w:rFonts w:ascii="宋体" w:hAnsi="宋体" w:cs="宋体"/>
          <w:color w:val="000000" w:themeColor="text1"/>
          <w:spacing w:val="-2"/>
          <w:sz w:val="24"/>
          <w:szCs w:val="24"/>
          <w14:textFill>
            <w14:solidFill>
              <w14:schemeClr w14:val="tx1"/>
            </w14:solidFill>
          </w14:textFill>
        </w:rPr>
        <w:t xml:space="preserve">，经招标方同意并办理交接手续后方</w:t>
      </w:r>
      <w:r>
        <w:rPr>
          <w:rFonts w:ascii="宋体" w:hAnsi="宋体" w:cs="宋体"/>
          <w:color w:val="000000" w:themeColor="text1"/>
          <w:spacing w:val="-5"/>
          <w:sz w:val="24"/>
          <w:szCs w:val="24"/>
          <w14:textFill>
            <w14:solidFill>
              <w14:schemeClr w14:val="tx1"/>
            </w14:solidFill>
          </w14:textFill>
        </w:rPr>
        <w:t xml:space="preserve">可更换。明确团队人员数量和人员组成情况，项目负责人、架构师及研发管理负责人等</w:t>
      </w:r>
      <w:r>
        <w:rPr>
          <w:rFonts w:ascii="宋体" w:hAnsi="宋体" w:cs="宋体"/>
          <w:color w:val="000000" w:themeColor="text1"/>
          <w:spacing w:val="-2"/>
          <w:sz w:val="24"/>
          <w:szCs w:val="24"/>
          <w14:textFill>
            <w14:solidFill>
              <w14:schemeClr w14:val="tx1"/>
            </w14:solidFill>
          </w14:textFill>
        </w:rPr>
        <w:t xml:space="preserve">人员数量，甲方可指派指定人员进行协同工</w:t>
      </w:r>
      <w:r>
        <w:rPr>
          <w:rFonts w:ascii="宋体" w:hAnsi="宋体" w:cs="宋体"/>
          <w:color w:val="000000" w:themeColor="text1"/>
          <w:spacing w:val="-3"/>
          <w:sz w:val="24"/>
          <w:szCs w:val="24"/>
          <w14:textFill>
            <w14:solidFill>
              <w14:schemeClr w14:val="tx1"/>
            </w14:solidFill>
          </w14:textFill>
        </w:rPr>
        <w:t xml:space="preserve">作。</w:t>
      </w:r>
      <w:r/>
    </w:p>
    <w:p>
      <w:pPr>
        <w:ind w:left="485"/>
        <w:spacing w:before="35" w:line="219" w:lineRule="auto"/>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投标人需承诺项目建设期内至少提供8人驻场服务。</w:t>
      </w:r>
      <w:r/>
    </w:p>
    <w:p>
      <w:pPr>
        <w:pStyle w:val="1016"/>
        <w:spacing w:before="91" w:line="220" w:lineRule="auto"/>
        <w:rPr>
          <w:rFonts w:hint="eastAsia" w:ascii="黑体" w:hAnsi="黑体" w:eastAsia="黑体" w:cs="黑体"/>
          <w:color w:val="000000" w:themeColor="text1"/>
          <w:sz w:val="28"/>
          <w:szCs w:val="28"/>
          <w:lang w:eastAsia="zh-CN"/>
          <w14:textFill>
            <w14:solidFill>
              <w14:schemeClr w14:val="tx1"/>
            </w14:solidFill>
          </w14:textFill>
        </w:rPr>
        <w:outlineLvl w:val="2"/>
      </w:pPr>
      <w:r>
        <w:rPr>
          <w:b/>
          <w:bCs/>
          <w:color w:val="000000" w:themeColor="text1"/>
          <w:spacing w:val="-4"/>
          <w:sz w:val="28"/>
          <w:szCs w:val="28"/>
          <w:lang w:eastAsia="zh-CN"/>
          <w14:textFill>
            <w14:solidFill>
              <w14:schemeClr w14:val="tx1"/>
            </w14:solidFill>
          </w14:textFill>
        </w:rPr>
        <w:t xml:space="preserve">2</w:t>
      </w:r>
      <w:r>
        <w:rPr>
          <w:rFonts w:ascii="黑体" w:hAnsi="黑体" w:eastAsia="黑体" w:cs="黑体"/>
          <w:b/>
          <w:bCs/>
          <w:color w:val="000000" w:themeColor="text1"/>
          <w:spacing w:val="-4"/>
          <w:sz w:val="28"/>
          <w:szCs w:val="28"/>
          <w:lang w:eastAsia="zh-CN"/>
          <w14:textFill>
            <w14:solidFill>
              <w14:schemeClr w14:val="tx1"/>
            </w14:solidFill>
          </w14:textFill>
        </w:rPr>
        <w:t xml:space="preserve">、质量管理</w:t>
      </w:r>
      <w:r/>
    </w:p>
    <w:p>
      <w:pPr>
        <w:ind w:left="7" w:right="90" w:firstLine="497"/>
        <w:spacing w:before="79" w:line="431"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中标方应建立严格的质量保证体系，制定项目建设质量控制方案和实施措施，并</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督促落实各环节质量控制内容和目标。</w:t>
      </w:r>
      <w:r/>
    </w:p>
    <w:p>
      <w:pPr>
        <w:ind w:left="18"/>
        <w:spacing w:before="256" w:line="225" w:lineRule="auto"/>
        <w:rPr>
          <w:rFonts w:hint="eastAsia"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1"/>
          <w:sz w:val="31"/>
          <w:szCs w:val="31"/>
          <w14:textFill>
            <w14:solidFill>
              <w14:schemeClr w14:val="tx1"/>
            </w14:solidFill>
          </w14:textFill>
        </w:rPr>
        <w:t xml:space="preserve">（六）</w:t>
      </w:r>
      <w:r>
        <w:rPr>
          <w:rFonts w:ascii="宋体" w:hAnsi="宋体" w:cs="宋体"/>
          <w:color w:val="000000" w:themeColor="text1"/>
          <w:spacing w:val="28"/>
          <w:sz w:val="31"/>
          <w:szCs w:val="31"/>
          <w14:textFill>
            <w14:solidFill>
              <w14:schemeClr w14:val="tx1"/>
            </w14:solidFill>
          </w14:textFill>
        </w:rPr>
        <w:t xml:space="preserve"> </w:t>
      </w:r>
      <w:r>
        <w:rPr>
          <w:rFonts w:ascii="宋体" w:hAnsi="宋体" w:cs="宋体"/>
          <w:b/>
          <w:bCs/>
          <w:color w:val="000000" w:themeColor="text1"/>
          <w:spacing w:val="1"/>
          <w:sz w:val="31"/>
          <w:szCs w:val="31"/>
          <w14:textFill>
            <w14:solidFill>
              <w14:schemeClr w14:val="tx1"/>
            </w14:solidFill>
          </w14:textFill>
        </w:rPr>
        <w:t xml:space="preserve">付款方式</w:t>
      </w:r>
      <w:r/>
    </w:p>
    <w:p>
      <w:pPr>
        <w:ind w:left="22" w:right="81" w:firstLine="460"/>
        <w:spacing w:before="79" w:line="43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7"/>
          <w:sz w:val="24"/>
          <w:szCs w:val="24"/>
          <w14:textFill>
            <w14:solidFill>
              <w14:schemeClr w14:val="tx1"/>
            </w14:solidFill>
          </w14:textFill>
        </w:rPr>
        <w:t xml:space="preserve">第一次付款：在合同签订之日起</w:t>
      </w:r>
      <w:r>
        <w:rPr>
          <w:rFonts w:ascii="宋体" w:hAnsi="宋体" w:cs="宋体"/>
          <w:color w:val="000000" w:themeColor="text1"/>
          <w:spacing w:val="-45"/>
          <w:sz w:val="24"/>
          <w:szCs w:val="24"/>
          <w14:textFill>
            <w14:solidFill>
              <w14:schemeClr w14:val="tx1"/>
            </w14:solidFill>
          </w14:textFill>
        </w:rPr>
        <w:t xml:space="preserve"> </w:t>
      </w:r>
      <w:r>
        <w:rPr>
          <w:rFonts w:ascii="宋体" w:hAnsi="宋体" w:cs="宋体"/>
          <w:color w:val="000000" w:themeColor="text1"/>
          <w:spacing w:val="-7"/>
          <w:sz w:val="24"/>
          <w:szCs w:val="24"/>
          <w14:textFill>
            <w14:solidFill>
              <w14:schemeClr w14:val="tx1"/>
            </w14:solidFill>
          </w14:textFill>
        </w:rPr>
        <w:t xml:space="preserve">30</w:t>
      </w:r>
      <w:r>
        <w:rPr>
          <w:rFonts w:ascii="宋体" w:hAnsi="宋体" w:cs="宋体"/>
          <w:color w:val="000000" w:themeColor="text1"/>
          <w:spacing w:val="-51"/>
          <w:sz w:val="24"/>
          <w:szCs w:val="24"/>
          <w14:textFill>
            <w14:solidFill>
              <w14:schemeClr w14:val="tx1"/>
            </w14:solidFill>
          </w14:textFill>
        </w:rPr>
        <w:t xml:space="preserve"> </w:t>
      </w:r>
      <w:r>
        <w:rPr>
          <w:rFonts w:ascii="宋体" w:hAnsi="宋体" w:cs="宋体"/>
          <w:color w:val="000000" w:themeColor="text1"/>
          <w:spacing w:val="-7"/>
          <w:sz w:val="24"/>
          <w:szCs w:val="24"/>
          <w14:textFill>
            <w14:solidFill>
              <w14:schemeClr w14:val="tx1"/>
            </w14:solidFill>
          </w14:textFill>
        </w:rPr>
        <w:t xml:space="preserve">个工作日内，招标方向乙方支付</w:t>
      </w:r>
      <w:r>
        <w:rPr>
          <w:rFonts w:ascii="宋体" w:hAnsi="宋体" w:cs="宋体"/>
          <w:color w:val="000000" w:themeColor="text1"/>
          <w:spacing w:val="-8"/>
          <w:sz w:val="24"/>
          <w:szCs w:val="24"/>
          <w14:textFill>
            <w14:solidFill>
              <w14:schemeClr w14:val="tx1"/>
            </w14:solidFill>
          </w14:textFill>
        </w:rPr>
        <w:t xml:space="preserve">合同总金额</w:t>
      </w:r>
      <w:r>
        <w:rPr>
          <w:rFonts w:ascii="宋体" w:hAnsi="宋体" w:cs="宋体"/>
          <w:color w:val="000000" w:themeColor="text1"/>
          <w:spacing w:val="-45"/>
          <w:sz w:val="24"/>
          <w:szCs w:val="24"/>
          <w14:textFill>
            <w14:solidFill>
              <w14:schemeClr w14:val="tx1"/>
            </w14:solidFill>
          </w14:textFill>
        </w:rPr>
        <w:t xml:space="preserve"> </w:t>
      </w:r>
      <w:r>
        <w:rPr>
          <w:rFonts w:ascii="宋体" w:hAnsi="宋体" w:cs="宋体"/>
          <w:color w:val="000000" w:themeColor="text1"/>
          <w:spacing w:val="-8"/>
          <w:sz w:val="24"/>
          <w:szCs w:val="24"/>
          <w14:textFill>
            <w14:solidFill>
              <w14:schemeClr w14:val="tx1"/>
            </w14:solidFill>
          </w14:textFill>
        </w:rPr>
        <w:t xml:space="preserve">30%</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16"/>
          <w:sz w:val="24"/>
          <w:szCs w:val="24"/>
          <w14:textFill>
            <w14:solidFill>
              <w14:schemeClr w14:val="tx1"/>
            </w14:solidFill>
          </w14:textFill>
        </w:rPr>
        <w:t xml:space="preserve">的款项；</w:t>
      </w:r>
      <w:r/>
    </w:p>
    <w:p>
      <w:pPr>
        <w:ind w:left="22" w:right="81" w:firstLine="460"/>
        <w:spacing w:before="34" w:line="43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第二次付款：在系统开发完成并试运行成功后，招标</w:t>
      </w:r>
      <w:r>
        <w:rPr>
          <w:rFonts w:ascii="宋体" w:hAnsi="宋体" w:cs="宋体"/>
          <w:color w:val="000000" w:themeColor="text1"/>
          <w:spacing w:val="-4"/>
          <w:sz w:val="24"/>
          <w:szCs w:val="24"/>
          <w14:textFill>
            <w14:solidFill>
              <w14:schemeClr w14:val="tx1"/>
            </w14:solidFill>
          </w14:textFill>
        </w:rPr>
        <w:t xml:space="preserve">方向乙方支付合同总金额</w:t>
      </w:r>
      <w:r>
        <w:rPr>
          <w:rFonts w:ascii="宋体" w:hAnsi="宋体" w:cs="宋体"/>
          <w:color w:val="000000" w:themeColor="text1"/>
          <w:spacing w:val="-50"/>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40%</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16"/>
          <w:sz w:val="24"/>
          <w:szCs w:val="24"/>
          <w14:textFill>
            <w14:solidFill>
              <w14:schemeClr w14:val="tx1"/>
            </w14:solidFill>
          </w14:textFill>
        </w:rPr>
        <w:t xml:space="preserve">的款项；</w:t>
      </w:r>
      <w:r/>
    </w:p>
    <w:p>
      <w:pPr>
        <w:ind w:left="3" w:right="83" w:firstLine="479"/>
        <w:spacing w:before="37" w:line="433"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第三次付款：在系统完成最终检测并且通过由招标方组织的验收后</w:t>
      </w:r>
      <w:r>
        <w:rPr>
          <w:rFonts w:ascii="宋体" w:hAnsi="宋体" w:cs="宋体"/>
          <w:color w:val="000000" w:themeColor="text1"/>
          <w:spacing w:val="1"/>
          <w:sz w:val="24"/>
          <w:szCs w:val="24"/>
          <w14:textFill>
            <w14:solidFill>
              <w14:schemeClr w14:val="tx1"/>
            </w14:solidFill>
          </w14:textFill>
        </w:rPr>
        <w:t xml:space="preserve">，招标方向乙</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方支付合同总金额</w:t>
      </w:r>
      <w:r>
        <w:rPr>
          <w:rFonts w:ascii="宋体" w:hAnsi="宋体" w:cs="宋体"/>
          <w:color w:val="000000" w:themeColor="text1"/>
          <w:spacing w:val="-43"/>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20%的款项</w:t>
      </w:r>
      <w:r/>
    </w:p>
    <w:p>
      <w:pPr>
        <w:ind w:left="3" w:right="83" w:firstLine="479"/>
        <w:spacing w:before="37" w:line="433" w:lineRule="auto"/>
        <w:rPr>
          <w:rFonts w:ascii="宋体" w:hAnsi="宋体" w:cs="宋体"/>
          <w:color w:val="000000" w:themeColor="text1"/>
          <w:spacing w:val="2"/>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第四次付款：2027 年 6 月 30 日前支付合同总价的 5%；</w:t>
      </w:r>
      <w:r/>
    </w:p>
    <w:p>
      <w:pPr>
        <w:ind w:left="3" w:right="83" w:firstLine="479"/>
        <w:spacing w:before="37" w:line="433" w:lineRule="auto"/>
        <w:rPr>
          <w:rFonts w:ascii="宋体" w:hAnsi="宋体" w:cs="宋体"/>
          <w:color w:val="000000" w:themeColor="text1"/>
          <w:spacing w:val="2"/>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第五次付款：2028 年 6 月 30 日前支付合同总价的 5%；</w:t>
      </w:r>
      <w:r/>
    </w:p>
    <w:p>
      <w:pPr>
        <w:ind w:left="18"/>
        <w:spacing w:before="101" w:line="225" w:lineRule="auto"/>
        <w:rPr>
          <w:rFonts w:hint="eastAsia"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3"/>
          <w:sz w:val="31"/>
          <w:szCs w:val="31"/>
          <w14:textFill>
            <w14:solidFill>
              <w14:schemeClr w14:val="tx1"/>
            </w14:solidFill>
          </w14:textFill>
        </w:rPr>
        <w:t xml:space="preserve">（七）项目验收要求</w:t>
      </w:r>
      <w:r/>
    </w:p>
    <w:p>
      <w:pPr>
        <w:ind w:left="1" w:firstLine="484"/>
        <w:spacing w:before="78" w:line="441"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8"/>
          <w:sz w:val="24"/>
          <w:szCs w:val="24"/>
          <w14:textFill>
            <w14:solidFill>
              <w14:schemeClr w14:val="tx1"/>
            </w14:solidFill>
          </w14:textFill>
        </w:rPr>
        <w:t xml:space="preserve">系统上线后</w:t>
      </w:r>
      <w:r>
        <w:rPr>
          <w:rFonts w:ascii="宋体" w:hAnsi="宋体" w:cs="宋体"/>
          <w:color w:val="000000" w:themeColor="text1"/>
          <w:spacing w:val="-42"/>
          <w:sz w:val="24"/>
          <w:szCs w:val="24"/>
          <w14:textFill>
            <w14:solidFill>
              <w14:schemeClr w14:val="tx1"/>
            </w14:solidFill>
          </w14:textFill>
        </w:rPr>
        <w:t xml:space="preserve"> </w:t>
      </w:r>
      <w:r>
        <w:rPr>
          <w:rFonts w:ascii="宋体" w:hAnsi="宋体" w:cs="宋体"/>
          <w:color w:val="000000" w:themeColor="text1"/>
          <w:spacing w:val="-8"/>
          <w:sz w:val="24"/>
          <w:szCs w:val="24"/>
          <w14:textFill>
            <w14:solidFill>
              <w14:schemeClr w14:val="tx1"/>
            </w14:solidFill>
          </w14:textFill>
        </w:rPr>
        <w:t xml:space="preserve">10个工作日内为安装调试、试运行阶段，系统正常运行后可组织验收。</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应用系统建设应严格按照国家有关规定进行，验收前投标人需提供</w:t>
      </w:r>
      <w:r>
        <w:rPr>
          <w:rFonts w:ascii="宋体" w:hAnsi="宋体" w:cs="宋体"/>
          <w:color w:val="000000" w:themeColor="text1"/>
          <w:spacing w:val="1"/>
          <w:sz w:val="24"/>
          <w:szCs w:val="24"/>
          <w14:textFill>
            <w14:solidFill>
              <w14:schemeClr w14:val="tx1"/>
            </w14:solidFill>
          </w14:textFill>
        </w:rPr>
        <w:t xml:space="preserve">完整的项目验收方</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案，以及第三方测试报告。验收方案至少包含项目实施（包括调研、标准版部署、基础</w:t>
      </w:r>
      <w:r>
        <w:rPr>
          <w:rFonts w:ascii="宋体" w:hAnsi="宋体" w:cs="宋体"/>
          <w:color w:val="000000" w:themeColor="text1"/>
          <w:spacing w:val="12"/>
          <w:sz w:val="24"/>
          <w:szCs w:val="24"/>
          <w14:textFill>
            <w14:solidFill>
              <w14:schemeClr w14:val="tx1"/>
            </w14:solidFill>
          </w14:textFill>
        </w:rPr>
        <w:t xml:space="preserve"> </w:t>
      </w:r>
      <w:r>
        <w:rPr>
          <w:rFonts w:ascii="宋体" w:hAnsi="宋体" w:cs="宋体"/>
          <w:color w:val="000000" w:themeColor="text1"/>
          <w:spacing w:val="-12"/>
          <w:sz w:val="24"/>
          <w:szCs w:val="24"/>
          <w14:textFill>
            <w14:solidFill>
              <w14:schemeClr w14:val="tx1"/>
            </w14:solidFill>
          </w14:textFill>
        </w:rPr>
        <w:t xml:space="preserve">数据迁移、初期培训）、初验收、试运行和最终验收等流程、时间要求以及形式</w:t>
      </w:r>
      <w:r>
        <w:rPr>
          <w:rFonts w:ascii="宋体" w:hAnsi="宋体" w:cs="宋体"/>
          <w:color w:val="000000" w:themeColor="text1"/>
          <w:spacing w:val="-13"/>
          <w:sz w:val="24"/>
          <w:szCs w:val="24"/>
          <w14:textFill>
            <w14:solidFill>
              <w14:schemeClr w14:val="tx1"/>
            </w14:solidFill>
          </w14:textFill>
        </w:rPr>
        <w:t xml:space="preserve">等内容，</w:t>
      </w:r>
      <w:r>
        <w:rPr>
          <w:rFonts w:ascii="宋体" w:hAnsi="宋体" w:cs="宋体"/>
          <w:color w:val="000000" w:themeColor="text1"/>
          <w:sz w:val="24"/>
          <w:szCs w:val="24"/>
          <w14:textFill>
            <w14:solidFill>
              <w14:schemeClr w14:val="tx1"/>
            </w14:solidFill>
          </w14:textFill>
        </w:rPr>
        <w:t xml:space="preserve"> 第三方测试报告应包括功能测试报告、性能测试</w:t>
      </w:r>
      <w:r>
        <w:rPr>
          <w:rFonts w:ascii="宋体" w:hAnsi="宋体" w:cs="宋体"/>
          <w:color w:val="000000" w:themeColor="text1"/>
          <w:spacing w:val="-1"/>
          <w:sz w:val="24"/>
          <w:szCs w:val="24"/>
          <w14:textFill>
            <w14:solidFill>
              <w14:schemeClr w14:val="tx1"/>
            </w14:solidFill>
          </w14:textFill>
        </w:rPr>
        <w:t xml:space="preserve">报告、安全测试报告。</w:t>
      </w:r>
      <w:r/>
    </w:p>
    <w:p>
      <w:pPr>
        <w:ind w:left="2" w:right="2" w:firstLine="481"/>
        <w:spacing w:before="38" w:line="43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投标方应按照所约定的内容和时间进行交付，且所交付的文</w:t>
      </w:r>
      <w:r>
        <w:rPr>
          <w:rFonts w:ascii="宋体" w:hAnsi="宋体" w:cs="宋体"/>
          <w:color w:val="000000" w:themeColor="text1"/>
          <w:spacing w:val="1"/>
          <w:sz w:val="24"/>
          <w:szCs w:val="24"/>
          <w14:textFill>
            <w14:solidFill>
              <w14:schemeClr w14:val="tx1"/>
            </w14:solidFill>
          </w14:textFill>
        </w:rPr>
        <w:t xml:space="preserve">档与文件应该是电子</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11"/>
          <w:sz w:val="24"/>
          <w:szCs w:val="24"/>
          <w14:textFill>
            <w14:solidFill>
              <w14:schemeClr w14:val="tx1"/>
            </w14:solidFill>
          </w14:textFill>
        </w:rPr>
        <w:t xml:space="preserve">版式及纸质形式。包含但不限于《需求规格说明书》、《概要设计文档》、《详细设计文</w:t>
      </w:r>
      <w:r>
        <w:rPr>
          <w:rFonts w:ascii="宋体" w:hAnsi="宋体" w:cs="宋体"/>
          <w:color w:val="000000" w:themeColor="text1"/>
          <w:spacing w:val="7"/>
          <w:sz w:val="24"/>
          <w:szCs w:val="24"/>
          <w14:textFill>
            <w14:solidFill>
              <w14:schemeClr w14:val="tx1"/>
            </w14:solidFill>
          </w14:textFill>
        </w:rPr>
        <w:t xml:space="preserve"> </w:t>
      </w:r>
      <w:r>
        <w:rPr>
          <w:rFonts w:ascii="宋体" w:hAnsi="宋体" w:cs="宋体"/>
          <w:color w:val="000000" w:themeColor="text1"/>
          <w:spacing w:val="-29"/>
          <w:sz w:val="24"/>
          <w:szCs w:val="24"/>
          <w14:textFill>
            <w14:solidFill>
              <w14:schemeClr w14:val="tx1"/>
            </w14:solidFill>
          </w14:textFill>
        </w:rPr>
        <w:t xml:space="preserve">档》、《</w:t>
      </w:r>
      <w:r>
        <w:rPr>
          <w:rFonts w:ascii="宋体" w:hAnsi="宋体" w:cs="宋体"/>
          <w:color w:val="000000" w:themeColor="text1"/>
          <w:spacing w:val="-28"/>
          <w:sz w:val="24"/>
          <w:szCs w:val="24"/>
          <w14:textFill>
            <w14:solidFill>
              <w14:schemeClr w14:val="tx1"/>
            </w14:solidFill>
          </w14:textFill>
        </w:rPr>
        <w:t xml:space="preserve">数据迁移文档》、《数据库设计文档》、《软件测试报告》、《实施培训方案》、《测</w:t>
      </w:r>
      <w:r>
        <w:rPr>
          <w:rFonts w:ascii="宋体" w:hAnsi="宋体" w:cs="宋体"/>
          <w:color w:val="000000" w:themeColor="text1"/>
          <w:spacing w:val="-24"/>
          <w:sz w:val="24"/>
          <w:szCs w:val="24"/>
          <w14:textFill>
            <w14:solidFill>
              <w14:schemeClr w14:val="tx1"/>
            </w14:solidFill>
          </w14:textFill>
        </w:rPr>
        <w:t xml:space="preserve">试</w:t>
      </w:r>
      <w:r>
        <w:rPr>
          <w:rFonts w:ascii="宋体" w:hAnsi="宋体" w:cs="宋体"/>
          <w:color w:val="000000" w:themeColor="text1"/>
          <w:spacing w:val="21"/>
          <w:sz w:val="24"/>
          <w:szCs w:val="24"/>
          <w14:textFill>
            <w14:solidFill>
              <w14:schemeClr w14:val="tx1"/>
            </w14:solidFill>
          </w14:textFill>
        </w:rPr>
        <w:t xml:space="preserve"> </w:t>
      </w:r>
      <w:r>
        <w:rPr>
          <w:rFonts w:ascii="宋体" w:hAnsi="宋体" w:cs="宋体"/>
          <w:color w:val="000000" w:themeColor="text1"/>
          <w:spacing w:val="-26"/>
          <w:sz w:val="24"/>
          <w:szCs w:val="24"/>
          <w14:textFill>
            <w14:solidFill>
              <w14:schemeClr w14:val="tx1"/>
            </w14:solidFill>
          </w14:textFill>
        </w:rPr>
        <w:t xml:space="preserve">用例》、《产品安装部署文档》、《用户操作手册》、《数据调研报</w:t>
      </w:r>
      <w:r>
        <w:rPr>
          <w:rFonts w:ascii="宋体" w:hAnsi="宋体" w:cs="宋体"/>
          <w:color w:val="000000" w:themeColor="text1"/>
          <w:spacing w:val="-27"/>
          <w:sz w:val="24"/>
          <w:szCs w:val="24"/>
          <w14:textFill>
            <w14:solidFill>
              <w14:schemeClr w14:val="tx1"/>
            </w14:solidFill>
          </w14:textFill>
        </w:rPr>
        <w:t xml:space="preserve">告》。</w:t>
      </w:r>
      <w:r/>
    </w:p>
    <w:p>
      <w:pPr>
        <w:ind w:left="18"/>
        <w:spacing w:before="252" w:line="225" w:lineRule="auto"/>
        <w:rPr>
          <w:rFonts w:ascii="宋体" w:hAnsi="宋体" w:cs="宋体"/>
          <w:color w:val="000000" w:themeColor="text1"/>
          <w:sz w:val="31"/>
          <w:szCs w:val="31"/>
          <w14:textFill>
            <w14:solidFill>
              <w14:schemeClr w14:val="tx1"/>
            </w14:solidFill>
          </w14:textFill>
        </w:rPr>
        <w:outlineLvl w:val="1"/>
      </w:pPr>
      <w:r/>
      <w:bookmarkStart w:id="172" w:name="OLE_LINK4"/>
      <w:r/>
      <w:bookmarkStart w:id="173" w:name="OLE_LINK3"/>
      <w:r>
        <w:rPr>
          <w:rFonts w:ascii="宋体" w:hAnsi="宋体" w:cs="宋体"/>
          <w:b/>
          <w:bCs/>
          <w:color w:val="000000" w:themeColor="text1"/>
          <w:spacing w:val="4"/>
          <w:sz w:val="31"/>
          <w:szCs w:val="31"/>
          <w14:textFill>
            <w14:solidFill>
              <w14:schemeClr w14:val="tx1"/>
            </w14:solidFill>
          </w14:textFill>
        </w:rPr>
        <w:t xml:space="preserve">（七）</w:t>
      </w:r>
      <w:bookmarkEnd w:id="172"/>
      <w:r/>
      <w:bookmarkEnd w:id="173"/>
      <w:r>
        <w:rPr>
          <w:rFonts w:ascii="宋体" w:hAnsi="宋体" w:cs="宋体"/>
          <w:b/>
          <w:bCs/>
          <w:color w:val="000000" w:themeColor="text1"/>
          <w:spacing w:val="4"/>
          <w:sz w:val="31"/>
          <w:szCs w:val="31"/>
          <w14:textFill>
            <w14:solidFill>
              <w14:schemeClr w14:val="tx1"/>
            </w14:solidFill>
          </w14:textFill>
        </w:rPr>
        <w:t xml:space="preserve">质保期及售后服务</w:t>
      </w:r>
      <w:r/>
    </w:p>
    <w:p>
      <w:pPr>
        <w:ind w:left="2" w:right="13" w:firstLine="485"/>
        <w:spacing w:before="78" w:line="43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（1）本项目自验收之日起，系统质保期二年，质保期内对系统进行免费升级</w:t>
      </w:r>
      <w:r>
        <w:rPr>
          <w:rFonts w:ascii="宋体" w:hAnsi="宋体" w:cs="宋体"/>
          <w:color w:val="000000" w:themeColor="text1"/>
          <w:spacing w:val="-3"/>
          <w:sz w:val="24"/>
          <w:szCs w:val="24"/>
          <w14:textFill>
            <w14:solidFill>
              <w14:schemeClr w14:val="tx1"/>
            </w14:solidFill>
          </w14:textFill>
        </w:rPr>
        <w:t xml:space="preserve">和维</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护。质保期满后，若双方继续签订运维合同，合同金额不高于项目总金额的</w:t>
      </w:r>
      <w:r>
        <w:rPr>
          <w:rFonts w:ascii="宋体" w:hAnsi="宋体" w:cs="宋体"/>
          <w:color w:val="000000" w:themeColor="text1"/>
          <w:spacing w:val="-32"/>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10%。</w:t>
      </w:r>
      <w:r/>
    </w:p>
    <w:p>
      <w:pPr>
        <w:ind w:right="3" w:firstLine="488"/>
        <w:spacing w:before="38" w:line="433"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（2）两年的免费运维期内，供应商需安排不少于</w:t>
      </w:r>
      <w:r>
        <w:rPr>
          <w:rFonts w:ascii="宋体" w:hAnsi="宋体" w:cs="宋体"/>
          <w:color w:val="000000" w:themeColor="text1"/>
          <w:spacing w:val="-26"/>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1</w:t>
      </w:r>
      <w:r>
        <w:rPr>
          <w:rFonts w:ascii="宋体" w:hAnsi="宋体" w:cs="宋体"/>
          <w:color w:val="000000" w:themeColor="text1"/>
          <w:spacing w:val="-50"/>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位人员且是开发团队中的人员</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进行驻场运维服务，7*24</w:t>
      </w:r>
      <w:r>
        <w:rPr>
          <w:rFonts w:ascii="宋体" w:hAnsi="宋体" w:cs="宋体"/>
          <w:color w:val="000000" w:themeColor="text1"/>
          <w:spacing w:val="-44"/>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小时响应投标人</w:t>
      </w:r>
      <w:r>
        <w:rPr>
          <w:rFonts w:ascii="宋体" w:hAnsi="宋体" w:cs="宋体"/>
          <w:color w:val="000000" w:themeColor="text1"/>
          <w:spacing w:val="-3"/>
          <w:sz w:val="24"/>
          <w:szCs w:val="24"/>
          <w14:textFill>
            <w14:solidFill>
              <w14:schemeClr w14:val="tx1"/>
            </w14:solidFill>
          </w14:textFill>
        </w:rPr>
        <w:t xml:space="preserve">运维要求。</w:t>
      </w:r>
      <w:r/>
    </w:p>
    <w:p>
      <w:pPr>
        <w:ind w:left="1" w:right="2" w:firstLine="486"/>
        <w:spacing w:before="32" w:line="43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8"/>
          <w:sz w:val="24"/>
          <w:szCs w:val="24"/>
          <w14:textFill>
            <w14:solidFill>
              <w14:schemeClr w14:val="tx1"/>
            </w14:solidFill>
          </w14:textFill>
        </w:rPr>
        <w:t xml:space="preserve">（3）服务器巡检每半个月一次，生成巡检报告。巡检内容包含：服</w:t>
      </w:r>
      <w:r>
        <w:rPr>
          <w:rFonts w:ascii="宋体" w:hAnsi="宋体" w:cs="宋体"/>
          <w:color w:val="000000" w:themeColor="text1"/>
          <w:spacing w:val="-9"/>
          <w:sz w:val="24"/>
          <w:szCs w:val="24"/>
          <w14:textFill>
            <w14:solidFill>
              <w14:schemeClr w14:val="tx1"/>
            </w14:solidFill>
          </w14:textFill>
        </w:rPr>
        <w:t xml:space="preserve">务器运行状态、</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服务器安全状态、服务器性能监控、服务器进程与服务检查、服务器磁盘空间检查、服</w:t>
      </w:r>
      <w:r>
        <w:rPr>
          <w:rFonts w:ascii="宋体" w:hAnsi="宋体" w:cs="宋体"/>
          <w:color w:val="000000" w:themeColor="text1"/>
          <w:spacing w:val="14"/>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务器漏洞修补、服务器的隐患及处理意见。</w:t>
      </w:r>
      <w:r/>
    </w:p>
    <w:p>
      <w:pPr>
        <w:ind w:right="4" w:firstLine="487"/>
        <w:spacing w:before="33" w:line="433"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（4）应用系统的日常运维。包括根据合同约定的业务需求变更，应用系统运行过</w:t>
      </w:r>
      <w:r>
        <w:rPr>
          <w:rFonts w:ascii="宋体" w:hAnsi="宋体" w:cs="宋体"/>
          <w:color w:val="000000" w:themeColor="text1"/>
          <w:spacing w:val="7"/>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程中出现的 BUG 修复，应用系统日常运行性</w:t>
      </w:r>
      <w:r>
        <w:rPr>
          <w:rFonts w:ascii="宋体" w:hAnsi="宋体" w:cs="宋体"/>
          <w:color w:val="000000" w:themeColor="text1"/>
          <w:spacing w:val="-2"/>
          <w:sz w:val="24"/>
          <w:szCs w:val="24"/>
          <w14:textFill>
            <w14:solidFill>
              <w14:schemeClr w14:val="tx1"/>
            </w14:solidFill>
          </w14:textFill>
        </w:rPr>
        <w:t xml:space="preserve">能监控，应用系统</w:t>
      </w:r>
      <w:r>
        <w:rPr>
          <w:rFonts w:ascii="宋体" w:hAnsi="宋体" w:cs="宋体"/>
          <w:color w:val="000000" w:themeColor="text1"/>
          <w:spacing w:val="-3"/>
          <w:sz w:val="24"/>
          <w:szCs w:val="24"/>
          <w14:textFill>
            <w14:solidFill>
              <w14:schemeClr w14:val="tx1"/>
            </w14:solidFill>
          </w14:textFill>
        </w:rPr>
        <w:t xml:space="preserve">志管理和备份及运行期间出现的紧急事件等。</w:t>
      </w:r>
      <w:r/>
    </w:p>
    <w:p>
      <w:pPr>
        <w:ind w:left="5" w:right="35" w:firstLine="481"/>
        <w:spacing w:before="294" w:line="433"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6"/>
          <w:sz w:val="24"/>
          <w:szCs w:val="24"/>
          <w14:textFill>
            <w14:solidFill>
              <w14:schemeClr w14:val="tx1"/>
            </w14:solidFill>
          </w14:textFill>
        </w:rPr>
        <w:t xml:space="preserve">（5）系统运维提供必要的运维工具。如：</w:t>
      </w:r>
      <w:r>
        <w:rPr>
          <w:rFonts w:ascii="宋体" w:hAnsi="宋体" w:cs="宋体"/>
          <w:color w:val="000000" w:themeColor="text1"/>
          <w:spacing w:val="-7"/>
          <w:sz w:val="24"/>
          <w:szCs w:val="24"/>
          <w14:textFill>
            <w14:solidFill>
              <w14:schemeClr w14:val="tx1"/>
            </w14:solidFill>
          </w14:textFill>
        </w:rPr>
        <w:t xml:space="preserve"> Jenkins、OSWatch、Lynis、rkhunter、</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cvechecker、HertzBeat</w:t>
      </w:r>
      <w:r>
        <w:rPr>
          <w:rFonts w:ascii="宋体" w:hAnsi="宋体" w:cs="宋体"/>
          <w:color w:val="000000" w:themeColor="text1"/>
          <w:spacing w:val="-43"/>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等。</w:t>
      </w:r>
      <w:r/>
    </w:p>
    <w:p>
      <w:pPr>
        <w:ind w:firstLine="487"/>
        <w:spacing w:before="35" w:line="437"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（6）网络安全服务：在重大安全事件期间，提供专人值守服务，确保应用程序运</w:t>
      </w:r>
      <w:r>
        <w:rPr>
          <w:rFonts w:ascii="宋体" w:hAnsi="宋体" w:cs="宋体"/>
          <w:color w:val="000000" w:themeColor="text1"/>
          <w:spacing w:val="7"/>
          <w:sz w:val="24"/>
          <w:szCs w:val="24"/>
          <w14:textFill>
            <w14:solidFill>
              <w14:schemeClr w14:val="tx1"/>
            </w14:solidFill>
          </w14:textFill>
        </w:rPr>
        <w:t xml:space="preserve"> </w:t>
      </w:r>
      <w:r>
        <w:rPr>
          <w:rFonts w:ascii="宋体" w:hAnsi="宋体" w:cs="宋体"/>
          <w:color w:val="000000" w:themeColor="text1"/>
          <w:spacing w:val="-6"/>
          <w:sz w:val="24"/>
          <w:szCs w:val="24"/>
          <w14:textFill>
            <w14:solidFill>
              <w14:schemeClr w14:val="tx1"/>
            </w14:solidFill>
          </w14:textFill>
        </w:rPr>
        <w:t xml:space="preserve">行正常。协助甲方完成网络防护工作，</w:t>
      </w:r>
      <w:r>
        <w:rPr>
          <w:rFonts w:ascii="宋体" w:hAnsi="宋体" w:cs="宋体"/>
          <w:color w:val="000000" w:themeColor="text1"/>
          <w:spacing w:val="-68"/>
          <w:sz w:val="24"/>
          <w:szCs w:val="24"/>
          <w14:textFill>
            <w14:solidFill>
              <w14:schemeClr w14:val="tx1"/>
            </w14:solidFill>
          </w14:textFill>
        </w:rPr>
        <w:t xml:space="preserve"> </w:t>
      </w:r>
      <w:r>
        <w:rPr>
          <w:rFonts w:ascii="宋体" w:hAnsi="宋体" w:cs="宋体"/>
          <w:color w:val="000000" w:themeColor="text1"/>
          <w:spacing w:val="-6"/>
          <w:sz w:val="24"/>
          <w:szCs w:val="24"/>
          <w14:textFill>
            <w14:solidFill>
              <w14:schemeClr w14:val="tx1"/>
            </w14:solidFill>
          </w14:textFill>
        </w:rPr>
        <w:t xml:space="preserve">对于第三方扫描发现的漏洞问题，应根据严重程</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度逐步进行修复，保证系统安全。</w:t>
      </w:r>
      <w:r/>
    </w:p>
    <w:p>
      <w:pPr>
        <w:ind w:left="2" w:right="10" w:firstLine="484"/>
        <w:spacing w:before="36" w:line="431"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（7）在运维期间，投标人遵守保密原则。对于校方的网络、主机、系统软件、应</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用软件等的密码、核心参数、业务数据等负有保密责任</w:t>
      </w:r>
      <w:r>
        <w:rPr>
          <w:rFonts w:ascii="宋体" w:hAnsi="宋体" w:cs="宋体"/>
          <w:color w:val="000000" w:themeColor="text1"/>
          <w:spacing w:val="-2"/>
          <w:sz w:val="24"/>
          <w:szCs w:val="24"/>
          <w14:textFill>
            <w14:solidFill>
              <w14:schemeClr w14:val="tx1"/>
            </w14:solidFill>
          </w14:textFill>
        </w:rPr>
        <w:t xml:space="preserve">，不得随意复制和传播。</w:t>
      </w:r>
      <w:r/>
    </w:p>
    <w:p>
      <w:pPr>
        <w:ind w:left="487"/>
        <w:spacing w:before="37"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（8）各投标人要把针对本项目的售后服务承诺写入投标文件。</w:t>
      </w:r>
      <w:r/>
    </w:p>
    <w:p>
      <w:pPr>
        <w:ind w:right="1" w:firstLine="486"/>
        <w:spacing w:before="295" w:line="43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（9）合同履行期内，投标人根据采购人使用要求，提供技术指导和咨询服务，提</w:t>
      </w:r>
      <w:r>
        <w:rPr>
          <w:rFonts w:ascii="宋体" w:hAnsi="宋体" w:cs="宋体"/>
          <w:color w:val="000000" w:themeColor="text1"/>
          <w:spacing w:val="7"/>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供多种方式和途径的技术支持服务。</w:t>
      </w:r>
      <w:r/>
    </w:p>
    <w:p>
      <w:pPr>
        <w:ind w:firstLine="486"/>
        <w:spacing w:before="37" w:line="407" w:lineRule="auto"/>
        <w:rPr>
          <w:rFonts w:ascii="宋体" w:hAnsi="宋体" w:cs="宋体"/>
          <w:color w:val="000000" w:themeColor="text1"/>
          <w:spacing w:val="-9"/>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（10）系统上线后，所产生的一切费用均由中标人支付，例如第三方插件以及系统</w:t>
      </w:r>
      <w:r>
        <w:rPr>
          <w:rFonts w:ascii="宋体" w:hAnsi="宋体" w:cs="宋体"/>
          <w:color w:val="000000" w:themeColor="text1"/>
          <w:spacing w:val="2"/>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补丁等。</w:t>
      </w:r>
      <w:r/>
    </w:p>
    <w:p>
      <w:pPr>
        <w:spacing w:line="0" w:lineRule="atLeast"/>
        <w:rPr>
          <w:color w:val="000000"/>
          <w:sz w:val="24"/>
          <w:szCs w:val="24"/>
        </w:rPr>
      </w:pPr>
      <w:r/>
      <w:bookmarkStart w:id="174" w:name="OLE_LINK16"/>
      <w:r/>
      <w:bookmarkStart w:id="175" w:name="OLE_LINK17"/>
      <w:r>
        <w:rPr>
          <w:rFonts w:ascii="宋体" w:hAnsi="宋体" w:cs="宋体"/>
          <w:b/>
          <w:bCs/>
          <w:color w:val="000000" w:themeColor="text1"/>
          <w:spacing w:val="4"/>
          <w:sz w:val="31"/>
          <w:szCs w:val="31"/>
          <w14:textFill>
            <w14:solidFill>
              <w14:schemeClr w14:val="tx1"/>
            </w14:solidFill>
          </w14:textFill>
        </w:rPr>
        <w:t xml:space="preserve">（</w:t>
      </w:r>
      <w:r>
        <w:rPr>
          <w:rFonts w:hint="eastAsia" w:ascii="宋体" w:hAnsi="宋体" w:cs="宋体"/>
          <w:b/>
          <w:bCs/>
          <w:color w:val="000000" w:themeColor="text1"/>
          <w:spacing w:val="4"/>
          <w:sz w:val="31"/>
          <w:szCs w:val="31"/>
          <w14:textFill>
            <w14:solidFill>
              <w14:schemeClr w14:val="tx1"/>
            </w14:solidFill>
          </w14:textFill>
        </w:rPr>
        <w:t xml:space="preserve">八</w:t>
      </w:r>
      <w:r>
        <w:rPr>
          <w:rFonts w:ascii="宋体" w:hAnsi="宋体" w:cs="宋体"/>
          <w:b/>
          <w:bCs/>
          <w:color w:val="000000" w:themeColor="text1"/>
          <w:spacing w:val="4"/>
          <w:sz w:val="31"/>
          <w:szCs w:val="31"/>
          <w14:textFill>
            <w14:solidFill>
              <w14:schemeClr w14:val="tx1"/>
            </w14:solidFill>
          </w14:textFill>
        </w:rPr>
        <w:t xml:space="preserve">）</w:t>
      </w:r>
      <w:r>
        <w:rPr>
          <w:rFonts w:hint="eastAsia" w:ascii="宋体" w:hAnsi="宋体" w:cs="宋体"/>
          <w:b/>
          <w:bCs/>
          <w:color w:val="000000" w:themeColor="text1"/>
          <w:spacing w:val="4"/>
          <w:sz w:val="31"/>
          <w:szCs w:val="31"/>
          <w14:textFill>
            <w14:solidFill>
              <w14:schemeClr w14:val="tx1"/>
            </w14:solidFill>
          </w14:textFill>
        </w:rPr>
        <w:t xml:space="preserve">现场演示要求</w:t>
      </w:r>
      <w:bookmarkEnd w:id="174"/>
      <w:r/>
      <w:bookmarkEnd w:id="175"/>
      <w:r/>
      <w:r/>
    </w:p>
    <w:p>
      <w:pPr>
        <w:ind w:firstLine="486"/>
        <w:spacing w:before="37" w:line="407" w:lineRule="auto"/>
        <w:rPr>
          <w:rFonts w:ascii="宋体" w:hAnsi="宋体" w:cs="宋体"/>
          <w:color w:val="000000" w:themeColor="text1"/>
          <w:spacing w:val="-5"/>
          <w:sz w:val="24"/>
          <w:szCs w:val="24"/>
          <w14:textFill>
            <w14:solidFill>
              <w14:schemeClr w14:val="tx1"/>
            </w14:solidFill>
          </w14:textFill>
        </w:rPr>
      </w:pPr>
      <w:r>
        <w:rPr>
          <w:rFonts w:hint="eastAsia" w:ascii="宋体" w:hAnsi="宋体" w:cs="宋体"/>
          <w:color w:val="000000" w:themeColor="text1"/>
          <w:spacing w:val="-5"/>
          <w:sz w:val="24"/>
          <w:szCs w:val="24"/>
          <w14:textFill>
            <w14:solidFill>
              <w14:schemeClr w14:val="tx1"/>
            </w14:solidFill>
          </w14:textFill>
        </w:rPr>
        <w:t xml:space="preserve">1、投标人演示人员和设备需在评标前到达江苏省公共资源交易中心二期四楼等候区。按照苏采云系统安排的顺序进行现场演示，演示需按照招标文件的规定和评标委员会的要求进行，时间不超过</w:t>
      </w:r>
      <w:r>
        <w:rPr>
          <w:rFonts w:hint="eastAsia" w:ascii="宋体" w:hAnsi="宋体" w:cs="宋体"/>
          <w:color w:val="000000" w:themeColor="text1"/>
          <w:spacing w:val="-5"/>
          <w:sz w:val="24"/>
          <w:szCs w:val="24"/>
          <w:lang w:val="en-US" w:eastAsia="zh-CN"/>
          <w14:textFill>
            <w14:solidFill>
              <w14:schemeClr w14:val="tx1"/>
            </w14:solidFill>
          </w14:textFill>
        </w:rPr>
        <w:t xml:space="preserve">20</w:t>
      </w:r>
      <w:r>
        <w:rPr>
          <w:rFonts w:hint="eastAsia" w:ascii="宋体" w:hAnsi="宋体" w:cs="宋体"/>
          <w:color w:val="000000" w:themeColor="text1"/>
          <w:spacing w:val="-5"/>
          <w:sz w:val="24"/>
          <w:szCs w:val="24"/>
          <w14:textFill>
            <w14:solidFill>
              <w14:schemeClr w14:val="tx1"/>
            </w14:solidFill>
          </w14:textFill>
        </w:rPr>
        <w:t xml:space="preserve">分钟。采购中心提供投影机及幕布，其他所需设备由投标人自备。</w:t>
      </w:r>
      <w:r/>
    </w:p>
    <w:p>
      <w:pPr>
        <w:ind w:firstLine="486"/>
        <w:spacing w:before="37" w:line="407" w:lineRule="auto"/>
        <w:rPr>
          <w:rFonts w:ascii="黑体" w:hAnsi="黑体" w:eastAsia="黑体" w:cs="黑体"/>
          <w:color w:val="000000" w:themeColor="text1"/>
          <w:sz w:val="43"/>
          <w:szCs w:val="43"/>
          <w14:textFill>
            <w14:solidFill>
              <w14:schemeClr w14:val="tx1"/>
            </w14:solidFill>
          </w14:textFill>
        </w:rPr>
      </w:pPr>
      <w:r>
        <w:rPr>
          <w:rFonts w:hint="eastAsia" w:ascii="宋体" w:hAnsi="宋体" w:cs="宋体"/>
          <w:color w:val="000000" w:themeColor="text1"/>
          <w:spacing w:val="-5"/>
          <w:sz w:val="24"/>
          <w:szCs w:val="24"/>
          <w14:textFill>
            <w14:solidFill>
              <w14:schemeClr w14:val="tx1"/>
            </w14:solidFill>
          </w14:textFill>
        </w:rPr>
        <w:t xml:space="preserve"> 演示内容详见：</w:t>
      </w:r>
      <w:r>
        <w:rPr>
          <w:rFonts w:ascii="宋体" w:hAnsi="宋体" w:cs="宋体"/>
          <w:color w:val="000000" w:themeColor="text1"/>
          <w:spacing w:val="-5"/>
          <w:sz w:val="24"/>
          <w:szCs w:val="24"/>
          <w14:textFill>
            <w14:solidFill>
              <w14:schemeClr w14:val="tx1"/>
            </w14:solidFill>
          </w14:textFill>
        </w:rPr>
        <w:t xml:space="preserve">第五章  评标方法与评标标准</w:t>
      </w:r>
      <w:bookmarkStart w:id="181" w:name="_GoBack"/>
      <w:r/>
      <w:bookmarkEnd w:id="181"/>
      <w:r/>
      <w:r/>
    </w:p>
    <w:p>
      <w:pPr>
        <w:ind w:firstLine="486"/>
        <w:spacing w:before="37" w:line="407" w:lineRule="auto"/>
        <w:rPr>
          <w:rFonts w:ascii="宋体" w:hAnsi="宋体" w:cs="宋体"/>
          <w:color w:val="000000" w:themeColor="text1"/>
          <w:spacing w:val="-5"/>
          <w:sz w:val="24"/>
          <w:szCs w:val="24"/>
          <w14:textFill>
            <w14:solidFill>
              <w14:schemeClr w14:val="tx1"/>
            </w14:solidFill>
          </w14:textFill>
        </w:rPr>
      </w:pPr>
      <w:r>
        <w:rPr>
          <w:rFonts w:hint="eastAsia" w:ascii="宋体" w:hAnsi="宋体" w:cs="宋体"/>
          <w:color w:val="000000" w:themeColor="text1"/>
          <w:spacing w:val="-5"/>
          <w:sz w:val="24"/>
          <w:szCs w:val="24"/>
          <w14:textFill>
            <w14:solidFill>
              <w14:schemeClr w14:val="tx1"/>
            </w14:solidFill>
          </w14:textFill>
        </w:rPr>
        <w:t xml:space="preserve">2、投标人需在“法人授权书”中注明进行现场演示的人员姓名及身份证号，不接受非注明的人员进入评审现场进行演示。投标人进入评审现场的人员应出示有效身份证件。</w:t>
      </w:r>
      <w:r/>
    </w:p>
    <w:p>
      <w:pPr>
        <w:spacing w:line="0" w:lineRule="atLeast"/>
        <w:rPr>
          <w:rFonts w:ascii="宋体" w:hAnsi="宋体" w:cs="宋体"/>
          <w:b/>
          <w:bCs/>
          <w:color w:val="000000" w:themeColor="text1"/>
          <w:spacing w:val="4"/>
          <w:sz w:val="28"/>
          <w:szCs w:val="28"/>
          <w14:textFill>
            <w14:solidFill>
              <w14:schemeClr w14:val="tx1"/>
            </w14:solidFill>
          </w14:textFill>
        </w:rPr>
      </w:pPr>
      <w:r>
        <w:rPr>
          <w:rFonts w:ascii="宋体" w:hAnsi="宋体" w:cs="宋体"/>
          <w:b/>
          <w:bCs/>
          <w:color w:val="000000" w:themeColor="text1"/>
          <w:spacing w:val="4"/>
          <w:sz w:val="28"/>
          <w:szCs w:val="28"/>
          <w14:textFill>
            <w14:solidFill>
              <w14:schemeClr w14:val="tx1"/>
            </w14:solidFill>
          </w14:textFill>
        </w:rPr>
        <w:t xml:space="preserve">（</w:t>
      </w:r>
      <w:r>
        <w:rPr>
          <w:rFonts w:hint="eastAsia" w:ascii="宋体" w:hAnsi="宋体" w:cs="宋体"/>
          <w:b/>
          <w:bCs/>
          <w:color w:val="000000" w:themeColor="text1"/>
          <w:spacing w:val="4"/>
          <w:sz w:val="28"/>
          <w:szCs w:val="28"/>
          <w14:textFill>
            <w14:solidFill>
              <w14:schemeClr w14:val="tx1"/>
            </w14:solidFill>
          </w14:textFill>
        </w:rPr>
        <w:t xml:space="preserve">九</w:t>
      </w:r>
      <w:r>
        <w:rPr>
          <w:rFonts w:ascii="宋体" w:hAnsi="宋体" w:cs="宋体"/>
          <w:b/>
          <w:bCs/>
          <w:color w:val="000000" w:themeColor="text1"/>
          <w:spacing w:val="4"/>
          <w:sz w:val="28"/>
          <w:szCs w:val="28"/>
          <w14:textFill>
            <w14:solidFill>
              <w14:schemeClr w14:val="tx1"/>
            </w14:solidFill>
          </w14:textFill>
        </w:rPr>
        <w:t xml:space="preserve">）</w:t>
      </w:r>
      <w:bookmarkStart w:id="176" w:name="OLE_LINK36"/>
      <w:r>
        <w:rPr>
          <w:rFonts w:hint="eastAsia" w:ascii="宋体" w:hAnsi="宋体" w:cs="宋体"/>
          <w:b/>
          <w:bCs/>
          <w:color w:val="000000" w:themeColor="text1"/>
          <w:spacing w:val="4"/>
          <w:sz w:val="28"/>
          <w:szCs w:val="28"/>
          <w14:textFill>
            <w14:solidFill>
              <w14:schemeClr w14:val="tx1"/>
            </w14:solidFill>
          </w14:textFill>
        </w:rPr>
        <w:t xml:space="preserve">本项目接受现场踏勘，踏勘时间：2024年10月29日上午9:30，踏勘地点：南京市鼓楼区江东北路399号江苏开放大学（江苏城市职业学院），联系人、联系方式：吴老师、025-86265556。</w:t>
      </w:r>
      <w:bookmarkEnd w:id="176"/>
      <w:r>
        <w:rPr>
          <w:sz w:val="28"/>
          <w:szCs w:val="28"/>
        </w:rPr>
      </w:r>
      <w:r/>
    </w:p>
    <w:p>
      <w:pPr>
        <w:spacing w:line="222"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1616"/>
        <w:spacing w:line="222" w:lineRule="auto"/>
        <w:rPr>
          <w:rFonts w:ascii="黑体" w:hAnsi="黑体" w:eastAsia="黑体" w:cs="黑体"/>
          <w:color w:val="000000" w:themeColor="text1"/>
          <w:sz w:val="43"/>
          <w:szCs w:val="43"/>
          <w14:textFill>
            <w14:solidFill>
              <w14:schemeClr w14:val="tx1"/>
            </w14:solidFill>
          </w14:textFill>
        </w:rPr>
        <w:outlineLvl w:val="0"/>
      </w:pPr>
      <w:r/>
      <w:bookmarkStart w:id="177" w:name="OLE_LINK6"/>
      <w:r/>
      <w:bookmarkStart w:id="178" w:name="OLE_LINK5"/>
      <w:r>
        <w:rPr>
          <w:rFonts w:ascii="黑体" w:hAnsi="黑体" w:eastAsia="黑体" w:cs="黑体"/>
          <w:color w:val="000000" w:themeColor="text1"/>
          <w:spacing w:val="6"/>
          <w:sz w:val="43"/>
          <w:szCs w:val="43"/>
          <w14:textFill>
            <w14:solidFill>
              <w14:schemeClr w14:val="tx1"/>
            </w14:solidFill>
          </w14:textFill>
        </w:rPr>
        <w:t xml:space="preserve">第五章  </w:t>
      </w:r>
      <w:r>
        <w:rPr>
          <w:rFonts w:ascii="黑体" w:hAnsi="黑体" w:eastAsia="黑体" w:cs="黑体"/>
          <w:b/>
          <w:bCs/>
          <w:color w:val="000000" w:themeColor="text1"/>
          <w:spacing w:val="6"/>
          <w:sz w:val="43"/>
          <w:szCs w:val="43"/>
          <w14:textFill>
            <w14:solidFill>
              <w14:schemeClr w14:val="tx1"/>
            </w14:solidFill>
          </w14:textFill>
        </w:rPr>
        <w:t xml:space="preserve">评标方法与评标标准</w:t>
      </w:r>
      <w:bookmarkEnd w:id="177"/>
      <w:r/>
      <w:bookmarkEnd w:id="178"/>
      <w:r/>
      <w:r/>
    </w:p>
    <w:p>
      <w:pPr>
        <w:pStyle w:val="1016"/>
        <w:spacing w:line="246"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left="3" w:right="74" w:firstLine="435"/>
        <w:jc w:val="both"/>
        <w:spacing w:before="78" w:line="4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采用综合评分法的，评标结果按评审后得分由高到低顺序</w:t>
      </w:r>
      <w:r>
        <w:rPr>
          <w:rFonts w:ascii="宋体" w:hAnsi="宋体" w:eastAsia="宋体" w:cs="宋体"/>
          <w:color w:val="000000" w:themeColor="text1"/>
          <w:spacing w:val="-1"/>
          <w:sz w:val="24"/>
          <w:szCs w:val="24"/>
          <w:lang w:eastAsia="zh-CN"/>
          <w14:textFill>
            <w14:solidFill>
              <w14:schemeClr w14:val="tx1"/>
            </w14:solidFill>
          </w14:textFill>
        </w:rPr>
        <w:t xml:space="preserve">排列。得分相同的，按</w:t>
      </w:r>
      <w:r>
        <w:rPr>
          <w:rFonts w:ascii="宋体" w:hAnsi="宋体" w:eastAsia="宋体" w:cs="宋体"/>
          <w:color w:val="000000" w:themeColor="text1"/>
          <w:sz w:val="24"/>
          <w:szCs w:val="24"/>
          <w:lang w:eastAsia="zh-CN"/>
          <w14:textFill>
            <w14:solidFill>
              <w14:schemeClr w14:val="tx1"/>
            </w14:solidFill>
          </w14:textFill>
        </w:rPr>
        <w:t xml:space="preserve"> 投标报价由低到高顺序排列。得分且投标报价相同的</w:t>
      </w:r>
      <w:r>
        <w:rPr>
          <w:rFonts w:ascii="宋体" w:hAnsi="宋体" w:eastAsia="宋体" w:cs="宋体"/>
          <w:color w:val="000000" w:themeColor="text1"/>
          <w:spacing w:val="-1"/>
          <w:sz w:val="24"/>
          <w:szCs w:val="24"/>
          <w:lang w:eastAsia="zh-CN"/>
          <w14:textFill>
            <w14:solidFill>
              <w14:schemeClr w14:val="tx1"/>
            </w14:solidFill>
          </w14:textFill>
        </w:rPr>
        <w:t xml:space="preserve">并列。投标文件满足招标文件全</w:t>
      </w:r>
      <w:r>
        <w:rPr>
          <w:rFonts w:ascii="宋体" w:hAnsi="宋体" w:eastAsia="宋体" w:cs="宋体"/>
          <w:color w:val="000000" w:themeColor="text1"/>
          <w:sz w:val="24"/>
          <w:szCs w:val="24"/>
          <w:lang w:eastAsia="zh-CN"/>
          <w14:textFill>
            <w14:solidFill>
              <w14:schemeClr w14:val="tx1"/>
            </w14:solidFill>
          </w14:textFill>
        </w:rPr>
        <w:t xml:space="preserve"> </w:t>
      </w:r>
      <w:r>
        <w:rPr>
          <w:rFonts w:ascii="宋体" w:hAnsi="宋体" w:eastAsia="宋体" w:cs="宋体"/>
          <w:color w:val="000000" w:themeColor="text1"/>
          <w:spacing w:val="-1"/>
          <w:sz w:val="24"/>
          <w:szCs w:val="24"/>
          <w:lang w:eastAsia="zh-CN"/>
          <w14:textFill>
            <w14:solidFill>
              <w14:schemeClr w14:val="tx1"/>
            </w14:solidFill>
          </w14:textFill>
        </w:rPr>
        <w:t xml:space="preserve">部实质性要求，且按照评审因素的量化指标评审得分最高的投标人为中标候选人。本</w:t>
      </w:r>
      <w:r>
        <w:rPr>
          <w:rFonts w:ascii="宋体" w:hAnsi="宋体" w:eastAsia="宋体" w:cs="宋体"/>
          <w:color w:val="000000" w:themeColor="text1"/>
          <w:spacing w:val="13"/>
          <w:sz w:val="24"/>
          <w:szCs w:val="24"/>
          <w:lang w:eastAsia="zh-CN"/>
          <w14:textFill>
            <w14:solidFill>
              <w14:schemeClr w14:val="tx1"/>
            </w14:solidFill>
          </w14:textFill>
        </w:rPr>
        <w:t xml:space="preserve"> </w:t>
      </w:r>
      <w:r>
        <w:rPr>
          <w:rFonts w:ascii="宋体" w:hAnsi="宋体" w:eastAsia="宋体" w:cs="宋体"/>
          <w:color w:val="000000" w:themeColor="text1"/>
          <w:spacing w:val="-6"/>
          <w:sz w:val="24"/>
          <w:szCs w:val="24"/>
          <w:lang w:eastAsia="zh-CN"/>
          <w14:textFill>
            <w14:solidFill>
              <w14:schemeClr w14:val="tx1"/>
            </w14:solidFill>
          </w14:textFill>
        </w:rPr>
        <w:t xml:space="preserve">项目选取</w:t>
      </w:r>
      <w:r>
        <w:rPr>
          <w:rFonts w:ascii="宋体" w:hAnsi="宋体" w:eastAsia="宋体" w:cs="宋体"/>
          <w:color w:val="000000" w:themeColor="text1"/>
          <w:spacing w:val="-30"/>
          <w:sz w:val="24"/>
          <w:szCs w:val="24"/>
          <w:lang w:eastAsia="zh-CN"/>
          <w14:textFill>
            <w14:solidFill>
              <w14:schemeClr w14:val="tx1"/>
            </w14:solidFill>
          </w14:textFill>
        </w:rPr>
        <w:t xml:space="preserve"> </w:t>
      </w:r>
      <w:r>
        <w:rPr>
          <w:color w:val="000000" w:themeColor="text1"/>
          <w:spacing w:val="-6"/>
          <w:sz w:val="24"/>
          <w:szCs w:val="24"/>
          <w:lang w:eastAsia="zh-CN"/>
          <w14:textFill>
            <w14:solidFill>
              <w14:schemeClr w14:val="tx1"/>
            </w14:solidFill>
          </w14:textFill>
        </w:rPr>
        <w:t xml:space="preserve">1 </w:t>
      </w:r>
      <w:r>
        <w:rPr>
          <w:rFonts w:ascii="宋体" w:hAnsi="宋体" w:eastAsia="宋体" w:cs="宋体"/>
          <w:color w:val="000000" w:themeColor="text1"/>
          <w:spacing w:val="-6"/>
          <w:sz w:val="24"/>
          <w:szCs w:val="24"/>
          <w:lang w:eastAsia="zh-CN"/>
          <w14:textFill>
            <w14:solidFill>
              <w14:schemeClr w14:val="tx1"/>
            </w14:solidFill>
          </w14:textFill>
        </w:rPr>
        <w:t xml:space="preserve">名中标候选人。</w:t>
      </w:r>
      <w:r/>
    </w:p>
    <w:p>
      <w:pPr>
        <w:ind w:left="441"/>
        <w:spacing w:before="155" w:line="219"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3"/>
          <w:sz w:val="24"/>
          <w:szCs w:val="24"/>
          <w14:textFill>
            <w14:solidFill>
              <w14:schemeClr w14:val="tx1"/>
            </w14:solidFill>
          </w14:textFill>
        </w:rPr>
        <w:t xml:space="preserve">政府采购政策功能落实</w:t>
      </w:r>
      <w:r/>
    </w:p>
    <w:p>
      <w:pPr>
        <w:pStyle w:val="1016"/>
        <w:spacing w:line="334"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left="456"/>
        <w:spacing w:before="78" w:line="218" w:lineRule="auto"/>
        <w:rPr>
          <w:rFonts w:ascii="宋体" w:hAnsi="宋体" w:eastAsia="宋体" w:cs="宋体"/>
          <w:color w:val="000000" w:themeColor="text1"/>
          <w:sz w:val="24"/>
          <w:szCs w:val="24"/>
          <w:lang w:eastAsia="zh-CN"/>
          <w14:textFill>
            <w14:solidFill>
              <w14:schemeClr w14:val="tx1"/>
            </w14:solidFill>
          </w14:textFill>
        </w:rPr>
      </w:pPr>
      <w:r>
        <w:rPr>
          <w:color w:val="000000" w:themeColor="text1"/>
          <w:spacing w:val="-4"/>
          <w:sz w:val="24"/>
          <w:szCs w:val="24"/>
          <w:lang w:eastAsia="zh-CN"/>
          <w14:textFill>
            <w14:solidFill>
              <w14:schemeClr w14:val="tx1"/>
            </w14:solidFill>
          </w14:textFill>
        </w:rPr>
        <w:t xml:space="preserve">1</w:t>
      </w:r>
      <w:r>
        <w:rPr>
          <w:rFonts w:ascii="宋体" w:hAnsi="宋体" w:eastAsia="宋体" w:cs="宋体"/>
          <w:color w:val="000000" w:themeColor="text1"/>
          <w:spacing w:val="-4"/>
          <w:sz w:val="24"/>
          <w:szCs w:val="24"/>
          <w:lang w:eastAsia="zh-CN"/>
          <w14:textFill>
            <w14:solidFill>
              <w14:schemeClr w14:val="tx1"/>
            </w14:solidFill>
          </w14:textFill>
        </w:rPr>
        <w:t xml:space="preserve">、小微型企业价格扣除</w:t>
      </w:r>
      <w:r/>
    </w:p>
    <w:p>
      <w:pPr>
        <w:pStyle w:val="1016"/>
        <w:spacing w:line="338"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right="159" w:firstLine="445"/>
        <w:spacing w:before="79" w:line="433"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2"/>
          <w:sz w:val="24"/>
          <w:szCs w:val="24"/>
          <w:lang w:eastAsia="zh-CN"/>
          <w14:textFill>
            <w14:solidFill>
              <w14:schemeClr w14:val="tx1"/>
            </w14:solidFill>
          </w14:textFill>
        </w:rPr>
        <w:t xml:space="preserve">（</w:t>
      </w:r>
      <w:r>
        <w:rPr>
          <w:color w:val="000000" w:themeColor="text1"/>
          <w:spacing w:val="-2"/>
          <w:sz w:val="24"/>
          <w:szCs w:val="24"/>
          <w:lang w:eastAsia="zh-CN"/>
          <w14:textFill>
            <w14:solidFill>
              <w14:schemeClr w14:val="tx1"/>
            </w14:solidFill>
          </w14:textFill>
        </w:rPr>
        <w:t xml:space="preserve">1</w:t>
      </w:r>
      <w:r>
        <w:rPr>
          <w:rFonts w:ascii="宋体" w:hAnsi="宋体" w:eastAsia="宋体" w:cs="宋体"/>
          <w:color w:val="000000" w:themeColor="text1"/>
          <w:spacing w:val="-2"/>
          <w:sz w:val="24"/>
          <w:szCs w:val="24"/>
          <w:lang w:eastAsia="zh-CN"/>
          <w14:textFill>
            <w14:solidFill>
              <w14:schemeClr w14:val="tx1"/>
            </w14:solidFill>
          </w14:textFill>
        </w:rPr>
        <w:t xml:space="preserve">）本项目对小型和微型企业提供的服务给予 </w:t>
      </w:r>
      <w:r>
        <w:rPr>
          <w:color w:val="000000" w:themeColor="text1"/>
          <w:spacing w:val="-2"/>
          <w:sz w:val="24"/>
          <w:szCs w:val="24"/>
          <w:lang w:eastAsia="zh-CN"/>
          <w14:textFill>
            <w14:solidFill>
              <w14:schemeClr w14:val="tx1"/>
            </w14:solidFill>
          </w14:textFill>
        </w:rPr>
        <w:t xml:space="preserve">10%</w:t>
      </w:r>
      <w:r>
        <w:rPr>
          <w:rFonts w:ascii="宋体" w:hAnsi="宋体" w:eastAsia="宋体" w:cs="宋体"/>
          <w:color w:val="000000" w:themeColor="text1"/>
          <w:spacing w:val="-2"/>
          <w:sz w:val="24"/>
          <w:szCs w:val="24"/>
          <w:lang w:eastAsia="zh-CN"/>
          <w14:textFill>
            <w14:solidFill>
              <w14:schemeClr w14:val="tx1"/>
            </w14:solidFill>
          </w14:textFill>
        </w:rPr>
        <w:t xml:space="preserve">的扣除价格，用扣除后</w:t>
      </w:r>
      <w:r>
        <w:rPr>
          <w:rFonts w:ascii="宋体" w:hAnsi="宋体" w:eastAsia="宋体" w:cs="宋体"/>
          <w:color w:val="000000" w:themeColor="text1"/>
          <w:spacing w:val="-3"/>
          <w:sz w:val="24"/>
          <w:szCs w:val="24"/>
          <w:lang w:eastAsia="zh-CN"/>
          <w14:textFill>
            <w14:solidFill>
              <w14:schemeClr w14:val="tx1"/>
            </w14:solidFill>
          </w14:textFill>
        </w:rPr>
        <w:t xml:space="preserve">的价</w:t>
      </w:r>
      <w:r>
        <w:rPr>
          <w:rFonts w:ascii="宋体" w:hAnsi="宋体" w:eastAsia="宋体" w:cs="宋体"/>
          <w:color w:val="000000" w:themeColor="text1"/>
          <w:sz w:val="24"/>
          <w:szCs w:val="24"/>
          <w:lang w:eastAsia="zh-CN"/>
          <w14:textFill>
            <w14:solidFill>
              <w14:schemeClr w14:val="tx1"/>
            </w14:solidFill>
          </w14:textFill>
        </w:rPr>
        <w:t xml:space="preserve"> </w:t>
      </w:r>
      <w:r>
        <w:rPr>
          <w:rFonts w:ascii="宋体" w:hAnsi="宋体" w:eastAsia="宋体" w:cs="宋体"/>
          <w:color w:val="000000" w:themeColor="text1"/>
          <w:spacing w:val="-7"/>
          <w:sz w:val="24"/>
          <w:szCs w:val="24"/>
          <w:lang w:eastAsia="zh-CN"/>
          <w14:textFill>
            <w14:solidFill>
              <w14:schemeClr w14:val="tx1"/>
            </w14:solidFill>
          </w14:textFill>
        </w:rPr>
        <w:t xml:space="preserve">格参与评审。</w:t>
      </w:r>
      <w:r/>
    </w:p>
    <w:p>
      <w:pPr>
        <w:pStyle w:val="1016"/>
        <w:spacing w:before="78" w:line="219"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2"/>
          <w:sz w:val="24"/>
          <w:szCs w:val="24"/>
          <w:lang w:eastAsia="zh-CN"/>
          <w14:textFill>
            <w14:solidFill>
              <w14:schemeClr w14:val="tx1"/>
            </w14:solidFill>
          </w14:textFill>
        </w:rPr>
        <w:t xml:space="preserve">   （</w:t>
      </w:r>
      <w:r>
        <w:rPr>
          <w:color w:val="000000" w:themeColor="text1"/>
          <w:spacing w:val="-2"/>
          <w:sz w:val="24"/>
          <w:szCs w:val="24"/>
          <w:lang w:eastAsia="zh-CN"/>
          <w14:textFill>
            <w14:solidFill>
              <w14:schemeClr w14:val="tx1"/>
            </w14:solidFill>
          </w14:textFill>
        </w:rPr>
        <w:t xml:space="preserve">2</w:t>
      </w:r>
      <w:r>
        <w:rPr>
          <w:rFonts w:ascii="宋体" w:hAnsi="宋体" w:eastAsia="宋体" w:cs="宋体"/>
          <w:color w:val="000000" w:themeColor="text1"/>
          <w:spacing w:val="-2"/>
          <w:sz w:val="24"/>
          <w:szCs w:val="24"/>
          <w:lang w:eastAsia="zh-CN"/>
          <w14:textFill>
            <w14:solidFill>
              <w14:schemeClr w14:val="tx1"/>
            </w14:solidFill>
          </w14:textFill>
        </w:rPr>
        <w:t xml:space="preserve">）供应商需按照采购文件的要求提供相应的《小微企业声明函》。</w:t>
      </w:r>
      <w:r/>
    </w:p>
    <w:p>
      <w:pPr>
        <w:pStyle w:val="1016"/>
        <w:spacing w:line="332"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right="156" w:firstLine="446"/>
        <w:spacing w:before="78" w:line="437"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1"/>
          <w:sz w:val="24"/>
          <w:szCs w:val="24"/>
          <w:lang w:eastAsia="zh-CN"/>
          <w14:textFill>
            <w14:solidFill>
              <w14:schemeClr w14:val="tx1"/>
            </w14:solidFill>
          </w14:textFill>
        </w:rPr>
        <w:t xml:space="preserve">（</w:t>
      </w:r>
      <w:r>
        <w:rPr>
          <w:color w:val="000000" w:themeColor="text1"/>
          <w:spacing w:val="-1"/>
          <w:sz w:val="24"/>
          <w:szCs w:val="24"/>
          <w:lang w:eastAsia="zh-CN"/>
          <w14:textFill>
            <w14:solidFill>
              <w14:schemeClr w14:val="tx1"/>
            </w14:solidFill>
          </w14:textFill>
        </w:rPr>
        <w:t xml:space="preserve">3</w:t>
      </w:r>
      <w:r>
        <w:rPr>
          <w:rFonts w:ascii="宋体" w:hAnsi="宋体" w:eastAsia="宋体" w:cs="宋体"/>
          <w:color w:val="000000" w:themeColor="text1"/>
          <w:spacing w:val="-1"/>
          <w:sz w:val="24"/>
          <w:szCs w:val="24"/>
          <w:lang w:eastAsia="zh-CN"/>
          <w14:textFill>
            <w14:solidFill>
              <w14:schemeClr w14:val="tx1"/>
            </w14:solidFill>
          </w14:textFill>
        </w:rPr>
        <w:t xml:space="preserve">）企业标准请参照《关于印发中小企业划型标准规定的通知》（工信部联企</w:t>
      </w:r>
      <w:r>
        <w:rPr>
          <w:rFonts w:ascii="宋体" w:hAnsi="宋体" w:eastAsia="宋体" w:cs="宋体"/>
          <w:color w:val="000000" w:themeColor="text1"/>
          <w:spacing w:val="8"/>
          <w:sz w:val="24"/>
          <w:szCs w:val="24"/>
          <w:lang w:eastAsia="zh-CN"/>
          <w14:textFill>
            <w14:solidFill>
              <w14:schemeClr w14:val="tx1"/>
            </w14:solidFill>
          </w14:textFill>
        </w:rPr>
        <w:t xml:space="preserve"> </w:t>
      </w:r>
      <w:r>
        <w:rPr>
          <w:rFonts w:ascii="宋体" w:hAnsi="宋体" w:eastAsia="宋体" w:cs="宋体"/>
          <w:color w:val="000000" w:themeColor="text1"/>
          <w:spacing w:val="-2"/>
          <w:sz w:val="24"/>
          <w:szCs w:val="24"/>
          <w:lang w:eastAsia="zh-CN"/>
          <w14:textFill>
            <w14:solidFill>
              <w14:schemeClr w14:val="tx1"/>
            </w14:solidFill>
          </w14:textFill>
        </w:rPr>
        <w:t xml:space="preserve">业</w:t>
      </w:r>
      <w:r>
        <w:rPr>
          <w:color w:val="000000" w:themeColor="text1"/>
          <w:spacing w:val="-2"/>
          <w:sz w:val="24"/>
          <w:szCs w:val="24"/>
          <w:lang w:eastAsia="zh-CN"/>
          <w14:textFill>
            <w14:solidFill>
              <w14:schemeClr w14:val="tx1"/>
            </w14:solidFill>
          </w14:textFill>
        </w:rPr>
        <w:t xml:space="preserve">[2011]300 </w:t>
      </w:r>
      <w:r>
        <w:rPr>
          <w:rFonts w:ascii="宋体" w:hAnsi="宋体" w:eastAsia="宋体" w:cs="宋体"/>
          <w:color w:val="000000" w:themeColor="text1"/>
          <w:spacing w:val="-2"/>
          <w:sz w:val="24"/>
          <w:szCs w:val="24"/>
          <w:lang w:eastAsia="zh-CN"/>
          <w14:textFill>
            <w14:solidFill>
              <w14:schemeClr w14:val="tx1"/>
            </w14:solidFill>
          </w14:textFill>
        </w:rPr>
        <w:t xml:space="preserve">号）文件规定自行填</w:t>
      </w:r>
      <w:r>
        <w:rPr>
          <w:rFonts w:ascii="宋体" w:hAnsi="宋体" w:eastAsia="宋体" w:cs="宋体"/>
          <w:color w:val="000000" w:themeColor="text1"/>
          <w:spacing w:val="-3"/>
          <w:sz w:val="24"/>
          <w:szCs w:val="24"/>
          <w:lang w:eastAsia="zh-CN"/>
          <w14:textFill>
            <w14:solidFill>
              <w14:schemeClr w14:val="tx1"/>
            </w14:solidFill>
          </w14:textFill>
        </w:rPr>
        <w:t xml:space="preserve">写。</w:t>
      </w:r>
      <w:r/>
    </w:p>
    <w:p>
      <w:pPr>
        <w:pStyle w:val="1016"/>
        <w:ind w:left="437"/>
        <w:spacing w:before="146" w:line="218" w:lineRule="auto"/>
        <w:rPr>
          <w:rFonts w:ascii="宋体" w:hAnsi="宋体" w:eastAsia="宋体" w:cs="宋体"/>
          <w:color w:val="000000" w:themeColor="text1"/>
          <w:sz w:val="24"/>
          <w:szCs w:val="24"/>
          <w:lang w:eastAsia="zh-CN"/>
          <w14:textFill>
            <w14:solidFill>
              <w14:schemeClr w14:val="tx1"/>
            </w14:solidFill>
          </w14:textFill>
        </w:rPr>
      </w:pPr>
      <w:r>
        <w:rPr>
          <w:color w:val="000000" w:themeColor="text1"/>
          <w:spacing w:val="-2"/>
          <w:sz w:val="24"/>
          <w:szCs w:val="24"/>
          <w:lang w:eastAsia="zh-CN"/>
          <w14:textFill>
            <w14:solidFill>
              <w14:schemeClr w14:val="tx1"/>
            </w14:solidFill>
          </w14:textFill>
        </w:rPr>
        <w:t xml:space="preserve">2</w:t>
      </w:r>
      <w:r>
        <w:rPr>
          <w:rFonts w:ascii="宋体" w:hAnsi="宋体" w:eastAsia="宋体" w:cs="宋体"/>
          <w:color w:val="000000" w:themeColor="text1"/>
          <w:spacing w:val="-2"/>
          <w:sz w:val="24"/>
          <w:szCs w:val="24"/>
          <w:lang w:eastAsia="zh-CN"/>
          <w14:textFill>
            <w14:solidFill>
              <w14:schemeClr w14:val="tx1"/>
            </w14:solidFill>
          </w14:textFill>
        </w:rPr>
        <w:t xml:space="preserve">、残疾人福利单位价格扣除</w:t>
      </w:r>
      <w:r/>
    </w:p>
    <w:p>
      <w:pPr>
        <w:pStyle w:val="1016"/>
        <w:spacing w:line="335"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left="2" w:right="138" w:firstLine="443"/>
        <w:spacing w:before="78" w:line="433"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t xml:space="preserve">（</w:t>
      </w:r>
      <w:r>
        <w:rPr>
          <w:color w:val="000000" w:themeColor="text1"/>
          <w:spacing w:val="-3"/>
          <w:sz w:val="24"/>
          <w:szCs w:val="24"/>
          <w:lang w:eastAsia="zh-CN"/>
          <w14:textFill>
            <w14:solidFill>
              <w14:schemeClr w14:val="tx1"/>
            </w14:solidFill>
          </w14:textFill>
        </w:rPr>
        <w:t xml:space="preserve">1</w:t>
      </w:r>
      <w:r>
        <w:rPr>
          <w:rFonts w:ascii="宋体" w:hAnsi="宋体" w:eastAsia="宋体" w:cs="宋体"/>
          <w:color w:val="000000" w:themeColor="text1"/>
          <w:spacing w:val="-3"/>
          <w:sz w:val="24"/>
          <w:szCs w:val="24"/>
          <w:lang w:eastAsia="zh-CN"/>
          <w14:textFill>
            <w14:solidFill>
              <w14:schemeClr w14:val="tx1"/>
            </w14:solidFill>
          </w14:textFill>
        </w:rPr>
        <w:t xml:space="preserve">）本项目对残疾人福利性单位视同小型</w:t>
      </w:r>
      <w:r>
        <w:rPr>
          <w:rFonts w:ascii="宋体" w:hAnsi="宋体" w:eastAsia="宋体" w:cs="宋体"/>
          <w:color w:val="000000" w:themeColor="text1"/>
          <w:spacing w:val="-4"/>
          <w:sz w:val="24"/>
          <w:szCs w:val="24"/>
          <w:lang w:eastAsia="zh-CN"/>
          <w14:textFill>
            <w14:solidFill>
              <w14:schemeClr w14:val="tx1"/>
            </w14:solidFill>
          </w14:textFill>
        </w:rPr>
        <w:t xml:space="preserve">、微型企业，给予 </w:t>
      </w:r>
      <w:r>
        <w:rPr>
          <w:color w:val="000000" w:themeColor="text1"/>
          <w:spacing w:val="-4"/>
          <w:sz w:val="24"/>
          <w:szCs w:val="24"/>
          <w:lang w:eastAsia="zh-CN"/>
          <w14:textFill>
            <w14:solidFill>
              <w14:schemeClr w14:val="tx1"/>
            </w14:solidFill>
          </w14:textFill>
        </w:rPr>
        <w:t xml:space="preserve">10%</w:t>
      </w:r>
      <w:r>
        <w:rPr>
          <w:rFonts w:ascii="宋体" w:hAnsi="宋体" w:eastAsia="宋体" w:cs="宋体"/>
          <w:color w:val="000000" w:themeColor="text1"/>
          <w:spacing w:val="-4"/>
          <w:sz w:val="24"/>
          <w:szCs w:val="24"/>
          <w:lang w:eastAsia="zh-CN"/>
          <w14:textFill>
            <w14:solidFill>
              <w14:schemeClr w14:val="tx1"/>
            </w14:solidFill>
          </w14:textFill>
        </w:rPr>
        <w:t xml:space="preserve">的价格扣除，</w:t>
      </w:r>
      <w:r>
        <w:rPr>
          <w:rFonts w:ascii="宋体" w:hAnsi="宋体" w:eastAsia="宋体" w:cs="宋体"/>
          <w:color w:val="000000" w:themeColor="text1"/>
          <w:sz w:val="24"/>
          <w:szCs w:val="24"/>
          <w:lang w:eastAsia="zh-CN"/>
          <w14:textFill>
            <w14:solidFill>
              <w14:schemeClr w14:val="tx1"/>
            </w14:solidFill>
          </w14:textFill>
        </w:rPr>
        <w:t xml:space="preserve"> </w:t>
      </w:r>
      <w:r>
        <w:rPr>
          <w:rFonts w:ascii="宋体" w:hAnsi="宋体" w:eastAsia="宋体" w:cs="宋体"/>
          <w:color w:val="000000" w:themeColor="text1"/>
          <w:spacing w:val="-4"/>
          <w:sz w:val="24"/>
          <w:szCs w:val="24"/>
          <w:lang w:eastAsia="zh-CN"/>
          <w14:textFill>
            <w14:solidFill>
              <w14:schemeClr w14:val="tx1"/>
            </w14:solidFill>
          </w14:textFill>
        </w:rPr>
        <w:t xml:space="preserve">用扣除后的价格参与评审。</w:t>
      </w:r>
      <w:r/>
    </w:p>
    <w:p>
      <w:pPr>
        <w:pStyle w:val="1016"/>
        <w:ind w:left="16" w:right="652" w:firstLine="429"/>
        <w:spacing w:before="157" w:line="432"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1"/>
          <w:sz w:val="24"/>
          <w:szCs w:val="24"/>
          <w:lang w:eastAsia="zh-CN"/>
          <w14:textFill>
            <w14:solidFill>
              <w14:schemeClr w14:val="tx1"/>
            </w14:solidFill>
          </w14:textFill>
        </w:rPr>
        <w:t xml:space="preserve">（</w:t>
      </w:r>
      <w:r>
        <w:rPr>
          <w:color w:val="000000" w:themeColor="text1"/>
          <w:spacing w:val="-1"/>
          <w:sz w:val="24"/>
          <w:szCs w:val="24"/>
          <w:lang w:eastAsia="zh-CN"/>
          <w14:textFill>
            <w14:solidFill>
              <w14:schemeClr w14:val="tx1"/>
            </w14:solidFill>
          </w14:textFill>
        </w:rPr>
        <w:t xml:space="preserve">2</w:t>
      </w:r>
      <w:r>
        <w:rPr>
          <w:rFonts w:ascii="宋体" w:hAnsi="宋体" w:eastAsia="宋体" w:cs="宋体"/>
          <w:color w:val="000000" w:themeColor="text1"/>
          <w:spacing w:val="-1"/>
          <w:sz w:val="24"/>
          <w:szCs w:val="24"/>
          <w:lang w:eastAsia="zh-CN"/>
          <w14:textFill>
            <w14:solidFill>
              <w14:schemeClr w14:val="tx1"/>
            </w14:solidFill>
          </w14:textFill>
        </w:rPr>
        <w:t xml:space="preserve">）残疾人福利单位需按照采购文件的要求提供《</w:t>
      </w:r>
      <w:r>
        <w:rPr>
          <w:rFonts w:ascii="宋体" w:hAnsi="宋体" w:eastAsia="宋体" w:cs="宋体"/>
          <w:color w:val="000000" w:themeColor="text1"/>
          <w:spacing w:val="-2"/>
          <w:sz w:val="24"/>
          <w:szCs w:val="24"/>
          <w:lang w:eastAsia="zh-CN"/>
          <w14:textFill>
            <w14:solidFill>
              <w14:schemeClr w14:val="tx1"/>
            </w14:solidFill>
          </w14:textFill>
        </w:rPr>
        <w:t xml:space="preserve">残疾人福利性单位声明</w:t>
      </w:r>
      <w:r>
        <w:rPr>
          <w:rFonts w:ascii="宋体" w:hAnsi="宋体" w:eastAsia="宋体" w:cs="宋体"/>
          <w:color w:val="000000" w:themeColor="text1"/>
          <w:sz w:val="24"/>
          <w:szCs w:val="24"/>
          <w:lang w:eastAsia="zh-CN"/>
          <w14:textFill>
            <w14:solidFill>
              <w14:schemeClr w14:val="tx1"/>
            </w14:solidFill>
          </w14:textFill>
        </w:rPr>
        <w:t xml:space="preserve"> </w:t>
      </w:r>
      <w:r>
        <w:rPr>
          <w:rFonts w:ascii="宋体" w:hAnsi="宋体" w:eastAsia="宋体" w:cs="宋体"/>
          <w:color w:val="000000" w:themeColor="text1"/>
          <w:spacing w:val="-14"/>
          <w:sz w:val="24"/>
          <w:szCs w:val="24"/>
          <w:lang w:eastAsia="zh-CN"/>
          <w14:textFill>
            <w14:solidFill>
              <w14:schemeClr w14:val="tx1"/>
            </w14:solidFill>
          </w14:textFill>
        </w:rPr>
        <w:t xml:space="preserve">函》。</w:t>
      </w:r>
      <w:r/>
    </w:p>
    <w:p>
      <w:pPr>
        <w:pStyle w:val="1016"/>
        <w:ind w:left="7" w:right="154" w:firstLine="439"/>
        <w:spacing w:before="154" w:line="434"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1"/>
          <w:sz w:val="24"/>
          <w:szCs w:val="24"/>
          <w:lang w:eastAsia="zh-CN"/>
          <w14:textFill>
            <w14:solidFill>
              <w14:schemeClr w14:val="tx1"/>
            </w14:solidFill>
          </w14:textFill>
        </w:rPr>
        <w:t xml:space="preserve">（</w:t>
      </w:r>
      <w:r>
        <w:rPr>
          <w:color w:val="000000" w:themeColor="text1"/>
          <w:spacing w:val="-1"/>
          <w:sz w:val="24"/>
          <w:szCs w:val="24"/>
          <w:lang w:eastAsia="zh-CN"/>
          <w14:textFill>
            <w14:solidFill>
              <w14:schemeClr w14:val="tx1"/>
            </w14:solidFill>
          </w14:textFill>
        </w:rPr>
        <w:t xml:space="preserve">3</w:t>
      </w:r>
      <w:r>
        <w:rPr>
          <w:rFonts w:ascii="宋体" w:hAnsi="宋体" w:eastAsia="宋体" w:cs="宋体"/>
          <w:color w:val="000000" w:themeColor="text1"/>
          <w:spacing w:val="-1"/>
          <w:sz w:val="24"/>
          <w:szCs w:val="24"/>
          <w:lang w:eastAsia="zh-CN"/>
          <w14:textFill>
            <w14:solidFill>
              <w14:schemeClr w14:val="tx1"/>
            </w14:solidFill>
          </w14:textFill>
        </w:rPr>
        <w:t xml:space="preserve">）残疾人福利单位标准请参照《关于促进残疾人就业政府采购政策的通知》</w:t>
      </w:r>
      <w:r>
        <w:rPr>
          <w:rFonts w:ascii="宋体" w:hAnsi="宋体" w:eastAsia="宋体" w:cs="宋体"/>
          <w:color w:val="000000" w:themeColor="text1"/>
          <w:spacing w:val="11"/>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（财库〔</w:t>
      </w:r>
      <w:r>
        <w:rPr>
          <w:color w:val="000000" w:themeColor="text1"/>
          <w:spacing w:val="-3"/>
          <w:sz w:val="24"/>
          <w:szCs w:val="24"/>
          <w:lang w:eastAsia="zh-CN"/>
          <w14:textFill>
            <w14:solidFill>
              <w14:schemeClr w14:val="tx1"/>
            </w14:solidFill>
          </w14:textFill>
        </w:rPr>
        <w:t xml:space="preserve">2017</w:t>
      </w:r>
      <w:r>
        <w:rPr>
          <w:rFonts w:ascii="宋体" w:hAnsi="宋体" w:eastAsia="宋体" w:cs="宋体"/>
          <w:color w:val="000000" w:themeColor="text1"/>
          <w:spacing w:val="-3"/>
          <w:sz w:val="24"/>
          <w:szCs w:val="24"/>
          <w:lang w:eastAsia="zh-CN"/>
          <w14:textFill>
            <w14:solidFill>
              <w14:schemeClr w14:val="tx1"/>
            </w14:solidFill>
          </w14:textFill>
        </w:rPr>
        <w:t xml:space="preserve">〕</w:t>
      </w:r>
      <w:r>
        <w:rPr>
          <w:color w:val="000000" w:themeColor="text1"/>
          <w:spacing w:val="-3"/>
          <w:sz w:val="24"/>
          <w:szCs w:val="24"/>
          <w:lang w:eastAsia="zh-CN"/>
          <w14:textFill>
            <w14:solidFill>
              <w14:schemeClr w14:val="tx1"/>
            </w14:solidFill>
          </w14:textFill>
        </w:rPr>
        <w:t xml:space="preserve">141 </w:t>
      </w:r>
      <w:r>
        <w:rPr>
          <w:rFonts w:ascii="宋体" w:hAnsi="宋体" w:eastAsia="宋体" w:cs="宋体"/>
          <w:color w:val="000000" w:themeColor="text1"/>
          <w:spacing w:val="-3"/>
          <w:sz w:val="24"/>
          <w:szCs w:val="24"/>
          <w:lang w:eastAsia="zh-CN"/>
          <w14:textFill>
            <w14:solidFill>
              <w14:schemeClr w14:val="tx1"/>
            </w14:solidFill>
          </w14:textFill>
        </w:rPr>
        <w:t xml:space="preserve">号）。</w:t>
      </w:r>
      <w:r/>
    </w:p>
    <w:p>
      <w:pPr>
        <w:pStyle w:val="1016"/>
        <w:ind w:left="440"/>
        <w:spacing w:before="152" w:line="218" w:lineRule="auto"/>
        <w:rPr>
          <w:rFonts w:ascii="宋体" w:hAnsi="宋体" w:eastAsia="宋体" w:cs="宋体"/>
          <w:color w:val="000000" w:themeColor="text1"/>
          <w:sz w:val="24"/>
          <w:szCs w:val="24"/>
          <w:lang w:eastAsia="zh-CN"/>
          <w14:textFill>
            <w14:solidFill>
              <w14:schemeClr w14:val="tx1"/>
            </w14:solidFill>
          </w14:textFill>
        </w:rPr>
      </w:pPr>
      <w:r>
        <w:rPr>
          <w:color w:val="000000" w:themeColor="text1"/>
          <w:spacing w:val="-2"/>
          <w:sz w:val="24"/>
          <w:szCs w:val="24"/>
          <w:lang w:eastAsia="zh-CN"/>
          <w14:textFill>
            <w14:solidFill>
              <w14:schemeClr w14:val="tx1"/>
            </w14:solidFill>
          </w14:textFill>
        </w:rPr>
        <w:t xml:space="preserve">3</w:t>
      </w:r>
      <w:r>
        <w:rPr>
          <w:rFonts w:ascii="宋体" w:hAnsi="宋体" w:eastAsia="宋体" w:cs="宋体"/>
          <w:color w:val="000000" w:themeColor="text1"/>
          <w:spacing w:val="-2"/>
          <w:sz w:val="24"/>
          <w:szCs w:val="24"/>
          <w:lang w:eastAsia="zh-CN"/>
          <w14:textFill>
            <w14:solidFill>
              <w14:schemeClr w14:val="tx1"/>
            </w14:solidFill>
          </w14:textFill>
        </w:rPr>
        <w:t xml:space="preserve">、监狱和戒毒企业价格扣除</w:t>
      </w:r>
      <w:r/>
    </w:p>
    <w:p>
      <w:pPr>
        <w:pStyle w:val="1016"/>
        <w:spacing w:line="336"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left="17" w:right="400" w:firstLine="428"/>
        <w:spacing w:before="79" w:line="433"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1"/>
          <w:sz w:val="24"/>
          <w:szCs w:val="24"/>
          <w:lang w:eastAsia="zh-CN"/>
          <w14:textFill>
            <w14:solidFill>
              <w14:schemeClr w14:val="tx1"/>
            </w14:solidFill>
          </w14:textFill>
        </w:rPr>
        <w:t xml:space="preserve">（</w:t>
      </w:r>
      <w:r>
        <w:rPr>
          <w:color w:val="000000" w:themeColor="text1"/>
          <w:spacing w:val="-1"/>
          <w:sz w:val="24"/>
          <w:szCs w:val="24"/>
          <w:lang w:eastAsia="zh-CN"/>
          <w14:textFill>
            <w14:solidFill>
              <w14:schemeClr w14:val="tx1"/>
            </w14:solidFill>
          </w14:textFill>
        </w:rPr>
        <w:t xml:space="preserve">1</w:t>
      </w:r>
      <w:r>
        <w:rPr>
          <w:rFonts w:ascii="宋体" w:hAnsi="宋体" w:eastAsia="宋体" w:cs="宋体"/>
          <w:color w:val="000000" w:themeColor="text1"/>
          <w:spacing w:val="-1"/>
          <w:sz w:val="24"/>
          <w:szCs w:val="24"/>
          <w:lang w:eastAsia="zh-CN"/>
          <w14:textFill>
            <w14:solidFill>
              <w14:schemeClr w14:val="tx1"/>
            </w14:solidFill>
          </w14:textFill>
        </w:rPr>
        <w:t xml:space="preserve">）本项目对监狱和戒毒企业（简称监狱企业）视同小型、微型企业，给予</w:t>
      </w:r>
      <w:r>
        <w:rPr>
          <w:rFonts w:ascii="宋体" w:hAnsi="宋体" w:eastAsia="宋体" w:cs="宋体"/>
          <w:color w:val="000000" w:themeColor="text1"/>
          <w:spacing w:val="3"/>
          <w:sz w:val="24"/>
          <w:szCs w:val="24"/>
          <w:lang w:eastAsia="zh-CN"/>
          <w14:textFill>
            <w14:solidFill>
              <w14:schemeClr w14:val="tx1"/>
            </w14:solidFill>
          </w14:textFill>
        </w:rPr>
        <w:t xml:space="preserve"> </w:t>
      </w:r>
      <w:r>
        <w:rPr>
          <w:color w:val="000000" w:themeColor="text1"/>
          <w:spacing w:val="-3"/>
          <w:sz w:val="24"/>
          <w:szCs w:val="24"/>
          <w:lang w:eastAsia="zh-CN"/>
          <w14:textFill>
            <w14:solidFill>
              <w14:schemeClr w14:val="tx1"/>
            </w14:solidFill>
          </w14:textFill>
        </w:rPr>
        <w:t xml:space="preserve">10%</w:t>
      </w:r>
      <w:r>
        <w:rPr>
          <w:rFonts w:ascii="宋体" w:hAnsi="宋体" w:eastAsia="宋体" w:cs="宋体"/>
          <w:color w:val="000000" w:themeColor="text1"/>
          <w:spacing w:val="-3"/>
          <w:sz w:val="24"/>
          <w:szCs w:val="24"/>
          <w:lang w:eastAsia="zh-CN"/>
          <w14:textFill>
            <w14:solidFill>
              <w14:schemeClr w14:val="tx1"/>
            </w14:solidFill>
          </w14:textFill>
        </w:rPr>
        <w:t xml:space="preserve">的价格扣除，用扣除后的价格参与评审。</w:t>
      </w:r>
      <w:r/>
    </w:p>
    <w:p>
      <w:pPr>
        <w:pStyle w:val="1016"/>
        <w:ind w:left="2" w:right="81" w:firstLine="443"/>
        <w:jc w:val="both"/>
        <w:spacing w:before="153" w:line="433"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1"/>
          <w:sz w:val="24"/>
          <w:szCs w:val="24"/>
          <w:lang w:eastAsia="zh-CN"/>
          <w14:textFill>
            <w14:solidFill>
              <w14:schemeClr w14:val="tx1"/>
            </w14:solidFill>
          </w14:textFill>
        </w:rPr>
        <w:t xml:space="preserve">（</w:t>
      </w:r>
      <w:r>
        <w:rPr>
          <w:color w:val="000000" w:themeColor="text1"/>
          <w:spacing w:val="-1"/>
          <w:sz w:val="24"/>
          <w:szCs w:val="24"/>
          <w:lang w:eastAsia="zh-CN"/>
          <w14:textFill>
            <w14:solidFill>
              <w14:schemeClr w14:val="tx1"/>
            </w14:solidFill>
          </w14:textFill>
        </w:rPr>
        <w:t xml:space="preserve">2</w:t>
      </w:r>
      <w:r>
        <w:rPr>
          <w:rFonts w:ascii="宋体" w:hAnsi="宋体" w:eastAsia="宋体" w:cs="宋体"/>
          <w:color w:val="000000" w:themeColor="text1"/>
          <w:spacing w:val="-1"/>
          <w:sz w:val="24"/>
          <w:szCs w:val="24"/>
          <w:lang w:eastAsia="zh-CN"/>
          <w14:textFill>
            <w14:solidFill>
              <w14:schemeClr w14:val="tx1"/>
            </w14:solidFill>
          </w14:textFill>
        </w:rPr>
        <w:t xml:space="preserve">）监狱企业参加政府采购活动时，需提供由省级以上监狱管理局、戒毒管理</w:t>
      </w:r>
      <w:r>
        <w:rPr>
          <w:rFonts w:ascii="宋体" w:hAnsi="宋体" w:eastAsia="宋体" w:cs="宋体"/>
          <w:color w:val="000000" w:themeColor="text1"/>
          <w:spacing w:val="10"/>
          <w:sz w:val="24"/>
          <w:szCs w:val="24"/>
          <w:lang w:eastAsia="zh-CN"/>
          <w14:textFill>
            <w14:solidFill>
              <w14:schemeClr w14:val="tx1"/>
            </w14:solidFill>
          </w14:textFill>
        </w:rPr>
        <w:t xml:space="preserve"> </w:t>
      </w:r>
      <w:r>
        <w:rPr>
          <w:rFonts w:ascii="宋体" w:hAnsi="宋体" w:eastAsia="宋体" w:cs="宋体"/>
          <w:color w:val="000000" w:themeColor="text1"/>
          <w:sz w:val="24"/>
          <w:szCs w:val="24"/>
          <w:lang w:eastAsia="zh-CN"/>
          <w14:textFill>
            <w14:solidFill>
              <w14:schemeClr w14:val="tx1"/>
            </w14:solidFill>
          </w14:textFill>
        </w:rPr>
        <w:t xml:space="preserve">局</w:t>
      </w:r>
      <w:r>
        <w:rPr>
          <w:color w:val="000000" w:themeColor="text1"/>
          <w:sz w:val="24"/>
          <w:szCs w:val="24"/>
          <w:lang w:eastAsia="zh-CN"/>
          <w14:textFill>
            <w14:solidFill>
              <w14:schemeClr w14:val="tx1"/>
            </w14:solidFill>
          </w14:textFill>
        </w:rPr>
        <w:t xml:space="preserve">(</w:t>
      </w:r>
      <w:r>
        <w:rPr>
          <w:rFonts w:ascii="宋体" w:hAnsi="宋体" w:eastAsia="宋体" w:cs="宋体"/>
          <w:color w:val="000000" w:themeColor="text1"/>
          <w:sz w:val="24"/>
          <w:szCs w:val="24"/>
          <w:lang w:eastAsia="zh-CN"/>
          <w14:textFill>
            <w14:solidFill>
              <w14:schemeClr w14:val="tx1"/>
            </w14:solidFill>
          </w14:textFill>
        </w:rPr>
        <w:t xml:space="preserve">含新疆生产建设兵团</w:t>
      </w:r>
      <w:r>
        <w:rPr>
          <w:color w:val="000000" w:themeColor="text1"/>
          <w:sz w:val="24"/>
          <w:szCs w:val="24"/>
          <w:lang w:eastAsia="zh-CN"/>
          <w14:textFill>
            <w14:solidFill>
              <w14:schemeClr w14:val="tx1"/>
            </w14:solidFill>
          </w14:textFill>
        </w:rPr>
        <w:t xml:space="preserve">)</w:t>
      </w:r>
      <w:r>
        <w:rPr>
          <w:rFonts w:ascii="宋体" w:hAnsi="宋体" w:eastAsia="宋体" w:cs="宋体"/>
          <w:color w:val="000000" w:themeColor="text1"/>
          <w:sz w:val="24"/>
          <w:szCs w:val="24"/>
          <w:lang w:eastAsia="zh-CN"/>
          <w14:textFill>
            <w14:solidFill>
              <w14:schemeClr w14:val="tx1"/>
            </w14:solidFill>
          </w14:textFill>
        </w:rPr>
        <w:t xml:space="preserve">出具的属于监狱企业的证明</w:t>
      </w:r>
      <w:r>
        <w:rPr>
          <w:rFonts w:ascii="宋体" w:hAnsi="宋体" w:eastAsia="宋体" w:cs="宋体"/>
          <w:color w:val="000000" w:themeColor="text1"/>
          <w:spacing w:val="-1"/>
          <w:sz w:val="24"/>
          <w:szCs w:val="24"/>
          <w:lang w:eastAsia="zh-CN"/>
          <w14:textFill>
            <w14:solidFill>
              <w14:schemeClr w14:val="tx1"/>
            </w14:solidFill>
          </w14:textFill>
        </w:rPr>
        <w:t xml:space="preserve">文件。供应商如不提供上述证明</w:t>
      </w:r>
      <w:r>
        <w:rPr>
          <w:rFonts w:ascii="宋体" w:hAnsi="宋体" w:eastAsia="宋体" w:cs="宋体"/>
          <w:color w:val="000000" w:themeColor="text1"/>
          <w:sz w:val="24"/>
          <w:szCs w:val="24"/>
          <w:lang w:eastAsia="zh-CN"/>
          <w14:textFill>
            <w14:solidFill>
              <w14:schemeClr w14:val="tx1"/>
            </w14:solidFill>
          </w14:textFill>
        </w:rPr>
        <w:t xml:space="preserve"> </w:t>
      </w:r>
      <w:r>
        <w:rPr>
          <w:rFonts w:ascii="宋体" w:hAnsi="宋体" w:eastAsia="宋体" w:cs="宋体"/>
          <w:color w:val="000000" w:themeColor="text1"/>
          <w:spacing w:val="-4"/>
          <w:sz w:val="24"/>
          <w:szCs w:val="24"/>
          <w:lang w:eastAsia="zh-CN"/>
          <w14:textFill>
            <w14:solidFill>
              <w14:schemeClr w14:val="tx1"/>
            </w14:solidFill>
          </w14:textFill>
        </w:rPr>
        <w:t xml:space="preserve">文件，价格将不做相应扣除。</w:t>
      </w:r>
      <w:r/>
    </w:p>
    <w:p>
      <w:pPr>
        <w:pStyle w:val="1016"/>
        <w:ind w:left="7" w:right="155" w:firstLine="439"/>
        <w:spacing w:before="172" w:line="437"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1"/>
          <w:sz w:val="24"/>
          <w:szCs w:val="24"/>
          <w:lang w:eastAsia="zh-CN"/>
          <w14:textFill>
            <w14:solidFill>
              <w14:schemeClr w14:val="tx1"/>
            </w14:solidFill>
          </w14:textFill>
        </w:rPr>
        <w:t xml:space="preserve">（</w:t>
      </w:r>
      <w:r>
        <w:rPr>
          <w:color w:val="000000" w:themeColor="text1"/>
          <w:spacing w:val="-1"/>
          <w:sz w:val="24"/>
          <w:szCs w:val="24"/>
          <w:lang w:eastAsia="zh-CN"/>
          <w14:textFill>
            <w14:solidFill>
              <w14:schemeClr w14:val="tx1"/>
            </w14:solidFill>
          </w14:textFill>
        </w:rPr>
        <w:t xml:space="preserve">3</w:t>
      </w:r>
      <w:r>
        <w:rPr>
          <w:rFonts w:ascii="宋体" w:hAnsi="宋体" w:eastAsia="宋体" w:cs="宋体"/>
          <w:color w:val="000000" w:themeColor="text1"/>
          <w:spacing w:val="-1"/>
          <w:sz w:val="24"/>
          <w:szCs w:val="24"/>
          <w:lang w:eastAsia="zh-CN"/>
          <w14:textFill>
            <w14:solidFill>
              <w14:schemeClr w14:val="tx1"/>
            </w14:solidFill>
          </w14:textFill>
        </w:rPr>
        <w:t xml:space="preserve">）监狱企业标准请参照《关于政府采购支持监狱企业发展有关问题的通知》</w:t>
      </w:r>
      <w:r>
        <w:rPr>
          <w:rFonts w:ascii="宋体" w:hAnsi="宋体" w:eastAsia="宋体" w:cs="宋体"/>
          <w:color w:val="000000" w:themeColor="text1"/>
          <w:spacing w:val="9"/>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（财库</w:t>
      </w:r>
      <w:r>
        <w:rPr>
          <w:color w:val="000000" w:themeColor="text1"/>
          <w:spacing w:val="-3"/>
          <w:sz w:val="24"/>
          <w:szCs w:val="24"/>
          <w:lang w:eastAsia="zh-CN"/>
          <w14:textFill>
            <w14:solidFill>
              <w14:schemeClr w14:val="tx1"/>
            </w14:solidFill>
          </w14:textFill>
        </w:rPr>
        <w:t xml:space="preserve">[2014]68 </w:t>
      </w:r>
      <w:r>
        <w:rPr>
          <w:rFonts w:ascii="宋体" w:hAnsi="宋体" w:eastAsia="宋体" w:cs="宋体"/>
          <w:color w:val="000000" w:themeColor="text1"/>
          <w:spacing w:val="-3"/>
          <w:sz w:val="24"/>
          <w:szCs w:val="24"/>
          <w:lang w:eastAsia="zh-CN"/>
          <w14:textFill>
            <w14:solidFill>
              <w14:schemeClr w14:val="tx1"/>
            </w14:solidFill>
          </w14:textFill>
        </w:rPr>
        <w:t xml:space="preserve">号）。</w:t>
      </w:r>
      <w:r/>
    </w:p>
    <w:p>
      <w:pPr>
        <w:pStyle w:val="1016"/>
        <w:ind w:left="433"/>
        <w:spacing w:before="146" w:line="220" w:lineRule="auto"/>
        <w:rPr>
          <w:rFonts w:ascii="宋体" w:hAnsi="宋体" w:eastAsia="宋体" w:cs="宋体"/>
          <w:color w:val="000000" w:themeColor="text1"/>
          <w:sz w:val="24"/>
          <w:szCs w:val="24"/>
          <w:lang w:eastAsia="zh-CN"/>
          <w14:textFill>
            <w14:solidFill>
              <w14:schemeClr w14:val="tx1"/>
            </w14:solidFill>
          </w14:textFill>
        </w:rPr>
      </w:pPr>
      <w:r>
        <w:rPr>
          <w:color w:val="000000" w:themeColor="text1"/>
          <w:spacing w:val="-1"/>
          <w:sz w:val="24"/>
          <w:szCs w:val="24"/>
          <w:lang w:eastAsia="zh-CN"/>
          <w14:textFill>
            <w14:solidFill>
              <w14:schemeClr w14:val="tx1"/>
            </w14:solidFill>
          </w14:textFill>
        </w:rPr>
        <w:t xml:space="preserve">4</w:t>
      </w:r>
      <w:r>
        <w:rPr>
          <w:rFonts w:ascii="宋体" w:hAnsi="宋体" w:eastAsia="宋体" w:cs="宋体"/>
          <w:color w:val="000000" w:themeColor="text1"/>
          <w:spacing w:val="-1"/>
          <w:sz w:val="24"/>
          <w:szCs w:val="24"/>
          <w:lang w:eastAsia="zh-CN"/>
          <w14:textFill>
            <w14:solidFill>
              <w14:schemeClr w14:val="tx1"/>
            </w14:solidFill>
          </w14:textFill>
        </w:rPr>
        <w:t xml:space="preserve">、残疾人福利单位、监狱企业属于小型、微型企业的，不重复享受</w:t>
      </w:r>
      <w:r>
        <w:rPr>
          <w:rFonts w:ascii="宋体" w:hAnsi="宋体" w:eastAsia="宋体" w:cs="宋体"/>
          <w:color w:val="000000" w:themeColor="text1"/>
          <w:spacing w:val="-2"/>
          <w:sz w:val="24"/>
          <w:szCs w:val="24"/>
          <w:lang w:eastAsia="zh-CN"/>
          <w14:textFill>
            <w14:solidFill>
              <w14:schemeClr w14:val="tx1"/>
            </w14:solidFill>
          </w14:textFill>
        </w:rPr>
        <w:t xml:space="preserve">政策。</w:t>
      </w:r>
      <w:r/>
    </w:p>
    <w:p>
      <w:pPr>
        <w:pStyle w:val="1016"/>
        <w:spacing w:line="332"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left="3" w:firstLine="437"/>
        <w:jc w:val="both"/>
        <w:spacing w:before="78" w:line="438" w:lineRule="auto"/>
        <w:rPr>
          <w:rFonts w:ascii="宋体" w:hAnsi="宋体" w:eastAsia="宋体" w:cs="宋体"/>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5</w:t>
      </w:r>
      <w:r>
        <w:rPr>
          <w:rFonts w:ascii="宋体" w:hAnsi="宋体" w:eastAsia="宋体" w:cs="宋体"/>
          <w:color w:val="000000" w:themeColor="text1"/>
          <w:sz w:val="24"/>
          <w:szCs w:val="24"/>
          <w:lang w:eastAsia="zh-CN"/>
          <w14:textFill>
            <w14:solidFill>
              <w14:schemeClr w14:val="tx1"/>
            </w14:solidFill>
          </w14:textFill>
        </w:rPr>
        <w:t xml:space="preserve">、如果本项目同意联合体投标或同意分包履行合同的</w:t>
      </w:r>
      <w:r>
        <w:rPr>
          <w:color w:val="000000" w:themeColor="text1"/>
          <w:sz w:val="24"/>
          <w:szCs w:val="24"/>
          <w:lang w:eastAsia="zh-CN"/>
          <w14:textFill>
            <w14:solidFill>
              <w14:schemeClr w14:val="tx1"/>
            </w14:solidFill>
          </w14:textFill>
        </w:rPr>
        <w:t xml:space="preserve">,</w:t>
      </w:r>
      <w:r>
        <w:rPr>
          <w:rFonts w:ascii="宋体" w:hAnsi="宋体" w:eastAsia="宋体" w:cs="宋体"/>
          <w:color w:val="000000" w:themeColor="text1"/>
          <w:sz w:val="24"/>
          <w:szCs w:val="24"/>
          <w:lang w:eastAsia="zh-CN"/>
          <w14:textFill>
            <w14:solidFill>
              <w14:schemeClr w14:val="tx1"/>
            </w14:solidFill>
          </w14:textFill>
        </w:rPr>
        <w:t xml:space="preserve">大中</w:t>
      </w:r>
      <w:r>
        <w:rPr>
          <w:rFonts w:ascii="宋体" w:hAnsi="宋体" w:eastAsia="宋体" w:cs="宋体"/>
          <w:color w:val="000000" w:themeColor="text1"/>
          <w:spacing w:val="-1"/>
          <w:sz w:val="24"/>
          <w:szCs w:val="24"/>
          <w:lang w:eastAsia="zh-CN"/>
          <w14:textFill>
            <w14:solidFill>
              <w14:schemeClr w14:val="tx1"/>
            </w14:solidFill>
          </w14:textFill>
        </w:rPr>
        <w:t xml:space="preserve">型企业与小微型企业</w:t>
      </w:r>
      <w:r>
        <w:rPr>
          <w:rFonts w:ascii="宋体" w:hAnsi="宋体" w:eastAsia="宋体" w:cs="宋体"/>
          <w:color w:val="000000" w:themeColor="text1"/>
          <w:sz w:val="24"/>
          <w:szCs w:val="24"/>
          <w:lang w:eastAsia="zh-CN"/>
          <w14:textFill>
            <w14:solidFill>
              <w14:schemeClr w14:val="tx1"/>
            </w14:solidFill>
          </w14:textFill>
        </w:rPr>
        <w:t xml:space="preserve"> （残疾人福利单位、监狱企业）组成联合体或者大中</w:t>
      </w:r>
      <w:r>
        <w:rPr>
          <w:rFonts w:ascii="宋体" w:hAnsi="宋体" w:eastAsia="宋体" w:cs="宋体"/>
          <w:color w:val="000000" w:themeColor="text1"/>
          <w:spacing w:val="-1"/>
          <w:sz w:val="24"/>
          <w:szCs w:val="24"/>
          <w:lang w:eastAsia="zh-CN"/>
          <w14:textFill>
            <w14:solidFill>
              <w14:schemeClr w14:val="tx1"/>
            </w14:solidFill>
          </w14:textFill>
        </w:rPr>
        <w:t xml:space="preserve">型企业向一家或多家小微型企业</w:t>
      </w:r>
      <w:r>
        <w:rPr>
          <w:rFonts w:ascii="宋体" w:hAnsi="宋体" w:eastAsia="宋体" w:cs="宋体"/>
          <w:color w:val="000000" w:themeColor="text1"/>
          <w:sz w:val="24"/>
          <w:szCs w:val="24"/>
          <w:lang w:eastAsia="zh-CN"/>
          <w14:textFill>
            <w14:solidFill>
              <w14:schemeClr w14:val="tx1"/>
            </w14:solidFill>
          </w14:textFill>
        </w:rPr>
        <w:t xml:space="preserve"> </w:t>
      </w:r>
      <w:r>
        <w:rPr>
          <w:rFonts w:ascii="宋体" w:hAnsi="宋体" w:eastAsia="宋体" w:cs="宋体"/>
          <w:color w:val="000000" w:themeColor="text1"/>
          <w:spacing w:val="-1"/>
          <w:sz w:val="24"/>
          <w:szCs w:val="24"/>
          <w:lang w:eastAsia="zh-CN"/>
          <w14:textFill>
            <w14:solidFill>
              <w14:schemeClr w14:val="tx1"/>
            </w14:solidFill>
          </w14:textFill>
        </w:rPr>
        <w:t xml:space="preserve">分包，联合协议或者分包意向协议中约定小微型企业（残疾人福利单位、监狱企业）的合同份额占到合同总金额</w:t>
      </w:r>
      <w:r>
        <w:rPr>
          <w:rFonts w:ascii="宋体" w:hAnsi="宋体" w:eastAsia="宋体" w:cs="宋体"/>
          <w:color w:val="000000" w:themeColor="text1"/>
          <w:spacing w:val="-49"/>
          <w:sz w:val="24"/>
          <w:szCs w:val="24"/>
          <w:lang w:eastAsia="zh-CN"/>
          <w14:textFill>
            <w14:solidFill>
              <w14:schemeClr w14:val="tx1"/>
            </w14:solidFill>
          </w14:textFill>
        </w:rPr>
        <w:t xml:space="preserve"> </w:t>
      </w:r>
      <w:r>
        <w:rPr>
          <w:color w:val="000000" w:themeColor="text1"/>
          <w:spacing w:val="-1"/>
          <w:sz w:val="24"/>
          <w:szCs w:val="24"/>
          <w:lang w:eastAsia="zh-CN"/>
          <w14:textFill>
            <w14:solidFill>
              <w14:schemeClr w14:val="tx1"/>
            </w14:solidFill>
          </w14:textFill>
        </w:rPr>
        <w:t xml:space="preserve">30%</w:t>
      </w:r>
      <w:r>
        <w:rPr>
          <w:rFonts w:ascii="宋体" w:hAnsi="宋体" w:eastAsia="宋体" w:cs="宋体"/>
          <w:color w:val="000000" w:themeColor="text1"/>
          <w:spacing w:val="-1"/>
          <w:sz w:val="24"/>
          <w:szCs w:val="24"/>
          <w:lang w:eastAsia="zh-CN"/>
          <w14:textFill>
            <w14:solidFill>
              <w14:schemeClr w14:val="tx1"/>
            </w14:solidFill>
          </w14:textFill>
        </w:rPr>
        <w:t xml:space="preserve">以上的，给予联合体或者大中型企业</w:t>
      </w:r>
      <w:r>
        <w:rPr>
          <w:rFonts w:ascii="宋体" w:hAnsi="宋体" w:eastAsia="宋体" w:cs="宋体"/>
          <w:color w:val="000000" w:themeColor="text1"/>
          <w:spacing w:val="-56"/>
          <w:sz w:val="24"/>
          <w:szCs w:val="24"/>
          <w:lang w:eastAsia="zh-CN"/>
          <w14:textFill>
            <w14:solidFill>
              <w14:schemeClr w14:val="tx1"/>
            </w14:solidFill>
          </w14:textFill>
        </w:rPr>
        <w:t xml:space="preserve"> </w:t>
      </w:r>
      <w:r>
        <w:rPr>
          <w:color w:val="000000" w:themeColor="text1"/>
          <w:spacing w:val="-2"/>
          <w:sz w:val="24"/>
          <w:szCs w:val="24"/>
          <w:lang w:eastAsia="zh-CN"/>
          <w14:textFill>
            <w14:solidFill>
              <w14:schemeClr w14:val="tx1"/>
            </w14:solidFill>
          </w14:textFill>
        </w:rPr>
        <w:t xml:space="preserve">4%</w:t>
      </w:r>
      <w:r>
        <w:rPr>
          <w:rFonts w:ascii="宋体" w:hAnsi="宋体" w:eastAsia="宋体" w:cs="宋体"/>
          <w:color w:val="000000" w:themeColor="text1"/>
          <w:spacing w:val="-2"/>
          <w:sz w:val="24"/>
          <w:szCs w:val="24"/>
          <w:lang w:eastAsia="zh-CN"/>
          <w14:textFill>
            <w14:solidFill>
              <w14:schemeClr w14:val="tx1"/>
            </w14:solidFill>
          </w14:textFill>
        </w:rPr>
        <w:t xml:space="preserve">的价格扣</w:t>
      </w:r>
      <w:r>
        <w:rPr>
          <w:rFonts w:ascii="宋体" w:hAnsi="宋体" w:eastAsia="宋体" w:cs="宋体"/>
          <w:color w:val="000000" w:themeColor="text1"/>
          <w:sz w:val="24"/>
          <w:szCs w:val="24"/>
          <w:lang w:eastAsia="zh-CN"/>
          <w14:textFill>
            <w14:solidFill>
              <w14:schemeClr w14:val="tx1"/>
            </w14:solidFill>
          </w14:textFill>
        </w:rPr>
        <w:t xml:space="preserve"> </w:t>
      </w:r>
      <w:r>
        <w:rPr>
          <w:rFonts w:ascii="宋体" w:hAnsi="宋体" w:eastAsia="宋体" w:cs="宋体"/>
          <w:color w:val="000000" w:themeColor="text1"/>
          <w:spacing w:val="-4"/>
          <w:sz w:val="24"/>
          <w:szCs w:val="24"/>
          <w:lang w:eastAsia="zh-CN"/>
          <w14:textFill>
            <w14:solidFill>
              <w14:schemeClr w14:val="tx1"/>
            </w14:solidFill>
          </w14:textFill>
        </w:rPr>
        <w:t xml:space="preserve">除，用扣除后的价格参与评审。</w:t>
      </w:r>
      <w:r/>
    </w:p>
    <w:p>
      <w:pPr>
        <w:pStyle w:val="1016"/>
        <w:ind w:left="10" w:right="458" w:firstLine="437"/>
        <w:spacing w:before="192" w:line="433" w:lineRule="auto"/>
        <w:rPr>
          <w:rFonts w:ascii="宋体" w:hAnsi="宋体" w:eastAsia="宋体" w:cs="宋体"/>
          <w:color w:val="000000" w:themeColor="text1"/>
          <w:sz w:val="24"/>
          <w:szCs w:val="24"/>
          <w:lang w:eastAsia="zh-CN"/>
          <w14:textFill>
            <w14:solidFill>
              <w14:schemeClr w14:val="tx1"/>
            </w14:solidFill>
          </w14:textFill>
        </w:rPr>
      </w:pPr>
      <w:r>
        <w:rPr>
          <w:color w:val="000000" w:themeColor="text1"/>
          <w:spacing w:val="-1"/>
          <w:sz w:val="24"/>
          <w:szCs w:val="24"/>
          <w:lang w:eastAsia="zh-CN"/>
          <w14:textFill>
            <w14:solidFill>
              <w14:schemeClr w14:val="tx1"/>
            </w14:solidFill>
          </w14:textFill>
        </w:rPr>
        <w:t xml:space="preserve">6</w:t>
      </w:r>
      <w:r>
        <w:rPr>
          <w:rFonts w:ascii="宋体" w:hAnsi="宋体" w:eastAsia="宋体" w:cs="宋体"/>
          <w:color w:val="000000" w:themeColor="text1"/>
          <w:spacing w:val="-1"/>
          <w:sz w:val="24"/>
          <w:szCs w:val="24"/>
          <w:lang w:eastAsia="zh-CN"/>
          <w14:textFill>
            <w14:solidFill>
              <w14:schemeClr w14:val="tx1"/>
            </w14:solidFill>
          </w14:textFill>
        </w:rPr>
        <w:t xml:space="preserve">、联合体各方均为小型、微型企业（残疾人福利单位、监狱企业）的，联合体</w:t>
      </w:r>
      <w:r>
        <w:rPr>
          <w:rFonts w:ascii="宋体" w:hAnsi="宋体" w:eastAsia="宋体" w:cs="宋体"/>
          <w:color w:val="000000" w:themeColor="text1"/>
          <w:spacing w:val="15"/>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享受</w:t>
      </w:r>
      <w:r>
        <w:rPr>
          <w:rFonts w:ascii="宋体" w:hAnsi="宋体" w:eastAsia="宋体" w:cs="宋体"/>
          <w:color w:val="000000" w:themeColor="text1"/>
          <w:spacing w:val="-34"/>
          <w:sz w:val="24"/>
          <w:szCs w:val="24"/>
          <w:lang w:eastAsia="zh-CN"/>
          <w14:textFill>
            <w14:solidFill>
              <w14:schemeClr w14:val="tx1"/>
            </w14:solidFill>
          </w14:textFill>
        </w:rPr>
        <w:t xml:space="preserve"> </w:t>
      </w:r>
      <w:r>
        <w:rPr>
          <w:color w:val="000000" w:themeColor="text1"/>
          <w:spacing w:val="-3"/>
          <w:sz w:val="24"/>
          <w:szCs w:val="24"/>
          <w:lang w:eastAsia="zh-CN"/>
          <w14:textFill>
            <w14:solidFill>
              <w14:schemeClr w14:val="tx1"/>
            </w14:solidFill>
          </w14:textFill>
        </w:rPr>
        <w:t xml:space="preserve">10%</w:t>
      </w:r>
      <w:r>
        <w:rPr>
          <w:rFonts w:ascii="宋体" w:hAnsi="宋体" w:eastAsia="宋体" w:cs="宋体"/>
          <w:color w:val="000000" w:themeColor="text1"/>
          <w:spacing w:val="-3"/>
          <w:sz w:val="24"/>
          <w:szCs w:val="24"/>
          <w:lang w:eastAsia="zh-CN"/>
          <w14:textFill>
            <w14:solidFill>
              <w14:schemeClr w14:val="tx1"/>
            </w14:solidFill>
          </w14:textFill>
        </w:rPr>
        <w:t xml:space="preserve">价格扣除，用扣除后的价格参与</w:t>
      </w:r>
      <w:r>
        <w:rPr>
          <w:rFonts w:ascii="宋体" w:hAnsi="宋体" w:eastAsia="宋体" w:cs="宋体"/>
          <w:color w:val="000000" w:themeColor="text1"/>
          <w:spacing w:val="-4"/>
          <w:sz w:val="24"/>
          <w:szCs w:val="24"/>
          <w:lang w:eastAsia="zh-CN"/>
          <w14:textFill>
            <w14:solidFill>
              <w14:schemeClr w14:val="tx1"/>
            </w14:solidFill>
          </w14:textFill>
        </w:rPr>
        <w:t xml:space="preserve">评审。</w:t>
      </w:r>
      <w:r/>
    </w:p>
    <w:p>
      <w:pPr>
        <w:pStyle w:val="1016"/>
        <w:ind w:left="9" w:right="446" w:firstLine="441"/>
        <w:spacing w:before="154" w:line="433" w:lineRule="auto"/>
        <w:rPr>
          <w:rFonts w:ascii="宋体" w:hAnsi="宋体" w:eastAsia="宋体" w:cs="宋体"/>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7</w:t>
      </w:r>
      <w:r>
        <w:rPr>
          <w:rFonts w:ascii="宋体" w:hAnsi="宋体" w:eastAsia="宋体" w:cs="宋体"/>
          <w:color w:val="000000" w:themeColor="text1"/>
          <w:sz w:val="24"/>
          <w:szCs w:val="24"/>
          <w:lang w:eastAsia="zh-CN"/>
          <w14:textFill>
            <w14:solidFill>
              <w14:schemeClr w14:val="tx1"/>
            </w14:solidFill>
          </w14:textFill>
        </w:rPr>
        <w:t xml:space="preserve">、根据《江苏省政府采购信用管理暂行办法》的规定，</w:t>
      </w:r>
      <w:r>
        <w:rPr>
          <w:rFonts w:ascii="宋体" w:hAnsi="宋体" w:eastAsia="宋体" w:cs="宋体"/>
          <w:color w:val="000000" w:themeColor="text1"/>
          <w:spacing w:val="-1"/>
          <w:sz w:val="24"/>
          <w:szCs w:val="24"/>
          <w:lang w:eastAsia="zh-CN"/>
          <w14:textFill>
            <w14:solidFill>
              <w14:schemeClr w14:val="tx1"/>
            </w14:solidFill>
          </w14:textFill>
        </w:rPr>
        <w:t xml:space="preserve">供应商信用评价结果为</w:t>
      </w:r>
      <w:r>
        <w:rPr>
          <w:rFonts w:ascii="宋体" w:hAnsi="宋体" w:eastAsia="宋体" w:cs="宋体"/>
          <w:color w:val="000000" w:themeColor="text1"/>
          <w:sz w:val="24"/>
          <w:szCs w:val="24"/>
          <w:lang w:eastAsia="zh-CN"/>
          <w14:textFill>
            <w14:solidFill>
              <w14:schemeClr w14:val="tx1"/>
            </w14:solidFill>
          </w14:textFill>
        </w:rPr>
        <w:t xml:space="preserve"> 三星的扣</w:t>
      </w:r>
      <w:r>
        <w:rPr>
          <w:rFonts w:ascii="宋体" w:hAnsi="宋体" w:eastAsia="宋体" w:cs="宋体"/>
          <w:color w:val="000000" w:themeColor="text1"/>
          <w:spacing w:val="-42"/>
          <w:sz w:val="24"/>
          <w:szCs w:val="24"/>
          <w:lang w:eastAsia="zh-CN"/>
          <w14:textFill>
            <w14:solidFill>
              <w14:schemeClr w14:val="tx1"/>
            </w14:solidFill>
          </w14:textFill>
        </w:rPr>
        <w:t xml:space="preserve"> </w:t>
      </w:r>
      <w:r>
        <w:rPr>
          <w:color w:val="000000" w:themeColor="text1"/>
          <w:sz w:val="24"/>
          <w:szCs w:val="24"/>
          <w:lang w:eastAsia="zh-CN"/>
          <w14:textFill>
            <w14:solidFill>
              <w14:schemeClr w14:val="tx1"/>
            </w14:solidFill>
          </w14:textFill>
        </w:rPr>
        <w:t xml:space="preserve">2 </w:t>
      </w:r>
      <w:r>
        <w:rPr>
          <w:rFonts w:ascii="宋体" w:hAnsi="宋体" w:eastAsia="宋体" w:cs="宋体"/>
          <w:color w:val="000000" w:themeColor="text1"/>
          <w:sz w:val="24"/>
          <w:szCs w:val="24"/>
          <w:lang w:eastAsia="zh-CN"/>
          <w14:textFill>
            <w14:solidFill>
              <w14:schemeClr w14:val="tx1"/>
            </w14:solidFill>
          </w14:textFill>
        </w:rPr>
        <w:t xml:space="preserve">分，评价结果为二星的扣</w:t>
      </w:r>
      <w:r>
        <w:rPr>
          <w:color w:val="000000" w:themeColor="text1"/>
          <w:sz w:val="24"/>
          <w:szCs w:val="24"/>
          <w:lang w:eastAsia="zh-CN"/>
          <w14:textFill>
            <w14:solidFill>
              <w14:schemeClr w14:val="tx1"/>
            </w14:solidFill>
          </w14:textFill>
        </w:rPr>
        <w:t xml:space="preserve">3 </w:t>
      </w:r>
      <w:r>
        <w:rPr>
          <w:rFonts w:ascii="宋体" w:hAnsi="宋体" w:eastAsia="宋体" w:cs="宋体"/>
          <w:color w:val="000000" w:themeColor="text1"/>
          <w:sz w:val="24"/>
          <w:szCs w:val="24"/>
          <w:lang w:eastAsia="zh-CN"/>
          <w14:textFill>
            <w14:solidFill>
              <w14:schemeClr w14:val="tx1"/>
            </w14:solidFill>
          </w14:textFill>
        </w:rPr>
        <w:t xml:space="preserve">分，评价结果为一星的扣</w:t>
      </w:r>
      <w:r>
        <w:rPr>
          <w:rFonts w:ascii="宋体" w:hAnsi="宋体" w:eastAsia="宋体" w:cs="宋体"/>
          <w:color w:val="000000" w:themeColor="text1"/>
          <w:spacing w:val="-56"/>
          <w:sz w:val="24"/>
          <w:szCs w:val="24"/>
          <w:lang w:eastAsia="zh-CN"/>
          <w14:textFill>
            <w14:solidFill>
              <w14:schemeClr w14:val="tx1"/>
            </w14:solidFill>
          </w14:textFill>
        </w:rPr>
        <w:t xml:space="preserve"> </w:t>
      </w:r>
      <w:r>
        <w:rPr>
          <w:color w:val="000000" w:themeColor="text1"/>
          <w:sz w:val="24"/>
          <w:szCs w:val="24"/>
          <w:lang w:eastAsia="zh-CN"/>
          <w14:textFill>
            <w14:solidFill>
              <w14:schemeClr w14:val="tx1"/>
            </w14:solidFill>
          </w14:textFill>
        </w:rPr>
        <w:t xml:space="preserve">4 </w:t>
      </w:r>
      <w:r>
        <w:rPr>
          <w:rFonts w:ascii="宋体" w:hAnsi="宋体" w:eastAsia="宋体" w:cs="宋体"/>
          <w:color w:val="000000" w:themeColor="text1"/>
          <w:sz w:val="24"/>
          <w:szCs w:val="24"/>
          <w:lang w:eastAsia="zh-CN"/>
          <w14:textFill>
            <w14:solidFill>
              <w14:schemeClr w14:val="tx1"/>
            </w14:solidFill>
          </w14:textFill>
        </w:rPr>
        <w:t xml:space="preserve">分。</w:t>
      </w:r>
      <w:r/>
    </w:p>
    <w:p>
      <w:pPr>
        <w:ind w:left="490"/>
        <w:spacing w:before="18" w:line="220" w:lineRule="auto"/>
        <w:rPr>
          <w:rFonts w:ascii="宋体" w:hAnsi="宋体" w:cs="宋体"/>
          <w:sz w:val="24"/>
          <w:szCs w:val="24"/>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14:textFill>
            <w14:solidFill>
              <w14:schemeClr w14:val="tx1"/>
            </w14:solidFill>
          </w14:textFill>
        </w:rPr>
        <w:t xml:space="preserve">评标办法和评标标准</w:t>
      </w:r>
      <w:r/>
    </w:p>
    <w:p>
      <w:pPr>
        <w:spacing w:line="111"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188"/>
        <w:tblW w:w="91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1"/>
        <w:gridCol w:w="686"/>
        <w:gridCol w:w="991"/>
        <w:gridCol w:w="6238"/>
        <w:gridCol w:w="700"/>
      </w:tblGrid>
      <w:tr>
        <w:trPr>
          <w:trHeight w:val="952"/>
        </w:trPr>
        <w:tc>
          <w:tcPr>
            <w:tcW w:w="561" w:type="dxa"/>
            <w:vAlign w:val="center"/>
            <w:textDirection w:val="tbRlV"/>
            <w:noWrap w:val="false"/>
          </w:tcPr>
          <w:p>
            <w:pPr>
              <w:pStyle w:val="1189"/>
              <w:ind w:left="228"/>
              <w:spacing w:before="172" w:line="211" w:lineRule="auto"/>
              <w:rPr>
                <w:color w:val="000000" w:themeColor="text1"/>
                <w:sz w:val="21"/>
                <w:szCs w:val="21"/>
                <w14:textFill>
                  <w14:solidFill>
                    <w14:schemeClr w14:val="tx1"/>
                  </w14:solidFill>
                </w14:textFill>
              </w:rPr>
            </w:pPr>
            <w:r>
              <w:rPr>
                <w:b/>
                <w:bCs/>
                <w:color w:val="000000" w:themeColor="text1"/>
                <w:spacing w:val="-2"/>
                <w:sz w:val="21"/>
                <w:szCs w:val="21"/>
                <w14:textFill>
                  <w14:solidFill>
                    <w14:schemeClr w14:val="tx1"/>
                  </w14:solidFill>
                </w14:textFill>
              </w:rPr>
              <w:t xml:space="preserve">序</w:t>
            </w:r>
            <w:r>
              <w:rPr>
                <w:color w:val="000000" w:themeColor="text1"/>
                <w:spacing w:val="-28"/>
                <w:sz w:val="21"/>
                <w:szCs w:val="21"/>
                <w14:textFill>
                  <w14:solidFill>
                    <w14:schemeClr w14:val="tx1"/>
                  </w14:solidFill>
                </w14:textFill>
              </w:rPr>
              <w:t xml:space="preserve"> </w:t>
            </w:r>
            <w:r>
              <w:rPr>
                <w:b/>
                <w:bCs/>
                <w:color w:val="000000" w:themeColor="text1"/>
                <w:spacing w:val="-2"/>
                <w:sz w:val="21"/>
                <w:szCs w:val="21"/>
                <w14:textFill>
                  <w14:solidFill>
                    <w14:schemeClr w14:val="tx1"/>
                  </w14:solidFill>
                </w14:textFill>
              </w:rPr>
              <w:t xml:space="preserve">号</w:t>
            </w:r>
            <w:r/>
          </w:p>
        </w:tc>
        <w:tc>
          <w:tcPr>
            <w:gridSpan w:val="2"/>
            <w:tcW w:w="1677" w:type="dxa"/>
            <w:vAlign w:val="center"/>
            <w:textDirection w:val="lrTb"/>
            <w:noWrap w:val="false"/>
          </w:tcPr>
          <w:p>
            <w:pPr>
              <w:pStyle w:val="1189"/>
              <w:ind w:left="646" w:right="627" w:hanging="17"/>
              <w:spacing w:before="228"/>
              <w:rPr>
                <w:color w:val="000000" w:themeColor="text1"/>
                <w:sz w:val="21"/>
                <w:szCs w:val="21"/>
                <w14:textFill>
                  <w14:solidFill>
                    <w14:schemeClr w14:val="tx1"/>
                  </w14:solidFill>
                </w14:textFill>
              </w:rPr>
            </w:pPr>
            <w:r>
              <w:rPr>
                <w:b/>
                <w:bCs/>
                <w:color w:val="000000" w:themeColor="text1"/>
                <w:spacing w:val="-5"/>
                <w:sz w:val="21"/>
                <w:szCs w:val="21"/>
                <w14:textFill>
                  <w14:solidFill>
                    <w14:schemeClr w14:val="tx1"/>
                  </w14:solidFill>
                </w14:textFill>
              </w:rPr>
              <w:t xml:space="preserve">评分</w:t>
            </w:r>
            <w:r>
              <w:rPr>
                <w:color w:val="000000" w:themeColor="text1"/>
                <w:sz w:val="21"/>
                <w:szCs w:val="21"/>
                <w14:textFill>
                  <w14:solidFill>
                    <w14:schemeClr w14:val="tx1"/>
                  </w14:solidFill>
                </w14:textFill>
              </w:rPr>
              <w:t xml:space="preserve"> </w:t>
            </w:r>
            <w:r>
              <w:rPr>
                <w:b/>
                <w:bCs/>
                <w:color w:val="000000" w:themeColor="text1"/>
                <w:spacing w:val="-14"/>
                <w:sz w:val="21"/>
                <w:szCs w:val="21"/>
                <w14:textFill>
                  <w14:solidFill>
                    <w14:schemeClr w14:val="tx1"/>
                  </w14:solidFill>
                </w14:textFill>
              </w:rPr>
              <w:t xml:space="preserve">因素</w:t>
            </w:r>
            <w:r/>
          </w:p>
        </w:tc>
        <w:tc>
          <w:tcPr>
            <w:tcBorders>
              <w:right w:val="single" w:color="000000" w:sz="4" w:space="0"/>
            </w:tcBorders>
            <w:tcW w:w="6238" w:type="dxa"/>
            <w:vAlign w:val="center"/>
            <w:textDirection w:val="lrTb"/>
            <w:noWrap w:val="false"/>
          </w:tcPr>
          <w:p>
            <w:pPr>
              <w:pStyle w:val="1189"/>
              <w:ind w:left="2702"/>
              <w:spacing w:before="69" w:line="221" w:lineRule="auto"/>
              <w:rPr>
                <w:color w:val="000000" w:themeColor="text1"/>
                <w:sz w:val="21"/>
                <w:szCs w:val="21"/>
                <w14:textFill>
                  <w14:solidFill>
                    <w14:schemeClr w14:val="tx1"/>
                  </w14:solidFill>
                </w14:textFill>
              </w:rPr>
            </w:pPr>
            <w:r>
              <w:rPr>
                <w:b/>
                <w:bCs/>
                <w:color w:val="000000" w:themeColor="text1"/>
                <w:spacing w:val="-3"/>
                <w:sz w:val="21"/>
                <w:szCs w:val="21"/>
                <w14:textFill>
                  <w14:solidFill>
                    <w14:schemeClr w14:val="tx1"/>
                  </w14:solidFill>
                </w14:textFill>
              </w:rPr>
              <w:t xml:space="preserve">评审标准</w:t>
            </w:r>
            <w:r/>
          </w:p>
        </w:tc>
        <w:tc>
          <w:tcPr>
            <w:tcBorders>
              <w:left w:val="single" w:color="000000" w:sz="4" w:space="0"/>
            </w:tcBorders>
            <w:tcW w:w="700" w:type="dxa"/>
            <w:vAlign w:val="center"/>
            <w:textDirection w:val="lrTb"/>
            <w:noWrap w:val="false"/>
          </w:tcPr>
          <w:p>
            <w:pPr>
              <w:pStyle w:val="1189"/>
              <w:ind w:left="145"/>
              <w:spacing w:before="68" w:line="221" w:lineRule="auto"/>
              <w:rPr>
                <w:color w:val="000000" w:themeColor="text1"/>
                <w:sz w:val="21"/>
                <w:szCs w:val="21"/>
                <w14:textFill>
                  <w14:solidFill>
                    <w14:schemeClr w14:val="tx1"/>
                  </w14:solidFill>
                </w14:textFill>
              </w:rPr>
            </w:pPr>
            <w:r>
              <w:rPr>
                <w:b/>
                <w:bCs/>
                <w:color w:val="000000" w:themeColor="text1"/>
                <w:spacing w:val="-5"/>
                <w:sz w:val="21"/>
                <w:szCs w:val="21"/>
                <w14:textFill>
                  <w14:solidFill>
                    <w14:schemeClr w14:val="tx1"/>
                  </w14:solidFill>
                </w14:textFill>
              </w:rPr>
              <w:t xml:space="preserve">分值</w:t>
            </w:r>
            <w:r/>
          </w:p>
        </w:tc>
      </w:tr>
      <w:tr>
        <w:trPr>
          <w:trHeight w:val="1204"/>
        </w:trPr>
        <w:tc>
          <w:tcPr>
            <w:tcW w:w="561" w:type="dxa"/>
            <w:vAlign w:val="center"/>
            <w:textDirection w:val="lrTb"/>
            <w:noWrap w:val="false"/>
          </w:tcPr>
          <w:p>
            <w:pPr>
              <w:spacing w:line="46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49"/>
              <w:spacing w:before="68" w:line="183"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p>
        </w:tc>
        <w:tc>
          <w:tcPr>
            <w:gridSpan w:val="2"/>
            <w:tcW w:w="1677" w:type="dxa"/>
            <w:vAlign w:val="center"/>
            <w:textDirection w:val="lrTb"/>
            <w:noWrap w:val="false"/>
          </w:tcPr>
          <w:p>
            <w:pPr>
              <w:spacing w:line="427"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422"/>
              <w:spacing w:before="68" w:line="219" w:lineRule="auto"/>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价格部分</w:t>
            </w:r>
            <w:r/>
          </w:p>
        </w:tc>
        <w:tc>
          <w:tcPr>
            <w:tcBorders>
              <w:right w:val="single" w:color="000000" w:sz="4" w:space="0"/>
            </w:tcBorders>
            <w:tcW w:w="6238" w:type="dxa"/>
            <w:vAlign w:val="center"/>
            <w:textDirection w:val="lrTb"/>
            <w:noWrap w:val="false"/>
          </w:tcPr>
          <w:p>
            <w:pPr>
              <w:pStyle w:val="1189"/>
              <w:ind w:left="111" w:right="98"/>
              <w:spacing w:before="63" w:line="239" w:lineRule="auto"/>
              <w:rPr>
                <w:color w:val="000000" w:themeColor="text1"/>
                <w:sz w:val="21"/>
                <w:szCs w:val="21"/>
                <w:lang w:eastAsia="zh-CN"/>
                <w14:textFill>
                  <w14:solidFill>
                    <w14:schemeClr w14:val="tx1"/>
                  </w14:solidFill>
                </w14:textFill>
              </w:rPr>
            </w:pPr>
            <w:r>
              <w:rPr>
                <w:color w:val="000000" w:themeColor="text1"/>
                <w:spacing w:val="-3"/>
                <w:sz w:val="21"/>
                <w:szCs w:val="21"/>
                <w:lang w:eastAsia="zh-CN"/>
                <w14:textFill>
                  <w14:solidFill>
                    <w14:schemeClr w14:val="tx1"/>
                  </w14:solidFill>
                </w14:textFill>
              </w:rPr>
              <w:t xml:space="preserve">采用低价优先法计算，即满足招标文件要求且投标价格最低的投标</w:t>
            </w:r>
            <w:r>
              <w:rPr>
                <w:color w:val="000000" w:themeColor="text1"/>
                <w:spacing w:val="-1"/>
                <w:sz w:val="21"/>
                <w:szCs w:val="21"/>
                <w:lang w:eastAsia="zh-CN"/>
                <w14:textFill>
                  <w14:solidFill>
                    <w14:schemeClr w14:val="tx1"/>
                  </w14:solidFill>
                </w14:textFill>
              </w:rPr>
              <w:t xml:space="preserve">报价为评标基准价，其价格分为满分。</w:t>
            </w:r>
            <w:r/>
          </w:p>
          <w:p>
            <w:pPr>
              <w:pStyle w:val="1189"/>
              <w:ind w:left="114" w:right="7" w:hanging="1"/>
              <w:spacing w:before="35" w:line="241"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t xml:space="preserve">其他满足招标文件要求的投标人的价格分统一按照下列公</w:t>
            </w:r>
            <w:r>
              <w:rPr>
                <w:color w:val="000000" w:themeColor="text1"/>
                <w:spacing w:val="-1"/>
                <w:sz w:val="21"/>
                <w:szCs w:val="21"/>
                <w:lang w:eastAsia="zh-CN"/>
                <w14:textFill>
                  <w14:solidFill>
                    <w14:schemeClr w14:val="tx1"/>
                  </w14:solidFill>
                </w14:textFill>
              </w:rPr>
              <w:t xml:space="preserve">式计算：</w:t>
            </w:r>
            <w:r>
              <w:rPr>
                <w:color w:val="000000" w:themeColor="text1"/>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投标报价得分= (评标基准价/投标报价)×</w:t>
            </w:r>
            <w:r>
              <w:rPr>
                <w:color w:val="000000" w:themeColor="text1"/>
                <w:spacing w:val="-84"/>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1</w:t>
            </w:r>
            <w:r>
              <w:rPr>
                <w:color w:val="000000" w:themeColor="text1"/>
                <w:spacing w:val="-4"/>
                <w:sz w:val="21"/>
                <w:szCs w:val="21"/>
                <w:lang w:eastAsia="zh-CN"/>
                <w14:textFill>
                  <w14:solidFill>
                    <w14:schemeClr w14:val="tx1"/>
                  </w14:solidFill>
                </w14:textFill>
              </w:rPr>
              <w:t xml:space="preserve">0（得分保留两位小数）</w:t>
            </w:r>
            <w:r/>
          </w:p>
        </w:tc>
        <w:tc>
          <w:tcPr>
            <w:tcBorders>
              <w:left w:val="single" w:color="000000" w:sz="4" w:space="0"/>
            </w:tcBorders>
            <w:tcW w:w="700" w:type="dxa"/>
            <w:vAlign w:val="center"/>
            <w:textDirection w:val="lrTb"/>
            <w:noWrap w:val="false"/>
          </w:tcPr>
          <w:p>
            <w:pPr>
              <w:pStyle w:val="1189"/>
              <w:ind w:left="263"/>
              <w:spacing w:before="68" w:line="183" w:lineRule="auto"/>
              <w:rPr>
                <w:color w:val="000000" w:themeColor="text1"/>
                <w:sz w:val="21"/>
                <w:szCs w:val="21"/>
                <w14:textFill>
                  <w14:solidFill>
                    <w14:schemeClr w14:val="tx1"/>
                  </w14:solidFill>
                </w14:textFill>
              </w:rPr>
            </w:pPr>
            <w:r>
              <w:rPr>
                <w:color w:val="000000" w:themeColor="text1"/>
                <w:spacing w:val="-12"/>
                <w:sz w:val="21"/>
                <w:szCs w:val="21"/>
                <w14:textFill>
                  <w14:solidFill>
                    <w14:schemeClr w14:val="tx1"/>
                  </w14:solidFill>
                </w14:textFill>
              </w:rPr>
              <w:t xml:space="preserve">10</w:t>
            </w:r>
            <w:r/>
          </w:p>
        </w:tc>
      </w:tr>
      <w:tr>
        <w:trPr>
          <w:trHeight w:val="1363"/>
        </w:trPr>
        <w:tc>
          <w:tcPr>
            <w:tcW w:w="561" w:type="dxa"/>
            <w:vAlign w:val="center"/>
            <w:textDirection w:val="lrTb"/>
            <w:noWrap w:val="false"/>
          </w:tcPr>
          <w:p>
            <w:pPr>
              <w:spacing w:line="255"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36"/>
              <w:spacing w:before="68" w:line="18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p>
        </w:tc>
        <w:tc>
          <w:tcPr>
            <w:tcBorders>
              <w:bottom w:val="none" w:color="000000" w:sz="4" w:space="0"/>
            </w:tcBorders>
            <w:tcW w:w="686" w:type="dxa"/>
            <w:vAlign w:val="center"/>
            <w:vMerge w:val="restart"/>
            <w:textDirection w:val="lrTb"/>
            <w:noWrap w:val="false"/>
          </w:tcPr>
          <w:p>
            <w:pPr>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38" w:right="131" w:firstLine="1"/>
              <w:spacing w:before="68" w:line="242" w:lineRule="auto"/>
              <w:rPr>
                <w:color w:val="000000" w:themeColor="text1"/>
                <w:sz w:val="21"/>
                <w:szCs w:val="21"/>
                <w14:textFill>
                  <w14:solidFill>
                    <w14:schemeClr w14:val="tx1"/>
                  </w14:solidFill>
                </w14:textFill>
              </w:rPr>
            </w:pPr>
            <w:r>
              <w:rPr>
                <w:color w:val="000000" w:themeColor="text1"/>
                <w:spacing w:val="-6"/>
                <w:sz w:val="21"/>
                <w:szCs w:val="21"/>
                <w14:textFill>
                  <w14:solidFill>
                    <w14:schemeClr w14:val="tx1"/>
                  </w14:solidFill>
                </w14:textFill>
              </w:rPr>
              <w:t xml:space="preserve">商务</w:t>
            </w:r>
            <w:r>
              <w:rPr>
                <w:color w:val="000000" w:themeColor="text1"/>
                <w:sz w:val="21"/>
                <w:szCs w:val="21"/>
                <w14:textFill>
                  <w14:solidFill>
                    <w14:schemeClr w14:val="tx1"/>
                  </w14:solidFill>
                </w14:textFill>
              </w:rPr>
              <w:t xml:space="preserve"> </w:t>
            </w:r>
            <w:r>
              <w:rPr>
                <w:color w:val="000000" w:themeColor="text1"/>
                <w:spacing w:val="-5"/>
                <w:sz w:val="21"/>
                <w:szCs w:val="21"/>
                <w14:textFill>
                  <w14:solidFill>
                    <w14:schemeClr w14:val="tx1"/>
                  </w14:solidFill>
                </w14:textFill>
              </w:rPr>
              <w:t xml:space="preserve">部分</w:t>
            </w:r>
            <w:r/>
          </w:p>
        </w:tc>
        <w:tc>
          <w:tcPr>
            <w:tcW w:w="991" w:type="dxa"/>
            <w:vAlign w:val="center"/>
            <w:textDirection w:val="lrTb"/>
            <w:noWrap w:val="false"/>
          </w:tcPr>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395" w:right="178" w:hanging="212"/>
              <w:spacing w:before="68" w:line="242" w:lineRule="auto"/>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 xml:space="preserve">经营业</w:t>
            </w:r>
            <w:r>
              <w:rPr>
                <w:color w:val="000000" w:themeColor="text1"/>
                <w:spacing w:val="1"/>
                <w:sz w:val="21"/>
                <w:szCs w:val="21"/>
                <w14:textFill>
                  <w14:solidFill>
                    <w14:schemeClr w14:val="tx1"/>
                  </w14:solidFill>
                </w14:textFill>
              </w:rPr>
              <w:t xml:space="preserve"> </w:t>
            </w:r>
            <w:r>
              <w:rPr>
                <w:color w:val="000000" w:themeColor="text1"/>
                <w:sz w:val="21"/>
                <w:szCs w:val="21"/>
                <w14:textFill>
                  <w14:solidFill>
                    <w14:schemeClr w14:val="tx1"/>
                  </w14:solidFill>
                </w14:textFill>
              </w:rPr>
              <w:t xml:space="preserve">绩</w:t>
            </w:r>
            <w:r/>
          </w:p>
        </w:tc>
        <w:tc>
          <w:tcPr>
            <w:tcBorders>
              <w:right w:val="single" w:color="000000" w:sz="4" w:space="0"/>
            </w:tcBorders>
            <w:tcW w:w="6238" w:type="dxa"/>
            <w:vAlign w:val="center"/>
            <w:textDirection w:val="lrTb"/>
            <w:noWrap w:val="false"/>
          </w:tcPr>
          <w:p>
            <w:pPr>
              <w:pStyle w:val="1189"/>
              <w:ind w:left="116" w:right="451" w:firstLine="12"/>
              <w:spacing w:before="42" w:line="238" w:lineRule="auto"/>
              <w:rPr>
                <w:color w:val="000000" w:themeColor="text1"/>
                <w:sz w:val="21"/>
                <w:szCs w:val="21"/>
                <w14:textFill>
                  <w14:solidFill>
                    <w14:schemeClr w14:val="tx1"/>
                  </w14:solidFill>
                </w14:textFill>
              </w:rPr>
            </w:pPr>
            <w:r>
              <w:rPr>
                <w:color w:val="000000" w:themeColor="text1"/>
                <w:spacing w:val="-2"/>
                <w:sz w:val="21"/>
                <w:szCs w:val="21"/>
                <w:lang w:eastAsia="zh-CN"/>
                <w14:textFill>
                  <w14:solidFill>
                    <w14:schemeClr w14:val="tx1"/>
                  </w14:solidFill>
                </w14:textFill>
              </w:rPr>
              <w:t xml:space="preserve">投标人具备自</w:t>
            </w:r>
            <w:r>
              <w:rPr>
                <w:color w:val="000000" w:themeColor="text1"/>
                <w:spacing w:val="-42"/>
                <w:sz w:val="21"/>
                <w:szCs w:val="21"/>
                <w:lang w:eastAsia="zh-CN"/>
                <w14:textFill>
                  <w14:solidFill>
                    <w14:schemeClr w14:val="tx1"/>
                  </w14:solidFill>
                </w14:textFill>
              </w:rPr>
              <w:t xml:space="preserve"> </w:t>
            </w:r>
            <w:r>
              <w:rPr>
                <w:color w:val="000000" w:themeColor="text1"/>
                <w:spacing w:val="-2"/>
                <w:sz w:val="21"/>
                <w:szCs w:val="21"/>
                <w:lang w:eastAsia="zh-CN"/>
                <w14:textFill>
                  <w14:solidFill>
                    <w14:schemeClr w14:val="tx1"/>
                  </w14:solidFill>
                </w14:textFill>
              </w:rPr>
              <w:t xml:space="preserve">2021</w:t>
            </w:r>
            <w:r>
              <w:rPr>
                <w:color w:val="000000" w:themeColor="text1"/>
                <w:spacing w:val="-45"/>
                <w:sz w:val="21"/>
                <w:szCs w:val="21"/>
                <w:lang w:eastAsia="zh-CN"/>
                <w14:textFill>
                  <w14:solidFill>
                    <w14:schemeClr w14:val="tx1"/>
                  </w14:solidFill>
                </w14:textFill>
              </w:rPr>
              <w:t xml:space="preserve"> </w:t>
            </w:r>
            <w:r>
              <w:rPr>
                <w:color w:val="000000" w:themeColor="text1"/>
                <w:spacing w:val="-2"/>
                <w:sz w:val="21"/>
                <w:szCs w:val="21"/>
                <w:lang w:eastAsia="zh-CN"/>
                <w14:textFill>
                  <w14:solidFill>
                    <w14:schemeClr w14:val="tx1"/>
                  </w14:solidFill>
                </w14:textFill>
              </w:rPr>
              <w:t xml:space="preserve">年</w:t>
            </w:r>
            <w:r>
              <w:rPr>
                <w:color w:val="000000" w:themeColor="text1"/>
                <w:spacing w:val="-45"/>
                <w:sz w:val="21"/>
                <w:szCs w:val="21"/>
                <w:lang w:eastAsia="zh-CN"/>
                <w14:textFill>
                  <w14:solidFill>
                    <w14:schemeClr w14:val="tx1"/>
                  </w14:solidFill>
                </w14:textFill>
              </w:rPr>
              <w:t xml:space="preserve"> </w:t>
            </w:r>
            <w:r>
              <w:rPr>
                <w:color w:val="000000" w:themeColor="text1"/>
                <w:spacing w:val="-2"/>
                <w:sz w:val="21"/>
                <w:szCs w:val="21"/>
                <w:lang w:eastAsia="zh-CN"/>
                <w14:textFill>
                  <w14:solidFill>
                    <w14:schemeClr w14:val="tx1"/>
                  </w14:solidFill>
                </w14:textFill>
              </w:rPr>
              <w:t xml:space="preserve">6</w:t>
            </w:r>
            <w:r>
              <w:rPr>
                <w:color w:val="000000" w:themeColor="text1"/>
                <w:spacing w:val="-39"/>
                <w:sz w:val="21"/>
                <w:szCs w:val="21"/>
                <w:lang w:eastAsia="zh-CN"/>
                <w14:textFill>
                  <w14:solidFill>
                    <w14:schemeClr w14:val="tx1"/>
                  </w14:solidFill>
                </w14:textFill>
              </w:rPr>
              <w:t xml:space="preserve"> </w:t>
            </w:r>
            <w:r>
              <w:rPr>
                <w:color w:val="000000" w:themeColor="text1"/>
                <w:spacing w:val="-2"/>
                <w:sz w:val="21"/>
                <w:szCs w:val="21"/>
                <w:lang w:eastAsia="zh-CN"/>
                <w14:textFill>
                  <w14:solidFill>
                    <w14:schemeClr w14:val="tx1"/>
                  </w14:solidFill>
                </w14:textFill>
              </w:rPr>
              <w:t xml:space="preserve">月至今已完成的软件开发类项目业绩</w:t>
            </w:r>
            <w:r>
              <w:rPr>
                <w:rFonts w:hint="eastAsia"/>
                <w:color w:val="000000" w:themeColor="text1"/>
                <w:spacing w:val="-3"/>
                <w:sz w:val="21"/>
                <w:szCs w:val="21"/>
                <w:lang w:eastAsia="zh-CN"/>
                <w14:textFill>
                  <w14:solidFill>
                    <w14:schemeClr w14:val="tx1"/>
                  </w14:solidFill>
                </w14:textFill>
              </w:rPr>
              <w:t xml:space="preserve">，</w:t>
            </w:r>
            <w:r>
              <w:rPr>
                <w:color w:val="000000" w:themeColor="text1"/>
                <w:spacing w:val="-3"/>
                <w:sz w:val="21"/>
                <w:szCs w:val="21"/>
                <w:lang w:eastAsia="zh-CN"/>
                <w14:textFill>
                  <w14:solidFill>
                    <w14:schemeClr w14:val="tx1"/>
                  </w14:solidFill>
                </w14:textFill>
              </w:rPr>
              <w:t xml:space="preserve">每提供一个符合要求的业绩得</w:t>
            </w:r>
            <w:r>
              <w:rPr>
                <w:rFonts w:hint="eastAsia"/>
                <w:color w:val="000000" w:themeColor="text1"/>
                <w:spacing w:val="-44"/>
                <w:sz w:val="21"/>
                <w:szCs w:val="21"/>
                <w:lang w:eastAsia="zh-CN"/>
                <w14:textFill>
                  <w14:solidFill>
                    <w14:schemeClr w14:val="tx1"/>
                  </w14:solidFill>
                </w14:textFill>
              </w:rPr>
              <w:t xml:space="preserve">3</w:t>
            </w:r>
            <w:r>
              <w:rPr>
                <w:color w:val="000000" w:themeColor="text1"/>
                <w:spacing w:val="-3"/>
                <w:sz w:val="21"/>
                <w:szCs w:val="21"/>
                <w:lang w:eastAsia="zh-CN"/>
                <w14:textFill>
                  <w14:solidFill>
                    <w14:schemeClr w14:val="tx1"/>
                  </w14:solidFill>
                </w14:textFill>
              </w:rPr>
              <w:t xml:space="preserve">分，此项</w:t>
            </w:r>
            <w:r>
              <w:rPr>
                <w:color w:val="000000" w:themeColor="text1"/>
                <w:spacing w:val="-4"/>
                <w:sz w:val="21"/>
                <w:szCs w:val="21"/>
                <w:lang w:eastAsia="zh-CN"/>
                <w14:textFill>
                  <w14:solidFill>
                    <w14:schemeClr w14:val="tx1"/>
                  </w14:solidFill>
                </w14:textFill>
              </w:rPr>
              <w:t xml:space="preserve">最高得</w:t>
            </w:r>
            <w:r>
              <w:rPr>
                <w:color w:val="000000" w:themeColor="text1"/>
                <w:spacing w:val="-40"/>
                <w:sz w:val="21"/>
                <w:szCs w:val="21"/>
                <w:lang w:eastAsia="zh-CN"/>
                <w14:textFill>
                  <w14:solidFill>
                    <w14:schemeClr w14:val="tx1"/>
                  </w14:solidFill>
                </w14:textFill>
              </w:rPr>
              <w:t xml:space="preserve"> </w:t>
            </w:r>
            <w:r>
              <w:rPr>
                <w:rFonts w:hint="eastAsia"/>
                <w:color w:val="000000" w:themeColor="text1"/>
                <w:spacing w:val="-4"/>
                <w:sz w:val="21"/>
                <w:szCs w:val="21"/>
                <w:lang w:eastAsia="zh-CN"/>
                <w14:textFill>
                  <w14:solidFill>
                    <w14:schemeClr w14:val="tx1"/>
                  </w14:solidFill>
                </w14:textFill>
              </w:rPr>
              <w:t xml:space="preserve">15</w:t>
            </w:r>
            <w:r>
              <w:rPr>
                <w:color w:val="000000" w:themeColor="text1"/>
                <w:spacing w:val="-4"/>
                <w:sz w:val="21"/>
                <w:szCs w:val="21"/>
                <w:lang w:eastAsia="zh-CN"/>
                <w14:textFill>
                  <w14:solidFill>
                    <w14:schemeClr w14:val="tx1"/>
                  </w14:solidFill>
                </w14:textFill>
              </w:rPr>
              <w:t xml:space="preserve">分；</w:t>
            </w:r>
            <w:r>
              <w:rPr>
                <w:color w:val="000000" w:themeColor="text1"/>
                <w:sz w:val="21"/>
                <w:szCs w:val="21"/>
                <w:lang w:eastAsia="zh-CN"/>
                <w14:textFill>
                  <w14:solidFill>
                    <w14:schemeClr w14:val="tx1"/>
                  </w14:solidFill>
                </w14:textFill>
              </w:rPr>
              <w:t xml:space="preserve">【注：投标人针对每项业绩需同时提供项目案例合同复印件，并加盖单位公章，时间、内容以合同签订为</w:t>
            </w:r>
            <w:r>
              <w:rPr>
                <w:color w:val="000000" w:themeColor="text1"/>
                <w:spacing w:val="-1"/>
                <w:sz w:val="21"/>
                <w:szCs w:val="21"/>
                <w:lang w:eastAsia="zh-CN"/>
                <w14:textFill>
                  <w14:solidFill>
                    <w14:schemeClr w14:val="tx1"/>
                  </w14:solidFill>
                </w14:textFill>
              </w:rPr>
              <w:t xml:space="preserve">准，两项</w:t>
            </w:r>
            <w:r>
              <w:rPr>
                <w:color w:val="000000" w:themeColor="text1"/>
                <w:spacing w:val="-5"/>
                <w:sz w:val="21"/>
                <w:szCs w:val="21"/>
                <w:lang w:eastAsia="zh-CN"/>
                <w14:textFill>
                  <w14:solidFill>
                    <w14:schemeClr w14:val="tx1"/>
                  </w14:solidFill>
                </w14:textFill>
              </w:rPr>
              <w:t xml:space="preserve">材料需同时提供，不得重复，未提供或提供不全不得分。</w:t>
            </w:r>
            <w:r>
              <w:rPr>
                <w:color w:val="000000" w:themeColor="text1"/>
                <w:spacing w:val="-5"/>
                <w:sz w:val="21"/>
                <w:szCs w:val="21"/>
                <w14:textFill>
                  <w14:solidFill>
                    <w14:schemeClr w14:val="tx1"/>
                  </w14:solidFill>
                </w14:textFill>
              </w:rPr>
              <w:t xml:space="preserve">】</w:t>
            </w:r>
            <w:r/>
          </w:p>
        </w:tc>
        <w:tc>
          <w:tcPr>
            <w:tcBorders>
              <w:left w:val="single" w:color="000000" w:sz="4" w:space="0"/>
            </w:tcBorders>
            <w:tcW w:w="700" w:type="dxa"/>
            <w:vAlign w:val="center"/>
            <w:textDirection w:val="lrTb"/>
            <w:noWrap w:val="false"/>
          </w:tcPr>
          <w:p>
            <w:pPr>
              <w:pStyle w:val="1189"/>
              <w:jc w:val="center"/>
              <w:spacing w:line="183"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15</w:t>
            </w:r>
            <w:r/>
          </w:p>
        </w:tc>
      </w:tr>
      <w:tr>
        <w:trPr>
          <w:trHeight w:val="4940"/>
        </w:trPr>
        <w:tc>
          <w:tcPr>
            <w:tcW w:w="561" w:type="dxa"/>
            <w:vAlign w:val="center"/>
            <w:textDirection w:val="lrTb"/>
            <w:noWrap w:val="false"/>
          </w:tcPr>
          <w:p>
            <w:pPr>
              <w:pStyle w:val="1189"/>
              <w:ind w:left="237"/>
              <w:spacing w:before="69" w:line="18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w:t>
            </w:r>
            <w:r/>
          </w:p>
        </w:tc>
        <w:tc>
          <w:tcPr>
            <w:tcBorders>
              <w:top w:val="none" w:color="000000" w:sz="4" w:space="0"/>
            </w:tcBorders>
            <w:tcW w:w="686" w:type="dxa"/>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Align w:val="center"/>
            <w:textDirection w:val="lrTb"/>
            <w:noWrap w:val="false"/>
          </w:tcPr>
          <w:p>
            <w:pPr>
              <w:pStyle w:val="1189"/>
              <w:ind w:left="183" w:right="178" w:firstLine="1"/>
              <w:spacing w:before="68" w:line="242" w:lineRule="auto"/>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 xml:space="preserve">企业服</w:t>
            </w:r>
            <w:r>
              <w:rPr>
                <w:color w:val="000000" w:themeColor="text1"/>
                <w:sz w:val="21"/>
                <w:szCs w:val="21"/>
                <w14:textFill>
                  <w14:solidFill>
                    <w14:schemeClr w14:val="tx1"/>
                  </w14:solidFill>
                </w14:textFill>
              </w:rPr>
              <w:t xml:space="preserve"> </w:t>
            </w:r>
            <w:r>
              <w:rPr>
                <w:color w:val="000000" w:themeColor="text1"/>
                <w:spacing w:val="-3"/>
                <w:sz w:val="21"/>
                <w:szCs w:val="21"/>
                <w14:textFill>
                  <w14:solidFill>
                    <w14:schemeClr w14:val="tx1"/>
                  </w14:solidFill>
                </w14:textFill>
              </w:rPr>
              <w:t xml:space="preserve">务能力</w:t>
            </w:r>
            <w:r/>
          </w:p>
        </w:tc>
        <w:tc>
          <w:tcPr>
            <w:tcBorders>
              <w:right w:val="single" w:color="000000" w:sz="4" w:space="0"/>
            </w:tcBorders>
            <w:tcW w:w="6238" w:type="dxa"/>
            <w:vAlign w:val="center"/>
            <w:textDirection w:val="lrTb"/>
            <w:noWrap w:val="false"/>
          </w:tcPr>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rFonts w:hint="eastAsia"/>
                <w:color w:val="000000" w:themeColor="text1"/>
                <w:spacing w:val="-5"/>
                <w:sz w:val="21"/>
                <w:szCs w:val="21"/>
                <w:lang w:eastAsia="zh-CN"/>
                <w14:textFill>
                  <w14:solidFill>
                    <w14:schemeClr w14:val="tx1"/>
                  </w14:solidFill>
                </w14:textFill>
              </w:rPr>
              <w:t xml:space="preserve">1、</w:t>
            </w:r>
            <w:bookmarkStart w:id="179" w:name="OLE_LINK2"/>
            <w:r/>
            <w:bookmarkStart w:id="180" w:name="OLE_LINK1"/>
            <w:r>
              <w:rPr>
                <w:rFonts w:hint="eastAsia"/>
                <w:color w:val="000000" w:themeColor="text1"/>
                <w:spacing w:val="-5"/>
                <w:sz w:val="21"/>
                <w:szCs w:val="21"/>
                <w:lang w:eastAsia="zh-CN"/>
                <w14:textFill>
                  <w14:solidFill>
                    <w14:schemeClr w14:val="tx1"/>
                  </w14:solidFill>
                </w14:textFill>
              </w:rPr>
              <w:t xml:space="preserve">信息化工程与技术服务能力评价</w:t>
            </w:r>
            <w:bookmarkEnd w:id="179"/>
            <w:r/>
            <w:bookmarkEnd w:id="180"/>
            <w:r>
              <w:rPr>
                <w:rFonts w:hint="eastAsia"/>
                <w:color w:val="000000" w:themeColor="text1"/>
                <w:spacing w:val="-5"/>
                <w:sz w:val="21"/>
                <w:szCs w:val="21"/>
                <w:lang w:eastAsia="zh-CN"/>
                <w14:textFill>
                  <w14:solidFill>
                    <w14:schemeClr w14:val="tx1"/>
                  </w14:solidFill>
                </w14:textFill>
              </w:rPr>
              <w:t xml:space="preserve">（CN-IETS）证书得2分，不提供不得分</w:t>
            </w:r>
            <w:r/>
          </w:p>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rFonts w:hint="eastAsia"/>
                <w:color w:val="000000" w:themeColor="text1"/>
                <w:spacing w:val="-5"/>
                <w:sz w:val="21"/>
                <w:szCs w:val="21"/>
                <w:lang w:eastAsia="zh-CN"/>
                <w14:textFill>
                  <w14:solidFill>
                    <w14:schemeClr w14:val="tx1"/>
                  </w14:solidFill>
                </w14:textFill>
              </w:rPr>
              <w:t xml:space="preserve">2、</w:t>
            </w:r>
            <w:r>
              <w:rPr>
                <w:color w:val="000000" w:themeColor="text1"/>
                <w:spacing w:val="-5"/>
                <w:sz w:val="21"/>
                <w:szCs w:val="21"/>
                <w:lang w:eastAsia="zh-CN"/>
                <w14:textFill>
                  <w14:solidFill>
                    <w14:schemeClr w14:val="tx1"/>
                  </w14:solidFill>
                </w14:textFill>
              </w:rPr>
              <w:t xml:space="preserve">投标人大数据服务安全能力评价认证证书</w:t>
            </w:r>
            <w:r>
              <w:rPr>
                <w:rFonts w:hint="eastAsia"/>
                <w:color w:val="000000" w:themeColor="text1"/>
                <w:spacing w:val="-5"/>
                <w:sz w:val="21"/>
                <w:szCs w:val="21"/>
                <w:lang w:eastAsia="zh-CN"/>
                <w14:textFill>
                  <w14:solidFill>
                    <w14:schemeClr w14:val="tx1"/>
                  </w14:solidFill>
                </w14:textFill>
              </w:rPr>
              <w:t xml:space="preserve">（GB/T35274&amp;GB/T37973）的得2分，其余不得分。</w:t>
            </w:r>
            <w:r/>
          </w:p>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rFonts w:hint="eastAsia"/>
                <w:color w:val="000000" w:themeColor="text1"/>
                <w:spacing w:val="-5"/>
                <w:sz w:val="21"/>
                <w:szCs w:val="21"/>
                <w:lang w:eastAsia="zh-CN"/>
                <w14:textFill>
                  <w14:solidFill>
                    <w14:schemeClr w14:val="tx1"/>
                  </w14:solidFill>
                </w14:textFill>
              </w:rPr>
              <w:t xml:space="preserve">3、</w:t>
            </w:r>
            <w:r>
              <w:rPr>
                <w:color w:val="000000" w:themeColor="text1"/>
                <w:spacing w:val="-5"/>
                <w:sz w:val="21"/>
                <w:szCs w:val="21"/>
                <w:lang w:eastAsia="zh-CN"/>
                <w14:textFill>
                  <w14:solidFill>
                    <w14:schemeClr w14:val="tx1"/>
                  </w14:solidFill>
                </w14:textFill>
              </w:rPr>
              <w:t xml:space="preserve">投标人获得</w:t>
            </w:r>
            <w:r>
              <w:rPr>
                <w:rFonts w:hint="eastAsia"/>
                <w:color w:val="000000" w:themeColor="text1"/>
                <w:spacing w:val="-5"/>
                <w:sz w:val="21"/>
                <w:szCs w:val="21"/>
                <w:lang w:eastAsia="zh-CN"/>
                <w14:textFill>
                  <w14:solidFill>
                    <w14:schemeClr w14:val="tx1"/>
                  </w14:solidFill>
                </w14:textFill>
              </w:rPr>
              <w:t xml:space="preserve">售后服务认证证书（GB/T 27922-2011）五星级得2分，其余不得分</w:t>
            </w:r>
            <w:r/>
          </w:p>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rFonts w:hint="eastAsia"/>
                <w:color w:val="000000" w:themeColor="text1"/>
                <w:spacing w:val="-5"/>
                <w:sz w:val="21"/>
                <w:szCs w:val="21"/>
                <w:lang w:eastAsia="zh-CN"/>
                <w14:textFill>
                  <w14:solidFill>
                    <w14:schemeClr w14:val="tx1"/>
                  </w14:solidFill>
                </w14:textFill>
              </w:rPr>
              <w:t xml:space="preserve">4</w:t>
            </w:r>
            <w:r>
              <w:rPr>
                <w:color w:val="000000" w:themeColor="text1"/>
                <w:spacing w:val="-5"/>
                <w:sz w:val="21"/>
                <w:szCs w:val="21"/>
                <w:lang w:eastAsia="zh-CN"/>
                <w14:textFill>
                  <w14:solidFill>
                    <w14:schemeClr w14:val="tx1"/>
                  </w14:solidFill>
                </w14:textFill>
              </w:rPr>
              <w:t xml:space="preserve">、投标人具有中国网络安全审查技术与认证中心颁发的下列信息安全服务资质认证证书（CCRC）：</w:t>
            </w:r>
            <w:r>
              <w:rPr>
                <w:rFonts w:hint="eastAsia"/>
                <w:color w:val="000000" w:themeColor="text1"/>
                <w:spacing w:val="-5"/>
                <w:sz w:val="21"/>
                <w:szCs w:val="21"/>
                <w:lang w:eastAsia="zh-CN"/>
                <w14:textFill>
                  <w14:solidFill>
                    <w14:schemeClr w14:val="tx1"/>
                  </w14:solidFill>
                </w14:textFill>
              </w:rPr>
              <w:t xml:space="preserve">（</w:t>
            </w:r>
            <w:r>
              <w:rPr>
                <w:color w:val="000000" w:themeColor="text1"/>
                <w:spacing w:val="-5"/>
                <w:sz w:val="21"/>
                <w:szCs w:val="21"/>
                <w:lang w:eastAsia="zh-CN"/>
                <w14:textFill>
                  <w14:solidFill>
                    <w14:schemeClr w14:val="tx1"/>
                  </w14:solidFill>
                </w14:textFill>
              </w:rPr>
              <w:t xml:space="preserve">1</w:t>
            </w:r>
            <w:r>
              <w:rPr>
                <w:rFonts w:hint="eastAsia"/>
                <w:color w:val="000000" w:themeColor="text1"/>
                <w:spacing w:val="-5"/>
                <w:sz w:val="21"/>
                <w:szCs w:val="21"/>
                <w:lang w:eastAsia="zh-CN"/>
                <w14:textFill>
                  <w14:solidFill>
                    <w14:schemeClr w14:val="tx1"/>
                  </w14:solidFill>
                </w14:textFill>
              </w:rPr>
              <w:t xml:space="preserve">)</w:t>
            </w:r>
            <w:r>
              <w:rPr>
                <w:color w:val="000000" w:themeColor="text1"/>
                <w:spacing w:val="-5"/>
                <w:sz w:val="21"/>
                <w:szCs w:val="21"/>
                <w:lang w:eastAsia="zh-CN"/>
                <w14:textFill>
                  <w14:solidFill>
                    <w14:schemeClr w14:val="tx1"/>
                  </w14:solidFill>
                </w14:textFill>
              </w:rPr>
              <w:t xml:space="preserve">信息系统安全集成、（2）</w:t>
            </w:r>
            <w:r>
              <w:rPr>
                <w:rFonts w:hint="eastAsia"/>
                <w:color w:val="000000" w:themeColor="text1"/>
                <w:spacing w:val="-5"/>
                <w:sz w:val="21"/>
                <w:szCs w:val="21"/>
                <w:lang w:eastAsia="zh-CN"/>
                <w14:textFill>
                  <w14:solidFill>
                    <w14:schemeClr w14:val="tx1"/>
                  </w14:solidFill>
                </w14:textFill>
              </w:rPr>
              <w:t xml:space="preserve">信息系统</w:t>
            </w:r>
            <w:r>
              <w:rPr>
                <w:color w:val="000000" w:themeColor="text1"/>
                <w:spacing w:val="-5"/>
                <w:sz w:val="21"/>
                <w:szCs w:val="21"/>
                <w:lang w:eastAsia="zh-CN"/>
                <w14:textFill>
                  <w14:solidFill>
                    <w14:schemeClr w14:val="tx1"/>
                  </w14:solidFill>
                </w14:textFill>
              </w:rPr>
              <w:t xml:space="preserve">安全运维、（3）</w:t>
            </w:r>
            <w:r>
              <w:rPr>
                <w:rFonts w:hint="eastAsia"/>
                <w:color w:val="000000" w:themeColor="text1"/>
                <w:spacing w:val="-5"/>
                <w:sz w:val="21"/>
                <w:szCs w:val="21"/>
                <w:lang w:eastAsia="zh-CN"/>
                <w14:textFill>
                  <w14:solidFill>
                    <w14:schemeClr w14:val="tx1"/>
                  </w14:solidFill>
                </w14:textFill>
              </w:rPr>
              <w:t xml:space="preserve">软件安全开发</w:t>
            </w:r>
            <w:r>
              <w:rPr>
                <w:color w:val="000000" w:themeColor="text1"/>
                <w:spacing w:val="-5"/>
                <w:sz w:val="21"/>
                <w:szCs w:val="21"/>
                <w:lang w:eastAsia="zh-CN"/>
                <w14:textFill>
                  <w14:solidFill>
                    <w14:schemeClr w14:val="tx1"/>
                  </w14:solidFill>
                </w14:textFill>
              </w:rPr>
              <w:t xml:space="preserve">、（4）信息安全风险评估，每提供一项证书得 1分，不提供不得分。本项满分 </w:t>
            </w:r>
            <w:r>
              <w:rPr>
                <w:rFonts w:hint="eastAsia"/>
                <w:color w:val="000000" w:themeColor="text1"/>
                <w:spacing w:val="-5"/>
                <w:sz w:val="21"/>
                <w:szCs w:val="21"/>
                <w:lang w:eastAsia="zh-CN"/>
                <w14:textFill>
                  <w14:solidFill>
                    <w14:schemeClr w14:val="tx1"/>
                  </w14:solidFill>
                </w14:textFill>
              </w:rPr>
              <w:t xml:space="preserve">4 </w:t>
            </w:r>
            <w:r>
              <w:rPr>
                <w:color w:val="000000" w:themeColor="text1"/>
                <w:spacing w:val="-5"/>
                <w:sz w:val="21"/>
                <w:szCs w:val="21"/>
                <w:lang w:eastAsia="zh-CN"/>
                <w14:textFill>
                  <w14:solidFill>
                    <w14:schemeClr w14:val="tx1"/>
                  </w14:solidFill>
                </w14:textFill>
              </w:rPr>
              <w:t xml:space="preserve">分。</w:t>
            </w:r>
            <w:r/>
          </w:p>
          <w:p>
            <w:pPr>
              <w:pStyle w:val="1189"/>
              <w:ind w:left="116" w:right="451" w:firstLine="12"/>
              <w:spacing w:before="42" w:line="238" w:lineRule="auto"/>
              <w:rPr>
                <w:color w:val="000000" w:themeColor="text1"/>
                <w:sz w:val="21"/>
                <w:szCs w:val="21"/>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【提供相关证书复印件并加盖投标单位公章，未提供的不得分。】</w:t>
            </w:r>
            <w:r/>
          </w:p>
        </w:tc>
        <w:tc>
          <w:tcPr>
            <w:tcBorders>
              <w:left w:val="single" w:color="000000" w:sz="4" w:space="0"/>
            </w:tcBorders>
            <w:tcW w:w="700" w:type="dxa"/>
            <w:vAlign w:val="center"/>
            <w:textDirection w:val="lrTb"/>
            <w:noWrap w:val="false"/>
          </w:tcPr>
          <w:p>
            <w:pPr>
              <w:pStyle w:val="1189"/>
              <w:ind w:left="263"/>
              <w:spacing w:before="68" w:line="183" w:lineRule="auto"/>
              <w:rPr>
                <w:color w:val="000000" w:themeColor="text1"/>
                <w:sz w:val="21"/>
                <w:szCs w:val="21"/>
                <w:lang w:eastAsia="zh-CN"/>
                <w14:textFill>
                  <w14:solidFill>
                    <w14:schemeClr w14:val="tx1"/>
                  </w14:solidFill>
                </w14:textFill>
              </w:rPr>
            </w:pPr>
            <w:r>
              <w:rPr>
                <w:rFonts w:hint="eastAsia"/>
                <w:color w:val="000000" w:themeColor="text1"/>
                <w:spacing w:val="-12"/>
                <w:sz w:val="21"/>
                <w:szCs w:val="21"/>
                <w:lang w:eastAsia="zh-CN"/>
                <w14:textFill>
                  <w14:solidFill>
                    <w14:schemeClr w14:val="tx1"/>
                  </w14:solidFill>
                </w14:textFill>
              </w:rPr>
              <w:t xml:space="preserve">10</w:t>
            </w:r>
            <w:r/>
          </w:p>
        </w:tc>
      </w:tr>
    </w:tbl>
    <w:p>
      <w:pPr>
        <w:pStyle w:val="101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headerReference w:type="default" r:id="rId9"/>
          <w:footnotePr/>
          <w:endnotePr/>
          <w:type w:val="nextPage"/>
          <w:pgSz w:w="11907" w:h="16839" w:orient="portrait"/>
          <w:pgMar w:top="400" w:right="1358" w:bottom="400" w:left="1366" w:header="0" w:footer="0" w:gutter="0"/>
          <w:cols w:num="1" w:sep="0" w:space="720" w:equalWidth="1"/>
          <w:docGrid w:linePitch="360"/>
        </w:sect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188"/>
        <w:tblW w:w="91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1"/>
        <w:gridCol w:w="686"/>
        <w:gridCol w:w="991"/>
        <w:gridCol w:w="6238"/>
        <w:gridCol w:w="700"/>
      </w:tblGrid>
      <w:tr>
        <w:trPr>
          <w:trHeight w:val="952"/>
        </w:trPr>
        <w:tc>
          <w:tcPr>
            <w:tcW w:w="561" w:type="dxa"/>
            <w:textDirection w:val="tbRlV"/>
            <w:noWrap w:val="false"/>
          </w:tcPr>
          <w:p>
            <w:pPr>
              <w:pStyle w:val="1189"/>
              <w:ind w:left="229"/>
              <w:spacing w:before="172" w:line="211" w:lineRule="auto"/>
              <w:rPr>
                <w:color w:val="000000" w:themeColor="text1"/>
                <w:sz w:val="21"/>
                <w:szCs w:val="21"/>
                <w14:textFill>
                  <w14:solidFill>
                    <w14:schemeClr w14:val="tx1"/>
                  </w14:solidFill>
                </w14:textFill>
              </w:rPr>
            </w:pPr>
            <w:r>
              <w:rPr>
                <w:b/>
                <w:bCs/>
                <w:color w:val="000000" w:themeColor="text1"/>
                <w:spacing w:val="-2"/>
                <w:sz w:val="21"/>
                <w:szCs w:val="21"/>
                <w14:textFill>
                  <w14:solidFill>
                    <w14:schemeClr w14:val="tx1"/>
                  </w14:solidFill>
                </w14:textFill>
              </w:rPr>
              <w:t xml:space="preserve">序</w:t>
            </w:r>
            <w:r>
              <w:rPr>
                <w:color w:val="000000" w:themeColor="text1"/>
                <w:spacing w:val="-25"/>
                <w:sz w:val="21"/>
                <w:szCs w:val="21"/>
                <w14:textFill>
                  <w14:solidFill>
                    <w14:schemeClr w14:val="tx1"/>
                  </w14:solidFill>
                </w14:textFill>
              </w:rPr>
              <w:t xml:space="preserve"> </w:t>
            </w:r>
            <w:r>
              <w:rPr>
                <w:b/>
                <w:bCs/>
                <w:color w:val="000000" w:themeColor="text1"/>
                <w:spacing w:val="-2"/>
                <w:sz w:val="21"/>
                <w:szCs w:val="21"/>
                <w14:textFill>
                  <w14:solidFill>
                    <w14:schemeClr w14:val="tx1"/>
                  </w14:solidFill>
                </w14:textFill>
              </w:rPr>
              <w:t xml:space="preserve">号</w:t>
            </w:r>
            <w:r/>
          </w:p>
        </w:tc>
        <w:tc>
          <w:tcPr>
            <w:gridSpan w:val="2"/>
            <w:tcW w:w="1677" w:type="dxa"/>
            <w:textDirection w:val="lrTb"/>
            <w:noWrap w:val="false"/>
          </w:tcPr>
          <w:p>
            <w:pPr>
              <w:pStyle w:val="1189"/>
              <w:ind w:left="646" w:right="627" w:hanging="17"/>
              <w:spacing w:before="228" w:line="242" w:lineRule="auto"/>
              <w:rPr>
                <w:color w:val="000000" w:themeColor="text1"/>
                <w:sz w:val="21"/>
                <w:szCs w:val="21"/>
                <w14:textFill>
                  <w14:solidFill>
                    <w14:schemeClr w14:val="tx1"/>
                  </w14:solidFill>
                </w14:textFill>
              </w:rPr>
            </w:pPr>
            <w:r>
              <w:rPr>
                <w:b/>
                <w:bCs/>
                <w:color w:val="000000" w:themeColor="text1"/>
                <w:spacing w:val="-5"/>
                <w:sz w:val="21"/>
                <w:szCs w:val="21"/>
                <w14:textFill>
                  <w14:solidFill>
                    <w14:schemeClr w14:val="tx1"/>
                  </w14:solidFill>
                </w14:textFill>
              </w:rPr>
              <w:t xml:space="preserve">评分</w:t>
            </w:r>
            <w:r>
              <w:rPr>
                <w:color w:val="000000" w:themeColor="text1"/>
                <w:sz w:val="21"/>
                <w:szCs w:val="21"/>
                <w14:textFill>
                  <w14:solidFill>
                    <w14:schemeClr w14:val="tx1"/>
                  </w14:solidFill>
                </w14:textFill>
              </w:rPr>
              <w:t xml:space="preserve"> </w:t>
            </w:r>
            <w:r>
              <w:rPr>
                <w:b/>
                <w:bCs/>
                <w:color w:val="000000" w:themeColor="text1"/>
                <w:spacing w:val="-14"/>
                <w:sz w:val="21"/>
                <w:szCs w:val="21"/>
                <w14:textFill>
                  <w14:solidFill>
                    <w14:schemeClr w14:val="tx1"/>
                  </w14:solidFill>
                </w14:textFill>
              </w:rPr>
              <w:t xml:space="preserve">因素</w:t>
            </w:r>
            <w:r/>
          </w:p>
        </w:tc>
        <w:tc>
          <w:tcPr>
            <w:tcBorders>
              <w:right w:val="single" w:color="000000" w:sz="4" w:space="0"/>
            </w:tcBorders>
            <w:tcW w:w="6238" w:type="dxa"/>
            <w:textDirection w:val="lrTb"/>
            <w:noWrap w:val="false"/>
          </w:tcPr>
          <w:p>
            <w:pPr>
              <w:spacing w:line="30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702"/>
              <w:spacing w:before="68" w:line="221" w:lineRule="auto"/>
              <w:rPr>
                <w:color w:val="000000" w:themeColor="text1"/>
                <w:sz w:val="21"/>
                <w:szCs w:val="21"/>
                <w14:textFill>
                  <w14:solidFill>
                    <w14:schemeClr w14:val="tx1"/>
                  </w14:solidFill>
                </w14:textFill>
              </w:rPr>
            </w:pPr>
            <w:r>
              <w:rPr>
                <w:b/>
                <w:bCs/>
                <w:color w:val="000000" w:themeColor="text1"/>
                <w:spacing w:val="-3"/>
                <w:sz w:val="21"/>
                <w:szCs w:val="21"/>
                <w14:textFill>
                  <w14:solidFill>
                    <w14:schemeClr w14:val="tx1"/>
                  </w14:solidFill>
                </w14:textFill>
              </w:rPr>
              <w:t xml:space="preserve">评审标准</w:t>
            </w:r>
            <w:r/>
          </w:p>
        </w:tc>
        <w:tc>
          <w:tcPr>
            <w:tcBorders>
              <w:left w:val="single" w:color="000000" w:sz="4" w:space="0"/>
            </w:tcBorders>
            <w:tcW w:w="700" w:type="dxa"/>
            <w:textDirection w:val="lrTb"/>
            <w:noWrap w:val="false"/>
          </w:tcPr>
          <w:p>
            <w:pPr>
              <w:spacing w:line="302"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45"/>
              <w:spacing w:before="68" w:line="221" w:lineRule="auto"/>
              <w:rPr>
                <w:color w:val="000000" w:themeColor="text1"/>
                <w:sz w:val="21"/>
                <w:szCs w:val="21"/>
                <w14:textFill>
                  <w14:solidFill>
                    <w14:schemeClr w14:val="tx1"/>
                  </w14:solidFill>
                </w14:textFill>
              </w:rPr>
            </w:pPr>
            <w:r>
              <w:rPr>
                <w:b/>
                <w:bCs/>
                <w:color w:val="000000" w:themeColor="text1"/>
                <w:spacing w:val="-5"/>
                <w:sz w:val="21"/>
                <w:szCs w:val="21"/>
                <w14:textFill>
                  <w14:solidFill>
                    <w14:schemeClr w14:val="tx1"/>
                  </w14:solidFill>
                </w14:textFill>
              </w:rPr>
              <w:t xml:space="preserve">分值</w:t>
            </w:r>
            <w:r/>
          </w:p>
        </w:tc>
      </w:tr>
      <w:tr>
        <w:trPr>
          <w:trHeight w:val="6237"/>
        </w:trPr>
        <w:tc>
          <w:tcPr>
            <w:tcW w:w="561" w:type="dxa"/>
            <w:textDirection w:val="lrTb"/>
            <w:noWrap w:val="false"/>
          </w:tcPr>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5"/>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85"/>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32"/>
              <w:spacing w:before="69" w:line="18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w:t>
            </w:r>
            <w:r/>
          </w:p>
        </w:tc>
        <w:tc>
          <w:tcPr>
            <w:tcW w:w="686"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textDirection w:val="lrTb"/>
            <w:noWrap w:val="false"/>
          </w:tcPr>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9"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98" w:right="178" w:hanging="13"/>
              <w:spacing w:before="69" w:line="242" w:lineRule="auto"/>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 xml:space="preserve">项目团</w:t>
            </w:r>
            <w:r>
              <w:rPr>
                <w:color w:val="000000" w:themeColor="text1"/>
                <w:sz w:val="21"/>
                <w:szCs w:val="21"/>
                <w14:textFill>
                  <w14:solidFill>
                    <w14:schemeClr w14:val="tx1"/>
                  </w14:solidFill>
                </w14:textFill>
              </w:rPr>
              <w:t xml:space="preserve"> </w:t>
            </w:r>
            <w:r>
              <w:rPr>
                <w:color w:val="000000" w:themeColor="text1"/>
                <w:spacing w:val="-8"/>
                <w:sz w:val="21"/>
                <w:szCs w:val="21"/>
                <w14:textFill>
                  <w14:solidFill>
                    <w14:schemeClr w14:val="tx1"/>
                  </w14:solidFill>
                </w14:textFill>
              </w:rPr>
              <w:t xml:space="preserve">队实力</w:t>
            </w:r>
            <w:r/>
          </w:p>
        </w:tc>
        <w:tc>
          <w:tcPr>
            <w:tcBorders>
              <w:right w:val="single" w:color="000000" w:sz="4" w:space="0"/>
            </w:tcBorders>
            <w:tcW w:w="6238" w:type="dxa"/>
            <w:textDirection w:val="lrTb"/>
            <w:noWrap w:val="false"/>
          </w:tcPr>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在项目建设期间，投标人需为本项目配备不少于 15 人的项目团队 （含项目经理、技术负责人），且团队人员分工科学合理、职责明 确，人员资质能力如下：</w:t>
            </w:r>
            <w:r/>
          </w:p>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1、项目经理</w:t>
            </w:r>
            <w:r/>
          </w:p>
          <w:p>
            <w:pPr>
              <w:pStyle w:val="1189"/>
              <w:ind w:left="116" w:right="451" w:firstLine="400"/>
              <w:spacing w:before="42" w:line="238" w:lineRule="auto"/>
              <w:rPr>
                <w:color w:val="000000" w:themeColor="text1"/>
                <w:spacing w:val="-5"/>
                <w:sz w:val="21"/>
                <w:szCs w:val="21"/>
                <w:lang w:eastAsia="zh-CN"/>
                <w14:textFill>
                  <w14:solidFill>
                    <w14:schemeClr w14:val="tx1"/>
                  </w14:solidFill>
                </w14:textFill>
              </w:rPr>
            </w:pPr>
            <w:r>
              <w:rPr>
                <w:rFonts w:hint="eastAsia"/>
                <w:color w:val="000000" w:themeColor="text1"/>
                <w:spacing w:val="-5"/>
                <w:sz w:val="21"/>
                <w:szCs w:val="21"/>
                <w:lang w:eastAsia="zh-CN"/>
                <w14:textFill>
                  <w14:solidFill>
                    <w14:schemeClr w14:val="tx1"/>
                  </w14:solidFill>
                </w14:textFill>
              </w:rPr>
              <w:t xml:space="preserve">拟投入的项目经理具有 ITSS-IT 服务项目经理、注册信息安全专业人员（注册信息安全管理人员）CISP-CISO证书，且在有效期内，每提供一个证书得2分，最多得4分。</w:t>
            </w:r>
            <w:r/>
          </w:p>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2、技术负责人</w:t>
            </w:r>
            <w:r/>
          </w:p>
          <w:p>
            <w:pPr>
              <w:pStyle w:val="1189"/>
              <w:ind w:left="116" w:right="451" w:firstLine="400"/>
              <w:spacing w:before="42" w:line="238" w:lineRule="auto"/>
              <w:rPr>
                <w:color w:val="000000" w:themeColor="text1"/>
                <w:spacing w:val="-5"/>
                <w:sz w:val="21"/>
                <w:szCs w:val="21"/>
                <w:lang w:eastAsia="zh-CN"/>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拟投入的技术总负责人具有</w:t>
            </w:r>
            <w:r>
              <w:rPr>
                <w:rFonts w:hint="eastAsia"/>
                <w:color w:val="000000" w:themeColor="text1"/>
                <w:spacing w:val="-5"/>
                <w:sz w:val="21"/>
                <w:szCs w:val="21"/>
                <w:lang w:eastAsia="zh-CN"/>
                <w14:textFill>
                  <w14:solidFill>
                    <w14:schemeClr w14:val="tx1"/>
                  </w14:solidFill>
                </w14:textFill>
              </w:rPr>
              <w:t xml:space="preserve">软件设计师证书</w:t>
            </w:r>
            <w:r>
              <w:rPr>
                <w:color w:val="000000" w:themeColor="text1"/>
                <w:spacing w:val="-5"/>
                <w:sz w:val="21"/>
                <w:szCs w:val="21"/>
                <w:lang w:eastAsia="zh-CN"/>
                <w14:textFill>
                  <w14:solidFill>
                    <w14:schemeClr w14:val="tx1"/>
                  </w14:solidFill>
                </w14:textFill>
              </w:rPr>
              <w:t xml:space="preserve">、系统架构师证书、</w:t>
            </w:r>
            <w:r>
              <w:rPr>
                <w:rFonts w:hint="eastAsia"/>
                <w:color w:val="000000" w:themeColor="text1"/>
                <w:spacing w:val="-5"/>
                <w:sz w:val="21"/>
                <w:szCs w:val="21"/>
                <w:lang w:eastAsia="zh-CN"/>
                <w14:textFill>
                  <w14:solidFill>
                    <w14:schemeClr w14:val="tx1"/>
                  </w14:solidFill>
                </w14:textFill>
              </w:rPr>
              <w:t xml:space="preserve">注册信息安全专业人员（注册信息安全工程师 </w:t>
            </w:r>
            <w:r>
              <w:rPr>
                <w:color w:val="000000" w:themeColor="text1"/>
                <w:spacing w:val="-5"/>
                <w:sz w:val="21"/>
                <w:szCs w:val="21"/>
                <w:lang w:eastAsia="zh-CN"/>
                <w14:textFill>
                  <w14:solidFill>
                    <w14:schemeClr w14:val="tx1"/>
                  </w14:solidFill>
                </w14:textFill>
              </w:rPr>
              <w:t xml:space="preserve">CISP-CISE</w:t>
            </w:r>
            <w:r>
              <w:rPr>
                <w:rFonts w:hint="eastAsia"/>
                <w:color w:val="000000" w:themeColor="text1"/>
                <w:spacing w:val="-5"/>
                <w:sz w:val="21"/>
                <w:szCs w:val="21"/>
                <w:lang w:eastAsia="zh-CN"/>
                <w14:textFill>
                  <w14:solidFill>
                    <w14:schemeClr w14:val="tx1"/>
                  </w14:solidFill>
                </w14:textFill>
              </w:rPr>
              <w:t xml:space="preserve">）</w:t>
            </w:r>
            <w:r>
              <w:rPr>
                <w:color w:val="000000" w:themeColor="text1"/>
                <w:spacing w:val="-5"/>
                <w:sz w:val="21"/>
                <w:szCs w:val="21"/>
                <w:lang w:eastAsia="zh-CN"/>
                <w14:textFill>
                  <w14:solidFill>
                    <w14:schemeClr w14:val="tx1"/>
                  </w14:solidFill>
                </w14:textFill>
              </w:rPr>
              <w:t xml:space="preserve">，且在有效期内，</w:t>
            </w:r>
            <w:r>
              <w:rPr>
                <w:rFonts w:hint="eastAsia"/>
                <w:color w:val="000000" w:themeColor="text1"/>
                <w:spacing w:val="-5"/>
                <w:sz w:val="21"/>
                <w:szCs w:val="21"/>
                <w:lang w:eastAsia="zh-CN"/>
                <w14:textFill>
                  <w14:solidFill>
                    <w14:schemeClr w14:val="tx1"/>
                  </w14:solidFill>
                </w14:textFill>
              </w:rPr>
              <w:t xml:space="preserve">每提供一个证书得1分，最多得3分</w:t>
            </w:r>
            <w:r>
              <w:rPr>
                <w:color w:val="000000" w:themeColor="text1"/>
                <w:spacing w:val="-5"/>
                <w:sz w:val="21"/>
                <w:szCs w:val="21"/>
                <w:lang w:eastAsia="zh-CN"/>
                <w14:textFill>
                  <w14:solidFill>
                    <w14:schemeClr w14:val="tx1"/>
                  </w14:solidFill>
                </w14:textFill>
              </w:rPr>
              <w:t xml:space="preserve">。</w:t>
            </w:r>
            <w:r/>
          </w:p>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3、项目组其他人员</w:t>
            </w:r>
            <w:r/>
          </w:p>
          <w:p>
            <w:pPr>
              <w:pStyle w:val="1189"/>
              <w:ind w:left="116" w:right="451" w:firstLine="400"/>
              <w:spacing w:before="42" w:line="238" w:lineRule="auto"/>
              <w:rPr>
                <w:color w:val="000000" w:themeColor="text1"/>
                <w:spacing w:val="-5"/>
                <w:sz w:val="21"/>
                <w:szCs w:val="21"/>
                <w:lang w:eastAsia="zh-CN"/>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项目组其他人员数量满足招标要求，同时具有对应的职称资格或 技术资质，</w:t>
            </w:r>
            <w:r>
              <w:rPr>
                <w:rFonts w:hint="eastAsia"/>
                <w:color w:val="000000" w:themeColor="text1"/>
                <w:spacing w:val="-5"/>
                <w:sz w:val="21"/>
                <w:szCs w:val="21"/>
                <w:lang w:eastAsia="zh-CN"/>
                <w14:textFill>
                  <w14:solidFill>
                    <w14:schemeClr w14:val="tx1"/>
                  </w14:solidFill>
                </w14:textFill>
              </w:rPr>
              <w:t xml:space="preserve">具有CISAW信息安全保障人员（安全软件专业级）、CISAW信息安全保障人员（安全运维专业级）、CISAW信息安全保障人员（风险管理专业级）证书、系统分析师证书、系统架构设计师证书，一个证书得1分，最多得8分。</w:t>
            </w:r>
            <w:r/>
          </w:p>
          <w:p>
            <w:pPr>
              <w:pStyle w:val="1189"/>
              <w:ind w:left="116" w:right="451" w:firstLine="12"/>
              <w:spacing w:before="42" w:line="238" w:lineRule="auto"/>
              <w:rPr>
                <w:color w:val="000000" w:themeColor="text1"/>
                <w:sz w:val="21"/>
                <w:szCs w:val="21"/>
                <w:lang w:eastAsia="zh-CN"/>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【注：上述证书每个人只计一证，</w:t>
            </w:r>
            <w:r>
              <w:rPr>
                <w:rFonts w:hint="eastAsia"/>
                <w:color w:val="000000" w:themeColor="text1"/>
                <w:spacing w:val="-5"/>
                <w:sz w:val="21"/>
                <w:szCs w:val="21"/>
                <w:lang w:eastAsia="zh-CN"/>
                <w14:textFill>
                  <w14:solidFill>
                    <w14:schemeClr w14:val="tx1"/>
                  </w14:solidFill>
                </w14:textFill>
              </w:rPr>
              <w:t xml:space="preserve">一人多证不重复得分</w:t>
            </w:r>
            <w:r>
              <w:rPr>
                <w:color w:val="000000" w:themeColor="text1"/>
                <w:spacing w:val="-5"/>
                <w:sz w:val="21"/>
                <w:szCs w:val="21"/>
                <w:lang w:eastAsia="zh-CN"/>
                <w14:textFill>
                  <w14:solidFill>
                    <w14:schemeClr w14:val="tx1"/>
                  </w14:solidFill>
                </w14:textFill>
              </w:rPr>
              <w:t xml:space="preserve">。需提供证书及社保证明材料扫描件（社保证明材料需明细到个人，时间 为投标截止前近 6 个月，并加盖投标单位公章，未提供该细项不得分】</w:t>
            </w:r>
            <w:r/>
          </w:p>
        </w:tc>
        <w:tc>
          <w:tcPr>
            <w:tcBorders>
              <w:left w:val="single" w:color="000000" w:sz="4" w:space="0"/>
            </w:tcBorders>
            <w:tcW w:w="700" w:type="dxa"/>
            <w:textDirection w:val="lrTb"/>
            <w:noWrap w:val="false"/>
          </w:tcPr>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z w:val="21"/>
                <w:szCs w:val="21"/>
                <w:lang w:eastAsia="zh-CN"/>
                <w14:textFill>
                  <w14:solidFill>
                    <w14:schemeClr w14:val="tx1"/>
                  </w14:solidFill>
                </w14:textFill>
              </w:rPr>
            </w:pPr>
            <w:r>
              <w:rPr>
                <w:rFonts w:hint="eastAsia"/>
                <w:color w:val="000000" w:themeColor="text1"/>
                <w:spacing w:val="-5"/>
                <w:sz w:val="21"/>
                <w:szCs w:val="21"/>
                <w:lang w:eastAsia="zh-CN"/>
                <w14:textFill>
                  <w14:solidFill>
                    <w14:schemeClr w14:val="tx1"/>
                  </w14:solidFill>
                </w14:textFill>
              </w:rPr>
              <w:t xml:space="preserve">15</w:t>
            </w:r>
            <w:r/>
          </w:p>
        </w:tc>
      </w:tr>
      <w:tr>
        <w:trPr>
          <w:trHeight w:val="1015"/>
        </w:trPr>
        <w:tc>
          <w:tcPr>
            <w:tcW w:w="561" w:type="dxa"/>
            <w:textDirection w:val="lrTb"/>
            <w:noWrap w:val="false"/>
          </w:tcPr>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37"/>
              <w:spacing w:before="69" w:line="18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5</w:t>
            </w:r>
            <w:r/>
          </w:p>
        </w:tc>
        <w:tc>
          <w:tcPr>
            <w:tcW w:w="686" w:type="dxa"/>
            <w:vMerge w:val="restart"/>
            <w:textDirection w:val="lrTb"/>
            <w:noWrap w:val="false"/>
          </w:tcPr>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37" w:right="131" w:hanging="1"/>
              <w:spacing w:before="69" w:line="242" w:lineRule="auto"/>
              <w:rPr>
                <w:color w:val="000000" w:themeColor="text1"/>
                <w:sz w:val="21"/>
                <w:szCs w:val="21"/>
                <w14:textFill>
                  <w14:solidFill>
                    <w14:schemeClr w14:val="tx1"/>
                  </w14:solidFill>
                </w14:textFill>
              </w:rPr>
            </w:pPr>
            <w:r>
              <w:rPr>
                <w:color w:val="000000" w:themeColor="text1"/>
                <w:spacing w:val="-4"/>
                <w:sz w:val="21"/>
                <w:szCs w:val="21"/>
                <w14:textFill>
                  <w14:solidFill>
                    <w14:schemeClr w14:val="tx1"/>
                  </w14:solidFill>
                </w14:textFill>
              </w:rPr>
              <w:t xml:space="preserve">技术</w:t>
            </w:r>
            <w:r>
              <w:rPr>
                <w:color w:val="000000" w:themeColor="text1"/>
                <w:sz w:val="21"/>
                <w:szCs w:val="21"/>
                <w14:textFill>
                  <w14:solidFill>
                    <w14:schemeClr w14:val="tx1"/>
                  </w14:solidFill>
                </w14:textFill>
              </w:rPr>
              <w:t xml:space="preserve"> </w:t>
            </w:r>
            <w:r>
              <w:rPr>
                <w:color w:val="000000" w:themeColor="text1"/>
                <w:spacing w:val="-5"/>
                <w:sz w:val="21"/>
                <w:szCs w:val="21"/>
                <w14:textFill>
                  <w14:solidFill>
                    <w14:schemeClr w14:val="tx1"/>
                  </w14:solidFill>
                </w14:textFill>
              </w:rPr>
              <w:t xml:space="preserve">部分</w:t>
            </w:r>
            <w:r/>
          </w:p>
        </w:tc>
        <w:tc>
          <w:tcPr>
            <w:tcW w:w="991" w:type="dxa"/>
            <w:textDirection w:val="lrTb"/>
            <w:noWrap w:val="false"/>
          </w:tcPr>
          <w:p>
            <w:pPr>
              <w:pStyle w:val="1189"/>
              <w:ind w:left="257" w:right="104"/>
              <w:jc w:val="right"/>
              <w:spacing w:before="283" w:line="245" w:lineRule="auto"/>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技术参</w:t>
            </w:r>
            <w:r>
              <w:rPr>
                <w:color w:val="000000" w:themeColor="text1"/>
                <w:spacing w:val="-3"/>
                <w:sz w:val="21"/>
                <w:szCs w:val="21"/>
                <w14:textFill>
                  <w14:solidFill>
                    <w14:schemeClr w14:val="tx1"/>
                  </w14:solidFill>
                </w14:textFill>
              </w:rPr>
              <w:t xml:space="preserve">数响应</w:t>
            </w:r>
            <w:r>
              <w:rPr>
                <w:color w:val="000000" w:themeColor="text1"/>
                <w:spacing w:val="-2"/>
                <w:sz w:val="21"/>
                <w:szCs w:val="21"/>
                <w14:textFill>
                  <w14:solidFill>
                    <w14:schemeClr w14:val="tx1"/>
                  </w14:solidFill>
                </w14:textFill>
              </w:rPr>
              <w:t xml:space="preserve">程度</w:t>
            </w:r>
            <w:r/>
          </w:p>
        </w:tc>
        <w:tc>
          <w:tcPr>
            <w:tcBorders>
              <w:right w:val="single" w:color="000000" w:sz="4" w:space="0"/>
            </w:tcBorders>
            <w:tcW w:w="6238" w:type="dxa"/>
            <w:textDirection w:val="lrTb"/>
            <w:noWrap w:val="false"/>
          </w:tcPr>
          <w:p>
            <w:pPr>
              <w:pStyle w:val="1189"/>
              <w:ind w:left="112"/>
              <w:spacing w:before="266" w:line="221"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t xml:space="preserve">根据采购文件技术要求规定的参数要求进行评审。标“</w:t>
            </w:r>
            <w:r>
              <w:rPr>
                <w:color w:val="000000" w:themeColor="text1"/>
                <w:lang w:eastAsia="zh-CN"/>
                <w14:textFill>
                  <w14:solidFill>
                    <w14:schemeClr w14:val="tx1"/>
                  </w14:solidFill>
                </w14:textFill>
              </w:rPr>
              <w:t xml:space="preserve">▲</w:t>
            </w:r>
            <w:r>
              <w:rPr>
                <w:color w:val="000000" w:themeColor="text1"/>
                <w:spacing w:val="-1"/>
                <w:sz w:val="21"/>
                <w:szCs w:val="21"/>
                <w:lang w:eastAsia="zh-CN"/>
                <w14:textFill>
                  <w14:solidFill>
                    <w14:schemeClr w14:val="tx1"/>
                  </w14:solidFill>
                </w14:textFill>
              </w:rPr>
              <w:t xml:space="preserve">”为重</w:t>
            </w:r>
            <w:r>
              <w:rPr>
                <w:color w:val="000000" w:themeColor="text1"/>
                <w:spacing w:val="-3"/>
                <w:sz w:val="21"/>
                <w:szCs w:val="21"/>
                <w:lang w:eastAsia="zh-CN"/>
                <w14:textFill>
                  <w14:solidFill>
                    <w14:schemeClr w14:val="tx1"/>
                  </w14:solidFill>
                </w14:textFill>
              </w:rPr>
              <w:t xml:space="preserve">要参数，每有</w:t>
            </w:r>
            <w:r>
              <w:rPr>
                <w:color w:val="000000" w:themeColor="text1"/>
                <w:spacing w:val="-29"/>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1</w:t>
            </w:r>
            <w:r>
              <w:rPr>
                <w:color w:val="000000" w:themeColor="text1"/>
                <w:spacing w:val="-45"/>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条不满足扣</w:t>
            </w:r>
            <w:r>
              <w:rPr>
                <w:color w:val="000000" w:themeColor="text1"/>
                <w:spacing w:val="-42"/>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2</w:t>
            </w:r>
            <w:r>
              <w:rPr>
                <w:color w:val="000000" w:themeColor="text1"/>
                <w:spacing w:val="-44"/>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分</w:t>
            </w:r>
            <w:r>
              <w:rPr>
                <w:color w:val="000000" w:themeColor="text1"/>
                <w:spacing w:val="-4"/>
                <w:sz w:val="21"/>
                <w:szCs w:val="21"/>
                <w:lang w:eastAsia="zh-CN"/>
                <w14:textFill>
                  <w14:solidFill>
                    <w14:schemeClr w14:val="tx1"/>
                  </w14:solidFill>
                </w14:textFill>
              </w:rPr>
              <w:t xml:space="preserve">，扣完为止。</w:t>
            </w:r>
            <w:r/>
          </w:p>
        </w:tc>
        <w:tc>
          <w:tcPr>
            <w:tcBorders>
              <w:left w:val="single" w:color="000000" w:sz="4" w:space="0"/>
            </w:tcBorders>
            <w:tcW w:w="700" w:type="dxa"/>
            <w:vAlign w:val="center"/>
            <w:textDirection w:val="lrTb"/>
            <w:noWrap w:val="false"/>
          </w:tcPr>
          <w:p>
            <w:pPr>
              <w:pStyle w:val="1189"/>
              <w:ind w:left="252"/>
              <w:spacing w:before="69" w:line="182" w:lineRule="auto"/>
              <w:rPr>
                <w:color w:val="000000" w:themeColor="text1"/>
                <w:spacing w:val="-6"/>
                <w:sz w:val="21"/>
                <w:szCs w:val="21"/>
                <w:lang w:eastAsia="zh-CN"/>
                <w14:textFill>
                  <w14:solidFill>
                    <w14:schemeClr w14:val="tx1"/>
                  </w14:solidFill>
                </w14:textFill>
              </w:rPr>
            </w:pPr>
            <w:r>
              <w:rPr>
                <w:rFonts w:hint="eastAsia"/>
                <w:color w:val="000000" w:themeColor="text1"/>
                <w:spacing w:val="-6"/>
                <w:sz w:val="21"/>
                <w:szCs w:val="21"/>
                <w:lang w:eastAsia="zh-CN"/>
                <w14:textFill>
                  <w14:solidFill>
                    <w14:schemeClr w14:val="tx1"/>
                  </w14:solidFill>
                </w14:textFill>
              </w:rPr>
              <w:t xml:space="preserve">20</w:t>
            </w:r>
            <w:r/>
          </w:p>
        </w:tc>
      </w:tr>
      <w:tr>
        <w:trPr>
          <w:trHeight w:val="934"/>
        </w:trPr>
        <w:tc>
          <w:tcPr>
            <w:tcW w:w="561" w:type="dxa"/>
            <w:textDirection w:val="lrTb"/>
            <w:noWrap w:val="false"/>
          </w:tcPr>
          <w:p>
            <w:pPr>
              <w:spacing w:line="27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35"/>
              <w:spacing w:before="68" w:line="18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w:t>
            </w:r>
            <w:r/>
          </w:p>
        </w:tc>
        <w:tc>
          <w:tcPr>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Align w:val="center"/>
            <w:textDirection w:val="lrTb"/>
            <w:noWrap w:val="false"/>
          </w:tcPr>
          <w:p>
            <w:pPr>
              <w:pStyle w:val="1189"/>
              <w:ind w:left="257" w:right="104"/>
              <w:jc w:val="center"/>
              <w:spacing w:before="283" w:line="245" w:lineRule="auto"/>
              <w:rPr>
                <w:color w:val="000000" w:themeColor="text1"/>
                <w:spacing w:val="-2"/>
                <w:sz w:val="21"/>
                <w:szCs w:val="21"/>
                <w14:textFill>
                  <w14:solidFill>
                    <w14:schemeClr w14:val="tx1"/>
                  </w14:solidFill>
                </w14:textFill>
              </w:rPr>
            </w:pPr>
            <w:r>
              <w:rPr>
                <w:rFonts w:hint="eastAsia"/>
                <w:color w:val="000000" w:themeColor="text1"/>
                <w:spacing w:val="-2"/>
                <w:sz w:val="21"/>
                <w:szCs w:val="21"/>
                <w:lang w:eastAsia="zh-CN"/>
                <w14:textFill>
                  <w14:solidFill>
                    <w14:schemeClr w14:val="tx1"/>
                  </w14:solidFill>
                </w14:textFill>
              </w:rPr>
              <w:t xml:space="preserve">项目需求理解</w:t>
            </w:r>
            <w:r/>
          </w:p>
        </w:tc>
        <w:tc>
          <w:tcPr>
            <w:tcBorders>
              <w:right w:val="single" w:color="000000" w:sz="4" w:space="0"/>
            </w:tcBorders>
            <w:tcW w:w="6238" w:type="dxa"/>
            <w:vAlign w:val="center"/>
            <w:textDirection w:val="lrTb"/>
            <w:noWrap w:val="false"/>
          </w:tcPr>
          <w:p>
            <w:pPr>
              <w:pStyle w:val="1189"/>
              <w:ind w:left="112"/>
              <w:spacing w:before="266" w:line="221"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根据投标人对本次建设项目的现状与需求了解情况进行评分，至少应包含江苏省学分银行信息化建设现状、当前存在的问题、本项目建设的需求、重难点及解决措施等。方案优于招标文件要求的得5分，方案符合招标文件要求的得2分，方案不符合招标文件要求或未提供的不得分。</w:t>
            </w:r>
            <w:r/>
          </w:p>
        </w:tc>
        <w:tc>
          <w:tcPr>
            <w:tcBorders>
              <w:left w:val="single" w:color="000000" w:sz="4" w:space="0"/>
            </w:tcBorders>
            <w:tcW w:w="700" w:type="dxa"/>
            <w:vAlign w:val="center"/>
            <w:textDirection w:val="lrTb"/>
            <w:noWrap w:val="false"/>
          </w:tcPr>
          <w:p>
            <w:pPr>
              <w:pStyle w:val="1189"/>
              <w:ind w:left="252"/>
              <w:spacing w:before="69" w:line="182" w:lineRule="auto"/>
              <w:rPr>
                <w:color w:val="000000" w:themeColor="text1"/>
                <w:spacing w:val="-6"/>
                <w:sz w:val="21"/>
                <w:szCs w:val="21"/>
                <w:lang w:eastAsia="zh-CN"/>
                <w14:textFill>
                  <w14:solidFill>
                    <w14:schemeClr w14:val="tx1"/>
                  </w14:solidFill>
                </w14:textFill>
              </w:rPr>
            </w:pPr>
            <w:r>
              <w:rPr>
                <w:rFonts w:hint="eastAsia"/>
                <w:color w:val="000000" w:themeColor="text1"/>
                <w:spacing w:val="-6"/>
                <w:sz w:val="21"/>
                <w:szCs w:val="21"/>
                <w:lang w:eastAsia="zh-CN"/>
                <w14:textFill>
                  <w14:solidFill>
                    <w14:schemeClr w14:val="tx1"/>
                  </w14:solidFill>
                </w14:textFill>
              </w:rPr>
              <w:t xml:space="preserve">5</w:t>
            </w:r>
            <w:r/>
          </w:p>
        </w:tc>
      </w:tr>
      <w:tr>
        <w:trPr>
          <w:trHeight w:val="1318"/>
        </w:trPr>
        <w:tc>
          <w:tcPr>
            <w:tcW w:w="561" w:type="dxa"/>
            <w:textDirection w:val="lrTb"/>
            <w:noWrap w:val="false"/>
          </w:tcPr>
          <w:p>
            <w:pPr>
              <w:jc w:val="center"/>
              <w:spacing w:line="279"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5"/>
              <w:jc w:val="cente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eastAsiaTheme="minorEastAsia"/>
                <w:color w:val="000000" w:themeColor="text1"/>
                <w14:textFill>
                  <w14:solidFill>
                    <w14:schemeClr w14:val="tx1"/>
                  </w14:solidFill>
                </w14:textFill>
              </w:rPr>
            </w:pPr>
            <w:r>
              <w:rPr>
                <w:rFonts w:hint="eastAsia" w:eastAsiaTheme="minorEastAsia"/>
                <w:color w:val="000000" w:themeColor="text1"/>
                <w14:textFill>
                  <w14:solidFill>
                    <w14:schemeClr w14:val="tx1"/>
                  </w14:solidFill>
                </w14:textFill>
              </w:rPr>
              <w:t xml:space="preserve">7</w:t>
            </w:r>
            <w:r/>
          </w:p>
        </w:tc>
        <w:tc>
          <w:tcPr>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Align w:val="center"/>
            <w:textDirection w:val="lrTb"/>
            <w:noWrap w:val="false"/>
          </w:tcPr>
          <w:p>
            <w:pPr>
              <w:pStyle w:val="1189"/>
              <w:ind w:left="257" w:right="104"/>
              <w:jc w:val="center"/>
              <w:spacing w:before="283" w:line="245" w:lineRule="auto"/>
              <w:rPr>
                <w:color w:val="000000" w:themeColor="text1"/>
                <w:spacing w:val="-2"/>
                <w:sz w:val="21"/>
                <w:szCs w:val="21"/>
                <w:lang w:eastAsia="zh-CN"/>
                <w14:textFill>
                  <w14:solidFill>
                    <w14:schemeClr w14:val="tx1"/>
                  </w14:solidFill>
                </w14:textFill>
              </w:rPr>
            </w:pPr>
            <w:r>
              <w:rPr>
                <w:rFonts w:hint="eastAsia"/>
                <w:color w:val="000000" w:themeColor="text1"/>
                <w:spacing w:val="-2"/>
                <w:sz w:val="21"/>
                <w:szCs w:val="21"/>
                <w:lang w:eastAsia="zh-CN"/>
                <w14:textFill>
                  <w14:solidFill>
                    <w14:schemeClr w14:val="tx1"/>
                  </w14:solidFill>
                </w14:textFill>
              </w:rPr>
              <w:t xml:space="preserve">总体设计方案</w:t>
            </w:r>
            <w:r/>
          </w:p>
        </w:tc>
        <w:tc>
          <w:tcPr>
            <w:tcBorders>
              <w:right w:val="single" w:color="000000" w:sz="4" w:space="0"/>
            </w:tcBorders>
            <w:tcW w:w="6238" w:type="dxa"/>
            <w:vAlign w:val="center"/>
            <w:textDirection w:val="lrTb"/>
            <w:noWrap w:val="false"/>
          </w:tcPr>
          <w:p>
            <w:pPr>
              <w:pStyle w:val="1189"/>
              <w:ind w:left="112"/>
              <w:spacing w:before="266" w:line="221"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根据投标人提供的对于本项目的总体建设方案进行评分，至少应包含总体架构、安全架构、性能设计、技术路线选择、安全防护措施等。方案优于招标文件要求的得5分，方案符合招标文件要求的得2分，方案不符合招标文件要求或未提供的不得分。</w:t>
            </w:r>
            <w:r/>
          </w:p>
        </w:tc>
        <w:tc>
          <w:tcPr>
            <w:tcBorders>
              <w:left w:val="single" w:color="000000" w:sz="4" w:space="0"/>
            </w:tcBorders>
            <w:tcW w:w="700" w:type="dxa"/>
            <w:vAlign w:val="center"/>
            <w:textDirection w:val="lrTb"/>
            <w:noWrap w:val="false"/>
          </w:tcPr>
          <w:p>
            <w:pPr>
              <w:pStyle w:val="1189"/>
              <w:ind w:left="252"/>
              <w:spacing w:before="69" w:line="182" w:lineRule="auto"/>
              <w:rPr>
                <w:color w:val="000000" w:themeColor="text1"/>
                <w:spacing w:val="-6"/>
                <w:sz w:val="21"/>
                <w:szCs w:val="21"/>
                <w:lang w:eastAsia="zh-CN"/>
                <w14:textFill>
                  <w14:solidFill>
                    <w14:schemeClr w14:val="tx1"/>
                  </w14:solidFill>
                </w14:textFill>
              </w:rPr>
            </w:pPr>
            <w:r>
              <w:rPr>
                <w:rFonts w:hint="eastAsia"/>
                <w:color w:val="000000" w:themeColor="text1"/>
                <w:spacing w:val="-6"/>
                <w:sz w:val="21"/>
                <w:szCs w:val="21"/>
                <w:lang w:eastAsia="zh-CN"/>
                <w14:textFill>
                  <w14:solidFill>
                    <w14:schemeClr w14:val="tx1"/>
                  </w14:solidFill>
                </w14:textFill>
              </w:rPr>
              <w:t xml:space="preserve">5</w:t>
            </w:r>
            <w:r/>
          </w:p>
        </w:tc>
      </w:tr>
      <w:tr>
        <w:trPr>
          <w:trHeight w:val="2205"/>
        </w:trPr>
        <w:tc>
          <w:tcPr>
            <w:tcW w:w="561" w:type="dxa"/>
            <w:textDirection w:val="lrTb"/>
            <w:noWrap w:val="false"/>
          </w:tcPr>
          <w:p>
            <w:pPr>
              <w:jc w:val="center"/>
              <w:spacing w:line="279" w:lineRule="auto"/>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jc w:val="center"/>
              <w:spacing w:line="279" w:lineRule="auto"/>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jc w:val="center"/>
              <w:spacing w:line="279" w:lineRule="auto"/>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jc w:val="center"/>
              <w:spacing w:line="279" w:lineRule="auto"/>
              <w:rPr>
                <w:rFonts w:eastAsiaTheme="minorEastAsia"/>
                <w:color w:val="000000" w:themeColor="text1"/>
                <w14:textFill>
                  <w14:solidFill>
                    <w14:schemeClr w14:val="tx1"/>
                  </w14:solidFill>
                </w14:textFill>
              </w:rPr>
            </w:pPr>
            <w:r>
              <w:rPr>
                <w:rFonts w:hint="eastAsia" w:eastAsiaTheme="minorEastAsia"/>
                <w:color w:val="000000" w:themeColor="text1"/>
                <w14:textFill>
                  <w14:solidFill>
                    <w14:schemeClr w14:val="tx1"/>
                  </w14:solidFill>
                </w14:textFill>
              </w:rPr>
              <w:t xml:space="preserve">8</w:t>
            </w:r>
            <w:r/>
          </w:p>
        </w:tc>
        <w:tc>
          <w:tcPr>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textDirection w:val="lrTb"/>
            <w:noWrap w:val="false"/>
          </w:tcPr>
          <w:p>
            <w:pPr>
              <w:spacing w:line="31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1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393" w:right="178" w:hanging="212"/>
              <w:spacing w:before="68" w:line="242" w:lineRule="auto"/>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服务方</w:t>
            </w:r>
            <w:r>
              <w:rPr>
                <w:color w:val="000000" w:themeColor="text1"/>
                <w:sz w:val="21"/>
                <w:szCs w:val="21"/>
                <w14:textFill>
                  <w14:solidFill>
                    <w14:schemeClr w14:val="tx1"/>
                  </w14:solidFill>
                </w14:textFill>
              </w:rPr>
              <w:t xml:space="preserve"> 案</w:t>
            </w:r>
            <w:r/>
          </w:p>
        </w:tc>
        <w:tc>
          <w:tcPr>
            <w:tcBorders>
              <w:right w:val="single" w:color="000000" w:sz="4" w:space="0"/>
            </w:tcBorders>
            <w:tcW w:w="6238" w:type="dxa"/>
            <w:textDirection w:val="lrTb"/>
            <w:noWrap w:val="false"/>
          </w:tcPr>
          <w:p>
            <w:pPr>
              <w:pStyle w:val="1189"/>
              <w:ind w:left="112"/>
              <w:spacing w:before="266" w:line="221"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根据投标人针对本项目提供的详细服务方案进行评价，依据方案详细程度、与项目匹配程度等进行评分，需至少包含组织架构、实施方案、突发事件处理及时性、培训方案。以上要素内容应详尽齐全、逻辑合理，完全满足项目需求。</w:t>
            </w:r>
            <w:r/>
          </w:p>
          <w:p>
            <w:pPr>
              <w:pStyle w:val="1189"/>
              <w:ind w:right="240"/>
              <w:spacing w:before="31" w:line="242"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方案优于招标文件要求的得5分，方案符合招标文件要求的得2分，方案不符合招标文件要求或未提供的不得分。</w:t>
            </w:r>
            <w:r/>
          </w:p>
        </w:tc>
        <w:tc>
          <w:tcPr>
            <w:tcBorders>
              <w:left w:val="single" w:color="000000" w:sz="4" w:space="0"/>
            </w:tcBorders>
            <w:tcW w:w="700" w:type="dxa"/>
            <w:textDirection w:val="lrTb"/>
            <w:noWrap w:val="false"/>
          </w:tcPr>
          <w:p>
            <w:pPr>
              <w:pStyle w:val="1189"/>
              <w:ind w:left="252"/>
              <w:spacing w:before="69" w:line="182" w:lineRule="auto"/>
              <w:rPr>
                <w:color w:val="000000" w:themeColor="text1"/>
                <w:spacing w:val="-6"/>
                <w:sz w:val="21"/>
                <w:szCs w:val="21"/>
                <w:lang w:eastAsia="zh-CN"/>
                <w14:textFill>
                  <w14:solidFill>
                    <w14:schemeClr w14:val="tx1"/>
                  </w14:solidFill>
                </w14:textFill>
              </w:rPr>
            </w:pPr>
            <w:r>
              <w:rPr>
                <w:color w:val="000000" w:themeColor="text1"/>
                <w:spacing w:val="-6"/>
                <w:sz w:val="21"/>
                <w:szCs w:val="21"/>
                <w:lang w:eastAsia="zh-CN"/>
                <w14:textFill>
                  <w14:solidFill>
                    <w14:schemeClr w14:val="tx1"/>
                  </w14:solidFill>
                </w14:textFill>
              </w:rPr>
            </w:r>
            <w:r/>
          </w:p>
          <w:p>
            <w:pPr>
              <w:pStyle w:val="1189"/>
              <w:ind w:left="252"/>
              <w:spacing w:before="69" w:line="182" w:lineRule="auto"/>
              <w:rPr>
                <w:color w:val="000000" w:themeColor="text1"/>
                <w:spacing w:val="-6"/>
                <w:sz w:val="21"/>
                <w:szCs w:val="21"/>
                <w:lang w:eastAsia="zh-CN"/>
                <w14:textFill>
                  <w14:solidFill>
                    <w14:schemeClr w14:val="tx1"/>
                  </w14:solidFill>
                </w14:textFill>
              </w:rPr>
            </w:pPr>
            <w:r>
              <w:rPr>
                <w:color w:val="000000" w:themeColor="text1"/>
                <w:spacing w:val="-6"/>
                <w:sz w:val="21"/>
                <w:szCs w:val="21"/>
                <w:lang w:eastAsia="zh-CN"/>
                <w14:textFill>
                  <w14:solidFill>
                    <w14:schemeClr w14:val="tx1"/>
                  </w14:solidFill>
                </w14:textFill>
              </w:rPr>
            </w:r>
            <w:r/>
          </w:p>
          <w:p>
            <w:pPr>
              <w:pStyle w:val="1189"/>
              <w:ind w:left="252"/>
              <w:spacing w:before="69" w:line="182" w:lineRule="auto"/>
              <w:rPr>
                <w:color w:val="000000" w:themeColor="text1"/>
                <w:spacing w:val="-6"/>
                <w:sz w:val="21"/>
                <w:szCs w:val="21"/>
                <w:lang w:eastAsia="zh-CN"/>
                <w14:textFill>
                  <w14:solidFill>
                    <w14:schemeClr w14:val="tx1"/>
                  </w14:solidFill>
                </w14:textFill>
              </w:rPr>
            </w:pPr>
            <w:r>
              <w:rPr>
                <w:color w:val="000000" w:themeColor="text1"/>
                <w:spacing w:val="-6"/>
                <w:sz w:val="21"/>
                <w:szCs w:val="21"/>
                <w:lang w:eastAsia="zh-CN"/>
                <w14:textFill>
                  <w14:solidFill>
                    <w14:schemeClr w14:val="tx1"/>
                  </w14:solidFill>
                </w14:textFill>
              </w:rPr>
            </w:r>
            <w:r/>
          </w:p>
          <w:p>
            <w:pPr>
              <w:pStyle w:val="1189"/>
              <w:ind w:left="252"/>
              <w:spacing w:before="69" w:line="182" w:lineRule="auto"/>
              <w:rPr>
                <w:color w:val="000000" w:themeColor="text1"/>
                <w:spacing w:val="-6"/>
                <w:sz w:val="21"/>
                <w:szCs w:val="21"/>
                <w:lang w:eastAsia="zh-CN"/>
                <w14:textFill>
                  <w14:solidFill>
                    <w14:schemeClr w14:val="tx1"/>
                  </w14:solidFill>
                </w14:textFill>
              </w:rPr>
            </w:pPr>
            <w:r>
              <w:rPr>
                <w:rFonts w:hint="eastAsia"/>
                <w:color w:val="000000" w:themeColor="text1"/>
                <w:spacing w:val="-6"/>
                <w:sz w:val="21"/>
                <w:szCs w:val="21"/>
                <w:lang w:eastAsia="zh-CN"/>
                <w14:textFill>
                  <w14:solidFill>
                    <w14:schemeClr w14:val="tx1"/>
                  </w14:solidFill>
                </w14:textFill>
              </w:rPr>
              <w:t xml:space="preserve">5</w:t>
            </w:r>
            <w:r/>
          </w:p>
        </w:tc>
      </w:tr>
    </w:tbl>
    <w:p>
      <w:pPr>
        <w:pStyle w:val="101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notePr/>
          <w:endnotePr/>
          <w:type w:val="nextPage"/>
          <w:pgSz w:w="11907" w:h="16839" w:orient="portrait"/>
          <w:pgMar w:top="400" w:right="1358" w:bottom="400" w:left="1366" w:header="0" w:footer="0" w:gutter="0"/>
          <w:cols w:num="1" w:sep="0" w:space="720" w:equalWidth="1"/>
          <w:docGrid w:linePitch="360"/>
        </w:sect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188"/>
        <w:tblW w:w="91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1"/>
        <w:gridCol w:w="686"/>
        <w:gridCol w:w="991"/>
        <w:gridCol w:w="6238"/>
        <w:gridCol w:w="700"/>
      </w:tblGrid>
      <w:tr>
        <w:trPr>
          <w:trHeight w:val="952"/>
        </w:trPr>
        <w:tc>
          <w:tcPr>
            <w:tcW w:w="561" w:type="dxa"/>
            <w:textDirection w:val="tbRlV"/>
            <w:noWrap w:val="false"/>
          </w:tcPr>
          <w:p>
            <w:pPr>
              <w:pStyle w:val="1189"/>
              <w:ind w:left="229"/>
              <w:spacing w:before="172" w:line="211" w:lineRule="auto"/>
              <w:rPr>
                <w:color w:val="000000" w:themeColor="text1"/>
                <w:sz w:val="21"/>
                <w:szCs w:val="21"/>
                <w14:textFill>
                  <w14:solidFill>
                    <w14:schemeClr w14:val="tx1"/>
                  </w14:solidFill>
                </w14:textFill>
              </w:rPr>
            </w:pPr>
            <w:r>
              <w:rPr>
                <w:b/>
                <w:bCs/>
                <w:color w:val="000000" w:themeColor="text1"/>
                <w:spacing w:val="-2"/>
                <w:sz w:val="21"/>
                <w:szCs w:val="21"/>
                <w14:textFill>
                  <w14:solidFill>
                    <w14:schemeClr w14:val="tx1"/>
                  </w14:solidFill>
                </w14:textFill>
              </w:rPr>
              <w:t xml:space="preserve">序</w:t>
            </w:r>
            <w:r>
              <w:rPr>
                <w:color w:val="000000" w:themeColor="text1"/>
                <w:spacing w:val="-25"/>
                <w:sz w:val="21"/>
                <w:szCs w:val="21"/>
                <w14:textFill>
                  <w14:solidFill>
                    <w14:schemeClr w14:val="tx1"/>
                  </w14:solidFill>
                </w14:textFill>
              </w:rPr>
              <w:t xml:space="preserve"> </w:t>
            </w:r>
            <w:r>
              <w:rPr>
                <w:b/>
                <w:bCs/>
                <w:color w:val="000000" w:themeColor="text1"/>
                <w:spacing w:val="-2"/>
                <w:sz w:val="21"/>
                <w:szCs w:val="21"/>
                <w14:textFill>
                  <w14:solidFill>
                    <w14:schemeClr w14:val="tx1"/>
                  </w14:solidFill>
                </w14:textFill>
              </w:rPr>
              <w:t xml:space="preserve">号</w:t>
            </w:r>
            <w:r/>
          </w:p>
        </w:tc>
        <w:tc>
          <w:tcPr>
            <w:gridSpan w:val="2"/>
            <w:tcW w:w="1677" w:type="dxa"/>
            <w:textDirection w:val="lrTb"/>
            <w:noWrap w:val="false"/>
          </w:tcPr>
          <w:p>
            <w:pPr>
              <w:pStyle w:val="1189"/>
              <w:ind w:left="646" w:right="627" w:hanging="17"/>
              <w:spacing w:before="228" w:line="242" w:lineRule="auto"/>
              <w:rPr>
                <w:color w:val="000000" w:themeColor="text1"/>
                <w:sz w:val="21"/>
                <w:szCs w:val="21"/>
                <w14:textFill>
                  <w14:solidFill>
                    <w14:schemeClr w14:val="tx1"/>
                  </w14:solidFill>
                </w14:textFill>
              </w:rPr>
            </w:pPr>
            <w:r>
              <w:rPr>
                <w:b/>
                <w:bCs/>
                <w:color w:val="000000" w:themeColor="text1"/>
                <w:spacing w:val="-5"/>
                <w:sz w:val="21"/>
                <w:szCs w:val="21"/>
                <w14:textFill>
                  <w14:solidFill>
                    <w14:schemeClr w14:val="tx1"/>
                  </w14:solidFill>
                </w14:textFill>
              </w:rPr>
              <w:t xml:space="preserve">评分</w:t>
            </w:r>
            <w:r>
              <w:rPr>
                <w:color w:val="000000" w:themeColor="text1"/>
                <w:sz w:val="21"/>
                <w:szCs w:val="21"/>
                <w14:textFill>
                  <w14:solidFill>
                    <w14:schemeClr w14:val="tx1"/>
                  </w14:solidFill>
                </w14:textFill>
              </w:rPr>
              <w:t xml:space="preserve"> </w:t>
            </w:r>
            <w:r>
              <w:rPr>
                <w:b/>
                <w:bCs/>
                <w:color w:val="000000" w:themeColor="text1"/>
                <w:spacing w:val="-14"/>
                <w:sz w:val="21"/>
                <w:szCs w:val="21"/>
                <w14:textFill>
                  <w14:solidFill>
                    <w14:schemeClr w14:val="tx1"/>
                  </w14:solidFill>
                </w14:textFill>
              </w:rPr>
              <w:t xml:space="preserve">因素</w:t>
            </w:r>
            <w:r/>
          </w:p>
        </w:tc>
        <w:tc>
          <w:tcPr>
            <w:tcBorders>
              <w:right w:val="single" w:color="000000" w:sz="4" w:space="0"/>
            </w:tcBorders>
            <w:tcW w:w="6238" w:type="dxa"/>
            <w:textDirection w:val="lrTb"/>
            <w:noWrap w:val="false"/>
          </w:tcPr>
          <w:p>
            <w:pPr>
              <w:spacing w:line="30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702"/>
              <w:spacing w:before="68" w:line="221" w:lineRule="auto"/>
              <w:rPr>
                <w:color w:val="000000" w:themeColor="text1"/>
                <w:sz w:val="21"/>
                <w:szCs w:val="21"/>
                <w14:textFill>
                  <w14:solidFill>
                    <w14:schemeClr w14:val="tx1"/>
                  </w14:solidFill>
                </w14:textFill>
              </w:rPr>
            </w:pPr>
            <w:r>
              <w:rPr>
                <w:b/>
                <w:bCs/>
                <w:color w:val="000000" w:themeColor="text1"/>
                <w:spacing w:val="-3"/>
                <w:sz w:val="21"/>
                <w:szCs w:val="21"/>
                <w14:textFill>
                  <w14:solidFill>
                    <w14:schemeClr w14:val="tx1"/>
                  </w14:solidFill>
                </w14:textFill>
              </w:rPr>
              <w:t xml:space="preserve">评审标准</w:t>
            </w:r>
            <w:r/>
          </w:p>
        </w:tc>
        <w:tc>
          <w:tcPr>
            <w:tcBorders>
              <w:left w:val="single" w:color="000000" w:sz="4" w:space="0"/>
            </w:tcBorders>
            <w:tcW w:w="700" w:type="dxa"/>
            <w:textDirection w:val="lrTb"/>
            <w:noWrap w:val="false"/>
          </w:tcPr>
          <w:p>
            <w:pPr>
              <w:spacing w:line="302"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45"/>
              <w:spacing w:before="68" w:line="221" w:lineRule="auto"/>
              <w:rPr>
                <w:color w:val="000000" w:themeColor="text1"/>
                <w:sz w:val="21"/>
                <w:szCs w:val="21"/>
                <w14:textFill>
                  <w14:solidFill>
                    <w14:schemeClr w14:val="tx1"/>
                  </w14:solidFill>
                </w14:textFill>
              </w:rPr>
            </w:pPr>
            <w:r>
              <w:rPr>
                <w:b/>
                <w:bCs/>
                <w:color w:val="000000" w:themeColor="text1"/>
                <w:spacing w:val="-5"/>
                <w:sz w:val="21"/>
                <w:szCs w:val="21"/>
                <w14:textFill>
                  <w14:solidFill>
                    <w14:schemeClr w14:val="tx1"/>
                  </w14:solidFill>
                </w14:textFill>
              </w:rPr>
              <w:t xml:space="preserve">分值</w:t>
            </w:r>
            <w:r/>
          </w:p>
        </w:tc>
      </w:tr>
      <w:tr>
        <w:trPr>
          <w:trHeight w:val="1547"/>
        </w:trPr>
        <w:tc>
          <w:tcPr>
            <w:tcW w:w="561" w:type="dxa"/>
            <w:textDirection w:val="lrTb"/>
            <w:noWrap w:val="false"/>
          </w:tcPr>
          <w:p>
            <w:pPr>
              <w:spacing w:line="31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17"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38"/>
              <w:spacing w:before="68" w:line="18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9</w:t>
            </w:r>
            <w:r/>
          </w:p>
        </w:tc>
        <w:tc>
          <w:tcPr>
            <w:tcW w:w="686"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textDirection w:val="lrTb"/>
            <w:noWrap w:val="false"/>
          </w:tcPr>
          <w:p>
            <w:pPr>
              <w:spacing w:line="4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81" w:right="178"/>
              <w:spacing w:before="68" w:line="242" w:lineRule="auto"/>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适配迁</w:t>
            </w:r>
            <w:r>
              <w:rPr>
                <w:color w:val="000000" w:themeColor="text1"/>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 xml:space="preserve">移方案</w:t>
            </w:r>
            <w:r/>
          </w:p>
        </w:tc>
        <w:tc>
          <w:tcPr>
            <w:tcBorders>
              <w:right w:val="single" w:color="000000" w:sz="4" w:space="0"/>
            </w:tcBorders>
            <w:tcW w:w="6238" w:type="dxa"/>
            <w:textDirection w:val="lrTb"/>
            <w:noWrap w:val="false"/>
          </w:tcPr>
          <w:p>
            <w:pPr>
              <w:pStyle w:val="1189"/>
              <w:ind w:left="112" w:right="239" w:firstLine="1"/>
              <w:spacing w:before="86" w:line="250"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待采购单位信创环境具备条件后，投标人需配合完成信创环境适配及迁移，并在投标文件中提供详细的适配迁移方案。方案优于招标文件要求的得5分，方案符合招标文件要求的得2分，方案不符合招标文件要求或未提供的不得分。</w:t>
            </w:r>
            <w:r/>
          </w:p>
        </w:tc>
        <w:tc>
          <w:tcPr>
            <w:tcBorders>
              <w:left w:val="single" w:color="000000" w:sz="4" w:space="0"/>
            </w:tcBorders>
            <w:tcW w:w="700" w:type="dxa"/>
            <w:textDirection w:val="lrTb"/>
            <w:noWrap w:val="false"/>
          </w:tcPr>
          <w:p>
            <w:pPr>
              <w:spacing w:line="32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2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302"/>
              <w:spacing w:before="61" w:line="18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p>
        </w:tc>
      </w:tr>
      <w:tr>
        <w:trPr>
          <w:trHeight w:val="1426"/>
        </w:trPr>
        <w:tc>
          <w:tcPr>
            <w:tcW w:w="561" w:type="dxa"/>
            <w:vMerge w:val="restart"/>
            <w:textDirection w:val="lrTb"/>
            <w:noWrap w:val="false"/>
          </w:tcPr>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color w:val="000000" w:themeColor="text1"/>
                <w:sz w:val="21"/>
                <w:szCs w:val="21"/>
                <w14:textFill>
                  <w14:solidFill>
                    <w14:schemeClr w14:val="tx1"/>
                  </w14:solidFill>
                </w14:textFill>
              </w:rPr>
            </w:pPr>
            <w:r>
              <w:rPr>
                <w:rFonts w:hint="eastAsia" w:ascii="Times New Roman" w:hAnsi="Times New Roman" w:cs="Times New Roman"/>
                <w:color w:val="000000" w:themeColor="text1"/>
                <w:sz w:val="21"/>
                <w:szCs w:val="21"/>
                <w:lang w:eastAsia="zh-CN"/>
                <w14:textFill>
                  <w14:solidFill>
                    <w14:schemeClr w14:val="tx1"/>
                  </w14:solidFill>
                </w14:textFill>
              </w:rPr>
              <w:t xml:space="preserve">10</w:t>
            </w:r>
            <w:r/>
          </w:p>
        </w:tc>
        <w:tc>
          <w:tcPr>
            <w:tcBorders>
              <w:bottom w:val="none" w:color="000000" w:sz="4" w:space="0"/>
            </w:tcBorders>
            <w:tcW w:w="686" w:type="dxa"/>
            <w:vMerge w:val="restart"/>
            <w:textDirection w:val="lrTb"/>
            <w:noWrap w:val="false"/>
          </w:tcPr>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12"/>
              <w:spacing w:before="69" w:line="222" w:lineRule="auto"/>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演示</w:t>
            </w:r>
            <w:r/>
          </w:p>
        </w:tc>
        <w:tc>
          <w:tcPr>
            <w:gridSpan w:val="2"/>
            <w:tcBorders>
              <w:right w:val="single" w:color="000000" w:sz="4" w:space="0"/>
            </w:tcBorders>
            <w:tcW w:w="7229" w:type="dxa"/>
            <w:textDirection w:val="lrTb"/>
            <w:noWrap w:val="false"/>
          </w:tcPr>
          <w:p>
            <w:pPr>
              <w:pStyle w:val="1189"/>
              <w:ind w:left="108" w:right="182" w:firstLine="26"/>
              <w:spacing w:before="44" w:line="245" w:lineRule="auto"/>
              <w:rPr>
                <w:color w:val="000000" w:themeColor="text1"/>
                <w:sz w:val="21"/>
                <w:szCs w:val="21"/>
                <w:lang w:eastAsia="zh-CN"/>
                <w14:textFill>
                  <w14:solidFill>
                    <w14:schemeClr w14:val="tx1"/>
                  </w14:solidFill>
                </w14:textFill>
              </w:rPr>
            </w:pPr>
            <w:r>
              <w:rPr>
                <w:color w:val="000000" w:themeColor="text1"/>
                <w:spacing w:val="-1"/>
                <w:sz w:val="21"/>
                <w:szCs w:val="21"/>
                <w:lang w:eastAsia="zh-CN"/>
                <w14:textFill>
                  <w14:solidFill>
                    <w14:schemeClr w14:val="tx1"/>
                  </w14:solidFill>
                </w14:textFill>
              </w:rPr>
              <w:t xml:space="preserve">由投标人自行准备演示系统及相关设备，对本项目主要功能</w:t>
            </w:r>
            <w:r>
              <w:rPr>
                <w:rFonts w:hint="eastAsia"/>
                <w:color w:val="000000" w:themeColor="text1"/>
                <w:spacing w:val="-1"/>
                <w:sz w:val="21"/>
                <w:szCs w:val="21"/>
                <w:lang w:eastAsia="zh-CN"/>
                <w14:textFill>
                  <w14:solidFill>
                    <w14:schemeClr w14:val="tx1"/>
                  </w14:solidFill>
                </w14:textFill>
              </w:rPr>
              <w:t xml:space="preserve">进行现场</w:t>
            </w:r>
            <w:r>
              <w:rPr>
                <w:color w:val="000000" w:themeColor="text1"/>
                <w:sz w:val="21"/>
                <w:szCs w:val="21"/>
                <w:lang w:eastAsia="zh-CN"/>
                <w14:textFill>
                  <w14:solidFill>
                    <w14:schemeClr w14:val="tx1"/>
                  </w14:solidFill>
                </w14:textFill>
              </w:rPr>
              <w:t xml:space="preserve">演示。如果不参加</w:t>
            </w:r>
            <w:r>
              <w:rPr>
                <w:rFonts w:hint="eastAsia"/>
                <w:color w:val="000000" w:themeColor="text1"/>
                <w:sz w:val="21"/>
                <w:szCs w:val="21"/>
                <w:lang w:eastAsia="zh-CN"/>
                <w14:textFill>
                  <w14:solidFill>
                    <w14:schemeClr w14:val="tx1"/>
                  </w14:solidFill>
                </w14:textFill>
              </w:rPr>
              <w:t xml:space="preserve">现场</w:t>
            </w:r>
            <w:r>
              <w:rPr>
                <w:color w:val="000000" w:themeColor="text1"/>
                <w:sz w:val="21"/>
                <w:szCs w:val="21"/>
                <w:lang w:eastAsia="zh-CN"/>
                <w14:textFill>
                  <w14:solidFill>
                    <w14:schemeClr w14:val="tx1"/>
                  </w14:solidFill>
                </w14:textFill>
              </w:rPr>
              <w:t xml:space="preserve">演示，该项为零分。投标人采用实体软件</w:t>
            </w:r>
            <w:r>
              <w:rPr>
                <w:color w:val="000000" w:themeColor="text1"/>
                <w:spacing w:val="-1"/>
                <w:sz w:val="21"/>
                <w:szCs w:val="21"/>
                <w:lang w:eastAsia="zh-CN"/>
                <w14:textFill>
                  <w14:solidFill>
                    <w14:schemeClr w14:val="tx1"/>
                  </w14:solidFill>
                </w14:textFill>
              </w:rPr>
              <w:t xml:space="preserve">进行</w:t>
            </w:r>
            <w:r>
              <w:rPr>
                <w:color w:val="000000" w:themeColor="text1"/>
                <w:spacing w:val="-2"/>
                <w:sz w:val="21"/>
                <w:szCs w:val="21"/>
                <w:lang w:eastAsia="zh-CN"/>
                <w14:textFill>
                  <w14:solidFill>
                    <w14:schemeClr w14:val="tx1"/>
                  </w14:solidFill>
                </w14:textFill>
              </w:rPr>
              <w:t xml:space="preserve">演示的，全部满足演示清单功能要求，最高得</w:t>
            </w:r>
            <w:r>
              <w:rPr>
                <w:color w:val="000000" w:themeColor="text1"/>
                <w:spacing w:val="-17"/>
                <w:sz w:val="21"/>
                <w:szCs w:val="21"/>
                <w:lang w:eastAsia="zh-CN"/>
                <w14:textFill>
                  <w14:solidFill>
                    <w14:schemeClr w14:val="tx1"/>
                  </w14:solidFill>
                </w14:textFill>
              </w:rPr>
              <w:t xml:space="preserve"> </w:t>
            </w:r>
            <w:r>
              <w:rPr>
                <w:color w:val="000000" w:themeColor="text1"/>
                <w:spacing w:val="-2"/>
                <w:sz w:val="21"/>
                <w:szCs w:val="21"/>
                <w:lang w:eastAsia="zh-CN"/>
                <w14:textFill>
                  <w14:solidFill>
                    <w14:schemeClr w14:val="tx1"/>
                  </w14:solidFill>
                </w14:textFill>
              </w:rPr>
              <w:t xml:space="preserve">1</w:t>
            </w:r>
            <w:r>
              <w:rPr>
                <w:rFonts w:hint="eastAsia"/>
                <w:color w:val="000000" w:themeColor="text1"/>
                <w:spacing w:val="-2"/>
                <w:sz w:val="21"/>
                <w:szCs w:val="21"/>
                <w:lang w:eastAsia="zh-CN"/>
                <w14:textFill>
                  <w14:solidFill>
                    <w14:schemeClr w14:val="tx1"/>
                  </w14:solidFill>
                </w14:textFill>
              </w:rPr>
              <w:t xml:space="preserve">0</w:t>
            </w:r>
            <w:r>
              <w:rPr>
                <w:color w:val="000000" w:themeColor="text1"/>
                <w:spacing w:val="-2"/>
                <w:sz w:val="21"/>
                <w:szCs w:val="21"/>
                <w:lang w:eastAsia="zh-CN"/>
                <w14:textFill>
                  <w14:solidFill>
                    <w14:schemeClr w14:val="tx1"/>
                  </w14:solidFill>
                </w14:textFill>
              </w:rPr>
              <w:t xml:space="preserve">分；采用</w:t>
            </w:r>
            <w:r>
              <w:rPr>
                <w:color w:val="000000" w:themeColor="text1"/>
                <w:spacing w:val="-39"/>
                <w:sz w:val="21"/>
                <w:szCs w:val="21"/>
                <w:lang w:eastAsia="zh-CN"/>
                <w14:textFill>
                  <w14:solidFill>
                    <w14:schemeClr w14:val="tx1"/>
                  </w14:solidFill>
                </w14:textFill>
              </w:rPr>
              <w:t xml:space="preserve"> </w:t>
            </w:r>
            <w:r>
              <w:rPr>
                <w:color w:val="000000" w:themeColor="text1"/>
                <w:spacing w:val="-2"/>
                <w:sz w:val="21"/>
                <w:szCs w:val="21"/>
                <w:lang w:eastAsia="zh-CN"/>
                <w14:textFill>
                  <w14:solidFill>
                    <w14:schemeClr w14:val="tx1"/>
                  </w14:solidFill>
                </w14:textFill>
              </w:rPr>
              <w:t xml:space="preserve">demo</w:t>
            </w:r>
            <w:r>
              <w:rPr>
                <w:color w:val="000000" w:themeColor="text1"/>
                <w:spacing w:val="-46"/>
                <w:sz w:val="21"/>
                <w:szCs w:val="21"/>
                <w:lang w:eastAsia="zh-CN"/>
                <w14:textFill>
                  <w14:solidFill>
                    <w14:schemeClr w14:val="tx1"/>
                  </w14:solidFill>
                </w14:textFill>
              </w:rPr>
              <w:t xml:space="preserve"> </w:t>
            </w:r>
            <w:r>
              <w:rPr>
                <w:color w:val="000000" w:themeColor="text1"/>
                <w:spacing w:val="-2"/>
                <w:sz w:val="21"/>
                <w:szCs w:val="21"/>
                <w:lang w:eastAsia="zh-CN"/>
                <w14:textFill>
                  <w14:solidFill>
                    <w14:schemeClr w14:val="tx1"/>
                  </w14:solidFill>
                </w14:textFill>
              </w:rPr>
              <w:t xml:space="preserve">进行演示</w:t>
            </w:r>
            <w:r>
              <w:rPr>
                <w:color w:val="000000" w:themeColor="text1"/>
                <w:spacing w:val="-3"/>
                <w:sz w:val="21"/>
                <w:szCs w:val="21"/>
                <w:lang w:eastAsia="zh-CN"/>
                <w14:textFill>
                  <w14:solidFill>
                    <w14:schemeClr w14:val="tx1"/>
                  </w14:solidFill>
                </w14:textFill>
              </w:rPr>
              <w:t xml:space="preserve">的，全部满足演示清单功能要求，最高得</w:t>
            </w:r>
            <w:r>
              <w:rPr>
                <w:color w:val="000000" w:themeColor="text1"/>
                <w:spacing w:val="-25"/>
                <w:sz w:val="21"/>
                <w:szCs w:val="21"/>
                <w:lang w:eastAsia="zh-CN"/>
                <w14:textFill>
                  <w14:solidFill>
                    <w14:schemeClr w14:val="tx1"/>
                  </w14:solidFill>
                </w14:textFill>
              </w:rPr>
              <w:t xml:space="preserve"> </w:t>
            </w:r>
            <w:r>
              <w:rPr>
                <w:rFonts w:hint="eastAsia"/>
                <w:color w:val="000000" w:themeColor="text1"/>
                <w:spacing w:val="-3"/>
                <w:sz w:val="21"/>
                <w:szCs w:val="21"/>
                <w:lang w:eastAsia="zh-CN"/>
                <w14:textFill>
                  <w14:solidFill>
                    <w14:schemeClr w14:val="tx1"/>
                  </w14:solidFill>
                </w14:textFill>
              </w:rPr>
              <w:t xml:space="preserve">5</w:t>
            </w:r>
            <w:r>
              <w:rPr>
                <w:color w:val="000000" w:themeColor="text1"/>
                <w:spacing w:val="-3"/>
                <w:sz w:val="21"/>
                <w:szCs w:val="21"/>
                <w:lang w:eastAsia="zh-CN"/>
                <w14:textFill>
                  <w14:solidFill>
                    <w14:schemeClr w14:val="tx1"/>
                  </w14:solidFill>
                </w14:textFill>
              </w:rPr>
              <w:t xml:space="preserve">分；以</w:t>
            </w:r>
            <w:r>
              <w:rPr>
                <w:color w:val="000000" w:themeColor="text1"/>
                <w:spacing w:val="-50"/>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PPT</w:t>
            </w:r>
            <w:r>
              <w:rPr>
                <w:color w:val="000000" w:themeColor="text1"/>
                <w:spacing w:val="-44"/>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模拟演示的，全部满足演示清单功能要求，</w:t>
            </w:r>
            <w:r>
              <w:rPr>
                <w:rFonts w:hint="eastAsia"/>
                <w:color w:val="000000" w:themeColor="text1"/>
                <w:spacing w:val="-3"/>
                <w:sz w:val="21"/>
                <w:szCs w:val="21"/>
                <w:lang w:eastAsia="zh-CN"/>
                <w14:textFill>
                  <w14:solidFill>
                    <w14:schemeClr w14:val="tx1"/>
                  </w14:solidFill>
                </w14:textFill>
              </w:rPr>
              <w:t xml:space="preserve">最高得3分</w:t>
            </w:r>
            <w:r>
              <w:rPr>
                <w:color w:val="000000" w:themeColor="text1"/>
                <w:spacing w:val="-3"/>
                <w:sz w:val="21"/>
                <w:szCs w:val="21"/>
                <w:lang w:eastAsia="zh-CN"/>
                <w14:textFill>
                  <w14:solidFill>
                    <w14:schemeClr w14:val="tx1"/>
                  </w14:solidFill>
                </w14:textFill>
              </w:rPr>
              <w:t xml:space="preserve">。（各投标人的演示时间控制在</w:t>
            </w:r>
            <w:r>
              <w:rPr>
                <w:color w:val="000000" w:themeColor="text1"/>
                <w:spacing w:val="-22"/>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20</w:t>
            </w:r>
            <w:r>
              <w:rPr>
                <w:color w:val="000000" w:themeColor="text1"/>
                <w:spacing w:val="-41"/>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分钟之内）</w:t>
            </w:r>
            <w:r/>
          </w:p>
        </w:tc>
        <w:tc>
          <w:tcPr>
            <w:tcBorders>
              <w:left w:val="single" w:color="000000" w:sz="4" w:space="0"/>
              <w:bottom w:val="none" w:color="000000" w:sz="4" w:space="0"/>
            </w:tcBorders>
            <w:tcW w:w="700" w:type="dxa"/>
            <w:vMerge w:val="restart"/>
            <w:textDirection w:val="lrTb"/>
            <w:noWrap w:val="false"/>
          </w:tcPr>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264"/>
              <w:spacing w:before="60" w:line="189" w:lineRule="auto"/>
              <w:rPr>
                <w:rFonts w:hint="eastAsia" w:eastAsiaTheme="minorEastAsia"/>
                <w:color w:val="000000" w:themeColor="text1"/>
                <w14:textFill>
                  <w14:solidFill>
                    <w14:schemeClr w14:val="tx1"/>
                  </w14:solidFill>
                </w14:textFill>
              </w:rPr>
            </w:pPr>
            <w:r>
              <w:rPr>
                <w:rFonts w:eastAsia="Times New Roman"/>
                <w:color w:val="000000" w:themeColor="text1"/>
                <w:spacing w:val="-12"/>
                <w14:textFill>
                  <w14:solidFill>
                    <w14:schemeClr w14:val="tx1"/>
                  </w14:solidFill>
                </w14:textFill>
              </w:rPr>
              <w:t xml:space="preserve">1</w:t>
            </w:r>
            <w:r>
              <w:rPr>
                <w:rFonts w:hint="eastAsia" w:eastAsiaTheme="minorEastAsia"/>
                <w:color w:val="000000" w:themeColor="text1"/>
                <w:spacing w:val="-12"/>
                <w14:textFill>
                  <w14:solidFill>
                    <w14:schemeClr w14:val="tx1"/>
                  </w14:solidFill>
                </w14:textFill>
              </w:rPr>
              <w:t xml:space="preserve">0</w:t>
            </w:r>
            <w:r/>
          </w:p>
        </w:tc>
      </w:tr>
      <w:tr>
        <w:trPr>
          <w:trHeight w:val="919"/>
        </w:trPr>
        <w:tc>
          <w:tcPr>
            <w:tcW w:w="561" w:type="dxa"/>
            <w:vMerge w:val="continue"/>
            <w:textDirection w:val="lrTb"/>
            <w:noWrap w:val="false"/>
          </w:tcPr>
          <w:p>
            <w:pPr>
              <w:pStyle w:val="1189"/>
              <w:ind w:left="131"/>
              <w:spacing w:before="68" w:line="183"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991" w:type="dxa"/>
            <w:vMerge w:val="restart"/>
            <w:textDirection w:val="lrTb"/>
            <w:noWrap w:val="false"/>
          </w:tcPr>
          <w:p>
            <w:pPr>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25" w:right="250" w:hanging="17"/>
              <w:spacing w:before="68" w:line="243" w:lineRule="auto"/>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业务中</w:t>
            </w:r>
            <w:r>
              <w:rPr>
                <w:color w:val="000000" w:themeColor="text1"/>
                <w:spacing w:val="1"/>
                <w:sz w:val="21"/>
                <w:szCs w:val="21"/>
                <w14:textFill>
                  <w14:solidFill>
                    <w14:schemeClr w14:val="tx1"/>
                  </w14:solidFill>
                </w14:textFill>
              </w:rPr>
              <w:t xml:space="preserve"> </w:t>
            </w:r>
            <w:r>
              <w:rPr>
                <w:color w:val="000000" w:themeColor="text1"/>
                <w:sz w:val="21"/>
                <w:szCs w:val="21"/>
                <w14:textFill>
                  <w14:solidFill>
                    <w14:schemeClr w14:val="tx1"/>
                  </w14:solidFill>
                </w14:textFill>
              </w:rPr>
              <w:t xml:space="preserve">台</w:t>
            </w:r>
            <w:r/>
          </w:p>
        </w:tc>
        <w:tc>
          <w:tcPr>
            <w:tcBorders>
              <w:right w:val="single" w:color="000000" w:sz="4" w:space="0"/>
            </w:tcBorders>
            <w:tcW w:w="6238" w:type="dxa"/>
            <w:textDirection w:val="lrTb"/>
            <w:noWrap w:val="false"/>
          </w:tcPr>
          <w:p>
            <w:pPr>
              <w:pStyle w:val="1189"/>
              <w:ind w:right="240"/>
              <w:jc w:val="both"/>
              <w:spacing w:before="65" w:line="246"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w:t>
            </w:r>
            <w:r>
              <w:rPr>
                <w:color w:val="000000" w:themeColor="text1"/>
                <w:sz w:val="21"/>
                <w:szCs w:val="21"/>
                <w:lang w:eastAsia="zh-CN"/>
                <w14:textFill>
                  <w14:solidFill>
                    <w14:schemeClr w14:val="tx1"/>
                  </w14:solidFill>
                </w14:textFill>
              </w:rPr>
              <w:t xml:space="preserve">演示用户管理中心的标签管理功能，管理员通过此功</w:t>
            </w:r>
            <w:r>
              <w:rPr>
                <w:color w:val="000000" w:themeColor="text1"/>
                <w:spacing w:val="-1"/>
                <w:sz w:val="21"/>
                <w:szCs w:val="21"/>
                <w:lang w:eastAsia="zh-CN"/>
                <w14:textFill>
                  <w14:solidFill>
                    <w14:schemeClr w14:val="tx1"/>
                  </w14:solidFill>
                </w14:textFill>
              </w:rPr>
              <w:t xml:space="preserve">能为各级组</w:t>
            </w:r>
            <w:r>
              <w:rPr>
                <w:color w:val="000000" w:themeColor="text1"/>
                <w:sz w:val="21"/>
                <w:szCs w:val="21"/>
                <w:lang w:eastAsia="zh-CN"/>
                <w14:textFill>
                  <w14:solidFill>
                    <w14:schemeClr w14:val="tx1"/>
                  </w14:solidFill>
                </w14:textFill>
              </w:rPr>
              <w:t xml:space="preserve">织、合作单位、协议单位进行标签设置，设置完</w:t>
            </w:r>
            <w:r>
              <w:rPr>
                <w:color w:val="000000" w:themeColor="text1"/>
                <w:spacing w:val="-1"/>
                <w:sz w:val="21"/>
                <w:szCs w:val="21"/>
                <w:lang w:eastAsia="zh-CN"/>
                <w14:textFill>
                  <w14:solidFill>
                    <w14:schemeClr w14:val="tx1"/>
                  </w14:solidFill>
                </w14:textFill>
              </w:rPr>
              <w:t xml:space="preserve">成后可支持多视角进行组织机构查询、管理</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1 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83"/>
        </w:trPr>
        <w:tc>
          <w:tcPr>
            <w:tcW w:w="561" w:type="dxa"/>
            <w:vMerge w:val="continue"/>
            <w:textDirection w:val="lrTb"/>
            <w:noWrap w:val="false"/>
          </w:tcPr>
          <w:p>
            <w:pPr>
              <w:pStyle w:val="1189"/>
              <w:ind w:left="131"/>
              <w:spacing w:before="68" w:line="183"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991"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right w:val="single" w:color="000000" w:sz="4" w:space="0"/>
            </w:tcBorders>
            <w:tcW w:w="6238" w:type="dxa"/>
            <w:textDirection w:val="lrTb"/>
            <w:noWrap w:val="false"/>
          </w:tcPr>
          <w:p>
            <w:pPr>
              <w:pStyle w:val="1189"/>
              <w:ind w:right="240"/>
              <w:spacing w:before="42" w:line="233"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rPr>
                <w:color w:val="000000" w:themeColor="text1"/>
                <w:sz w:val="21"/>
                <w:szCs w:val="21"/>
                <w:lang w:eastAsia="zh-CN"/>
                <w14:textFill>
                  <w14:solidFill>
                    <w14:schemeClr w14:val="tx1"/>
                  </w14:solidFill>
                </w14:textFill>
              </w:rPr>
              <w:t xml:space="preserve">演示用户管理中心“一人多岗”的账号管理机制及结</w:t>
            </w:r>
            <w:r>
              <w:rPr>
                <w:color w:val="000000" w:themeColor="text1"/>
                <w:spacing w:val="-1"/>
                <w:sz w:val="21"/>
                <w:szCs w:val="21"/>
                <w:lang w:eastAsia="zh-CN"/>
                <w14:textFill>
                  <w14:solidFill>
                    <w14:schemeClr w14:val="tx1"/>
                  </w14:solidFill>
                </w14:textFill>
              </w:rPr>
              <w:t xml:space="preserve">合个人空间演示账号的岗位切换操作</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1分。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1166"/>
        </w:trPr>
        <w:tc>
          <w:tcPr>
            <w:tcW w:w="561" w:type="dxa"/>
            <w:vMerge w:val="continue"/>
            <w:textDirection w:val="lrTb"/>
            <w:noWrap w:val="false"/>
          </w:tcPr>
          <w:p>
            <w:pPr>
              <w:pStyle w:val="1189"/>
              <w:ind w:left="131"/>
              <w:spacing w:before="68" w:line="183"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991"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right w:val="single" w:color="000000" w:sz="4" w:space="0"/>
            </w:tcBorders>
            <w:tcW w:w="6238" w:type="dxa"/>
            <w:textDirection w:val="lrTb"/>
            <w:noWrap w:val="false"/>
          </w:tcPr>
          <w:p>
            <w:pPr>
              <w:pStyle w:val="1189"/>
              <w:ind w:right="187"/>
              <w:spacing w:before="47" w:line="245" w:lineRule="auto"/>
              <w:rPr>
                <w:color w:val="000000" w:themeColor="text1"/>
                <w:sz w:val="21"/>
                <w:szCs w:val="21"/>
                <w:lang w:eastAsia="zh-CN"/>
                <w14:textFill>
                  <w14:solidFill>
                    <w14:schemeClr w14:val="tx1"/>
                  </w14:solidFill>
                </w14:textFill>
              </w:rPr>
            </w:pPr>
            <w:r>
              <w:rPr>
                <w:rFonts w:hint="eastAsia"/>
                <w:color w:val="000000" w:themeColor="text1"/>
                <w:spacing w:val="-1"/>
                <w:sz w:val="21"/>
                <w:szCs w:val="21"/>
                <w:lang w:eastAsia="zh-CN"/>
                <w14:textFill>
                  <w14:solidFill>
                    <w14:schemeClr w14:val="tx1"/>
                  </w14:solidFill>
                </w14:textFill>
              </w:rPr>
              <w:t xml:space="preserve">3、</w:t>
            </w:r>
            <w:r>
              <w:rPr>
                <w:color w:val="000000" w:themeColor="text1"/>
                <w:spacing w:val="-1"/>
                <w:sz w:val="21"/>
                <w:szCs w:val="21"/>
                <w:lang w:eastAsia="zh-CN"/>
                <w14:textFill>
                  <w14:solidFill>
                    <w14:schemeClr w14:val="tx1"/>
                  </w14:solidFill>
                </w14:textFill>
              </w:rPr>
              <w:t xml:space="preserve">演示平台访问概况查询，可视化查看今日平台浏览量、IP</w:t>
            </w:r>
            <w:r>
              <w:rPr>
                <w:color w:val="000000" w:themeColor="text1"/>
                <w:spacing w:val="-28"/>
                <w:sz w:val="21"/>
                <w:szCs w:val="21"/>
                <w:lang w:eastAsia="zh-CN"/>
                <w14:textFill>
                  <w14:solidFill>
                    <w14:schemeClr w14:val="tx1"/>
                  </w14:solidFill>
                </w14:textFill>
              </w:rPr>
              <w:t xml:space="preserve"> </w:t>
            </w:r>
            <w:r>
              <w:rPr>
                <w:color w:val="000000" w:themeColor="text1"/>
                <w:spacing w:val="-1"/>
                <w:sz w:val="21"/>
                <w:szCs w:val="21"/>
                <w:lang w:eastAsia="zh-CN"/>
                <w14:textFill>
                  <w14:solidFill>
                    <w14:schemeClr w14:val="tx1"/>
                  </w14:solidFill>
                </w14:textFill>
              </w:rPr>
              <w:t xml:space="preserve">数以及</w:t>
            </w:r>
            <w:r>
              <w:rPr>
                <w:color w:val="000000" w:themeColor="text1"/>
                <w:sz w:val="21"/>
                <w:szCs w:val="21"/>
                <w:lang w:eastAsia="zh-CN"/>
                <w14:textFill>
                  <w14:solidFill>
                    <w14:schemeClr w14:val="tx1"/>
                  </w14:solidFill>
                </w14:textFill>
              </w:rPr>
              <w:t xml:space="preserve">登录用户数，按地域、单位查看区域内的平台</w:t>
            </w:r>
            <w:r>
              <w:rPr>
                <w:color w:val="000000" w:themeColor="text1"/>
                <w:spacing w:val="-1"/>
                <w:sz w:val="21"/>
                <w:szCs w:val="21"/>
                <w:lang w:eastAsia="zh-CN"/>
                <w14:textFill>
                  <w14:solidFill>
                    <w14:schemeClr w14:val="tx1"/>
                  </w14:solidFill>
                </w14:textFill>
              </w:rPr>
              <w:t xml:space="preserve">访问浏览情况，分</w:t>
            </w:r>
            <w:r>
              <w:rPr>
                <w:color w:val="000000" w:themeColor="text1"/>
                <w:sz w:val="21"/>
                <w:szCs w:val="21"/>
                <w:lang w:eastAsia="zh-CN"/>
                <w14:textFill>
                  <w14:solidFill>
                    <w14:schemeClr w14:val="tx1"/>
                  </w14:solidFill>
                </w14:textFill>
              </w:rPr>
              <w:t xml:space="preserve">时段查看平台接入应用的累计使用情况，平台</w:t>
            </w:r>
            <w:r>
              <w:rPr>
                <w:color w:val="000000" w:themeColor="text1"/>
                <w:spacing w:val="-1"/>
                <w:sz w:val="21"/>
                <w:szCs w:val="21"/>
                <w:lang w:eastAsia="zh-CN"/>
                <w14:textFill>
                  <w14:solidFill>
                    <w14:schemeClr w14:val="tx1"/>
                  </w14:solidFill>
                </w14:textFill>
              </w:rPr>
              <w:t xml:space="preserve">每天的浏览趋势</w:t>
            </w:r>
            <w:r>
              <w:rPr>
                <w:color w:val="000000" w:themeColor="text1"/>
                <w:spacing w:val="-18"/>
                <w:sz w:val="21"/>
                <w:szCs w:val="21"/>
                <w:lang w:eastAsia="zh-CN"/>
                <w14:textFill>
                  <w14:solidFill>
                    <w14:schemeClr w14:val="tx1"/>
                  </w14:solidFill>
                </w14:textFill>
              </w:rPr>
              <w:t xml:space="preserve">图</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w:t>
            </w:r>
            <w:r>
              <w:rPr>
                <w:color w:val="000000" w:themeColor="text1"/>
                <w:spacing w:val="-43"/>
                <w:sz w:val="21"/>
                <w:szCs w:val="21"/>
                <w:lang w:eastAsia="zh-CN"/>
                <w14:textFill>
                  <w14:solidFill>
                    <w14:schemeClr w14:val="tx1"/>
                  </w14:solidFill>
                </w14:textFill>
              </w:rPr>
              <w:t xml:space="preserve">1</w:t>
            </w:r>
            <w:r>
              <w:rPr>
                <w:rFonts w:hint="eastAsia"/>
                <w:color w:val="000000" w:themeColor="text1"/>
                <w:spacing w:val="-43"/>
                <w:sz w:val="21"/>
                <w:szCs w:val="21"/>
                <w:lang w:eastAsia="zh-CN"/>
                <w14:textFill>
                  <w14:solidFill>
                    <w14:schemeClr w14:val="tx1"/>
                  </w14:solidFill>
                </w14:textFill>
              </w:rPr>
              <w:t xml:space="preserve">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75"/>
        </w:trPr>
        <w:tc>
          <w:tcPr>
            <w:tcW w:w="561" w:type="dxa"/>
            <w:vMerge w:val="continue"/>
            <w:textDirection w:val="lrTb"/>
            <w:noWrap w:val="false"/>
          </w:tcPr>
          <w:p>
            <w:pPr>
              <w:pStyle w:val="1189"/>
              <w:ind w:left="131"/>
              <w:spacing w:before="68" w:line="183"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textDirection w:val="lrTb"/>
            <w:noWrap w:val="false"/>
          </w:tcPr>
          <w:p>
            <w:pPr>
              <w:pStyle w:val="1189"/>
              <w:ind w:left="108" w:right="250" w:firstLine="5"/>
              <w:jc w:val="both"/>
              <w:spacing w:before="46"/>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 xml:space="preserve">学习资</w:t>
            </w:r>
            <w:r>
              <w:rPr>
                <w:color w:val="000000" w:themeColor="text1"/>
                <w:spacing w:val="-2"/>
                <w:sz w:val="21"/>
                <w:szCs w:val="21"/>
                <w14:textFill>
                  <w14:solidFill>
                    <w14:schemeClr w14:val="tx1"/>
                  </w14:solidFill>
                </w14:textFill>
              </w:rPr>
              <w:t xml:space="preserve">源服务系统</w:t>
            </w:r>
            <w:r/>
          </w:p>
        </w:tc>
        <w:tc>
          <w:tcPr>
            <w:tcBorders>
              <w:right w:val="single" w:color="000000" w:sz="4" w:space="0"/>
            </w:tcBorders>
            <w:tcW w:w="6238" w:type="dxa"/>
            <w:textDirection w:val="lrTb"/>
            <w:noWrap w:val="false"/>
          </w:tcPr>
          <w:p>
            <w:pPr>
              <w:pStyle w:val="1189"/>
              <w:ind w:right="23"/>
              <w:jc w:val="both"/>
              <w:spacing w:before="46"/>
              <w:rPr>
                <w:color w:val="000000" w:themeColor="text1"/>
                <w:sz w:val="21"/>
                <w:szCs w:val="21"/>
                <w:lang w:eastAsia="zh-CN"/>
                <w14:textFill>
                  <w14:solidFill>
                    <w14:schemeClr w14:val="tx1"/>
                  </w14:solidFill>
                </w14:textFill>
              </w:rPr>
            </w:pPr>
            <w:r>
              <w:rPr>
                <w:rFonts w:hint="eastAsia"/>
                <w:color w:val="000000" w:themeColor="text1"/>
                <w:spacing w:val="-1"/>
                <w:sz w:val="21"/>
                <w:szCs w:val="21"/>
                <w:lang w:eastAsia="zh-CN"/>
                <w14:textFill>
                  <w14:solidFill>
                    <w14:schemeClr w14:val="tx1"/>
                  </w14:solidFill>
                </w14:textFill>
              </w:rPr>
              <w:t xml:space="preserve">1、</w:t>
            </w:r>
            <w:r>
              <w:rPr>
                <w:color w:val="000000" w:themeColor="text1"/>
                <w:spacing w:val="-1"/>
                <w:sz w:val="21"/>
                <w:szCs w:val="21"/>
                <w:lang w:eastAsia="zh-CN"/>
                <w14:textFill>
                  <w14:solidFill>
                    <w14:schemeClr w14:val="tx1"/>
                  </w14:solidFill>
                </w14:textFill>
              </w:rPr>
              <w:t xml:space="preserve">演示资源目录维护功能，并基于已维护的资源目录进</w:t>
            </w:r>
            <w:r>
              <w:rPr>
                <w:color w:val="000000" w:themeColor="text1"/>
                <w:spacing w:val="-2"/>
                <w:sz w:val="21"/>
                <w:szCs w:val="21"/>
                <w:lang w:eastAsia="zh-CN"/>
                <w14:textFill>
                  <w14:solidFill>
                    <w14:schemeClr w14:val="tx1"/>
                  </w14:solidFill>
                </w14:textFill>
              </w:rPr>
              <w:t xml:space="preserve">行资源上传、</w:t>
            </w:r>
            <w:r>
              <w:rPr>
                <w:color w:val="000000" w:themeColor="text1"/>
                <w:spacing w:val="-7"/>
                <w:sz w:val="21"/>
                <w:szCs w:val="21"/>
                <w:lang w:eastAsia="zh-CN"/>
                <w14:textFill>
                  <w14:solidFill>
                    <w14:schemeClr w14:val="tx1"/>
                  </w14:solidFill>
                </w14:textFill>
              </w:rPr>
              <w:t xml:space="preserve">审核、发布；演示管理员在线生成一套推送学习资源的系列</w:t>
            </w:r>
            <w:r>
              <w:rPr>
                <w:color w:val="000000" w:themeColor="text1"/>
                <w:spacing w:val="-8"/>
                <w:sz w:val="21"/>
                <w:szCs w:val="21"/>
                <w:lang w:eastAsia="zh-CN"/>
                <w14:textFill>
                  <w14:solidFill>
                    <w14:schemeClr w14:val="tx1"/>
                  </w14:solidFill>
                </w14:textFill>
              </w:rPr>
              <w:t xml:space="preserve">二维码</w:t>
            </w:r>
            <w:r>
              <w:rPr>
                <w:rFonts w:hint="eastAsia"/>
                <w:color w:val="000000" w:themeColor="text1"/>
                <w:spacing w:val="-8"/>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1分。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21"/>
        </w:trPr>
        <w:tc>
          <w:tcPr>
            <w:tcW w:w="561" w:type="dxa"/>
            <w:vMerge w:val="continue"/>
            <w:textDirection w:val="lrTb"/>
            <w:noWrap w:val="false"/>
          </w:tcPr>
          <w:p>
            <w:pPr>
              <w:pStyle w:val="1189"/>
              <w:ind w:left="131"/>
              <w:spacing w:before="68" w:line="183"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Merge w:val="restart"/>
            <w:textDirection w:val="lrTb"/>
            <w:noWrap w:val="false"/>
          </w:tcPr>
          <w:p>
            <w:pPr>
              <w:spacing w:line="28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6"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5"/>
              <w:ind w:firstLine="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25" w:right="250" w:hanging="14"/>
              <w:spacing w:before="68" w:line="243" w:lineRule="auto"/>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 xml:space="preserve">数据中</w:t>
            </w:r>
            <w:r>
              <w:rPr>
                <w:color w:val="000000" w:themeColor="text1"/>
                <w:spacing w:val="1"/>
                <w:sz w:val="21"/>
                <w:szCs w:val="21"/>
                <w14:textFill>
                  <w14:solidFill>
                    <w14:schemeClr w14:val="tx1"/>
                  </w14:solidFill>
                </w14:textFill>
              </w:rPr>
              <w:t xml:space="preserve"> </w:t>
            </w:r>
            <w:r>
              <w:rPr>
                <w:color w:val="000000" w:themeColor="text1"/>
                <w:sz w:val="21"/>
                <w:szCs w:val="21"/>
                <w14:textFill>
                  <w14:solidFill>
                    <w14:schemeClr w14:val="tx1"/>
                  </w14:solidFill>
                </w14:textFill>
              </w:rPr>
              <w:t xml:space="preserve">台</w:t>
            </w:r>
            <w:r/>
          </w:p>
        </w:tc>
        <w:tc>
          <w:tcPr>
            <w:tcBorders>
              <w:right w:val="single" w:color="000000" w:sz="4" w:space="0"/>
            </w:tcBorders>
            <w:tcW w:w="6238" w:type="dxa"/>
            <w:textDirection w:val="lrTb"/>
            <w:noWrap w:val="false"/>
          </w:tcPr>
          <w:p>
            <w:pPr>
              <w:pStyle w:val="1189"/>
              <w:ind w:right="240"/>
              <w:spacing w:before="43" w:line="248" w:lineRule="auto"/>
              <w:rPr>
                <w:color w:val="000000" w:themeColor="text1"/>
                <w:spacing w:val="-43"/>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w:t>
            </w:r>
            <w:r>
              <w:rPr>
                <w:color w:val="000000" w:themeColor="text1"/>
                <w:sz w:val="21"/>
                <w:szCs w:val="21"/>
                <w:lang w:eastAsia="zh-CN"/>
                <w14:textFill>
                  <w14:solidFill>
                    <w14:schemeClr w14:val="tx1"/>
                  </w14:solidFill>
                </w14:textFill>
              </w:rPr>
              <w:t xml:space="preserve">演示资源库概览，需包括资源库分类情况、服务情况</w:t>
            </w:r>
            <w:r>
              <w:rPr>
                <w:color w:val="000000" w:themeColor="text1"/>
                <w:spacing w:val="-1"/>
                <w:sz w:val="21"/>
                <w:szCs w:val="21"/>
                <w:lang w:eastAsia="zh-CN"/>
                <w14:textFill>
                  <w14:solidFill>
                    <w14:schemeClr w14:val="tx1"/>
                  </w14:solidFill>
                </w14:textFill>
              </w:rPr>
              <w:t xml:space="preserve">、业务模型</w:t>
            </w:r>
            <w:r>
              <w:rPr>
                <w:color w:val="000000" w:themeColor="text1"/>
                <w:sz w:val="21"/>
                <w:szCs w:val="21"/>
                <w:lang w:eastAsia="zh-CN"/>
                <w14:textFill>
                  <w14:solidFill>
                    <w14:schemeClr w14:val="tx1"/>
                  </w14:solidFill>
                </w14:textFill>
              </w:rPr>
              <w:t xml:space="preserve">分布、物理模型分布、数据处理等分析组件</w:t>
            </w: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1分。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92"/>
        </w:trPr>
        <w:tc>
          <w:tcPr>
            <w:tcW w:w="561" w:type="dxa"/>
            <w:vMerge w:val="continue"/>
            <w:textDirection w:val="lrTb"/>
            <w:noWrap w:val="false"/>
          </w:tcPr>
          <w:p>
            <w:pPr>
              <w:pStyle w:val="1189"/>
              <w:ind w:left="131"/>
              <w:spacing w:before="68" w:line="183"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right w:val="single" w:color="000000" w:sz="4" w:space="0"/>
            </w:tcBorders>
            <w:tcW w:w="6238" w:type="dxa"/>
            <w:textDirection w:val="lrTb"/>
            <w:noWrap w:val="false"/>
          </w:tcPr>
          <w:p>
            <w:pPr>
              <w:pStyle w:val="1189"/>
              <w:ind w:right="240"/>
              <w:spacing w:before="43" w:line="248"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rPr>
                <w:color w:val="000000" w:themeColor="text1"/>
                <w:sz w:val="21"/>
                <w:szCs w:val="21"/>
                <w:lang w:eastAsia="zh-CN"/>
                <w14:textFill>
                  <w14:solidFill>
                    <w14:schemeClr w14:val="tx1"/>
                  </w14:solidFill>
                </w14:textFill>
              </w:rPr>
              <w:t xml:space="preserve">演示</w:t>
            </w:r>
            <w:r>
              <w:rPr>
                <w:color w:val="000000" w:themeColor="text1"/>
                <w:spacing w:val="-1"/>
                <w:sz w:val="21"/>
                <w:szCs w:val="21"/>
                <w:lang w:eastAsia="zh-CN"/>
                <w14:textFill>
                  <w14:solidFill>
                    <w14:schemeClr w14:val="tx1"/>
                  </w14:solidFill>
                </w14:textFill>
              </w:rPr>
              <w:t xml:space="preserve">对资源库的全</w:t>
            </w:r>
            <w:r>
              <w:rPr>
                <w:color w:val="000000" w:themeColor="text1"/>
                <w:sz w:val="21"/>
                <w:szCs w:val="21"/>
                <w:lang w:eastAsia="zh-CN"/>
                <w14:textFill>
                  <w14:solidFill>
                    <w14:schemeClr w14:val="tx1"/>
                  </w14:solidFill>
                </w14:textFill>
              </w:rPr>
              <w:t xml:space="preserve">生命周期管理，包括资源库信息维护、资源库发布</w:t>
            </w:r>
            <w:r>
              <w:rPr>
                <w:color w:val="000000" w:themeColor="text1"/>
                <w:spacing w:val="-1"/>
                <w:sz w:val="21"/>
                <w:szCs w:val="21"/>
                <w:lang w:eastAsia="zh-CN"/>
                <w14:textFill>
                  <w14:solidFill>
                    <w14:schemeClr w14:val="tx1"/>
                  </w14:solidFill>
                </w14:textFill>
              </w:rPr>
              <w:t xml:space="preserve">等功能</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1分。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73"/>
        </w:trPr>
        <w:tc>
          <w:tcPr>
            <w:tcW w:w="561" w:type="dxa"/>
            <w:vAlign w:val="center"/>
            <w:vMerge w:val="continue"/>
            <w:textDirection w:val="lrTb"/>
            <w:noWrap w:val="false"/>
          </w:tcPr>
          <w:p>
            <w:pPr>
              <w:pStyle w:val="1189"/>
              <w:ind w:left="131"/>
              <w:spacing w:before="68" w:line="183"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right w:val="single" w:color="000000" w:sz="4" w:space="0"/>
            </w:tcBorders>
            <w:tcW w:w="6238" w:type="dxa"/>
            <w:textDirection w:val="lrTb"/>
            <w:noWrap w:val="false"/>
          </w:tcPr>
          <w:p>
            <w:pPr>
              <w:pStyle w:val="1189"/>
              <w:ind w:right="240"/>
              <w:spacing w:before="43" w:line="248" w:lineRule="auto"/>
              <w:rPr>
                <w:color w:val="000000" w:themeColor="text1"/>
                <w:sz w:val="21"/>
                <w:szCs w:val="21"/>
                <w:lang w:eastAsia="zh-CN"/>
                <w14:textFill>
                  <w14:solidFill>
                    <w14:schemeClr w14:val="tx1"/>
                  </w14:solidFill>
                </w14:textFill>
              </w:rPr>
            </w:pPr>
            <w:r>
              <w:rPr>
                <w:rFonts w:hint="eastAsia"/>
                <w:color w:val="000000" w:themeColor="text1"/>
                <w:spacing w:val="-1"/>
                <w:sz w:val="21"/>
                <w:szCs w:val="21"/>
                <w:lang w:eastAsia="zh-CN"/>
                <w14:textFill>
                  <w14:solidFill>
                    <w14:schemeClr w14:val="tx1"/>
                  </w14:solidFill>
                </w14:textFill>
              </w:rPr>
              <w:t xml:space="preserve">3、</w:t>
            </w:r>
            <w:r>
              <w:rPr>
                <w:color w:val="000000" w:themeColor="text1"/>
                <w:spacing w:val="-1"/>
                <w:sz w:val="21"/>
                <w:szCs w:val="21"/>
                <w:lang w:eastAsia="zh-CN"/>
                <w14:textFill>
                  <w14:solidFill>
                    <w14:schemeClr w14:val="tx1"/>
                  </w14:solidFill>
                </w14:textFill>
              </w:rPr>
              <w:t xml:space="preserve">演示</w:t>
            </w:r>
            <w:r>
              <w:rPr>
                <w:color w:val="000000" w:themeColor="text1"/>
                <w:sz w:val="21"/>
                <w:szCs w:val="21"/>
                <w:lang w:eastAsia="zh-CN"/>
                <w14:textFill>
                  <w14:solidFill>
                    <w14:schemeClr w14:val="tx1"/>
                  </w14:solidFill>
                </w14:textFill>
              </w:rPr>
              <w:t xml:space="preserve">数据服务管理能力，包括服务注册、服务测试、服</w:t>
            </w:r>
            <w:r>
              <w:rPr>
                <w:color w:val="000000" w:themeColor="text1"/>
                <w:spacing w:val="-1"/>
                <w:sz w:val="21"/>
                <w:szCs w:val="21"/>
                <w:lang w:eastAsia="zh-CN"/>
                <w14:textFill>
                  <w14:solidFill>
                    <w14:schemeClr w14:val="tx1"/>
                  </w14:solidFill>
                </w14:textFill>
              </w:rPr>
              <w:t xml:space="preserve">务发布等功</w:t>
            </w:r>
            <w:r>
              <w:rPr>
                <w:color w:val="000000" w:themeColor="text1"/>
                <w:spacing w:val="-11"/>
                <w:sz w:val="21"/>
                <w:szCs w:val="21"/>
                <w:lang w:eastAsia="zh-CN"/>
                <w14:textFill>
                  <w14:solidFill>
                    <w14:schemeClr w14:val="tx1"/>
                  </w14:solidFill>
                </w14:textFill>
              </w:rPr>
              <w:t xml:space="preserve">能</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w:t>
            </w:r>
            <w:r>
              <w:rPr>
                <w:color w:val="000000" w:themeColor="text1"/>
                <w:spacing w:val="-43"/>
                <w:sz w:val="21"/>
                <w:szCs w:val="21"/>
                <w:lang w:eastAsia="zh-CN"/>
                <w14:textFill>
                  <w14:solidFill>
                    <w14:schemeClr w14:val="tx1"/>
                  </w14:solidFill>
                </w14:textFill>
              </w:rPr>
              <w:t xml:space="preserve">1</w:t>
            </w:r>
            <w:r>
              <w:rPr>
                <w:rFonts w:hint="eastAsia"/>
                <w:color w:val="000000" w:themeColor="text1"/>
                <w:spacing w:val="-43"/>
                <w:sz w:val="21"/>
                <w:szCs w:val="21"/>
                <w:lang w:eastAsia="zh-CN"/>
                <w14:textFill>
                  <w14:solidFill>
                    <w14:schemeClr w14:val="tx1"/>
                  </w14:solidFill>
                </w14:textFill>
              </w:rPr>
              <w:t xml:space="preserve">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75"/>
        </w:trPr>
        <w:tc>
          <w:tcPr>
            <w:tcW w:w="561" w:type="dxa"/>
            <w:vAlign w:val="center"/>
            <w:vMerge w:val="continue"/>
            <w:textDirection w:val="lrTb"/>
            <w:noWrap w:val="false"/>
          </w:tcPr>
          <w:p>
            <w:pPr>
              <w:pStyle w:val="1189"/>
              <w:ind w:left="131"/>
              <w:spacing w:before="68" w:line="183"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right w:val="single" w:color="000000" w:sz="4" w:space="0"/>
            </w:tcBorders>
            <w:tcW w:w="6238" w:type="dxa"/>
            <w:textDirection w:val="lrTb"/>
            <w:noWrap w:val="false"/>
          </w:tcPr>
          <w:p>
            <w:pPr>
              <w:pStyle w:val="1189"/>
              <w:ind w:right="240"/>
              <w:spacing w:before="43" w:line="248"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t xml:space="preserve">4</w:t>
            </w:r>
            <w:r>
              <w:rPr>
                <w:rFonts w:hint="eastAsia"/>
                <w:color w:val="000000" w:themeColor="text1"/>
                <w:sz w:val="21"/>
                <w:szCs w:val="21"/>
                <w:lang w:eastAsia="zh-CN"/>
                <w14:textFill>
                  <w14:solidFill>
                    <w14:schemeClr w14:val="tx1"/>
                  </w14:solidFill>
                </w14:textFill>
              </w:rPr>
              <w:t xml:space="preserve">、</w:t>
            </w:r>
            <w:r>
              <w:rPr>
                <w:color w:val="000000" w:themeColor="text1"/>
                <w:sz w:val="21"/>
                <w:szCs w:val="21"/>
                <w:lang w:eastAsia="zh-CN"/>
                <w14:textFill>
                  <w14:solidFill>
                    <w14:schemeClr w14:val="tx1"/>
                  </w14:solidFill>
                </w14:textFill>
              </w:rPr>
              <w:t xml:space="preserve">演示数据查询功能，支持自定义库表或视图数据的查</w:t>
            </w:r>
            <w:r>
              <w:rPr>
                <w:color w:val="000000" w:themeColor="text1"/>
                <w:spacing w:val="-1"/>
                <w:sz w:val="21"/>
                <w:szCs w:val="21"/>
                <w:lang w:eastAsia="zh-CN"/>
                <w14:textFill>
                  <w14:solidFill>
                    <w14:schemeClr w14:val="tx1"/>
                  </w14:solidFill>
                </w14:textFill>
              </w:rPr>
              <w:t xml:space="preserve">询条件及展</w:t>
            </w:r>
            <w:r>
              <w:rPr>
                <w:color w:val="000000" w:themeColor="text1"/>
                <w:sz w:val="21"/>
                <w:szCs w:val="21"/>
                <w:lang w:eastAsia="zh-CN"/>
                <w14:textFill>
                  <w14:solidFill>
                    <w14:schemeClr w14:val="tx1"/>
                  </w14:solidFill>
                </w14:textFill>
              </w:rPr>
              <w:t xml:space="preserve">示内容，方便用户根据不同需求定制不同查询页面，并</w:t>
            </w:r>
            <w:r>
              <w:rPr>
                <w:color w:val="000000" w:themeColor="text1"/>
                <w:spacing w:val="-1"/>
                <w:sz w:val="21"/>
                <w:szCs w:val="21"/>
                <w:lang w:eastAsia="zh-CN"/>
                <w14:textFill>
                  <w14:solidFill>
                    <w14:schemeClr w14:val="tx1"/>
                  </w14:solidFill>
                </w14:textFill>
              </w:rPr>
              <w:t xml:space="preserve">支持定制</w:t>
            </w:r>
            <w:r>
              <w:rPr>
                <w:color w:val="000000" w:themeColor="text1"/>
                <w:sz w:val="21"/>
                <w:szCs w:val="21"/>
                <w:lang w:eastAsia="zh-CN"/>
                <w14:textFill>
                  <w14:solidFill>
                    <w14:schemeClr w14:val="tx1"/>
                  </w14:solidFill>
                </w14:textFill>
              </w:rPr>
              <w:t xml:space="preserve">数据详情页、明细页，实现数据信息全方位展示、向导</w:t>
            </w:r>
            <w:r>
              <w:rPr>
                <w:color w:val="000000" w:themeColor="text1"/>
                <w:spacing w:val="-1"/>
                <w:sz w:val="21"/>
                <w:szCs w:val="21"/>
                <w:lang w:eastAsia="zh-CN"/>
                <w14:textFill>
                  <w14:solidFill>
                    <w14:schemeClr w14:val="tx1"/>
                  </w14:solidFill>
                </w14:textFill>
              </w:rPr>
              <w:t xml:space="preserve">式一键查</w:t>
            </w:r>
            <w:r>
              <w:rPr>
                <w:color w:val="000000" w:themeColor="text1"/>
                <w:spacing w:val="-16"/>
                <w:sz w:val="21"/>
                <w:szCs w:val="21"/>
                <w:lang w:eastAsia="zh-CN"/>
                <w14:textFill>
                  <w14:solidFill>
                    <w14:schemeClr w14:val="tx1"/>
                  </w14:solidFill>
                </w14:textFill>
              </w:rPr>
              <w:t xml:space="preserve">询</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w:t>
            </w:r>
            <w:r>
              <w:rPr>
                <w:color w:val="000000" w:themeColor="text1"/>
                <w:spacing w:val="-43"/>
                <w:sz w:val="21"/>
                <w:szCs w:val="21"/>
                <w:lang w:eastAsia="zh-CN"/>
                <w14:textFill>
                  <w14:solidFill>
                    <w14:schemeClr w14:val="tx1"/>
                  </w14:solidFill>
                </w14:textFill>
              </w:rPr>
              <w:t xml:space="preserve">1</w:t>
            </w:r>
            <w:r>
              <w:rPr>
                <w:rFonts w:hint="eastAsia"/>
                <w:color w:val="000000" w:themeColor="text1"/>
                <w:spacing w:val="-43"/>
                <w:sz w:val="21"/>
                <w:szCs w:val="21"/>
                <w:lang w:eastAsia="zh-CN"/>
                <w14:textFill>
                  <w14:solidFill>
                    <w14:schemeClr w14:val="tx1"/>
                  </w14:solidFill>
                </w14:textFill>
              </w:rPr>
              <w:t xml:space="preserve">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75"/>
        </w:trPr>
        <w:tc>
          <w:tcPr>
            <w:tcW w:w="561" w:type="dxa"/>
            <w:vAlign w:val="center"/>
            <w:vMerge w:val="continue"/>
            <w:textDirection w:val="lrTb"/>
            <w:noWrap w:val="false"/>
          </w:tcPr>
          <w:p>
            <w:pPr>
              <w:pStyle w:val="1189"/>
              <w:ind w:left="131"/>
              <w:spacing w:before="68" w:line="183"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right w:val="single" w:color="000000" w:sz="4" w:space="0"/>
            </w:tcBorders>
            <w:tcW w:w="6238" w:type="dxa"/>
            <w:textDirection w:val="lrTb"/>
            <w:noWrap w:val="false"/>
          </w:tcPr>
          <w:p>
            <w:pPr>
              <w:pStyle w:val="1189"/>
              <w:ind w:right="240"/>
              <w:jc w:val="both"/>
              <w:spacing w:before="43" w:line="244"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5、</w:t>
            </w:r>
            <w:r>
              <w:rPr>
                <w:color w:val="000000" w:themeColor="text1"/>
                <w:sz w:val="21"/>
                <w:szCs w:val="21"/>
                <w:lang w:eastAsia="zh-CN"/>
                <w14:textFill>
                  <w14:solidFill>
                    <w14:schemeClr w14:val="tx1"/>
                  </w14:solidFill>
                </w14:textFill>
              </w:rPr>
              <w:t xml:space="preserve">演示在数据中台的数据可视化组件中，通过直接拖拽</w:t>
            </w:r>
            <w:r>
              <w:rPr>
                <w:color w:val="000000" w:themeColor="text1"/>
                <w:spacing w:val="-1"/>
                <w:sz w:val="21"/>
                <w:szCs w:val="21"/>
                <w:lang w:eastAsia="zh-CN"/>
                <w14:textFill>
                  <w14:solidFill>
                    <w14:schemeClr w14:val="tx1"/>
                  </w14:solidFill>
                </w14:textFill>
              </w:rPr>
              <w:t xml:space="preserve">指标库中具</w:t>
            </w:r>
            <w:r>
              <w:rPr>
                <w:color w:val="000000" w:themeColor="text1"/>
                <w:sz w:val="21"/>
                <w:szCs w:val="21"/>
                <w:lang w:eastAsia="zh-CN"/>
                <w14:textFill>
                  <w14:solidFill>
                    <w14:schemeClr w14:val="tx1"/>
                  </w14:solidFill>
                </w14:textFill>
              </w:rPr>
              <w:t xml:space="preserve">体指标到仪表板的方式，可视化构建数据仪表板与数据</w:t>
            </w:r>
            <w:r>
              <w:rPr>
                <w:color w:val="000000" w:themeColor="text1"/>
                <w:spacing w:val="-1"/>
                <w:sz w:val="21"/>
                <w:szCs w:val="21"/>
                <w:lang w:eastAsia="zh-CN"/>
                <w14:textFill>
                  <w14:solidFill>
                    <w14:schemeClr w14:val="tx1"/>
                  </w14:solidFill>
                </w14:textFill>
              </w:rPr>
              <w:t xml:space="preserve">报表，支</w:t>
            </w:r>
            <w:r>
              <w:rPr>
                <w:color w:val="000000" w:themeColor="text1"/>
                <w:spacing w:val="-2"/>
                <w:sz w:val="21"/>
                <w:szCs w:val="21"/>
                <w:lang w:eastAsia="zh-CN"/>
                <w14:textFill>
                  <w14:solidFill>
                    <w14:schemeClr w14:val="tx1"/>
                  </w14:solidFill>
                </w14:textFill>
              </w:rPr>
              <w:t xml:space="preserve">持数据下钻</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1 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66"/>
        </w:trPr>
        <w:tc>
          <w:tcPr>
            <w:tcW w:w="561" w:type="dxa"/>
            <w:vAlign w:val="center"/>
            <w:vMerge w:val="continue"/>
            <w:textDirection w:val="lrTb"/>
            <w:noWrap w:val="false"/>
          </w:tcPr>
          <w:p>
            <w:pPr>
              <w:pStyle w:val="1189"/>
              <w:ind w:left="131"/>
              <w:spacing w:before="68" w:line="183"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r>
            <w:r/>
          </w:p>
        </w:tc>
        <w:tc>
          <w:tcPr>
            <w:tcBorders>
              <w:top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textDirection w:val="lrTb"/>
            <w:noWrap w:val="false"/>
          </w:tcPr>
          <w:p>
            <w:pPr>
              <w:pStyle w:val="1189"/>
              <w:ind w:left="111" w:right="250" w:hanging="1"/>
              <w:jc w:val="both"/>
              <w:spacing w:before="68" w:line="247" w:lineRule="auto"/>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轻应用</w:t>
            </w:r>
            <w:r>
              <w:rPr>
                <w:color w:val="000000" w:themeColor="text1"/>
                <w:sz w:val="21"/>
                <w:szCs w:val="21"/>
                <w14:textFill>
                  <w14:solidFill>
                    <w14:schemeClr w14:val="tx1"/>
                  </w14:solidFill>
                </w14:textFill>
              </w:rPr>
              <w:t xml:space="preserve"> </w:t>
            </w:r>
            <w:r>
              <w:rPr>
                <w:color w:val="000000" w:themeColor="text1"/>
                <w:spacing w:val="-3"/>
                <w:sz w:val="21"/>
                <w:szCs w:val="21"/>
                <w14:textFill>
                  <w14:solidFill>
                    <w14:schemeClr w14:val="tx1"/>
                  </w14:solidFill>
                </w14:textFill>
              </w:rPr>
              <w:t xml:space="preserve">构建平</w:t>
            </w:r>
            <w:r>
              <w:rPr>
                <w:color w:val="000000" w:themeColor="text1"/>
                <w:sz w:val="21"/>
                <w:szCs w:val="21"/>
                <w14:textFill>
                  <w14:solidFill>
                    <w14:schemeClr w14:val="tx1"/>
                  </w14:solidFill>
                </w14:textFill>
              </w:rPr>
              <w:t xml:space="preserve"> 台</w:t>
            </w:r>
            <w:r/>
          </w:p>
        </w:tc>
        <w:tc>
          <w:tcPr>
            <w:tcBorders>
              <w:right w:val="single" w:color="000000" w:sz="4" w:space="0"/>
            </w:tcBorders>
            <w:tcW w:w="6238" w:type="dxa"/>
            <w:textDirection w:val="lrTb"/>
            <w:noWrap w:val="false"/>
          </w:tcPr>
          <w:p>
            <w:pPr>
              <w:pStyle w:val="1189"/>
              <w:spacing w:before="31" w:line="213"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6、</w:t>
            </w:r>
            <w:r>
              <w:rPr>
                <w:color w:val="000000" w:themeColor="text1"/>
                <w:sz w:val="21"/>
                <w:szCs w:val="21"/>
                <w:lang w:eastAsia="zh-CN"/>
                <w14:textFill>
                  <w14:solidFill>
                    <w14:schemeClr w14:val="tx1"/>
                  </w14:solidFill>
                </w14:textFill>
              </w:rPr>
              <w:t xml:space="preserve">演示通过拖拽方式配置一个信息采集表单应用，需包</w:t>
            </w:r>
            <w:r>
              <w:rPr>
                <w:color w:val="000000" w:themeColor="text1"/>
                <w:spacing w:val="-1"/>
                <w:sz w:val="21"/>
                <w:szCs w:val="21"/>
                <w:lang w:eastAsia="zh-CN"/>
                <w14:textFill>
                  <w14:solidFill>
                    <w14:schemeClr w14:val="tx1"/>
                  </w14:solidFill>
                </w14:textFill>
              </w:rPr>
              <w:t xml:space="preserve">统一社会信</w:t>
            </w:r>
            <w:r>
              <w:rPr>
                <w:color w:val="000000" w:themeColor="text1"/>
                <w:sz w:val="21"/>
                <w:szCs w:val="21"/>
                <w:lang w:eastAsia="zh-CN"/>
                <w14:textFill>
                  <w14:solidFill>
                    <w14:schemeClr w14:val="tx1"/>
                  </w14:solidFill>
                </w14:textFill>
              </w:rPr>
              <w:t xml:space="preserve">用代码、身份证、手机号、邮政编码等组件，组件</w:t>
            </w:r>
            <w:r>
              <w:rPr>
                <w:color w:val="000000" w:themeColor="text1"/>
                <w:spacing w:val="-1"/>
                <w:sz w:val="21"/>
                <w:szCs w:val="21"/>
                <w:lang w:eastAsia="zh-CN"/>
                <w14:textFill>
                  <w14:solidFill>
                    <w14:schemeClr w14:val="tx1"/>
                  </w14:solidFill>
                </w14:textFill>
              </w:rPr>
              <w:t xml:space="preserve">组内置检验规</w:t>
            </w:r>
            <w:r>
              <w:rPr>
                <w:color w:val="000000" w:themeColor="text1"/>
                <w:sz w:val="21"/>
                <w:szCs w:val="21"/>
                <w:lang w:eastAsia="zh-CN"/>
                <w14:textFill>
                  <w14:solidFill>
                    <w14:schemeClr w14:val="tx1"/>
                  </w14:solidFill>
                </w14:textFill>
              </w:rPr>
              <w:t xml:space="preserve">则，需配置可交互的用户须知，包括须知标题、须</w:t>
            </w:r>
            <w:r>
              <w:rPr>
                <w:color w:val="000000" w:themeColor="text1"/>
                <w:spacing w:val="-1"/>
                <w:sz w:val="21"/>
                <w:szCs w:val="21"/>
                <w:lang w:eastAsia="zh-CN"/>
                <w14:textFill>
                  <w14:solidFill>
                    <w14:schemeClr w14:val="tx1"/>
                  </w14:solidFill>
                </w14:textFill>
              </w:rPr>
              <w:t xml:space="preserve">知正文、确认</w:t>
            </w:r>
            <w:r>
              <w:rPr>
                <w:color w:val="000000" w:themeColor="text1"/>
                <w:spacing w:val="-4"/>
                <w:sz w:val="21"/>
                <w:szCs w:val="21"/>
                <w:lang w:eastAsia="zh-CN"/>
                <w14:textFill>
                  <w14:solidFill>
                    <w14:schemeClr w14:val="tx1"/>
                  </w14:solidFill>
                </w14:textFill>
              </w:rPr>
              <w:t xml:space="preserve">须知交互。应用需支持多终端自动适配，支持登录访问</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1分。</w:t>
            </w:r>
            <w:r/>
          </w:p>
        </w:tc>
        <w:tc>
          <w:tcPr>
            <w:tcBorders>
              <w:top w:val="none" w:color="000000" w:sz="4" w:space="0"/>
              <w:left w:val="singl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bl>
    <w:p>
      <w:pPr>
        <w:ind w:left="10" w:right="224"/>
        <w:spacing w:before="59" w:line="250" w:lineRule="auto"/>
        <w:rPr>
          <w:rFonts w:ascii="宋体" w:hAnsi="宋体" w:cs="宋体"/>
          <w:color w:val="000000" w:themeColor="text1"/>
          <w14:textFill>
            <w14:solidFill>
              <w14:schemeClr w14:val="tx1"/>
            </w14:solidFill>
          </w14:textFill>
        </w:rPr>
      </w:pPr>
      <w:r>
        <w:rPr>
          <w:rFonts w:ascii="宋体" w:hAnsi="宋体" w:cs="宋体"/>
          <w:b/>
          <w:bCs/>
          <w:color w:val="000000" w:themeColor="text1"/>
          <w:spacing w:val="-4"/>
          <w14:textFill>
            <w14:solidFill>
              <w14:schemeClr w14:val="tx1"/>
            </w14:solidFill>
          </w14:textFill>
        </w:rPr>
        <w:t xml:space="preserve">说明：所有认证、证明和业绩均以有效的证明文件的扫描件为依据（采购人有权</w:t>
      </w:r>
      <w:r>
        <w:rPr>
          <w:rFonts w:ascii="宋体" w:hAnsi="宋体" w:cs="宋体"/>
          <w:b/>
          <w:bCs/>
          <w:color w:val="000000" w:themeColor="text1"/>
          <w:spacing w:val="-5"/>
          <w14:textFill>
            <w14:solidFill>
              <w14:schemeClr w14:val="tx1"/>
            </w14:solidFill>
          </w14:textFill>
        </w:rPr>
        <w:t xml:space="preserve">在中标后签订合同</w:t>
      </w:r>
      <w:r>
        <w:rPr>
          <w:rFonts w:ascii="宋体" w:hAnsi="宋体" w:cs="宋体"/>
          <w:color w:val="000000" w:themeColor="text1"/>
          <w14:textFill>
            <w14:solidFill>
              <w14:schemeClr w14:val="tx1"/>
            </w14:solidFill>
          </w14:textFill>
        </w:rPr>
        <w:t xml:space="preserve"> </w:t>
      </w:r>
      <w:r>
        <w:rPr>
          <w:rFonts w:ascii="宋体" w:hAnsi="宋体" w:cs="宋体"/>
          <w:b/>
          <w:bCs/>
          <w:color w:val="000000" w:themeColor="text1"/>
          <w:spacing w:val="-20"/>
          <w14:textFill>
            <w14:solidFill>
              <w14:schemeClr w14:val="tx1"/>
            </w14:solidFill>
          </w14:textFill>
        </w:rPr>
        <w:t xml:space="preserve">前核查原件）。</w:t>
      </w:r>
      <w:r/>
    </w:p>
    <w:p>
      <w:pPr>
        <w:ind w:left="9" w:right="227"/>
        <w:spacing w:before="14" w:line="239"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239" w:lineRule="auto"/>
        <w:rPr>
          <w:rFonts w:ascii="宋体" w:hAnsi="宋体" w:cs="宋体"/>
          <w:color w:val="000000" w:themeColor="text1"/>
          <w14:textFill>
            <w14:solidFill>
              <w14:schemeClr w14:val="tx1"/>
            </w14:solidFill>
          </w14:textFill>
        </w:rPr>
        <w:sectPr>
          <w:footnotePr/>
          <w:endnotePr/>
          <w:type w:val="nextPage"/>
          <w:pgSz w:w="11907" w:h="16839" w:orient="portrait"/>
          <w:pgMar w:top="400" w:right="1358" w:bottom="400" w:left="1366" w:header="0" w:footer="0" w:gutter="0"/>
          <w:cols w:num="1" w:sep="0" w:space="720" w:equalWidth="1"/>
          <w:docGrid w:linePitch="360"/>
        </w:sectPr>
      </w:pPr>
      <w:r>
        <w:rPr>
          <w:rFonts w:ascii="宋体" w:hAnsi="宋体" w:cs="宋体"/>
          <w:color w:val="000000" w:themeColor="text1"/>
          <w14:textFill>
            <w14:solidFill>
              <w14:schemeClr w14:val="tx1"/>
            </w14:solidFill>
          </w14:textFill>
        </w:rPr>
      </w:r>
      <w:r/>
    </w:p>
    <w:p>
      <w:pPr>
        <w:pStyle w:val="1016"/>
        <w:spacing w:line="2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2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2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2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01"/>
        <w:jc w:val="center"/>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lang w:eastAsia="zh-CN"/>
        </w:rPr>
        <w:t xml:space="preserve">第六章  投标文件格式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  标  文  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      期 ：</w:t>
      </w:r>
      <w:r>
        <w:rPr>
          <w:rFonts w:ascii="宋体" w:hAnsi="宋体" w:cs="宋体"/>
          <w:b/>
          <w:color w:val="000000"/>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投标文件的组成</w:t>
      </w:r>
      <w:r/>
    </w:p>
    <w:p>
      <w:pPr>
        <w:jc w:val="center"/>
        <w:spacing w:line="440" w:lineRule="exact"/>
        <w:rPr>
          <w:rFonts w:ascii="宋体" w:hAnsi="宋体"/>
          <w:b/>
          <w:bCs/>
          <w:sz w:val="32"/>
          <w:szCs w:val="32"/>
        </w:rPr>
      </w:pPr>
      <w:r>
        <w:rPr>
          <w:rFonts w:hint="eastAsia" w:ascii="宋体" w:hAnsi="宋体"/>
          <w:b/>
          <w:bCs/>
          <w:sz w:val="32"/>
          <w:szCs w:val="32"/>
        </w:rPr>
        <w:t xml:space="preserve"> </w:t>
      </w:r>
      <w:r/>
    </w:p>
    <w:p>
      <w:pPr>
        <w:ind w:left="480"/>
        <w:spacing w:line="400" w:lineRule="exact"/>
        <w:rPr>
          <w:rFonts w:ascii="宋体" w:hAnsi="宋体"/>
          <w:b/>
          <w:sz w:val="24"/>
          <w:szCs w:val="24"/>
        </w:rPr>
      </w:pPr>
      <w:r>
        <w:rPr>
          <w:rFonts w:hint="eastAsia" w:ascii="宋体" w:hAnsi="宋体"/>
          <w:b/>
          <w:sz w:val="24"/>
          <w:szCs w:val="24"/>
        </w:rPr>
        <w:t xml:space="preserve">一、基本目录</w:t>
      </w:r>
      <w:r/>
    </w:p>
    <w:p>
      <w:pPr>
        <w:ind w:left="480"/>
        <w:spacing w:line="400" w:lineRule="exact"/>
        <w:rPr>
          <w:rFonts w:ascii="宋体" w:hAnsi="宋体"/>
          <w:sz w:val="24"/>
          <w:szCs w:val="24"/>
        </w:rPr>
      </w:pPr>
      <w:r>
        <w:rPr>
          <w:rFonts w:hint="eastAsia" w:ascii="宋体" w:hAnsi="宋体"/>
          <w:sz w:val="24"/>
          <w:szCs w:val="24"/>
        </w:rPr>
        <w:t xml:space="preserve">1.开标一览表（格式见附件1）</w:t>
      </w:r>
      <w:r/>
    </w:p>
    <w:p>
      <w:pPr>
        <w:ind w:left="480"/>
        <w:spacing w:line="400" w:lineRule="exact"/>
        <w:rPr>
          <w:rFonts w:ascii="宋体" w:hAnsi="宋体"/>
          <w:sz w:val="24"/>
          <w:szCs w:val="24"/>
        </w:rPr>
      </w:pPr>
      <w:r>
        <w:rPr>
          <w:rFonts w:hint="eastAsia" w:ascii="宋体" w:hAnsi="宋体"/>
          <w:sz w:val="24"/>
          <w:szCs w:val="24"/>
        </w:rPr>
        <w:t xml:space="preserve">2.投标分项报价表（格式见附件2）</w:t>
      </w:r>
      <w:r/>
    </w:p>
    <w:p>
      <w:pPr>
        <w:ind w:left="480"/>
        <w:spacing w:line="400" w:lineRule="exact"/>
        <w:rPr>
          <w:rFonts w:ascii="宋体" w:hAnsi="宋体"/>
          <w:sz w:val="24"/>
          <w:szCs w:val="24"/>
        </w:rPr>
      </w:pPr>
      <w:r>
        <w:rPr>
          <w:rFonts w:hint="eastAsia" w:ascii="宋体" w:hAnsi="宋体"/>
          <w:sz w:val="24"/>
          <w:szCs w:val="24"/>
        </w:rPr>
        <w:t xml:space="preserve">3.技术要求响应及偏离表（格式见附件3）</w:t>
      </w:r>
      <w:r/>
    </w:p>
    <w:p>
      <w:pPr>
        <w:ind w:firstLine="480"/>
        <w:spacing w:line="400" w:lineRule="exact"/>
        <w:rPr>
          <w:rFonts w:ascii="宋体" w:hAnsi="宋体"/>
          <w:sz w:val="24"/>
          <w:szCs w:val="24"/>
        </w:rPr>
      </w:pPr>
      <w:r>
        <w:rPr>
          <w:rFonts w:hint="eastAsia" w:ascii="宋体" w:hAnsi="宋体"/>
          <w:sz w:val="24"/>
          <w:szCs w:val="24"/>
        </w:rPr>
        <w:t xml:space="preserve">4.商务要求响应及偏离表（格式见附件4）</w:t>
      </w:r>
      <w:r/>
    </w:p>
    <w:p>
      <w:pPr>
        <w:ind w:left="480"/>
        <w:spacing w:line="400" w:lineRule="exact"/>
        <w:rPr>
          <w:rFonts w:ascii="宋体" w:hAnsi="宋体"/>
          <w:b/>
          <w:sz w:val="24"/>
          <w:szCs w:val="24"/>
        </w:rPr>
      </w:pPr>
      <w:r>
        <w:rPr>
          <w:rFonts w:hint="eastAsia" w:ascii="宋体" w:hAnsi="宋体"/>
          <w:b/>
          <w:sz w:val="24"/>
          <w:szCs w:val="24"/>
        </w:rPr>
        <w:t xml:space="preserve">二、资格审查内容</w:t>
      </w:r>
      <w:r/>
    </w:p>
    <w:p>
      <w:pPr>
        <w:ind w:left="480"/>
        <w:spacing w:line="400" w:lineRule="exact"/>
        <w:rPr>
          <w:rFonts w:ascii="宋体" w:hAnsi="宋体"/>
          <w:sz w:val="24"/>
          <w:szCs w:val="24"/>
        </w:rPr>
      </w:pPr>
      <w:r>
        <w:rPr>
          <w:rFonts w:hint="eastAsia" w:ascii="宋体" w:hAnsi="宋体"/>
          <w:sz w:val="24"/>
          <w:szCs w:val="24"/>
        </w:rPr>
        <w:t xml:space="preserve">1.法人或者其他组织的营业执照等证明文件，自然人的身份证明</w:t>
      </w:r>
      <w:r/>
    </w:p>
    <w:p>
      <w:pPr>
        <w:ind w:left="480"/>
        <w:spacing w:line="400" w:lineRule="exact"/>
        <w:rPr>
          <w:rFonts w:ascii="宋体" w:hAnsi="宋体"/>
          <w:sz w:val="24"/>
          <w:szCs w:val="24"/>
        </w:rPr>
      </w:pPr>
      <w:r>
        <w:rPr>
          <w:rFonts w:hint="eastAsia" w:ascii="宋体" w:hAnsi="宋体"/>
          <w:sz w:val="24"/>
          <w:szCs w:val="24"/>
        </w:rPr>
        <w:t xml:space="preserve">2.上一年度的财务状况报告（投标人成立不满一年无需提供）</w:t>
      </w:r>
      <w:r/>
    </w:p>
    <w:p>
      <w:pPr>
        <w:ind w:left="480"/>
        <w:spacing w:line="400" w:lineRule="exact"/>
        <w:rPr>
          <w:rFonts w:ascii="宋体" w:hAnsi="宋体"/>
          <w:sz w:val="24"/>
          <w:szCs w:val="24"/>
        </w:rPr>
      </w:pPr>
      <w:r>
        <w:rPr>
          <w:rFonts w:hint="eastAsia" w:ascii="宋体" w:hAnsi="宋体"/>
          <w:sz w:val="24"/>
          <w:szCs w:val="24"/>
        </w:rPr>
        <w:t xml:space="preserve">3.依法缴纳税收和社会保障资金的相关材料（提供提交投标文件截止时间前一年</w:t>
      </w:r>
      <w:r/>
    </w:p>
    <w:p>
      <w:pPr>
        <w:spacing w:line="400" w:lineRule="exact"/>
        <w:rPr>
          <w:rFonts w:ascii="宋体" w:hAnsi="宋体"/>
          <w:sz w:val="24"/>
          <w:szCs w:val="24"/>
        </w:rPr>
      </w:pPr>
      <w:r>
        <w:rPr>
          <w:rFonts w:hint="eastAsia" w:ascii="宋体" w:hAnsi="宋体"/>
          <w:sz w:val="24"/>
          <w:szCs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4"/>
        </w:rPr>
      </w:pPr>
      <w:r>
        <w:rPr>
          <w:rFonts w:hint="eastAsia" w:ascii="宋体" w:hAnsi="宋体"/>
          <w:sz w:val="24"/>
          <w:szCs w:val="24"/>
        </w:rPr>
        <w:t xml:space="preserve">4.具备履行合同所必需的设备和专业技术能力的书面声明（格式见附件5）</w:t>
      </w:r>
      <w:r/>
    </w:p>
    <w:p>
      <w:pPr>
        <w:ind w:left="480"/>
        <w:spacing w:line="400" w:lineRule="exact"/>
        <w:rPr>
          <w:rFonts w:ascii="宋体" w:hAnsi="宋体"/>
          <w:sz w:val="24"/>
          <w:szCs w:val="24"/>
        </w:rPr>
      </w:pPr>
      <w:r>
        <w:rPr>
          <w:rFonts w:hint="eastAsia" w:ascii="宋体" w:hAnsi="宋体"/>
          <w:sz w:val="24"/>
          <w:szCs w:val="24"/>
        </w:rPr>
        <w:t xml:space="preserve">5.参加政府采购活动前 3 年内在经营活动中没有重大违法记录的书面声明（格式</w:t>
      </w:r>
      <w:r/>
    </w:p>
    <w:p>
      <w:pPr>
        <w:spacing w:line="400" w:lineRule="exact"/>
        <w:rPr>
          <w:rFonts w:ascii="宋体" w:hAnsi="宋体"/>
          <w:sz w:val="24"/>
          <w:szCs w:val="24"/>
        </w:rPr>
      </w:pPr>
      <w:r>
        <w:rPr>
          <w:rFonts w:hint="eastAsia" w:ascii="宋体" w:hAnsi="宋体"/>
          <w:sz w:val="24"/>
          <w:szCs w:val="24"/>
        </w:rPr>
        <w:t xml:space="preserve">见附件6）</w:t>
      </w:r>
      <w:r/>
    </w:p>
    <w:p>
      <w:pPr>
        <w:ind w:firstLine="480"/>
        <w:spacing w:line="400" w:lineRule="exact"/>
        <w:rPr>
          <w:rFonts w:ascii="宋体" w:hAnsi="宋体"/>
          <w:sz w:val="24"/>
          <w:szCs w:val="24"/>
        </w:rPr>
      </w:pPr>
      <w:r>
        <w:rPr>
          <w:rFonts w:hint="eastAsia" w:ascii="宋体" w:hAnsi="宋体"/>
          <w:sz w:val="24"/>
          <w:szCs w:val="24"/>
        </w:rPr>
        <w:t xml:space="preserve">6.特定资格要求的证明文件（如果本项目对投标人做出特定资格要求的，必须提供）</w:t>
      </w:r>
      <w:r/>
    </w:p>
    <w:p>
      <w:pPr>
        <w:ind w:firstLine="480"/>
        <w:spacing w:line="400" w:lineRule="exact"/>
        <w:rPr>
          <w:rFonts w:ascii="宋体" w:hAnsi="宋体"/>
          <w:sz w:val="24"/>
          <w:szCs w:val="24"/>
        </w:rPr>
      </w:pPr>
      <w:r>
        <w:rPr>
          <w:rFonts w:hint="eastAsia" w:ascii="宋体" w:hAnsi="宋体"/>
          <w:sz w:val="24"/>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szCs w:val="24"/>
        </w:rPr>
      </w:pPr>
      <w:r>
        <w:rPr>
          <w:rFonts w:hint="eastAsia" w:ascii="宋体" w:hAnsi="宋体"/>
          <w:sz w:val="24"/>
          <w:szCs w:val="24"/>
        </w:rPr>
        <w:t xml:space="preserve">7.法人授权书（格式见附件7）</w:t>
      </w:r>
      <w:r/>
    </w:p>
    <w:p>
      <w:pPr>
        <w:ind w:firstLine="480"/>
        <w:spacing w:line="400" w:lineRule="exact"/>
        <w:rPr>
          <w:rFonts w:ascii="宋体" w:hAnsi="宋体"/>
          <w:sz w:val="24"/>
          <w:szCs w:val="24"/>
        </w:rPr>
      </w:pPr>
      <w:r>
        <w:rPr>
          <w:rFonts w:hint="eastAsia" w:ascii="宋体" w:hAnsi="宋体"/>
          <w:sz w:val="24"/>
          <w:szCs w:val="24"/>
        </w:rPr>
        <w:t xml:space="preserve">9.投标函（格式见附件8）</w:t>
      </w:r>
      <w:r/>
    </w:p>
    <w:p>
      <w:pPr>
        <w:ind w:firstLine="480"/>
        <w:spacing w:line="400" w:lineRule="exact"/>
        <w:rPr>
          <w:rFonts w:ascii="宋体" w:hAnsi="宋体"/>
          <w:sz w:val="24"/>
          <w:szCs w:val="24"/>
        </w:rPr>
      </w:pPr>
      <w:r>
        <w:rPr>
          <w:rFonts w:hint="eastAsia" w:ascii="宋体" w:hAnsi="宋体"/>
          <w:sz w:val="24"/>
          <w:szCs w:val="24"/>
        </w:rPr>
        <w:t xml:space="preserve">10.中小微企业声明函（如果本项目专门面向中小微型企业采购，则必须提供。格式见附件9）</w:t>
      </w:r>
      <w:r/>
    </w:p>
    <w:p>
      <w:pPr>
        <w:ind w:firstLine="480"/>
        <w:spacing w:line="400" w:lineRule="exact"/>
        <w:rPr>
          <w:rFonts w:ascii="宋体" w:hAnsi="宋体"/>
          <w:sz w:val="24"/>
          <w:szCs w:val="24"/>
        </w:rPr>
      </w:pPr>
      <w:r>
        <w:rPr>
          <w:rFonts w:hint="eastAsia" w:ascii="宋体" w:hAnsi="宋体"/>
          <w:sz w:val="24"/>
          <w:szCs w:val="24"/>
        </w:rPr>
        <w:t xml:space="preserve">11.残疾人福利性单位声明函（如果本项目专门面向中小微型企业采购，供应商为残疾人福利性单位并由本单位提供服务。格式见附件10）</w:t>
      </w:r>
      <w:r/>
    </w:p>
    <w:p>
      <w:pPr>
        <w:ind w:firstLine="480"/>
        <w:spacing w:line="400" w:lineRule="exact"/>
        <w:rPr>
          <w:rFonts w:ascii="宋体" w:hAnsi="宋体"/>
          <w:sz w:val="24"/>
          <w:szCs w:val="24"/>
        </w:rPr>
      </w:pPr>
      <w:r>
        <w:rPr>
          <w:rFonts w:hint="eastAsia" w:ascii="宋体" w:hAnsi="宋体"/>
          <w:sz w:val="24"/>
          <w:szCs w:val="24"/>
        </w:rPr>
        <w:t xml:space="preserve">12.联合体协议（如果本项目接受联合体参加投标，投标人是联合体的，则必须提供。格式见附件11）</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ascii="宋体" w:hAnsi="宋体"/>
          <w:b/>
          <w:sz w:val="24"/>
          <w:szCs w:val="24"/>
        </w:rPr>
      </w:pPr>
      <w:r>
        <w:rPr>
          <w:rFonts w:hint="eastAsia" w:ascii="宋体" w:hAnsi="宋体"/>
          <w:b/>
          <w:sz w:val="24"/>
          <w:szCs w:val="24"/>
        </w:rPr>
        <w:t xml:space="preserve">三、符合性审查内容</w:t>
      </w:r>
      <w:r/>
    </w:p>
    <w:p>
      <w:pPr>
        <w:ind w:firstLine="480"/>
        <w:spacing w:line="400" w:lineRule="exact"/>
        <w:rPr>
          <w:rFonts w:ascii="宋体" w:hAnsi="宋体"/>
          <w:sz w:val="24"/>
          <w:szCs w:val="24"/>
        </w:rPr>
      </w:pPr>
      <w:r>
        <w:rPr>
          <w:rFonts w:hint="eastAsia" w:ascii="宋体" w:hAnsi="宋体"/>
          <w:sz w:val="24"/>
          <w:szCs w:val="24"/>
        </w:rPr>
        <w:t xml:space="preserve">投标人必须对技术要求和商务要求中加斜体下划线的实质性要求逐条做出响应，并按照招标文件要求提供证明材料，否则作无效投标处理。（格式见附件12）</w:t>
      </w:r>
      <w:r/>
    </w:p>
    <w:p>
      <w:pPr>
        <w:ind w:firstLine="480"/>
        <w:rPr>
          <w:rFonts w:ascii="宋体" w:hAnsi="宋体"/>
          <w:b/>
          <w:sz w:val="24"/>
          <w:szCs w:val="24"/>
        </w:rPr>
      </w:pPr>
      <w:r>
        <w:rPr>
          <w:rFonts w:hint="eastAsia" w:ascii="宋体" w:hAnsi="宋体"/>
          <w:b/>
          <w:sz w:val="24"/>
          <w:szCs w:val="24"/>
        </w:rPr>
        <w:t xml:space="preserve">四、价格扣除证明文件</w:t>
      </w:r>
      <w:r/>
    </w:p>
    <w:p>
      <w:pPr>
        <w:ind w:firstLine="480"/>
        <w:spacing w:line="400" w:lineRule="exact"/>
        <w:rPr>
          <w:rFonts w:ascii="宋体" w:hAnsi="宋体"/>
          <w:sz w:val="24"/>
          <w:szCs w:val="24"/>
        </w:rPr>
      </w:pPr>
      <w:r>
        <w:rPr>
          <w:rFonts w:hint="eastAsia" w:ascii="宋体" w:hAnsi="宋体"/>
          <w:sz w:val="24"/>
          <w:szCs w:val="24"/>
        </w:rPr>
        <w:t xml:space="preserve">1.中小微企业声明函（格式见附件9）</w:t>
      </w:r>
      <w:r/>
    </w:p>
    <w:p>
      <w:pPr>
        <w:ind w:firstLine="480"/>
        <w:spacing w:line="400" w:lineRule="exact"/>
        <w:rPr>
          <w:rFonts w:ascii="宋体" w:hAnsi="宋体"/>
          <w:sz w:val="24"/>
          <w:szCs w:val="24"/>
        </w:rPr>
      </w:pPr>
      <w:r>
        <w:rPr>
          <w:rFonts w:hint="eastAsia" w:ascii="宋体" w:hAnsi="宋体"/>
          <w:sz w:val="24"/>
          <w:szCs w:val="24"/>
        </w:rPr>
        <w:t xml:space="preserve">2.残疾人福利性单位声明函（格式见附件10）</w:t>
      </w:r>
      <w:r/>
    </w:p>
    <w:p>
      <w:pPr>
        <w:ind w:firstLine="480"/>
        <w:spacing w:line="440" w:lineRule="exact"/>
        <w:rPr>
          <w:rFonts w:ascii="宋体" w:hAnsi="宋体"/>
          <w:sz w:val="24"/>
          <w:szCs w:val="24"/>
        </w:rPr>
      </w:pPr>
      <w:r>
        <w:rPr>
          <w:rFonts w:hint="eastAsia" w:ascii="宋体" w:hAnsi="宋体"/>
          <w:sz w:val="24"/>
          <w:szCs w:val="24"/>
        </w:rPr>
        <w:t xml:space="preserve"> </w:t>
      </w:r>
      <w:r/>
    </w:p>
    <w:p>
      <w:pPr>
        <w:rPr>
          <w:rFonts w:ascii="宋体" w:hAnsi="宋体"/>
          <w:b/>
          <w:sz w:val="24"/>
          <w:szCs w:val="24"/>
        </w:rPr>
      </w:pPr>
      <w:r>
        <w:rPr>
          <w:rFonts w:hint="eastAsia" w:ascii="宋体" w:hAnsi="宋体"/>
          <w:b/>
          <w:sz w:val="24"/>
          <w:szCs w:val="24"/>
        </w:rPr>
        <w:t xml:space="preserve"> </w:t>
      </w:r>
      <w:r/>
    </w:p>
    <w:p>
      <w:pPr>
        <w:rPr>
          <w:sz w:val="24"/>
          <w:szCs w:val="24"/>
        </w:rPr>
      </w:pPr>
      <w:r>
        <w:rPr>
          <w:rFonts w:hint="eastAsia" w:ascii="宋体" w:hAnsi="宋体"/>
          <w:b/>
          <w:sz w:val="24"/>
          <w:szCs w:val="24"/>
        </w:rPr>
        <w:t xml:space="preserve">附件1 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10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Borders>
              <w:top w:val="single" w:color="auto" w:sz="4" w:space="0"/>
              <w:left w:val="single" w:color="auto" w:sz="4" w:space="0"/>
              <w:bottom w:val="single" w:color="auto" w:sz="4" w:space="0"/>
              <w:right w:val="single" w:color="auto" w:sz="4" w:space="0"/>
            </w:tcBorders>
            <w:tcW w:w="8206" w:type="dxa"/>
            <w:vAlign w:val="center"/>
            <w:textDirection w:val="lrTb"/>
            <w:noWrap w:val="false"/>
          </w:tcPr>
          <w:p>
            <w:pPr>
              <w:rPr>
                <w:rFonts w:ascii="宋体" w:hAnsi="宋体"/>
                <w:sz w:val="24"/>
                <w:szCs w:val="24"/>
              </w:rPr>
            </w:pPr>
            <w:r>
              <w:rPr>
                <w:rFonts w:hint="eastAsia" w:ascii="宋体" w:hAnsi="宋体"/>
                <w:sz w:val="24"/>
                <w:szCs w:val="24"/>
              </w:rPr>
              <w:t xml:space="preserve">                      投标总报价</w:t>
            </w:r>
            <w:r/>
          </w:p>
        </w:tc>
      </w:tr>
      <w:tr>
        <w:trPr>
          <w:cantSplit/>
          <w:trHeight w:val="612"/>
        </w:trPr>
        <w:tc>
          <w:tcPr>
            <w:tcBorders>
              <w:top w:val="single" w:color="auto" w:sz="4" w:space="0"/>
              <w:left w:val="single" w:color="auto" w:sz="4" w:space="0"/>
              <w:bottom w:val="single" w:color="auto" w:sz="4" w:space="0"/>
              <w:right w:val="single" w:color="auto" w:sz="4" w:space="0"/>
            </w:tcBorders>
            <w:tcW w:w="8206" w:type="dxa"/>
            <w:vAlign w:val="center"/>
            <w:textDirection w:val="lrTb"/>
            <w:noWrap w:val="false"/>
          </w:tcPr>
          <w:p>
            <w:pPr>
              <w:pStyle w:val="1197"/>
              <w:ind w:firstLine="0"/>
              <w:spacing w:before="0" w:after="0" w:line="500" w:lineRule="exact"/>
              <w:rPr>
                <w:rFonts w:ascii="宋体" w:hAnsi="宋体"/>
              </w:rPr>
            </w:pPr>
            <w:r>
              <w:rPr>
                <w:rFonts w:hint="eastAsia" w:ascii="宋体" w:hAnsi="宋体"/>
              </w:rPr>
              <w:t xml:space="preserve">小写：                             （人民币：元）</w:t>
            </w:r>
            <w:r/>
          </w:p>
        </w:tc>
      </w:tr>
    </w:tbl>
    <w:p>
      <w:pPr>
        <w:ind w:firstLine="480"/>
        <w:rPr>
          <w:rFonts w:ascii="宋体" w:hAnsi="宋体"/>
          <w:sz w:val="24"/>
          <w:szCs w:val="24"/>
        </w:rPr>
      </w:pPr>
      <w:r>
        <w:rPr>
          <w:rFonts w:hint="eastAsia" w:ascii="宋体" w:hAnsi="宋体"/>
          <w:sz w:val="24"/>
          <w:szCs w:val="24"/>
        </w:rPr>
        <w:t xml:space="preserve"> </w:t>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 </w:t>
      </w:r>
      <w:r/>
    </w:p>
    <w:p>
      <w:pPr>
        <w:jc w:val="center"/>
        <w:rPr>
          <w:rFonts w:ascii="宋体" w:hAnsi="宋体"/>
          <w:b/>
          <w:sz w:val="24"/>
          <w:szCs w:val="24"/>
        </w:rPr>
      </w:pPr>
      <w:r>
        <w:rPr>
          <w:rFonts w:hint="eastAsia" w:ascii="宋体" w:hAnsi="宋体"/>
          <w:b/>
          <w:sz w:val="24"/>
          <w:szCs w:val="24"/>
        </w:rPr>
        <w:t xml:space="preserve">附件2 投标分项报价表（采购包号：**）</w:t>
      </w:r>
      <w:r/>
    </w:p>
    <w:tbl>
      <w:tblPr>
        <w:tblStyle w:val="1011"/>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Borders>
              <w:top w:val="single" w:color="auto" w:sz="4" w:space="0"/>
              <w:left w:val="single" w:color="auto" w:sz="4" w:space="0"/>
              <w:bottom w:val="single" w:color="auto" w:sz="4" w:space="0"/>
              <w:right w:val="single" w:color="auto" w:sz="4" w:space="0"/>
            </w:tcBorders>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Borders>
              <w:top w:val="single" w:color="auto" w:sz="4" w:space="0"/>
              <w:left w:val="single" w:color="auto" w:sz="4" w:space="0"/>
              <w:bottom w:val="single" w:color="auto" w:sz="4" w:space="0"/>
              <w:right w:val="single" w:color="auto" w:sz="4" w:space="0"/>
            </w:tcBorders>
            <w:tcW w:w="6561"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Borders>
              <w:top w:val="single" w:color="auto" w:sz="4" w:space="0"/>
              <w:left w:val="single" w:color="auto" w:sz="4" w:space="0"/>
              <w:bottom w:val="single" w:color="auto" w:sz="4" w:space="0"/>
              <w:right w:val="single" w:color="auto" w:sz="4" w:space="0"/>
            </w:tcBorders>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auto" w:sz="4" w:space="0"/>
              <w:left w:val="single" w:color="auto" w:sz="4" w:space="0"/>
              <w:bottom w:val="single" w:color="auto" w:sz="4" w:space="0"/>
              <w:right w:val="single" w:color="auto" w:sz="4" w:space="0"/>
            </w:tcBorders>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Borders>
              <w:top w:val="single" w:color="auto" w:sz="4" w:space="0"/>
              <w:left w:val="single" w:color="auto" w:sz="4" w:space="0"/>
              <w:bottom w:val="single" w:color="auto" w:sz="4" w:space="0"/>
              <w:right w:val="single" w:color="auto" w:sz="4" w:space="0"/>
            </w:tcBorders>
            <w:tcW w:w="656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Borders>
              <w:top w:val="single" w:color="auto" w:sz="4" w:space="0"/>
              <w:left w:val="single" w:color="auto" w:sz="4" w:space="0"/>
              <w:bottom w:val="single" w:color="auto" w:sz="4" w:space="0"/>
              <w:right w:val="single" w:color="auto" w:sz="4" w:space="0"/>
            </w:tcBorders>
            <w:tcW w:w="1778" w:type="dxa"/>
            <w:textDirection w:val="lrTb"/>
            <w:noWrap w:val="false"/>
          </w:tcPr>
          <w:p>
            <w:pPr>
              <w:spacing w:line="0" w:lineRule="atLeast"/>
              <w:rPr>
                <w:rFonts w:ascii="宋体" w:hAnsi="宋体"/>
                <w:sz w:val="24"/>
                <w:szCs w:val="24"/>
              </w:rPr>
            </w:pPr>
            <w:r>
              <w:rPr>
                <w:rFonts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ascii="宋体" w:hAnsi="宋体"/>
          <w:sz w:val="24"/>
          <w:szCs w:val="24"/>
        </w:rPr>
      </w:pPr>
      <w:r>
        <w:rPr>
          <w:rFonts w:hint="eastAsia" w:ascii="宋体" w:hAnsi="宋体"/>
          <w:sz w:val="24"/>
          <w:szCs w:val="24"/>
        </w:rPr>
        <w:t xml:space="preserve">3. 项目经办人可以根据项目实际需要对表格结构进行调整。</w:t>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附件3 技术要求响应及偏离表（采购包号：**）</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附件3-1  证明材料1，证明材料2，……</w:t>
      </w:r>
      <w:r/>
    </w:p>
    <w:p>
      <w:pPr>
        <w:spacing w:line="400" w:lineRule="exact"/>
        <w:rPr>
          <w:rFonts w:ascii="宋体" w:hAnsi="宋体"/>
          <w:sz w:val="24"/>
          <w:szCs w:val="24"/>
        </w:rPr>
      </w:pPr>
      <w:r>
        <w:rPr>
          <w:rFonts w:hint="eastAsia" w:ascii="宋体" w:hAnsi="宋体"/>
          <w:sz w:val="24"/>
          <w:szCs w:val="24"/>
        </w:rPr>
        <w:t xml:space="preserve"> </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1.投标人需对技术要求（未加斜体下划线的非实质性要求）逐条做出明确响应。</w:t>
      </w:r>
      <w:r/>
    </w:p>
    <w:p>
      <w:pPr>
        <w:spacing w:line="400" w:lineRule="exact"/>
        <w:rPr>
          <w:rFonts w:ascii="宋体" w:hAnsi="宋体"/>
          <w:sz w:val="24"/>
          <w:szCs w:val="24"/>
        </w:rPr>
      </w:pPr>
      <w:r>
        <w:rPr>
          <w:rFonts w:hint="eastAsia" w:ascii="宋体" w:hAnsi="宋体"/>
          <w:sz w:val="24"/>
          <w:szCs w:val="24"/>
        </w:rPr>
        <w:t xml:space="preserve">2.如果招标文件要求提供证明材料，投标人需将证明材料列于该表之下。</w:t>
      </w:r>
      <w:r/>
    </w:p>
    <w:p>
      <w:pPr>
        <w:spacing w:line="400" w:lineRule="exact"/>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附件4 商务要求响应及偏离表（采购包号：**）</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 </w:t>
            </w:r>
            <w:r/>
          </w:p>
        </w:tc>
        <w:tc>
          <w:tcPr>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附件4-1  证明材料1，证明材料2，……</w:t>
      </w:r>
      <w:r/>
    </w:p>
    <w:p>
      <w:pPr>
        <w:spacing w:line="400" w:lineRule="exact"/>
        <w:rPr>
          <w:rFonts w:ascii="宋体" w:hAnsi="宋体"/>
          <w:sz w:val="24"/>
          <w:szCs w:val="24"/>
        </w:rPr>
      </w:pPr>
      <w:r>
        <w:rPr>
          <w:rFonts w:hint="eastAsia" w:ascii="宋体" w:hAnsi="宋体"/>
          <w:sz w:val="24"/>
          <w:szCs w:val="24"/>
        </w:rPr>
        <w:t xml:space="preserve"> </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1.投标人需对商务要求（未加斜体下划线的非实质性要求）逐条做出明确响应。</w:t>
      </w:r>
      <w:r/>
    </w:p>
    <w:p>
      <w:pPr>
        <w:spacing w:line="400" w:lineRule="exact"/>
        <w:rPr>
          <w:rFonts w:ascii="宋体" w:hAnsi="宋体"/>
          <w:sz w:val="24"/>
          <w:szCs w:val="24"/>
        </w:rPr>
      </w:pPr>
      <w:r>
        <w:rPr>
          <w:rFonts w:hint="eastAsia" w:ascii="宋体" w:hAnsi="宋体"/>
          <w:sz w:val="24"/>
          <w:szCs w:val="24"/>
        </w:rPr>
        <w:t xml:space="preserve">2.如果招标文件要求提供证明材料，投标人需将证明材料列于该表之下。</w:t>
      </w:r>
      <w:r/>
    </w:p>
    <w:p>
      <w:pPr>
        <w:rPr>
          <w:rFonts w:ascii="宋体" w:hAnsi="宋体"/>
          <w:b/>
          <w:sz w:val="24"/>
          <w:szCs w:val="24"/>
        </w:rPr>
      </w:pPr>
      <w:r>
        <w:rPr>
          <w:rFonts w:hint="eastAsia" w:ascii="宋体" w:hAnsi="宋体"/>
          <w:b/>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 </w:t>
      </w:r>
      <w:r/>
    </w:p>
    <w:p>
      <w:pPr>
        <w:ind w:left="480"/>
        <w:rPr>
          <w:rFonts w:ascii="宋体" w:hAnsi="宋体"/>
          <w:b/>
          <w:sz w:val="24"/>
          <w:szCs w:val="24"/>
        </w:rPr>
      </w:pPr>
      <w:r>
        <w:rPr>
          <w:rFonts w:hint="eastAsia" w:ascii="宋体" w:hAnsi="宋体"/>
          <w:b/>
          <w:sz w:val="24"/>
          <w:szCs w:val="24"/>
        </w:rPr>
        <w:t xml:space="preserve">附件5 具备履行合同所必需的设备和专业技术能力的书面声明</w:t>
      </w:r>
      <w:r/>
    </w:p>
    <w:p>
      <w:pPr>
        <w:ind w:firstLine="492"/>
        <w:spacing w:line="460" w:lineRule="exact"/>
        <w:rPr>
          <w:rFonts w:ascii="宋体" w:hAnsi="宋体"/>
          <w:bCs/>
          <w:sz w:val="24"/>
          <w:szCs w:val="24"/>
        </w:rPr>
      </w:pPr>
      <w:r>
        <w:rPr>
          <w:rFonts w:hint="eastAsia" w:ascii="宋体" w:hAnsi="宋体"/>
          <w:bCs/>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4"/>
        </w:rPr>
      </w:pPr>
      <w:r>
        <w:rPr>
          <w:rFonts w:hint="eastAsia" w:ascii="宋体" w:hAnsi="宋体"/>
          <w:bCs/>
          <w:sz w:val="24"/>
          <w:szCs w:val="24"/>
        </w:rPr>
        <w:t xml:space="preserve">主要设备有：</w:t>
      </w:r>
      <w:r>
        <w:rPr>
          <w:rFonts w:hint="eastAsia" w:ascii="宋体" w:hAnsi="宋体"/>
          <w:bCs/>
          <w:sz w:val="24"/>
          <w:szCs w:val="24"/>
          <w:u w:val="single"/>
        </w:rPr>
        <w:t xml:space="preserve">      </w:t>
      </w:r>
      <w:r>
        <w:rPr>
          <w:rFonts w:hint="eastAsia" w:ascii="宋体" w:hAnsi="宋体"/>
          <w:bCs/>
          <w:sz w:val="24"/>
          <w:szCs w:val="24"/>
        </w:rPr>
        <w:t xml:space="preserve">。</w:t>
      </w:r>
      <w:r/>
    </w:p>
    <w:p>
      <w:pPr>
        <w:ind w:firstLine="492"/>
        <w:spacing w:line="460" w:lineRule="exact"/>
        <w:rPr>
          <w:rFonts w:ascii="宋体" w:hAnsi="宋体"/>
          <w:bCs/>
          <w:sz w:val="24"/>
          <w:szCs w:val="24"/>
        </w:rPr>
      </w:pPr>
      <w:r>
        <w:rPr>
          <w:rFonts w:hint="eastAsia" w:ascii="宋体" w:hAnsi="宋体"/>
          <w:bCs/>
          <w:sz w:val="24"/>
          <w:szCs w:val="24"/>
        </w:rPr>
        <w:t xml:space="preserve">主要专业技术能力有：</w:t>
      </w:r>
      <w:r>
        <w:rPr>
          <w:rFonts w:hint="eastAsia" w:ascii="宋体" w:hAnsi="宋体"/>
          <w:bCs/>
          <w:sz w:val="24"/>
          <w:szCs w:val="24"/>
          <w:u w:val="single"/>
        </w:rPr>
        <w:t xml:space="preserve">         </w:t>
      </w:r>
      <w:r>
        <w:rPr>
          <w:rFonts w:hint="eastAsia" w:ascii="宋体" w:hAnsi="宋体"/>
          <w:bCs/>
          <w:sz w:val="24"/>
          <w:szCs w:val="24"/>
        </w:rPr>
        <w:t xml:space="preserve">。</w:t>
      </w:r>
      <w:r/>
    </w:p>
    <w:p>
      <w:pPr>
        <w:spacing w:line="460" w:lineRule="exact"/>
        <w:rPr>
          <w:rFonts w:ascii="宋体" w:hAnsi="宋体"/>
          <w:bCs/>
          <w:sz w:val="24"/>
          <w:szCs w:val="24"/>
        </w:rPr>
      </w:pPr>
      <w:r>
        <w:rPr>
          <w:rFonts w:hint="eastAsia" w:ascii="宋体" w:hAnsi="宋体"/>
          <w:bCs/>
          <w:sz w:val="24"/>
          <w:szCs w:val="24"/>
        </w:rPr>
        <w:t xml:space="preserve">                                     </w:t>
      </w:r>
      <w:r/>
    </w:p>
    <w:p>
      <w:pPr>
        <w:ind w:left="480"/>
        <w:rPr>
          <w:rFonts w:ascii="宋体" w:hAnsi="宋体"/>
          <w:b/>
          <w:sz w:val="24"/>
          <w:szCs w:val="24"/>
        </w:rPr>
      </w:pPr>
      <w:r>
        <w:rPr>
          <w:rFonts w:hint="eastAsia" w:ascii="宋体" w:hAnsi="宋体"/>
          <w:b/>
          <w:sz w:val="24"/>
          <w:szCs w:val="24"/>
        </w:rPr>
        <w:t xml:space="preserve"> </w:t>
      </w:r>
      <w:r/>
    </w:p>
    <w:p>
      <w:pPr>
        <w:ind w:left="480"/>
        <w:rPr>
          <w:rFonts w:ascii="宋体" w:hAnsi="宋体"/>
          <w:b/>
          <w:sz w:val="24"/>
          <w:szCs w:val="24"/>
        </w:rPr>
      </w:pPr>
      <w:r>
        <w:rPr>
          <w:rFonts w:hint="eastAsia" w:ascii="宋体" w:hAnsi="宋体"/>
          <w:b/>
          <w:sz w:val="24"/>
          <w:szCs w:val="24"/>
        </w:rPr>
        <w:t xml:space="preserve">附件6 参加政府采购活动前 3 年内在经营活动中没有重大违法记录的书面声明</w:t>
      </w:r>
      <w:r/>
    </w:p>
    <w:p>
      <w:pPr>
        <w:jc w:val="center"/>
        <w:spacing w:line="460" w:lineRule="exact"/>
        <w:rPr>
          <w:rFonts w:ascii="宋体" w:hAnsi="宋体"/>
          <w:b/>
          <w:bCs/>
          <w:sz w:val="24"/>
          <w:szCs w:val="24"/>
        </w:rPr>
      </w:pPr>
      <w:r>
        <w:rPr>
          <w:rFonts w:hint="eastAsia" w:ascii="宋体" w:hAnsi="宋体"/>
          <w:b/>
          <w:bCs/>
          <w:sz w:val="24"/>
          <w:szCs w:val="24"/>
        </w:rPr>
        <w:t xml:space="preserve"> </w:t>
      </w:r>
      <w:r/>
    </w:p>
    <w:p>
      <w:pPr>
        <w:ind w:firstLine="480"/>
        <w:spacing w:line="460" w:lineRule="exact"/>
        <w:rPr>
          <w:rFonts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sz w:val="24"/>
          <w:szCs w:val="24"/>
        </w:rPr>
      </w:pPr>
      <w:r>
        <w:rPr>
          <w:rFonts w:hint="eastAsia" w:ascii="宋体" w:hAnsi="宋体"/>
          <w:b/>
          <w:sz w:val="24"/>
          <w:szCs w:val="24"/>
        </w:rPr>
        <w:t xml:space="preserve"> </w:t>
      </w:r>
      <w:r/>
    </w:p>
    <w:p>
      <w:pPr>
        <w:ind w:firstLine="480"/>
        <w:spacing w:line="460" w:lineRule="exact"/>
        <w:rPr>
          <w:rFonts w:ascii="宋体" w:hAnsi="宋体"/>
          <w:b/>
          <w:sz w:val="24"/>
          <w:szCs w:val="24"/>
        </w:rPr>
      </w:pPr>
      <w:r>
        <w:rPr>
          <w:rFonts w:hint="eastAsia" w:ascii="宋体" w:hAnsi="宋体"/>
          <w:b/>
          <w:sz w:val="24"/>
          <w:szCs w:val="24"/>
        </w:rPr>
        <w:t xml:space="preserve"> </w:t>
      </w:r>
      <w:r/>
    </w:p>
    <w:p>
      <w:pPr>
        <w:ind w:firstLine="480"/>
        <w:spacing w:line="460" w:lineRule="exact"/>
        <w:rPr>
          <w:rFonts w:ascii="宋体" w:hAnsi="宋体"/>
          <w:bCs/>
          <w:sz w:val="24"/>
          <w:szCs w:val="24"/>
        </w:rPr>
      </w:pPr>
      <w:r>
        <w:rPr>
          <w:rFonts w:hint="eastAsia" w:ascii="宋体" w:hAnsi="宋体"/>
          <w:b/>
          <w:sz w:val="24"/>
          <w:szCs w:val="24"/>
        </w:rPr>
        <w:t xml:space="preserve">附件7                         法人授权书</w:t>
      </w:r>
      <w:r/>
    </w:p>
    <w:p>
      <w:pPr>
        <w:ind w:firstLine="480"/>
        <w:spacing w:line="400" w:lineRule="exact"/>
        <w:rPr>
          <w:sz w:val="24"/>
          <w:szCs w:val="24"/>
        </w:rPr>
      </w:pPr>
      <w:r>
        <w:rPr>
          <w:rFonts w:hint="eastAsia" w:ascii="宋体" w:hAnsi="宋体"/>
          <w:sz w:val="24"/>
          <w:szCs w:val="24"/>
        </w:rPr>
        <w:t xml:space="preserve">本授权书声明：</w:t>
      </w:r>
      <w:r>
        <w:rPr>
          <w:rFonts w:hint="eastAsia"/>
          <w:sz w:val="24"/>
          <w:szCs w:val="24"/>
        </w:rPr>
        <w:t xml:space="preserve">____________</w:t>
      </w:r>
      <w:r>
        <w:rPr>
          <w:rFonts w:hint="eastAsia" w:ascii="宋体" w:hAnsi="宋体"/>
          <w:sz w:val="24"/>
          <w:szCs w:val="24"/>
        </w:rPr>
        <w:t xml:space="preserve">（投标人名称）授权</w:t>
      </w:r>
      <w:r>
        <w:rPr>
          <w:rFonts w:hint="eastAsia"/>
          <w:sz w:val="24"/>
          <w:szCs w:val="24"/>
        </w:rPr>
        <w:t xml:space="preserve">________________</w:t>
      </w:r>
      <w:r>
        <w:rPr>
          <w:rFonts w:hint="eastAsia" w:ascii="宋体" w:hAnsi="宋体"/>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ascii="宋体" w:hAnsi="宋体"/>
          <w:sz w:val="24"/>
          <w:szCs w:val="24"/>
        </w:rPr>
        <w:t xml:space="preserve">号项目采购活动的合法代理人，以本单位名义全权处理一切与该项目采购有关的事务。</w:t>
      </w:r>
      <w:r/>
    </w:p>
    <w:p>
      <w:pPr>
        <w:ind w:firstLine="480"/>
        <w:spacing w:line="400" w:lineRule="exact"/>
        <w:rPr>
          <w:sz w:val="24"/>
          <w:szCs w:val="24"/>
        </w:rPr>
      </w:pPr>
      <w:r>
        <w:rPr>
          <w:rFonts w:hint="eastAsia" w:ascii="宋体" w:hAnsi="宋体"/>
          <w:sz w:val="24"/>
          <w:szCs w:val="24"/>
        </w:rPr>
        <w:t xml:space="preserve">本授权书于</w:t>
      </w:r>
      <w:r>
        <w:rPr>
          <w:rFonts w:hint="eastAsia"/>
          <w:sz w:val="24"/>
          <w:szCs w:val="24"/>
        </w:rPr>
        <w:t xml:space="preserve">______</w:t>
      </w:r>
      <w:r>
        <w:rPr>
          <w:rFonts w:hint="eastAsia" w:ascii="宋体" w:hAnsi="宋体"/>
          <w:sz w:val="24"/>
          <w:szCs w:val="24"/>
        </w:rPr>
        <w:t xml:space="preserve">年</w:t>
      </w:r>
      <w:r>
        <w:rPr>
          <w:rFonts w:hint="eastAsia"/>
          <w:sz w:val="24"/>
          <w:szCs w:val="24"/>
        </w:rPr>
        <w:t xml:space="preserve">____</w:t>
      </w:r>
      <w:r>
        <w:rPr>
          <w:rFonts w:hint="eastAsia" w:ascii="宋体" w:hAnsi="宋体"/>
          <w:sz w:val="24"/>
          <w:szCs w:val="24"/>
        </w:rPr>
        <w:t xml:space="preserve">月</w:t>
      </w:r>
      <w:r>
        <w:rPr>
          <w:rFonts w:hint="eastAsia"/>
          <w:sz w:val="24"/>
          <w:szCs w:val="24"/>
        </w:rPr>
        <w:t xml:space="preserve">____</w:t>
      </w:r>
      <w:r>
        <w:rPr>
          <w:rFonts w:hint="eastAsia" w:ascii="宋体" w:hAnsi="宋体"/>
          <w:sz w:val="24"/>
          <w:szCs w:val="24"/>
        </w:rPr>
        <w:t xml:space="preserve">日起生效，特此声明。</w:t>
      </w:r>
      <w:r/>
    </w:p>
    <w:p>
      <w:pPr>
        <w:spacing w:line="400" w:lineRule="exact"/>
        <w:rPr>
          <w:sz w:val="24"/>
          <w:szCs w:val="24"/>
          <w:u w:val="single"/>
        </w:rPr>
      </w:pPr>
      <w:r>
        <w:rPr>
          <w:rFonts w:hint="eastAsia"/>
          <w:sz w:val="24"/>
          <w:szCs w:val="24"/>
        </w:rPr>
        <w:t xml:space="preserve">          </w:t>
      </w:r>
      <w:r>
        <w:rPr>
          <w:rFonts w:hint="eastAsia" w:ascii="宋体" w:hAnsi="宋体"/>
          <w:sz w:val="24"/>
          <w:szCs w:val="24"/>
        </w:rPr>
        <w:t xml:space="preserve">被授权人身份证号码：</w:t>
      </w:r>
      <w:r>
        <w:rPr>
          <w:rFonts w:hint="eastAsia"/>
          <w:sz w:val="24"/>
          <w:szCs w:val="24"/>
          <w:u w:val="single"/>
        </w:rPr>
        <w:t xml:space="preserve">                              </w:t>
      </w:r>
      <w:r/>
    </w:p>
    <w:p>
      <w:pPr>
        <w:spacing w:line="400" w:lineRule="exact"/>
        <w:rPr>
          <w:sz w:val="24"/>
          <w:szCs w:val="24"/>
          <w:u w:val="single"/>
        </w:rPr>
      </w:pPr>
      <w:r>
        <w:rPr>
          <w:rFonts w:hint="eastAsia"/>
          <w:sz w:val="24"/>
          <w:szCs w:val="24"/>
        </w:rPr>
        <w:t xml:space="preserve">          </w:t>
      </w:r>
      <w:r>
        <w:rPr>
          <w:rFonts w:hint="eastAsia" w:ascii="宋体" w:hAnsi="宋体"/>
          <w:sz w:val="24"/>
          <w:szCs w:val="24"/>
        </w:rPr>
        <w:t xml:space="preserve">被授权人联系电话：（手机）</w:t>
      </w:r>
      <w:r>
        <w:rPr>
          <w:rFonts w:hint="eastAsia"/>
          <w:sz w:val="24"/>
          <w:szCs w:val="24"/>
          <w:u w:val="single"/>
        </w:rPr>
        <w:t xml:space="preserve">                          </w:t>
      </w:r>
      <w:r/>
    </w:p>
    <w:p>
      <w:pPr>
        <w:ind w:firstLine="1200"/>
        <w:spacing w:line="400" w:lineRule="exact"/>
        <w:rPr>
          <w:sz w:val="24"/>
          <w:szCs w:val="24"/>
          <w:u w:val="single"/>
        </w:rPr>
      </w:pPr>
      <w:r>
        <w:rPr>
          <w:rFonts w:hint="eastAsia" w:ascii="宋体" w:hAnsi="宋体"/>
          <w:sz w:val="24"/>
          <w:szCs w:val="24"/>
        </w:rPr>
        <w:t xml:space="preserve">被授权人电子邮箱：</w:t>
      </w:r>
      <w:r>
        <w:rPr>
          <w:rFonts w:hint="eastAsia"/>
          <w:sz w:val="24"/>
          <w:szCs w:val="24"/>
          <w:u w:val="single"/>
        </w:rPr>
        <w:t xml:space="preserve">            </w:t>
      </w:r>
      <w:r/>
    </w:p>
    <w:p>
      <w:pPr>
        <w:ind w:firstLine="1200"/>
        <w:spacing w:line="400" w:lineRule="exact"/>
        <w:rPr>
          <w:sz w:val="24"/>
          <w:szCs w:val="24"/>
        </w:rPr>
      </w:pPr>
      <w:r>
        <w:rPr>
          <w:rFonts w:hint="eastAsia" w:ascii="宋体" w:hAnsi="宋体"/>
          <w:sz w:val="24"/>
          <w:szCs w:val="24"/>
        </w:rPr>
        <w:t xml:space="preserve">授权单位名称：</w:t>
      </w:r>
      <w:r>
        <w:rPr>
          <w:rFonts w:hint="eastAsia" w:ascii="宋体" w:hAnsi="宋体"/>
          <w:sz w:val="24"/>
          <w:szCs w:val="24"/>
          <w:u w:val="single"/>
        </w:rPr>
        <w:t xml:space="preserve">（加盖</w:t>
      </w:r>
      <w:r>
        <w:rPr>
          <w:rFonts w:hint="eastAsia"/>
          <w:sz w:val="24"/>
          <w:szCs w:val="24"/>
          <w:u w:val="single"/>
        </w:rPr>
        <w:t xml:space="preserve">CA</w:t>
      </w:r>
      <w:r>
        <w:rPr>
          <w:rFonts w:hint="eastAsia" w:ascii="宋体" w:hAnsi="宋体"/>
          <w:sz w:val="24"/>
          <w:szCs w:val="24"/>
          <w:u w:val="single"/>
        </w:rPr>
        <w:t xml:space="preserve">电子公章）</w:t>
      </w:r>
      <w:r/>
    </w:p>
    <w:p>
      <w:pPr>
        <w:ind w:firstLine="480"/>
        <w:spacing w:line="400" w:lineRule="exact"/>
        <w:rPr>
          <w:sz w:val="24"/>
          <w:szCs w:val="24"/>
          <w:u w:val="single"/>
        </w:rPr>
      </w:pPr>
      <w:r>
        <w:rPr>
          <w:rFonts w:hint="eastAsia"/>
          <w:sz w:val="24"/>
          <w:szCs w:val="24"/>
        </w:rPr>
        <w:t xml:space="preserve">      </w:t>
      </w:r>
      <w:r>
        <w:rPr>
          <w:rFonts w:hint="eastAsia" w:ascii="宋体" w:hAnsi="宋体"/>
          <w:sz w:val="24"/>
          <w:szCs w:val="24"/>
        </w:rPr>
        <w:t xml:space="preserve">单位地址：</w:t>
      </w:r>
      <w:r>
        <w:rPr>
          <w:rFonts w:hint="eastAsia"/>
          <w:sz w:val="24"/>
          <w:szCs w:val="24"/>
          <w:u w:val="single"/>
        </w:rPr>
        <w:t xml:space="preserve">                                         </w:t>
      </w:r>
      <w:r/>
    </w:p>
    <w:p>
      <w:pPr>
        <w:ind w:firstLine="480"/>
        <w:spacing w:line="400" w:lineRule="exact"/>
        <w:rPr>
          <w:sz w:val="24"/>
          <w:szCs w:val="24"/>
        </w:rPr>
      </w:pPr>
      <w:r>
        <w:rPr>
          <w:rFonts w:hint="eastAsia"/>
          <w:sz w:val="24"/>
          <w:szCs w:val="24"/>
        </w:rPr>
        <w:t xml:space="preserve">      </w:t>
      </w:r>
      <w:r>
        <w:rPr>
          <w:rFonts w:hint="eastAsia" w:ascii="宋体" w:hAnsi="宋体"/>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sz w:val="24"/>
          <w:szCs w:val="24"/>
        </w:rPr>
      </w:pPr>
      <w:r>
        <w:rPr>
          <w:rFonts w:hint="eastAsia" w:ascii="楷体" w:hAnsi="楷体" w:eastAsia="楷体"/>
          <w:sz w:val="24"/>
          <w:szCs w:val="24"/>
        </w:rPr>
        <w:t xml:space="preserve"> </w:t>
      </w:r>
      <w:r/>
    </w:p>
    <w:p>
      <w:pPr>
        <w:ind w:firstLine="480"/>
        <w:spacing w:line="400" w:lineRule="exact"/>
        <w:rPr>
          <w:rFonts w:ascii="宋体" w:hAnsi="宋体"/>
          <w:sz w:val="24"/>
          <w:szCs w:val="24"/>
        </w:rPr>
      </w:pPr>
      <w:r>
        <w:rPr>
          <w:rFonts w:hint="eastAsia" w:ascii="宋体" w:hAnsi="宋体"/>
          <w:sz w:val="24"/>
          <w:szCs w:val="24"/>
        </w:rPr>
        <w:t xml:space="preserve">备注 我公司（单位）委托进行现场演示的人员为（本项目如果无现场演示要求，请项目经办人自行删除备注）</w:t>
      </w:r>
      <w:r/>
    </w:p>
    <w:p>
      <w:pPr>
        <w:spacing w:line="400" w:lineRule="exact"/>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（人员姓名），身份证号</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Cs/>
          <w:sz w:val="24"/>
          <w:szCs w:val="24"/>
        </w:rPr>
        <w:t xml:space="preserve">……</w:t>
      </w:r>
      <w:r/>
    </w:p>
    <w:p>
      <w:pPr>
        <w:keepLines/>
        <w:keepNext/>
        <w:spacing w:before="260" w:after="260" w:line="415" w:lineRule="auto"/>
        <w:rPr>
          <w:rFonts w:ascii="黑体" w:hAnsi="黑体" w:eastAsia="黑体"/>
          <w:b/>
          <w:i/>
          <w:sz w:val="32"/>
          <w:szCs w:val="32"/>
          <w:u w:val="single"/>
        </w:rPr>
        <w:outlineLvl w:val="1"/>
      </w:pPr>
      <w:r>
        <w:rPr>
          <w:rFonts w:hint="eastAsia" w:ascii="宋体" w:hAnsi="宋体" w:eastAsia="幼圆" w:cs="Arial"/>
          <w:b/>
          <w:sz w:val="24"/>
          <w:szCs w:val="24"/>
        </w:rPr>
        <w:br w:type="page" w:clear="all"/>
      </w:r>
      <w:r>
        <w:rPr>
          <w:rFonts w:hint="eastAsia" w:ascii="宋体" w:hAnsi="宋体"/>
          <w:b/>
          <w:sz w:val="24"/>
          <w:szCs w:val="24"/>
        </w:rPr>
        <w:t xml:space="preserve">附件8                              投标函</w:t>
      </w:r>
      <w:r/>
    </w:p>
    <w:p>
      <w:pPr>
        <w:jc w:val="left"/>
        <w:spacing w:line="420" w:lineRule="exact"/>
        <w:rPr>
          <w:rFonts w:ascii="宋体" w:hAnsi="宋体"/>
          <w:sz w:val="24"/>
          <w:szCs w:val="24"/>
        </w:rPr>
      </w:pPr>
      <w:r>
        <w:rPr>
          <w:rFonts w:hint="eastAsia" w:ascii="宋体" w:hAnsi="宋体"/>
          <w:sz w:val="24"/>
          <w:szCs w:val="24"/>
        </w:rPr>
        <w:t xml:space="preserve">致：江苏省政府采购中心</w:t>
      </w:r>
      <w:r/>
    </w:p>
    <w:p>
      <w:pPr>
        <w:pStyle w:val="1197"/>
        <w:spacing w:before="0" w:after="0" w:line="420" w:lineRule="exact"/>
        <w:rPr>
          <w:rFonts w:ascii="宋体" w:hAnsi="宋体"/>
        </w:rPr>
      </w:pPr>
      <w:r>
        <w:rPr>
          <w:rFonts w:hint="eastAsia" w:ascii="宋体" w:hAnsi="宋体"/>
        </w:rPr>
        <w:t xml:space="preserve">根据贵方的JSZC-320000-***号招标文件，正式授权下述签字人______(姓名)代表我方______________（投标人的名称），全权处理本次项目投标的有关事宜。</w:t>
      </w:r>
      <w:r/>
    </w:p>
    <w:p>
      <w:pPr>
        <w:pStyle w:val="1197"/>
        <w:spacing w:before="0" w:after="0" w:line="420" w:lineRule="exact"/>
        <w:rPr>
          <w:rFonts w:ascii="宋体" w:hAnsi="宋体"/>
        </w:rPr>
      </w:pPr>
      <w:r>
        <w:rPr>
          <w:rFonts w:hint="eastAsia" w:ascii="宋体" w:hAnsi="宋体"/>
        </w:rPr>
        <w:t xml:space="preserve">据此函，__________签字人兹宣布同意如下：</w:t>
      </w:r>
      <w:r/>
    </w:p>
    <w:p>
      <w:pPr>
        <w:pStyle w:val="1197"/>
        <w:spacing w:before="0" w:after="0" w:line="420" w:lineRule="exact"/>
        <w:rPr>
          <w:rFonts w:ascii="宋体" w:hAnsi="宋体"/>
        </w:rPr>
      </w:pPr>
      <w:r>
        <w:rPr>
          <w:rFonts w:hint="eastAsia" w:ascii="宋体" w:hAnsi="宋体"/>
        </w:rPr>
        <w:t xml:space="preserve">1.按招标文件规定的各项要求，向买方提供所需服务（包含与服务相关的货物）。</w:t>
      </w:r>
      <w:r/>
    </w:p>
    <w:p>
      <w:pPr>
        <w:pStyle w:val="1197"/>
        <w:spacing w:before="0" w:after="0" w:line="420" w:lineRule="exact"/>
        <w:rPr>
          <w:rFonts w:ascii="宋体" w:hAnsi="宋体"/>
        </w:rPr>
      </w:pPr>
      <w:r>
        <w:rPr>
          <w:rFonts w:hint="eastAsia" w:ascii="宋体" w:hAnsi="宋体"/>
        </w:rPr>
        <w:t xml:space="preserve">2.我们完全理解贵方不一定将合同授予最低报价的投标人。</w:t>
      </w:r>
      <w:r/>
    </w:p>
    <w:p>
      <w:pPr>
        <w:pStyle w:val="1197"/>
        <w:spacing w:before="0" w:after="0" w:line="420" w:lineRule="exact"/>
        <w:rPr>
          <w:rFonts w:ascii="宋体" w:hAnsi="宋体"/>
        </w:rPr>
      </w:pPr>
      <w:r>
        <w:rPr>
          <w:rFonts w:hint="eastAsia" w:ascii="宋体" w:hAnsi="宋体"/>
        </w:rPr>
        <w:t xml:space="preserve">3.我们已详细审核全部招标文件及其有效补充文件，我们知道必须放弃提出含糊不清或误解问题的权利。</w:t>
      </w:r>
      <w:r/>
    </w:p>
    <w:p>
      <w:pPr>
        <w:pStyle w:val="1197"/>
        <w:spacing w:before="0" w:after="0" w:line="420" w:lineRule="exact"/>
        <w:rPr>
          <w:rFonts w:ascii="宋体" w:hAnsi="宋体"/>
        </w:rPr>
      </w:pPr>
      <w:r>
        <w:rPr>
          <w:rFonts w:hint="eastAsia" w:ascii="宋体" w:hAnsi="宋体"/>
        </w:rPr>
        <w:t xml:space="preserve">4.我们同意从规定的开标日期起遵循本投标文件，并在规定的投标有效期期满之前均具有约束力。</w:t>
      </w:r>
      <w:r/>
    </w:p>
    <w:p>
      <w:pPr>
        <w:pStyle w:val="1197"/>
        <w:spacing w:before="0" w:after="0" w:line="420" w:lineRule="exact"/>
        <w:rPr>
          <w:rFonts w:ascii="宋体" w:hAnsi="宋体"/>
        </w:rPr>
      </w:pPr>
      <w:r>
        <w:rPr>
          <w:rFonts w:hint="eastAsia" w:ascii="宋体" w:hAnsi="宋体"/>
        </w:rPr>
        <w:t xml:space="preserve">5.同意向贵方提供贵方可能另外要求的与投标有关的任何证据或资料，并保证我方已提供和将要提供的文件是真实的、准确的。</w:t>
      </w:r>
      <w:r/>
    </w:p>
    <w:p>
      <w:pPr>
        <w:pStyle w:val="1197"/>
        <w:spacing w:before="0" w:after="0" w:line="420" w:lineRule="exact"/>
        <w:rPr>
          <w:rFonts w:ascii="宋体" w:hAnsi="宋体"/>
        </w:rPr>
      </w:pPr>
      <w:r>
        <w:rPr>
          <w:rFonts w:hint="eastAsia" w:ascii="宋体" w:hAnsi="宋体"/>
        </w:rPr>
        <w:t xml:space="preserve">6.一旦我方中标,我方将根据招标文件的规定，严格履行合同的责任和义务,并保证在招标文件规定的时间完成项目，交付买方验收、使用。</w:t>
      </w:r>
      <w:r/>
    </w:p>
    <w:p>
      <w:pPr>
        <w:pStyle w:val="1197"/>
        <w:spacing w:before="0" w:after="0" w:line="420" w:lineRule="exact"/>
        <w:rPr>
          <w:rFonts w:ascii="宋体" w:hAnsi="宋体"/>
        </w:rPr>
      </w:pPr>
      <w:r>
        <w:rPr>
          <w:rFonts w:hint="eastAsia" w:ascii="宋体" w:hAnsi="宋体"/>
        </w:rPr>
        <w:t xml:space="preserve">7.与本投标有关的正式通讯地址为：</w:t>
      </w:r>
      <w:r/>
    </w:p>
    <w:p>
      <w:pPr>
        <w:pStyle w:val="1197"/>
        <w:ind w:left="420"/>
        <w:spacing w:before="0" w:after="0" w:line="420" w:lineRule="exact"/>
        <w:rPr>
          <w:rFonts w:ascii="宋体" w:hAnsi="宋体"/>
        </w:rPr>
      </w:pPr>
      <w:r>
        <w:rPr>
          <w:rFonts w:hint="eastAsia" w:ascii="宋体" w:hAnsi="宋体"/>
        </w:rPr>
        <w:t xml:space="preserve">地          址：</w:t>
      </w:r>
      <w:r/>
    </w:p>
    <w:p>
      <w:pPr>
        <w:pStyle w:val="1197"/>
        <w:ind w:left="420"/>
        <w:spacing w:before="0" w:after="0" w:line="420" w:lineRule="exact"/>
        <w:rPr>
          <w:rFonts w:ascii="宋体" w:hAnsi="宋体"/>
        </w:rPr>
      </w:pPr>
      <w:r>
        <w:rPr>
          <w:rFonts w:hint="eastAsia" w:ascii="宋体" w:hAnsi="宋体"/>
        </w:rPr>
        <w:t xml:space="preserve">邮          编：</w:t>
      </w:r>
      <w:r/>
    </w:p>
    <w:p>
      <w:pPr>
        <w:pStyle w:val="1197"/>
        <w:ind w:left="420"/>
        <w:spacing w:before="0" w:after="0" w:line="420" w:lineRule="exact"/>
        <w:rPr>
          <w:rFonts w:ascii="宋体" w:hAnsi="宋体"/>
        </w:rPr>
      </w:pPr>
      <w:r>
        <w:rPr>
          <w:rFonts w:hint="eastAsia" w:ascii="宋体" w:hAnsi="宋体"/>
        </w:rPr>
        <w:t xml:space="preserve">电          话：</w:t>
      </w:r>
      <w:r/>
    </w:p>
    <w:p>
      <w:pPr>
        <w:pStyle w:val="1197"/>
        <w:ind w:left="420"/>
        <w:spacing w:before="0" w:after="0" w:line="420" w:lineRule="exact"/>
        <w:rPr>
          <w:rFonts w:ascii="宋体" w:hAnsi="宋体"/>
        </w:rPr>
      </w:pPr>
      <w:r>
        <w:rPr>
          <w:rFonts w:hint="eastAsia" w:ascii="宋体" w:hAnsi="宋体"/>
        </w:rPr>
        <w:t xml:space="preserve">传          真：</w:t>
      </w:r>
      <w:r/>
    </w:p>
    <w:p>
      <w:pPr>
        <w:pStyle w:val="1197"/>
        <w:ind w:left="420"/>
        <w:spacing w:before="0" w:after="0" w:line="420" w:lineRule="exact"/>
        <w:rPr>
          <w:rFonts w:ascii="宋体" w:hAnsi="宋体"/>
        </w:rPr>
      </w:pPr>
      <w:r>
        <w:rPr>
          <w:rFonts w:hint="eastAsia" w:ascii="宋体" w:hAnsi="宋体"/>
        </w:rPr>
        <w:t xml:space="preserve">投标人开户行：</w:t>
      </w:r>
      <w:r/>
    </w:p>
    <w:p>
      <w:pPr>
        <w:pStyle w:val="1197"/>
        <w:ind w:left="420"/>
        <w:spacing w:before="0" w:after="0" w:line="420" w:lineRule="exact"/>
        <w:rPr>
          <w:rFonts w:ascii="宋体" w:hAnsi="宋体"/>
        </w:rPr>
      </w:pPr>
      <w:r>
        <w:rPr>
          <w:rFonts w:hint="eastAsia" w:ascii="宋体" w:hAnsi="宋体"/>
        </w:rPr>
        <w:t xml:space="preserve">账          号： </w:t>
      </w:r>
      <w:r/>
    </w:p>
    <w:p>
      <w:pPr>
        <w:pStyle w:val="1197"/>
        <w:ind w:left="420"/>
        <w:spacing w:before="0" w:after="0" w:line="420" w:lineRule="exact"/>
        <w:rPr>
          <w:rFonts w:ascii="宋体" w:hAnsi="宋体"/>
        </w:rPr>
      </w:pPr>
      <w:r>
        <w:rPr>
          <w:rFonts w:hint="eastAsia" w:ascii="宋体" w:hAnsi="宋体"/>
        </w:rPr>
        <w:t xml:space="preserve">日           期：________年____月____日</w:t>
      </w:r>
      <w:r/>
    </w:p>
    <w:p>
      <w:pPr>
        <w:ind w:firstLine="240"/>
        <w:jc w:val="center"/>
        <w:spacing w:line="560" w:lineRule="exact"/>
        <w:rPr>
          <w:rFonts w:ascii="宋体" w:hAnsi="宋体"/>
          <w:bCs/>
          <w:sz w:val="24"/>
          <w:szCs w:val="24"/>
        </w:rPr>
      </w:pPr>
      <w:r>
        <w:rPr>
          <w:rFonts w:hint="eastAsia" w:ascii="宋体" w:hAnsi="宋体"/>
          <w:bCs/>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 </w:t>
      </w:r>
      <w:r/>
    </w:p>
    <w:p>
      <w:pPr>
        <w:ind w:firstLine="480"/>
        <w:spacing w:line="440" w:lineRule="exact"/>
        <w:rPr>
          <w:rFonts w:hint="eastAsia" w:ascii="宋体" w:hAnsi="宋体"/>
          <w:sz w:val="24"/>
          <w:szCs w:val="24"/>
        </w:rPr>
      </w:pPr>
      <w:r>
        <w:rPr>
          <w:rFonts w:hint="eastAsia" w:ascii="宋体" w:hAnsi="宋体"/>
          <w:sz w:val="24"/>
          <w:szCs w:val="24"/>
        </w:rPr>
        <w:t xml:space="preserve"> </w:t>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spacing w:line="460" w:lineRule="exact"/>
        <w:rPr>
          <w:rFonts w:ascii="黑体" w:hAnsi="黑体" w:eastAsia="黑体"/>
          <w:b/>
          <w:sz w:val="32"/>
          <w:szCs w:val="32"/>
        </w:rPr>
      </w:pPr>
      <w:r>
        <w:rPr>
          <w:rFonts w:hint="eastAsia" w:ascii="黑体" w:hAnsi="黑体" w:eastAsia="黑体"/>
          <w:b/>
          <w:sz w:val="32"/>
          <w:szCs w:val="32"/>
        </w:rPr>
        <w:t xml:space="preserve"> </w:t>
      </w:r>
      <w:r/>
    </w:p>
    <w:p>
      <w:pPr>
        <w:jc w:val="center"/>
        <w:spacing w:line="460" w:lineRule="exact"/>
        <w:rPr>
          <w:rFonts w:ascii="宋体" w:hAnsi="宋体"/>
          <w:b/>
          <w:sz w:val="24"/>
          <w:szCs w:val="24"/>
        </w:rPr>
      </w:pPr>
      <w:r>
        <w:rPr>
          <w:rFonts w:hint="eastAsia" w:ascii="宋体" w:hAnsi="宋体"/>
          <w:b/>
          <w:sz w:val="24"/>
          <w:szCs w:val="24"/>
        </w:rPr>
        <w:t xml:space="preserve">附件9 中小微企业声明函（服务类项目）（采购包号：**）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采购编号为JSZC-320000-</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hint="eastAsia" w:ascii="宋体" w:hAnsi="宋体"/>
          <w:sz w:val="24"/>
          <w:szCs w:val="24"/>
        </w:rPr>
        <w:t xml:space="preserve"> </w:t>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ind w:firstLine="240"/>
        <w:spacing w:line="400" w:lineRule="exact"/>
        <w:rPr>
          <w:rFonts w:ascii="宋体" w:hAnsi="宋体"/>
          <w:sz w:val="24"/>
          <w:szCs w:val="24"/>
        </w:rPr>
      </w:pPr>
      <w:r>
        <w:rPr>
          <w:rFonts w:hint="eastAsia" w:ascii="宋体" w:hAnsi="宋体"/>
          <w:sz w:val="24"/>
          <w:szCs w:val="24"/>
        </w:rPr>
        <w:t xml:space="preserve"> </w:t>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关于印发中小企业划型标准规定的通知》(工信部联企业[2011]300号)《国家统计局关于印发〈统计上大中小微型企业划分办法（2017）〉的通知》（国统字〔2017〕213号）的规定，自行勾选承接企业的企业规模类型。    </w:t>
      </w:r>
      <w:r>
        <w:rPr>
          <w:rFonts w:hint="eastAsia" w:ascii="黑体" w:hAnsi="黑体" w:eastAsia="黑体"/>
          <w:b/>
          <w:sz w:val="32"/>
          <w:szCs w:val="32"/>
        </w:rPr>
        <w:br w:type="page" w:clear="all"/>
      </w:r>
      <w:r>
        <w:rPr>
          <w:rFonts w:hint="eastAsia" w:ascii="宋体" w:hAnsi="宋体"/>
          <w:b/>
          <w:sz w:val="24"/>
          <w:szCs w:val="24"/>
        </w:rPr>
        <w:t xml:space="preserve">附件10 残疾人福利性单位声明函（服务类项目）（采购包号：**）</w:t>
      </w:r>
      <w:r/>
    </w:p>
    <w:p>
      <w:pPr>
        <w:ind w:firstLine="480"/>
        <w:spacing w:line="0" w:lineRule="atLeast"/>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w:t>
      </w:r>
      <w:r>
        <w:rPr>
          <w:rFonts w:hint="eastAsia" w:ascii="宋体" w:hAnsi="宋体"/>
          <w:sz w:val="24"/>
          <w:szCs w:val="24"/>
          <w:u w:val="single"/>
        </w:rPr>
        <w:t xml:space="preserve">****</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项目（采购包号：**）采购活动由本单位提供服务。</w:t>
      </w:r>
      <w:r/>
    </w:p>
    <w:p>
      <w:pPr>
        <w:ind w:firstLine="480"/>
        <w:spacing w:line="0" w:lineRule="atLeast"/>
        <w:rPr>
          <w:rFonts w:ascii="宋体" w:hAnsi="宋体"/>
          <w:sz w:val="24"/>
          <w:szCs w:val="24"/>
        </w:rPr>
      </w:pPr>
      <w:r>
        <w:rPr>
          <w:rFonts w:hint="eastAsia" w:ascii="宋体" w:hAnsi="宋体"/>
          <w:sz w:val="24"/>
          <w:szCs w:val="24"/>
        </w:rPr>
        <w:t xml:space="preserve">本单位对上述声明的真实性负责。如有虚假，将依法承担相应责任。</w:t>
      </w:r>
      <w:r/>
    </w:p>
    <w:p>
      <w:pPr>
        <w:ind w:firstLine="480"/>
        <w:spacing w:line="0" w:lineRule="atLeast"/>
        <w:rPr>
          <w:rFonts w:ascii="宋体" w:hAnsi="宋体"/>
          <w:sz w:val="24"/>
          <w:szCs w:val="24"/>
        </w:rPr>
      </w:pPr>
      <w:r>
        <w:rPr>
          <w:rFonts w:hint="eastAsia" w:ascii="宋体" w:hAnsi="宋体"/>
          <w:sz w:val="24"/>
          <w:szCs w:val="24"/>
        </w:rPr>
        <w:t xml:space="preserve"> </w:t>
      </w:r>
      <w:r/>
    </w:p>
    <w:p>
      <w:pPr>
        <w:ind w:firstLine="480"/>
        <w:spacing w:line="0" w:lineRule="atLeast"/>
        <w:rPr>
          <w:rFonts w:ascii="宋体" w:hAnsi="宋体"/>
          <w:sz w:val="24"/>
          <w:szCs w:val="24"/>
        </w:rPr>
      </w:pPr>
      <w:r>
        <w:rPr>
          <w:rFonts w:hint="eastAsia" w:ascii="宋体" w:hAnsi="宋体"/>
          <w:sz w:val="24"/>
          <w:szCs w:val="24"/>
        </w:rPr>
        <w:t xml:space="preserve">备注：</w:t>
      </w:r>
      <w:r/>
    </w:p>
    <w:p>
      <w:pPr>
        <w:ind w:firstLine="480"/>
        <w:spacing w:line="0" w:lineRule="atLeast"/>
        <w:rPr>
          <w:rFonts w:ascii="宋体" w:hAnsi="宋体"/>
          <w:sz w:val="24"/>
          <w:szCs w:val="24"/>
        </w:rPr>
      </w:pPr>
      <w:r>
        <w:rPr>
          <w:rFonts w:hint="eastAsia" w:ascii="宋体" w:hAnsi="宋体"/>
          <w:sz w:val="24"/>
          <w:szCs w:val="24"/>
        </w:rPr>
        <w:t xml:space="preserve">1.专门面向中小微型企业采购的项目，供应商为残疾人福利性单位并提供服务的必须提供此声明函，否则将不能通过资格审查。</w:t>
      </w:r>
      <w:r/>
    </w:p>
    <w:p>
      <w:pPr>
        <w:ind w:firstLine="480"/>
        <w:spacing w:line="0" w:lineRule="atLeast"/>
        <w:rPr>
          <w:rFonts w:ascii="宋体" w:hAnsi="宋体"/>
          <w:sz w:val="24"/>
          <w:szCs w:val="24"/>
        </w:rPr>
      </w:pPr>
      <w:r>
        <w:rPr>
          <w:rFonts w:hint="eastAsia" w:ascii="宋体" w:hAnsi="宋体"/>
          <w:sz w:val="24"/>
          <w:szCs w:val="24"/>
        </w:rPr>
        <w:t xml:space="preserve">2.非专门面向中小微型企业采购的项目，供应商如不提供此声明函，价格将不做相应扣除。</w:t>
      </w:r>
      <w:r/>
    </w:p>
    <w:p>
      <w:pPr>
        <w:ind w:firstLine="480"/>
        <w:spacing w:line="0" w:lineRule="atLeast"/>
        <w:rPr>
          <w:rFonts w:ascii="宋体" w:hAnsi="宋体"/>
          <w:sz w:val="24"/>
          <w:szCs w:val="24"/>
        </w:rPr>
      </w:pPr>
      <w:r>
        <w:rPr>
          <w:rFonts w:hint="eastAsia" w:ascii="宋体" w:hAnsi="宋体"/>
          <w:sz w:val="24"/>
          <w:szCs w:val="24"/>
        </w:rPr>
        <w:t xml:space="preserve">3.中标/成交供应商为残疾人福利性单位的，此声明函将随中标/成交结果同时公告，接受社会监督</w:t>
      </w:r>
      <w:r/>
    </w:p>
    <w:p>
      <w:pPr>
        <w:ind w:firstLine="612"/>
        <w:spacing w:line="588" w:lineRule="exact"/>
        <w:rPr>
          <w:rFonts w:ascii="仿宋_GB2312"/>
          <w:spacing w:val="6"/>
          <w:sz w:val="30"/>
          <w:szCs w:val="30"/>
        </w:rPr>
      </w:pPr>
      <w:r>
        <w:rPr>
          <w:rFonts w:ascii="仿宋_GB2312"/>
          <w:spacing w:val="6"/>
          <w:sz w:val="30"/>
          <w:szCs w:val="30"/>
        </w:rPr>
        <w:t xml:space="preserve"> </w:t>
      </w:r>
      <w:r/>
    </w:p>
    <w:p>
      <w:pPr>
        <w:ind w:right="1559" w:firstLine="612"/>
        <w:jc w:val="center"/>
        <w:spacing w:line="0" w:lineRule="atLeast"/>
        <w:rPr>
          <w:rFonts w:ascii="宋体" w:hAnsi="宋体"/>
          <w:sz w:val="24"/>
          <w:szCs w:val="24"/>
        </w:rPr>
      </w:pPr>
      <w:r>
        <w:rPr>
          <w:rFonts w:ascii="仿宋_GB2312"/>
          <w:spacing w:val="6"/>
          <w:sz w:val="30"/>
          <w:szCs w:val="30"/>
        </w:rPr>
        <w:t xml:space="preserve">             </w:t>
      </w:r>
      <w:r>
        <w:rPr>
          <w:rFonts w:hint="eastAsia" w:ascii="宋体" w:hAnsi="宋体"/>
          <w:sz w:val="24"/>
          <w:szCs w:val="24"/>
        </w:rPr>
        <w:t xml:space="preserve">    供应商全称（加盖CA电子公章）：</w:t>
      </w:r>
      <w:r/>
    </w:p>
    <w:p>
      <w:pPr>
        <w:ind w:right="1559" w:firstLine="480"/>
        <w:jc w:val="center"/>
        <w:spacing w:line="0" w:lineRule="atLeast"/>
        <w:rPr>
          <w:rFonts w:ascii="宋体" w:hAnsi="宋体"/>
          <w:sz w:val="24"/>
          <w:szCs w:val="24"/>
        </w:rPr>
      </w:pPr>
      <w:r>
        <w:rPr>
          <w:rFonts w:hint="eastAsia" w:ascii="宋体" w:hAnsi="宋体"/>
          <w:sz w:val="24"/>
          <w:szCs w:val="24"/>
        </w:rPr>
        <w:t xml:space="preserve">        日  期：</w:t>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 </w:t>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 </w:t>
      </w:r>
      <w:r/>
    </w:p>
    <w:p>
      <w:pPr>
        <w:spacing w:line="560" w:lineRule="exact"/>
        <w:rPr>
          <w:rFonts w:ascii="黑体" w:hAnsi="黑体" w:eastAsia="黑体"/>
          <w:b/>
          <w:sz w:val="32"/>
          <w:szCs w:val="32"/>
        </w:rPr>
      </w:pPr>
      <w:r>
        <w:rPr>
          <w:rFonts w:hint="eastAsia" w:ascii="黑体" w:hAnsi="黑体" w:eastAsia="黑体"/>
          <w:b/>
          <w:sz w:val="32"/>
          <w:szCs w:val="32"/>
        </w:rPr>
        <w:t xml:space="preserve"> </w:t>
      </w:r>
      <w:r/>
    </w:p>
    <w:p>
      <w:pPr>
        <w:jc w:val="center"/>
        <w:spacing w:line="560" w:lineRule="exact"/>
        <w:rPr>
          <w:rFonts w:ascii="宋体" w:hAnsi="宋体"/>
          <w:b/>
          <w:sz w:val="24"/>
          <w:szCs w:val="24"/>
        </w:rPr>
      </w:pPr>
      <w:r>
        <w:rPr>
          <w:rFonts w:hint="eastAsia" w:ascii="宋体" w:hAnsi="宋体"/>
          <w:b/>
          <w:sz w:val="24"/>
          <w:szCs w:val="24"/>
        </w:rPr>
        <w:t xml:space="preserve">附件11 联合体协议（参考格式）（采购包号：**）</w:t>
      </w:r>
      <w:r/>
    </w:p>
    <w:p>
      <w:pPr>
        <w:spacing w:line="0" w:lineRule="atLeast"/>
        <w:rPr>
          <w:rFonts w:ascii="宋体" w:hAnsi="宋体"/>
          <w:sz w:val="24"/>
          <w:szCs w:val="24"/>
        </w:rPr>
      </w:pPr>
      <w:r>
        <w:rPr>
          <w:rFonts w:hint="eastAsia" w:ascii="宋体" w:hAnsi="宋体"/>
          <w:sz w:val="24"/>
          <w:szCs w:val="24"/>
        </w:rPr>
        <w:t xml:space="preserve">（联合体中各供应商全称）在此达成以下协议：</w:t>
      </w:r>
      <w:r/>
    </w:p>
    <w:p>
      <w:pPr>
        <w:ind w:firstLine="645"/>
        <w:spacing w:line="0" w:lineRule="atLeast"/>
        <w:rPr>
          <w:rFonts w:ascii="宋体" w:hAnsi="宋体"/>
          <w:sz w:val="24"/>
          <w:szCs w:val="24"/>
        </w:rPr>
      </w:pPr>
      <w:r>
        <w:rPr>
          <w:rFonts w:hint="eastAsia" w:ascii="宋体" w:hAnsi="宋体"/>
          <w:sz w:val="24"/>
          <w:szCs w:val="24"/>
        </w:rPr>
        <w:t xml:space="preserve">1、我们</w:t>
      </w:r>
      <w:r>
        <w:rPr>
          <w:rFonts w:hint="eastAsia" w:ascii="宋体" w:hAnsi="宋体"/>
          <w:sz w:val="24"/>
          <w:szCs w:val="24"/>
          <w:u w:val="single"/>
        </w:rPr>
        <w:t xml:space="preserve"> （供应商1），（供应商2） ，……</w:t>
      </w:r>
      <w:r>
        <w:rPr>
          <w:rFonts w:hint="eastAsia" w:ascii="宋体" w:hAnsi="宋体"/>
          <w:sz w:val="24"/>
          <w:szCs w:val="24"/>
        </w:rPr>
        <w:t xml:space="preserve">自愿组成联合体，参加江苏省政府采购中心组织的采购编号为</w:t>
      </w:r>
      <w:r>
        <w:rPr>
          <w:rFonts w:hint="eastAsia" w:ascii="宋体" w:hAnsi="宋体"/>
          <w:sz w:val="24"/>
          <w:szCs w:val="24"/>
          <w:u w:val="single"/>
        </w:rPr>
        <w:t xml:space="preserve">（编号全称），（项目全称）</w:t>
      </w:r>
      <w:r>
        <w:rPr>
          <w:rFonts w:hint="eastAsia" w:ascii="宋体" w:hAnsi="宋体"/>
          <w:sz w:val="24"/>
          <w:szCs w:val="24"/>
        </w:rPr>
        <w:t xml:space="preserve">项目（采购包号：**）的政府采购活动，我联合体指定</w:t>
      </w:r>
      <w:r>
        <w:rPr>
          <w:rFonts w:hint="eastAsia" w:ascii="宋体" w:hAnsi="宋体"/>
          <w:sz w:val="24"/>
          <w:szCs w:val="24"/>
          <w:u w:val="single"/>
        </w:rPr>
        <w:t xml:space="preserve">（供应商*）</w:t>
      </w:r>
      <w:r>
        <w:rPr>
          <w:rFonts w:hint="eastAsia" w:ascii="宋体" w:hAnsi="宋体"/>
          <w:sz w:val="24"/>
          <w:szCs w:val="24"/>
        </w:rPr>
        <w:t xml:space="preserve">为牵头单位（牵头单位必须为联合体成员）。</w:t>
      </w:r>
      <w:r/>
    </w:p>
    <w:p>
      <w:pPr>
        <w:ind w:firstLine="645"/>
        <w:spacing w:line="0" w:lineRule="atLeast"/>
        <w:rPr>
          <w:rFonts w:ascii="宋体" w:hAnsi="宋体"/>
          <w:sz w:val="24"/>
          <w:szCs w:val="24"/>
        </w:rPr>
      </w:pPr>
      <w:r>
        <w:rPr>
          <w:rFonts w:hint="eastAsia" w:ascii="宋体" w:hAnsi="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0" w:lineRule="atLeast"/>
        <w:rPr>
          <w:rFonts w:ascii="宋体" w:hAnsi="宋体"/>
          <w:sz w:val="24"/>
          <w:szCs w:val="24"/>
        </w:rPr>
      </w:pPr>
      <w:r>
        <w:rPr>
          <w:rFonts w:hint="eastAsia" w:ascii="宋体" w:hAnsi="宋体"/>
          <w:sz w:val="24"/>
          <w:szCs w:val="24"/>
        </w:rPr>
        <w:t xml:space="preserve">3、其中</w:t>
      </w:r>
      <w:r>
        <w:rPr>
          <w:rFonts w:hint="eastAsia" w:ascii="宋体" w:hAnsi="宋体"/>
          <w:sz w:val="24"/>
          <w:szCs w:val="24"/>
          <w:u w:val="single"/>
        </w:rPr>
        <w:t xml:space="preserve">      </w:t>
      </w:r>
      <w:r>
        <w:rPr>
          <w:rFonts w:hint="eastAsia" w:ascii="宋体" w:hAnsi="宋体"/>
          <w:sz w:val="24"/>
          <w:szCs w:val="24"/>
        </w:rPr>
        <w:t xml:space="preserve">（小型、微型企业/残疾人福利性单位/监狱企业全称）为</w:t>
      </w:r>
      <w:r>
        <w:rPr>
          <w:rFonts w:hint="eastAsia" w:ascii="宋体" w:hAnsi="宋体"/>
          <w:sz w:val="24"/>
          <w:szCs w:val="24"/>
          <w:u w:val="single"/>
        </w:rPr>
        <w:t xml:space="preserve">    </w:t>
      </w:r>
      <w:r>
        <w:rPr>
          <w:rFonts w:hint="eastAsia" w:ascii="宋体" w:hAnsi="宋体"/>
          <w:sz w:val="24"/>
          <w:szCs w:val="24"/>
        </w:rPr>
        <w:t xml:space="preserve">（小型、微型企业/残疾人福利性单位/监狱企业）企业，且我们约定该公司/单位所承担的合同金额将占本项目合同总金额的</w:t>
      </w:r>
      <w:r>
        <w:rPr>
          <w:rFonts w:hint="eastAsia" w:ascii="宋体" w:hAnsi="宋体"/>
          <w:sz w:val="24"/>
          <w:szCs w:val="24"/>
          <w:u w:val="single"/>
        </w:rPr>
        <w:t xml:space="preserve">  </w:t>
      </w:r>
      <w:r>
        <w:rPr>
          <w:rFonts w:hint="eastAsia" w:ascii="宋体" w:hAnsi="宋体"/>
          <w:sz w:val="24"/>
          <w:szCs w:val="24"/>
        </w:rPr>
        <w:t xml:space="preserve"> %。</w:t>
      </w:r>
      <w:r/>
    </w:p>
    <w:p>
      <w:pPr>
        <w:ind w:firstLine="645"/>
        <w:spacing w:line="0" w:lineRule="atLeast"/>
        <w:rPr>
          <w:rFonts w:ascii="宋体" w:hAnsi="宋体"/>
          <w:sz w:val="24"/>
          <w:szCs w:val="24"/>
        </w:rPr>
      </w:pPr>
      <w:r>
        <w:rPr>
          <w:rFonts w:hint="eastAsia" w:ascii="宋体" w:hAnsi="宋体"/>
          <w:sz w:val="24"/>
          <w:szCs w:val="24"/>
        </w:rPr>
        <w:t xml:space="preserve"> </w:t>
      </w:r>
      <w:r/>
    </w:p>
    <w:p>
      <w:pPr>
        <w:ind w:firstLine="645"/>
        <w:spacing w:line="0" w:lineRule="atLeast"/>
        <w:rPr>
          <w:rFonts w:ascii="宋体" w:hAnsi="宋体"/>
          <w:sz w:val="24"/>
          <w:szCs w:val="24"/>
        </w:rPr>
      </w:pPr>
      <w:r>
        <w:rPr>
          <w:rFonts w:hint="eastAsia" w:ascii="宋体" w:hAnsi="宋体"/>
          <w:sz w:val="24"/>
          <w:szCs w:val="24"/>
        </w:rPr>
        <w:t xml:space="preserve">                                          </w:t>
      </w:r>
      <w:r/>
    </w:p>
    <w:p>
      <w:pPr>
        <w:ind w:firstLine="645"/>
        <w:jc w:val="right"/>
        <w:spacing w:line="0" w:lineRule="atLeast"/>
        <w:rPr>
          <w:rFonts w:ascii="宋体" w:hAnsi="宋体"/>
          <w:sz w:val="24"/>
          <w:szCs w:val="24"/>
        </w:rPr>
      </w:pPr>
      <w:r>
        <w:rPr>
          <w:rFonts w:hint="eastAsia" w:ascii="宋体" w:hAnsi="宋体"/>
          <w:sz w:val="24"/>
          <w:szCs w:val="24"/>
        </w:rPr>
        <w:t xml:space="preserve">联合体中各供应商全称（公章）：     </w:t>
      </w:r>
      <w:r/>
    </w:p>
    <w:p>
      <w:pPr>
        <w:ind w:firstLine="645"/>
        <w:spacing w:line="0" w:lineRule="atLeast"/>
        <w:rPr>
          <w:rFonts w:ascii="宋体" w:hAnsi="宋体"/>
          <w:sz w:val="24"/>
          <w:szCs w:val="24"/>
        </w:rPr>
      </w:pPr>
      <w:r>
        <w:rPr>
          <w:rFonts w:hint="eastAsia" w:ascii="宋体" w:hAnsi="宋体"/>
          <w:sz w:val="24"/>
          <w:szCs w:val="24"/>
        </w:rPr>
        <w:t xml:space="preserve">                                        日期：</w:t>
      </w:r>
      <w:r/>
    </w:p>
    <w:p>
      <w:pPr>
        <w:ind w:firstLine="645"/>
        <w:spacing w:line="0" w:lineRule="atLeast"/>
        <w:rPr>
          <w:rFonts w:ascii="宋体" w:hAnsi="宋体"/>
          <w:sz w:val="24"/>
          <w:szCs w:val="24"/>
        </w:rPr>
      </w:pPr>
      <w:r>
        <w:rPr>
          <w:rFonts w:hint="eastAsia" w:ascii="宋体" w:hAnsi="宋体"/>
          <w:sz w:val="24"/>
          <w:szCs w:val="24"/>
        </w:rPr>
        <w:t xml:space="preserve"> </w:t>
      </w:r>
      <w:r/>
    </w:p>
    <w:p>
      <w:pPr>
        <w:ind w:firstLine="645"/>
        <w:spacing w:line="0" w:lineRule="atLeast"/>
        <w:rPr>
          <w:rFonts w:ascii="宋体" w:hAnsi="宋体"/>
          <w:sz w:val="24"/>
          <w:szCs w:val="24"/>
        </w:rPr>
      </w:pPr>
      <w:r>
        <w:rPr>
          <w:rFonts w:hint="eastAsia" w:ascii="宋体" w:hAnsi="宋体"/>
          <w:sz w:val="24"/>
          <w:szCs w:val="24"/>
        </w:rPr>
        <w:t xml:space="preserve">备注：本招标文件中要求加盖CA电子签章的地方，仅需加盖牵头单位的CA电子签章。</w:t>
      </w:r>
      <w:r/>
    </w:p>
    <w:p>
      <w:pPr>
        <w:ind w:firstLine="645"/>
        <w:spacing w:line="560" w:lineRule="exact"/>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附件12 实质性要求响应及偏离表（采购包号：**）</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技术要求和商务要求中的实质性要求</w:t>
            </w:r>
            <w:r>
              <w:rPr>
                <w:rFonts w:hint="eastAsia" w:ascii="宋体" w:hAnsi="宋体"/>
                <w:b/>
                <w:bCs/>
                <w:sz w:val="24"/>
                <w:szCs w:val="24"/>
              </w:rPr>
              <w:t xml:space="preserve">（</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附件12-1 证明材料1，证明材料2，……</w:t>
      </w:r>
      <w:r/>
    </w:p>
    <w:p>
      <w:pPr>
        <w:spacing w:line="400" w:lineRule="exact"/>
        <w:rPr>
          <w:rFonts w:ascii="宋体" w:hAnsi="宋体"/>
          <w:sz w:val="24"/>
          <w:szCs w:val="24"/>
        </w:rPr>
      </w:pPr>
      <w:r>
        <w:rPr>
          <w:rFonts w:hint="eastAsia" w:ascii="宋体" w:hAnsi="宋体"/>
          <w:sz w:val="24"/>
          <w:szCs w:val="24"/>
        </w:rPr>
        <w:t xml:space="preserve"> </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1.投标人必须对技术要求和商务要求中的实质性要求</w:t>
      </w:r>
      <w:r>
        <w:rPr>
          <w:rFonts w:hint="eastAsia" w:ascii="宋体" w:hAnsi="宋体"/>
          <w:b/>
          <w:bCs/>
          <w:sz w:val="24"/>
          <w:szCs w:val="24"/>
        </w:rPr>
        <w:t xml:space="preserve">（</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rPr>
          <w:rFonts w:hint="eastAsia" w:ascii="宋体" w:hAnsi="宋体"/>
          <w:sz w:val="24"/>
          <w:szCs w:val="24"/>
        </w:rPr>
        <w:t xml:space="preserve">逐条做出明确响应，否则作无效投标处理。</w:t>
      </w:r>
      <w:r/>
    </w:p>
    <w:p>
      <w:pPr>
        <w:spacing w:line="400" w:lineRule="exact"/>
        <w:rPr>
          <w:rFonts w:ascii="宋体" w:hAnsi="宋体"/>
          <w:sz w:val="24"/>
          <w:szCs w:val="24"/>
        </w:rPr>
      </w:pPr>
      <w:r>
        <w:rPr>
          <w:rFonts w:hint="eastAsia" w:ascii="宋体" w:hAnsi="宋体"/>
          <w:sz w:val="24"/>
          <w:szCs w:val="24"/>
        </w:rPr>
        <w:t xml:space="preserve">2.如果招标文件要求提供证明材料，投标人必须将证明材料列于该表之下。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sz w:val="24"/>
          <w:szCs w:val="24"/>
        </w:rPr>
      </w:pPr>
      <w:r>
        <w:rPr>
          <w:rFonts w:hint="eastAsia" w:ascii="宋体" w:hAnsi="宋体"/>
          <w:sz w:val="24"/>
          <w:szCs w:val="24"/>
        </w:rPr>
        <w:t xml:space="preserve"> </w:t>
      </w:r>
      <w:r/>
    </w:p>
    <w:p>
      <w:pPr>
        <w:spacing w:line="460" w:lineRule="exact"/>
        <w:rPr>
          <w:rFonts w:ascii="宋体" w:hAnsi="宋体"/>
          <w:bCs/>
          <w:sz w:val="24"/>
          <w:szCs w:val="24"/>
        </w:rPr>
      </w:pPr>
      <w:r>
        <w:rPr>
          <w:rFonts w:hint="eastAsia" w:ascii="宋体" w:hAnsi="宋体"/>
          <w:bCs/>
          <w:sz w:val="24"/>
          <w:szCs w:val="24"/>
        </w:rPr>
        <w:t xml:space="preserve"> </w:t>
      </w:r>
      <w:r/>
    </w:p>
    <w:p>
      <w:pPr>
        <w:spacing w:line="460" w:lineRule="exact"/>
        <w:rPr>
          <w:rFonts w:ascii="宋体" w:hAnsi="宋体"/>
          <w:bCs/>
          <w:sz w:val="24"/>
          <w:szCs w:val="24"/>
        </w:rPr>
      </w:pPr>
      <w:r>
        <w:rPr>
          <w:rFonts w:hint="eastAsia" w:ascii="宋体" w:hAnsi="宋体"/>
          <w:bCs/>
          <w:sz w:val="24"/>
          <w:szCs w:val="24"/>
        </w:rPr>
        <w:t xml:space="preserve"> </w:t>
      </w:r>
      <w:r/>
    </w:p>
    <w:p>
      <w:pPr>
        <w:spacing w:line="460" w:lineRule="exact"/>
        <w:rPr>
          <w:rFonts w:ascii="宋体" w:hAnsi="宋体"/>
          <w:bCs/>
          <w:sz w:val="24"/>
          <w:szCs w:val="24"/>
        </w:rPr>
      </w:pPr>
      <w:r>
        <w:rPr>
          <w:rFonts w:hint="eastAsia" w:ascii="宋体" w:hAnsi="宋体"/>
          <w:bCs/>
          <w:sz w:val="24"/>
          <w:szCs w:val="24"/>
        </w:rPr>
        <w:t xml:space="preserve"> </w:t>
      </w:r>
      <w:r/>
    </w:p>
    <w:p>
      <w:pPr>
        <w:spacing w:line="460" w:lineRule="exact"/>
        <w:rPr>
          <w:rFonts w:ascii="宋体" w:hAnsi="宋体"/>
          <w:bCs/>
          <w:sz w:val="24"/>
          <w:szCs w:val="24"/>
        </w:rPr>
      </w:pPr>
      <w:r>
        <w:rPr>
          <w:rFonts w:hint="eastAsia" w:ascii="宋体" w:hAnsi="宋体"/>
          <w:bCs/>
          <w:sz w:val="24"/>
          <w:szCs w:val="24"/>
        </w:rPr>
        <w:t xml:space="preserve"> </w:t>
      </w:r>
      <w:r/>
    </w:p>
    <w:p>
      <w:pPr>
        <w:spacing w:line="460" w:lineRule="exact"/>
        <w:rPr>
          <w:rFonts w:ascii="宋体" w:hAnsi="宋体"/>
          <w:bCs/>
          <w:sz w:val="24"/>
          <w:szCs w:val="24"/>
        </w:rPr>
      </w:pPr>
      <w:r>
        <w:rPr>
          <w:rFonts w:hint="eastAsia" w:ascii="宋体" w:hAnsi="宋体"/>
          <w:bCs/>
          <w:sz w:val="24"/>
          <w:szCs w:val="24"/>
        </w:rPr>
        <w:t xml:space="preserve"> </w:t>
      </w:r>
      <w:r/>
    </w:p>
    <w:p>
      <w:pPr>
        <w:spacing w:line="460" w:lineRule="exact"/>
        <w:rPr>
          <w:rFonts w:ascii="宋体" w:hAnsi="宋体"/>
          <w:bCs/>
          <w:sz w:val="24"/>
          <w:szCs w:val="24"/>
        </w:rPr>
      </w:pPr>
      <w:r>
        <w:rPr>
          <w:rFonts w:hint="eastAsia" w:ascii="宋体" w:hAnsi="宋体"/>
          <w:bCs/>
          <w:sz w:val="24"/>
          <w:szCs w:val="24"/>
        </w:rPr>
        <w:t xml:space="preserve"> </w:t>
      </w:r>
      <w:r/>
    </w:p>
    <w:p>
      <w:r>
        <w:rPr>
          <w:rFonts w:hint="eastAsia"/>
        </w:rPr>
        <w:t xml:space="preserve"> </w:t>
      </w:r>
      <w:r/>
    </w:p>
    <w:p>
      <w:pPr>
        <w:jc w:val="center"/>
        <w:rPr>
          <w:rFonts w:ascii="黑体" w:hAnsi="黑体" w:eastAsia="黑体"/>
          <w:b/>
          <w:sz w:val="32"/>
          <w:szCs w:val="32"/>
        </w:rPr>
      </w:pPr>
      <w:r>
        <w:rPr>
          <w:rFonts w:hint="eastAsia" w:ascii="黑体" w:hAnsi="黑体" w:eastAsia="黑体"/>
          <w:b/>
          <w:sz w:val="32"/>
          <w:szCs w:val="32"/>
        </w:rPr>
        <w:t xml:space="preserve"> </w:t>
      </w:r>
      <w:r/>
    </w:p>
    <w:p>
      <w:pPr>
        <w:jc w:val="center"/>
        <w:rPr>
          <w:rFonts w:ascii="黑体" w:hAnsi="黑体" w:eastAsia="黑体"/>
          <w:b/>
          <w:sz w:val="32"/>
          <w:szCs w:val="32"/>
        </w:rPr>
      </w:pPr>
      <w:r>
        <w:rPr>
          <w:rFonts w:hint="eastAsia" w:ascii="黑体" w:hAnsi="黑体" w:eastAsia="黑体"/>
          <w:b/>
          <w:sz w:val="32"/>
          <w:szCs w:val="32"/>
        </w:rPr>
        <w:t xml:space="preserve"> </w:t>
      </w:r>
      <w:r/>
    </w:p>
    <w:p>
      <w:pPr>
        <w:jc w:val="center"/>
        <w:rPr>
          <w:rFonts w:ascii="黑体" w:hAnsi="黑体" w:eastAsia="黑体"/>
          <w:b/>
          <w:sz w:val="32"/>
          <w:szCs w:val="32"/>
        </w:rPr>
      </w:pPr>
      <w:r>
        <w:rPr>
          <w:rFonts w:hint="eastAsia" w:ascii="黑体" w:hAnsi="黑体" w:eastAsia="黑体"/>
          <w:b/>
          <w:sz w:val="32"/>
          <w:szCs w:val="32"/>
        </w:rPr>
        <w:t xml:space="preserve"> </w:t>
      </w:r>
      <w:r/>
    </w:p>
    <w:p>
      <w:pPr>
        <w:jc w:val="center"/>
        <w:rPr>
          <w:rFonts w:ascii="黑体" w:hAnsi="黑体" w:eastAsia="黑体"/>
          <w:b/>
          <w:sz w:val="32"/>
          <w:szCs w:val="32"/>
        </w:rPr>
      </w:pPr>
      <w:r>
        <w:rPr>
          <w:rFonts w:hint="eastAsia" w:ascii="黑体" w:hAnsi="黑体" w:eastAsia="黑体"/>
          <w:b/>
          <w:sz w:val="32"/>
          <w:szCs w:val="32"/>
        </w:rPr>
        <w:t xml:space="preserve"> </w:t>
      </w:r>
      <w:r/>
    </w:p>
    <w:p>
      <w:pPr>
        <w:jc w:val="center"/>
        <w:rPr>
          <w:rFonts w:ascii="黑体" w:hAnsi="黑体" w:eastAsia="黑体"/>
          <w:b/>
          <w:sz w:val="32"/>
          <w:szCs w:val="32"/>
        </w:rPr>
      </w:pPr>
      <w:r>
        <w:rPr>
          <w:rFonts w:hint="eastAsia" w:ascii="黑体" w:hAnsi="黑体" w:eastAsia="黑体"/>
          <w:b/>
          <w:sz w:val="32"/>
          <w:szCs w:val="32"/>
        </w:rPr>
        <w:t xml:space="preserve"> </w:t>
      </w:r>
      <w:r/>
    </w:p>
    <w:p>
      <w:pPr>
        <w:rPr>
          <w:rFonts w:ascii="黑体" w:hAnsi="黑体" w:eastAsia="黑体"/>
          <w:b/>
          <w:sz w:val="32"/>
          <w:szCs w:val="32"/>
        </w:rPr>
      </w:pPr>
      <w:r>
        <w:rPr>
          <w:rFonts w:hint="eastAsia" w:ascii="黑体" w:hAnsi="黑体" w:eastAsia="黑体"/>
          <w:b/>
          <w:sz w:val="32"/>
          <w:szCs w:val="32"/>
        </w:rPr>
        <w:t xml:space="preserve"> </w:t>
      </w:r>
      <w:r/>
    </w:p>
    <w:p>
      <w:pPr>
        <w:jc w:val="center"/>
        <w:rPr>
          <w:rFonts w:ascii="宋体" w:hAnsi="宋体" w:cs="仿宋"/>
          <w:b/>
          <w:bCs/>
          <w:sz w:val="32"/>
          <w:szCs w:val="32"/>
        </w:rPr>
      </w:pPr>
      <w:r>
        <w:rPr>
          <w:rFonts w:hint="eastAsia" w:ascii="宋体" w:hAnsi="宋体" w:cs="仿宋"/>
          <w:b/>
          <w:bCs/>
          <w:sz w:val="32"/>
          <w:szCs w:val="32"/>
        </w:rPr>
        <w:t xml:space="preserve"> </w:t>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12"/>
        <w:rPr>
          <w:rFonts w:ascii="Times New Roman" w:hAnsi="Times New Roman"/>
          <w:color w:val="auto"/>
          <w:sz w:val="24"/>
          <w:szCs w:val="24"/>
          <w:lang w:eastAsia="zh-CN"/>
        </w:rPr>
      </w:pPr>
      <w:r>
        <w:rPr>
          <w:rFonts w:hint="eastAsia"/>
          <w:color w:val="auto"/>
          <w:sz w:val="24"/>
          <w:szCs w:val="24"/>
          <w:lang w:eastAsia="zh-CN"/>
        </w:rPr>
        <w:t xml:space="preserve"> </w:t>
      </w:r>
      <w:r/>
    </w:p>
    <w:p>
      <w:pPr>
        <w:pStyle w:val="1012"/>
        <w:rPr>
          <w:color w:val="auto"/>
          <w:sz w:val="24"/>
          <w:szCs w:val="24"/>
          <w:lang w:eastAsia="zh-CN"/>
        </w:rPr>
      </w:pPr>
      <w:r>
        <w:rPr>
          <w:color w:val="auto"/>
          <w:sz w:val="24"/>
          <w:szCs w:val="24"/>
          <w:lang w:eastAsia="zh-CN"/>
        </w:rPr>
        <w:t xml:space="preserve"> </w:t>
      </w:r>
      <w:r/>
    </w:p>
    <w:p>
      <w:pPr>
        <w:ind w:left="1872"/>
        <w:spacing w:before="140" w:line="223" w:lineRule="auto"/>
        <w:rPr>
          <w:rFonts w:ascii="宋体" w:hAnsi="宋体" w:cs="宋体"/>
          <w:color w:val="000000" w:themeColor="text1"/>
          <w:sz w:val="24"/>
          <w:szCs w:val="24"/>
          <w14:textFill>
            <w14:solidFill>
              <w14:schemeClr w14:val="tx1"/>
            </w14:solidFill>
          </w14:textFill>
        </w:rPr>
        <w:outlineLvl w:val="0"/>
      </w:pPr>
      <w:r>
        <w:rPr>
          <w:rFonts w:ascii="宋体" w:hAnsi="宋体" w:cs="宋体"/>
          <w:color w:val="000000" w:themeColor="text1"/>
          <w:sz w:val="24"/>
          <w:szCs w:val="24"/>
          <w14:textFill>
            <w14:solidFill>
              <w14:schemeClr w14:val="tx1"/>
            </w14:solidFill>
          </w14:textFill>
        </w:rPr>
      </w:r>
      <w:r/>
    </w:p>
    <w:sectPr>
      <w:footnotePr/>
      <w:endnotePr/>
      <w:type w:val="nextPage"/>
      <w:pgSz w:w="11907" w:h="16839" w:orient="portrait"/>
      <w:pgMar w:top="400" w:right="1785" w:bottom="400" w:left="1785" w:header="0"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Wingdings">
    <w:panose1 w:val="05000000000000000000"/>
  </w:font>
  <w:font w:name="Courier New">
    <w:panose1 w:val="02070309020205020404"/>
  </w:font>
  <w:font w:name="楷体_GB2312">
    <w:panose1 w:val="02010609060101010101"/>
  </w:font>
  <w:font w:name="Symbol">
    <w:panose1 w:val="05050102010706020507"/>
  </w:font>
  <w:font w:name="楷体">
    <w:panose1 w:val="02010609060101010101"/>
  </w:font>
  <w:font w:name="幼圆">
    <w:panose1 w:val="020105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fldChar w:fldCharType="begin"/>
    </w:r>
    <w:r>
      <w:instrText xml:space="preserve">PAGE \* MERGEFORMAT</w:instrText>
    </w:r>
    <w:r>
      <w:fldChar w:fldCharType="separate"/>
    </w:r>
    <w:r>
      <w:t xml:space="preserve">5</w:t>
    </w:r>
    <w:r>
      <w:fldChar w:fldCharType="end"/>
    </w:r>
    <w:r/>
  </w:p>
  <w:p>
    <w:pPr>
      <w:pStyle w:val="10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07"/>
      <w:spacing w:line="169" w:lineRule="auto"/>
      <w:rPr>
        <w:rFonts w:ascii="宋体" w:hAnsi="宋体" w:cs="宋体"/>
        <w:sz w:val="18"/>
        <w:szCs w:val="18"/>
      </w:rPr>
    </w:pPr>
    <w:r>
      <w:rPr>
        <w:rFonts w:ascii="宋体" w:hAnsi="宋体" w:cs="宋体"/>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6"/>
      <w:spacing w:line="167" w:lineRule="auto"/>
      <w:rPr>
        <w:rFonts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pPr>
                          <w:r>
                            <w:fldChar w:fldCharType="begin"/>
                          </w:r>
                          <w:r>
                            <w:instrText xml:space="preserve"> PAGE  \* MERGEFORMAT </w:instrText>
                          </w:r>
                          <w:r>
                            <w:fldChar w:fldCharType="separate"/>
                          </w:r>
                          <w:r>
                            <w:t xml:space="preserve">19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rFonts w:ascii="宋体" w:hAnsi="宋体" w:cs="宋体"/>
        <w:spacing w:val="26"/>
        <w:sz w:val="18"/>
        <w:szCs w:val="18"/>
      </w:rPr>
      <w:t xml:space="preserve">19</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fldChar w:fldCharType="begin"/>
    </w:r>
    <w:r>
      <w:instrText xml:space="preserve">PAGE \* MERGEFORMAT</w:instrText>
    </w:r>
    <w:r>
      <w:fldChar w:fldCharType="separate"/>
    </w:r>
    <w:r>
      <w:t xml:space="preserve">130</w:t>
    </w:r>
    <w:r>
      <w:fldChar w:fldCharType="end"/>
    </w:r>
    <w:r/>
  </w:p>
  <w:p>
    <w:pPr>
      <w:pStyle w:val="10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1006"/>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4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2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2">
    <w:multiLevelType w:val="hybridMultilevel"/>
    <w:lvl w:ilvl="0">
      <w:start w:val="1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9"/>
  </w:num>
  <w:num w:numId="2">
    <w:abstractNumId w:val="76"/>
  </w:num>
  <w:num w:numId="3">
    <w:abstractNumId w:val="63"/>
  </w:num>
  <w:num w:numId="4">
    <w:abstractNumId w:val="97"/>
  </w:num>
  <w:num w:numId="5">
    <w:abstractNumId w:val="36"/>
  </w:num>
  <w:num w:numId="6">
    <w:abstractNumId w:val="59"/>
  </w:num>
  <w:num w:numId="7">
    <w:abstractNumId w:val="41"/>
  </w:num>
  <w:num w:numId="8">
    <w:abstractNumId w:val="18"/>
  </w:num>
  <w:num w:numId="9">
    <w:abstractNumId w:val="94"/>
  </w:num>
  <w:num w:numId="10">
    <w:abstractNumId w:val="5"/>
  </w:num>
  <w:num w:numId="11">
    <w:abstractNumId w:val="35"/>
  </w:num>
  <w:num w:numId="12">
    <w:abstractNumId w:val="19"/>
  </w:num>
  <w:num w:numId="13">
    <w:abstractNumId w:val="25"/>
  </w:num>
  <w:num w:numId="14">
    <w:abstractNumId w:val="27"/>
  </w:num>
  <w:num w:numId="15">
    <w:abstractNumId w:val="96"/>
  </w:num>
  <w:num w:numId="16">
    <w:abstractNumId w:val="51"/>
  </w:num>
  <w:num w:numId="17">
    <w:abstractNumId w:val="1"/>
  </w:num>
  <w:num w:numId="18">
    <w:abstractNumId w:val="6"/>
  </w:num>
  <w:num w:numId="19">
    <w:abstractNumId w:val="110"/>
  </w:num>
  <w:num w:numId="20">
    <w:abstractNumId w:val="48"/>
  </w:num>
  <w:num w:numId="21">
    <w:abstractNumId w:val="90"/>
  </w:num>
  <w:num w:numId="22">
    <w:abstractNumId w:val="67"/>
  </w:num>
  <w:num w:numId="23">
    <w:abstractNumId w:val="93"/>
  </w:num>
  <w:num w:numId="24">
    <w:abstractNumId w:val="40"/>
  </w:num>
  <w:num w:numId="25">
    <w:abstractNumId w:val="12"/>
  </w:num>
  <w:num w:numId="26">
    <w:abstractNumId w:val="2"/>
  </w:num>
  <w:num w:numId="27">
    <w:abstractNumId w:val="49"/>
  </w:num>
  <w:num w:numId="28">
    <w:abstractNumId w:val="23"/>
  </w:num>
  <w:num w:numId="29">
    <w:abstractNumId w:val="57"/>
  </w:num>
  <w:num w:numId="30">
    <w:abstractNumId w:val="34"/>
  </w:num>
  <w:num w:numId="31">
    <w:abstractNumId w:val="92"/>
  </w:num>
  <w:num w:numId="32">
    <w:abstractNumId w:val="29"/>
  </w:num>
  <w:num w:numId="33">
    <w:abstractNumId w:val="111"/>
  </w:num>
  <w:num w:numId="34">
    <w:abstractNumId w:val="100"/>
  </w:num>
  <w:num w:numId="35">
    <w:abstractNumId w:val="22"/>
  </w:num>
  <w:num w:numId="36">
    <w:abstractNumId w:val="101"/>
  </w:num>
  <w:num w:numId="37">
    <w:abstractNumId w:val="81"/>
  </w:num>
  <w:num w:numId="38">
    <w:abstractNumId w:val="16"/>
  </w:num>
  <w:num w:numId="39">
    <w:abstractNumId w:val="83"/>
  </w:num>
  <w:num w:numId="40">
    <w:abstractNumId w:val="88"/>
  </w:num>
  <w:num w:numId="41">
    <w:abstractNumId w:val="17"/>
  </w:num>
  <w:num w:numId="42">
    <w:abstractNumId w:val="72"/>
  </w:num>
  <w:num w:numId="43">
    <w:abstractNumId w:val="24"/>
  </w:num>
  <w:num w:numId="44">
    <w:abstractNumId w:val="13"/>
  </w:num>
  <w:num w:numId="45">
    <w:abstractNumId w:val="52"/>
  </w:num>
  <w:num w:numId="46">
    <w:abstractNumId w:val="14"/>
  </w:num>
  <w:num w:numId="47">
    <w:abstractNumId w:val="99"/>
  </w:num>
  <w:num w:numId="48">
    <w:abstractNumId w:val="33"/>
  </w:num>
  <w:num w:numId="49">
    <w:abstractNumId w:val="11"/>
  </w:num>
  <w:num w:numId="50">
    <w:abstractNumId w:val="78"/>
  </w:num>
  <w:num w:numId="51">
    <w:abstractNumId w:val="112"/>
  </w:num>
  <w:num w:numId="52">
    <w:abstractNumId w:val="74"/>
  </w:num>
  <w:num w:numId="53">
    <w:abstractNumId w:val="98"/>
  </w:num>
  <w:num w:numId="54">
    <w:abstractNumId w:val="109"/>
  </w:num>
  <w:num w:numId="55">
    <w:abstractNumId w:val="46"/>
  </w:num>
  <w:num w:numId="56">
    <w:abstractNumId w:val="0"/>
  </w:num>
  <w:num w:numId="57">
    <w:abstractNumId w:val="70"/>
  </w:num>
  <w:num w:numId="58">
    <w:abstractNumId w:val="15"/>
  </w:num>
  <w:num w:numId="59">
    <w:abstractNumId w:val="30"/>
  </w:num>
  <w:num w:numId="60">
    <w:abstractNumId w:val="26"/>
  </w:num>
  <w:num w:numId="61">
    <w:abstractNumId w:val="86"/>
  </w:num>
  <w:num w:numId="62">
    <w:abstractNumId w:val="71"/>
  </w:num>
  <w:num w:numId="63">
    <w:abstractNumId w:val="28"/>
  </w:num>
  <w:num w:numId="64">
    <w:abstractNumId w:val="66"/>
  </w:num>
  <w:num w:numId="65">
    <w:abstractNumId w:val="10"/>
  </w:num>
  <w:num w:numId="66">
    <w:abstractNumId w:val="60"/>
  </w:num>
  <w:num w:numId="67">
    <w:abstractNumId w:val="53"/>
  </w:num>
  <w:num w:numId="68">
    <w:abstractNumId w:val="32"/>
  </w:num>
  <w:num w:numId="69">
    <w:abstractNumId w:val="64"/>
  </w:num>
  <w:num w:numId="70">
    <w:abstractNumId w:val="42"/>
  </w:num>
  <w:num w:numId="71">
    <w:abstractNumId w:val="54"/>
  </w:num>
  <w:num w:numId="72">
    <w:abstractNumId w:val="38"/>
  </w:num>
  <w:num w:numId="73">
    <w:abstractNumId w:val="91"/>
  </w:num>
  <w:num w:numId="74">
    <w:abstractNumId w:val="43"/>
  </w:num>
  <w:num w:numId="75">
    <w:abstractNumId w:val="56"/>
  </w:num>
  <w:num w:numId="76">
    <w:abstractNumId w:val="68"/>
  </w:num>
  <w:num w:numId="77">
    <w:abstractNumId w:val="45"/>
  </w:num>
  <w:num w:numId="78">
    <w:abstractNumId w:val="87"/>
  </w:num>
  <w:num w:numId="79">
    <w:abstractNumId w:val="65"/>
  </w:num>
  <w:num w:numId="80">
    <w:abstractNumId w:val="77"/>
  </w:num>
  <w:num w:numId="81">
    <w:abstractNumId w:val="47"/>
  </w:num>
  <w:num w:numId="82">
    <w:abstractNumId w:val="103"/>
  </w:num>
  <w:num w:numId="83">
    <w:abstractNumId w:val="9"/>
  </w:num>
  <w:num w:numId="84">
    <w:abstractNumId w:val="8"/>
  </w:num>
  <w:num w:numId="85">
    <w:abstractNumId w:val="3"/>
  </w:num>
  <w:num w:numId="86">
    <w:abstractNumId w:val="73"/>
  </w:num>
  <w:num w:numId="87">
    <w:abstractNumId w:val="79"/>
  </w:num>
  <w:num w:numId="88">
    <w:abstractNumId w:val="104"/>
  </w:num>
  <w:num w:numId="89">
    <w:abstractNumId w:val="85"/>
  </w:num>
  <w:num w:numId="90">
    <w:abstractNumId w:val="82"/>
  </w:num>
  <w:num w:numId="91">
    <w:abstractNumId w:val="20"/>
  </w:num>
  <w:num w:numId="92">
    <w:abstractNumId w:val="107"/>
  </w:num>
  <w:num w:numId="93">
    <w:abstractNumId w:val="61"/>
  </w:num>
  <w:num w:numId="94">
    <w:abstractNumId w:val="44"/>
  </w:num>
  <w:num w:numId="95">
    <w:abstractNumId w:val="89"/>
  </w:num>
  <w:num w:numId="96">
    <w:abstractNumId w:val="75"/>
  </w:num>
  <w:num w:numId="97">
    <w:abstractNumId w:val="80"/>
  </w:num>
  <w:num w:numId="98">
    <w:abstractNumId w:val="7"/>
  </w:num>
  <w:num w:numId="99">
    <w:abstractNumId w:val="84"/>
  </w:num>
  <w:num w:numId="100">
    <w:abstractNumId w:val="31"/>
  </w:num>
  <w:num w:numId="101">
    <w:abstractNumId w:val="37"/>
  </w:num>
  <w:num w:numId="102">
    <w:abstractNumId w:val="50"/>
  </w:num>
  <w:num w:numId="103">
    <w:abstractNumId w:val="55"/>
  </w:num>
  <w:num w:numId="104">
    <w:abstractNumId w:val="69"/>
  </w:num>
  <w:num w:numId="105">
    <w:abstractNumId w:val="4"/>
  </w:num>
  <w:num w:numId="106">
    <w:abstractNumId w:val="62"/>
  </w:num>
  <w:num w:numId="107">
    <w:abstractNumId w:val="95"/>
  </w:num>
  <w:num w:numId="108">
    <w:abstractNumId w:val="21"/>
  </w:num>
  <w:num w:numId="109">
    <w:abstractNumId w:val="106"/>
  </w:num>
  <w:num w:numId="110">
    <w:abstractNumId w:val="102"/>
  </w:num>
  <w:num w:numId="111">
    <w:abstractNumId w:val="108"/>
  </w:num>
  <w:num w:numId="112">
    <w:abstractNumId w:val="105"/>
  </w:num>
  <w:num w:numId="113">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5">
    <w:name w:val="Heading 1 Char"/>
    <w:basedOn w:val="1010"/>
    <w:link w:val="1001"/>
    <w:uiPriority w:val="9"/>
    <w:rPr>
      <w:rFonts w:ascii="Arial" w:hAnsi="Arial" w:eastAsia="Arial" w:cs="Arial"/>
      <w:sz w:val="40"/>
      <w:szCs w:val="40"/>
    </w:rPr>
  </w:style>
  <w:style w:type="character" w:styleId="986">
    <w:name w:val="Heading 2 Char"/>
    <w:basedOn w:val="1010"/>
    <w:link w:val="1002"/>
    <w:uiPriority w:val="9"/>
    <w:rPr>
      <w:rFonts w:ascii="Arial" w:hAnsi="Arial" w:eastAsia="Arial" w:cs="Arial"/>
      <w:sz w:val="34"/>
    </w:rPr>
  </w:style>
  <w:style w:type="character" w:styleId="987">
    <w:name w:val="Heading 3 Char"/>
    <w:basedOn w:val="1010"/>
    <w:link w:val="1003"/>
    <w:uiPriority w:val="9"/>
    <w:rPr>
      <w:rFonts w:ascii="Arial" w:hAnsi="Arial" w:eastAsia="Arial" w:cs="Arial"/>
      <w:sz w:val="30"/>
      <w:szCs w:val="30"/>
    </w:rPr>
  </w:style>
  <w:style w:type="character" w:styleId="988">
    <w:name w:val="Heading 4 Char"/>
    <w:basedOn w:val="1010"/>
    <w:link w:val="1004"/>
    <w:uiPriority w:val="9"/>
    <w:rPr>
      <w:rFonts w:ascii="Arial" w:hAnsi="Arial" w:eastAsia="Arial" w:cs="Arial"/>
      <w:b/>
      <w:bCs/>
      <w:sz w:val="26"/>
      <w:szCs w:val="26"/>
    </w:rPr>
  </w:style>
  <w:style w:type="character" w:styleId="989">
    <w:name w:val="Heading 5 Char"/>
    <w:basedOn w:val="1010"/>
    <w:link w:val="1005"/>
    <w:uiPriority w:val="9"/>
    <w:rPr>
      <w:rFonts w:ascii="Arial" w:hAnsi="Arial" w:eastAsia="Arial" w:cs="Arial"/>
      <w:b/>
      <w:bCs/>
      <w:sz w:val="24"/>
      <w:szCs w:val="24"/>
    </w:rPr>
  </w:style>
  <w:style w:type="character" w:styleId="990">
    <w:name w:val="Heading 6 Char"/>
    <w:basedOn w:val="1010"/>
    <w:link w:val="1006"/>
    <w:uiPriority w:val="9"/>
    <w:rPr>
      <w:rFonts w:ascii="Arial" w:hAnsi="Arial" w:eastAsia="Arial" w:cs="Arial"/>
      <w:b/>
      <w:bCs/>
      <w:sz w:val="22"/>
      <w:szCs w:val="22"/>
    </w:rPr>
  </w:style>
  <w:style w:type="character" w:styleId="991">
    <w:name w:val="Heading 7 Char"/>
    <w:basedOn w:val="1010"/>
    <w:link w:val="1007"/>
    <w:uiPriority w:val="9"/>
    <w:rPr>
      <w:rFonts w:ascii="Arial" w:hAnsi="Arial" w:eastAsia="Arial" w:cs="Arial"/>
      <w:b/>
      <w:bCs/>
      <w:i/>
      <w:iCs/>
      <w:sz w:val="22"/>
      <w:szCs w:val="22"/>
    </w:rPr>
  </w:style>
  <w:style w:type="character" w:styleId="992">
    <w:name w:val="Heading 8 Char"/>
    <w:basedOn w:val="1010"/>
    <w:link w:val="1008"/>
    <w:uiPriority w:val="9"/>
    <w:rPr>
      <w:rFonts w:ascii="Arial" w:hAnsi="Arial" w:eastAsia="Arial" w:cs="Arial"/>
      <w:i/>
      <w:iCs/>
      <w:sz w:val="22"/>
      <w:szCs w:val="22"/>
    </w:rPr>
  </w:style>
  <w:style w:type="character" w:styleId="993">
    <w:name w:val="Heading 9 Char"/>
    <w:basedOn w:val="1010"/>
    <w:link w:val="1009"/>
    <w:uiPriority w:val="9"/>
    <w:rPr>
      <w:rFonts w:ascii="Arial" w:hAnsi="Arial" w:eastAsia="Arial" w:cs="Arial"/>
      <w:i/>
      <w:iCs/>
      <w:sz w:val="21"/>
      <w:szCs w:val="21"/>
    </w:rPr>
  </w:style>
  <w:style w:type="character" w:styleId="994">
    <w:name w:val="Title Char"/>
    <w:basedOn w:val="1010"/>
    <w:link w:val="1032"/>
    <w:uiPriority w:val="10"/>
    <w:rPr>
      <w:sz w:val="48"/>
      <w:szCs w:val="48"/>
    </w:rPr>
  </w:style>
  <w:style w:type="character" w:styleId="995">
    <w:name w:val="Subtitle Char"/>
    <w:basedOn w:val="1010"/>
    <w:link w:val="1026"/>
    <w:uiPriority w:val="11"/>
    <w:rPr>
      <w:sz w:val="24"/>
      <w:szCs w:val="24"/>
    </w:rPr>
  </w:style>
  <w:style w:type="character" w:styleId="996">
    <w:name w:val="Quote Char"/>
    <w:link w:val="1050"/>
    <w:uiPriority w:val="29"/>
    <w:rPr>
      <w:i/>
    </w:rPr>
  </w:style>
  <w:style w:type="character" w:styleId="997">
    <w:name w:val="Intense Quote Char"/>
    <w:link w:val="1052"/>
    <w:uiPriority w:val="30"/>
    <w:rPr>
      <w:i/>
    </w:rPr>
  </w:style>
  <w:style w:type="character" w:styleId="998">
    <w:name w:val="Footnote Text Char"/>
    <w:link w:val="1027"/>
    <w:uiPriority w:val="99"/>
    <w:rPr>
      <w:sz w:val="18"/>
    </w:rPr>
  </w:style>
  <w:style w:type="character" w:styleId="999">
    <w:name w:val="Endnote Text Char"/>
    <w:link w:val="1020"/>
    <w:uiPriority w:val="99"/>
    <w:rPr>
      <w:sz w:val="20"/>
    </w:rPr>
  </w:style>
  <w:style w:type="paragraph" w:styleId="100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1001">
    <w:name w:val="Heading 1"/>
    <w:basedOn w:val="1000"/>
    <w:next w:val="1000"/>
    <w:link w:val="1039"/>
    <w:uiPriority w:val="0"/>
    <w:qFormat/>
    <w:pPr>
      <w:jc w:val="left"/>
      <w:keepLines/>
      <w:keepNext/>
      <w:spacing w:before="340" w:after="330" w:line="576" w:lineRule="auto"/>
      <w:widowControl/>
      <w:outlineLvl w:val="0"/>
    </w:pPr>
    <w:rPr>
      <w:rFonts w:ascii="Arial" w:hAnsi="Arial" w:eastAsia="Arial" w:cs="Arial"/>
      <w:b/>
      <w:color w:val="000000"/>
      <w:sz w:val="44"/>
      <w:lang w:eastAsia="en-US"/>
    </w:rPr>
  </w:style>
  <w:style w:type="paragraph" w:styleId="1002">
    <w:name w:val="Heading 2"/>
    <w:basedOn w:val="1000"/>
    <w:next w:val="1000"/>
    <w:link w:val="1040"/>
    <w:uiPriority w:val="0"/>
    <w:unhideWhenUsed/>
    <w:qFormat/>
    <w:pPr>
      <w:ind w:firstLine="2429"/>
      <w:keepLines/>
      <w:keepNext/>
      <w:spacing w:before="260" w:after="140" w:line="400" w:lineRule="exact"/>
      <w:widowControl/>
      <w:outlineLvl w:val="1"/>
    </w:pPr>
    <w:rPr>
      <w:rFonts w:ascii="黑体" w:hAnsi="Arial" w:eastAsia="黑体" w:cs="Arial"/>
      <w:b/>
      <w:color w:val="000000"/>
      <w:sz w:val="44"/>
      <w:szCs w:val="44"/>
    </w:rPr>
  </w:style>
  <w:style w:type="paragraph" w:styleId="1003">
    <w:name w:val="Heading 3"/>
    <w:basedOn w:val="1000"/>
    <w:next w:val="1000"/>
    <w:link w:val="1041"/>
    <w:uiPriority w:val="0"/>
    <w:unhideWhenUsed/>
    <w:qFormat/>
    <w:pPr>
      <w:jc w:val="left"/>
      <w:keepLines/>
      <w:keepNext/>
      <w:spacing w:before="260" w:after="260" w:line="413" w:lineRule="auto"/>
      <w:widowControl/>
      <w:outlineLvl w:val="2"/>
    </w:pPr>
    <w:rPr>
      <w:rFonts w:ascii="Arial" w:hAnsi="Arial" w:eastAsia="Arial" w:cs="Arial"/>
      <w:b/>
      <w:color w:val="000000"/>
      <w:sz w:val="32"/>
      <w:lang w:eastAsia="en-US"/>
    </w:rPr>
  </w:style>
  <w:style w:type="paragraph" w:styleId="1004">
    <w:name w:val="Heading 4"/>
    <w:basedOn w:val="1000"/>
    <w:next w:val="1012"/>
    <w:link w:val="1042"/>
    <w:uiPriority w:val="0"/>
    <w:qFormat/>
    <w:pPr>
      <w:jc w:val="left"/>
      <w:keepLines/>
      <w:keepNext/>
      <w:spacing w:before="280" w:after="290" w:line="376" w:lineRule="auto"/>
      <w:widowControl/>
      <w:outlineLvl w:val="3"/>
    </w:pPr>
    <w:rPr>
      <w:rFonts w:ascii="Arial" w:hAnsi="Arial" w:eastAsia="黑体" w:cs="Arial"/>
      <w:b/>
      <w:bCs/>
      <w:color w:val="000000"/>
      <w:sz w:val="28"/>
      <w:szCs w:val="28"/>
      <w:lang w:eastAsia="en-US"/>
    </w:rPr>
  </w:style>
  <w:style w:type="paragraph" w:styleId="1005">
    <w:name w:val="Heading 5"/>
    <w:basedOn w:val="1000"/>
    <w:next w:val="1000"/>
    <w:link w:val="1043"/>
    <w:uiPriority w:val="0"/>
    <w:unhideWhenUsed/>
    <w:qFormat/>
    <w:pPr>
      <w:jc w:val="left"/>
      <w:keepLines/>
      <w:keepNext/>
      <w:spacing w:before="280" w:after="290" w:line="372" w:lineRule="auto"/>
      <w:widowControl/>
      <w:outlineLvl w:val="4"/>
    </w:pPr>
    <w:rPr>
      <w:rFonts w:ascii="Arial" w:hAnsi="Arial" w:eastAsia="Arial" w:cs="Arial"/>
      <w:b/>
      <w:color w:val="000000"/>
      <w:sz w:val="28"/>
      <w:lang w:eastAsia="en-US"/>
    </w:rPr>
  </w:style>
  <w:style w:type="paragraph" w:styleId="1006">
    <w:name w:val="Heading 6"/>
    <w:basedOn w:val="1000"/>
    <w:next w:val="1000"/>
    <w:link w:val="1044"/>
    <w:uiPriority w:val="0"/>
    <w:qFormat/>
    <w:pPr>
      <w:numPr>
        <w:ilvl w:val="5"/>
        <w:numId w:val="1"/>
      </w:numPr>
      <w:jc w:val="left"/>
      <w:keepLines/>
      <w:keepNext/>
      <w:spacing w:before="240" w:after="64" w:line="320" w:lineRule="auto"/>
      <w:widowControl/>
      <w:outlineLvl w:val="5"/>
    </w:pPr>
    <w:rPr>
      <w:rFonts w:ascii="Arial" w:hAnsi="Arial" w:eastAsia="黑体" w:cs="Arial"/>
      <w:b/>
      <w:bCs/>
      <w:color w:val="000000"/>
      <w:sz w:val="24"/>
      <w:szCs w:val="24"/>
      <w:lang w:eastAsia="en-US"/>
    </w:rPr>
  </w:style>
  <w:style w:type="paragraph" w:styleId="1007">
    <w:name w:val="Heading 7"/>
    <w:basedOn w:val="1000"/>
    <w:next w:val="1000"/>
    <w:link w:val="1045"/>
    <w:uiPriority w:val="0"/>
    <w:unhideWhenUsed/>
    <w:qFormat/>
    <w:pPr>
      <w:jc w:val="left"/>
      <w:keepLines/>
      <w:keepNext/>
      <w:spacing w:before="100" w:after="140" w:line="360" w:lineRule="auto"/>
      <w:widowControl/>
      <w:outlineLvl w:val="6"/>
    </w:pPr>
    <w:rPr>
      <w:rFonts w:ascii="Arial" w:hAnsi="Arial" w:eastAsia="楷体" w:cs="Arial"/>
      <w:b/>
      <w:color w:val="000000"/>
      <w:sz w:val="24"/>
      <w:lang w:eastAsia="en-US"/>
    </w:rPr>
  </w:style>
  <w:style w:type="paragraph" w:styleId="1008">
    <w:name w:val="Heading 8"/>
    <w:basedOn w:val="1000"/>
    <w:next w:val="1000"/>
    <w:link w:val="1046"/>
    <w:uiPriority w:val="0"/>
    <w:unhideWhenUsed/>
    <w:qFormat/>
    <w:pPr>
      <w:ind w:firstLine="420"/>
      <w:jc w:val="left"/>
      <w:keepLines/>
      <w:keepNext/>
      <w:spacing w:before="240" w:after="64" w:line="317" w:lineRule="auto"/>
      <w:widowControl/>
      <w:outlineLvl w:val="7"/>
    </w:pPr>
    <w:rPr>
      <w:rFonts w:ascii="Arial" w:hAnsi="Arial" w:eastAsia="楷体" w:cs="Arial"/>
      <w:color w:val="000000"/>
      <w:sz w:val="24"/>
      <w:lang w:eastAsia="en-US"/>
    </w:rPr>
  </w:style>
  <w:style w:type="paragraph" w:styleId="1009">
    <w:name w:val="Heading 9"/>
    <w:basedOn w:val="1000"/>
    <w:next w:val="1000"/>
    <w:link w:val="1047"/>
    <w:uiPriority w:val="0"/>
    <w:unhideWhenUsed/>
    <w:qFormat/>
    <w:pPr>
      <w:ind w:firstLine="420"/>
      <w:jc w:val="left"/>
      <w:keepLines/>
      <w:keepNext/>
      <w:spacing w:before="240" w:after="120" w:line="317" w:lineRule="auto"/>
      <w:widowControl/>
      <w:outlineLvl w:val="8"/>
    </w:pPr>
    <w:rPr>
      <w:rFonts w:ascii="Arial" w:hAnsi="Arial" w:eastAsia="黑体" w:cs="Arial"/>
      <w:b/>
      <w:color w:val="000000"/>
      <w:lang w:eastAsia="en-US"/>
    </w:rPr>
  </w:style>
  <w:style w:type="character" w:styleId="1010" w:default="1">
    <w:name w:val="Default Paragraph Font"/>
    <w:uiPriority w:val="1"/>
    <w:semiHidden/>
    <w:unhideWhenUsed/>
    <w:qFormat/>
  </w:style>
  <w:style w:type="table" w:styleId="1011" w:default="1">
    <w:name w:val="Normal Table"/>
    <w:uiPriority w:val="99"/>
    <w:semiHidden/>
    <w:unhideWhenUsed/>
    <w:qFormat/>
    <w:tblPr>
      <w:tblCellMar>
        <w:left w:w="108" w:type="dxa"/>
        <w:top w:w="0" w:type="dxa"/>
        <w:right w:w="108" w:type="dxa"/>
        <w:bottom w:w="0" w:type="dxa"/>
      </w:tblCellMar>
    </w:tblPr>
  </w:style>
  <w:style w:type="paragraph" w:styleId="1012">
    <w:name w:val="Normal Indent"/>
    <w:basedOn w:val="1000"/>
    <w:link w:val="1198"/>
    <w:uiPriority w:val="0"/>
    <w:qFormat/>
    <w:pPr>
      <w:ind w:firstLine="420"/>
      <w:jc w:val="left"/>
      <w:widowControl/>
    </w:pPr>
    <w:rPr>
      <w:rFonts w:ascii="Arial" w:hAnsi="Arial" w:eastAsia="Arial" w:cs="Arial"/>
      <w:color w:val="000000"/>
      <w:lang w:eastAsia="en-US"/>
    </w:rPr>
  </w:style>
  <w:style w:type="paragraph" w:styleId="1013">
    <w:name w:val="toc 7"/>
    <w:basedOn w:val="1000"/>
    <w:next w:val="1000"/>
    <w:uiPriority w:val="39"/>
    <w:unhideWhenUsed/>
    <w:qFormat/>
    <w:pPr>
      <w:ind w:left="1701"/>
      <w:spacing w:after="57"/>
    </w:pPr>
  </w:style>
  <w:style w:type="paragraph" w:styleId="1014">
    <w:name w:val="Caption"/>
    <w:basedOn w:val="1000"/>
    <w:next w:val="10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15">
    <w:name w:val="annotation text"/>
    <w:basedOn w:val="1000"/>
    <w:link w:val="1191"/>
    <w:uiPriority w:val="0"/>
    <w:qFormat/>
    <w:pPr>
      <w:jc w:val="left"/>
      <w:widowControl/>
    </w:pPr>
    <w:rPr>
      <w:rFonts w:ascii="Arial" w:hAnsi="Arial" w:eastAsia="Arial" w:cs="Arial"/>
      <w:color w:val="000000"/>
      <w:lang w:eastAsia="en-US"/>
    </w:rPr>
  </w:style>
  <w:style w:type="paragraph" w:styleId="1016">
    <w:name w:val="Body Text"/>
    <w:basedOn w:val="1000"/>
    <w:uiPriority w:val="0"/>
    <w:semiHidden/>
    <w:qFormat/>
    <w:pPr>
      <w:jc w:val="left"/>
      <w:widowControl/>
    </w:pPr>
    <w:rPr>
      <w:rFonts w:ascii="Arial" w:hAnsi="Arial" w:eastAsia="Arial" w:cs="Arial"/>
      <w:color w:val="000000"/>
      <w:lang w:eastAsia="en-US"/>
    </w:rPr>
  </w:style>
  <w:style w:type="paragraph" w:styleId="1017">
    <w:name w:val="toc 5"/>
    <w:basedOn w:val="1000"/>
    <w:next w:val="1000"/>
    <w:uiPriority w:val="39"/>
    <w:unhideWhenUsed/>
    <w:pPr>
      <w:ind w:left="1134"/>
      <w:spacing w:after="57"/>
    </w:pPr>
  </w:style>
  <w:style w:type="paragraph" w:styleId="1018">
    <w:name w:val="toc 3"/>
    <w:basedOn w:val="1000"/>
    <w:next w:val="1000"/>
    <w:uiPriority w:val="39"/>
    <w:unhideWhenUsed/>
    <w:pPr>
      <w:ind w:left="567"/>
      <w:spacing w:after="57"/>
    </w:pPr>
  </w:style>
  <w:style w:type="paragraph" w:styleId="1019">
    <w:name w:val="toc 8"/>
    <w:basedOn w:val="1000"/>
    <w:next w:val="1000"/>
    <w:uiPriority w:val="39"/>
    <w:unhideWhenUsed/>
    <w:qFormat/>
    <w:pPr>
      <w:ind w:left="1984"/>
      <w:spacing w:after="57"/>
    </w:pPr>
  </w:style>
  <w:style w:type="paragraph" w:styleId="1020">
    <w:name w:val="endnote text"/>
    <w:basedOn w:val="1000"/>
    <w:link w:val="1183"/>
    <w:uiPriority w:val="99"/>
    <w:semiHidden/>
    <w:unhideWhenUsed/>
    <w:rPr>
      <w:sz w:val="20"/>
    </w:rPr>
  </w:style>
  <w:style w:type="paragraph" w:styleId="1021">
    <w:name w:val="Balloon Text"/>
    <w:basedOn w:val="1000"/>
    <w:link w:val="1190"/>
    <w:uiPriority w:val="0"/>
    <w:qFormat/>
    <w:pPr>
      <w:jc w:val="left"/>
      <w:widowControl/>
    </w:pPr>
    <w:rPr>
      <w:rFonts w:ascii="Arial" w:hAnsi="Arial" w:eastAsia="Arial" w:cs="Arial"/>
      <w:color w:val="000000"/>
      <w:sz w:val="18"/>
      <w:szCs w:val="18"/>
      <w:lang w:eastAsia="en-US"/>
    </w:rPr>
  </w:style>
  <w:style w:type="paragraph" w:styleId="1022">
    <w:name w:val="Footer"/>
    <w:basedOn w:val="1000"/>
    <w:link w:val="1194"/>
    <w:uiPriority w:val="99"/>
    <w:qFormat/>
    <w:pPr>
      <w:jc w:val="left"/>
      <w:widowControl/>
      <w:tabs>
        <w:tab w:val="center" w:pos="4153" w:leader="none"/>
        <w:tab w:val="right" w:pos="8306" w:leader="none"/>
      </w:tabs>
    </w:pPr>
    <w:rPr>
      <w:rFonts w:ascii="Arial" w:hAnsi="Arial" w:eastAsia="Arial" w:cs="Arial"/>
      <w:color w:val="000000"/>
      <w:sz w:val="18"/>
      <w:szCs w:val="18"/>
      <w:lang w:eastAsia="en-US"/>
    </w:rPr>
  </w:style>
  <w:style w:type="paragraph" w:styleId="1023">
    <w:name w:val="Header"/>
    <w:basedOn w:val="1000"/>
    <w:link w:val="1193"/>
    <w:uiPriority w:val="0"/>
    <w:qFormat/>
    <w:pPr>
      <w:jc w:val="center"/>
      <w:widowControl/>
      <w:tabs>
        <w:tab w:val="center" w:pos="4153" w:leader="none"/>
        <w:tab w:val="right" w:pos="8306" w:leader="none"/>
      </w:tabs>
      <w:pBdr>
        <w:bottom w:val="single" w:color="auto" w:sz="6" w:space="1"/>
      </w:pBdr>
    </w:pPr>
    <w:rPr>
      <w:rFonts w:ascii="Arial" w:hAnsi="Arial" w:eastAsia="Arial" w:cs="Arial"/>
      <w:color w:val="000000"/>
      <w:sz w:val="18"/>
      <w:szCs w:val="18"/>
      <w:lang w:eastAsia="en-US"/>
    </w:rPr>
  </w:style>
  <w:style w:type="paragraph" w:styleId="1024">
    <w:name w:val="toc 1"/>
    <w:basedOn w:val="1000"/>
    <w:next w:val="1000"/>
    <w:uiPriority w:val="39"/>
    <w:unhideWhenUsed/>
    <w:pPr>
      <w:spacing w:after="57"/>
    </w:pPr>
  </w:style>
  <w:style w:type="paragraph" w:styleId="1025">
    <w:name w:val="toc 4"/>
    <w:basedOn w:val="1000"/>
    <w:next w:val="1000"/>
    <w:uiPriority w:val="39"/>
    <w:unhideWhenUsed/>
    <w:pPr>
      <w:ind w:left="850"/>
      <w:spacing w:after="57"/>
    </w:pPr>
  </w:style>
  <w:style w:type="paragraph" w:styleId="1026">
    <w:name w:val="Subtitle"/>
    <w:basedOn w:val="1000"/>
    <w:next w:val="1000"/>
    <w:link w:val="1049"/>
    <w:uiPriority w:val="11"/>
    <w:qFormat/>
    <w:pPr>
      <w:spacing w:before="200" w:after="200"/>
    </w:pPr>
    <w:rPr>
      <w:sz w:val="24"/>
      <w:szCs w:val="24"/>
    </w:rPr>
  </w:style>
  <w:style w:type="paragraph" w:styleId="1027">
    <w:name w:val="footnote text"/>
    <w:basedOn w:val="1000"/>
    <w:link w:val="1182"/>
    <w:uiPriority w:val="99"/>
    <w:semiHidden/>
    <w:unhideWhenUsed/>
    <w:pPr>
      <w:spacing w:after="40"/>
    </w:pPr>
    <w:rPr>
      <w:sz w:val="18"/>
    </w:rPr>
  </w:style>
  <w:style w:type="paragraph" w:styleId="1028">
    <w:name w:val="toc 6"/>
    <w:basedOn w:val="1000"/>
    <w:next w:val="1000"/>
    <w:uiPriority w:val="39"/>
    <w:unhideWhenUsed/>
    <w:pPr>
      <w:ind w:left="1417"/>
      <w:spacing w:after="57"/>
    </w:pPr>
  </w:style>
  <w:style w:type="paragraph" w:styleId="1029">
    <w:name w:val="table of figures"/>
    <w:basedOn w:val="1000"/>
    <w:next w:val="1000"/>
    <w:uiPriority w:val="99"/>
    <w:unhideWhenUsed/>
  </w:style>
  <w:style w:type="paragraph" w:styleId="1030">
    <w:name w:val="toc 2"/>
    <w:basedOn w:val="1000"/>
    <w:next w:val="1000"/>
    <w:uiPriority w:val="39"/>
    <w:unhideWhenUsed/>
    <w:pPr>
      <w:ind w:left="283"/>
      <w:spacing w:after="57"/>
    </w:pPr>
  </w:style>
  <w:style w:type="paragraph" w:styleId="1031">
    <w:name w:val="toc 9"/>
    <w:basedOn w:val="1000"/>
    <w:next w:val="1000"/>
    <w:uiPriority w:val="39"/>
    <w:unhideWhenUsed/>
    <w:pPr>
      <w:ind w:left="2268"/>
      <w:spacing w:after="57"/>
    </w:pPr>
  </w:style>
  <w:style w:type="paragraph" w:styleId="1032">
    <w:name w:val="Title"/>
    <w:basedOn w:val="1000"/>
    <w:next w:val="1000"/>
    <w:link w:val="1048"/>
    <w:uiPriority w:val="10"/>
    <w:qFormat/>
    <w:pPr>
      <w:contextualSpacing/>
      <w:spacing w:before="300" w:after="200"/>
    </w:pPr>
    <w:rPr>
      <w:sz w:val="48"/>
      <w:szCs w:val="48"/>
    </w:rPr>
  </w:style>
  <w:style w:type="paragraph" w:styleId="1033">
    <w:name w:val="annotation subject"/>
    <w:basedOn w:val="1015"/>
    <w:next w:val="1015"/>
    <w:link w:val="1192"/>
    <w:uiPriority w:val="0"/>
    <w:qFormat/>
    <w:rPr>
      <w:b/>
      <w:bCs/>
    </w:rPr>
  </w:style>
  <w:style w:type="table" w:styleId="1034">
    <w:name w:val="Table Grid"/>
    <w:basedOn w:val="10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5">
    <w:name w:val="endnote reference"/>
    <w:basedOn w:val="1010"/>
    <w:uiPriority w:val="99"/>
    <w:semiHidden/>
    <w:unhideWhenUsed/>
    <w:rPr>
      <w:vertAlign w:val="superscript"/>
    </w:rPr>
  </w:style>
  <w:style w:type="character" w:styleId="1036">
    <w:name w:val="Hyperlink"/>
    <w:uiPriority w:val="99"/>
    <w:unhideWhenUsed/>
    <w:qFormat/>
    <w:rPr>
      <w:color w:val="0000ff" w:themeColor="hyperlink"/>
      <w:u w:val="single"/>
      <w14:textFill>
        <w14:solidFill>
          <w14:schemeClr w14:val="hlink"/>
        </w14:solidFill>
      </w14:textFill>
    </w:rPr>
  </w:style>
  <w:style w:type="character" w:styleId="1037">
    <w:name w:val="annotation reference"/>
    <w:basedOn w:val="1010"/>
    <w:uiPriority w:val="0"/>
    <w:qFormat/>
    <w:rPr>
      <w:sz w:val="21"/>
      <w:szCs w:val="21"/>
    </w:rPr>
  </w:style>
  <w:style w:type="character" w:styleId="1038">
    <w:name w:val="footnote reference"/>
    <w:basedOn w:val="1010"/>
    <w:uiPriority w:val="99"/>
    <w:unhideWhenUsed/>
    <w:rPr>
      <w:vertAlign w:val="superscript"/>
    </w:rPr>
  </w:style>
  <w:style w:type="character" w:styleId="1039" w:customStyle="1">
    <w:name w:val="标题 1 Char"/>
    <w:basedOn w:val="1010"/>
    <w:link w:val="1001"/>
    <w:uiPriority w:val="9"/>
    <w:qFormat/>
    <w:rPr>
      <w:rFonts w:ascii="Arial" w:hAnsi="Arial" w:eastAsia="Arial" w:cs="Arial"/>
      <w:sz w:val="40"/>
      <w:szCs w:val="40"/>
    </w:rPr>
  </w:style>
  <w:style w:type="character" w:styleId="1040" w:customStyle="1">
    <w:name w:val="标题 2 Char"/>
    <w:basedOn w:val="1010"/>
    <w:link w:val="1002"/>
    <w:uiPriority w:val="9"/>
    <w:rPr>
      <w:rFonts w:ascii="Arial" w:hAnsi="Arial" w:eastAsia="Arial" w:cs="Arial"/>
      <w:sz w:val="34"/>
    </w:rPr>
  </w:style>
  <w:style w:type="character" w:styleId="1041" w:customStyle="1">
    <w:name w:val="标题 3 Char"/>
    <w:basedOn w:val="1010"/>
    <w:link w:val="1003"/>
    <w:uiPriority w:val="9"/>
    <w:qFormat/>
    <w:rPr>
      <w:rFonts w:ascii="Arial" w:hAnsi="Arial" w:eastAsia="Arial" w:cs="Arial"/>
      <w:sz w:val="30"/>
      <w:szCs w:val="30"/>
    </w:rPr>
  </w:style>
  <w:style w:type="character" w:styleId="1042" w:customStyle="1">
    <w:name w:val="标题 4 Char"/>
    <w:basedOn w:val="1010"/>
    <w:link w:val="1004"/>
    <w:uiPriority w:val="9"/>
    <w:qFormat/>
    <w:rPr>
      <w:rFonts w:ascii="Arial" w:hAnsi="Arial" w:eastAsia="Arial" w:cs="Arial"/>
      <w:b/>
      <w:bCs/>
      <w:sz w:val="26"/>
      <w:szCs w:val="26"/>
    </w:rPr>
  </w:style>
  <w:style w:type="character" w:styleId="1043" w:customStyle="1">
    <w:name w:val="标题 5 Char"/>
    <w:basedOn w:val="1010"/>
    <w:link w:val="1005"/>
    <w:uiPriority w:val="9"/>
    <w:qFormat/>
    <w:rPr>
      <w:rFonts w:ascii="Arial" w:hAnsi="Arial" w:eastAsia="Arial" w:cs="Arial"/>
      <w:b/>
      <w:bCs/>
      <w:sz w:val="24"/>
      <w:szCs w:val="24"/>
    </w:rPr>
  </w:style>
  <w:style w:type="character" w:styleId="1044" w:customStyle="1">
    <w:name w:val="标题 6 Char"/>
    <w:basedOn w:val="1010"/>
    <w:link w:val="1006"/>
    <w:uiPriority w:val="9"/>
    <w:qFormat/>
    <w:rPr>
      <w:rFonts w:ascii="Arial" w:hAnsi="Arial" w:eastAsia="Arial" w:cs="Arial"/>
      <w:b/>
      <w:bCs/>
      <w:sz w:val="22"/>
      <w:szCs w:val="22"/>
    </w:rPr>
  </w:style>
  <w:style w:type="character" w:styleId="1045" w:customStyle="1">
    <w:name w:val="标题 7 Char"/>
    <w:basedOn w:val="1010"/>
    <w:link w:val="1007"/>
    <w:uiPriority w:val="9"/>
    <w:qFormat/>
    <w:rPr>
      <w:rFonts w:ascii="Arial" w:hAnsi="Arial" w:eastAsia="Arial" w:cs="Arial"/>
      <w:b/>
      <w:bCs/>
      <w:i/>
      <w:iCs/>
      <w:sz w:val="22"/>
      <w:szCs w:val="22"/>
    </w:rPr>
  </w:style>
  <w:style w:type="character" w:styleId="1046" w:customStyle="1">
    <w:name w:val="标题 8 Char"/>
    <w:basedOn w:val="1010"/>
    <w:link w:val="1008"/>
    <w:uiPriority w:val="9"/>
    <w:qFormat/>
    <w:rPr>
      <w:rFonts w:ascii="Arial" w:hAnsi="Arial" w:eastAsia="Arial" w:cs="Arial"/>
      <w:i/>
      <w:iCs/>
      <w:sz w:val="22"/>
      <w:szCs w:val="22"/>
    </w:rPr>
  </w:style>
  <w:style w:type="character" w:styleId="1047" w:customStyle="1">
    <w:name w:val="标题 9 Char"/>
    <w:basedOn w:val="1010"/>
    <w:link w:val="1009"/>
    <w:uiPriority w:val="9"/>
    <w:qFormat/>
    <w:rPr>
      <w:rFonts w:ascii="Arial" w:hAnsi="Arial" w:eastAsia="Arial" w:cs="Arial"/>
      <w:i/>
      <w:iCs/>
      <w:sz w:val="21"/>
      <w:szCs w:val="21"/>
    </w:rPr>
  </w:style>
  <w:style w:type="character" w:styleId="1048" w:customStyle="1">
    <w:name w:val="标题 Char"/>
    <w:basedOn w:val="1010"/>
    <w:link w:val="1032"/>
    <w:uiPriority w:val="10"/>
    <w:qFormat/>
    <w:rPr>
      <w:sz w:val="48"/>
      <w:szCs w:val="48"/>
    </w:rPr>
  </w:style>
  <w:style w:type="character" w:styleId="1049" w:customStyle="1">
    <w:name w:val="副标题 Char"/>
    <w:basedOn w:val="1010"/>
    <w:link w:val="1026"/>
    <w:uiPriority w:val="11"/>
    <w:qFormat/>
    <w:rPr>
      <w:sz w:val="24"/>
      <w:szCs w:val="24"/>
    </w:rPr>
  </w:style>
  <w:style w:type="paragraph" w:styleId="1050">
    <w:name w:val="Quote"/>
    <w:basedOn w:val="1000"/>
    <w:next w:val="1000"/>
    <w:link w:val="1051"/>
    <w:uiPriority w:val="29"/>
    <w:qFormat/>
    <w:pPr>
      <w:ind w:left="720" w:right="720"/>
    </w:pPr>
    <w:rPr>
      <w:i/>
    </w:rPr>
  </w:style>
  <w:style w:type="character" w:styleId="1051" w:customStyle="1">
    <w:name w:val="引用 Char"/>
    <w:link w:val="1050"/>
    <w:uiPriority w:val="29"/>
    <w:qFormat/>
    <w:rPr>
      <w:i/>
    </w:rPr>
  </w:style>
  <w:style w:type="paragraph" w:styleId="1052">
    <w:name w:val="Intense Quote"/>
    <w:basedOn w:val="1000"/>
    <w:next w:val="1000"/>
    <w:link w:val="10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3" w:customStyle="1">
    <w:name w:val="明显引用 Char"/>
    <w:link w:val="1052"/>
    <w:uiPriority w:val="30"/>
    <w:qFormat/>
    <w:rPr>
      <w:i/>
    </w:rPr>
  </w:style>
  <w:style w:type="character" w:styleId="1054" w:customStyle="1">
    <w:name w:val="Header Char"/>
    <w:basedOn w:val="1010"/>
    <w:uiPriority w:val="99"/>
    <w:qFormat/>
  </w:style>
  <w:style w:type="character" w:styleId="1055" w:customStyle="1">
    <w:name w:val="Footer Char"/>
    <w:basedOn w:val="1010"/>
    <w:uiPriority w:val="99"/>
    <w:qFormat/>
  </w:style>
  <w:style w:type="character" w:styleId="1056" w:customStyle="1">
    <w:name w:val="Caption Char"/>
    <w:uiPriority w:val="99"/>
    <w:qFormat/>
  </w:style>
  <w:style w:type="table" w:styleId="1057" w:customStyle="1">
    <w:name w:val="Table Grid Light"/>
    <w:basedOn w:val="10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58" w:customStyle="1">
    <w:name w:val="Plain Table 1"/>
    <w:basedOn w:val="10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9" w:customStyle="1">
    <w:name w:val="Plain Table 2"/>
    <w:basedOn w:val="10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0" w:customStyle="1">
    <w:name w:val="Plain Table 3"/>
    <w:basedOn w:val="1011"/>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1" w:customStyle="1">
    <w:name w:val="Plain Table 4"/>
    <w:basedOn w:val="1011"/>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2" w:customStyle="1">
    <w:name w:val="Plain Table 5"/>
    <w:basedOn w:val="1011"/>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3" w:customStyle="1">
    <w:name w:val="Grid Table 1 Light"/>
    <w:basedOn w:val="1011"/>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1"/>
    <w:basedOn w:val="101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2"/>
    <w:basedOn w:val="101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3"/>
    <w:basedOn w:val="1011"/>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4"/>
    <w:basedOn w:val="101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8" w:customStyle="1">
    <w:name w:val="Grid Table 1 Light - Accent 5"/>
    <w:basedOn w:val="1011"/>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9" w:customStyle="1">
    <w:name w:val="Grid Table 1 Light - Accent 6"/>
    <w:basedOn w:val="101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0" w:customStyle="1">
    <w:name w:val="Grid Table 2"/>
    <w:basedOn w:val="10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1" w:customStyle="1">
    <w:name w:val="Grid Table 2 - Accent 1"/>
    <w:basedOn w:val="10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2" w:customStyle="1">
    <w:name w:val="Grid Table 2 - Accent 2"/>
    <w:basedOn w:val="10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3" w:customStyle="1">
    <w:name w:val="Grid Table 2 - Accent 3"/>
    <w:basedOn w:val="1011"/>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4" w:customStyle="1">
    <w:name w:val="Grid Table 2 - Accent 4"/>
    <w:basedOn w:val="1011"/>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5" w:customStyle="1">
    <w:name w:val="Grid Table 2 - Accent 5"/>
    <w:basedOn w:val="1011"/>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6" w:customStyle="1">
    <w:name w:val="Grid Table 2 - Accent 6"/>
    <w:basedOn w:val="101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7" w:customStyle="1">
    <w:name w:val="Grid Table 3"/>
    <w:basedOn w:val="10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1"/>
    <w:basedOn w:val="10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2"/>
    <w:basedOn w:val="10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3"/>
    <w:basedOn w:val="1011"/>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4"/>
    <w:basedOn w:val="10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3 - Accent 5"/>
    <w:basedOn w:val="1011"/>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6"/>
    <w:basedOn w:val="1011"/>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4"/>
    <w:basedOn w:val="1011"/>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5" w:customStyle="1">
    <w:name w:val="Grid Table 4 - Accent 1"/>
    <w:basedOn w:val="10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6" w:customStyle="1">
    <w:name w:val="Grid Table 4 - Accent 2"/>
    <w:basedOn w:val="101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7" w:customStyle="1">
    <w:name w:val="Grid Table 4 - Accent 3"/>
    <w:basedOn w:val="1011"/>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8" w:customStyle="1">
    <w:name w:val="Grid Table 4 - Accent 4"/>
    <w:basedOn w:val="101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9" w:customStyle="1">
    <w:name w:val="Grid Table 4 - Accent 5"/>
    <w:basedOn w:val="1011"/>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0" w:customStyle="1">
    <w:name w:val="Grid Table 4 - Accent 6"/>
    <w:basedOn w:val="1011"/>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1" w:customStyle="1">
    <w:name w:val="Grid Table 5 Dark"/>
    <w:basedOn w:val="10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2" w:customStyle="1">
    <w:name w:val="Grid Table 5 Dark- Accent 1"/>
    <w:basedOn w:val="10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3" w:customStyle="1">
    <w:name w:val="Grid Table 5 Dark - Accent 2"/>
    <w:basedOn w:val="10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4" w:customStyle="1">
    <w:name w:val="Grid Table 5 Dark - Accent 3"/>
    <w:basedOn w:val="10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5" w:customStyle="1">
    <w:name w:val="Grid Table 5 Dark- Accent 4"/>
    <w:basedOn w:val="10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6" w:customStyle="1">
    <w:name w:val="Grid Table 5 Dark - Accent 5"/>
    <w:basedOn w:val="10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7" w:customStyle="1">
    <w:name w:val="Grid Table 5 Dark - Accent 6"/>
    <w:basedOn w:val="10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8" w:customStyle="1">
    <w:name w:val="Grid Table 6 Colorful"/>
    <w:basedOn w:val="101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9" w:customStyle="1">
    <w:name w:val="Grid Table 6 Colorful - Accent 1"/>
    <w:basedOn w:val="101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0" w:customStyle="1">
    <w:name w:val="Grid Table 6 Colorful - Accent 2"/>
    <w:basedOn w:val="1011"/>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1" w:customStyle="1">
    <w:name w:val="Grid Table 6 Colorful - Accent 3"/>
    <w:basedOn w:val="1011"/>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02" w:customStyle="1">
    <w:name w:val="Grid Table 6 Colorful - Accent 4"/>
    <w:basedOn w:val="101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3" w:customStyle="1">
    <w:name w:val="Grid Table 6 Colorful - Accent 5"/>
    <w:basedOn w:val="1011"/>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4" w:customStyle="1">
    <w:name w:val="Grid Table 6 Colorful - Accent 6"/>
    <w:basedOn w:val="1011"/>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5" w:customStyle="1">
    <w:name w:val="Grid Table 7 Colorful"/>
    <w:basedOn w:val="101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6" w:customStyle="1">
    <w:name w:val="Grid Table 7 Colorful - Accent 1"/>
    <w:basedOn w:val="101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7" w:customStyle="1">
    <w:name w:val="Grid Table 7 Colorful - Accent 2"/>
    <w:basedOn w:val="1011"/>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8" w:customStyle="1">
    <w:name w:val="Grid Table 7 Colorful - Accent 3"/>
    <w:basedOn w:val="1011"/>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9" w:customStyle="1">
    <w:name w:val="Grid Table 7 Colorful - Accent 4"/>
    <w:basedOn w:val="1011"/>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0" w:customStyle="1">
    <w:name w:val="Grid Table 7 Colorful - Accent 5"/>
    <w:basedOn w:val="1011"/>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1" w:customStyle="1">
    <w:name w:val="Grid Table 7 Colorful - Accent 6"/>
    <w:basedOn w:val="1011"/>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2" w:customStyle="1">
    <w:name w:val="List Table 1 Light"/>
    <w:basedOn w:val="1011"/>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3" w:customStyle="1">
    <w:name w:val="List Table 1 Light - Accent 1"/>
    <w:basedOn w:val="1011"/>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4" w:customStyle="1">
    <w:name w:val="List Table 1 Light - Accent 2"/>
    <w:basedOn w:val="1011"/>
    <w:uiPriority w:val="99"/>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5" w:customStyle="1">
    <w:name w:val="List Table 1 Light - Accent 3"/>
    <w:basedOn w:val="1011"/>
    <w:uiPriority w:val="99"/>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6" w:customStyle="1">
    <w:name w:val="List Table 1 Light - Accent 4"/>
    <w:basedOn w:val="1011"/>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7" w:customStyle="1">
    <w:name w:val="List Table 1 Light - Accent 5"/>
    <w:basedOn w:val="1011"/>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8" w:customStyle="1">
    <w:name w:val="List Table 1 Light - Accent 6"/>
    <w:basedOn w:val="1011"/>
    <w:uiPriority w:val="99"/>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9" w:customStyle="1">
    <w:name w:val="List Table 2"/>
    <w:basedOn w:val="1011"/>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0" w:customStyle="1">
    <w:name w:val="List Table 2 - Accent 1"/>
    <w:basedOn w:val="101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1" w:customStyle="1">
    <w:name w:val="List Table 2 - Accent 2"/>
    <w:basedOn w:val="1011"/>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2" w:customStyle="1">
    <w:name w:val="List Table 2 - Accent 3"/>
    <w:basedOn w:val="1011"/>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3" w:customStyle="1">
    <w:name w:val="List Table 2 - Accent 4"/>
    <w:basedOn w:val="1011"/>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4" w:customStyle="1">
    <w:name w:val="List Table 2 - Accent 5"/>
    <w:basedOn w:val="1011"/>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5" w:customStyle="1">
    <w:name w:val="List Table 2 - Accent 6"/>
    <w:basedOn w:val="1011"/>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6" w:customStyle="1">
    <w:name w:val="List Table 3"/>
    <w:basedOn w:val="101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7" w:customStyle="1">
    <w:name w:val="List Table 3 - Accent 1"/>
    <w:basedOn w:val="101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8" w:customStyle="1">
    <w:name w:val="List Table 3 - Accent 2"/>
    <w:basedOn w:val="1011"/>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9" w:customStyle="1">
    <w:name w:val="List Table 3 - Accent 3"/>
    <w:basedOn w:val="1011"/>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30" w:customStyle="1">
    <w:name w:val="List Table 3 - Accent 4"/>
    <w:basedOn w:val="101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1" w:customStyle="1">
    <w:name w:val="List Table 3 - Accent 5"/>
    <w:basedOn w:val="1011"/>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2" w:customStyle="1">
    <w:name w:val="List Table 3 - Accent 6"/>
    <w:basedOn w:val="1011"/>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3" w:customStyle="1">
    <w:name w:val="List Table 4"/>
    <w:basedOn w:val="101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4" w:customStyle="1">
    <w:name w:val="List Table 4 - Accent 1"/>
    <w:basedOn w:val="101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5" w:customStyle="1">
    <w:name w:val="List Table 4 - Accent 2"/>
    <w:basedOn w:val="1011"/>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6" w:customStyle="1">
    <w:name w:val="List Table 4 - Accent 3"/>
    <w:basedOn w:val="1011"/>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7" w:customStyle="1">
    <w:name w:val="List Table 4 - Accent 4"/>
    <w:basedOn w:val="1011"/>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8" w:customStyle="1">
    <w:name w:val="List Table 4 - Accent 5"/>
    <w:basedOn w:val="1011"/>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9" w:customStyle="1">
    <w:name w:val="List Table 4 - Accent 6"/>
    <w:basedOn w:val="1011"/>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0" w:customStyle="1">
    <w:name w:val="List Table 5 Dark"/>
    <w:basedOn w:val="101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1"/>
    <w:basedOn w:val="101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2"/>
    <w:basedOn w:val="1011"/>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3"/>
    <w:basedOn w:val="1011"/>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4"/>
    <w:basedOn w:val="1011"/>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5 Dark - Accent 5"/>
    <w:basedOn w:val="1011"/>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List Table 5 Dark - Accent 6"/>
    <w:basedOn w:val="1011"/>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7" w:customStyle="1">
    <w:name w:val="List Table 6 Colorful"/>
    <w:basedOn w:val="1011"/>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8" w:customStyle="1">
    <w:name w:val="List Table 6 Colorful - Accent 1"/>
    <w:basedOn w:val="1011"/>
    <w:uiPriority w:val="99"/>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9" w:customStyle="1">
    <w:name w:val="List Table 6 Colorful - Accent 2"/>
    <w:basedOn w:val="1011"/>
    <w:uiPriority w:val="99"/>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0" w:customStyle="1">
    <w:name w:val="List Table 6 Colorful - Accent 3"/>
    <w:basedOn w:val="1011"/>
    <w:uiPriority w:val="99"/>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1" w:customStyle="1">
    <w:name w:val="List Table 6 Colorful - Accent 4"/>
    <w:basedOn w:val="1011"/>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52" w:customStyle="1">
    <w:name w:val="List Table 6 Colorful - Accent 5"/>
    <w:basedOn w:val="1011"/>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3" w:customStyle="1">
    <w:name w:val="List Table 6 Colorful - Accent 6"/>
    <w:basedOn w:val="1011"/>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4" w:customStyle="1">
    <w:name w:val="List Table 7 Colorful"/>
    <w:basedOn w:val="1011"/>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5" w:customStyle="1">
    <w:name w:val="List Table 7 Colorful - Accent 1"/>
    <w:basedOn w:val="1011"/>
    <w:uiPriority w:val="99"/>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6" w:customStyle="1">
    <w:name w:val="List Table 7 Colorful - Accent 2"/>
    <w:basedOn w:val="1011"/>
    <w:uiPriority w:val="99"/>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7" w:customStyle="1">
    <w:name w:val="List Table 7 Colorful - Accent 3"/>
    <w:basedOn w:val="1011"/>
    <w:uiPriority w:val="99"/>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8" w:customStyle="1">
    <w:name w:val="List Table 7 Colorful - Accent 4"/>
    <w:basedOn w:val="1011"/>
    <w:uiPriority w:val="99"/>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9" w:customStyle="1">
    <w:name w:val="List Table 7 Colorful - Accent 5"/>
    <w:basedOn w:val="1011"/>
    <w:uiPriority w:val="99"/>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0" w:customStyle="1">
    <w:name w:val="List Table 7 Colorful - Accent 6"/>
    <w:basedOn w:val="1011"/>
    <w:uiPriority w:val="99"/>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1" w:customStyle="1">
    <w:name w:val="Lined - Accent"/>
    <w:basedOn w:val="10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2" w:customStyle="1">
    <w:name w:val="Lined - Accent 1"/>
    <w:basedOn w:val="10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3" w:customStyle="1">
    <w:name w:val="Lined - Accent 2"/>
    <w:basedOn w:val="10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4" w:customStyle="1">
    <w:name w:val="Lined - Accent 3"/>
    <w:basedOn w:val="10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5" w:customStyle="1">
    <w:name w:val="Lined - Accent 4"/>
    <w:basedOn w:val="10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6" w:customStyle="1">
    <w:name w:val="Lined - Accent 5"/>
    <w:basedOn w:val="10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7" w:customStyle="1">
    <w:name w:val="Lined - Accent 6"/>
    <w:basedOn w:val="10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8" w:customStyle="1">
    <w:name w:val="Bordered &amp; Lined - Accent"/>
    <w:basedOn w:val="1011"/>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9" w:customStyle="1">
    <w:name w:val="Bordered &amp; Lined - Accent 1"/>
    <w:basedOn w:val="101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0" w:customStyle="1">
    <w:name w:val="Bordered &amp; Lined - Accent 2"/>
    <w:basedOn w:val="1011"/>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1" w:customStyle="1">
    <w:name w:val="Bordered &amp; Lined - Accent 3"/>
    <w:basedOn w:val="1011"/>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2" w:customStyle="1">
    <w:name w:val="Bordered &amp; Lined - Accent 4"/>
    <w:basedOn w:val="1011"/>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3" w:customStyle="1">
    <w:name w:val="Bordered &amp; Lined - Accent 5"/>
    <w:basedOn w:val="1011"/>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4" w:customStyle="1">
    <w:name w:val="Bordered &amp; Lined - Accent 6"/>
    <w:basedOn w:val="1011"/>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5" w:customStyle="1">
    <w:name w:val="Bordered"/>
    <w:basedOn w:val="1011"/>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6" w:customStyle="1">
    <w:name w:val="Bordered - Accent 1"/>
    <w:basedOn w:val="101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7" w:customStyle="1">
    <w:name w:val="Bordered - Accent 2"/>
    <w:basedOn w:val="1011"/>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8" w:customStyle="1">
    <w:name w:val="Bordered - Accent 3"/>
    <w:basedOn w:val="1011"/>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9" w:customStyle="1">
    <w:name w:val="Bordered - Accent 4"/>
    <w:basedOn w:val="1011"/>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0" w:customStyle="1">
    <w:name w:val="Bordered - Accent 5"/>
    <w:basedOn w:val="1011"/>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1" w:customStyle="1">
    <w:name w:val="Bordered - Accent 6"/>
    <w:basedOn w:val="101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2" w:customStyle="1">
    <w:name w:val="脚注文本 Char"/>
    <w:link w:val="1027"/>
    <w:uiPriority w:val="99"/>
    <w:qFormat/>
    <w:rPr>
      <w:sz w:val="18"/>
    </w:rPr>
  </w:style>
  <w:style w:type="character" w:styleId="1183" w:customStyle="1">
    <w:name w:val="尾注文本 Char"/>
    <w:link w:val="1020"/>
    <w:uiPriority w:val="99"/>
    <w:rPr>
      <w:sz w:val="20"/>
    </w:rPr>
  </w:style>
  <w:style w:type="paragraph" w:styleId="1184" w:customStyle="1">
    <w:name w:val="TOC Heading"/>
    <w:uiPriority w:val="39"/>
    <w:unhideWhenUsed/>
    <w:rPr>
      <w:rFonts w:ascii="Times New Roman" w:hAnsi="Times New Roman" w:eastAsia="宋体" w:cs="Times New Roman"/>
      <w:lang w:val="en-US" w:eastAsia="zh-CN" w:bidi="ar-SA"/>
    </w:rPr>
  </w:style>
  <w:style w:type="paragraph" w:styleId="1185" w:customStyle="1">
    <w:name w:val="正文首行缩进 21"/>
    <w:basedOn w:val="1186"/>
    <w:next w:val="1000"/>
    <w:uiPriority w:val="0"/>
    <w:qFormat/>
    <w:pPr>
      <w:ind w:firstLine="420"/>
      <w:spacing w:line="360" w:lineRule="auto"/>
    </w:pPr>
    <w:rPr>
      <w:rFonts w:ascii="宋体" w:hAnsi="宋体" w:eastAsia="宋体"/>
      <w:sz w:val="21"/>
      <w:szCs w:val="20"/>
    </w:rPr>
  </w:style>
  <w:style w:type="paragraph" w:styleId="1186" w:customStyle="1">
    <w:name w:val="正文文本缩进1"/>
    <w:basedOn w:val="1000"/>
    <w:next w:val="1187"/>
    <w:uiPriority w:val="0"/>
    <w:qFormat/>
    <w:pPr>
      <w:ind w:firstLine="645"/>
      <w:jc w:val="left"/>
      <w:widowControl/>
    </w:pPr>
    <w:rPr>
      <w:rFonts w:ascii="楷体_GB2312" w:hAnsi="Arial" w:eastAsia="楷体_GB2312" w:cs="Arial"/>
      <w:color w:val="000000"/>
      <w:sz w:val="32"/>
      <w:szCs w:val="32"/>
      <w:lang w:eastAsia="en-US"/>
    </w:rPr>
  </w:style>
  <w:style w:type="paragraph" w:styleId="1187" w:customStyle="1">
    <w:name w:val="寄信人地址1"/>
    <w:basedOn w:val="1000"/>
    <w:uiPriority w:val="0"/>
    <w:qFormat/>
    <w:pPr>
      <w:jc w:val="left"/>
      <w:widowControl/>
    </w:pPr>
    <w:rPr>
      <w:rFonts w:ascii="Arial" w:hAnsi="Arial" w:cs="宋体"/>
      <w:color w:val="000000"/>
      <w:lang w:eastAsia="en-US"/>
    </w:rPr>
  </w:style>
  <w:style w:type="table" w:styleId="1188" w:customStyle="1">
    <w:name w:val="Table Normal"/>
    <w:uiPriority w:val="0"/>
    <w:semiHidden/>
    <w:unhideWhenUsed/>
    <w:qFormat/>
    <w:tblPr>
      <w:tblCellMar>
        <w:left w:w="0" w:type="dxa"/>
        <w:top w:w="0" w:type="dxa"/>
        <w:right w:w="0" w:type="dxa"/>
        <w:bottom w:w="0" w:type="dxa"/>
      </w:tblCellMar>
    </w:tblPr>
  </w:style>
  <w:style w:type="paragraph" w:styleId="1189" w:customStyle="1">
    <w:name w:val="Table Text"/>
    <w:basedOn w:val="1000"/>
    <w:uiPriority w:val="0"/>
    <w:semiHidden/>
    <w:qFormat/>
    <w:pPr>
      <w:jc w:val="left"/>
      <w:widowControl/>
    </w:pPr>
    <w:rPr>
      <w:rFonts w:ascii="宋体" w:hAnsi="宋体" w:cs="宋体"/>
      <w:color w:val="000000"/>
      <w:sz w:val="24"/>
      <w:szCs w:val="24"/>
      <w:lang w:eastAsia="en-US"/>
    </w:rPr>
  </w:style>
  <w:style w:type="character" w:styleId="1190" w:customStyle="1">
    <w:name w:val="批注框文本 Char"/>
    <w:basedOn w:val="1010"/>
    <w:link w:val="1021"/>
    <w:uiPriority w:val="0"/>
    <w:qFormat/>
    <w:rPr>
      <w:rFonts w:ascii="Arial" w:hAnsi="Arial" w:eastAsia="Arial" w:cs="Arial"/>
      <w:color w:val="000000"/>
      <w:sz w:val="18"/>
      <w:szCs w:val="18"/>
      <w:lang w:eastAsia="en-US"/>
    </w:rPr>
  </w:style>
  <w:style w:type="character" w:styleId="1191" w:customStyle="1">
    <w:name w:val="批注文字 Char"/>
    <w:basedOn w:val="1010"/>
    <w:link w:val="1015"/>
    <w:uiPriority w:val="0"/>
    <w:qFormat/>
    <w:rPr>
      <w:rFonts w:ascii="Arial" w:hAnsi="Arial" w:eastAsia="Arial" w:cs="Arial"/>
      <w:color w:val="000000"/>
      <w:sz w:val="21"/>
      <w:szCs w:val="21"/>
      <w:lang w:eastAsia="en-US"/>
    </w:rPr>
  </w:style>
  <w:style w:type="character" w:styleId="1192" w:customStyle="1">
    <w:name w:val="批注主题 Char"/>
    <w:basedOn w:val="1191"/>
    <w:link w:val="1033"/>
    <w:uiPriority w:val="0"/>
    <w:qFormat/>
    <w:rPr>
      <w:rFonts w:ascii="Arial" w:hAnsi="Arial" w:eastAsia="Arial" w:cs="Arial"/>
      <w:b/>
      <w:bCs/>
      <w:color w:val="000000"/>
      <w:sz w:val="21"/>
      <w:szCs w:val="21"/>
      <w:lang w:eastAsia="en-US"/>
    </w:rPr>
  </w:style>
  <w:style w:type="character" w:styleId="1193" w:customStyle="1">
    <w:name w:val="页眉 Char"/>
    <w:basedOn w:val="1010"/>
    <w:link w:val="1023"/>
    <w:uiPriority w:val="0"/>
    <w:qFormat/>
    <w:rPr>
      <w:rFonts w:ascii="Arial" w:hAnsi="Arial" w:eastAsia="Arial" w:cs="Arial"/>
      <w:color w:val="000000"/>
      <w:sz w:val="18"/>
      <w:szCs w:val="18"/>
      <w:lang w:eastAsia="en-US"/>
    </w:rPr>
  </w:style>
  <w:style w:type="character" w:styleId="1194" w:customStyle="1">
    <w:name w:val="页脚 Char"/>
    <w:basedOn w:val="1010"/>
    <w:link w:val="1022"/>
    <w:uiPriority w:val="99"/>
    <w:qFormat/>
    <w:rPr>
      <w:rFonts w:ascii="Arial" w:hAnsi="Arial" w:eastAsia="Arial" w:cs="Arial"/>
      <w:color w:val="000000"/>
      <w:sz w:val="18"/>
      <w:szCs w:val="18"/>
      <w:lang w:eastAsia="en-US"/>
    </w:rPr>
  </w:style>
  <w:style w:type="paragraph" w:styleId="1195">
    <w:name w:val="List Paragraph"/>
    <w:basedOn w:val="1000"/>
    <w:uiPriority w:val="99"/>
    <w:unhideWhenUsed/>
    <w:qFormat/>
    <w:pPr>
      <w:ind w:firstLine="420"/>
      <w:jc w:val="left"/>
      <w:widowControl/>
    </w:pPr>
    <w:rPr>
      <w:rFonts w:ascii="Arial" w:hAnsi="Arial" w:eastAsia="Arial" w:cs="Arial"/>
      <w:color w:val="000000"/>
      <w:lang w:eastAsia="en-US"/>
    </w:rPr>
  </w:style>
  <w:style w:type="paragraph" w:styleId="1196" w:customStyle="1">
    <w:name w:val="标题10"/>
    <w:basedOn w:val="1000"/>
    <w:uiPriority w:val="0"/>
    <w:qFormat/>
    <w:pPr>
      <w:jc w:val="left"/>
      <w:widowControl/>
    </w:pPr>
    <w:rPr>
      <w:rFonts w:hint="eastAsia" w:ascii="Arial" w:hAnsi="Arial" w:eastAsia="Arial" w:cs="Arial"/>
      <w:color w:val="000000"/>
    </w:rPr>
  </w:style>
  <w:style w:type="paragraph" w:styleId="1197" w:customStyle="1">
    <w:name w:val="普通正文"/>
    <w:basedOn w:val="1000"/>
    <w:uiPriority w:val="0"/>
    <w:qFormat/>
    <w:pPr>
      <w:ind w:firstLine="480"/>
      <w:jc w:val="left"/>
      <w:spacing w:before="120" w:after="120" w:line="360" w:lineRule="auto"/>
    </w:pPr>
    <w:rPr>
      <w:rFonts w:ascii="Arial" w:hAnsi="Arial" w:cs="Arial"/>
      <w:sz w:val="24"/>
      <w:szCs w:val="24"/>
    </w:rPr>
  </w:style>
  <w:style w:type="character" w:styleId="1198" w:customStyle="1">
    <w:name w:val="正文缩进 Char"/>
    <w:link w:val="1012"/>
    <w:uiPriority w:val="0"/>
    <w:rPr>
      <w:rFonts w:ascii="Arial" w:hAnsi="Arial" w:eastAsia="Arial" w:cs="Arial"/>
      <w:color w:val="000000"/>
      <w:sz w:val="21"/>
      <w:szCs w:val="21"/>
      <w:lang w:eastAsia="en-US"/>
    </w:rPr>
  </w:style>
  <w:style w:type="paragraph" w:styleId="1199">
    <w:name w:val="No Spacing"/>
    <w:uiPriority w:val="99"/>
    <w:qFormat/>
    <w:pPr>
      <w:jc w:val="both"/>
      <w:widowControl w:val="off"/>
    </w:pPr>
    <w:rPr>
      <w:rFonts w:ascii="Times New Roman" w:hAnsi="Times New Roman" w:eastAsia="宋体" w:cs="Times New Roman"/>
      <w:sz w:val="21"/>
      <w:szCs w:val="21"/>
      <w:lang w:val="en-US" w:eastAsia="zh-CN" w:bidi="ar-SA"/>
    </w:rPr>
  </w:style>
  <w:style w:type="numbering" w:styleId="1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DAAAD88-839D-4518-8E01-69B63970C8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张倩</cp:lastModifiedBy>
  <cp:revision>9</cp:revision>
  <dcterms:created xsi:type="dcterms:W3CDTF">2024-10-17T08:05:00Z</dcterms:created>
  <dcterms:modified xsi:type="dcterms:W3CDTF">2024-10-21T06:10:24Z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2024-09-30T11:08:47Z</vt:filetime>
  </property>
  <property fmtid="{D5CDD505-2E9C-101B-9397-08002B2CF9AE}" pid="4" name="KSOProductBuildVer">
    <vt:lpwstr>2052-12.1.0.18608</vt:lpwstr>
  </property>
  <property fmtid="{D5CDD505-2E9C-101B-9397-08002B2CF9AE}" pid="5" name="ICV">
    <vt:lpwstr>5BE077CA856A4F84AEBFC16DDE65DC0C_13</vt:lpwstr>
  </property>
</Properties>
</file>