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7"/>
        <w:rPr>
          <w:rFonts w:ascii="楷体_GB2312" w:eastAsia="楷体_GB2312"/>
          <w:bCs/>
          <w:sz w:val="30"/>
          <w:highlight w:val="none"/>
        </w:rPr>
      </w:pPr>
      <w:r>
        <w:rPr>
          <w:rFonts w:ascii="楷体_GB2312" w:eastAsia="楷体_GB2312"/>
          <w:bCs/>
          <w:sz w:val="30"/>
          <w:highlight w:val="none"/>
        </w:rPr>
      </w:r>
      <w:r/>
    </w:p>
    <w:p>
      <w:pPr>
        <w:pStyle w:val="1297"/>
        <w:rPr>
          <w:highlight w:val="none"/>
        </w:rPr>
      </w:pPr>
      <w:r>
        <w:rPr>
          <w:highlight w:val="none"/>
        </w:rPr>
      </w:r>
      <w:r/>
    </w:p>
    <w:p>
      <w:pPr>
        <w:pStyle w:val="1277"/>
        <w:ind w:left="660"/>
        <w:rPr>
          <w:rFonts w:ascii="楷体_GB2312" w:eastAsia="楷体_GB2312"/>
          <w:bCs/>
          <w:sz w:val="30"/>
          <w:highlight w:val="none"/>
        </w:rPr>
      </w:pPr>
      <w:r>
        <w:rPr>
          <w:rFonts w:ascii="楷体_GB2312" w:eastAsia="楷体_GB2312"/>
          <w:bCs/>
          <w:sz w:val="30"/>
          <w:highlight w:val="none"/>
        </w:rPr>
      </w:r>
      <w:r/>
    </w:p>
    <w:p>
      <w:pPr>
        <w:pStyle w:val="1297"/>
        <w:rPr>
          <w:highlight w:val="none"/>
        </w:rPr>
      </w:pPr>
      <w:r>
        <w:rPr>
          <w:highlight w:val="none"/>
        </w:rPr>
      </w:r>
      <w:r/>
    </w:p>
    <w:p>
      <w:pPr>
        <w:pStyle w:val="1277"/>
        <w:jc w:val="center"/>
        <w:rPr>
          <w:b/>
          <w:sz w:val="96"/>
          <w:szCs w:val="96"/>
          <w:highlight w:val="none"/>
        </w:rPr>
      </w:pPr>
      <w:r>
        <w:rPr>
          <w:sz w:val="20"/>
          <w:szCs w:val="18"/>
        </w:rPr>
      </w:r>
      <w:bookmarkStart w:id="0" w:name="_Toc24222"/>
      <w:r>
        <w:rPr>
          <w:sz w:val="20"/>
          <w:szCs w:val="18"/>
        </w:rPr>
      </w:r>
      <w:bookmarkStart w:id="1" w:name="_Toc20707"/>
      <w:r>
        <w:rPr>
          <w:rFonts w:hint="eastAsia"/>
          <w:b/>
          <w:sz w:val="96"/>
          <w:szCs w:val="96"/>
          <w:highlight w:val="none"/>
        </w:rPr>
        <w:t xml:space="preserve">锡山区</w:t>
      </w:r>
      <w:r>
        <w:rPr>
          <w:b/>
          <w:sz w:val="96"/>
          <w:szCs w:val="96"/>
          <w:highlight w:val="none"/>
        </w:rPr>
        <w:t xml:space="preserve">政府采购</w:t>
      </w:r>
      <w:bookmarkEnd w:id="0"/>
      <w:r>
        <w:rPr>
          <w:sz w:val="20"/>
          <w:szCs w:val="18"/>
        </w:rPr>
      </w:r>
      <w:bookmarkEnd w:id="1"/>
      <w:r>
        <w:rPr>
          <w:b/>
          <w:sz w:val="96"/>
          <w:szCs w:val="96"/>
          <w:highlight w:val="none"/>
        </w:rPr>
      </w:r>
      <w:r>
        <w:rPr>
          <w:sz w:val="20"/>
          <w:szCs w:val="18"/>
        </w:rPr>
      </w:r>
    </w:p>
    <w:p>
      <w:pPr>
        <w:pStyle w:val="1277"/>
        <w:rPr>
          <w:rFonts w:hint="eastAsia"/>
          <w:b/>
          <w:sz w:val="28"/>
          <w:szCs w:val="28"/>
          <w:highlight w:val="none"/>
        </w:rPr>
      </w:pPr>
      <w:r>
        <w:rPr>
          <w:rFonts w:hint="eastAsia"/>
          <w:b/>
          <w:sz w:val="28"/>
          <w:szCs w:val="28"/>
          <w:highlight w:val="none"/>
        </w:rPr>
      </w:r>
      <w:r/>
    </w:p>
    <w:p>
      <w:pPr>
        <w:pStyle w:val="1311"/>
        <w:tabs>
          <w:tab w:val="center" w:pos="4153" w:leader="none"/>
          <w:tab w:val="right" w:pos="8306" w:leader="none"/>
        </w:tabs>
        <w:rPr>
          <w:rFonts w:hint="eastAsia"/>
          <w:b/>
          <w:sz w:val="28"/>
          <w:szCs w:val="28"/>
          <w:highlight w:val="none"/>
        </w:rPr>
      </w:pPr>
      <w:r>
        <w:rPr>
          <w:rFonts w:hint="eastAsia"/>
          <w:b/>
          <w:sz w:val="28"/>
          <w:szCs w:val="28"/>
          <w:highlight w:val="none"/>
        </w:rPr>
      </w:r>
      <w:r/>
    </w:p>
    <w:p>
      <w:pPr>
        <w:pStyle w:val="1277"/>
        <w:rPr>
          <w:rFonts w:hint="eastAsia"/>
          <w:b/>
          <w:sz w:val="28"/>
          <w:szCs w:val="28"/>
          <w:highlight w:val="none"/>
        </w:rPr>
      </w:pPr>
      <w:r>
        <w:rPr>
          <w:rFonts w:hint="eastAsia"/>
          <w:b/>
          <w:sz w:val="28"/>
          <w:szCs w:val="28"/>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277"/>
        <w:jc w:val="center"/>
        <w:rPr>
          <w:b/>
          <w:sz w:val="28"/>
          <w:szCs w:val="28"/>
          <w:highlight w:val="none"/>
        </w:rPr>
      </w:pPr>
      <w:r/>
      <w:bookmarkStart w:id="2" w:name="_Toc6267"/>
      <w:r/>
      <w:bookmarkStart w:id="3" w:name="_Toc8186"/>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Pr>
          <w:b/>
          <w:sz w:val="28"/>
          <w:szCs w:val="28"/>
          <w:highlight w:val="none"/>
        </w:rPr>
      </w:r>
      <w:r/>
    </w:p>
    <w:p>
      <w:pPr>
        <w:pStyle w:val="1277"/>
        <w:rPr>
          <w:bCs/>
          <w:sz w:val="28"/>
          <w:szCs w:val="28"/>
          <w:highlight w:val="none"/>
        </w:rPr>
      </w:pPr>
      <w:r>
        <w:rPr>
          <w:bCs/>
          <w:sz w:val="28"/>
          <w:szCs w:val="28"/>
          <w:highlight w:val="none"/>
        </w:rPr>
      </w:r>
      <w:r/>
    </w:p>
    <w:p>
      <w:pPr>
        <w:pStyle w:val="1302"/>
        <w:ind w:left="1260"/>
        <w:rPr>
          <w:b/>
          <w:sz w:val="28"/>
          <w:szCs w:val="28"/>
          <w:highlight w:val="none"/>
        </w:rPr>
      </w:pPr>
      <w:r>
        <w:rPr>
          <w:b/>
          <w:sz w:val="28"/>
          <w:szCs w:val="28"/>
          <w:highlight w:val="none"/>
        </w:rPr>
      </w:r>
      <w:r/>
    </w:p>
    <w:p>
      <w:pPr>
        <w:pStyle w:val="1277"/>
        <w:rPr>
          <w:b/>
          <w:sz w:val="28"/>
          <w:szCs w:val="28"/>
          <w:highlight w:val="none"/>
        </w:rPr>
      </w:pPr>
      <w:r>
        <w:rPr>
          <w:b/>
          <w:sz w:val="28"/>
          <w:szCs w:val="28"/>
          <w:highlight w:val="none"/>
        </w:rPr>
      </w:r>
      <w:r/>
    </w:p>
    <w:p>
      <w:pPr>
        <w:pStyle w:val="1277"/>
        <w:jc w:val="center"/>
        <w:rPr>
          <w:b/>
          <w:sz w:val="28"/>
          <w:szCs w:val="28"/>
          <w:highlight w:val="none"/>
        </w:rPr>
      </w:pPr>
      <w:r>
        <w:rPr>
          <w:b/>
          <w:sz w:val="28"/>
          <w:szCs w:val="28"/>
          <w:highlight w:val="none"/>
        </w:rPr>
      </w:r>
      <w:r/>
    </w:p>
    <w:p>
      <w:pPr>
        <w:pStyle w:val="1277"/>
        <w:jc w:val="center"/>
        <w:rPr>
          <w:rFonts w:hint="eastAsia"/>
          <w:b/>
          <w:sz w:val="28"/>
          <w:szCs w:val="28"/>
          <w:highlight w:val="none"/>
        </w:rPr>
      </w:pPr>
      <w:r/>
      <w:bookmarkStart w:id="4" w:name="_Toc607"/>
      <w:r/>
      <w:bookmarkStart w:id="5" w:name="_Toc9350"/>
      <w:r>
        <w:rPr>
          <w:rFonts w:hint="eastAsia"/>
          <w:b/>
          <w:sz w:val="28"/>
          <w:szCs w:val="28"/>
          <w:highlight w:val="none"/>
        </w:rPr>
        <w:t xml:space="preserve">（全流程电子化）</w:t>
      </w:r>
      <w:bookmarkEnd w:id="4"/>
      <w:r/>
      <w:bookmarkEnd w:id="5"/>
      <w:r>
        <w:rPr>
          <w:rFonts w:hint="eastAsia"/>
          <w:b/>
          <w:sz w:val="28"/>
          <w:szCs w:val="28"/>
          <w:highlight w:val="none"/>
        </w:rPr>
      </w:r>
      <w:r/>
    </w:p>
    <w:p>
      <w:pPr>
        <w:pStyle w:val="1353"/>
        <w:ind w:firstLine="0"/>
        <w:rPr>
          <w:highlight w:val="none"/>
        </w:rPr>
      </w:pPr>
      <w:r>
        <w:rPr>
          <w:highlight w:val="none"/>
        </w:rPr>
      </w:r>
      <w:r/>
    </w:p>
    <w:p>
      <w:pPr>
        <w:pStyle w:val="1353"/>
        <w:ind w:firstLine="0"/>
        <w:rPr>
          <w:highlight w:val="none"/>
        </w:rPr>
      </w:pPr>
      <w:r>
        <w:rPr>
          <w:highlight w:val="none"/>
        </w:rPr>
      </w:r>
      <w:r/>
    </w:p>
    <w:p>
      <w:pPr>
        <w:pStyle w:val="1353"/>
        <w:ind w:firstLine="0"/>
        <w:rPr>
          <w:rFonts w:hint="eastAsia" w:ascii="宋体" w:hAnsi="宋体" w:cs="宋体"/>
          <w:sz w:val="30"/>
          <w:szCs w:val="30"/>
          <w:highlight w:val="none"/>
        </w:rPr>
      </w:pPr>
      <w:r>
        <w:rPr>
          <w:rFonts w:hint="eastAsia" w:ascii="宋体" w:hAnsi="宋体" w:cs="宋体"/>
          <w:sz w:val="30"/>
          <w:szCs w:val="30"/>
          <w:highlight w:val="none"/>
        </w:rPr>
      </w:r>
      <w:r/>
    </w:p>
    <w:p>
      <w:pPr>
        <w:pStyle w:val="1277"/>
        <w:rPr>
          <w:rFonts w:hint="eastAsia" w:ascii="宋体" w:hAnsi="宋体" w:cs="宋体"/>
          <w:sz w:val="30"/>
          <w:szCs w:val="30"/>
          <w:highlight w:val="none"/>
        </w:rPr>
      </w:pPr>
      <w:r>
        <w:rPr>
          <w:rFonts w:hint="eastAsia" w:ascii="宋体" w:hAnsi="宋体" w:cs="宋体"/>
          <w:sz w:val="30"/>
          <w:szCs w:val="30"/>
          <w:highlight w:val="none"/>
        </w:rPr>
      </w:r>
      <w:r/>
    </w:p>
    <w:p>
      <w:pPr>
        <w:pStyle w:val="1277"/>
        <w:spacing w:line="360" w:lineRule="auto"/>
        <w:rPr>
          <w:rFonts w:hint="eastAsia" w:ascii="宋体" w:hAnsi="宋体" w:eastAsia="宋体" w:cs="宋体"/>
          <w:sz w:val="30"/>
          <w:szCs w:val="30"/>
          <w:highlight w:val="none"/>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JSZC-320205-THGC-G2025-0030</w:t>
      </w:r>
      <w:r>
        <w:rPr>
          <w:rFonts w:hint="eastAsia" w:ascii="宋体" w:hAnsi="宋体" w:eastAsia="宋体" w:cs="宋体"/>
          <w:sz w:val="30"/>
          <w:szCs w:val="30"/>
          <w:highlight w:val="none"/>
          <w:lang w:eastAsia="zh-CN"/>
        </w:rPr>
      </w:r>
      <w:r/>
    </w:p>
    <w:p>
      <w:pPr>
        <w:pStyle w:val="1277"/>
        <w:ind w:left="2100" w:hanging="2100"/>
        <w:spacing w:line="360" w:lineRule="auto"/>
        <w:rPr>
          <w:rFonts w:ascii="宋体" w:hAnsi="宋体" w:eastAsia="宋体"/>
          <w:bCs/>
          <w:sz w:val="30"/>
          <w:szCs w:val="30"/>
          <w:highlight w:val="none"/>
          <w:lang w:val="en-US"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val="en-US" w:eastAsia="zh-CN"/>
        </w:rPr>
        <w:t xml:space="preserve">全区耕地保护动态监测（2025-2026）</w:t>
      </w:r>
      <w:r>
        <w:rPr>
          <w:rFonts w:ascii="宋体" w:hAnsi="宋体" w:eastAsia="宋体"/>
          <w:bCs/>
          <w:sz w:val="30"/>
          <w:szCs w:val="30"/>
          <w:highlight w:val="none"/>
          <w:lang w:val="en-US" w:eastAsia="zh-CN"/>
        </w:rPr>
      </w:r>
      <w:r/>
    </w:p>
    <w:p>
      <w:pPr>
        <w:pStyle w:val="1277"/>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无锡市自然资源和规划局锡山分局</w:t>
      </w:r>
      <w:r>
        <w:rPr>
          <w:rFonts w:hint="eastAsia" w:ascii="宋体" w:hAnsi="宋体" w:eastAsia="宋体" w:cs="宋体"/>
          <w:sz w:val="30"/>
          <w:szCs w:val="30"/>
          <w:highlight w:val="none"/>
          <w:lang w:eastAsia="zh-CN"/>
        </w:rPr>
      </w:r>
      <w:r/>
    </w:p>
    <w:p>
      <w:pPr>
        <w:pStyle w:val="1277"/>
        <w:spacing w:line="360" w:lineRule="auto"/>
        <w:rPr>
          <w:rFonts w:hint="eastAsia" w:ascii="宋体" w:hAnsi="宋体" w:cs="宋体"/>
          <w:sz w:val="30"/>
          <w:szCs w:val="30"/>
          <w:highlight w:val="none"/>
        </w:rPr>
      </w:pPr>
      <w:r/>
      <w:bookmarkStart w:id="8" w:name="_Toc22627"/>
      <w:r/>
      <w:bookmarkStart w:id="9" w:name="_Toc12700"/>
      <w:r>
        <w:rPr>
          <w:rFonts w:hint="eastAsia" w:ascii="宋体" w:hAnsi="宋体" w:cs="宋体"/>
          <w:sz w:val="30"/>
          <w:szCs w:val="30"/>
          <w:highlight w:val="none"/>
        </w:rPr>
        <w:t xml:space="preserve">采购代理机构：江苏通汇工程管理咨询有限公司</w:t>
      </w:r>
      <w:bookmarkEnd w:id="8"/>
      <w:r/>
      <w:bookmarkEnd w:id="9"/>
      <w:r>
        <w:rPr>
          <w:rFonts w:hint="eastAsia" w:ascii="宋体" w:hAnsi="宋体" w:cs="宋体"/>
          <w:sz w:val="30"/>
          <w:szCs w:val="30"/>
          <w:highlight w:val="none"/>
        </w:rPr>
      </w:r>
      <w:r/>
    </w:p>
    <w:p>
      <w:pPr>
        <w:pStyle w:val="1277"/>
        <w:rPr>
          <w:rFonts w:ascii="华文中宋" w:hAnsi="华文中宋" w:eastAsia="华文中宋"/>
          <w:bCs/>
          <w:sz w:val="30"/>
          <w:highlight w:val="none"/>
        </w:rPr>
      </w:pPr>
      <w:r>
        <w:rPr>
          <w:rFonts w:ascii="华文中宋" w:hAnsi="华文中宋" w:eastAsia="华文中宋"/>
          <w:bCs/>
          <w:sz w:val="30"/>
          <w:highlight w:val="none"/>
        </w:rPr>
      </w:r>
      <w:r/>
    </w:p>
    <w:p>
      <w:pPr>
        <w:pStyle w:val="1277"/>
        <w:jc w:val="center"/>
        <w:rPr>
          <w:rStyle w:val="1332"/>
          <w:rFonts w:eastAsia="黑体"/>
          <w:bCs/>
          <w:sz w:val="48"/>
          <w:highlight w:val="none"/>
        </w:rPr>
      </w:pPr>
      <w:r>
        <w:rPr>
          <w:rFonts w:hint="eastAsia" w:ascii="黑体" w:hAnsi="华文中宋" w:eastAsia="黑体"/>
          <w:bCs/>
          <w:sz w:val="32"/>
          <w:szCs w:val="32"/>
          <w:highlight w:val="none"/>
          <w:lang w:eastAsia="zh-CN"/>
        </w:rPr>
        <w:t xml:space="preserve">二〇</w:t>
      </w:r>
      <w:r>
        <w:rPr>
          <w:rFonts w:hint="eastAsia" w:ascii="黑体" w:hAnsi="华文中宋" w:eastAsia="黑体"/>
          <w:bCs/>
          <w:sz w:val="32"/>
          <w:szCs w:val="32"/>
          <w:highlight w:val="none"/>
        </w:rPr>
        <w:t xml:space="preserve">二</w:t>
      </w:r>
      <w:r>
        <w:rPr>
          <w:rFonts w:hint="eastAsia" w:ascii="黑体" w:hAnsi="华文中宋" w:eastAsia="黑体"/>
          <w:bCs/>
          <w:sz w:val="32"/>
          <w:szCs w:val="32"/>
          <w:highlight w:val="none"/>
          <w:lang w:val="en-US" w:eastAsia="zh-CN"/>
        </w:rPr>
        <w:t xml:space="preserve">五</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五</w:t>
      </w:r>
      <w:r>
        <w:rPr>
          <w:rFonts w:hint="eastAsia" w:ascii="黑体" w:hAnsi="华文中宋" w:eastAsia="黑体"/>
          <w:bCs/>
          <w:sz w:val="32"/>
          <w:szCs w:val="32"/>
          <w:highlight w:val="none"/>
        </w:rPr>
        <w:t xml:space="preserve">月</w:t>
      </w:r>
      <w:r>
        <w:rPr>
          <w:rStyle w:val="1332"/>
          <w:rFonts w:eastAsia="黑体"/>
          <w:bCs/>
          <w:sz w:val="48"/>
          <w:highlight w:val="none"/>
        </w:rPr>
      </w:r>
      <w:r/>
    </w:p>
    <w:p>
      <w:pPr>
        <w:pStyle w:val="1277"/>
        <w:jc w:val="center"/>
        <w:rPr>
          <w:rStyle w:val="1332"/>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332"/>
          <w:rFonts w:hint="eastAsia" w:eastAsia="黑体"/>
          <w:bCs/>
          <w:sz w:val="48"/>
          <w:highlight w:val="none"/>
        </w:rPr>
      </w:r>
      <w:r/>
    </w:p>
    <w:p>
      <w:pPr>
        <w:pStyle w:val="1311"/>
        <w:tabs>
          <w:tab w:val="center" w:pos="4153" w:leader="none"/>
          <w:tab w:val="right" w:pos="8306" w:leader="none"/>
        </w:tabs>
        <w:rPr>
          <w:rFonts w:hint="eastAsia"/>
          <w:highlight w:val="none"/>
        </w:rPr>
      </w:pPr>
      <w:r>
        <w:rPr>
          <w:rFonts w:hint="eastAsia"/>
          <w:highlight w:val="none"/>
        </w:rPr>
      </w:r>
      <w:r/>
    </w:p>
    <w:p>
      <w:pPr>
        <w:pStyle w:val="1335"/>
        <w:rPr>
          <w:rFonts w:hint="eastAsia"/>
          <w:highlight w:val="none"/>
        </w:rPr>
      </w:pPr>
      <w:r>
        <w:rPr>
          <w:rFonts w:hint="eastAsia"/>
          <w:highlight w:val="none"/>
        </w:rPr>
      </w:r>
      <w:r/>
    </w:p>
    <w:p>
      <w:pPr>
        <w:pStyle w:val="1277"/>
        <w:jc w:val="center"/>
        <w:rPr>
          <w:rStyle w:val="1332"/>
          <w:rFonts w:hint="eastAsia" w:ascii="宋体" w:hAnsi="宋体" w:cs="宋体"/>
          <w:b/>
          <w:sz w:val="44"/>
          <w:szCs w:val="44"/>
          <w:highlight w:val="none"/>
        </w:rPr>
      </w:pPr>
      <w:r/>
      <w:bookmarkStart w:id="11" w:name="_Toc23032"/>
      <w:r/>
      <w:bookmarkStart w:id="12" w:name="_Toc32576"/>
      <w:r/>
      <w:bookmarkStart w:id="13" w:name="_Toc15618"/>
      <w:r>
        <w:rPr>
          <w:rStyle w:val="1332"/>
          <w:rFonts w:hint="eastAsia" w:ascii="宋体" w:hAnsi="宋体" w:cs="宋体"/>
          <w:b/>
          <w:sz w:val="44"/>
          <w:szCs w:val="44"/>
          <w:highlight w:val="none"/>
        </w:rPr>
        <w:t xml:space="preserve">目     录</w:t>
      </w:r>
      <w:bookmarkEnd w:id="10"/>
      <w:r/>
      <w:bookmarkEnd w:id="11"/>
      <w:r/>
      <w:bookmarkEnd w:id="12"/>
      <w:r/>
      <w:bookmarkEnd w:id="13"/>
      <w:r>
        <w:rPr>
          <w:rStyle w:val="1332"/>
          <w:rFonts w:hint="eastAsia" w:ascii="宋体" w:hAnsi="宋体" w:cs="宋体"/>
          <w:b/>
          <w:sz w:val="44"/>
          <w:szCs w:val="44"/>
          <w:highlight w:val="none"/>
        </w:rPr>
      </w:r>
      <w:r/>
    </w:p>
    <w:p>
      <w:pPr>
        <w:pStyle w:val="1277"/>
        <w:rPr>
          <w:highlight w:val="none"/>
        </w:rPr>
      </w:pPr>
      <w:r>
        <w:rPr>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18</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_Toc12214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28</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315"/>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_Toc5730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34</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rPr>
          <w:rFonts w:hint="eastAsia" w:ascii="宋体" w:hAnsi="宋体" w:cs="宋体"/>
          <w:sz w:val="28"/>
          <w:szCs w:val="28"/>
          <w:highlight w:val="none"/>
        </w:rPr>
      </w:r>
      <w:r/>
    </w:p>
    <w:p>
      <w:pPr>
        <w:pStyle w:val="1277"/>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rPr>
          <w:rFonts w:ascii="宋体" w:hAnsi="宋体"/>
          <w:bCs/>
          <w:sz w:val="24"/>
          <w:szCs w:val="24"/>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ascii="宋体"/>
          <w:bCs/>
          <w:sz w:val="28"/>
          <w:szCs w:val="28"/>
          <w:highlight w:val="none"/>
        </w:rPr>
      </w:pPr>
      <w:r>
        <w:rPr>
          <w:rFonts w:ascii="宋体"/>
          <w:bCs/>
          <w:sz w:val="28"/>
          <w:szCs w:val="28"/>
          <w:highlight w:val="none"/>
        </w:rPr>
      </w:r>
      <w:r/>
    </w:p>
    <w:p>
      <w:pPr>
        <w:pStyle w:val="1277"/>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bCs/>
          <w:sz w:val="28"/>
          <w:szCs w:val="28"/>
          <w:highlight w:val="none"/>
        </w:rPr>
      </w:r>
      <w:r/>
    </w:p>
    <w:p>
      <w:pPr>
        <w:pStyle w:val="1277"/>
        <w:jc w:val="center"/>
        <w:spacing w:line="360" w:lineRule="auto"/>
        <w:rPr>
          <w:rFonts w:hint="eastAsia" w:hAnsi="宋体" w:cs="宋体"/>
          <w:b/>
          <w:bCs/>
          <w:sz w:val="32"/>
          <w:szCs w:val="32"/>
          <w:highlight w:val="none"/>
        </w:rPr>
        <w:outlineLvl w:val="0"/>
      </w:pPr>
      <w:r/>
      <w:bookmarkStart w:id="16" w:name="_Toc13603"/>
      <w:r/>
      <w:bookmarkStart w:id="17" w:name="_Toc622"/>
      <w:r>
        <w:rPr>
          <w:rFonts w:hint="eastAsia" w:hAnsi="宋体" w:cs="宋体"/>
          <w:b/>
          <w:bCs/>
          <w:sz w:val="32"/>
          <w:szCs w:val="32"/>
          <w:highlight w:val="none"/>
        </w:rPr>
        <w:t xml:space="preserve">一、投标邀请函</w:t>
      </w:r>
      <w:bookmarkEnd w:id="15"/>
      <w:r/>
      <w:bookmarkEnd w:id="16"/>
      <w:r/>
      <w:bookmarkEnd w:id="17"/>
      <w:r>
        <w:rPr>
          <w:rFonts w:hint="eastAsia" w:hAnsi="宋体" w:cs="宋体"/>
          <w:b/>
          <w:bCs/>
          <w:sz w:val="32"/>
          <w:szCs w:val="32"/>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江苏通汇工程管理咨询有限公司受</w:t>
      </w:r>
      <w:r>
        <w:rPr>
          <w:rFonts w:hint="eastAsia" w:ascii="宋体" w:hAnsi="宋体" w:cs="宋体"/>
          <w:bCs/>
          <w:sz w:val="24"/>
          <w:szCs w:val="24"/>
          <w:highlight w:val="none"/>
          <w:lang w:eastAsia="zh-CN"/>
        </w:rPr>
        <w:t xml:space="preserve">无锡市自然资源和规划局锡山分局</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全区耕地保护动态监测（2025-2026）</w:t>
      </w:r>
      <w:r>
        <w:rPr>
          <w:rFonts w:hint="eastAsia" w:ascii="宋体" w:hAnsi="宋体" w:cs="宋体"/>
          <w:bCs/>
          <w:sz w:val="24"/>
          <w:szCs w:val="24"/>
          <w:highlight w:val="none"/>
        </w:rPr>
        <w:t xml:space="preserve">进行公开招标采购，欢迎符合相关条件的供应商参加投标并提请注意下列相关事项：</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rPr>
          <w:rFonts w:hint="eastAsia" w:ascii="宋体" w:hAnsi="宋体" w:cs="宋体"/>
          <w:b/>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全区耕地保护动态监测（2025-2026）</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JSZC-320205-THGC-G2025-0030</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160</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160</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rPr>
      </w:r>
      <w:r/>
    </w:p>
    <w:p>
      <w:pPr>
        <w:pStyle w:val="1277"/>
        <w:ind w:firstLine="480"/>
        <w:spacing w:line="360" w:lineRule="auto"/>
        <w:rPr>
          <w:rFonts w:ascii="宋体" w:hAnsi="宋体" w:cs="宋体"/>
          <w:bCs/>
          <w:sz w:val="24"/>
          <w:szCs w:val="24"/>
          <w:highlight w:val="none"/>
          <w:lang w:val="en-US"/>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从签订合同之日起到2026年11月30日</w:t>
      </w:r>
      <w:r>
        <w:rPr>
          <w:rFonts w:ascii="宋体" w:hAnsi="宋体" w:cs="宋体"/>
          <w:bCs/>
          <w:sz w:val="24"/>
          <w:szCs w:val="24"/>
          <w:highlight w:val="none"/>
          <w:lang w:val="en-US"/>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sz w:val="24"/>
          <w:szCs w:val="24"/>
          <w:highlight w:val="none"/>
          <w:lang w:val="en-US" w:eastAsia="zh-CN"/>
        </w:rPr>
        <w:t xml:space="preserve">否</w:t>
      </w:r>
      <w:r>
        <w:rPr>
          <w:rFonts w:hint="eastAsia" w:ascii="宋体" w:hAnsi="宋体" w:eastAsia="宋体" w:cs="宋体"/>
          <w:bCs/>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rPr>
        <w:t xml:space="preserve">接受</w:t>
      </w:r>
      <w:r>
        <w:rPr>
          <w:rFonts w:hint="eastAsia" w:ascii="宋体" w:hAnsi="宋体" w:cs="宋体"/>
          <w:bCs/>
          <w:sz w:val="24"/>
          <w:szCs w:val="24"/>
          <w:highlight w:val="none"/>
        </w:rPr>
        <w:t xml:space="preserve">联合体投标，联合体投标的，应满足下列要求：</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（1）联合体成员不得超过两家；</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（2）以联合体投标的，联合体必须符合以上资格要求；</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（3）联合体单位不得再以自己的名义或者组成新的联合体参加同一项目投标；</w:t>
      </w:r>
      <w:r>
        <w:rPr>
          <w:rFonts w:hint="eastAsia" w:ascii="宋体" w:hAnsi="宋体" w:cs="宋体"/>
          <w:bCs/>
          <w:sz w:val="24"/>
          <w:szCs w:val="24"/>
          <w:highlight w:val="none"/>
        </w:rPr>
      </w:r>
      <w:r/>
    </w:p>
    <w:p>
      <w:pPr>
        <w:pStyle w:val="1277"/>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（4）联合体投标须签订并提供联合体协议书，联合体协议书中必须明确联合体主体方和联合体协办方，以及联合体各成员份额、职责。</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供应商具备测绘主管部门颁发的甲级测绘资质。</w:t>
      </w:r>
      <w:r>
        <w:rPr>
          <w:rFonts w:hint="eastAsia" w:ascii="宋体" w:hAnsi="宋体" w:eastAsia="宋体" w:cs="宋体"/>
          <w:bCs/>
          <w:sz w:val="24"/>
          <w:szCs w:val="24"/>
          <w:highlight w:val="none"/>
          <w:lang w:eastAsia="zh-CN"/>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1、请有意参加本项目投标的供应商按以下流程进行操作：</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（2）办理并领取CA和电子签章（办理地址：无锡市观山路市民中心12号楼2楼公共资源交易大厅9号10号窗口）。</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（3）“苏采云”系统供应商操作手册链接：</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（4）CA驱动下载链接（政务CA方正签章控件驱动）：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技术服务QQ：3071474382（服务时间：工作日9:00-17:00）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）等方式开展线上不见面答疑服务。截止至202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20</w:t>
      </w:r>
      <w:r>
        <w:rPr>
          <w:rFonts w:hint="eastAsia" w:ascii="宋体" w:hAnsi="宋体" w:cs="宋体"/>
          <w:bCs/>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JSZC-320205-THGC-G2025-0030</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312606411@qq.com</w:t>
      </w:r>
      <w:r>
        <w:rPr>
          <w:rFonts w:hint="eastAsia" w:ascii="宋体" w:hAnsi="宋体" w:cs="宋体"/>
          <w:bCs/>
          <w:sz w:val="24"/>
          <w:szCs w:val="24"/>
          <w:highlight w:val="none"/>
        </w:rPr>
        <w:t xml:space="preserve">）给项目联系人。若未在法定时间内提出澄清，由此造成的损失及风险由供应商自行承担。</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09:30，投标截止时间后的投标文件恕不接受。</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开标时间：</w:t>
      </w:r>
      <w:r>
        <w:rPr>
          <w:rFonts w:hint="eastAsia"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09:30。</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定标时间：评标结束</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定标地点：无锡市锡山区东亭迎宾南路21号二楼</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rPr>
          <w:rFonts w:hint="eastAsia" w:ascii="宋体" w:hAnsi="宋体" w:cs="宋体"/>
          <w:bCs/>
          <w:sz w:val="24"/>
          <w:szCs w:val="24"/>
          <w:highlight w:val="none"/>
        </w:rPr>
      </w:r>
      <w:r/>
    </w:p>
    <w:p>
      <w:pPr>
        <w:pStyle w:val="1277"/>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w:t>
      </w:r>
      <w:r>
        <w:rPr>
          <w:rFonts w:hint="eastAsia" w:ascii="宋体" w:hAnsi="宋体" w:cs="宋体"/>
          <w:b/>
          <w:sz w:val="24"/>
          <w:szCs w:val="24"/>
          <w:highlight w:val="none"/>
          <w:lang w:eastAsia="zh-CN"/>
        </w:rPr>
        <w:t xml:space="preserve">其他</w:t>
      </w:r>
      <w:r>
        <w:rPr>
          <w:rFonts w:hint="eastAsia" w:ascii="宋体" w:hAnsi="宋体" w:cs="宋体"/>
          <w:b/>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无锡市自然资源和规划局锡山分局</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朱靖</w:t>
      </w:r>
      <w:r>
        <w:rPr>
          <w:rFonts w:hint="eastAsia" w:ascii="宋体" w:hAnsi="宋体" w:eastAsia="宋体" w:cs="宋体"/>
          <w:bCs/>
          <w:sz w:val="24"/>
          <w:szCs w:val="24"/>
          <w:highlight w:val="none"/>
          <w:lang w:val="en-US"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采购机构：江苏通汇工程管理咨询有限公司</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地址：无锡市锡山区万马广场59-102</w:t>
      </w:r>
      <w:r>
        <w:rPr>
          <w:rFonts w:hint="eastAsia" w:ascii="宋体" w:hAnsi="宋体" w:cs="宋体"/>
          <w:bCs/>
          <w:sz w:val="24"/>
          <w:szCs w:val="24"/>
          <w:highlight w:val="none"/>
        </w:rPr>
      </w:r>
      <w:r/>
    </w:p>
    <w:p>
      <w:pPr>
        <w:pStyle w:val="1277"/>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陆翠芹</w:t>
      </w:r>
      <w:r>
        <w:rPr>
          <w:rFonts w:hint="eastAsia" w:ascii="宋体" w:hAnsi="宋体" w:eastAsia="宋体" w:cs="宋体"/>
          <w:bCs/>
          <w:sz w:val="24"/>
          <w:szCs w:val="24"/>
          <w:highlight w:val="none"/>
          <w:lang w:eastAsia="zh-CN"/>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电  话：0510-88226300</w:t>
      </w:r>
      <w:r>
        <w:rPr>
          <w:rFonts w:hint="eastAsia" w:ascii="宋体" w:hAnsi="宋体" w:cs="宋体"/>
          <w:bCs/>
          <w:sz w:val="24"/>
          <w:szCs w:val="24"/>
          <w:highlight w:val="none"/>
        </w:rPr>
      </w:r>
      <w:r/>
    </w:p>
    <w:p>
      <w:pPr>
        <w:pStyle w:val="1277"/>
        <w:ind w:firstLine="480"/>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邮  编：214000</w:t>
      </w:r>
      <w:r>
        <w:rPr>
          <w:rFonts w:ascii="宋体" w:hAnsi="宋体" w:eastAsia="宋体" w:cs="宋体"/>
          <w:bCs/>
          <w:sz w:val="24"/>
          <w:szCs w:val="24"/>
          <w:highlight w:val="none"/>
          <w:lang w:val="en-US" w:eastAsia="zh-CN"/>
        </w:rPr>
      </w:r>
      <w:r/>
    </w:p>
    <w:p>
      <w:pPr>
        <w:pStyle w:val="1277"/>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Fonts w:hint="eastAsia" w:ascii="宋体" w:hAnsi="宋体" w:cs="宋体"/>
          <w:bCs/>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Pr>
          <w:rFonts w:hint="eastAsia" w:hAnsi="宋体" w:cs="宋体"/>
          <w:b/>
          <w:bCs/>
          <w:sz w:val="32"/>
          <w:szCs w:val="32"/>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(一)遵循原则：</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(二)招标文件：</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3．投标人一旦参加本项目投标，即表明承诺接受了本招标文件中的所有条件和规定。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rPr>
          <w:rFonts w:hint="eastAsia" w:ascii="宋体" w:hAnsi="宋体" w:cs="宋体"/>
          <w:bCs/>
          <w:sz w:val="24"/>
          <w:szCs w:val="24"/>
          <w:highlight w:val="none"/>
        </w:rPr>
      </w:r>
      <w:r/>
    </w:p>
    <w:p>
      <w:pPr>
        <w:pStyle w:val="1360"/>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5．招标文件中的“法定代表人”是指投标人的营业执照或相关部门的登记证明文件中的“法定代表人”或“负责人”。</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本文件的最终解释权归采购人及江苏通汇工程管理咨询有限公司。</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highlight w:val="none"/>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作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（2）具有独立承担民事责任能力的投标人营业执照或相关部门的登记证明文件扫描件；</w:t>
      </w:r>
      <w:r>
        <w:rPr>
          <w:rFonts w:hint="eastAsia" w:ascii="宋体" w:hAnsi="宋体" w:cs="宋体"/>
          <w:bCs/>
          <w:sz w:val="24"/>
          <w:szCs w:val="24"/>
          <w:highlight w:val="none"/>
        </w:rPr>
      </w:r>
      <w:r/>
    </w:p>
    <w:p>
      <w:pPr>
        <w:pStyle w:val="1277"/>
        <w:ind w:firstLine="480"/>
        <w:spacing w:line="360" w:lineRule="auto"/>
        <w:tabs>
          <w:tab w:val="left" w:pos="945"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（3）投标人法定代表人授权委托书</w:t>
      </w:r>
      <w:r>
        <w:rPr>
          <w:rFonts w:hint="eastAsia" w:ascii="宋体" w:hAnsi="宋体" w:cs="宋体"/>
          <w:b/>
          <w:bCs/>
          <w:sz w:val="24"/>
          <w:szCs w:val="24"/>
          <w:highlight w:val="none"/>
        </w:rPr>
        <w:t xml:space="preserve">（格式见附件，法定代表人亲自参加投标的除外）</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（4）投标人法定代表人身份证扫描件（正、反面）；</w:t>
      </w:r>
      <w:r>
        <w:rPr>
          <w:rFonts w:hint="eastAsia" w:ascii="宋体" w:hAnsi="宋体" w:cs="宋体"/>
          <w:bCs/>
          <w:sz w:val="24"/>
          <w:szCs w:val="24"/>
          <w:highlight w:val="none"/>
        </w:rPr>
      </w:r>
      <w:r/>
    </w:p>
    <w:p>
      <w:pPr>
        <w:pStyle w:val="1277"/>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（5）投标人法定代表人授权代表身份证</w:t>
      </w:r>
      <w:r>
        <w:rPr>
          <w:rFonts w:hint="eastAsia" w:ascii="宋体" w:hAnsi="宋体" w:cs="宋体"/>
          <w:sz w:val="24"/>
          <w:szCs w:val="24"/>
          <w:highlight w:val="none"/>
        </w:rPr>
        <w:t xml:space="preserve">扫描件</w:t>
      </w:r>
      <w:r>
        <w:rPr>
          <w:rFonts w:hint="eastAsia" w:ascii="宋体" w:hAnsi="宋体" w:cs="宋体"/>
          <w:bCs/>
          <w:sz w:val="24"/>
          <w:szCs w:val="24"/>
          <w:highlight w:val="none"/>
        </w:rPr>
        <w:t xml:space="preserve">（正、反面，法定代表人亲自参加投标的除外）；</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bookmarkStart w:id="20" w:name="_Hlk39128912"/>
      <w:r>
        <w:rPr>
          <w:rFonts w:hint="eastAsia" w:ascii="宋体" w:hAnsi="宋体" w:cs="宋体"/>
          <w:bCs/>
          <w:sz w:val="24"/>
          <w:szCs w:val="24"/>
          <w:highlight w:val="none"/>
        </w:rPr>
        <w:t xml:space="preserve">（6）投标人近三个月中任意一个月份（不含开标当月）的财务状况报告（资产负债表和利润表）或由会计师事务所出具的近两年中任意一个年度的审计报告和所附已审财务报告扫描件；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（7）投标人近三个月中任意一个月份（不含开标当月）的依法缴纳税收的相关材料（提供相关主管部门证明或银行代扣证明）扫描件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rPr>
        <w:t xml:space="preserve">联合体投标协议</w:t>
      </w:r>
      <w:r>
        <w:rPr>
          <w:rFonts w:hint="eastAsia" w:ascii="宋体" w:hAnsi="宋体" w:eastAsia="宋体" w:cs="宋体"/>
          <w:b/>
          <w:bCs w:val="0"/>
          <w:sz w:val="24"/>
          <w:szCs w:val="24"/>
        </w:rPr>
        <w:t xml:space="preserve">（如为联合体投标必须提供，格式见附件）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highlight w:val="none"/>
          <w:lang w:eastAsia="zh-CN"/>
        </w:rPr>
      </w:r>
      <w:r/>
    </w:p>
    <w:p>
      <w:pPr>
        <w:pStyle w:val="1277"/>
        <w:ind w:firstLine="480"/>
        <w:spacing w:line="360" w:lineRule="auto"/>
        <w:tabs>
          <w:tab w:val="left" w:pos="105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（11）</w:t>
      </w:r>
      <w:r>
        <w:rPr>
          <w:rFonts w:hint="eastAsia" w:ascii="宋体" w:hAnsi="宋体" w:cs="宋体"/>
          <w:bCs/>
          <w:sz w:val="24"/>
          <w:szCs w:val="24"/>
          <w:highlight w:val="none"/>
        </w:rPr>
        <w:t xml:space="preserve">采购人要求的特定资质证明扫描件</w:t>
      </w:r>
      <w:r>
        <w:rPr>
          <w:rFonts w:hint="eastAsia" w:ascii="宋体" w:hAnsi="宋体" w:cs="宋体"/>
          <w:b/>
          <w:bCs w:val="0"/>
          <w:sz w:val="24"/>
          <w:szCs w:val="24"/>
          <w:highlight w:val="none"/>
        </w:rPr>
        <w:t xml:space="preserve">（详见“投标邀请函”-“供应商资格要求”之</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rPr>
        <w:t xml:space="preserve">中要求）</w:t>
      </w:r>
      <w:r>
        <w:rPr>
          <w:rFonts w:hint="eastAsia" w:ascii="宋体" w:hAnsi="宋体" w:cs="宋体"/>
          <w:b/>
          <w:bCs w:val="0"/>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277"/>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rPr>
          <w:rFonts w:hint="eastAsia" w:ascii="宋体" w:hAnsi="宋体" w:cs="宋体"/>
          <w:b/>
          <w:bCs/>
          <w:sz w:val="24"/>
          <w:szCs w:val="24"/>
          <w:highlight w:val="none"/>
        </w:rPr>
      </w:r>
      <w:r/>
    </w:p>
    <w:p>
      <w:pPr>
        <w:pStyle w:val="1277"/>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．投标供应商</w:t>
      </w:r>
      <w:r>
        <w:rPr>
          <w:rFonts w:hint="eastAsia" w:ascii="宋体" w:hAnsi="宋体" w:cs="宋体"/>
          <w:bCs/>
          <w:sz w:val="24"/>
          <w:szCs w:val="24"/>
          <w:highlight w:val="none"/>
        </w:rPr>
        <w:t xml:space="preserve">基本</w:t>
      </w:r>
      <w:r>
        <w:rPr>
          <w:rFonts w:hint="eastAsia" w:ascii="宋体" w:hAnsi="宋体" w:cs="宋体"/>
          <w:bCs/>
          <w:sz w:val="24"/>
          <w:szCs w:val="24"/>
          <w:highlight w:val="none"/>
        </w:rPr>
        <w:t xml:space="preserve">情况表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．提供第三章项目需求和有关要求需提供的相关证明材料（如有，格式自拟并自行添加）</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中小企业声明函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或残疾人福利性单位声明函</w:t>
      </w:r>
      <w:r>
        <w:rPr>
          <w:rFonts w:hint="eastAsia" w:ascii="宋体" w:hAnsi="宋体" w:eastAsia="宋体" w:cs="宋体"/>
          <w:b/>
          <w:bCs w:val="0"/>
          <w:sz w:val="24"/>
          <w:szCs w:val="24"/>
          <w:highlight w:val="none"/>
          <w:lang w:val="en-US" w:eastAsia="zh-CN"/>
        </w:rPr>
        <w:t xml:space="preserve">（格式见附件）</w:t>
      </w:r>
      <w:r>
        <w:rPr>
          <w:rFonts w:hint="eastAsia" w:ascii="宋体" w:hAnsi="宋体" w:eastAsia="宋体" w:cs="宋体"/>
          <w:bCs/>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t xml:space="preserve">技术方案</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w:t>
      </w:r>
      <w:r>
        <w:rPr>
          <w:rFonts w:hint="eastAsia" w:ascii="宋体" w:hAnsi="宋体" w:cs="宋体"/>
          <w:bCs/>
          <w:sz w:val="24"/>
          <w:szCs w:val="24"/>
          <w:highlight w:val="none"/>
        </w:rPr>
        <w:t xml:space="preserve">评分标准中对应的所需证明材料（如有自行添加，格式自拟）</w:t>
      </w:r>
      <w:r>
        <w:rPr>
          <w:rFonts w:hint="eastAsia" w:ascii="宋体" w:hAnsi="宋体" w:eastAsia="宋体" w:cs="宋体"/>
          <w:bCs/>
          <w:sz w:val="24"/>
          <w:szCs w:val="24"/>
          <w:highlight w:val="none"/>
          <w:lang w:val="en-US" w:eastAsia="zh-CN"/>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要求采购人提供的配合（如有自行添加，格式自拟）</w:t>
      </w:r>
      <w:r>
        <w:rPr>
          <w:rFonts w:hint="eastAsia" w:ascii="宋体" w:hAnsi="宋体" w:cs="宋体"/>
          <w:bCs/>
          <w:sz w:val="24"/>
          <w:szCs w:val="24"/>
          <w:highlight w:val="none"/>
        </w:rPr>
      </w:r>
      <w:r/>
    </w:p>
    <w:p>
      <w:pPr>
        <w:pStyle w:val="1277"/>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rPr>
          <w:rFonts w:hint="eastAsia" w:ascii="宋体" w:hAnsi="宋体" w:cs="宋体"/>
          <w:bCs/>
          <w:sz w:val="24"/>
          <w:szCs w:val="24"/>
          <w:highlight w:val="none"/>
        </w:rPr>
      </w:r>
      <w:r/>
    </w:p>
    <w:p>
      <w:pPr>
        <w:pStyle w:val="1277"/>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(七)网上投标</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供应商》。</w:t>
      </w:r>
      <w:r>
        <w:rPr>
          <w:rFonts w:hint="eastAsia" w:ascii="宋体" w:hAnsi="宋体" w:cs="宋体"/>
          <w:bCs/>
          <w:sz w:val="24"/>
          <w:szCs w:val="24"/>
          <w:highlight w:val="none"/>
        </w:rPr>
      </w:r>
      <w:r/>
    </w:p>
    <w:p>
      <w:pPr>
        <w:pStyle w:val="1277"/>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cs="宋体"/>
          <w:b/>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列入失信被执行人、重大税收违法案件当事人名单、政府采购严重违法失信行为记录名单的；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加盖电子签章）提供书面说明，必要时提交相关证明材料；供应商不能证明其报价合理性的，评审小组应当将其作为无效响应处理；</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23.未按要求提供第三章项目要求和有关说明中须提供的相关证明材料的；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rPr>
          <w:rFonts w:hint="eastAsia" w:ascii="宋体" w:hAnsi="宋体" w:cs="宋体"/>
          <w:bCs/>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rPr>
        <w:t xml:space="preserve">(九)开标、评标：</w:t>
      </w:r>
      <w:r>
        <w:rPr>
          <w:rFonts w:hint="eastAsia" w:ascii="宋体" w:hAnsi="宋体" w:cs="宋体"/>
          <w:b/>
          <w:sz w:val="24"/>
          <w:szCs w:val="24"/>
          <w:highlight w:val="none"/>
        </w:rPr>
      </w:r>
      <w:r/>
    </w:p>
    <w:p>
      <w:pPr>
        <w:pStyle w:val="1277"/>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2．投标截止时间后参加投标的供应商或解密投标文件的供应商不足三家的，不开标；不进行开评标。</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4．评标程序</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rPr>
          <w:rFonts w:hint="eastAsia" w:ascii="宋体" w:hAnsi="宋体" w:cs="宋体"/>
          <w:bCs/>
          <w:sz w:val="24"/>
          <w:szCs w:val="24"/>
          <w:highlight w:val="none"/>
        </w:rPr>
      </w:r>
      <w:r/>
    </w:p>
    <w:tbl>
      <w:tblPr>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450"/>
        <w:gridCol w:w="5106"/>
      </w:tblGrid>
      <w:tr>
        <w:trPr/>
        <w:tc>
          <w:tcPr>
            <w:tcW w:w="923"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序号</w:t>
            </w:r>
            <w:r>
              <w:rPr>
                <w:rFonts w:hint="eastAsia" w:ascii="宋体" w:hAnsi="宋体" w:cs="宋体"/>
                <w:bCs/>
                <w:sz w:val="24"/>
                <w:szCs w:val="24"/>
                <w:highlight w:val="none"/>
              </w:rPr>
            </w:r>
            <w:r/>
          </w:p>
        </w:tc>
        <w:tc>
          <w:tcPr>
            <w:gridSpan w:val="2"/>
            <w:tcW w:w="8556" w:type="dxa"/>
            <w:vAlign w:val="center"/>
            <w:textDirection w:val="lrTb"/>
            <w:noWrap w:val="false"/>
          </w:tcPr>
          <w:p>
            <w:pPr>
              <w:pStyle w:val="1277"/>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资格审查内容</w:t>
            </w:r>
            <w:r>
              <w:rPr>
                <w:rFonts w:hint="eastAsia" w:ascii="宋体" w:hAnsi="宋体" w:cs="宋体"/>
                <w:bCs/>
                <w:sz w:val="24"/>
                <w:szCs w:val="24"/>
                <w:highlight w:val="none"/>
              </w:rPr>
            </w:r>
            <w:r/>
          </w:p>
        </w:tc>
      </w:tr>
      <w:tr>
        <w:trPr>
          <w:trHeight w:val="54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关于资格的声明函</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rPr>
                <w:rFonts w:hint="eastAsia" w:ascii="宋体" w:hAnsi="宋体" w:cs="宋体"/>
                <w:bCs/>
                <w:sz w:val="24"/>
                <w:szCs w:val="24"/>
                <w:highlight w:val="none"/>
              </w:rPr>
            </w:r>
            <w:r/>
          </w:p>
        </w:tc>
      </w:tr>
      <w:tr>
        <w:trPr>
          <w:trHeight w:val="866"/>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ascii="宋体" w:hAnsi="宋体"/>
                <w:sz w:val="24"/>
                <w:szCs w:val="24"/>
                <w:highlight w:val="none"/>
              </w:rPr>
              <w:t xml:space="preserve">2</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具有独立承担民事责任的能力</w:t>
            </w:r>
            <w:r>
              <w:rPr>
                <w:rFonts w:hint="eastAsia" w:ascii="宋体" w:hAnsi="宋体" w:cs="宋体"/>
                <w:bCs/>
                <w:sz w:val="24"/>
                <w:szCs w:val="24"/>
                <w:highlight w:val="none"/>
              </w:rPr>
            </w:r>
            <w:r/>
          </w:p>
        </w:tc>
        <w:tc>
          <w:tcPr>
            <w:tcW w:w="5106" w:type="dxa"/>
            <w:vAlign w:val="center"/>
            <w:textDirection w:val="lrTb"/>
            <w:noWrap w:val="false"/>
          </w:tcPr>
          <w:p>
            <w:pPr>
              <w:pStyle w:val="1277"/>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具有独立承担民事责任能力的供应商营业执照或相关部门的登记证明文件扫描件</w:t>
            </w:r>
            <w:r>
              <w:rPr>
                <w:rFonts w:hint="eastAsia" w:ascii="宋体" w:hAnsi="宋体" w:cs="宋体"/>
                <w:bCs/>
                <w:sz w:val="24"/>
                <w:szCs w:val="24"/>
                <w:highlight w:val="none"/>
              </w:rPr>
            </w:r>
            <w:r/>
          </w:p>
        </w:tc>
      </w:tr>
      <w:tr>
        <w:trPr>
          <w:trHeight w:val="789"/>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3</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供应商法定代表人授权委托书</w:t>
            </w:r>
            <w:r>
              <w:rPr>
                <w:rFonts w:hint="eastAsia" w:ascii="宋体" w:hAnsi="宋体" w:cs="宋体"/>
                <w:bCs/>
                <w:sz w:val="24"/>
                <w:szCs w:val="24"/>
                <w:highlight w:val="none"/>
              </w:rPr>
            </w:r>
            <w:r/>
          </w:p>
        </w:tc>
        <w:tc>
          <w:tcPr>
            <w:tcW w:w="5106" w:type="dxa"/>
            <w:vAlign w:val="center"/>
            <w:textDirection w:val="lrTb"/>
            <w:noWrap w:val="false"/>
          </w:tcPr>
          <w:p>
            <w:pPr>
              <w:pStyle w:val="1277"/>
              <w:jc w:val="left"/>
              <w:tabs>
                <w:tab w:val="left" w:pos="1050" w:leader="none"/>
              </w:tabs>
              <w:rPr>
                <w:rFonts w:hint="eastAsia" w:ascii="宋体" w:hAnsi="宋体" w:cs="宋体"/>
                <w:bCs/>
                <w:sz w:val="24"/>
                <w:szCs w:val="24"/>
                <w:highlight w:val="none"/>
              </w:rPr>
            </w:pPr>
            <w:r>
              <w:rPr>
                <w:rFonts w:hint="eastAsia" w:ascii="宋体" w:hAnsi="宋体" w:cs="宋体"/>
                <w:b/>
                <w:bCs/>
                <w:sz w:val="24"/>
                <w:szCs w:val="24"/>
                <w:highlight w:val="none"/>
              </w:rPr>
              <w:t xml:space="preserve">法定代表人亲自参与投标的除外，格式见附件</w:t>
            </w:r>
            <w:r>
              <w:rPr>
                <w:rFonts w:hint="eastAsia" w:ascii="宋体" w:hAnsi="宋体" w:cs="宋体"/>
                <w:bCs/>
                <w:sz w:val="24"/>
                <w:szCs w:val="24"/>
                <w:highlight w:val="none"/>
              </w:rPr>
            </w:r>
            <w:r/>
          </w:p>
        </w:tc>
      </w:tr>
      <w:tr>
        <w:trPr>
          <w:trHeight w:val="57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4</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供应商法定代表人身份证扫描件</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w:t>
            </w:r>
            <w:r>
              <w:rPr>
                <w:rFonts w:hint="eastAsia" w:ascii="宋体" w:hAnsi="宋体" w:cs="宋体"/>
                <w:bCs/>
                <w:sz w:val="24"/>
                <w:szCs w:val="24"/>
                <w:highlight w:val="none"/>
              </w:rPr>
            </w:r>
            <w:r/>
          </w:p>
        </w:tc>
      </w:tr>
      <w:tr>
        <w:trPr>
          <w:trHeight w:val="774"/>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5</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供应商法定代表人授权代表身份证扫描件</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身份证应为正、反面，法定代表人亲自参加投标的除外</w:t>
            </w:r>
            <w:r>
              <w:rPr>
                <w:rFonts w:hint="eastAsia" w:ascii="宋体" w:hAnsi="宋体" w:cs="宋体"/>
                <w:bCs/>
                <w:sz w:val="24"/>
                <w:szCs w:val="24"/>
                <w:highlight w:val="none"/>
              </w:rPr>
            </w:r>
            <w:r/>
          </w:p>
        </w:tc>
      </w:tr>
      <w:tr>
        <w:trPr>
          <w:trHeight w:val="1393"/>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6</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rPr>
                <w:rFonts w:hint="eastAsia" w:ascii="宋体" w:hAnsi="宋体" w:cs="宋体"/>
                <w:bCs/>
                <w:sz w:val="24"/>
                <w:szCs w:val="24"/>
                <w:highlight w:val="none"/>
              </w:rPr>
            </w:r>
            <w:r/>
          </w:p>
        </w:tc>
        <w:tc>
          <w:tcPr>
            <w:tcW w:w="5106" w:type="dxa"/>
            <w:vAlign w:val="center"/>
            <w:textDirection w:val="lrTb"/>
            <w:noWrap w:val="false"/>
          </w:tcPr>
          <w:p>
            <w:pPr>
              <w:pStyle w:val="1277"/>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highlight w:val="none"/>
              </w:rPr>
            </w:r>
            <w:r/>
          </w:p>
        </w:tc>
      </w:tr>
      <w:tr>
        <w:trPr>
          <w:trHeight w:val="1138"/>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ascii="宋体" w:hAnsi="宋体"/>
                <w:sz w:val="24"/>
                <w:szCs w:val="24"/>
                <w:highlight w:val="none"/>
              </w:rPr>
              <w:t xml:space="preserve">7</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具有依法缴纳税收的良好记录</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供应商近三个月中任意一个月份（不含开标当月）的依法缴纳税收的相关材料（提供相关主管部门证明或银行代扣证明）扫描件</w:t>
            </w:r>
            <w:r>
              <w:rPr>
                <w:rFonts w:hint="eastAsia" w:ascii="宋体" w:hAnsi="宋体" w:cs="宋体"/>
                <w:bCs/>
                <w:sz w:val="24"/>
                <w:szCs w:val="24"/>
                <w:highlight w:val="none"/>
              </w:rPr>
            </w:r>
            <w:r/>
          </w:p>
        </w:tc>
      </w:tr>
      <w:tr>
        <w:trPr>
          <w:trHeight w:val="1068"/>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8</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供应商近三个月中任意一个月份（不含开标当月）的依法缴纳社会保障资金的相关材料（提供相关主管部门证明或银行代扣证明）扫描件</w:t>
            </w:r>
            <w:r>
              <w:rPr>
                <w:rFonts w:hint="eastAsia" w:ascii="宋体" w:hAnsi="宋体" w:cs="宋体"/>
                <w:bCs/>
                <w:sz w:val="24"/>
                <w:szCs w:val="24"/>
                <w:highlight w:val="none"/>
              </w:rPr>
            </w:r>
            <w:r/>
          </w:p>
        </w:tc>
      </w:tr>
      <w:tr>
        <w:trPr>
          <w:trHeight w:val="602"/>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9</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承诺书</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rPr>
                <w:rFonts w:hint="eastAsia" w:ascii="宋体" w:hAnsi="宋体" w:cs="宋体"/>
                <w:bCs/>
                <w:sz w:val="24"/>
                <w:szCs w:val="24"/>
                <w:highlight w:val="none"/>
              </w:rPr>
            </w:r>
            <w:r/>
          </w:p>
        </w:tc>
      </w:tr>
      <w:tr>
        <w:trPr>
          <w:trHeight w:val="819"/>
        </w:trPr>
        <w:tc>
          <w:tcPr>
            <w:tcW w:w="923"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cs="宋体"/>
                <w:bCs/>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eastAsia="zh-CN"/>
              </w:rPr>
            </w:r>
            <w:r/>
          </w:p>
        </w:tc>
      </w:tr>
      <w:tr>
        <w:trPr>
          <w:trHeight w:val="557"/>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sz w:val="24"/>
                <w:szCs w:val="24"/>
                <w:highlight w:val="none"/>
              </w:rPr>
              <w:t xml:space="preserve">11</w:t>
            </w:r>
            <w:r>
              <w:rPr>
                <w:rFonts w:ascii="宋体" w:hAnsi="宋体"/>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供应商具备测绘主管部门颁发的甲级测绘资质</w:t>
            </w:r>
            <w:r>
              <w:rPr>
                <w:rFonts w:hint="eastAsia" w:ascii="宋体" w:hAnsi="宋体" w:cs="宋体"/>
                <w:bCs/>
                <w:sz w:val="24"/>
                <w:szCs w:val="24"/>
                <w:highlight w:val="none"/>
              </w:rPr>
            </w:r>
            <w:r/>
          </w:p>
        </w:tc>
      </w:tr>
      <w:tr>
        <w:trPr>
          <w:trHeight w:val="90"/>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sz w:val="24"/>
                <w:szCs w:val="24"/>
                <w:highlight w:val="none"/>
              </w:rPr>
              <w:t xml:space="preserve">12</w:t>
            </w:r>
            <w:r>
              <w:rPr>
                <w:rFonts w:ascii="宋体" w:hAnsi="宋体"/>
                <w:sz w:val="24"/>
                <w:szCs w:val="24"/>
                <w:highlight w:val="none"/>
              </w:rPr>
            </w:r>
            <w:r/>
          </w:p>
        </w:tc>
        <w:tc>
          <w:tcPr>
            <w:tcW w:w="3450" w:type="dxa"/>
            <w:vAlign w:val="center"/>
            <w:textDirection w:val="lrTb"/>
            <w:noWrap w:val="false"/>
          </w:tcPr>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信用记录</w:t>
            </w:r>
            <w:r>
              <w:rPr>
                <w:rFonts w:hint="eastAsia" w:ascii="宋体" w:hAnsi="宋体" w:cs="宋体"/>
                <w:sz w:val="24"/>
                <w:szCs w:val="24"/>
                <w:highlight w:val="none"/>
              </w:rPr>
            </w:r>
            <w:r/>
          </w:p>
          <w:p>
            <w:pPr>
              <w:pStyle w:val="1311"/>
              <w:tabs>
                <w:tab w:val="center" w:pos="4153" w:leader="none"/>
                <w:tab w:val="right" w:pos="8306" w:leader="none"/>
              </w:tabs>
              <w:rPr>
                <w:rFonts w:hint="eastAsia"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供应商未被列入“信用中国”网站（www.creditchina.gov.cn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“失信被执行人或重大税收违法失信主体或政府采购严重违法失信行为”记录名单；不处于中国政府采购网（www.ccgp.gov.cn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highlight w:val="none"/>
              </w:rPr>
            </w:r>
            <w:r/>
          </w:p>
        </w:tc>
      </w:tr>
      <w:tr>
        <w:trPr>
          <w:trHeight w:val="714"/>
        </w:trPr>
        <w:tc>
          <w:tcPr>
            <w:tcW w:w="923" w:type="dxa"/>
            <w:vAlign w:val="center"/>
            <w:textDirection w:val="lrTb"/>
            <w:noWrap w:val="false"/>
          </w:tcPr>
          <w:p>
            <w:pPr>
              <w:pStyle w:val="1277"/>
              <w:jc w:val="center"/>
              <w:rPr>
                <w:rFonts w:ascii="宋体" w:hAnsi="宋体"/>
                <w:sz w:val="24"/>
                <w:szCs w:val="24"/>
                <w:highlight w:val="none"/>
              </w:rPr>
            </w:pPr>
            <w:r>
              <w:rPr>
                <w:rFonts w:hint="eastAsia" w:ascii="宋体" w:hAnsi="宋体"/>
                <w:sz w:val="24"/>
                <w:szCs w:val="24"/>
                <w:highlight w:val="none"/>
              </w:rPr>
              <w:t xml:space="preserve">13</w:t>
            </w:r>
            <w:r>
              <w:rPr>
                <w:rFonts w:ascii="宋体" w:hAnsi="宋体"/>
                <w:sz w:val="24"/>
                <w:szCs w:val="24"/>
                <w:highlight w:val="none"/>
              </w:rPr>
            </w:r>
            <w:r/>
          </w:p>
        </w:tc>
        <w:tc>
          <w:tcPr>
            <w:tcW w:w="3450" w:type="dxa"/>
            <w:vAlign w:val="center"/>
            <w:textDirection w:val="lrTb"/>
            <w:noWrap w:val="false"/>
          </w:tcPr>
          <w:p>
            <w:pPr>
              <w:pStyle w:val="1277"/>
              <w:jc w:val="left"/>
              <w:rPr>
                <w:rFonts w:hint="eastAsia" w:ascii="宋体" w:hAnsi="宋体" w:cs="宋体"/>
                <w:bCs/>
                <w:sz w:val="24"/>
                <w:szCs w:val="24"/>
                <w:highlight w:val="none"/>
              </w:rPr>
            </w:pPr>
            <w:r>
              <w:rPr>
                <w:rFonts w:hint="eastAsia" w:ascii="宋体" w:hAnsi="宋体" w:cs="宋体"/>
                <w:sz w:val="24"/>
                <w:szCs w:val="24"/>
                <w:highlight w:val="none"/>
              </w:rPr>
              <w:t xml:space="preserve">关于联合体投标</w:t>
            </w:r>
            <w:r>
              <w:rPr>
                <w:rFonts w:hint="eastAsia" w:ascii="宋体" w:hAnsi="宋体" w:cs="宋体"/>
                <w:bCs/>
                <w:sz w:val="24"/>
                <w:szCs w:val="24"/>
                <w:highlight w:val="none"/>
              </w:rPr>
            </w:r>
            <w:r/>
          </w:p>
        </w:tc>
        <w:tc>
          <w:tcPr>
            <w:tcW w:w="5106" w:type="dxa"/>
            <w:vAlign w:val="center"/>
            <w:textDirection w:val="lrTb"/>
            <w:noWrap w:val="false"/>
          </w:tcPr>
          <w:p>
            <w:pPr>
              <w:pStyle w:val="1277"/>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接受</w:t>
            </w:r>
            <w:r>
              <w:rPr>
                <w:rFonts w:hint="eastAsia" w:ascii="宋体" w:hAnsi="宋体" w:cs="宋体"/>
                <w:sz w:val="24"/>
                <w:szCs w:val="24"/>
                <w:highlight w:val="none"/>
              </w:rPr>
              <w:t xml:space="preserve">联合体投标；不允许分包、转包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联合体投标的，应满足下列要求：</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（1）联合体成员不得超过两家；</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（2）以联合体投标的，联合体必须符合以上资格要求；</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（3）联合体单位不得再以自己的名义或者组成新的联合体参加同一项目投标；</w:t>
            </w:r>
            <w:r>
              <w:rPr>
                <w:rFonts w:hint="eastAsia" w:ascii="宋体" w:hAnsi="宋体" w:cs="宋体"/>
                <w:sz w:val="24"/>
                <w:szCs w:val="24"/>
                <w:highlight w:val="none"/>
              </w:rPr>
            </w:r>
            <w:r/>
          </w:p>
          <w:p>
            <w:pPr>
              <w:pStyle w:val="1277"/>
              <w:jc w:val="left"/>
              <w:rPr>
                <w:rFonts w:hint="eastAsia" w:ascii="宋体" w:hAnsi="宋体" w:cs="宋体"/>
                <w:sz w:val="24"/>
                <w:szCs w:val="24"/>
                <w:highlight w:val="none"/>
              </w:rPr>
            </w:pPr>
            <w:r>
              <w:rPr>
                <w:rFonts w:hint="eastAsia" w:ascii="宋体" w:hAnsi="宋体" w:cs="宋体"/>
                <w:sz w:val="24"/>
                <w:szCs w:val="24"/>
                <w:highlight w:val="none"/>
              </w:rPr>
              <w:t xml:space="preserve">（4）联合体投标须签订并提供联合体协议书，联合体协议书中必须明确联合体主体方和联合体协办方，以及联合体各成员份额、职责。</w:t>
            </w:r>
            <w:r>
              <w:rPr>
                <w:rFonts w:hint="eastAsia" w:ascii="宋体" w:hAnsi="宋体" w:cs="宋体"/>
                <w:sz w:val="24"/>
                <w:szCs w:val="24"/>
                <w:highlight w:val="none"/>
              </w:rPr>
            </w:r>
            <w:r/>
          </w:p>
        </w:tc>
      </w:tr>
    </w:tbl>
    <w:p>
      <w:pPr>
        <w:pStyle w:val="1277"/>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highlight w:val="none"/>
        </w:rPr>
      </w:r>
      <w:r/>
    </w:p>
    <w:p>
      <w:pPr>
        <w:pStyle w:val="1277"/>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rPr>
          <w:rFonts w:hint="eastAsia" w:ascii="宋体" w:hAnsi="宋体"/>
          <w:b/>
          <w:sz w:val="24"/>
          <w:highlight w:val="none"/>
        </w:rPr>
      </w:r>
      <w:r/>
    </w:p>
    <w:tbl>
      <w:tblPr>
        <w:tblW w:w="9299"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trHeight w:val="459"/>
        </w:trPr>
        <w:tc>
          <w:tcPr>
            <w:tcW w:w="822"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序号</w:t>
            </w:r>
            <w:r>
              <w:rPr>
                <w:rFonts w:ascii="宋体" w:hAnsi="宋体"/>
                <w:b/>
                <w:bCs/>
                <w:sz w:val="24"/>
                <w:szCs w:val="24"/>
                <w:highlight w:val="none"/>
              </w:rPr>
            </w:r>
            <w:r/>
          </w:p>
        </w:tc>
        <w:tc>
          <w:tcPr>
            <w:tcW w:w="2992"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评审点要求概况</w:t>
            </w:r>
            <w:r>
              <w:rPr>
                <w:rFonts w:ascii="宋体" w:hAnsi="宋体"/>
                <w:b/>
                <w:bCs/>
                <w:sz w:val="24"/>
                <w:szCs w:val="24"/>
                <w:highlight w:val="none"/>
              </w:rPr>
            </w:r>
            <w:r/>
          </w:p>
        </w:tc>
        <w:tc>
          <w:tcPr>
            <w:tcW w:w="5485" w:type="dxa"/>
            <w:vAlign w:val="center"/>
            <w:textDirection w:val="lrTb"/>
            <w:noWrap w:val="false"/>
          </w:tcPr>
          <w:p>
            <w:pPr>
              <w:pStyle w:val="1277"/>
              <w:jc w:val="center"/>
              <w:rPr>
                <w:rFonts w:ascii="宋体" w:hAnsi="宋体"/>
                <w:b/>
                <w:bCs/>
                <w:sz w:val="24"/>
                <w:szCs w:val="24"/>
                <w:highlight w:val="none"/>
              </w:rPr>
            </w:pPr>
            <w:r>
              <w:rPr>
                <w:rFonts w:ascii="宋体" w:hAnsi="宋体"/>
                <w:b/>
                <w:bCs/>
                <w:sz w:val="24"/>
                <w:szCs w:val="24"/>
                <w:highlight w:val="none"/>
              </w:rPr>
              <w:t xml:space="preserve">评审点具体描述</w:t>
            </w:r>
            <w:r>
              <w:rPr>
                <w:rFonts w:ascii="宋体" w:hAnsi="宋体"/>
                <w:b/>
                <w:bCs/>
                <w:sz w:val="24"/>
                <w:szCs w:val="24"/>
                <w:highlight w:val="none"/>
              </w:rPr>
            </w:r>
            <w:r/>
          </w:p>
        </w:tc>
      </w:tr>
      <w:tr>
        <w:trPr>
          <w:trHeight w:val="648"/>
        </w:trPr>
        <w:tc>
          <w:tcPr>
            <w:tcW w:w="822" w:type="dxa"/>
            <w:vAlign w:val="center"/>
            <w:textDirection w:val="lrTb"/>
            <w:noWrap w:val="false"/>
          </w:tcPr>
          <w:p>
            <w:pPr>
              <w:pStyle w:val="1277"/>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W w:w="2992" w:type="dxa"/>
            <w:vAlign w:val="center"/>
            <w:textDirection w:val="lrTb"/>
            <w:noWrap w:val="false"/>
          </w:tcPr>
          <w:p>
            <w:pPr>
              <w:pStyle w:val="1277"/>
              <w:jc w:val="center"/>
              <w:rPr>
                <w:rFonts w:hint="eastAsia" w:ascii="宋体" w:hAnsi="宋体"/>
                <w:b/>
                <w:bCs/>
                <w:sz w:val="24"/>
                <w:szCs w:val="24"/>
                <w:highlight w:val="none"/>
              </w:rPr>
            </w:pPr>
            <w:r>
              <w:rPr>
                <w:rFonts w:hint="eastAsia" w:ascii="宋体" w:hAnsi="宋体"/>
                <w:sz w:val="24"/>
                <w:szCs w:val="24"/>
                <w:highlight w:val="none"/>
              </w:rPr>
              <w:t xml:space="preserve">投标函</w:t>
            </w:r>
            <w:r>
              <w:rPr>
                <w:rFonts w:hint="eastAsia" w:ascii="宋体" w:hAnsi="宋体"/>
                <w:b/>
                <w:bCs/>
                <w:sz w:val="24"/>
                <w:szCs w:val="24"/>
                <w:highlight w:val="none"/>
              </w:rPr>
            </w:r>
            <w:r/>
          </w:p>
        </w:tc>
        <w:tc>
          <w:tcPr>
            <w:tcW w:w="5485" w:type="dxa"/>
            <w:vAlign w:val="center"/>
            <w:textDirection w:val="lrTb"/>
            <w:noWrap w:val="false"/>
          </w:tcPr>
          <w:p>
            <w:pPr>
              <w:pStyle w:val="1277"/>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rPr>
                <w:rFonts w:ascii="宋体" w:hAnsi="宋体"/>
                <w:b/>
                <w:bCs/>
                <w:sz w:val="24"/>
                <w:szCs w:val="24"/>
                <w:highlight w:val="none"/>
              </w:rPr>
            </w:r>
            <w:r/>
          </w:p>
        </w:tc>
      </w:tr>
      <w:tr>
        <w:trPr>
          <w:trHeight w:val="648"/>
        </w:trPr>
        <w:tc>
          <w:tcPr>
            <w:tcW w:w="822" w:type="dxa"/>
            <w:vAlign w:val="center"/>
            <w:textDirection w:val="lrTb"/>
            <w:noWrap w:val="false"/>
          </w:tcPr>
          <w:p>
            <w:pPr>
              <w:pStyle w:val="1277"/>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W w:w="2992" w:type="dxa"/>
            <w:vAlign w:val="center"/>
            <w:textDirection w:val="lrTb"/>
            <w:noWrap w:val="false"/>
          </w:tcPr>
          <w:p>
            <w:pPr>
              <w:pStyle w:val="1277"/>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rPr>
                <w:rFonts w:hint="eastAsia" w:ascii="宋体" w:hAnsi="宋体"/>
                <w:sz w:val="24"/>
                <w:szCs w:val="24"/>
                <w:highlight w:val="none"/>
              </w:rPr>
            </w:r>
            <w:r/>
          </w:p>
        </w:tc>
        <w:tc>
          <w:tcPr>
            <w:tcW w:w="5485" w:type="dxa"/>
            <w:vAlign w:val="center"/>
            <w:textDirection w:val="lrTb"/>
            <w:noWrap w:val="false"/>
          </w:tcPr>
          <w:p>
            <w:pPr>
              <w:pStyle w:val="1277"/>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rPr>
                <w:rFonts w:hint="eastAsia"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ascii="宋体" w:hAnsi="宋体" w:cs="宋体"/>
                <w:bCs/>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按招标文件填写，格式见附件</w:t>
            </w:r>
            <w:r>
              <w:rPr>
                <w:rFonts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主要人员配置表</w:t>
            </w:r>
            <w:r>
              <w:rPr>
                <w:rFonts w:hint="eastAsia" w:ascii="宋体" w:hAnsi="宋体" w:cs="宋体"/>
                <w:bCs/>
                <w:sz w:val="24"/>
                <w:szCs w:val="24"/>
                <w:highlight w:val="none"/>
              </w:rPr>
            </w:r>
            <w:r/>
          </w:p>
        </w:tc>
        <w:tc>
          <w:tcPr>
            <w:tcW w:w="5485" w:type="dxa"/>
            <w:vAlign w:val="center"/>
            <w:textDirection w:val="lrTb"/>
            <w:noWrap w:val="false"/>
          </w:tcPr>
          <w:p>
            <w:pPr>
              <w:pStyle w:val="1277"/>
              <w:rPr>
                <w:rFonts w:hint="eastAsia" w:ascii="宋体" w:hAnsi="宋体"/>
                <w:sz w:val="24"/>
                <w:szCs w:val="24"/>
                <w:highlight w:val="none"/>
              </w:rPr>
            </w:pPr>
            <w:r>
              <w:rPr>
                <w:rFonts w:hint="eastAsia" w:ascii="宋体" w:hAnsi="宋体"/>
                <w:sz w:val="24"/>
                <w:szCs w:val="24"/>
                <w:highlight w:val="none"/>
              </w:rPr>
              <w:t xml:space="preserve">按招标文件填写，格式见附件</w:t>
            </w:r>
            <w:r>
              <w:rPr>
                <w:rFonts w:hint="eastAsia" w:ascii="宋体" w:hAnsi="宋体"/>
                <w:sz w:val="24"/>
                <w:szCs w:val="24"/>
                <w:highlight w:val="none"/>
              </w:rPr>
            </w:r>
            <w:r/>
          </w:p>
        </w:tc>
      </w:tr>
      <w:tr>
        <w:trPr>
          <w:trHeight w:val="648"/>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rPr>
                <w:rFonts w:hint="eastAsia" w:ascii="宋体" w:hAnsi="宋体" w:cs="宋体"/>
                <w:bCs/>
                <w:sz w:val="24"/>
                <w:szCs w:val="24"/>
                <w:highlight w:val="none"/>
              </w:rPr>
            </w:r>
            <w:r/>
          </w:p>
        </w:tc>
        <w:tc>
          <w:tcPr>
            <w:tcW w:w="5485" w:type="dxa"/>
            <w:vAlign w:val="center"/>
            <w:textDirection w:val="lrTb"/>
            <w:noWrap w:val="false"/>
          </w:tcPr>
          <w:p>
            <w:pPr>
              <w:pStyle w:val="1277"/>
              <w:rPr>
                <w:rFonts w:hint="eastAsia" w:ascii="宋体" w:hAnsi="宋体"/>
                <w:sz w:val="24"/>
                <w:szCs w:val="24"/>
                <w:highlight w:val="none"/>
              </w:rPr>
            </w:pP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rPr>
                <w:rFonts w:hint="eastAsia" w:ascii="宋体" w:hAnsi="宋体"/>
                <w:sz w:val="24"/>
                <w:szCs w:val="24"/>
                <w:highlight w:val="none"/>
              </w:rPr>
            </w:r>
            <w:r/>
          </w:p>
        </w:tc>
      </w:tr>
      <w:tr>
        <w:trPr>
          <w:trHeight w:val="653"/>
        </w:trPr>
        <w:tc>
          <w:tcPr>
            <w:tcW w:w="822" w:type="dxa"/>
            <w:vAlign w:val="center"/>
            <w:textDirection w:val="lrTb"/>
            <w:noWrap w:val="false"/>
          </w:tcPr>
          <w:p>
            <w:pPr>
              <w:pStyle w:val="1277"/>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8</w:t>
            </w:r>
            <w:r>
              <w:rPr>
                <w:rFonts w:hint="eastAsia" w:ascii="宋体" w:hAnsi="宋体" w:eastAsia="宋体"/>
                <w:sz w:val="24"/>
                <w:szCs w:val="24"/>
                <w:highlight w:val="none"/>
                <w:lang w:eastAsia="zh-CN"/>
              </w:rPr>
            </w:r>
            <w:r/>
          </w:p>
        </w:tc>
        <w:tc>
          <w:tcPr>
            <w:tcW w:w="2992" w:type="dxa"/>
            <w:vAlign w:val="center"/>
            <w:textDirection w:val="lrTb"/>
            <w:noWrap w:val="false"/>
          </w:tcPr>
          <w:p>
            <w:pPr>
              <w:pStyle w:val="1277"/>
              <w:jc w:val="center"/>
              <w:rPr>
                <w:rFonts w:hint="eastAsia" w:ascii="宋体" w:hAnsi="宋体"/>
                <w:sz w:val="24"/>
                <w:szCs w:val="24"/>
                <w:highlight w:val="none"/>
              </w:rPr>
            </w:pPr>
            <w:r>
              <w:rPr>
                <w:rFonts w:hint="eastAsia" w:ascii="宋体" w:hAnsi="宋体"/>
                <w:sz w:val="24"/>
                <w:szCs w:val="24"/>
                <w:highlight w:val="none"/>
              </w:rPr>
              <w:t xml:space="preserve">投标文件内容</w:t>
            </w:r>
            <w:r>
              <w:rPr>
                <w:rFonts w:hint="eastAsia" w:ascii="宋体" w:hAnsi="宋体"/>
                <w:sz w:val="24"/>
                <w:szCs w:val="24"/>
                <w:highlight w:val="none"/>
              </w:rPr>
            </w:r>
            <w:r/>
          </w:p>
        </w:tc>
        <w:tc>
          <w:tcPr>
            <w:tcW w:w="5485" w:type="dxa"/>
            <w:vAlign w:val="center"/>
            <w:textDirection w:val="lrTb"/>
            <w:noWrap w:val="false"/>
          </w:tcPr>
          <w:p>
            <w:pPr>
              <w:pStyle w:val="1277"/>
              <w:rPr>
                <w:rFonts w:ascii="宋体" w:hAnsi="宋体"/>
                <w:sz w:val="24"/>
                <w:szCs w:val="24"/>
                <w:highlight w:val="none"/>
              </w:rPr>
            </w:pPr>
            <w:r>
              <w:rPr>
                <w:rFonts w:hint="eastAsia" w:ascii="宋体" w:hAnsi="宋体"/>
                <w:sz w:val="24"/>
                <w:szCs w:val="24"/>
                <w:highlight w:val="none"/>
              </w:rPr>
              <w:t xml:space="preserve">不存在供应商须知第八条中的情形</w:t>
            </w:r>
            <w:r>
              <w:rPr>
                <w:rFonts w:ascii="宋体" w:hAnsi="宋体"/>
                <w:sz w:val="24"/>
                <w:szCs w:val="24"/>
                <w:highlight w:val="none"/>
              </w:rPr>
            </w:r>
            <w:r/>
          </w:p>
        </w:tc>
      </w:tr>
    </w:tbl>
    <w:p>
      <w:pPr>
        <w:pStyle w:val="1277"/>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r>
      <w:r/>
    </w:p>
    <w:p>
      <w:pPr>
        <w:pStyle w:val="1277"/>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5．评标方法</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6．评标标准：详见附件。</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(十)定标：</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1．评标委员会根据招标文件规定的评标方法和评标标准进行评审，按评审得分由高到低的原则推荐中标候选人，江</w:t>
      </w:r>
      <w:r>
        <w:rPr>
          <w:rFonts w:hint="eastAsia" w:ascii="宋体" w:hAnsi="宋体" w:cs="宋体"/>
          <w:bCs/>
          <w:sz w:val="24"/>
          <w:szCs w:val="24"/>
          <w:highlight w:val="none"/>
        </w:rPr>
        <w:t xml:space="preserve">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无锡市公共资源交易中心锡山分中心政府采购专栏、无锡市公共资源交易中心政府采购专栏、无锡政府采购网和江苏政府采购网上发布中标公告。江苏通汇工程管理咨询有限公司和评标委员会对未中标原因不作解释。</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2．在发布中标公告的同时，江苏通汇工程管理咨询有限</w:t>
      </w:r>
      <w:r>
        <w:rPr>
          <w:rFonts w:hint="eastAsia" w:ascii="宋体" w:hAnsi="宋体" w:cs="宋体"/>
          <w:bCs/>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rPr>
        <w:t xml:space="preserve">若有充分证据证明，中标人出现下列情况之一的，一经查实，将被取消中标资格：</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提供虚假材料谋取中标的；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采取不正当手段诋毁、排挤其他投标人的；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与招标采购单位、其他投标人恶意串通的；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④</w:t>
      </w:r>
      <w:r>
        <w:rPr>
          <w:rFonts w:hint="eastAsia" w:ascii="宋体" w:hAnsi="宋体" w:cs="宋体"/>
          <w:bCs/>
          <w:sz w:val="24"/>
          <w:szCs w:val="24"/>
          <w:highlight w:val="none"/>
        </w:rPr>
        <w:t xml:space="preserve">向招标采购单位行贿或者提供其他不正当利益的；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拒绝有关部门监督检查或者提供虚假情况的。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项情形之一的，中标无效。有上述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cs="宋体"/>
          <w:bCs/>
          <w:sz w:val="24"/>
          <w:szCs w:val="24"/>
          <w:highlight w:val="none"/>
        </w:rPr>
        <w:t xml:space="preserve">2．</w:t>
      </w:r>
      <w:r>
        <w:rPr>
          <w:rFonts w:hint="eastAsia" w:ascii="宋体" w:hAnsi="宋体" w:eastAsia="宋体" w:cs="宋体"/>
          <w:bCs/>
          <w:sz w:val="24"/>
          <w:szCs w:val="24"/>
          <w:highlight w:val="none"/>
        </w:rPr>
        <w:t xml:space="preserve">有下列情形之一的，视为投标人串通投标，投标无效：</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不同投标人的投标文件由同一单位或者个人编制。</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不同投标人委托同一单位或者个人办理投标事宜。</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不同投标人的投标文件载明的项目管理成员或者联系人员为同一人。</w:t>
      </w:r>
      <w:r>
        <w:rPr>
          <w:rFonts w:hint="eastAsia" w:ascii="宋体" w:hAnsi="宋体" w:eastAsia="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不同投标人的投标文件异常一致或者投标报价呈规律性差异。</w:t>
      </w:r>
      <w:r>
        <w:rPr>
          <w:rFonts w:hint="eastAsia" w:ascii="宋体" w:hAnsi="宋体" w:eastAsia="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rPr>
        <w:t xml:space="preserve">(十三)签订、履行合同：</w:t>
      </w:r>
      <w:bookmarkEnd w:id="22"/>
      <w:r/>
      <w:bookmarkEnd w:id="23"/>
      <w:r>
        <w:rPr>
          <w:rFonts w:hint="eastAsia" w:ascii="宋体" w:hAnsi="宋体" w:cs="宋体"/>
          <w:b/>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3．中标供应商非因不可抗力未履行招、投标文件和合同规定的义务，一经查实，江苏通汇工程管理咨询有限公司将根据具体情况提请政府采购管理部门作出相应处理。</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bookmarkStart w:id="24" w:name="_Toc598"/>
      <w:r/>
      <w:bookmarkStart w:id="25" w:name="_Toc28715"/>
      <w:r>
        <w:rPr>
          <w:rFonts w:hint="eastAsia" w:ascii="宋体" w:hAnsi="宋体" w:cs="宋体"/>
          <w:b/>
          <w:sz w:val="24"/>
          <w:szCs w:val="24"/>
          <w:highlight w:val="none"/>
        </w:rPr>
        <w:t xml:space="preserve">(十四)注意事项：</w:t>
      </w:r>
      <w:bookmarkEnd w:id="24"/>
      <w:r/>
      <w:bookmarkEnd w:id="25"/>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(十五)质疑处理：</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质疑供应商可通过面交或邮寄方式送达（采购人和采购代理不接受未填写快递运单的快件）。</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rPr>
          <w:rFonts w:hint="eastAsia" w:ascii="宋体" w:hAnsi="宋体" w:cs="宋体"/>
          <w:bCs/>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cs="宋体"/>
          <w:bCs/>
          <w:sz w:val="24"/>
          <w:szCs w:val="24"/>
          <w:highlight w:val="none"/>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本项目代理费由</w:t>
      </w:r>
      <w:r>
        <w:rPr>
          <w:rFonts w:hint="eastAsia" w:ascii="宋体" w:hAnsi="宋体" w:cs="宋体"/>
          <w:sz w:val="24"/>
          <w:szCs w:val="24"/>
          <w:highlight w:val="none"/>
          <w:lang w:val="en-US" w:eastAsia="zh-CN"/>
        </w:rPr>
        <w:t xml:space="preserve">中标人</w:t>
      </w:r>
      <w:r>
        <w:rPr>
          <w:rFonts w:hint="eastAsia" w:ascii="宋体" w:hAnsi="宋体" w:cs="宋体"/>
          <w:sz w:val="24"/>
          <w:szCs w:val="24"/>
          <w:highlight w:val="none"/>
        </w:rPr>
        <w:t xml:space="preserve">支付。</w:t>
      </w:r>
      <w:r>
        <w:rPr>
          <w:rFonts w:hint="eastAsia" w:ascii="宋体" w:hAnsi="宋体" w:eastAsia="宋体" w:cs="宋体"/>
          <w:b w:val="0"/>
          <w:bCs w:val="0"/>
          <w:color w:val="000000"/>
          <w:sz w:val="24"/>
          <w:szCs w:val="24"/>
          <w:highlight w:val="none"/>
        </w:rPr>
        <w:t xml:space="preserve">采购代理服务费</w:t>
      </w:r>
      <w:r>
        <w:rPr>
          <w:rFonts w:hint="eastAsia" w:ascii="宋体" w:hAnsi="宋体" w:eastAsia="宋体" w:cs="宋体"/>
          <w:b w:val="0"/>
          <w:bCs w:val="0"/>
          <w:color w:val="000000"/>
          <w:sz w:val="24"/>
          <w:szCs w:val="24"/>
          <w:highlight w:val="none"/>
          <w:lang w:val="en-US" w:eastAsia="zh-CN"/>
        </w:rPr>
        <w:t xml:space="preserve">为9500元。</w:t>
      </w:r>
      <w:r>
        <w:rPr>
          <w:rFonts w:ascii="宋体" w:hAnsi="宋体" w:eastAsia="宋体" w:cs="宋体"/>
          <w:sz w:val="24"/>
          <w:szCs w:val="24"/>
          <w:highlight w:val="none"/>
          <w:lang w:val="en-US" w:eastAsia="zh-CN"/>
        </w:rPr>
      </w:r>
      <w:r/>
    </w:p>
    <w:p>
      <w:pPr>
        <w:pStyle w:val="1277"/>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rPr>
          <w:rFonts w:hint="eastAsia" w:ascii="宋体" w:hAnsi="宋体" w:cs="宋体"/>
          <w:b/>
          <w:sz w:val="24"/>
          <w:szCs w:val="24"/>
          <w:highlight w:val="none"/>
        </w:rPr>
      </w:r>
      <w:r/>
    </w:p>
    <w:p>
      <w:pPr>
        <w:pStyle w:val="1277"/>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360" w:lineRule="auto"/>
        <w:tabs>
          <w:tab w:val="left" w:pos="525" w:leader="none"/>
          <w:tab w:val="left" w:pos="1050" w:leader="none"/>
        </w:tabs>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eastAsia="宋体" w:cs="宋体"/>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Pr>
          <w:rFonts w:hint="eastAsia" w:hAnsi="宋体" w:cs="宋体"/>
          <w:b/>
          <w:bCs/>
          <w:sz w:val="32"/>
          <w:szCs w:val="32"/>
          <w:highlight w:val="none"/>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bookmarkStart w:id="28" w:name="_Toc26"/>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项目背景</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近年来，国家高度重视耕地保护，出台了一系列“全面严起来”的“长牙齿”硬措施，为有效协助各级切实落实耕地保护责任，全区创新开展的年度耕地保护动态监测工作，为全区耕地有效保护利用，耕地总体实现净增长，违法用地早发现、早处置起到了重要作用。为进一步提高全区耕地保护工作水平，拟结合国家和省最新调查监测工作安排，深化“星地一体”监测模式，利用信息化手段，开展全区耕地保护动态监测（2025-2026）工作，切实提升耕地保护水平，如期完成年度耕地保护目标责任考核，保障全区经济社会高质量发展。</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二、工作内容</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获取四期年度高分辨率数字正射影像，以上一年度国土变更调查数据库为基础，结合</w:t>
      </w:r>
      <w:r>
        <w:rPr>
          <w:rFonts w:hint="eastAsia" w:ascii="宋体" w:hAnsi="宋体" w:eastAsia="宋体" w:cs="宋体"/>
          <w:sz w:val="24"/>
          <w:szCs w:val="24"/>
          <w:highlight w:val="none"/>
          <w:lang w:val="en-US" w:eastAsia="zh-CN"/>
        </w:rPr>
        <w:t xml:space="preserve">永久基本农田保护范围等各类专题数据，对全区农用地和未利用地开展全覆盖监测，构建从“遥感监测→实地调查→分析下发→协同整改→考核变更”全链条的耕地保护动态监测机制，通过对全区“非农化”“非粮化”“未整改”“耕地恢复”“重大项目”等重点图斑，自然保护地、高标准农田、部分重点村等重点片区，进行两个重点时点和全时段的监测，依托“智慧中心”实时分析监测反馈整改情况，确保年度全区耕地数量再增加、违法用地再减少、农田结构再优化、基层负担再减轻，为切实提升资源保护特别是耕地保护能力水平提供新途径。一是分级监测全区重点图斑，</w:t>
      </w:r>
      <w:r>
        <w:rPr>
          <w:rFonts w:hint="eastAsia" w:ascii="宋体" w:hAnsi="宋体" w:eastAsia="宋体" w:cs="宋体"/>
          <w:sz w:val="24"/>
          <w:szCs w:val="24"/>
          <w:highlight w:val="none"/>
          <w:lang w:val="en-US" w:eastAsia="zh-CN"/>
        </w:rPr>
        <w:t xml:space="preserve">包括但不限于（1）年度耕地“非农化”图斑；（2）年度永久基本农田“非粮化”图斑；（3）管护期内（5年）补充耕地图斑；（4）耕地恢复计划图斑；（5）年度占用省级公益林、林保规划图斑。（6）前3年全区重大项目实际用地范围图斑。（7）年度一般耕地“非粮化”（包括未耕）图斑；（8）非耕农用地内部变化图斑监测，如湿地（坑塘）、设施农用地、临时用地图斑；（9）“推土区”、推堆土等其他专项类型图斑。二是分类监测全区重点区域。对生态红线、高标准农田、盘活利用规划区域等重要范围，以及历年新增用地多发、耕地流出较多的板块或区域</w:t>
      </w:r>
      <w:r>
        <w:rPr>
          <w:rFonts w:hint="eastAsia" w:ascii="宋体" w:hAnsi="宋体" w:eastAsia="宋体" w:cs="宋体"/>
          <w:sz w:val="24"/>
          <w:szCs w:val="24"/>
          <w:highlight w:val="none"/>
          <w:lang w:val="en-US" w:eastAsia="zh-CN"/>
        </w:rPr>
        <w:t xml:space="preserve">进行重点监测。三是分时段开展重点时段监测。每年上半年、下半年选择影像纹理较为清晰、利于判读以及在年度变更开始前，两个时间段。四是补充调查全区农用地实际种植情况。结合农业普查数据，对全区农用地种植情况进行补充调查，摸排耕、园、林、草、塘等农用地图斑实际种植属性及变化情况。五是依托“智慧中心”实现监测整改闭环管理。为了便于监测预警成果推送、下发、核实、反馈，参照“江苏省三级在线核查平台”和“国土调查云”中图斑的下发以及填报模式，依托分局“智慧中心”对监测图斑进行全覆盖管理，通过权限配置对整改全流程进行闭环管理。</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三、工作任务</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（一）监测信息提取</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坚持全域全覆盖提取基础上，综合审批数据，对重点类型、重点区域进行重点提取，确保图斑提取精细、精准、精简。</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1.图斑提取方法</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别以优于0.5米分辨率的数字正射影像为基础，综合年度变更调查数据库、历年影像、城镇村范围、永久基本农田、林保规划、年度耕地恢复计划、报批供地等管理信息、季度卫片图斑及上一阶段调查成果等资料，对年度变更调查数据库中农用地变化信息，分黄色、蓝色两级进行提取，并对变化年份进行标注。</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同时，对全区农用地的种植情况进行补充调查，摸排耕、园、林、草、塘等农用地图斑实际种植属性及变化情况。</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不够上图面积及细碎图斑，以及由于“一上”数据库图斑与不同遥感影像特征套合偏移导致的边角、狭长等细碎图斑不作提取。</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2.提取内容与指标</w:t>
      </w:r>
      <w:r>
        <w:rPr>
          <w:rFonts w:hint="eastAsia" w:ascii="宋体" w:hAnsi="宋体" w:eastAsia="宋体" w:cs="宋体"/>
          <w:sz w:val="24"/>
          <w:szCs w:val="24"/>
          <w:highlight w:val="none"/>
          <w:lang w:val="en-US" w:eastAsia="zh-CN"/>
        </w:rPr>
      </w:r>
      <w:r/>
    </w:p>
    <w:p>
      <w:pPr>
        <w:pStyle w:val="1277"/>
        <w:ind w:left="0" w:righ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表1 图斑监测类型及指标表</w:t>
      </w:r>
      <w:r>
        <w:rPr>
          <w:rFonts w:hint="eastAsia" w:ascii="宋体" w:hAnsi="宋体" w:eastAsia="宋体" w:cs="宋体"/>
          <w:sz w:val="24"/>
          <w:szCs w:val="24"/>
          <w:highlight w:val="none"/>
          <w:lang w:val="en-US" w:eastAsia="zh-CN"/>
        </w:rPr>
      </w:r>
      <w:r/>
    </w:p>
    <w:tbl>
      <w:tblPr>
        <w:tblW w:w="8804" w:type="dxa"/>
        <w:jc w:val="center"/>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701"/>
        <w:gridCol w:w="1032"/>
        <w:gridCol w:w="3600"/>
        <w:gridCol w:w="1229"/>
      </w:tblGrid>
      <w:tr>
        <w:trPr>
          <w:trHeight w:val="855"/>
        </w:trPr>
        <w:tc>
          <w:tcPr>
            <w:tcW w:w="1242"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监测类型</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图斑类型名称</w:t>
            </w:r>
            <w:r>
              <w:rPr>
                <w:rFonts w:hint="eastAsia" w:ascii="宋体" w:hAnsi="宋体" w:eastAsia="宋体" w:cs="宋体"/>
                <w:b w:val="0"/>
                <w:bCs w:val="0"/>
                <w:color w:val="000000"/>
                <w:sz w:val="24"/>
                <w:szCs w:val="24"/>
                <w:highlight w:val="none"/>
              </w:rPr>
            </w:r>
            <w:r/>
          </w:p>
        </w:tc>
        <w:tc>
          <w:tcPr>
            <w:tcW w:w="1032"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图斑类型代码</w:t>
            </w:r>
            <w:r>
              <w:rPr>
                <w:rFonts w:hint="eastAsia" w:ascii="宋体" w:hAnsi="宋体" w:eastAsia="宋体" w:cs="宋体"/>
                <w:b w:val="0"/>
                <w:bCs w:val="0"/>
                <w:color w:val="000000"/>
                <w:sz w:val="24"/>
                <w:szCs w:val="24"/>
                <w:highlight w:val="none"/>
              </w:rPr>
            </w:r>
            <w:r/>
          </w:p>
        </w:tc>
        <w:tc>
          <w:tcPr>
            <w:tcW w:w="3600"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描述</w:t>
            </w:r>
            <w:r>
              <w:rPr>
                <w:rFonts w:hint="eastAsia" w:ascii="宋体" w:hAnsi="宋体" w:eastAsia="宋体" w:cs="宋体"/>
                <w:b w:val="0"/>
                <w:bCs w:val="0"/>
                <w:color w:val="000000"/>
                <w:sz w:val="24"/>
                <w:szCs w:val="24"/>
                <w:highlight w:val="none"/>
              </w:rPr>
            </w:r>
            <w:r/>
          </w:p>
        </w:tc>
        <w:tc>
          <w:tcPr>
            <w:tcW w:w="1229"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上图面积（㎡）</w:t>
            </w:r>
            <w:r>
              <w:rPr>
                <w:rFonts w:hint="eastAsia" w:ascii="宋体" w:hAnsi="宋体" w:eastAsia="宋体" w:cs="宋体"/>
                <w:b w:val="0"/>
                <w:bCs w:val="0"/>
                <w:color w:val="000000"/>
                <w:sz w:val="24"/>
                <w:szCs w:val="24"/>
                <w:highlight w:val="none"/>
              </w:rPr>
            </w:r>
            <w:r/>
          </w:p>
        </w:tc>
      </w:tr>
      <w:tr>
        <w:trPr>
          <w:trHeight w:val="660"/>
        </w:trPr>
        <w:tc>
          <w:tcPr>
            <w:tcW w:w="1242" w:type="dxa"/>
            <w:vAlign w:val="center"/>
            <w:vMerge w:val="restart"/>
            <w:textDirection w:val="lrTb"/>
            <w:noWrap w:val="false"/>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疑似新增建设图斑</w:t>
            </w: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明确建设用途的建/构筑物</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tcW w:w="3600"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影像特征为除水工建筑之外的较明显建设用途的建筑/构筑物</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658"/>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不明用途建/构筑物</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JZ</w:t>
            </w:r>
            <w:r>
              <w:rPr>
                <w:rFonts w:hint="eastAsia" w:ascii="宋体" w:hAnsi="宋体" w:eastAsia="宋体" w:cs="宋体"/>
                <w:b w:val="0"/>
                <w:bCs w:val="0"/>
                <w:color w:val="000000"/>
                <w:sz w:val="24"/>
                <w:szCs w:val="24"/>
                <w:highlight w:val="none"/>
              </w:rPr>
            </w:r>
            <w:r/>
          </w:p>
        </w:tc>
        <w:tc>
          <w:tcPr>
            <w:tcW w:w="3600"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影像特征无法明确判定为建设用途的建筑/构筑物</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硬化</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YH</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影像特征为硬化场地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推（堆）土</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TD</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影像特征为推（堆）土</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建成道路</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DL1</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影像特征为已建成道路</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在建道路</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DL2</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影像特征为正在建设道路</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路网</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DL3</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影像特征为路网，含在建路网</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大型沟渠</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GQ</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影像特征为大型沟渠</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658"/>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水工建筑</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SJ</w:t>
            </w:r>
            <w:r>
              <w:rPr>
                <w:rFonts w:hint="eastAsia" w:ascii="宋体" w:hAnsi="宋体" w:eastAsia="宋体" w:cs="宋体"/>
                <w:b w:val="0"/>
                <w:bCs w:val="0"/>
                <w:color w:val="000000"/>
                <w:sz w:val="24"/>
                <w:szCs w:val="24"/>
                <w:highlight w:val="none"/>
              </w:rPr>
            </w:r>
            <w:r/>
          </w:p>
        </w:tc>
        <w:tc>
          <w:tcPr>
            <w:tcW w:w="3600" w:type="dxa"/>
            <w:vAlign w:val="center"/>
            <w:textDirection w:val="lrTb"/>
            <w:noWrap w:val="false"/>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影像特征为大型水工建筑、港口码头、堤坝等水域岸线建设</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公园绿地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LD</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影像特征为公园绿地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2"/>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光伏</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GF</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影像特征为光伏用地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restart"/>
            <w:textDirection w:val="lrTb"/>
            <w:noWrap w:val="false"/>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耕地流出变化图斑</w:t>
            </w: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园地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02</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影像特征为园地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林地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03</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影像特征为林地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04</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影像特征为草地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水面</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SM</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影像特征为水面</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QT</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影像特征不能判断为以上类型的</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restart"/>
            <w:textDirection w:val="lrTb"/>
            <w:noWrap w:val="false"/>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非耕农用地变化图斑</w:t>
            </w: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耕地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影像特征为耕地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园地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02</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影像特征为园地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林地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03</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影像特征为林地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草地</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04</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影像特征为草地</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水面</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SM</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影像特征为水面</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r>
        <w:trPr>
          <w:trHeight w:val="403"/>
        </w:trPr>
        <w:tc>
          <w:tcPr>
            <w:tcW w:w="1242" w:type="dxa"/>
            <w:vAlign w:val="center"/>
            <w:vMerge w:val="continue"/>
            <w:textDirection w:val="lrTb"/>
            <w:noWrap w:val="false"/>
          </w:tcPr>
          <w:p>
            <w:pPr>
              <w:pStyle w:val="1277"/>
              <w:ind w:firstLine="0"/>
              <w:jc w:val="left"/>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tc>
        <w:tc>
          <w:tcPr>
            <w:tcW w:w="1701"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tc>
        <w:tc>
          <w:tcPr>
            <w:tcW w:w="1032"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QT</w:t>
            </w:r>
            <w:r>
              <w:rPr>
                <w:rFonts w:hint="eastAsia" w:ascii="宋体" w:hAnsi="宋体" w:eastAsia="宋体" w:cs="宋体"/>
                <w:b w:val="0"/>
                <w:bCs w:val="0"/>
                <w:color w:val="000000"/>
                <w:sz w:val="24"/>
                <w:szCs w:val="24"/>
                <w:highlight w:val="none"/>
              </w:rPr>
            </w:r>
            <w:r/>
          </w:p>
        </w:tc>
        <w:tc>
          <w:tcPr>
            <w:tcW w:w="3600"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影像特征不能判断为以上类型的</w:t>
            </w:r>
            <w:r>
              <w:rPr>
                <w:rFonts w:hint="eastAsia" w:ascii="宋体" w:hAnsi="宋体" w:eastAsia="宋体" w:cs="宋体"/>
                <w:b w:val="0"/>
                <w:bCs w:val="0"/>
                <w:color w:val="000000"/>
                <w:sz w:val="24"/>
                <w:szCs w:val="24"/>
                <w:highlight w:val="none"/>
              </w:rPr>
            </w:r>
            <w:r/>
          </w:p>
        </w:tc>
        <w:tc>
          <w:tcPr>
            <w:tcW w:w="1229" w:type="dxa"/>
            <w:vAlign w:val="center"/>
            <w:textDirection w:val="lrTb"/>
            <w:noWrap/>
          </w:tcPr>
          <w:p>
            <w:pPr>
              <w:pStyle w:val="1277"/>
              <w:ind w:firstLine="0"/>
              <w:jc w:val="center"/>
              <w:spacing w:line="24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400</w:t>
            </w:r>
            <w:r>
              <w:rPr>
                <w:rFonts w:hint="eastAsia" w:ascii="宋体" w:hAnsi="宋体" w:eastAsia="宋体" w:cs="宋体"/>
                <w:b w:val="0"/>
                <w:bCs w:val="0"/>
                <w:color w:val="000000"/>
                <w:sz w:val="22"/>
                <w:szCs w:val="22"/>
                <w:highlight w:val="none"/>
              </w:rPr>
            </w:r>
            <w:r/>
          </w:p>
        </w:tc>
      </w:tr>
    </w:tbl>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（二）实地调查</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制作工作底图。利用正射影像图、监测图斑和自然资源管理数据，制作全区耕地监测工作底图。</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 内业图斑处理。基于耕地监测变化范围，开展内业数据处理工作，提取耕地监测调查关联图斑，根据管理数据对变化图斑分类，区分出完全位于城镇村等用地内部的图斑、已有供地报批等批文信息的图斑。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 开展外业调查及举证。外业人员利用“互联网+”举证软件，对所有图斑拍摄包含图斑实地坐标、拍摄方位角、拍摄时间的举证照片或视频。在“国土调查云”平台临时图层存储或本地保存。</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4.内业数据处理。内业人员根据外业调查成果完成图斑范围处理、地类认定、图斑属性信息标注等内容。</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（三）分析下发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年度监测图斑经外业调查和内业处理后，形成耕地保护动态监测成果。基于全区耕地保护状况，结合各类自然资源规划管理数据开展成果分析，对耕地流出、流入等图斑分板块进行汇总分析，制作相应预警级别的统计表格和数据图层，专题向局领导汇报。按照市局变更调查工作机制，将分析成果分类型、分级别、分板块抄告分局科所以及各板块。同时以标准格式将黄色、蓝色预警图斑（分为耕地流入、流出、未耕等类型）矢量信息和实地照片录入“智慧中心”，制作耕地保护动态监测成果分析表格，逐图斑推送至科所。</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（四）协同整改</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图斑下发、推送后，技术单位配合各管理所开展实地踏勘，将及时核实、整改情况在“智慧中心”中完成填报，制作成果核实相关表格，完成一个，提交一个。</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（五）考核变更</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系统填报情况，按照耕地保护“三提两严”、增违挂钩“五项机制”等工作要求，对各板块新增耕地完成情况、耕地流出整改情况等进行综合考核，同时做好与国土日常变更调查的统筹衔接，对于符合要求的图斑，统筹考虑分批纳入日常变更，提前锁定地类；对于暂未符合要求的，及时反馈整改要求，确保早日整改到位。</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四、主要技术标准</w:t>
      </w:r>
      <w:r>
        <w:rPr>
          <w:rFonts w:hint="eastAsia" w:ascii="宋体" w:hAnsi="宋体" w:cs="宋体"/>
          <w:b/>
          <w:bCs/>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（1）数学基础</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1、坐标系统</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采用“2000国家大地坐标系”。</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2、高程基准</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采用“1985国家高程基准”。</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3、投影方式</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采用高斯-克吕格投影，分带方式与基础底图一致。</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4、分幅及编号</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土地利用现状调查各比例尺标准分幅及编号应执行GB/T13989-2012标准。标准分幅采用国际1:1000000地图分幅标准，各比例尺标准分幅图均按规定的经差和纬差划分，采用经、纬度分幅。标准分幅图编号均以1:1000000地形图编号为基础采用行列编号方法。1:2000、1:5000、1:10000比例尺标准分幅图或数据按3°分带。</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（2）计量单位</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长度单位采用米（m），小数点后保留2位小数，小数点后第3位起四舍五入。</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面积计算单位采用平方米（m²）；统计汇总单位采用公顷（hm²）或亩。区级及以上控制面积计算结果保留一位小数，小数点后第2位起四舍五入；其他面积计算结果保留2位小数，小数点后第3位起四舍五入。</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（3）最小上图面积</w:t>
      </w:r>
      <w:r>
        <w:rPr>
          <w:rFonts w:hint="eastAsia" w:ascii="宋体" w:hAnsi="宋体" w:eastAsia="宋体" w:cs="宋体"/>
          <w:b w:val="0"/>
          <w:bCs w:val="0"/>
          <w:sz w:val="24"/>
          <w:szCs w:val="24"/>
        </w:rPr>
      </w:r>
      <w:r/>
    </w:p>
    <w:p>
      <w:pPr>
        <w:pStyle w:val="1277"/>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最小上图面积与自然资源部要求一致。调查图斑的最小上图面积按地类划分：建设用地相关地类和设施农用地实地面积200平方米；农用地（不含设施农用地）相关地类实地面积400平方米；其他地类实地面积600平方米。</w:t>
      </w:r>
      <w:r>
        <w:rPr>
          <w:rFonts w:hint="eastAsia" w:ascii="宋体" w:hAnsi="宋体" w:eastAsia="宋体" w:cs="宋体"/>
          <w:b w:val="0"/>
          <w:bCs w:val="0"/>
          <w:sz w:val="24"/>
          <w:szCs w:val="24"/>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val="en-US" w:eastAsia="zh-CN"/>
        </w:rPr>
        <w:t xml:space="preserve">人员最低配置要求</w:t>
      </w:r>
      <w:r>
        <w:rPr>
          <w:rFonts w:hint="eastAsia" w:ascii="宋体" w:hAnsi="宋体" w:eastAsia="宋体" w:cs="宋体"/>
          <w:b/>
          <w:bCs/>
          <w:sz w:val="24"/>
          <w:szCs w:val="24"/>
          <w:highlight w:val="none"/>
          <w:lang w:val="en-US" w:eastAsia="zh-CN"/>
        </w:rPr>
      </w:r>
      <w:r/>
    </w:p>
    <w:tbl>
      <w:tblPr>
        <w:tblStyle w:val="13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blHeader/>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序号</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项目</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计量单位</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数量</w:t>
            </w:r>
            <w:r>
              <w:rPr>
                <w:rFonts w:hint="eastAsia" w:ascii="宋体" w:hAnsi="宋体" w:eastAsia="宋体" w:cs="宋体"/>
                <w:b/>
                <w:bCs/>
                <w:sz w:val="24"/>
                <w:highlight w:val="none"/>
              </w:rPr>
            </w:r>
            <w:r/>
          </w:p>
        </w:tc>
      </w:tr>
      <w:tr>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项目负责人</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人</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r>
            <w:r/>
          </w:p>
        </w:tc>
      </w:tr>
      <w:tr>
        <w:trPr>
          <w:trHeight w:val="473"/>
        </w:trPr>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lang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b/>
                <w:bCs/>
                <w:sz w:val="24"/>
                <w:highlight w:val="none"/>
                <w:lang w:eastAsia="zh-CN"/>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技术负责人</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人</w:t>
            </w:r>
            <w:r>
              <w:rPr>
                <w:rFonts w:hint="eastAsia" w:ascii="宋体" w:hAnsi="宋体" w:eastAsia="宋体" w:cs="宋体"/>
                <w:b/>
                <w:bCs/>
                <w:sz w:val="24"/>
                <w:highlight w:val="none"/>
              </w:rPr>
            </w:r>
            <w:r/>
          </w:p>
        </w:tc>
        <w:tc>
          <w:tcPr>
            <w:tcW w:w="2074" w:type="dxa"/>
            <w:vAlign w:val="center"/>
            <w:textDirection w:val="lrTb"/>
            <w:noWrap w:val="false"/>
          </w:tcPr>
          <w:p>
            <w:pPr>
              <w:pStyle w:val="1277"/>
              <w:jc w:val="center"/>
              <w:spacing w:after="0" w:line="360" w:lineRule="auto"/>
              <w:rPr>
                <w:rFonts w:ascii="宋体" w:hAnsi="宋体" w:eastAsia="宋体" w:cs="宋体"/>
                <w:b/>
                <w:bCs/>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b/>
                <w:bCs/>
                <w:sz w:val="24"/>
                <w:highlight w:val="none"/>
                <w:lang w:val="en-US" w:eastAsia="zh-CN"/>
              </w:rPr>
            </w:r>
            <w:r/>
          </w:p>
        </w:tc>
      </w:tr>
      <w:tr>
        <w:trPr>
          <w:trHeight w:val="473"/>
        </w:trPr>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2074" w:type="dxa"/>
            <w:vAlign w:val="center"/>
            <w:textDirection w:val="lrTb"/>
            <w:noWrap w:val="false"/>
          </w:tcPr>
          <w:p>
            <w:pPr>
              <w:pStyle w:val="1277"/>
              <w:jc w:val="center"/>
              <w:spacing w:after="0" w:line="360" w:lineRule="auto"/>
              <w:rPr>
                <w:rFonts w:hint="eastAsia" w:ascii="宋体" w:hAnsi="宋体" w:eastAsia="宋体" w:cs="宋体"/>
                <w:sz w:val="24"/>
                <w:highlight w:val="none"/>
                <w:lang w:val="en-US" w:eastAsia="zh-CN"/>
              </w:rPr>
            </w:pPr>
            <w:r>
              <w:rPr>
                <w:rFonts w:hint="eastAsia" w:ascii="宋体" w:hAnsi="宋体" w:eastAsia="宋体" w:cs="宋体"/>
                <w:bCs/>
                <w:sz w:val="24"/>
                <w:szCs w:val="24"/>
                <w:highlight w:val="none"/>
                <w:lang w:val="en-US" w:eastAsia="zh-CN"/>
              </w:rPr>
              <w:t xml:space="preserve">质量负责人</w:t>
            </w:r>
            <w:r>
              <w:rPr>
                <w:rFonts w:hint="eastAsia" w:ascii="宋体" w:hAnsi="宋体" w:eastAsia="宋体" w:cs="宋体"/>
                <w:sz w:val="24"/>
                <w:highlight w:val="none"/>
                <w:lang w:val="en-US" w:eastAsia="zh-CN"/>
              </w:rPr>
            </w:r>
            <w:r/>
          </w:p>
        </w:tc>
        <w:tc>
          <w:tcPr>
            <w:tcW w:w="2074" w:type="dxa"/>
            <w:vAlign w:val="center"/>
            <w:textDirection w:val="lrTb"/>
            <w:noWrap w:val="false"/>
          </w:tcPr>
          <w:p>
            <w:pPr>
              <w:pStyle w:val="1277"/>
              <w:jc w:val="cente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w:t>
            </w:r>
            <w:r>
              <w:rPr>
                <w:rFonts w:hint="eastAsia" w:ascii="宋体" w:hAnsi="宋体" w:eastAsia="宋体" w:cs="宋体"/>
                <w:sz w:val="24"/>
                <w:highlight w:val="none"/>
              </w:rPr>
            </w:r>
            <w:r/>
          </w:p>
        </w:tc>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ascii="宋体" w:hAnsi="宋体" w:eastAsia="宋体" w:cs="宋体"/>
                <w:sz w:val="24"/>
                <w:highlight w:val="none"/>
                <w:lang w:val="en-US" w:eastAsia="zh-CN"/>
              </w:rPr>
            </w:r>
            <w:r/>
          </w:p>
        </w:tc>
      </w:tr>
      <w:tr>
        <w:trPr/>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2074" w:type="dxa"/>
            <w:vAlign w:val="center"/>
            <w:textDirection w:val="lrTb"/>
            <w:noWrap w:val="false"/>
          </w:tcPr>
          <w:p>
            <w:pPr>
              <w:pStyle w:val="1277"/>
              <w:jc w:val="center"/>
              <w:spacing w:after="0" w:line="360" w:lineRule="auto"/>
              <w:rPr>
                <w:rFonts w:hint="eastAsia" w:ascii="宋体" w:hAnsi="宋体" w:eastAsia="宋体" w:cs="宋体"/>
                <w:sz w:val="24"/>
                <w:highlight w:val="none"/>
              </w:rPr>
            </w:pPr>
            <w:r>
              <w:rPr>
                <w:rFonts w:hint="eastAsia" w:ascii="宋体" w:hAnsi="宋体" w:eastAsia="宋体" w:cs="宋体"/>
                <w:bCs/>
                <w:sz w:val="24"/>
                <w:szCs w:val="24"/>
                <w:highlight w:val="none"/>
                <w:lang w:val="en-US" w:eastAsia="zh-CN"/>
              </w:rPr>
              <w:t xml:space="preserve">其他</w:t>
            </w:r>
            <w:r>
              <w:rPr>
                <w:rFonts w:hint="eastAsia" w:ascii="宋体" w:hAnsi="宋体" w:eastAsia="宋体" w:cs="宋体"/>
                <w:bCs/>
                <w:sz w:val="24"/>
                <w:szCs w:val="24"/>
                <w:highlight w:val="none"/>
              </w:rPr>
              <w:t xml:space="preserve">项目组成员</w:t>
            </w:r>
            <w:r>
              <w:rPr>
                <w:rFonts w:hint="eastAsia" w:ascii="宋体" w:hAnsi="宋体" w:eastAsia="宋体" w:cs="宋体"/>
                <w:sz w:val="24"/>
                <w:highlight w:val="none"/>
              </w:rPr>
            </w:r>
            <w:r/>
          </w:p>
        </w:tc>
        <w:tc>
          <w:tcPr>
            <w:tcW w:w="2074" w:type="dxa"/>
            <w:vAlign w:val="center"/>
            <w:textDirection w:val="lrTb"/>
            <w:noWrap w:val="false"/>
          </w:tcPr>
          <w:p>
            <w:pPr>
              <w:pStyle w:val="1277"/>
              <w:jc w:val="cente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w:t>
            </w:r>
            <w:r>
              <w:rPr>
                <w:rFonts w:hint="eastAsia" w:ascii="宋体" w:hAnsi="宋体" w:eastAsia="宋体" w:cs="宋体"/>
                <w:sz w:val="24"/>
                <w:highlight w:val="none"/>
              </w:rPr>
            </w:r>
            <w:r/>
          </w:p>
        </w:tc>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r>
      <w:tr>
        <w:trPr/>
        <w:tc>
          <w:tcPr>
            <w:gridSpan w:val="3"/>
            <w:tcW w:w="6222" w:type="dxa"/>
            <w:vAlign w:val="center"/>
            <w:textDirection w:val="lrTb"/>
            <w:noWrap w:val="false"/>
          </w:tcPr>
          <w:p>
            <w:pPr>
              <w:pStyle w:val="1277"/>
              <w:jc w:val="center"/>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合计</w:t>
            </w:r>
            <w:r>
              <w:rPr>
                <w:rFonts w:hint="eastAsia" w:ascii="宋体" w:hAnsi="宋体" w:eastAsia="宋体" w:cs="宋体"/>
                <w:sz w:val="24"/>
                <w:highlight w:val="none"/>
              </w:rPr>
            </w:r>
            <w:r/>
          </w:p>
        </w:tc>
        <w:tc>
          <w:tcPr>
            <w:tcW w:w="2074" w:type="dxa"/>
            <w:vAlign w:val="center"/>
            <w:textDirection w:val="lrTb"/>
            <w:noWrap w:val="false"/>
          </w:tcPr>
          <w:p>
            <w:pPr>
              <w:pStyle w:val="1277"/>
              <w:jc w:val="center"/>
              <w:spacing w:after="0" w:line="360" w:lineRule="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r>
            <w:r/>
          </w:p>
        </w:tc>
      </w:tr>
    </w:tbl>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备注：以上为最低人员配置，投标单位人员配置不得低于此人数配置，否则视为未响应招标文件要求。</w:t>
      </w:r>
      <w:r>
        <w:rPr>
          <w:rFonts w:hint="eastAsia"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成果要求</w:t>
      </w:r>
      <w:r>
        <w:rPr>
          <w:rFonts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（1）监测成果</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以锡山区为单位，影像分别独立存放。监测成果，成果为矢量数据，矢量属性文件包含变化时间、图斑面积、变化图斑类别，SHP格式。批次成果管理文件命名为：行政代码+批次号+行政区名称。</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（2）表格数据</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耕地监测新增耕地调查情况统计表、耕地监测耕地流出预警（黄色/蓝色）调查情况统计表、耕地监测永久基本农田流出调查情况统计表、耕地监测林保非林地调查情况统计表等。</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（4）矢量数据</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耕地监测调查与处置成果数据库，种植属性数据库等。</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（5）文字成果</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技术设计书、工作方案、相关成果分析报告等。</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（6）其他成果</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主要外业调查举证照片资料、调查过程中的各类统计表、数据库增量包等。</w:t>
      </w:r>
      <w:r>
        <w:rPr>
          <w:rFonts w:ascii="宋体" w:hAnsi="宋体" w:eastAsia="宋体" w:cs="宋体"/>
          <w:sz w:val="24"/>
          <w:szCs w:val="24"/>
          <w:highlight w:val="none"/>
          <w:lang w:val="en-US" w:eastAsia="zh-CN"/>
        </w:rPr>
      </w:r>
      <w:r/>
    </w:p>
    <w:p>
      <w:pPr>
        <w:pStyle w:val="1277"/>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六、其他要求</w:t>
      </w:r>
      <w:r>
        <w:rPr>
          <w:rFonts w:hint="eastAsia" w:ascii="宋体" w:hAnsi="宋体" w:eastAsia="宋体" w:cs="宋体"/>
          <w:b/>
          <w:bCs/>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1、本项目投标总报价包括从项目中标起到项目正式交付以及服务期内所发生的一切费用。</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2、服务期：从签订合同之日起到2026年11月30日。</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3、付款方式：</w:t>
      </w:r>
      <w:r>
        <w:rPr>
          <w:rFonts w:hint="eastAsia" w:ascii="宋体" w:hAnsi="宋体" w:eastAsia="宋体" w:cs="宋体"/>
          <w:sz w:val="24"/>
          <w:szCs w:val="24"/>
          <w:highlight w:val="none"/>
          <w:lang w:val="en-US" w:eastAsia="zh-CN"/>
        </w:rPr>
        <w:t xml:space="preserve">签订合同后支付合同价的30%作为预付款，提交2025年两期监测成果后支付合同价的20%，提交2026年度第一期监测成果后支付合同价的30%，项目全部完成经采购人确认后支付尾款。</w:t>
      </w: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4、质量标准：符合现行国家、地方强制性、行业性等相关规范和要求，编制的成果需能够通过相关部门审核，并归档备案。</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5、本项目不需要履约保证金。</w:t>
      </w: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77"/>
        <w:ind w:firstLine="480"/>
        <w:jc w:val="left"/>
        <w:keepLines w:val="0"/>
        <w:keepNext w:val="0"/>
        <w:pageBreakBefore w:val="0"/>
        <w:spacing w:line="360" w:lineRule="auto"/>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pStyle w:val="1277"/>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rPr>
          <w:rFonts w:hint="eastAsia" w:ascii="宋体" w:hAnsi="宋体" w:cs="宋体"/>
          <w:b/>
          <w:bCs/>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cs="宋体"/>
          <w:sz w:val="24"/>
          <w:szCs w:val="24"/>
          <w:highlight w:val="none"/>
        </w:rPr>
      </w:r>
      <w:r/>
    </w:p>
    <w:p>
      <w:pPr>
        <w:pStyle w:val="1277"/>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sz w:val="32"/>
          <w:szCs w:val="32"/>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w:t>
      </w:r>
      <w:r>
        <w:rPr>
          <w:rFonts w:hint="eastAsia" w:ascii="宋体" w:hAnsi="宋体"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sz w:val="24"/>
          <w:szCs w:val="24"/>
          <w:highlight w:val="none"/>
        </w:rPr>
      </w:r>
      <w:r/>
    </w:p>
    <w:p>
      <w:pPr>
        <w:pStyle w:val="1277"/>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rPr>
          <w:rFonts w:hint="eastAsia" w:ascii="宋体" w:hAnsi="宋体" w:cs="宋体"/>
          <w:sz w:val="24"/>
          <w:szCs w:val="24"/>
          <w:highlight w:val="none"/>
        </w:rPr>
      </w:r>
      <w:r/>
    </w:p>
    <w:p>
      <w:pPr>
        <w:pStyle w:val="127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highlight w:val="none"/>
        </w:rPr>
      </w:r>
      <w:r/>
    </w:p>
    <w:p>
      <w:pPr>
        <w:pStyle w:val="1277"/>
        <w:jc w:val="center"/>
        <w:spacing w:line="360" w:lineRule="auto"/>
        <w:rPr>
          <w:rFonts w:hint="eastAsia" w:hAnsi="宋体" w:cs="宋体"/>
          <w:b/>
          <w:bCs/>
          <w:sz w:val="32"/>
          <w:szCs w:val="32"/>
          <w:highlight w:val="none"/>
        </w:rPr>
        <w:outlineLvl w:val="0"/>
      </w:pPr>
      <w:r/>
      <w:bookmarkStart w:id="29" w:name="_Toc12214"/>
      <w:r/>
      <w:bookmarkStart w:id="30" w:name="_Toc21985"/>
      <w:r>
        <w:rPr>
          <w:rFonts w:hint="eastAsia" w:hAnsi="宋体" w:cs="宋体"/>
          <w:b/>
          <w:bCs/>
          <w:sz w:val="32"/>
          <w:szCs w:val="32"/>
          <w:highlight w:val="none"/>
        </w:rPr>
        <w:t xml:space="preserve">四、合同书（格式文本）</w:t>
      </w:r>
      <w:bookmarkEnd w:id="28"/>
      <w:r/>
      <w:bookmarkEnd w:id="29"/>
      <w:r/>
      <w:bookmarkEnd w:id="30"/>
      <w:r>
        <w:rPr>
          <w:rFonts w:hint="eastAsia" w:hAnsi="宋体" w:cs="宋体"/>
          <w:b/>
          <w:bCs/>
          <w:sz w:val="32"/>
          <w:szCs w:val="32"/>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bookmarkStart w:id="31" w:name="_Toc17918"/>
      <w:r/>
      <w:bookmarkStart w:id="32" w:name="_Toc4709"/>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r>
      <w:r/>
    </w:p>
    <w:p>
      <w:pPr>
        <w:pStyle w:val="1277"/>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t xml:space="preserve">合 同 书</w:t>
      </w:r>
      <w:r>
        <w:rPr>
          <w:rFonts w:ascii="Times New Roman" w:hAnsi="Arial" w:eastAsia="宋体" w:cs="Times New Roman"/>
          <w:b/>
          <w:color w:val="000000"/>
          <w:sz w:val="72"/>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pStyle w:val="1277"/>
        <w:ind w:firstLine="1446"/>
        <w:spacing w:line="360" w:lineRule="auto"/>
        <w:rPr>
          <w:rFonts w:hint="eastAsia" w:ascii="宋体" w:hAnsi="宋体" w:eastAsia="宋体" w:cs="Times New Roman"/>
          <w:b/>
          <w:color w:val="000000"/>
          <w:sz w:val="24"/>
          <w:szCs w:val="24"/>
          <w:highlight w:val="none"/>
          <w:lang w:eastAsia="zh-CN"/>
        </w:rPr>
        <w:outlineLvl w:val="9"/>
      </w:pPr>
      <w:r>
        <w:rPr>
          <w:rFonts w:ascii="宋体" w:hAnsi="宋体" w:eastAsia="宋体" w:cs="Times New Roman"/>
          <w:b/>
          <w:color w:val="000000"/>
          <w:sz w:val="24"/>
          <w:szCs w:val="24"/>
          <w:highlight w:val="none"/>
        </w:rPr>
        <w:t xml:space="preserve">项目名称</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lang w:eastAsia="zh-CN"/>
        </w:rPr>
        <w:t xml:space="preserve">全区耕地保护动态监测（2025-2026）</w:t>
      </w:r>
      <w:r>
        <w:rPr>
          <w:rFonts w:hint="eastAsia" w:ascii="宋体" w:hAnsi="宋体" w:eastAsia="宋体" w:cs="Times New Roman"/>
          <w:b/>
          <w:color w:val="000000"/>
          <w:sz w:val="24"/>
          <w:szCs w:val="24"/>
          <w:highlight w:val="none"/>
          <w:lang w:eastAsia="zh-CN"/>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甲方（采购人）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无锡市自然资源和规划局锡山分局</w:t>
      </w:r>
      <w:r>
        <w:rPr>
          <w:rFonts w:ascii="宋体" w:hAnsi="宋体" w:eastAsia="宋体" w:cs="Times New Roman"/>
          <w:b/>
          <w:color w:val="000000"/>
          <w:sz w:val="24"/>
          <w:szCs w:val="24"/>
          <w:highlight w:val="none"/>
        </w:rPr>
      </w:r>
      <w:r/>
    </w:p>
    <w:p>
      <w:pPr>
        <w:pStyle w:val="1277"/>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乙方（中标人）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ascii="宋体" w:hAnsi="宋体" w:eastAsia="宋体" w:cs="Times New Roman"/>
          <w:b/>
          <w:color w:val="000000"/>
          <w:sz w:val="24"/>
          <w:szCs w:val="24"/>
          <w:highlight w:val="non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446"/>
        <w:spacing w:line="36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签约日期</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r>
      <w:r/>
    </w:p>
    <w:p>
      <w:pPr>
        <w:pStyle w:val="1277"/>
        <w:ind w:firstLine="1928"/>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pStyle w:val="1277"/>
        <w:ind w:firstLine="1928"/>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无锡市自然资源和规划局锡山分局</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全区耕地保护动态监测（2025-2026）</w:t>
      </w:r>
      <w:r>
        <w:rPr>
          <w:rFonts w:hint="eastAsia" w:ascii="宋体" w:hAnsi="宋体" w:eastAsia="宋体" w:cs="宋体"/>
          <w:color w:val="000000"/>
          <w:sz w:val="24"/>
          <w:szCs w:val="24"/>
          <w:highlight w:val="none"/>
        </w:rPr>
        <w:t xml:space="preserve">的招标采购结果及采购文件的要求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经协商一致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达成如下采购服务合同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一、采购标的</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1、服务名称：</w:t>
      </w:r>
      <w:r>
        <w:rPr>
          <w:rFonts w:hint="eastAsia" w:ascii="宋体" w:hAnsi="宋体" w:eastAsia="宋体" w:cs="宋体"/>
          <w:color w:val="000000"/>
          <w:sz w:val="24"/>
          <w:szCs w:val="24"/>
          <w:highlight w:val="none"/>
          <w:u w:val="single"/>
          <w:lang w:val="en-US" w:eastAsia="zh-CN"/>
        </w:rPr>
        <w:t xml:space="preserve">全区耕地保护动态监测（2025-2026）</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2、服务内容：</w:t>
      </w:r>
      <w:r>
        <w:rPr>
          <w:rFonts w:hint="eastAsia" w:ascii="宋体" w:hAnsi="宋体" w:eastAsia="宋体" w:cs="宋体"/>
          <w:color w:val="000000"/>
          <w:sz w:val="24"/>
          <w:szCs w:val="24"/>
          <w:highlight w:val="none"/>
          <w:u w:val="single"/>
          <w:lang w:val="en-US" w:eastAsia="zh-CN"/>
        </w:rPr>
        <w:t xml:space="preserve">做好图斑分类，数据对比汇总；根据下发的遥感监测信息数据和相关资料做好变更调查前、后各项精细化数据分析工作，提供变更参考意见；按照部、省相关工作要求，更新国土调查数据库；做好核实照片拍摄、资料在线上传等举证工作；完成国土调查数据库汇交工作。</w:t>
      </w:r>
      <w:r>
        <w:rPr>
          <w:rFonts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3、服务期限：</w:t>
      </w:r>
      <w:r>
        <w:rPr>
          <w:rFonts w:hint="eastAsia" w:ascii="宋体" w:hAnsi="宋体" w:eastAsia="宋体" w:cs="宋体"/>
          <w:color w:val="000000"/>
          <w:sz w:val="24"/>
          <w:szCs w:val="24"/>
          <w:highlight w:val="none"/>
          <w:u w:val="single"/>
          <w:lang w:val="en-US" w:eastAsia="zh-CN"/>
        </w:rPr>
        <w:t xml:space="preserve">从签订合同之日起到2026年11月30日</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二、合同价款及支付方式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1.本项目最终价格按照乙方中标价计。合同价款总计为人民币大写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2.总费用包含了人员的报酬、差旅费等费用。除了以上费用以外，除非另外达成其他协议，甲方不再为本项目向乙方支付其他任何费用。</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3.付款方式：签订合同后支付合同价的30%作为预付款，提交2025年两期监测成果后支付合同价的20%，提交2026年度第一期监测成果后支付合同价的30%，项目全部完成经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确认后支付尾款。</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实际支付进度以资金拨付进度为准，如果资金到位不及时，甲方不承担违约责任，乙方不得以此作为延迟履行合同的依据或理由。乙方每次申请付款前，须向甲方提供相应阶段成果的纸质成果文件，并提供符合财务要求的相应金额的发票，否则甲方有权顺延付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三、合同履行：本合同项下服务的提供参照招标文件的具体要求履行，甲乙双方通过补充条款进行特殊约定的从其约定。</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四、交付成果要求</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（1）监测成果</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以锡山区为单位，影像分别独立存放。监测成果，成果为矢量数据，矢量属性文件包含变化时间、图斑面积、变化图斑类别，SHP格式。批次成果管理文件命名为：行政代码+批次号+行政区名称。</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（2）表格数据</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耕地监测新增耕地调查情况统计表、耕地监测耕地流出预警（黄色/蓝色）调查情况统计表、耕地监测永久基本农田流出调查情况统计表、耕地监测林保非林地调查情况统计表等。</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（4）矢量数据</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耕地监测调查与处置成果数据库，种植属性数据库等。</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（5）文字成果</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技术设计书、工作方案、相关成果分析报告等。</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（6）其他成果</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主要外业调查举证照片资料、调查过程中的各类统计表、数据库增量包等。</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val="en-US" w:eastAsia="zh-CN"/>
        </w:rPr>
        <w:t xml:space="preserve">成果确认</w:t>
      </w:r>
      <w:r>
        <w:rPr>
          <w:rFonts w:ascii="宋体" w:hAnsi="宋体" w:eastAsia="宋体" w:cs="宋体"/>
          <w:color w:val="000000"/>
          <w:sz w:val="24"/>
          <w:szCs w:val="24"/>
          <w:highlight w:val="none"/>
          <w:lang w:val="en-US"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项目成果通过甲方审查</w:t>
      </w:r>
      <w:r>
        <w:rPr>
          <w:rFonts w:hint="eastAsia" w:ascii="宋体" w:hAnsi="宋体" w:eastAsia="宋体" w:cs="宋体"/>
          <w:color w:val="000000"/>
          <w:sz w:val="24"/>
          <w:szCs w:val="24"/>
          <w:highlight w:val="none"/>
          <w:lang w:val="en-US" w:eastAsia="zh-CN"/>
        </w:rPr>
        <w:t xml:space="preserve">确认</w:t>
      </w:r>
      <w:r>
        <w:rPr>
          <w:rFonts w:hint="eastAsia" w:ascii="宋体" w:hAnsi="宋体" w:eastAsia="宋体" w:cs="宋体"/>
          <w:color w:val="000000"/>
          <w:sz w:val="24"/>
          <w:szCs w:val="24"/>
          <w:highlight w:val="none"/>
        </w:rPr>
        <w:t xml:space="preserve">。乙方应保证成果质量，若</w:t>
      </w:r>
      <w:r>
        <w:rPr>
          <w:rFonts w:hint="eastAsia" w:ascii="宋体" w:hAnsi="宋体" w:eastAsia="宋体" w:cs="宋体"/>
          <w:color w:val="000000"/>
          <w:sz w:val="24"/>
          <w:szCs w:val="24"/>
          <w:highlight w:val="none"/>
          <w:lang w:val="en-US" w:eastAsia="zh-CN"/>
        </w:rPr>
        <w:t xml:space="preserve">甲方或上级部门提出</w:t>
      </w:r>
      <w:r>
        <w:rPr>
          <w:rFonts w:hint="eastAsia" w:ascii="宋体" w:hAnsi="宋体" w:eastAsia="宋体" w:cs="宋体"/>
          <w:color w:val="000000"/>
          <w:sz w:val="24"/>
          <w:szCs w:val="24"/>
          <w:highlight w:val="none"/>
        </w:rPr>
        <w:t xml:space="preserve">不合格，乙方应无条件重新修改，直至合格，由此产生的一切费用由乙方承担。</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六、合同责任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1、甲方应当为乙方履行合同提供必要的支持。</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保证其对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3、乙方在履行合同中产生的一切非因甲方过错导致的损失，均由乙方自行承担责任。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4、乙方指定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val="en-US" w:eastAsia="zh-CN"/>
        </w:rPr>
        <w:t xml:space="preserve">驻场</w:t>
      </w:r>
      <w:r>
        <w:rPr>
          <w:rFonts w:hint="eastAsia" w:ascii="宋体" w:hAnsi="宋体" w:eastAsia="宋体" w:cs="宋体"/>
          <w:color w:val="000000"/>
          <w:sz w:val="24"/>
          <w:szCs w:val="24"/>
          <w:highlight w:val="none"/>
        </w:rPr>
        <w:t xml:space="preserve">负责人。甲方通知到达任一负责人即视为到达对方。如本合同履行期间发生变更，应在变更前5个工作日内通知甲方。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七、成果权属</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1、甲方拥有本合同项目的所有中间成果和最终成果，以及与之相关的所有权利。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2、乙方有权要求甲方在公开成果时注明乙方为本合同项目受委托人，并可享有与甲方共同获得与本合同项目成果相关的荣誉证书和奖励的权利。</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3、经甲方同意，乙方可以享有本合同项目中间成果或最终成果的下列相关权利：利用本合同项目中间成果或最终成果用于学术研究，发表论文或著作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八、保密条款</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1、甲乙双方应遵守国家的有关保密规定，妥善保管对方提供的资料，保守对方的各项秘密，并保护对方的知识产权。</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3、本保密条款长期有效。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九、违约责任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2、由于乙方工作的错误或遗漏造成本项目成果质量损失的，乙方除负责及时采取有效补救措施外，并赔偿由此导致的甲方的全部损失。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及合同中所述之“不可抗力”系指不可预见、不可避免、不可克服的事件，包括但不限于：战争、洪水、台风、地震及其他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规定的事件。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十、解决争议的方式：</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3、合同中未有约定的按照有关的法律法规以及国家行业标准或技术文件规定予以解决。</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十一、合同终止：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（一）因解除而终止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3、合同一方依本合同约定行使解除权的，合同自解除通知送达之日起终止。违约方应当向守约方支付违约金或赔偿损失。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4、合同终止后，不妨碍守约方向违约方追究违约责任。</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（二）有下列情形之一的，合同权利义务终止：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1、本合同已按约定履行完毕；</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2、本合同经各方协商一致而终止；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3、本合同因一方出现本条第（一）款的违约情况（包括一方擅自转让本合同项下权利义务行为），另一方发出解除合同的通知；</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4、法律法规规定终止的其他情形。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十二、合同生效：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1、合同经甲乙双方代表签字盖章</w:t>
      </w:r>
      <w:r>
        <w:rPr>
          <w:rFonts w:hint="eastAsia" w:ascii="宋体" w:hAnsi="宋体" w:eastAsia="宋体" w:cs="宋体"/>
          <w:color w:val="000000"/>
          <w:sz w:val="24"/>
          <w:szCs w:val="24"/>
          <w:highlight w:val="none"/>
          <w:lang w:eastAsia="zh-CN"/>
        </w:rPr>
        <w:t xml:space="preserve">，并经</w:t>
      </w:r>
      <w:r>
        <w:rPr>
          <w:rFonts w:hint="eastAsia" w:ascii="宋体" w:hAnsi="宋体" w:eastAsia="宋体" w:cs="宋体"/>
          <w:color w:val="000000"/>
          <w:sz w:val="24"/>
          <w:szCs w:val="24"/>
          <w:highlight w:val="none"/>
          <w:u w:val="single"/>
          <w:lang w:eastAsia="zh-CN"/>
        </w:rPr>
        <w:t xml:space="preserve">江苏通汇工程管理咨询有限公司</w:t>
      </w:r>
      <w:r>
        <w:rPr>
          <w:rFonts w:hint="eastAsia" w:ascii="宋体" w:hAnsi="宋体" w:eastAsia="宋体" w:cs="宋体"/>
          <w:color w:val="000000"/>
          <w:sz w:val="24"/>
          <w:szCs w:val="24"/>
          <w:highlight w:val="none"/>
          <w:lang w:eastAsia="zh-CN"/>
        </w:rPr>
        <w:t xml:space="preserve">见证后</w:t>
      </w:r>
      <w:r>
        <w:rPr>
          <w:rFonts w:hint="eastAsia" w:ascii="宋体" w:hAnsi="宋体" w:eastAsia="宋体" w:cs="宋体"/>
          <w:color w:val="000000"/>
          <w:sz w:val="24"/>
          <w:szCs w:val="24"/>
          <w:highlight w:val="none"/>
        </w:rPr>
        <w:t xml:space="preserve">即生效；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2、甲乙双方确认：对本合同条款及后果均已知悉，一致确认不存在欺诈、胁迫、乘人之危、重大误解、显失公平等任何可能导致合同无效或被撤销的情形。</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十三、合同修改：</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（1）甲方内部工作安排、计划调整等自身原因；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（3）其他甲方原因。</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十四、组成本合同的文件包括：</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（二）采购文件和乙方的投标文件；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（三）中标通知书；</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（四）甲乙双方商定的其他必要文件。</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上述合同文件内容互为补充，如有不明确，由甲方负责解释。</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十五、合同备案</w:t>
      </w:r>
      <w:r>
        <w:rPr>
          <w:rFonts w:hint="eastAsia" w:ascii="宋体" w:hAnsi="宋体" w:eastAsia="宋体" w:cs="宋体"/>
          <w:color w:val="000000"/>
          <w:sz w:val="24"/>
          <w:szCs w:val="24"/>
          <w:highlight w:val="none"/>
        </w:rPr>
      </w:r>
      <w:r/>
    </w:p>
    <w:p>
      <w:pPr>
        <w:pStyle w:val="127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本合同一式伍份，甲乙双方各执贰份，代理机构执壹份。</w:t>
      </w:r>
      <w:r>
        <w:rPr>
          <w:rFonts w:hint="eastAsia" w:ascii="宋体" w:hAnsi="宋体" w:eastAsia="宋体" w:cs="宋体"/>
          <w:color w:val="000000"/>
          <w:sz w:val="24"/>
          <w:szCs w:val="24"/>
          <w:highlight w:val="none"/>
        </w:rPr>
      </w:r>
      <w:r/>
    </w:p>
    <w:p>
      <w:pPr>
        <w:pStyle w:val="1277"/>
        <w:ind w:left="0" w:right="0"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lang w:val="en-US" w:eastAsia="zh-CN" w:bidi="ar-SA"/>
        </w:rPr>
      </w:r>
      <w:r/>
    </w:p>
    <w:tbl>
      <w:tblPr>
        <w:tblStyle w:val="1329"/>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甲方公章（合同章）</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乙方公章（合同章）</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360"/>
              <w:ind w:left="0" w:firstLine="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469"/>
        </w:trPr>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4510" w:type="dxa"/>
            <w:vAlign w:val="center"/>
            <w:textDirection w:val="lrTb"/>
            <w:noWrap w:val="false"/>
          </w:tcPr>
          <w:p>
            <w:pPr>
              <w:pStyle w:val="1277"/>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bl>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见证方（</w:t>
      </w:r>
      <w:r>
        <w:rPr>
          <w:rFonts w:hint="eastAsia" w:ascii="宋体" w:hAnsi="宋体" w:eastAsia="宋体" w:cs="宋体"/>
          <w:color w:val="000000"/>
          <w:sz w:val="24"/>
          <w:szCs w:val="24"/>
          <w:highlight w:val="none"/>
          <w:lang w:val="en-US" w:eastAsia="zh-CN"/>
        </w:rPr>
        <w:t xml:space="preserve">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277"/>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pStyle w:val="1277"/>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highlight w:val="none"/>
          <w:u w:val="single"/>
        </w:rPr>
      </w:r>
      <w:r/>
    </w:p>
    <w:p>
      <w:pPr>
        <w:pStyle w:val="1277"/>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Pr>
          <w:rFonts w:hint="eastAsia" w:hAnsi="宋体" w:cs="宋体"/>
          <w:b/>
          <w:bCs/>
          <w:sz w:val="32"/>
          <w:szCs w:val="32"/>
          <w:highlight w:val="none"/>
        </w:rPr>
      </w:r>
      <w:r/>
    </w:p>
    <w:p>
      <w:pPr>
        <w:pStyle w:val="1277"/>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rPr>
          <w:rFonts w:hint="eastAsia" w:ascii="宋体" w:hAnsi="宋体" w:cs="宋体"/>
          <w:bCs/>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rPr>
          <w:rFonts w:hint="eastAsia" w:ascii="宋体" w:hAnsi="宋体" w:cs="宋体"/>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3、技术方案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60</w:t>
      </w:r>
      <w:r>
        <w:rPr>
          <w:rFonts w:hint="eastAsia" w:ascii="宋体" w:hAnsi="宋体" w:cs="宋体"/>
          <w:b/>
          <w:sz w:val="24"/>
          <w:szCs w:val="24"/>
          <w:highlight w:val="none"/>
        </w:rPr>
        <w:t xml:space="preserve">分</w:t>
      </w:r>
      <w:r>
        <w:rPr>
          <w:rFonts w:ascii="宋体" w:hAnsi="宋体" w:cs="宋体"/>
          <w:b/>
          <w:sz w:val="24"/>
          <w:szCs w:val="24"/>
          <w:highlight w:val="none"/>
        </w:rPr>
      </w:r>
      <w:r/>
    </w:p>
    <w:p>
      <w:pPr>
        <w:pStyle w:val="127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20</w:t>
      </w:r>
      <w:r>
        <w:rPr>
          <w:rFonts w:hint="eastAsia" w:ascii="宋体" w:hAnsi="宋体" w:cs="宋体"/>
          <w:b/>
          <w:sz w:val="24"/>
          <w:highlight w:val="none"/>
        </w:rPr>
        <w:t xml:space="preserve">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投标报价得分=(评标基准价／投标报价)×价格权值×100。</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a.对小型和微型企业产品的价格给予10%的扣除，用扣除后的价格进行评审。参加报价的中小企业，根据《政府采购促进中小企业发展管理办法》（财库</w:t>
      </w:r>
      <w:r>
        <w:rPr>
          <w:rFonts w:hint="eastAsia" w:ascii="宋体" w:hAnsi="宋体" w:eastAsia="宋体" w:cs="宋体"/>
          <w:bCs/>
          <w:sz w:val="24"/>
          <w:szCs w:val="24"/>
          <w:lang w:eastAsia="zh-CN"/>
        </w:rPr>
        <w:t xml:space="preserve">〔2020〕46号</w:t>
      </w:r>
      <w:r>
        <w:rPr>
          <w:rFonts w:hint="eastAsia" w:ascii="宋体" w:hAnsi="宋体" w:eastAsia="宋体" w:cs="宋体"/>
          <w:bCs/>
          <w:sz w:val="24"/>
          <w:szCs w:val="24"/>
        </w:rPr>
        <w:t xml:space="preserve">）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w:t>
      </w:r>
      <w:r>
        <w:rPr>
          <w:rFonts w:hint="eastAsia" w:ascii="宋体" w:hAnsi="宋体" w:eastAsia="宋体" w:cs="宋体"/>
          <w:bCs/>
          <w:sz w:val="24"/>
          <w:szCs w:val="24"/>
          <w:lang w:val="en-US" w:eastAsia="zh-CN"/>
        </w:rPr>
        <w:t xml:space="preserve">除</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eastAsia="宋体" w:cs="宋体"/>
          <w:bCs/>
          <w:sz w:val="24"/>
          <w:szCs w:val="24"/>
          <w:lang w:eastAsia="zh-CN"/>
        </w:rPr>
        <w:t xml:space="preserve">〔2017〕141号</w:t>
      </w:r>
      <w:r>
        <w:rPr>
          <w:rFonts w:hint="eastAsia" w:ascii="宋体" w:hAnsi="宋体" w:eastAsia="宋体" w:cs="宋体"/>
          <w:bCs/>
          <w:sz w:val="24"/>
          <w:szCs w:val="24"/>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d.大中型企业与小微企业（监狱企业、残疾人福利性）组成联合体共同参加投标联合协议中约定小微企业（监狱企业、残疾人福利性）的协议合同金额占到联合体协议合同总金额30%以上的，给予联合体5%的价格扣除，用扣除后的价格参与评审。</w:t>
      </w:r>
      <w:r>
        <w:rPr>
          <w:rFonts w:hint="eastAsia" w:ascii="宋体" w:hAnsi="宋体" w:eastAsia="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注：同一报价人，上述三项价格扣除优惠不得重复享受。</w:t>
      </w:r>
      <w:r>
        <w:rPr>
          <w:rFonts w:hint="eastAsia" w:ascii="宋体" w:hAnsi="宋体" w:eastAsia="宋体" w:cs="宋体"/>
          <w:bCs/>
          <w:sz w:val="24"/>
          <w:szCs w:val="24"/>
        </w:rPr>
      </w:r>
      <w:r/>
    </w:p>
    <w:p>
      <w:pPr>
        <w:pStyle w:val="1277"/>
        <w:ind w:firstLine="480"/>
        <w:spacing w:line="360" w:lineRule="auto"/>
        <w:tabs>
          <w:tab w:val="left" w:pos="840" w:leader="none"/>
          <w:tab w:val="left" w:pos="1050" w:leader="none"/>
        </w:tabs>
        <w:rPr>
          <w:rFonts w:hint="eastAsia" w:ascii="宋体" w:hAnsi="宋体" w:cs="宋体"/>
          <w:sz w:val="24"/>
          <w:szCs w:val="24"/>
          <w:highlight w:val="none"/>
        </w:rPr>
      </w:pPr>
      <w:r>
        <w:rPr>
          <w:rFonts w:hint="eastAsia" w:ascii="宋体" w:hAnsi="宋体" w:cs="宋体"/>
          <w:b/>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highlight w:val="none"/>
        </w:rPr>
      </w:r>
      <w:r/>
    </w:p>
    <w:p>
      <w:pPr>
        <w:pStyle w:val="1326"/>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bCs w:val="0"/>
          <w:sz w:val="24"/>
          <w:highlight w:val="none"/>
          <w:lang w:val="en-US" w:eastAsia="zh-CN"/>
        </w:rPr>
        <w:t xml:space="preserve">20</w:t>
      </w:r>
      <w:r>
        <w:rPr>
          <w:rFonts w:hint="eastAsia" w:ascii="宋体" w:hAnsi="宋体" w:cs="宋体"/>
          <w:b/>
          <w:sz w:val="24"/>
          <w:highlight w:val="none"/>
          <w:lang w:val="zh-CN"/>
        </w:rPr>
        <w:t xml:space="preserve">分）</w:t>
      </w:r>
      <w:r>
        <w:rPr>
          <w:rFonts w:hint="eastAsia" w:ascii="宋体" w:hAnsi="宋体" w:cs="宋体"/>
          <w:b/>
          <w:sz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）企业业绩（</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lang w:val="zh-CN"/>
        </w:rPr>
        <w:t xml:space="preserve">分）</w:t>
      </w:r>
      <w:r>
        <w:rPr>
          <w:rFonts w:hint="eastAsia" w:ascii="宋体" w:hAnsi="宋体" w:cs="宋体"/>
          <w:b/>
          <w:sz w:val="24"/>
          <w:szCs w:val="24"/>
          <w:highlight w:val="none"/>
          <w:lang w:val="zh-CN"/>
        </w:rPr>
      </w:r>
      <w:r/>
    </w:p>
    <w:p>
      <w:pPr>
        <w:pStyle w:val="1277"/>
        <w:ind w:firstLine="480"/>
        <w:jc w:val="both"/>
        <w:spacing w:line="360" w:lineRule="auto"/>
        <w:tabs>
          <w:tab w:val="left" w:pos="945" w:leader="none"/>
          <w:tab w:val="left" w:pos="115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投标供应商</w:t>
      </w:r>
      <w:r>
        <w:rPr>
          <w:rFonts w:hint="eastAsia" w:ascii="宋体" w:hAnsi="宋体" w:cs="宋体"/>
          <w:bCs/>
          <w:color w:val="000000"/>
          <w:sz w:val="24"/>
          <w:szCs w:val="22"/>
          <w:highlight w:val="none"/>
          <w:lang w:bidi="zh-CN"/>
        </w:rPr>
        <w:t xml:space="preserve">近三年（自本项目公告发布之日起往前顺推，以合同签订日期为准，无签订时间的以合同开始履行日期为准）</w:t>
      </w:r>
      <w:r>
        <w:rPr>
          <w:rFonts w:hint="eastAsia" w:ascii="宋体" w:hAnsi="宋体" w:cs="宋体"/>
          <w:bCs/>
          <w:sz w:val="24"/>
          <w:szCs w:val="24"/>
          <w:highlight w:val="none"/>
          <w:lang w:val="zh-CN"/>
        </w:rPr>
        <w:t xml:space="preserve">承担过类似项目业绩，每提供1个得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lang w:val="zh-CN"/>
        </w:rPr>
        <w:t xml:space="preserve">分，本项最高得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zh-CN"/>
        </w:rPr>
        <w:t xml:space="preserve">分。</w:t>
      </w:r>
      <w:r>
        <w:rPr>
          <w:rFonts w:hint="eastAsia" w:ascii="宋体" w:hAnsi="宋体" w:cs="宋体"/>
          <w:bCs/>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注：提供有效合同原件扫描件上传至投标文件并电子签章，未按要求提供不得分。</w:t>
      </w:r>
      <w:r>
        <w:rPr>
          <w:rFonts w:hint="eastAsia" w:ascii="宋体" w:hAnsi="宋体" w:cs="宋体"/>
          <w:b/>
          <w:sz w:val="24"/>
          <w:szCs w:val="24"/>
        </w:rPr>
        <w:t xml:space="preserve">联合体牵头人和成员方提供的均可。</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（2）认证体系（</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lang w:val="zh-CN"/>
        </w:rPr>
        <w:t xml:space="preserve">投标供应商</w:t>
      </w:r>
      <w:r>
        <w:rPr>
          <w:rFonts w:hint="eastAsia" w:ascii="宋体" w:hAnsi="宋体" w:cs="宋体"/>
          <w:bCs/>
          <w:sz w:val="24"/>
          <w:szCs w:val="24"/>
        </w:rPr>
        <w:t xml:space="preserve">具有有效的测量管理体系认证证书</w:t>
      </w:r>
      <w:r>
        <w:rPr>
          <w:rFonts w:hint="eastAsia" w:ascii="宋体" w:hAnsi="宋体" w:cs="宋体"/>
          <w:bCs/>
          <w:sz w:val="24"/>
          <w:szCs w:val="24"/>
          <w:lang w:val="en-US" w:eastAsia="zh-CN"/>
        </w:rPr>
        <w:t xml:space="preserve">的</w:t>
      </w:r>
      <w:r>
        <w:rPr>
          <w:rFonts w:hint="eastAsia" w:ascii="宋体" w:hAnsi="宋体" w:cs="宋体"/>
          <w:bCs/>
          <w:sz w:val="24"/>
          <w:szCs w:val="24"/>
        </w:rPr>
        <w:t xml:space="preserve">，得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
          <w:sz w:val="24"/>
          <w:szCs w:val="24"/>
        </w:rPr>
        <w:t xml:space="preserve">注：提供</w:t>
      </w:r>
      <w:r>
        <w:rPr>
          <w:rFonts w:hint="eastAsia" w:ascii="宋体" w:hAnsi="宋体" w:cs="宋体"/>
          <w:b/>
          <w:sz w:val="24"/>
          <w:szCs w:val="24"/>
          <w:lang w:val="en-US" w:eastAsia="zh-CN"/>
        </w:rPr>
        <w:t xml:space="preserve">相关</w:t>
      </w:r>
      <w:r>
        <w:rPr>
          <w:rFonts w:hint="eastAsia" w:ascii="宋体" w:hAnsi="宋体" w:cs="宋体"/>
          <w:b/>
          <w:sz w:val="24"/>
          <w:szCs w:val="24"/>
        </w:rPr>
        <w:t xml:space="preserve">证书扫描件上传至投标文件并电子签章，不提供不得分。联合体牵头人和成员方提供的均可。</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zh-CN" w:eastAsia="zh-CN"/>
        </w:rPr>
      </w:pP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lang w:val="zh-CN" w:eastAsia="zh-CN"/>
        </w:rPr>
        <w:t xml:space="preserve">）</w:t>
      </w:r>
      <w:r>
        <w:rPr>
          <w:rFonts w:hint="eastAsia" w:ascii="宋体" w:hAnsi="宋体" w:eastAsia="宋体" w:cs="宋体"/>
          <w:b/>
          <w:bCs w:val="0"/>
          <w:sz w:val="24"/>
          <w:szCs w:val="24"/>
          <w:highlight w:val="none"/>
          <w:lang w:val="en-US" w:eastAsia="zh-CN"/>
        </w:rPr>
        <w:t xml:space="preserve">综合实力（1分）</w:t>
      </w:r>
      <w:r>
        <w:rPr>
          <w:rFonts w:hint="eastAsia" w:ascii="宋体" w:hAnsi="宋体" w:eastAsia="宋体" w:cs="宋体"/>
          <w:b/>
          <w:bCs w:val="0"/>
          <w:sz w:val="24"/>
          <w:szCs w:val="24"/>
          <w:highlight w:val="none"/>
          <w:lang w:val="zh-CN"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lang w:val="zh-CN"/>
        </w:rPr>
        <w:t xml:space="preserve">投标供应商</w:t>
      </w:r>
      <w:r>
        <w:rPr>
          <w:rFonts w:hint="eastAsia" w:ascii="宋体" w:hAnsi="宋体" w:cs="宋体"/>
          <w:bCs/>
          <w:sz w:val="24"/>
          <w:szCs w:val="24"/>
          <w:highlight w:val="none"/>
          <w:lang w:val="en-US" w:eastAsia="zh-CN"/>
        </w:rPr>
        <w:t xml:space="preserve">具备</w:t>
      </w:r>
      <w:r>
        <w:rPr>
          <w:rFonts w:hint="eastAsia" w:ascii="宋体" w:hAnsi="宋体" w:cs="宋体"/>
          <w:bCs/>
          <w:sz w:val="24"/>
          <w:szCs w:val="24"/>
          <w:lang w:val="zh-CN"/>
        </w:rPr>
        <w:t xml:space="preserve">检验检测机构资质认定证书（CMA）</w:t>
      </w:r>
      <w:r>
        <w:rPr>
          <w:rFonts w:hint="eastAsia" w:ascii="宋体" w:hAnsi="宋体" w:cs="宋体"/>
          <w:bCs/>
          <w:sz w:val="24"/>
          <w:szCs w:val="24"/>
        </w:rPr>
        <w:t xml:space="preserve">的，</w:t>
      </w:r>
      <w:r>
        <w:rPr>
          <w:rFonts w:hint="eastAsia" w:ascii="宋体" w:hAnsi="宋体" w:cs="宋体"/>
          <w:bCs/>
          <w:sz w:val="24"/>
          <w:szCs w:val="24"/>
          <w:lang w:val="zh-CN"/>
        </w:rPr>
        <w:t xml:space="preserve">得</w:t>
      </w:r>
      <w:r>
        <w:rPr>
          <w:rFonts w:hint="eastAsia" w:ascii="宋体" w:hAnsi="宋体" w:cs="宋体"/>
          <w:bCs/>
          <w:sz w:val="24"/>
          <w:szCs w:val="24"/>
          <w:lang w:val="en-US" w:eastAsia="zh-CN"/>
        </w:rPr>
        <w:t xml:space="preserve">1</w:t>
      </w:r>
      <w:r>
        <w:rPr>
          <w:rFonts w:hint="eastAsia" w:ascii="宋体" w:hAnsi="宋体" w:cs="宋体"/>
          <w:bCs/>
          <w:sz w:val="24"/>
          <w:szCs w:val="24"/>
          <w:lang w:val="zh-CN"/>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
          <w:sz w:val="24"/>
          <w:szCs w:val="24"/>
        </w:rPr>
        <w:t xml:space="preserve">注：提供相关证明材料扫描件上传至投标文件并电子签章，不提供不得分。联合体牵头人和成员方提供的均可。</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rPr>
        <w:t xml:space="preserve">卫星代理权（</w:t>
      </w:r>
      <w:r>
        <w:rPr>
          <w:rFonts w:hint="eastAsia" w:ascii="宋体" w:hAnsi="宋体" w:cs="宋体"/>
          <w:b/>
          <w:bCs w:val="0"/>
          <w:sz w:val="24"/>
          <w:szCs w:val="24"/>
          <w:lang w:val="en-US" w:eastAsia="zh-CN"/>
        </w:rPr>
        <w:t xml:space="preserve">4</w:t>
      </w:r>
      <w:r>
        <w:rPr>
          <w:rFonts w:hint="eastAsia" w:ascii="宋体" w:hAnsi="宋体" w:cs="宋体"/>
          <w:b/>
          <w:bCs w:val="0"/>
          <w:sz w:val="24"/>
          <w:szCs w:val="24"/>
        </w:rPr>
        <w:t xml:space="preserve">分）</w:t>
      </w:r>
      <w:r>
        <w:rPr>
          <w:rFonts w:hint="eastAsia" w:ascii="宋体" w:hAnsi="宋体" w:eastAsia="宋体" w:cs="宋体"/>
          <w:b/>
          <w:bCs w:val="0"/>
          <w:sz w:val="24"/>
          <w:szCs w:val="24"/>
          <w:highlight w:val="none"/>
          <w:lang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①拥有亚米级光学卫星代理资格的，得2分；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②拥有亚米级雷达卫星代理资格的，得2分。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
          <w:sz w:val="24"/>
          <w:szCs w:val="24"/>
        </w:rPr>
        <w:t xml:space="preserve">注：卫星代理权需提供卫星厂商开具的直接（或一级）代理证明扫描件上传至投标文件并电子签章，不提供不得分。</w:t>
      </w:r>
      <w:r>
        <w:rPr>
          <w:rFonts w:hint="eastAsia" w:ascii="宋体" w:hAnsi="宋体" w:cs="宋体"/>
          <w:b/>
          <w:sz w:val="24"/>
          <w:szCs w:val="24"/>
        </w:rPr>
        <w:t xml:space="preserve">联合体牵头人和成员方提供的均可。</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lang w:val="en-US" w:eastAsia="zh-CN"/>
        </w:rPr>
        <w:t xml:space="preserve">5</w:t>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企业荣誉（</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分）</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highlight w:val="none"/>
          <w:lang w:val="zh-CN"/>
        </w:rPr>
        <w:t xml:space="preserve">投标供应商</w:t>
      </w:r>
      <w:r>
        <w:rPr>
          <w:rFonts w:hint="eastAsia" w:ascii="宋体" w:hAnsi="宋体" w:cs="宋体"/>
          <w:bCs/>
          <w:sz w:val="24"/>
          <w:szCs w:val="24"/>
        </w:rPr>
        <w:t xml:space="preserve">自2020年1月1日（有效期以获奖证书落款日期为准）</w:t>
      </w:r>
      <w:r>
        <w:rPr>
          <w:rFonts w:hint="eastAsia" w:ascii="宋体" w:hAnsi="宋体" w:cs="宋体"/>
          <w:sz w:val="24"/>
        </w:rPr>
        <w:t xml:space="preserve">以来承担的</w:t>
      </w:r>
      <w:r>
        <w:rPr>
          <w:rFonts w:hint="eastAsia" w:ascii="宋体" w:hAnsi="宋体" w:cs="宋体"/>
          <w:sz w:val="24"/>
          <w:lang w:val="en-US" w:eastAsia="zh-CN"/>
        </w:rPr>
        <w:t xml:space="preserve">类似项目</w:t>
      </w:r>
      <w:r>
        <w:rPr>
          <w:rFonts w:hint="eastAsia" w:ascii="宋体" w:hAnsi="宋体" w:cs="宋体"/>
          <w:sz w:val="24"/>
        </w:rPr>
        <w:t xml:space="preserve">项目</w:t>
      </w:r>
      <w:r>
        <w:rPr>
          <w:rFonts w:hint="eastAsia" w:ascii="宋体" w:hAnsi="宋体" w:cs="宋体"/>
          <w:sz w:val="24"/>
          <w:lang w:eastAsia="zh-CN"/>
        </w:rPr>
        <w:t xml:space="preserve">，</w:t>
      </w:r>
      <w:r>
        <w:rPr>
          <w:rFonts w:hint="eastAsia" w:ascii="宋体" w:hAnsi="宋体" w:cs="宋体"/>
          <w:bCs/>
          <w:color w:val="000000"/>
          <w:sz w:val="24"/>
          <w:szCs w:val="24"/>
        </w:rPr>
        <w:t xml:space="preserve">获得</w:t>
      </w:r>
      <w:r>
        <w:rPr>
          <w:rFonts w:hint="eastAsia" w:ascii="宋体" w:hAnsi="宋体" w:cs="宋体"/>
          <w:bCs/>
          <w:sz w:val="24"/>
          <w:szCs w:val="24"/>
        </w:rPr>
        <w:t xml:space="preserve">国家级</w:t>
      </w:r>
      <w:r>
        <w:rPr>
          <w:rFonts w:hint="eastAsia" w:ascii="宋体" w:hAnsi="宋体" w:cs="宋体"/>
          <w:bCs/>
          <w:color w:val="000000"/>
          <w:sz w:val="24"/>
          <w:szCs w:val="24"/>
        </w:rPr>
        <w:t xml:space="preserve">奖项的</w:t>
      </w:r>
      <w:r>
        <w:rPr>
          <w:rFonts w:hint="eastAsia" w:ascii="宋体" w:hAnsi="宋体" w:cs="宋体"/>
          <w:sz w:val="24"/>
        </w:rPr>
        <w:t xml:space="preserve">每个得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bCs/>
          <w:sz w:val="24"/>
          <w:szCs w:val="24"/>
        </w:rPr>
        <w:t xml:space="preserve">获得省级奖项的每个得1分，本项最高得</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w:t>
      </w:r>
      <w:r>
        <w:rPr>
          <w:rFonts w:ascii="宋体" w:hAnsi="宋体" w:cs="宋体"/>
          <w:bCs/>
          <w:sz w:val="24"/>
          <w:szCs w:val="24"/>
        </w:rPr>
      </w:r>
      <w:r/>
    </w:p>
    <w:p>
      <w:pPr>
        <w:pStyle w:val="1277"/>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注：同一级别不累计计分，提供相关证明材料原件扫描件上传至投标文件并电子签章，未按要求提供不得分。</w:t>
      </w:r>
      <w:r>
        <w:rPr>
          <w:rFonts w:hint="eastAsia" w:ascii="宋体" w:hAnsi="宋体" w:cs="宋体"/>
          <w:b/>
          <w:sz w:val="24"/>
          <w:szCs w:val="24"/>
        </w:rPr>
        <w:t xml:space="preserve">联合体牵头人和成员方提供的均可。</w:t>
      </w:r>
      <w:r>
        <w:rPr>
          <w:rFonts w:hint="eastAsia" w:ascii="宋体" w:hAnsi="宋体" w:cs="宋体"/>
          <w:b/>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lang w:val="en-US" w:eastAsia="zh-CN"/>
        </w:rPr>
        <w:t xml:space="preserve">6</w:t>
      </w:r>
      <w:r>
        <w:rPr>
          <w:rFonts w:hint="eastAsia" w:ascii="宋体" w:hAnsi="宋体" w:cs="宋体"/>
          <w:b/>
          <w:sz w:val="24"/>
          <w:szCs w:val="24"/>
          <w:lang w:val="zh-CN"/>
        </w:rPr>
        <w:t xml:space="preserve">）</w:t>
      </w:r>
      <w:r>
        <w:rPr>
          <w:rFonts w:hint="eastAsia" w:ascii="宋体" w:hAnsi="宋体" w:cs="宋体"/>
          <w:b/>
          <w:sz w:val="24"/>
          <w:szCs w:val="24"/>
        </w:rPr>
        <w:t xml:space="preserve">项目组成员配备（</w:t>
      </w:r>
      <w:r>
        <w:rPr>
          <w:rFonts w:hint="eastAsia" w:ascii="宋体" w:hAnsi="宋体" w:cs="宋体"/>
          <w:b/>
          <w:sz w:val="24"/>
          <w:szCs w:val="24"/>
          <w:lang w:val="en-US" w:eastAsia="zh-CN"/>
        </w:rPr>
        <w:t xml:space="preserve">9</w:t>
      </w:r>
      <w:r>
        <w:rPr>
          <w:rFonts w:hint="eastAsia" w:ascii="宋体" w:hAnsi="宋体" w:cs="宋体"/>
          <w:b/>
          <w:sz w:val="24"/>
          <w:szCs w:val="24"/>
        </w:rPr>
        <w:t xml:space="preserve">分）</w:t>
      </w:r>
      <w:r>
        <w:rPr>
          <w:rFonts w:ascii="宋体" w:hAnsi="宋体" w:cs="宋体"/>
          <w:b/>
          <w:sz w:val="24"/>
          <w:szCs w:val="24"/>
          <w:lang w:val="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①项目负责人（2分）：具备物化探与遥感（物化遥）正高级工程师职称的，得2分；具备物化探与遥感（物化遥）副高级工程师职称的，得1分。本项最高得2分。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②技术负责人（2分）：具备测绘类正高级工程师的，得1分；具备注册测绘师证书的，得0.5分；具备高级信息系统项目管理师证书的，得0.5分。本项最高得2分。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③质量负责人（1分）：具备测绘类高级工程师的，得0.5分；具备高级信息系统项目管理师证书的，得0.5分。本项最高得1分。</w:t>
      </w:r>
      <w:r>
        <w:rPr>
          <w:rFonts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④其他项目组成员（项目负责人、技术负责人、</w:t>
      </w:r>
      <w:r>
        <w:rPr>
          <w:rFonts w:hint="eastAsia" w:ascii="宋体" w:hAnsi="宋体" w:eastAsia="宋体" w:cs="宋体"/>
          <w:bCs/>
          <w:sz w:val="24"/>
          <w:szCs w:val="24"/>
          <w:highlight w:val="none"/>
          <w:lang w:val="en-US" w:eastAsia="zh-CN"/>
        </w:rPr>
        <w:t xml:space="preserve">质量负责人</w:t>
      </w:r>
      <w:r>
        <w:rPr>
          <w:rFonts w:hint="eastAsia" w:ascii="宋体" w:hAnsi="宋体" w:eastAsia="宋体" w:cs="宋体"/>
          <w:bCs/>
          <w:sz w:val="24"/>
          <w:szCs w:val="24"/>
          <w:highlight w:val="none"/>
          <w:lang w:val="en-US" w:eastAsia="zh-CN"/>
        </w:rPr>
        <w:t xml:space="preserve">除外）（4分）：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a.具备注册测绘师证书的，有1人得0.5分，本项最高得2分；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b.具备物化探与遥感（物化遥）副高级及以上工程师的，有1人得1分，本项最高得2分。</w:t>
      </w:r>
      <w:r>
        <w:rPr>
          <w:rFonts w:hint="eastAsia" w:ascii="宋体" w:hAnsi="宋体" w:eastAsia="宋体" w:cs="宋体"/>
          <w:bCs/>
          <w:sz w:val="24"/>
          <w:szCs w:val="24"/>
          <w:highlight w:val="none"/>
          <w:lang w:val="en-US" w:eastAsia="zh-CN"/>
        </w:rPr>
      </w:r>
      <w:r/>
    </w:p>
    <w:p>
      <w:pPr>
        <w:pStyle w:val="1277"/>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eastAsia="宋体" w:cs="宋体"/>
          <w:b/>
          <w:bCs w:val="0"/>
          <w:sz w:val="24"/>
          <w:szCs w:val="24"/>
          <w:lang w:val="en-US" w:eastAsia="zh-CN"/>
        </w:rPr>
        <w:t xml:space="preserve">注：同一人不可重复得分。</w:t>
      </w:r>
      <w:r>
        <w:rPr>
          <w:rFonts w:hint="eastAsia" w:ascii="宋体" w:hAnsi="宋体" w:cs="宋体"/>
          <w:b/>
          <w:sz w:val="24"/>
          <w:szCs w:val="24"/>
          <w:highlight w:val="none"/>
        </w:rPr>
        <w:t xml:space="preserve">提供主要人员配置表（格式见附件），</w:t>
      </w:r>
      <w:r>
        <w:rPr>
          <w:rFonts w:hint="eastAsia" w:ascii="宋体" w:hAnsi="宋体" w:eastAsia="宋体" w:cs="宋体"/>
          <w:b/>
          <w:bCs w:val="0"/>
          <w:sz w:val="24"/>
          <w:szCs w:val="24"/>
          <w:lang w:val="en-US" w:eastAsia="zh-CN"/>
        </w:rPr>
        <w:t xml:space="preserve">以及上述人员相关证书等证明材料扫描件</w:t>
      </w:r>
      <w:r>
        <w:rPr>
          <w:rFonts w:hint="eastAsia" w:ascii="宋体" w:hAnsi="宋体" w:eastAsia="宋体" w:cs="宋体"/>
          <w:b/>
          <w:bCs w:val="0"/>
          <w:sz w:val="24"/>
          <w:szCs w:val="24"/>
        </w:rPr>
        <w:t xml:space="preserve">上传至投标文件并电子签章</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同时提供由法定的社保收缴部门出具的近三个月（不含开标当月）的社保缴费证明扫描件上传至投标文件并电子签章，否则不得分。</w:t>
      </w:r>
      <w:r>
        <w:rPr>
          <w:rFonts w:ascii="宋体" w:hAnsi="宋体" w:cs="宋体"/>
          <w:b/>
          <w:sz w:val="24"/>
          <w:szCs w:val="24"/>
        </w:rPr>
        <w:t xml:space="preserve">已通过相关考试，但尚未拿到证书的，</w:t>
      </w:r>
      <w:r>
        <w:rPr>
          <w:rFonts w:hint="eastAsia" w:ascii="宋体" w:hAnsi="宋体" w:cs="宋体"/>
          <w:b/>
          <w:sz w:val="24"/>
          <w:szCs w:val="24"/>
        </w:rPr>
        <w:t xml:space="preserve">不得分</w:t>
      </w:r>
      <w:r>
        <w:rPr>
          <w:rFonts w:ascii="宋体" w:hAnsi="宋体" w:cs="宋体"/>
          <w:b/>
          <w:sz w:val="24"/>
          <w:szCs w:val="24"/>
        </w:rPr>
        <w:t xml:space="preserve">；延续或换证提供换证前老的关于个人的注册和变更情况截图上传至投标文件并电子签章，否则对应项不得分</w:t>
      </w:r>
      <w:r>
        <w:rPr>
          <w:rFonts w:hint="eastAsia" w:ascii="宋体" w:hAnsi="宋体" w:cs="宋体"/>
          <w:b/>
          <w:sz w:val="24"/>
          <w:szCs w:val="24"/>
        </w:rPr>
        <w:t xml:space="preserve">。</w:t>
      </w:r>
      <w:r>
        <w:rPr>
          <w:rFonts w:ascii="宋体" w:hAnsi="宋体" w:cs="宋体"/>
          <w:bCs/>
          <w:sz w:val="24"/>
          <w:szCs w:val="24"/>
        </w:rPr>
      </w:r>
      <w:r/>
    </w:p>
    <w:p>
      <w:pPr>
        <w:pStyle w:val="1326"/>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60</w:t>
      </w:r>
      <w:r>
        <w:rPr>
          <w:rFonts w:hint="eastAsia" w:ascii="宋体" w:hAnsi="宋体" w:cs="宋体"/>
          <w:b/>
          <w:sz w:val="24"/>
          <w:highlight w:val="none"/>
        </w:rPr>
        <w:t xml:space="preserve">分）无方案不得分</w:t>
      </w:r>
      <w:r>
        <w:rPr>
          <w:rFonts w:hint="eastAsia" w:ascii="宋体" w:hAnsi="宋体" w:cs="宋体"/>
          <w:b/>
          <w:sz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（1）技术方案（20分）</w:t>
      </w:r>
      <w:r>
        <w:rPr>
          <w:rFonts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cs="宋体"/>
          <w:bCs/>
          <w:sz w:val="24"/>
          <w:szCs w:val="24"/>
        </w:rPr>
        <w:t xml:space="preserve">包括①工作思路（5分）；②工作方法（5分）；③工作措施（5分）；④成果要求（5分）</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分；以上内容存在2处瑕疵的该条得1分；未进行阐述或不满足采购需求或内容存在3处及以上瑕疵的该条得0分；本项最高得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20</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rPr>
      </w:r>
      <w:r/>
    </w:p>
    <w:p>
      <w:pPr>
        <w:pStyle w:val="1277"/>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（2）重难点分析（10分）</w:t>
      </w:r>
      <w:r>
        <w:rPr>
          <w:rFonts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cs="宋体"/>
          <w:bCs/>
          <w:sz w:val="24"/>
          <w:szCs w:val="24"/>
        </w:rPr>
        <w:t xml:space="preserve">包括①对重难点内容的分析（5分）；②合理性建议（5分）</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5分；以上内容存在1处瑕疵的该条得3分；以上内容存在2处瑕疵的该条得1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（3）项目实施方案（12分）</w:t>
      </w:r>
      <w:r>
        <w:rPr>
          <w:rFonts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cs="宋体"/>
          <w:bCs/>
          <w:sz w:val="24"/>
          <w:szCs w:val="24"/>
        </w:rPr>
        <w:t xml:space="preserve">包括①项目管理实施及</w:t>
      </w:r>
      <w:r>
        <w:rPr>
          <w:rFonts w:hint="eastAsia" w:ascii="宋体" w:hAnsi="宋体" w:cs="宋体"/>
          <w:sz w:val="24"/>
        </w:rPr>
        <w:t xml:space="preserve">质量管理体系（3分）</w:t>
      </w:r>
      <w:r>
        <w:rPr>
          <w:rFonts w:hint="eastAsia" w:ascii="宋体" w:hAnsi="宋体" w:cs="宋体"/>
          <w:bCs/>
          <w:sz w:val="24"/>
          <w:szCs w:val="24"/>
        </w:rPr>
        <w:t xml:space="preserve">；②进度安排及进度控制</w:t>
      </w:r>
      <w:r>
        <w:rPr>
          <w:rFonts w:hint="eastAsia" w:ascii="宋体" w:hAnsi="宋体" w:cs="宋体"/>
          <w:sz w:val="24"/>
        </w:rPr>
        <w:t xml:space="preserve">（3分）</w:t>
      </w:r>
      <w:r>
        <w:rPr>
          <w:rFonts w:hint="eastAsia" w:ascii="宋体" w:hAnsi="宋体" w:cs="宋体"/>
          <w:bCs/>
          <w:sz w:val="24"/>
          <w:szCs w:val="24"/>
        </w:rPr>
        <w:t xml:space="preserve">；③工期保障措施</w:t>
      </w:r>
      <w:r>
        <w:rPr>
          <w:rFonts w:hint="eastAsia" w:ascii="宋体" w:hAnsi="宋体" w:cs="宋体"/>
          <w:sz w:val="24"/>
        </w:rPr>
        <w:t xml:space="preserve">（3分）</w:t>
      </w:r>
      <w:r>
        <w:rPr>
          <w:rFonts w:hint="eastAsia" w:ascii="宋体" w:hAnsi="宋体" w:cs="宋体"/>
          <w:bCs/>
          <w:sz w:val="24"/>
          <w:szCs w:val="24"/>
        </w:rPr>
        <w:t xml:space="preserve">；④</w:t>
      </w:r>
      <w:r>
        <w:rPr>
          <w:rFonts w:hint="eastAsia" w:ascii="宋体" w:hAnsi="宋体" w:cs="宋体"/>
          <w:sz w:val="24"/>
        </w:rPr>
        <w:t xml:space="preserve">安全生产的安排（3分）</w:t>
      </w:r>
      <w:r>
        <w:rPr>
          <w:rFonts w:hint="eastAsia" w:ascii="宋体" w:hAnsi="宋体" w:cs="宋体"/>
          <w:sz w:val="24"/>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分；以上内容存在1处瑕疵的该条得2分；以上内容存在2处瑕疵的该条得1分；未进行阐述或不满足采购需求或内容存在3处及以上瑕疵的该条得0分；本项最高得12分。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（4）质量保密措施（</w:t>
      </w:r>
      <w:r>
        <w:rPr>
          <w:rFonts w:hint="eastAsia" w:ascii="宋体" w:hAnsi="宋体" w:cs="宋体"/>
          <w:b/>
          <w:sz w:val="24"/>
          <w:szCs w:val="24"/>
          <w:lang w:val="en-US" w:eastAsia="zh-CN"/>
        </w:rPr>
        <w:t xml:space="preserve">10</w:t>
      </w:r>
      <w:r>
        <w:rPr>
          <w:rFonts w:hint="eastAsia" w:ascii="宋体" w:hAnsi="宋体" w:cs="宋体"/>
          <w:b/>
          <w:sz w:val="24"/>
          <w:szCs w:val="24"/>
        </w:rPr>
        <w:t xml:space="preserve">分）</w:t>
      </w:r>
      <w:r>
        <w:rPr>
          <w:rFonts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cs="宋体"/>
          <w:bCs/>
          <w:sz w:val="24"/>
          <w:szCs w:val="24"/>
        </w:rPr>
        <w:t xml:space="preserve">包括①质量管理组织机构</w:t>
      </w:r>
      <w:r>
        <w:rPr>
          <w:rFonts w:hint="eastAsia" w:ascii="宋体" w:hAnsi="宋体" w:cs="宋体"/>
          <w:sz w:val="24"/>
        </w:rPr>
        <w:t xml:space="preserve">（</w:t>
      </w:r>
      <w:r>
        <w:rPr>
          <w:rFonts w:hint="eastAsia" w:ascii="宋体" w:hAnsi="宋体" w:cs="宋体"/>
          <w:sz w:val="24"/>
          <w:lang w:val="en-US" w:eastAsia="zh-CN"/>
        </w:rPr>
        <w:t xml:space="preserve">2.5</w:t>
      </w:r>
      <w:r>
        <w:rPr>
          <w:rFonts w:hint="eastAsia" w:ascii="宋体" w:hAnsi="宋体" w:cs="宋体"/>
          <w:sz w:val="24"/>
        </w:rPr>
        <w:t xml:space="preserve">分）</w:t>
      </w:r>
      <w:r>
        <w:rPr>
          <w:rFonts w:hint="eastAsia" w:ascii="宋体" w:hAnsi="宋体" w:cs="宋体"/>
          <w:bCs/>
          <w:sz w:val="24"/>
          <w:szCs w:val="24"/>
        </w:rPr>
        <w:t xml:space="preserve">；②质量保证措施</w:t>
      </w:r>
      <w:r>
        <w:rPr>
          <w:rFonts w:hint="eastAsia" w:ascii="宋体" w:hAnsi="宋体" w:cs="宋体"/>
          <w:sz w:val="24"/>
        </w:rPr>
        <w:t xml:space="preserve">（</w:t>
      </w:r>
      <w:r>
        <w:rPr>
          <w:rFonts w:hint="eastAsia" w:ascii="宋体" w:hAnsi="宋体" w:cs="宋体"/>
          <w:sz w:val="24"/>
          <w:lang w:val="en-US" w:eastAsia="zh-CN"/>
        </w:rPr>
        <w:t xml:space="preserve">2.5</w:t>
      </w:r>
      <w:r>
        <w:rPr>
          <w:rFonts w:hint="eastAsia" w:ascii="宋体" w:hAnsi="宋体" w:cs="宋体"/>
          <w:sz w:val="24"/>
        </w:rPr>
        <w:t xml:space="preserve">分）</w:t>
      </w:r>
      <w:r>
        <w:rPr>
          <w:rFonts w:hint="eastAsia" w:ascii="宋体" w:hAnsi="宋体" w:cs="宋体"/>
          <w:bCs/>
          <w:sz w:val="24"/>
          <w:szCs w:val="24"/>
        </w:rPr>
        <w:t xml:space="preserve">；③</w:t>
      </w:r>
      <w:r>
        <w:rPr>
          <w:rFonts w:hint="eastAsia" w:ascii="宋体" w:hAnsi="宋体" w:cs="宋体"/>
          <w:sz w:val="24"/>
        </w:rPr>
        <w:t xml:space="preserve">安全生产责任制度（</w:t>
      </w:r>
      <w:r>
        <w:rPr>
          <w:rFonts w:hint="eastAsia" w:ascii="宋体" w:hAnsi="宋体" w:cs="宋体"/>
          <w:sz w:val="24"/>
          <w:lang w:val="en-US" w:eastAsia="zh-CN"/>
        </w:rPr>
        <w:t xml:space="preserve">2.5</w:t>
      </w:r>
      <w:r>
        <w:rPr>
          <w:rFonts w:hint="eastAsia" w:ascii="宋体" w:hAnsi="宋体" w:cs="宋体"/>
          <w:sz w:val="24"/>
        </w:rPr>
        <w:t xml:space="preserve">分）</w:t>
      </w:r>
      <w:r>
        <w:rPr>
          <w:rFonts w:hint="eastAsia" w:ascii="宋体" w:hAnsi="宋体" w:cs="宋体"/>
          <w:bCs/>
          <w:sz w:val="24"/>
          <w:szCs w:val="24"/>
        </w:rPr>
        <w:t xml:space="preserve">；④</w:t>
      </w:r>
      <w:r>
        <w:rPr>
          <w:rFonts w:hint="eastAsia" w:ascii="宋体" w:hAnsi="宋体" w:cs="宋体"/>
          <w:sz w:val="24"/>
        </w:rPr>
        <w:t xml:space="preserve">数据资料保密管理制度（</w:t>
      </w:r>
      <w:r>
        <w:rPr>
          <w:rFonts w:hint="eastAsia" w:ascii="宋体" w:hAnsi="宋体" w:cs="宋体"/>
          <w:sz w:val="24"/>
          <w:lang w:val="en-US" w:eastAsia="zh-CN"/>
        </w:rPr>
        <w:t xml:space="preserve">2.5</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2.5</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1.5</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（5）售后服务（</w:t>
      </w:r>
      <w:r>
        <w:rPr>
          <w:rFonts w:hint="eastAsia" w:ascii="宋体" w:hAnsi="宋体" w:cs="宋体"/>
          <w:b/>
          <w:sz w:val="24"/>
          <w:szCs w:val="24"/>
          <w:lang w:val="en-US" w:eastAsia="zh-CN"/>
        </w:rPr>
        <w:t xml:space="preserve">8</w:t>
      </w:r>
      <w:r>
        <w:rPr>
          <w:rFonts w:hint="eastAsia" w:ascii="宋体" w:hAnsi="宋体" w:cs="宋体"/>
          <w:b/>
          <w:sz w:val="24"/>
          <w:szCs w:val="24"/>
        </w:rPr>
        <w:t xml:space="preserve">分）</w:t>
      </w:r>
      <w:r>
        <w:rPr>
          <w:rFonts w:ascii="宋体" w:hAnsi="宋体" w:cs="宋体"/>
          <w:b/>
          <w:sz w:val="24"/>
          <w:szCs w:val="24"/>
        </w:rPr>
      </w:r>
      <w:r/>
    </w:p>
    <w:p>
      <w:pPr>
        <w:pStyle w:val="1277"/>
        <w:ind w:firstLine="480"/>
        <w:jc w:val="left"/>
        <w:spacing w:line="360" w:lineRule="auto"/>
        <w:tabs>
          <w:tab w:val="left" w:pos="945" w:leader="none"/>
          <w:tab w:val="left" w:pos="1155" w:leader="none"/>
        </w:tabs>
        <w:rPr>
          <w:rFonts w:hint="eastAsia" w:ascii="宋体" w:hAnsi="宋体" w:eastAsia="宋体" w:cs="宋体"/>
          <w:bCs/>
          <w:sz w:val="24"/>
          <w:szCs w:val="24"/>
          <w:lang w:eastAsia="zh-CN"/>
        </w:rPr>
      </w:pPr>
      <w:r>
        <w:rPr>
          <w:rFonts w:hint="eastAsia" w:ascii="宋体" w:hAnsi="宋体" w:cs="宋体"/>
          <w:bCs/>
          <w:sz w:val="24"/>
          <w:szCs w:val="24"/>
        </w:rPr>
        <w:t xml:space="preserve">包括①服务体系与培训体系（</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分）；②服务内容（</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分）；③售后服务承诺的保障措施（</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分）；④维护期内外的后续技术支持和维护（</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投标人针对上述内容进行阐述，要求阐述内容合理、条理清晰、针对性强、切实可行有效。以上内容不存在瑕疵的该条得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0.5</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b w:val="0"/>
          <w:bCs/>
          <w:color w:val="000000"/>
          <w:sz w:val="24"/>
          <w:szCs w:val="24"/>
          <w:highlight w:val="none"/>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highlight w:val="none"/>
        </w:rPr>
      </w:r>
      <w:r/>
    </w:p>
    <w:p>
      <w:pPr>
        <w:pStyle w:val="1277"/>
        <w:ind w:firstLine="480"/>
        <w:jc w:val="left"/>
        <w:spacing w:line="360" w:lineRule="auto"/>
        <w:tabs>
          <w:tab w:val="left" w:pos="945" w:leader="none"/>
          <w:tab w:val="left" w:pos="1155" w:leader="none"/>
        </w:tabs>
        <w:rPr>
          <w:highlight w:val="none"/>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highlight w:val="none"/>
        </w:rPr>
      </w:r>
      <w:r/>
    </w:p>
    <w:p>
      <w:pPr>
        <w:pStyle w:val="1277"/>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pStyle w:val="1277"/>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rPr>
          <w:rFonts w:hint="eastAsia" w:ascii="宋体" w:hAnsi="宋体" w:cs="宋体"/>
          <w:bCs/>
          <w:sz w:val="24"/>
          <w:szCs w:val="24"/>
          <w:highlight w:val="none"/>
        </w:rPr>
      </w:r>
      <w:r/>
    </w:p>
    <w:p>
      <w:pPr>
        <w:pStyle w:val="1277"/>
        <w:rPr>
          <w:rFonts w:ascii="黑体" w:eastAsia="黑体"/>
          <w:bCs/>
          <w:sz w:val="32"/>
          <w:highlight w:val="none"/>
        </w:rPr>
      </w:pPr>
      <w:r>
        <w:rPr>
          <w:rFonts w:ascii="黑体" w:eastAsia="黑体"/>
          <w:bCs/>
          <w:sz w:val="3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rPr>
          <w:rFonts w:hint="eastAsia" w:ascii="宋体" w:hAnsi="宋体" w:cs="宋体"/>
          <w:b/>
          <w:sz w:val="52"/>
          <w:szCs w:val="52"/>
          <w:highlight w:val="none"/>
        </w:rPr>
      </w:r>
      <w:r/>
    </w:p>
    <w:p>
      <w:pPr>
        <w:pStyle w:val="1277"/>
        <w:jc w:val="center"/>
        <w:rPr>
          <w:rFonts w:hint="eastAsia" w:ascii="宋体" w:hAnsi="宋体" w:cs="宋体"/>
          <w:b/>
          <w:sz w:val="72"/>
          <w:highlight w:val="none"/>
        </w:rPr>
      </w:pPr>
      <w:r>
        <w:rPr>
          <w:rFonts w:hint="eastAsia" w:ascii="宋体" w:hAnsi="宋体" w:cs="宋体"/>
          <w:b/>
          <w:sz w:val="7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rPr>
          <w:rFonts w:hint="eastAsia" w:ascii="宋体" w:hAnsi="宋体" w:cs="宋体"/>
          <w:b/>
          <w:sz w:val="52"/>
          <w:szCs w:val="52"/>
          <w:highlight w:val="none"/>
        </w:rPr>
      </w:r>
      <w:r/>
    </w:p>
    <w:p>
      <w:pPr>
        <w:pStyle w:val="1277"/>
        <w:jc w:val="center"/>
        <w:rPr>
          <w:rFonts w:hint="eastAsia" w:ascii="宋体" w:hAnsi="宋体" w:cs="宋体"/>
          <w:b/>
          <w:sz w:val="72"/>
          <w:highlight w:val="none"/>
        </w:rPr>
      </w:pPr>
      <w:r>
        <w:rPr>
          <w:rFonts w:hint="eastAsia" w:ascii="宋体" w:hAnsi="宋体" w:cs="宋体"/>
          <w:b/>
          <w:sz w:val="7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rPr>
          <w:rFonts w:hint="eastAsia" w:ascii="宋体" w:hAnsi="宋体" w:cs="宋体"/>
          <w:b/>
          <w:sz w:val="52"/>
          <w:szCs w:val="52"/>
          <w:highlight w:val="none"/>
        </w:rPr>
      </w:r>
      <w:r/>
    </w:p>
    <w:p>
      <w:pPr>
        <w:pStyle w:val="1277"/>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311"/>
        <w:jc w:val="center"/>
        <w:tabs>
          <w:tab w:val="center" w:pos="4153" w:leader="none"/>
          <w:tab w:val="right" w:pos="8306" w:leader="none"/>
        </w:tabs>
        <w:rPr>
          <w:rFonts w:hint="eastAsia" w:ascii="宋体" w:hAnsi="宋体" w:cs="宋体"/>
          <w:bCs/>
          <w:sz w:val="52"/>
          <w:szCs w:val="52"/>
          <w:highlight w:val="none"/>
        </w:rPr>
      </w:pPr>
      <w:r>
        <w:rPr>
          <w:rFonts w:hint="eastAsia" w:ascii="宋体" w:hAnsi="宋体" w:cs="宋体"/>
          <w:bCs/>
          <w:sz w:val="52"/>
          <w:szCs w:val="52"/>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rPr>
          <w:rFonts w:hint="eastAsia" w:ascii="宋体" w:hAnsi="宋体" w:cs="宋体"/>
          <w:highlight w:val="none"/>
        </w:rPr>
      </w:pPr>
      <w:r>
        <w:rPr>
          <w:rFonts w:hint="eastAsia" w:ascii="宋体" w:hAnsi="宋体" w:cs="宋体"/>
          <w:highlight w:val="none"/>
        </w:rPr>
      </w:r>
      <w:r/>
    </w:p>
    <w:p>
      <w:pPr>
        <w:pStyle w:val="1277"/>
        <w:spacing w:line="360" w:lineRule="auto"/>
        <w:rPr>
          <w:rFonts w:hint="eastAsia" w:ascii="宋体" w:hAnsi="宋体" w:eastAsia="宋体" w:cs="宋体"/>
          <w:bCs/>
          <w:sz w:val="30"/>
          <w:szCs w:val="30"/>
          <w:highlight w:val="none"/>
          <w:lang w:eastAsia="zh-CN"/>
        </w:rPr>
      </w:pPr>
      <w:r/>
      <w:bookmarkStart w:id="34" w:name="_Toc3725"/>
      <w:r/>
      <w:bookmarkStart w:id="35" w:name="_Toc31708"/>
      <w:r>
        <w:rPr>
          <w:rFonts w:hint="eastAsia" w:ascii="宋体" w:hAnsi="宋体" w:cs="宋体"/>
          <w:bCs/>
          <w:sz w:val="30"/>
          <w:szCs w:val="30"/>
          <w:highlight w:val="none"/>
        </w:rPr>
        <w:t xml:space="preserve">采购项目编号：</w:t>
      </w:r>
      <w:bookmarkEnd w:id="34"/>
      <w:r/>
      <w:bookmarkEnd w:id="35"/>
      <w:r>
        <w:rPr>
          <w:rFonts w:hint="eastAsia" w:ascii="宋体" w:hAnsi="宋体" w:cs="宋体"/>
          <w:sz w:val="30"/>
          <w:szCs w:val="30"/>
          <w:highlight w:val="none"/>
          <w:lang w:eastAsia="zh-CN"/>
        </w:rPr>
        <w:t xml:space="preserve">JSZC-320205-THGC-G2025-0030</w:t>
      </w:r>
      <w:r>
        <w:rPr>
          <w:rFonts w:hint="eastAsia" w:ascii="宋体" w:hAnsi="宋体" w:eastAsia="宋体" w:cs="宋体"/>
          <w:bCs/>
          <w:sz w:val="30"/>
          <w:szCs w:val="30"/>
          <w:highlight w:val="none"/>
          <w:lang w:eastAsia="zh-CN"/>
        </w:rPr>
      </w:r>
      <w:r/>
    </w:p>
    <w:p>
      <w:pPr>
        <w:pStyle w:val="1277"/>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全区耕地保护动态监测（2025-2026）</w:t>
      </w:r>
      <w:r>
        <w:rPr>
          <w:rFonts w:hint="eastAsia" w:ascii="宋体" w:hAnsi="宋体" w:eastAsia="宋体"/>
          <w:bCs/>
          <w:sz w:val="30"/>
          <w:szCs w:val="30"/>
          <w:highlight w:val="none"/>
          <w:lang w:eastAsia="zh-CN"/>
        </w:rPr>
      </w:r>
      <w:r/>
    </w:p>
    <w:p>
      <w:pPr>
        <w:pStyle w:val="1277"/>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rPr>
          <w:rFonts w:hint="eastAsia" w:ascii="宋体" w:hAnsi="宋体" w:cs="宋体"/>
          <w:bCs/>
          <w:sz w:val="28"/>
          <w:szCs w:val="28"/>
          <w:highlight w:val="none"/>
        </w:rPr>
      </w:r>
      <w:r/>
    </w:p>
    <w:p>
      <w:pPr>
        <w:pStyle w:val="1277"/>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6" w:name="一．报价函（格式）"/>
      <w:r/>
      <w:bookmarkEnd w:id="36"/>
      <w:r>
        <w:rPr>
          <w:rFonts w:hint="eastAsia" w:ascii="宋体" w:hAnsi="宋体" w:cs="宋体"/>
          <w:bCs/>
          <w:sz w:val="28"/>
          <w:szCs w:val="28"/>
          <w:highlight w:val="none"/>
        </w:rPr>
      </w:r>
      <w:r/>
    </w:p>
    <w:p>
      <w:pPr>
        <w:pStyle w:val="1277"/>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highlight w:val="none"/>
        </w:rPr>
      </w:r>
      <w:r/>
    </w:p>
    <w:p>
      <w:pPr>
        <w:pStyle w:val="1277"/>
        <w:rPr>
          <w:rFonts w:hint="eastAsia"/>
          <w:highlight w:val="none"/>
        </w:rPr>
        <w:outlineLvl w:val="2"/>
      </w:pPr>
      <w:r>
        <w:rPr>
          <w:rFonts w:hint="eastAsia" w:ascii="宋体" w:hAnsi="宋体" w:cs="宋体"/>
          <w:b/>
          <w:sz w:val="24"/>
          <w:szCs w:val="24"/>
          <w:highlight w:val="none"/>
        </w:rPr>
        <w:t xml:space="preserve">（一）投标函（格式）：</w:t>
      </w:r>
      <w:r>
        <w:rPr>
          <w:rFonts w:hint="eastAsia"/>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spacing w:line="360" w:lineRule="auto"/>
        <w:rPr>
          <w:rFonts w:hint="eastAsia"/>
          <w:highlight w:val="none"/>
        </w:rPr>
      </w:pPr>
      <w:r>
        <w:rPr>
          <w:rFonts w:hint="eastAsia" w:ascii="宋体" w:hAnsi="宋体" w:cs="宋体"/>
          <w:bCs/>
          <w:sz w:val="24"/>
          <w:szCs w:val="24"/>
          <w:highlight w:val="none"/>
        </w:rPr>
        <w:t xml:space="preserve">投标函</w:t>
      </w:r>
      <w:r>
        <w:rPr>
          <w:rFonts w:hint="eastAsia"/>
          <w:highlight w:val="none"/>
        </w:rPr>
      </w:r>
      <w:r/>
    </w:p>
    <w:p>
      <w:pPr>
        <w:pStyle w:val="1277"/>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江苏通汇工程管理咨询有限公司</w:t>
      </w:r>
      <w:r>
        <w:rPr>
          <w:rFonts w:hint="eastAsia" w:ascii="宋体" w:hAnsi="宋体" w:cs="宋体"/>
          <w:bCs/>
          <w:sz w:val="24"/>
          <w:szCs w:val="24"/>
          <w:highlight w:val="none"/>
          <w:u w:val="singl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rPr>
          <w:rFonts w:hint="eastAsia" w:ascii="宋体" w:hAnsi="宋体" w:cs="宋体"/>
          <w:bCs/>
          <w:sz w:val="24"/>
          <w:szCs w:val="24"/>
          <w:highlight w:val="none"/>
        </w:rPr>
      </w:r>
      <w:r/>
    </w:p>
    <w:p>
      <w:pPr>
        <w:pStyle w:val="1277"/>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64"/>
          <w:rFonts w:hint="eastAsia"/>
          <w:bCs/>
          <w:highlight w:val="none"/>
        </w:rPr>
      </w:pPr>
      <w:r>
        <w:rPr>
          <w:rFonts w:hint="eastAsia" w:ascii="宋体" w:hAnsi="宋体" w:cs="宋体"/>
          <w:bCs/>
          <w:sz w:val="24"/>
          <w:szCs w:val="24"/>
          <w:highlight w:val="none"/>
        </w:rPr>
        <w:t xml:space="preserve">二、我方愿意提供江苏通汇工程管理咨询有限公司在招标文件中要求的文件、资料。</w:t>
      </w:r>
      <w:r>
        <w:rPr>
          <w:rStyle w:val="1364"/>
          <w:rFonts w:hint="eastAsia"/>
          <w:bCs/>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rPr>
          <w:rFonts w:hint="eastAsia" w:ascii="宋体" w:hAnsi="宋体" w:cs="宋体"/>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rPr>
          <w:rFonts w:hint="eastAsia" w:ascii="宋体" w:hAnsi="宋体" w:cs="宋体"/>
          <w:bCs/>
          <w:sz w:val="24"/>
          <w:szCs w:val="24"/>
          <w:highlight w:val="none"/>
        </w:rPr>
      </w:r>
      <w:r/>
    </w:p>
    <w:p>
      <w:pPr>
        <w:pStyle w:val="1277"/>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rPr>
          <w:rFonts w:hint="eastAsia" w:ascii="宋体" w:hAnsi="宋体" w:cs="宋体"/>
          <w:bCs/>
          <w:sz w:val="24"/>
          <w:szCs w:val="24"/>
          <w:highlight w:val="none"/>
        </w:rPr>
      </w:r>
      <w:r/>
    </w:p>
    <w:p>
      <w:pPr>
        <w:pStyle w:val="1277"/>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rPr>
          <w:rFonts w:hint="eastAsia" w:ascii="宋体" w:hAnsi="宋体" w:cs="宋体"/>
          <w:bCs/>
          <w:sz w:val="24"/>
          <w:szCs w:val="24"/>
          <w:highlight w:val="none"/>
        </w:rPr>
      </w:r>
      <w:r/>
    </w:p>
    <w:p>
      <w:pPr>
        <w:pStyle w:val="1277"/>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rPr>
          <w:rFonts w:hint="eastAsia" w:ascii="宋体" w:hAnsi="宋体" w:cs="宋体"/>
          <w:b/>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bookmarkStart w:id="37" w:name="报价方关于资格的声明函（格式）"/>
      <w:r/>
      <w:bookmarkEnd w:id="37"/>
      <w:r>
        <w:rPr>
          <w:rFonts w:hint="eastAsia" w:ascii="宋体" w:hAnsi="宋体" w:cs="宋体"/>
          <w:bCs/>
          <w:sz w:val="24"/>
          <w:szCs w:val="24"/>
          <w:highlight w:val="none"/>
        </w:rPr>
        <w:t xml:space="preserve">关于资格的声明函</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rPr>
          <w:rFonts w:ascii="宋体" w:hAnsi="宋体" w:cs="宋体"/>
          <w:bCs/>
          <w:sz w:val="24"/>
          <w:szCs w:val="24"/>
          <w:highlight w:val="none"/>
        </w:rPr>
      </w:r>
      <w:r/>
    </w:p>
    <w:p>
      <w:pPr>
        <w:pStyle w:val="1277"/>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rPr>
          <w:rFonts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rPr>
          <w:rFonts w:hint="eastAsia" w:ascii="宋体" w:hAnsi="宋体" w:cs="宋体"/>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rPr>
          <w:rFonts w:hint="eastAsia" w:ascii="宋体" w:hAnsi="宋体" w:cs="宋体"/>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277"/>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277"/>
        <w:rPr>
          <w:rFonts w:hint="eastAsia" w:ascii="宋体" w:hAnsi="宋体" w:cs="宋体"/>
          <w:sz w:val="24"/>
          <w:szCs w:val="24"/>
          <w:highlight w:val="none"/>
        </w:rPr>
      </w:pPr>
      <w:r>
        <w:rPr>
          <w:rFonts w:hint="eastAsia" w:ascii="宋体" w:hAnsi="宋体" w:cs="宋体"/>
          <w:sz w:val="24"/>
          <w:szCs w:val="24"/>
          <w:highlight w:val="none"/>
        </w:rPr>
      </w:r>
      <w:r/>
    </w:p>
    <w:p>
      <w:pPr>
        <w:pStyle w:val="1302"/>
        <w:ind w:left="0"/>
        <w:rPr>
          <w:rFonts w:hint="eastAsia" w:ascii="宋体" w:hAnsi="宋体" w:cs="宋体"/>
          <w:sz w:val="24"/>
          <w:highlight w:val="none"/>
        </w:rPr>
      </w:pPr>
      <w:r>
        <w:rPr>
          <w:rFonts w:hint="eastAsia" w:ascii="宋体" w:hAnsi="宋体" w:cs="宋体"/>
          <w:sz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（三）</w:t>
      </w:r>
      <w:r>
        <w:rPr>
          <w:rFonts w:hint="eastAsia" w:ascii="宋体" w:hAnsi="宋体" w:cs="宋体"/>
          <w:b/>
          <w:sz w:val="24"/>
          <w:szCs w:val="24"/>
          <w:highlight w:val="none"/>
        </w:rPr>
        <w:t xml:space="preserve">（投标人）</w:t>
      </w:r>
      <w:r>
        <w:rPr>
          <w:rFonts w:hint="eastAsia" w:ascii="宋体" w:hAnsi="宋体" w:cs="宋体"/>
          <w:b/>
          <w:sz w:val="24"/>
          <w:szCs w:val="24"/>
          <w:highlight w:val="none"/>
        </w:rPr>
        <w:t xml:space="preserve">法定代表人授权委托书（格式）：</w:t>
      </w:r>
      <w:r>
        <w:rPr>
          <w:rFonts w:hint="eastAsia" w:ascii="宋体" w:hAnsi="宋体" w:cs="宋体"/>
          <w:b/>
          <w:sz w:val="24"/>
          <w:szCs w:val="24"/>
          <w:highlight w:val="none"/>
        </w:rPr>
      </w:r>
      <w:r/>
    </w:p>
    <w:p>
      <w:pPr>
        <w:pStyle w:val="1277"/>
        <w:spacing w:line="360" w:lineRule="auto"/>
        <w:rPr>
          <w:rFonts w:hint="eastAsia" w:ascii="宋体" w:hAnsi="宋体" w:cs="宋体"/>
          <w:bCs/>
          <w:sz w:val="24"/>
          <w:szCs w:val="24"/>
          <w:highlight w:val="none"/>
        </w:rPr>
      </w:pPr>
      <w:r/>
      <w:bookmarkStart w:id="38" w:name="_Toc32348"/>
      <w:r/>
      <w:bookmarkStart w:id="39" w:name="_Toc2444"/>
      <w:r>
        <w:rPr>
          <w:rFonts w:hint="eastAsia" w:ascii="宋体" w:hAnsi="宋体" w:cs="宋体"/>
          <w:bCs/>
          <w:sz w:val="24"/>
          <w:szCs w:val="24"/>
          <w:highlight w:val="none"/>
        </w:rPr>
      </w:r>
      <w:r/>
    </w:p>
    <w:p>
      <w:pPr>
        <w:pStyle w:val="1277"/>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8"/>
      <w:r/>
      <w:bookmarkEnd w:id="39"/>
      <w:r>
        <w:rPr>
          <w:rFonts w:hint="eastAsia" w:ascii="宋体" w:hAnsi="宋体" w:cs="宋体"/>
          <w:bCs/>
          <w:sz w:val="24"/>
          <w:szCs w:val="24"/>
          <w:highlight w:val="none"/>
        </w:rPr>
      </w:r>
      <w:r/>
    </w:p>
    <w:p>
      <w:pPr>
        <w:pStyle w:val="1277"/>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p>
      <w:pPr>
        <w:pStyle w:val="1277"/>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日期：</w:t>
      </w: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w:t>
      </w:r>
      <w:r>
        <w:rPr>
          <w:rFonts w:hint="eastAsia" w:ascii="宋体" w:hAnsi="宋体" w:cs="宋体"/>
          <w:bCs/>
          <w:sz w:val="24"/>
          <w:szCs w:val="24"/>
          <w:highlight w:val="none"/>
        </w:rPr>
      </w:r>
      <w:r/>
    </w:p>
    <w:p>
      <w:pPr>
        <w:pStyle w:val="1277"/>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rPr>
          <w:rFonts w:hint="eastAsia" w:ascii="宋体" w:hAnsi="宋体" w:cs="宋体"/>
          <w:bCs/>
          <w:sz w:val="24"/>
          <w:szCs w:val="24"/>
          <w:highlight w:val="none"/>
        </w:rPr>
      </w:r>
      <w:r/>
    </w:p>
    <w:p>
      <w:pPr>
        <w:pStyle w:val="1277"/>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rPr>
          <w:rFonts w:hint="eastAsia" w:ascii="宋体" w:hAnsi="宋体" w:cs="宋体"/>
          <w:bCs/>
          <w:sz w:val="24"/>
          <w:szCs w:val="24"/>
          <w:highlight w:val="none"/>
        </w:rPr>
      </w:r>
      <w:r/>
    </w:p>
    <w:p>
      <w:pPr>
        <w:pStyle w:val="1277"/>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rPr>
          <w:rFonts w:hint="eastAsia" w:ascii="宋体" w:hAnsi="宋体" w:cs="宋体"/>
          <w:bCs/>
          <w:sz w:val="24"/>
          <w:szCs w:val="24"/>
          <w:highlight w:val="none"/>
        </w:rPr>
      </w:r>
      <w:r/>
    </w:p>
    <w:p>
      <w:pPr>
        <w:pStyle w:val="1336"/>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33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277"/>
        <w:rPr>
          <w:rFonts w:hint="eastAsia"/>
          <w:highlight w:val="none"/>
        </w:rPr>
      </w:pPr>
      <w:r>
        <w:rPr>
          <w:rFonts w:hint="eastAsia"/>
          <w:highlight w:val="none"/>
        </w:rPr>
      </w:r>
      <w:r/>
    </w:p>
    <w:p>
      <w:pPr>
        <w:pStyle w:val="1277"/>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rPr>
          <w:rFonts w:hint="eastAsia" w:ascii="宋体" w:hAnsi="宋体" w:cs="宋体"/>
          <w:b/>
          <w:sz w:val="24"/>
          <w:szCs w:val="24"/>
          <w:highlight w:val="none"/>
        </w:rPr>
      </w:r>
      <w:r/>
    </w:p>
    <w:p>
      <w:pPr>
        <w:pStyle w:val="1277"/>
        <w:jc w:val="center"/>
        <w:spacing w:line="360" w:lineRule="auto"/>
        <w:rPr>
          <w:rFonts w:ascii="宋体" w:hAnsi="宋体"/>
          <w:b/>
          <w:sz w:val="28"/>
          <w:szCs w:val="28"/>
          <w:highlight w:val="none"/>
        </w:rPr>
      </w:pPr>
      <w:r>
        <w:rPr>
          <w:rFonts w:ascii="宋体" w:hAnsi="宋体"/>
          <w:b/>
          <w:sz w:val="28"/>
          <w:szCs w:val="28"/>
          <w:highlight w:val="none"/>
        </w:rPr>
      </w:r>
      <w:r/>
    </w:p>
    <w:p>
      <w:pPr>
        <w:pStyle w:val="1277"/>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277"/>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rPr>
          <w:rFonts w:ascii="宋体" w:hAnsi="宋体"/>
          <w:sz w:val="24"/>
          <w:szCs w:val="24"/>
          <w:highlight w:val="none"/>
        </w:rPr>
      </w:r>
      <w:r/>
    </w:p>
    <w:p>
      <w:pPr>
        <w:pStyle w:val="1277"/>
        <w:ind w:firstLine="612"/>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rPr>
          <w:rFonts w:ascii="宋体" w:hAnsi="宋体"/>
          <w:sz w:val="24"/>
          <w:szCs w:val="24"/>
          <w:highlight w:val="none"/>
          <w:u w:val="singl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ascii="宋体" w:hAnsi="宋体"/>
          <w:sz w:val="24"/>
          <w:szCs w:val="24"/>
          <w:highlight w:val="none"/>
        </w:rPr>
      </w:r>
      <w:r/>
    </w:p>
    <w:p>
      <w:pPr>
        <w:pStyle w:val="1277"/>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277"/>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277"/>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rPr>
          <w:rFonts w:hint="eastAsia" w:ascii="宋体" w:hAnsi="宋体" w:cs="宋体"/>
          <w:bCs/>
          <w:color w:val="000000"/>
          <w:sz w:val="24"/>
          <w:szCs w:val="24"/>
          <w:highlight w:val="none"/>
        </w:rPr>
        <w:outlineLvl w:val="9"/>
      </w:pPr>
      <w:r/>
      <w:bookmarkStart w:id="40" w:name="_Toc7396"/>
      <w:r/>
      <w:bookmarkStart w:id="41" w:name="_Toc19047"/>
      <w:r>
        <w:rPr>
          <w:rFonts w:hint="eastAsia" w:ascii="宋体" w:hAnsi="宋体" w:cs="宋体"/>
          <w:bCs/>
          <w:color w:val="000000"/>
          <w:sz w:val="24"/>
          <w:szCs w:val="24"/>
          <w:highlight w:val="none"/>
        </w:rPr>
      </w:r>
      <w:r/>
    </w:p>
    <w:p>
      <w:pPr>
        <w:pStyle w:val="133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336"/>
        <w:rPr>
          <w:rFonts w:hint="eastAsia"/>
          <w:highlight w:val="none"/>
        </w:rPr>
      </w:pPr>
      <w:r>
        <w:rPr>
          <w:rFonts w:hint="eastAsia"/>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0"/>
      <w:r/>
      <w:bookmarkEnd w:id="41"/>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rPr>
          <w:rFonts w:hint="eastAsia" w:ascii="宋体" w:hAnsi="宋体" w:cs="宋体"/>
          <w:sz w:val="24"/>
          <w:szCs w:val="24"/>
          <w:highlight w:val="none"/>
        </w:rPr>
      </w:r>
      <w:r/>
    </w:p>
    <w:p>
      <w:pPr>
        <w:pStyle w:val="1302"/>
        <w:ind w:left="1260"/>
        <w:rPr>
          <w:rFonts w:hint="eastAsia" w:ascii="宋体" w:hAnsi="宋体" w:cs="宋体"/>
          <w:sz w:val="24"/>
          <w:highlight w:val="none"/>
        </w:rPr>
      </w:pPr>
      <w:r>
        <w:rPr>
          <w:rFonts w:hint="eastAsia" w:ascii="宋体" w:hAnsi="宋体" w:cs="宋体"/>
          <w:sz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277"/>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列入失信被执行人、重大税收违法案件当事人名单、政府采购严重违法失信行为记录名单。</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277"/>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pStyle w:val="1277"/>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77"/>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77"/>
        <w:spacing w:line="480" w:lineRule="auto"/>
        <w:rPr>
          <w:rFonts w:hint="eastAsia" w:ascii="宋体" w:hAnsi="宋体" w:eastAsia="宋体" w:cs="宋体"/>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）开标一览表（格式）：</w:t>
      </w:r>
      <w:r>
        <w:rPr>
          <w:rFonts w:hint="eastAsia" w:ascii="宋体" w:hAnsi="宋体" w:cs="宋体"/>
          <w:b/>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297"/>
        <w:rPr>
          <w:rFonts w:hint="eastAsia"/>
          <w:color w:val="000000"/>
          <w:highlight w:val="none"/>
        </w:rPr>
        <w:outlineLvl w:val="9"/>
      </w:pPr>
      <w:r>
        <w:rPr>
          <w:rFonts w:hint="eastAsia"/>
          <w:color w:val="000000"/>
          <w:highlight w:val="none"/>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JSZC-320205-THGC-G2025-0030</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27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277"/>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277"/>
              <w:ind w:left="0" w:right="0"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详见投标文件</w:t>
            </w: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27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2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7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27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97"/>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297"/>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277"/>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3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277"/>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left="720" w:hanging="720"/>
        <w:spacing w:line="400" w:lineRule="exact"/>
        <w:rPr>
          <w:rFonts w:hint="eastAsia" w:ascii="宋体" w:hAnsi="宋体" w:cs="宋体"/>
          <w:bCs/>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bookmarkStart w:id="42" w:name="_Toc11575"/>
      <w:r/>
      <w:bookmarkStart w:id="43" w:name="_Toc17818"/>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）服务保障承诺书</w:t>
      </w:r>
      <w:bookmarkEnd w:id="42"/>
      <w:r/>
      <w:bookmarkEnd w:id="43"/>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rPr>
          <w:rFonts w:hint="eastAsia" w:ascii="宋体" w:hAnsi="宋体" w:cs="宋体"/>
          <w:sz w:val="24"/>
          <w:szCs w:val="24"/>
          <w:highlight w:val="none"/>
        </w:rPr>
      </w:r>
      <w:r/>
    </w:p>
    <w:p>
      <w:pPr>
        <w:pStyle w:val="1277"/>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rPr>
          <w:rFonts w:hint="eastAsia" w:ascii="宋体" w:hAnsi="宋体" w:cs="宋体"/>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3、本公司承诺中标后器具、设备确保满足项目最低配置的要求</w:t>
      </w:r>
      <w:r>
        <w:rPr>
          <w:rFonts w:hint="eastAsia" w:ascii="宋体" w:hAnsi="宋体" w:cs="宋体"/>
          <w:sz w:val="24"/>
          <w:szCs w:val="24"/>
          <w:highlight w:val="none"/>
        </w:rPr>
        <w:t xml:space="preserve">。</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4、本公司承诺保质保量按时完成主管部门安排的指令性任务。</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5、本公司承诺中标之后人员配置按工种及人数要求配置到位。</w:t>
      </w:r>
      <w:r>
        <w:rPr>
          <w:rFonts w:hint="eastAsia" w:ascii="宋体" w:hAnsi="宋体" w:cs="宋体"/>
          <w:bCs/>
          <w:sz w:val="24"/>
          <w:szCs w:val="24"/>
          <w:highlight w:val="none"/>
        </w:rPr>
      </w:r>
      <w:r/>
    </w:p>
    <w:p>
      <w:pPr>
        <w:pStyle w:val="1277"/>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rPr>
          <w:rFonts w:hint="eastAsia" w:ascii="宋体" w:hAnsi="宋体" w:cs="宋体"/>
          <w:bCs/>
          <w:sz w:val="24"/>
          <w:szCs w:val="24"/>
          <w:highlight w:val="none"/>
        </w:rPr>
      </w:r>
      <w:r/>
    </w:p>
    <w:p>
      <w:pPr>
        <w:pStyle w:val="1277"/>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rPr>
          <w:rFonts w:hint="eastAsia" w:ascii="宋体" w:hAnsi="宋体" w:cs="宋体"/>
          <w:bCs/>
          <w:sz w:val="24"/>
          <w:szCs w:val="24"/>
          <w:highlight w:val="none"/>
        </w:rPr>
      </w:r>
      <w:r/>
    </w:p>
    <w:p>
      <w:pPr>
        <w:pStyle w:val="1277"/>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rPr>
          <w:rFonts w:hint="eastAsia" w:ascii="宋体" w:hAnsi="宋体" w:cs="宋体"/>
          <w:bCs/>
          <w:sz w:val="24"/>
          <w:szCs w:val="24"/>
          <w:highlight w:val="none"/>
        </w:rPr>
      </w:r>
      <w:r/>
    </w:p>
    <w:p>
      <w:pPr>
        <w:pStyle w:val="1297"/>
        <w:ind w:firstLine="6720"/>
        <w:rPr>
          <w:rFonts w:hint="eastAsia" w:eastAsia="宋体"/>
          <w:highlight w:val="none"/>
        </w:rPr>
      </w:pPr>
      <w:r>
        <w:rPr>
          <w:rFonts w:hint="eastAsia" w:ascii="宋体" w:hAnsi="宋体" w:eastAsia="宋体" w:cs="宋体"/>
          <w:sz w:val="24"/>
          <w:szCs w:val="24"/>
          <w:highlight w:val="none"/>
        </w:rPr>
        <w:t xml:space="preserve">日  期：</w:t>
      </w:r>
      <w:r>
        <w:rPr>
          <w:rFonts w:hint="eastAsia" w:eastAsia="宋体"/>
          <w:highlight w:val="none"/>
        </w:rPr>
      </w:r>
      <w:r/>
    </w:p>
    <w:p>
      <w:pPr>
        <w:pStyle w:val="1277"/>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rPr>
          <w:rFonts w:hint="eastAsia" w:ascii="宋体" w:hAnsi="宋体" w:cs="宋体"/>
          <w:b/>
          <w:sz w:val="24"/>
          <w:szCs w:val="24"/>
          <w:highlight w:val="none"/>
        </w:rPr>
      </w:r>
      <w:r/>
    </w:p>
    <w:p>
      <w:pPr>
        <w:pStyle w:val="129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326"/>
        <w:ind w:firstLine="241"/>
        <w:rPr>
          <w:rFonts w:hint="eastAsia" w:ascii="宋体" w:hAnsi="宋体" w:cs="宋体"/>
          <w:b/>
          <w:sz w:val="24"/>
          <w:highlight w:val="none"/>
        </w:rPr>
      </w:pPr>
      <w:r>
        <w:rPr>
          <w:rFonts w:hint="eastAsia" w:ascii="宋体" w:hAnsi="宋体" w:cs="宋体"/>
          <w:b/>
          <w:sz w:val="24"/>
          <w:highlight w:val="none"/>
        </w:rPr>
      </w:r>
      <w:r/>
    </w:p>
    <w:p>
      <w:pPr>
        <w:pStyle w:val="1326"/>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highlight w:val="none"/>
        </w:rPr>
      </w:r>
      <w:r/>
    </w:p>
    <w:p>
      <w:pPr>
        <w:pStyle w:val="1277"/>
        <w:rPr>
          <w:rFonts w:hint="eastAsia" w:ascii="宋体" w:hAnsi="宋体" w:cs="宋体"/>
          <w:b/>
          <w:sz w:val="24"/>
          <w:szCs w:val="24"/>
          <w:highlight w:val="none"/>
        </w:rPr>
        <w:outlineLvl w:val="2"/>
      </w:pPr>
      <w:r/>
      <w:bookmarkStart w:id="44" w:name="_Toc28479"/>
      <w:r/>
      <w:bookmarkStart w:id="45" w:name="_Toc4377"/>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）投标偏离表</w:t>
      </w:r>
      <w:bookmarkEnd w:id="44"/>
      <w:r/>
      <w:bookmarkEnd w:id="45"/>
      <w:r>
        <w:rPr>
          <w:rFonts w:hint="eastAsia" w:ascii="宋体" w:hAnsi="宋体" w:cs="宋体"/>
          <w:b/>
          <w:sz w:val="24"/>
          <w:szCs w:val="24"/>
          <w:highlight w:val="none"/>
        </w:rPr>
        <w:t xml:space="preserve">（格式）：</w:t>
      </w:r>
      <w:r>
        <w:rPr>
          <w:rFonts w:hint="eastAsia" w:ascii="宋体" w:hAnsi="宋体" w:cs="宋体"/>
          <w:b/>
          <w:sz w:val="24"/>
          <w:szCs w:val="24"/>
          <w:highlight w:val="none"/>
        </w:rPr>
      </w:r>
      <w:r/>
    </w:p>
    <w:p>
      <w:pPr>
        <w:pStyle w:val="1277"/>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20"/>
        <w:jc w:val="center"/>
        <w:rPr>
          <w:rFonts w:hint="eastAsia" w:ascii="宋体" w:hAnsi="宋体" w:cs="宋体"/>
          <w:bCs/>
          <w:sz w:val="24"/>
          <w:szCs w:val="24"/>
          <w:highlight w:val="none"/>
        </w:rPr>
      </w:pPr>
      <w:r/>
      <w:bookmarkStart w:id="46" w:name="_Toc25155"/>
      <w:r/>
      <w:bookmarkStart w:id="47" w:name="_Toc27971"/>
      <w:r>
        <w:rPr>
          <w:rFonts w:hint="eastAsia" w:ascii="宋体" w:hAnsi="宋体" w:cs="宋体"/>
          <w:bCs/>
          <w:sz w:val="24"/>
          <w:szCs w:val="24"/>
          <w:highlight w:val="none"/>
        </w:rPr>
        <w:t xml:space="preserve">投标偏离表</w:t>
      </w:r>
      <w:bookmarkEnd w:id="46"/>
      <w:r/>
      <w:bookmarkEnd w:id="47"/>
      <w:r>
        <w:rPr>
          <w:rFonts w:hint="eastAsia" w:ascii="宋体" w:hAnsi="宋体" w:cs="宋体"/>
          <w:bCs/>
          <w:sz w:val="24"/>
          <w:szCs w:val="24"/>
          <w:highlight w:val="none"/>
        </w:rPr>
      </w:r>
      <w:r/>
    </w:p>
    <w:p>
      <w:pPr>
        <w:pStyle w:val="1277"/>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rPr>
          <w:rFonts w:hint="eastAsia" w:ascii="宋体" w:hAnsi="宋体" w:cs="宋体"/>
          <w:bCs/>
          <w:sz w:val="24"/>
          <w:szCs w:val="24"/>
          <w:highlight w:val="none"/>
        </w:rPr>
      </w:r>
      <w:r/>
    </w:p>
    <w:p>
      <w:pPr>
        <w:pStyle w:val="1277"/>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rPr>
          <w:rFonts w:hint="eastAsia" w:ascii="宋体" w:hAnsi="宋体" w:cs="宋体"/>
          <w:bCs/>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3120"/>
        <w:rPr>
          <w:rFonts w:hint="eastAsia" w:ascii="宋体" w:hAnsi="宋体" w:cs="宋体"/>
          <w:b/>
          <w:bCs/>
          <w:sz w:val="24"/>
          <w:szCs w:val="24"/>
          <w:highlight w:val="none"/>
        </w:rPr>
      </w:pPr>
      <w:r/>
      <w:bookmarkStart w:id="48" w:name="_Toc24453"/>
      <w:r/>
      <w:bookmarkStart w:id="49" w:name="_Toc31759"/>
      <w:r>
        <w:rPr>
          <w:rFonts w:hint="eastAsia" w:ascii="宋体" w:hAnsi="宋体" w:cs="宋体"/>
          <w:b/>
          <w:bCs/>
          <w:sz w:val="24"/>
          <w:szCs w:val="24"/>
          <w:highlight w:val="none"/>
        </w:rPr>
        <w:t xml:space="preserve">法定代表人或法定代表人授权代表签字或盖章：</w:t>
      </w:r>
      <w:bookmarkEnd w:id="48"/>
      <w:r/>
      <w:bookmarkEnd w:id="49"/>
      <w:r>
        <w:rPr>
          <w:rFonts w:hint="eastAsia" w:ascii="宋体" w:hAnsi="宋体" w:cs="宋体"/>
          <w:b/>
          <w:bCs/>
          <w:sz w:val="24"/>
          <w:szCs w:val="24"/>
          <w:highlight w:val="none"/>
        </w:rPr>
      </w:r>
      <w:r/>
    </w:p>
    <w:p>
      <w:pPr>
        <w:pStyle w:val="1297"/>
        <w:ind w:left="7228" w:hanging="7200"/>
        <w:rPr>
          <w:rFonts w:eastAsia="宋体"/>
          <w:highlight w:val="none"/>
        </w:rPr>
      </w:pPr>
      <w:r>
        <w:rPr>
          <w:rFonts w:hint="eastAsia" w:ascii="宋体" w:hAnsi="宋体" w:eastAsia="宋体" w:cs="宋体"/>
          <w:b/>
          <w:sz w:val="24"/>
          <w:szCs w:val="24"/>
          <w:highlight w:val="none"/>
        </w:rPr>
        <w:t xml:space="preserve">                                                                  日  期：</w:t>
      </w:r>
      <w:r>
        <w:rPr>
          <w:rFonts w:eastAsia="宋体"/>
          <w:highlight w:val="none"/>
        </w:rPr>
      </w:r>
      <w:r/>
    </w:p>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rPr>
          <w:rFonts w:hint="eastAsia" w:ascii="宋体" w:hAnsi="宋体" w:cs="宋体"/>
          <w:bCs/>
          <w:sz w:val="24"/>
          <w:szCs w:val="24"/>
          <w:highlight w:val="none"/>
        </w:rPr>
      </w:pPr>
      <w:r/>
      <w:bookmarkStart w:id="50" w:name="_Toc2067"/>
      <w:r/>
      <w:bookmarkStart w:id="51" w:name="_Toc8176"/>
      <w:r>
        <w:rPr>
          <w:rFonts w:hint="eastAsia" w:ascii="宋体" w:hAnsi="宋体" w:cs="宋体"/>
          <w:bCs/>
          <w:sz w:val="24"/>
          <w:szCs w:val="24"/>
          <w:highlight w:val="none"/>
        </w:rPr>
        <w:t xml:space="preserve">注：（1）本表不得删除，可自行延长；</w:t>
      </w:r>
      <w:bookmarkEnd w:id="50"/>
      <w:r/>
      <w:bookmarkEnd w:id="51"/>
      <w:r>
        <w:rPr>
          <w:rFonts w:hint="eastAsia" w:ascii="宋体" w:hAnsi="宋体" w:cs="宋体"/>
          <w:bCs/>
          <w:sz w:val="24"/>
          <w:szCs w:val="24"/>
          <w:highlight w:val="none"/>
        </w:rPr>
      </w:r>
      <w:r/>
    </w:p>
    <w:p>
      <w:pPr>
        <w:pStyle w:val="1277"/>
        <w:ind w:left="-214" w:firstLine="720"/>
        <w:rPr>
          <w:rFonts w:hint="eastAsia" w:ascii="宋体" w:hAnsi="宋体" w:cs="宋体"/>
          <w:bCs/>
          <w:sz w:val="24"/>
          <w:szCs w:val="24"/>
          <w:highlight w:val="none"/>
        </w:rPr>
      </w:pPr>
      <w:r/>
      <w:bookmarkStart w:id="52" w:name="_Toc511"/>
      <w:r/>
      <w:bookmarkStart w:id="53" w:name="_Toc22220"/>
      <w:r>
        <w:rPr>
          <w:rFonts w:hint="eastAsia" w:ascii="宋体" w:hAnsi="宋体" w:cs="宋体"/>
          <w:bCs/>
          <w:sz w:val="24"/>
          <w:szCs w:val="24"/>
          <w:highlight w:val="none"/>
        </w:rPr>
        <w:t xml:space="preserve">（2）如无任何服务偏离，请于本表“偏离说明”中注明“无偏离”；</w:t>
      </w:r>
      <w:bookmarkEnd w:id="52"/>
      <w:r/>
      <w:bookmarkEnd w:id="53"/>
      <w:r>
        <w:rPr>
          <w:rFonts w:hint="eastAsia" w:ascii="宋体" w:hAnsi="宋体" w:cs="宋体"/>
          <w:bCs/>
          <w:sz w:val="24"/>
          <w:szCs w:val="24"/>
          <w:highlight w:val="none"/>
        </w:rPr>
      </w:r>
      <w:r/>
    </w:p>
    <w:p>
      <w:pPr>
        <w:pStyle w:val="1277"/>
        <w:ind w:firstLine="480"/>
        <w:rPr>
          <w:rFonts w:hint="eastAsia" w:ascii="宋体" w:hAnsi="宋体" w:cs="宋体"/>
          <w:bCs/>
          <w:sz w:val="24"/>
          <w:szCs w:val="24"/>
          <w:highlight w:val="none"/>
        </w:rPr>
      </w:pPr>
      <w:r/>
      <w:bookmarkStart w:id="54" w:name="_Toc10188"/>
      <w:r/>
      <w:bookmarkStart w:id="55" w:name="_Toc9412"/>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4"/>
      <w:r/>
      <w:bookmarkEnd w:id="55"/>
      <w:r>
        <w:rPr>
          <w:rFonts w:hint="eastAsia" w:ascii="宋体" w:hAnsi="宋体" w:cs="宋体"/>
          <w:bCs/>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277"/>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）投标供应商基本情况表（格式）：</w:t>
      </w:r>
      <w:r>
        <w:rPr>
          <w:rFonts w:hint="eastAsia" w:ascii="宋体" w:hAnsi="宋体" w:cs="宋体"/>
          <w:b/>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rPr>
          <w:rFonts w:hint="eastAsia" w:ascii="宋体" w:hAnsi="宋体" w:cs="宋体"/>
          <w:bCs/>
          <w:sz w:val="24"/>
          <w:szCs w:val="24"/>
          <w:highlight w:val="none"/>
        </w:rPr>
      </w:r>
      <w:r/>
    </w:p>
    <w:p>
      <w:pPr>
        <w:pStyle w:val="1277"/>
        <w:rPr>
          <w:rFonts w:hint="eastAsia" w:ascii="宋体" w:hAnsi="宋体" w:cs="宋体"/>
          <w:szCs w:val="22"/>
          <w:highlight w:val="none"/>
        </w:rPr>
        <w:outlineLvl w:val="9"/>
      </w:pPr>
      <w:r>
        <w:rPr>
          <w:rFonts w:hint="eastAsia" w:ascii="宋体" w:hAnsi="宋体" w:cs="宋体"/>
          <w:bCs/>
          <w:sz w:val="24"/>
          <w:szCs w:val="24"/>
          <w:highlight w:val="none"/>
        </w:rPr>
        <w:t xml:space="preserve">单位名称：（公章）</w:t>
      </w:r>
      <w:r>
        <w:rPr>
          <w:rFonts w:hint="eastAsia" w:ascii="宋体" w:hAnsi="宋体" w:cs="宋体"/>
          <w:szCs w:val="22"/>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03"/>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rPr>
                <w:rFonts w:hint="eastAsia" w:ascii="宋体" w:hAnsi="宋体" w:cs="宋体"/>
                <w:sz w:val="22"/>
                <w:szCs w:val="21"/>
                <w:highlight w:val="none"/>
              </w:rPr>
            </w:r>
            <w:r/>
          </w:p>
        </w:tc>
        <w:tc>
          <w:tcPr>
            <w:tcW w:w="3216" w:type="dxa"/>
            <w:vAlign w:val="top"/>
            <w:textDirection w:val="lrTb"/>
            <w:noWrap w:val="false"/>
          </w:tcPr>
          <w:p>
            <w:pPr>
              <w:pStyle w:val="1277"/>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28"/>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541"/>
        </w:trPr>
        <w:tc>
          <w:tcPr>
            <w:tcW w:w="2590"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rPr>
                <w:rFonts w:hint="eastAsia" w:ascii="宋体" w:hAnsi="宋体" w:cs="宋体"/>
                <w:sz w:val="22"/>
                <w:szCs w:val="21"/>
                <w:highlight w:val="none"/>
              </w:rPr>
            </w:r>
            <w:r/>
          </w:p>
        </w:tc>
        <w:tc>
          <w:tcPr>
            <w:tcW w:w="1925"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rPr>
                <w:rFonts w:hint="eastAsia" w:ascii="宋体" w:hAnsi="宋体" w:cs="宋体"/>
                <w:sz w:val="22"/>
                <w:szCs w:val="21"/>
                <w:highlight w:val="none"/>
              </w:rPr>
            </w:r>
            <w:r/>
          </w:p>
        </w:tc>
        <w:tc>
          <w:tcPr>
            <w:tcW w:w="3216"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rPr>
                <w:rFonts w:hint="eastAsia" w:ascii="宋体" w:hAnsi="宋体" w:cs="宋体"/>
                <w:sz w:val="22"/>
                <w:szCs w:val="21"/>
                <w:highlight w:val="none"/>
              </w:rPr>
            </w:r>
            <w:r/>
          </w:p>
        </w:tc>
      </w:tr>
      <w:tr>
        <w:trPr>
          <w:cantSplit/>
          <w:trHeight w:val="515"/>
        </w:trPr>
        <w:tc>
          <w:tcPr>
            <w:tcW w:w="2590"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rPr>
                <w:rFonts w:hint="eastAsia" w:ascii="宋体" w:hAnsi="宋体" w:cs="宋体"/>
                <w:sz w:val="22"/>
                <w:szCs w:val="21"/>
                <w:highlight w:val="none"/>
              </w:rPr>
            </w:r>
            <w:r/>
          </w:p>
        </w:tc>
        <w:tc>
          <w:tcPr>
            <w:tcW w:w="1925"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rPr>
                <w:rFonts w:hint="eastAsia" w:ascii="宋体" w:hAnsi="宋体" w:cs="宋体"/>
                <w:sz w:val="22"/>
                <w:szCs w:val="21"/>
                <w:highlight w:val="none"/>
              </w:rPr>
            </w:r>
            <w:r/>
          </w:p>
        </w:tc>
        <w:tc>
          <w:tcPr>
            <w:tcW w:w="1537"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rPr>
                <w:rFonts w:hint="eastAsia" w:ascii="宋体" w:hAnsi="宋体" w:cs="宋体"/>
                <w:sz w:val="22"/>
                <w:szCs w:val="21"/>
                <w:highlight w:val="none"/>
              </w:rPr>
            </w:r>
            <w:r/>
          </w:p>
        </w:tc>
        <w:tc>
          <w:tcPr>
            <w:tcW w:w="3216" w:type="dxa"/>
            <w:vAlign w:val="center"/>
            <w:textDirection w:val="lrTb"/>
            <w:noWrap w:val="false"/>
          </w:tcPr>
          <w:p>
            <w:pPr>
              <w:pStyle w:val="1277"/>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2023年     万元</w:t>
            </w:r>
            <w:r>
              <w:rPr>
                <w:rFonts w:hint="eastAsia" w:ascii="宋体" w:hAnsi="宋体" w:cs="宋体"/>
                <w:sz w:val="22"/>
                <w:szCs w:val="21"/>
                <w:highlight w:val="none"/>
              </w:rPr>
            </w:r>
            <w:r/>
          </w:p>
        </w:tc>
      </w:tr>
      <w:tr>
        <w:trPr>
          <w:cantSplit/>
          <w:trHeight w:val="564"/>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rPr>
                <w:rFonts w:hint="eastAsia" w:ascii="宋体" w:hAnsi="宋体" w:cs="宋体"/>
                <w:sz w:val="22"/>
                <w:szCs w:val="21"/>
                <w:highlight w:val="none"/>
              </w:rPr>
            </w:r>
            <w:r/>
          </w:p>
        </w:tc>
        <w:tc>
          <w:tcPr>
            <w:tcW w:w="1925"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2023年 万元</w:t>
            </w: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rPr>
                <w:rFonts w:hint="eastAsia" w:ascii="宋体" w:hAnsi="宋体" w:cs="宋体"/>
                <w:sz w:val="22"/>
                <w:szCs w:val="21"/>
                <w:highlight w:val="none"/>
              </w:rPr>
            </w:r>
            <w:r/>
          </w:p>
        </w:tc>
        <w:tc>
          <w:tcPr>
            <w:tcW w:w="1925" w:type="dxa"/>
            <w:vAlign w:val="center"/>
            <w:textDirection w:val="lrTb"/>
            <w:noWrap w:val="false"/>
          </w:tcPr>
          <w:p>
            <w:pPr>
              <w:pStyle w:val="1277"/>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rPr>
                <w:rFonts w:hint="eastAsia" w:ascii="宋体" w:hAnsi="宋体" w:cs="宋体"/>
                <w:sz w:val="22"/>
                <w:szCs w:val="21"/>
                <w:highlight w:val="none"/>
              </w:rPr>
            </w:r>
            <w:r/>
          </w:p>
        </w:tc>
        <w:tc>
          <w:tcPr>
            <w:tcW w:w="1537"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rPr>
                <w:rFonts w:hint="eastAsia" w:ascii="宋体" w:hAnsi="宋体" w:cs="宋体"/>
                <w:sz w:val="22"/>
                <w:szCs w:val="21"/>
                <w:highlight w:val="none"/>
              </w:rPr>
            </w:r>
            <w:r/>
          </w:p>
        </w:tc>
        <w:tc>
          <w:tcPr>
            <w:tcW w:w="3216"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rPr>
                <w:rFonts w:hint="eastAsia" w:ascii="宋体" w:hAnsi="宋体" w:cs="宋体"/>
                <w:sz w:val="22"/>
                <w:szCs w:val="21"/>
                <w:highlight w:val="none"/>
              </w:rPr>
            </w:r>
            <w:r/>
          </w:p>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703"/>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trHeight w:val="947"/>
        </w:trPr>
        <w:tc>
          <w:tcPr>
            <w:tcW w:w="2590"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rPr>
                <w:rFonts w:hint="eastAsia" w:ascii="宋体" w:hAnsi="宋体" w:cs="宋体"/>
                <w:sz w:val="22"/>
                <w:szCs w:val="21"/>
                <w:highlight w:val="none"/>
              </w:rPr>
            </w:r>
            <w:r/>
          </w:p>
        </w:tc>
        <w:tc>
          <w:tcPr>
            <w:gridSpan w:val="3"/>
            <w:tcW w:w="6678" w:type="dxa"/>
            <w:vAlign w:val="top"/>
            <w:textDirection w:val="lrTb"/>
            <w:noWrap w:val="false"/>
          </w:tcPr>
          <w:p>
            <w:pPr>
              <w:pStyle w:val="1277"/>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pStyle w:val="1277"/>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pStyle w:val="1277"/>
        <w:rPr>
          <w:rFonts w:hint="eastAsia" w:ascii="宋体" w:hAnsi="宋体" w:cs="宋体"/>
          <w:bCs/>
          <w:sz w:val="24"/>
          <w:szCs w:val="24"/>
          <w:highlight w:val="none"/>
        </w:rPr>
        <w:outlineLvl w:val="2"/>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主要人员配置表（格式）：</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rPr>
          <w:rFonts w:hint="eastAsia" w:ascii="宋体" w:hAnsi="宋体" w:cs="宋体"/>
          <w:b/>
          <w:sz w:val="24"/>
          <w:szCs w:val="24"/>
          <w:highlight w:val="none"/>
        </w:rPr>
      </w:r>
      <w:r/>
    </w:p>
    <w:p>
      <w:pPr>
        <w:pStyle w:val="1277"/>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rPr>
          <w:rFonts w:ascii="宋体" w:hAnsi="宋体" w:cs="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tc>
          <w:tcPr>
            <w:tcW w:w="556"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rPr>
                <w:rFonts w:hint="eastAsia" w:ascii="宋体" w:hAnsi="宋体" w:cs="宋体"/>
                <w:b/>
                <w:bCs/>
                <w:sz w:val="22"/>
                <w:szCs w:val="22"/>
                <w:highlight w:val="none"/>
              </w:rPr>
            </w:r>
            <w:r/>
          </w:p>
        </w:tc>
        <w:tc>
          <w:tcPr>
            <w:tcW w:w="1103"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rPr>
                <w:rFonts w:hint="eastAsia" w:ascii="宋体" w:hAnsi="宋体" w:cs="宋体"/>
                <w:b/>
                <w:bCs/>
                <w:sz w:val="22"/>
                <w:szCs w:val="22"/>
                <w:highlight w:val="none"/>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rPr>
                <w:rFonts w:hint="eastAsia" w:ascii="宋体" w:hAnsi="宋体" w:cs="宋体"/>
                <w:b/>
                <w:bCs/>
                <w:sz w:val="22"/>
                <w:szCs w:val="22"/>
                <w:highlight w:val="none"/>
              </w:rPr>
            </w:r>
            <w:r/>
          </w:p>
        </w:tc>
        <w:tc>
          <w:tcPr>
            <w:tcW w:w="602"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rPr>
                <w:rFonts w:hint="eastAsia" w:ascii="宋体" w:hAnsi="宋体" w:cs="宋体"/>
                <w:b/>
                <w:bCs/>
                <w:sz w:val="22"/>
                <w:szCs w:val="22"/>
                <w:highlight w:val="none"/>
              </w:rPr>
            </w:r>
            <w:r/>
          </w:p>
        </w:tc>
        <w:tc>
          <w:tcPr>
            <w:tcW w:w="1075"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rPr>
                <w:rFonts w:hint="eastAsia" w:ascii="宋体" w:hAnsi="宋体" w:cs="宋体"/>
                <w:b/>
                <w:bCs/>
                <w:sz w:val="22"/>
                <w:szCs w:val="22"/>
                <w:highlight w:val="none"/>
              </w:rPr>
            </w:r>
            <w:r/>
          </w:p>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765" w:type="dxa"/>
            <w:vAlign w:val="center"/>
            <w:textDirection w:val="lrTb"/>
            <w:noWrap w:val="false"/>
          </w:tcPr>
          <w:p>
            <w:pPr>
              <w:pStyle w:val="1277"/>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rPr>
                <w:rFonts w:ascii="宋体" w:hAnsi="宋体" w:cs="宋体"/>
                <w:b/>
                <w:bCs/>
                <w:sz w:val="22"/>
                <w:szCs w:val="22"/>
                <w:highlight w:val="none"/>
              </w:rPr>
            </w:r>
            <w:r/>
          </w:p>
        </w:tc>
        <w:tc>
          <w:tcPr>
            <w:tcW w:w="1015"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rPr>
                <w:rFonts w:hint="eastAsia" w:ascii="宋体" w:hAnsi="宋体" w:cs="宋体"/>
                <w:b/>
                <w:bCs/>
                <w:sz w:val="22"/>
                <w:szCs w:val="22"/>
                <w:highlight w:val="none"/>
              </w:rPr>
            </w:r>
            <w:r/>
          </w:p>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rPr>
                <w:rFonts w:hint="eastAsia" w:ascii="宋体" w:hAnsi="宋体" w:cs="宋体"/>
                <w:b/>
                <w:bCs/>
                <w:sz w:val="22"/>
                <w:szCs w:val="22"/>
                <w:highlight w:val="none"/>
              </w:rPr>
            </w:r>
            <w:r/>
          </w:p>
        </w:tc>
        <w:tc>
          <w:tcPr>
            <w:tcW w:w="1194"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rPr>
                <w:rFonts w:hint="eastAsia" w:ascii="宋体" w:hAnsi="宋体" w:cs="宋体"/>
                <w:b/>
                <w:bCs/>
                <w:sz w:val="22"/>
                <w:szCs w:val="22"/>
                <w:highlight w:val="none"/>
              </w:rPr>
            </w:r>
            <w:r/>
          </w:p>
        </w:tc>
        <w:tc>
          <w:tcPr>
            <w:tcW w:w="1343" w:type="dxa"/>
            <w:vAlign w:val="center"/>
            <w:textDirection w:val="lrTb"/>
            <w:noWrap w:val="false"/>
          </w:tcPr>
          <w:p>
            <w:pPr>
              <w:pStyle w:val="1277"/>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rPr>
                <w:rFonts w:hint="eastAsia" w:ascii="宋体" w:hAnsi="宋体" w:cs="宋体"/>
                <w:b/>
                <w:bCs/>
                <w:sz w:val="22"/>
                <w:szCs w:val="22"/>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393"/>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26"/>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tc>
          <w:tcPr>
            <w:tcW w:w="556"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10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pStyle w:val="1277"/>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277"/>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1277"/>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rPr>
          <w:rFonts w:hint="eastAsia" w:ascii="宋体" w:hAnsi="宋体" w:cs="宋体"/>
          <w:b/>
          <w:bCs/>
          <w:sz w:val="24"/>
          <w:szCs w:val="24"/>
          <w:highlight w:val="none"/>
        </w:rPr>
      </w:r>
      <w:r/>
    </w:p>
    <w:p>
      <w:pPr>
        <w:pStyle w:val="1277"/>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rPr>
          <w:rFonts w:hint="eastAsia" w:ascii="宋体" w:hAnsi="宋体" w:cs="宋体"/>
          <w:bCs/>
          <w:sz w:val="24"/>
          <w:szCs w:val="24"/>
          <w:highlight w:val="none"/>
        </w:rPr>
      </w:r>
      <w:r/>
    </w:p>
    <w:p>
      <w:pPr>
        <w:pStyle w:val="1277"/>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rPr>
          <w:rFonts w:hint="eastAsia" w:ascii="宋体" w:hAnsi="宋体" w:cs="宋体"/>
          <w:bCs/>
          <w:sz w:val="24"/>
          <w:szCs w:val="24"/>
          <w:highlight w:val="none"/>
        </w:rPr>
      </w:r>
      <w:r/>
    </w:p>
    <w:p>
      <w:pPr>
        <w:pStyle w:val="1277"/>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302"/>
        <w:ind w:left="1260"/>
        <w:rPr>
          <w:rFonts w:hint="eastAsia" w:ascii="宋体" w:hAnsi="宋体" w:cs="宋体"/>
          <w:sz w:val="24"/>
          <w:highlight w:val="none"/>
        </w:rPr>
      </w:pPr>
      <w:r>
        <w:rPr>
          <w:rFonts w:hint="eastAsia" w:ascii="宋体" w:hAnsi="宋体" w:cs="宋体"/>
          <w:sz w:val="24"/>
          <w:highlight w:val="none"/>
        </w:rPr>
      </w:r>
      <w:r/>
    </w:p>
    <w:p>
      <w:pPr>
        <w:pStyle w:val="1277"/>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eastAsia="宋体" w:cs="宋体"/>
          <w:b/>
          <w:sz w:val="24"/>
          <w:szCs w:val="24"/>
          <w:highlight w:val="none"/>
          <w:lang w:eastAsia="zh-CN"/>
        </w:rPr>
        <w:outlineLvl w:val="2"/>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十</w:t>
      </w:r>
      <w:r>
        <w:rPr>
          <w:rFonts w:hint="eastAsia" w:ascii="宋体" w:hAnsi="宋体" w:eastAsia="宋体" w:cs="宋体"/>
          <w:b/>
          <w:sz w:val="24"/>
          <w:szCs w:val="24"/>
          <w:highlight w:val="none"/>
          <w:lang w:eastAsia="zh-CN"/>
        </w:rPr>
        <w:t xml:space="preserve">）联合体投标协议（如有）（格式）</w:t>
      </w:r>
      <w:r>
        <w:rPr>
          <w:rFonts w:hint="eastAsia" w:ascii="宋体" w:hAnsi="宋体" w:eastAsia="宋体" w:cs="宋体"/>
          <w:b/>
          <w:sz w:val="24"/>
          <w:szCs w:val="24"/>
          <w:highlight w:val="none"/>
          <w:lang w:eastAsia="zh-CN"/>
        </w:rPr>
      </w:r>
      <w:r/>
    </w:p>
    <w:p>
      <w:pPr>
        <w:pStyle w:val="1277"/>
        <w:ind w:firstLine="244"/>
        <w:jc w:val="center"/>
        <w:rPr>
          <w:rFonts w:hint="eastAsia" w:ascii="宋体" w:hAnsi="宋体"/>
          <w:b/>
          <w:sz w:val="30"/>
          <w:szCs w:val="30"/>
        </w:rPr>
      </w:pPr>
      <w:r>
        <w:rPr>
          <w:rFonts w:hint="eastAsia" w:ascii="宋体" w:hAnsi="宋体"/>
          <w:b/>
          <w:sz w:val="30"/>
          <w:szCs w:val="30"/>
        </w:rPr>
        <w:t xml:space="preserve">联合体投标协议</w:t>
      </w:r>
      <w:r>
        <w:rPr>
          <w:rFonts w:hint="eastAsia" w:ascii="宋体" w:hAnsi="宋体"/>
          <w:b/>
          <w:sz w:val="30"/>
          <w:szCs w:val="30"/>
        </w:rPr>
      </w:r>
      <w:r/>
    </w:p>
    <w:p>
      <w:pPr>
        <w:pStyle w:val="1277"/>
        <w:ind w:firstLine="550"/>
        <w:spacing w:line="360" w:lineRule="auto"/>
        <w:rPr>
          <w:rFonts w:ascii="宋体" w:hAnsi="宋体" w:cs="Arial"/>
          <w:sz w:val="22"/>
          <w:szCs w:val="21"/>
        </w:rPr>
      </w:pPr>
      <w:r>
        <w:rPr>
          <w:rFonts w:hint="eastAsia" w:ascii="宋体" w:hAnsi="宋体" w:cs="Arial"/>
          <w:sz w:val="22"/>
          <w:szCs w:val="21"/>
          <w:u w:val="single"/>
        </w:rPr>
        <w:t xml:space="preserve">（联合体各方名称）</w:t>
      </w:r>
      <w:r>
        <w:rPr>
          <w:rFonts w:hint="eastAsia" w:ascii="宋体" w:hAnsi="宋体" w:cs="Arial"/>
          <w:sz w:val="22"/>
          <w:szCs w:val="21"/>
        </w:rPr>
        <w:t xml:space="preserve">在</w:t>
      </w:r>
      <w:r>
        <w:rPr>
          <w:rFonts w:hint="eastAsia" w:ascii="宋体" w:hAnsi="宋体" w:cs="Arial"/>
          <w:sz w:val="22"/>
          <w:szCs w:val="21"/>
          <w:u w:val="single"/>
        </w:rPr>
        <w:t xml:space="preserve">                          </w:t>
      </w:r>
      <w:r>
        <w:rPr>
          <w:rFonts w:hint="eastAsia" w:ascii="宋体" w:hAnsi="宋体" w:cs="Arial"/>
          <w:sz w:val="22"/>
          <w:szCs w:val="21"/>
        </w:rPr>
        <w:t xml:space="preserve">项目（项目编号：</w:t>
      </w:r>
      <w:r>
        <w:rPr>
          <w:rFonts w:hint="eastAsia" w:ascii="宋体" w:hAnsi="宋体" w:cs="Arial"/>
          <w:sz w:val="22"/>
          <w:szCs w:val="21"/>
          <w:u w:val="single"/>
        </w:rPr>
        <w:t xml:space="preserve">        </w:t>
      </w:r>
      <w:r>
        <w:rPr>
          <w:rFonts w:hint="eastAsia" w:ascii="宋体" w:hAnsi="宋体" w:cs="Arial"/>
          <w:sz w:val="22"/>
          <w:szCs w:val="21"/>
        </w:rPr>
        <w:t xml:space="preserve">）中组成联合体，共同参加投标。就本项目有关事宜，经各方充分协商一致，达成如下协议：</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一、由</w:t>
      </w:r>
      <w:bookmarkStart w:id="56" w:name="_Hlk42768252"/>
      <w:r>
        <w:rPr>
          <w:rFonts w:hint="eastAsia" w:ascii="宋体" w:hAnsi="宋体" w:cs="Arial"/>
          <w:sz w:val="22"/>
          <w:szCs w:val="21"/>
          <w:u w:val="single"/>
        </w:rPr>
        <w:t xml:space="preserve">    （单位名称）      </w:t>
      </w:r>
      <w:bookmarkEnd w:id="56"/>
      <w:r>
        <w:rPr>
          <w:rFonts w:hint="eastAsia" w:ascii="宋体" w:hAnsi="宋体" w:cs="Arial"/>
          <w:sz w:val="22"/>
          <w:szCs w:val="21"/>
        </w:rPr>
        <w:t xml:space="preserve">为本次投标联合体主体方，</w:t>
      </w:r>
      <w:r>
        <w:rPr>
          <w:rFonts w:hint="eastAsia" w:ascii="宋体" w:hAnsi="宋体" w:cs="Arial"/>
          <w:sz w:val="22"/>
          <w:szCs w:val="21"/>
          <w:u w:val="single"/>
        </w:rPr>
        <w:t xml:space="preserve">   （单位名称）    </w:t>
      </w:r>
      <w:r>
        <w:rPr>
          <w:rFonts w:hint="eastAsia" w:ascii="宋体" w:hAnsi="宋体" w:cs="Arial"/>
          <w:sz w:val="22"/>
          <w:szCs w:val="21"/>
        </w:rPr>
        <w:t xml:space="preserve">为协办方，组成联合体共同进行本项目的投标报价、合同签订工作。</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二、</w:t>
      </w:r>
      <w:r>
        <w:rPr>
          <w:rFonts w:hint="eastAsia" w:ascii="宋体" w:hAnsi="宋体" w:cs="Arial"/>
          <w:sz w:val="22"/>
          <w:szCs w:val="21"/>
          <w:u w:val="single"/>
        </w:rPr>
        <w:t xml:space="preserve">    （单位名称）      </w:t>
      </w:r>
      <w:r>
        <w:rPr>
          <w:rFonts w:hint="eastAsia" w:ascii="宋体" w:hAnsi="宋体" w:cs="Arial"/>
          <w:sz w:val="22"/>
          <w:szCs w:val="21"/>
        </w:rPr>
        <w:t xml:space="preserve">为本项目工作的主体方，联合体以主体方的名义参加投标，中标后，联合体各方共同与采购人签订合同，就本项目对采购人承担连带责任。</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三、</w:t>
      </w:r>
      <w:bookmarkStart w:id="57" w:name="_Hlk42768259"/>
      <w:r>
        <w:rPr>
          <w:rFonts w:hint="eastAsia" w:ascii="宋体" w:hAnsi="宋体" w:cs="Arial"/>
          <w:sz w:val="22"/>
          <w:szCs w:val="21"/>
        </w:rPr>
        <w:t xml:space="preserve">主体方 </w:t>
      </w:r>
      <w:r>
        <w:rPr>
          <w:rFonts w:hint="eastAsia" w:ascii="宋体" w:hAnsi="宋体" w:cs="Arial"/>
          <w:sz w:val="22"/>
          <w:szCs w:val="21"/>
          <w:u w:val="single"/>
        </w:rPr>
        <w:t xml:space="preserve">               </w:t>
      </w:r>
      <w:r>
        <w:rPr>
          <w:rFonts w:hint="eastAsia" w:ascii="宋体" w:hAnsi="宋体" w:cs="Arial"/>
          <w:sz w:val="22"/>
          <w:szCs w:val="21"/>
        </w:rPr>
        <w:t xml:space="preserve">负责</w:t>
      </w:r>
      <w:r>
        <w:rPr>
          <w:rFonts w:hint="eastAsia" w:ascii="宋体" w:hAnsi="宋体" w:cs="Arial"/>
          <w:sz w:val="22"/>
          <w:szCs w:val="21"/>
          <w:u w:val="single"/>
        </w:rPr>
        <w:t xml:space="preserve">                         </w:t>
      </w:r>
      <w:r>
        <w:rPr>
          <w:rFonts w:hint="eastAsia" w:ascii="宋体" w:hAnsi="宋体" w:cs="Arial"/>
          <w:sz w:val="22"/>
          <w:szCs w:val="21"/>
        </w:rPr>
        <w:t xml:space="preserve">工作及联合体协办方所负责工作以外的所有内容，协办方负责</w:t>
      </w:r>
      <w:r>
        <w:rPr>
          <w:rFonts w:hint="eastAsia" w:ascii="宋体" w:hAnsi="宋体" w:cs="Arial"/>
          <w:sz w:val="22"/>
          <w:szCs w:val="21"/>
          <w:u w:val="single"/>
        </w:rPr>
        <w:t xml:space="preserve">                                   </w:t>
      </w:r>
      <w:r>
        <w:rPr>
          <w:rFonts w:hint="eastAsia" w:ascii="宋体" w:hAnsi="宋体" w:cs="Arial"/>
          <w:sz w:val="22"/>
          <w:szCs w:val="21"/>
        </w:rPr>
        <w:t xml:space="preserve">工作。具体工作范围、工作内容以合同为准。</w:t>
      </w:r>
      <w:bookmarkEnd w:id="57"/>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四、双方约定各方费用占合同总价的比例为：</w:t>
      </w:r>
      <w:r>
        <w:rPr>
          <w:rFonts w:hint="eastAsia" w:ascii="宋体" w:hAnsi="宋体" w:cs="Arial"/>
          <w:sz w:val="22"/>
          <w:szCs w:val="21"/>
          <w:u w:val="single"/>
        </w:rPr>
        <w:t xml:space="preserve"> 联合体主办方占    %，联合体协办单位占   %。</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五、各方的责任、权利和义务的详细内容和规定在中标后经各方协商后报采购人同意另行签署协议或者合同。</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六、联合体各方不得再以自己的名义在本项目中单独报价，联合体项目责任人不能作为其他联合体或单独报价单位的项目组成员。如因发生上述问题而导致联合体投标无效的，联合体其他成员可追究违约责任。</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七、如联合体未中标，本协议自动废止。</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八、其他约定：</w:t>
      </w:r>
      <w:r>
        <w:rPr>
          <w:rFonts w:hint="eastAsia" w:ascii="宋体" w:hAnsi="宋体" w:cs="Arial"/>
          <w:sz w:val="22"/>
          <w:szCs w:val="21"/>
          <w:u w:val="single"/>
        </w:rPr>
        <w:t xml:space="preserve">                                                                     </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主体方全称：（公章）</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协办方全称：（公章）</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法定代表人姓名：（签字）</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法定代表人姓名：（签字）</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地址：</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地址：</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邮政编码：</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邮政编码：</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联系电话：</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联系电话：</w:t>
      </w:r>
      <w:r>
        <w:rPr>
          <w:rFonts w:ascii="宋体" w:hAnsi="宋体" w:cs="Arial"/>
          <w:sz w:val="22"/>
          <w:szCs w:val="21"/>
        </w:rPr>
      </w:r>
      <w:r/>
    </w:p>
    <w:p>
      <w:pPr>
        <w:pStyle w:val="1277"/>
        <w:spacing w:line="360" w:lineRule="auto"/>
        <w:rPr>
          <w:rFonts w:ascii="宋体" w:hAnsi="宋体" w:cs="Arial"/>
          <w:sz w:val="22"/>
          <w:szCs w:val="21"/>
        </w:rPr>
      </w:pPr>
      <w:r>
        <w:rPr>
          <w:rFonts w:hint="eastAsia" w:ascii="宋体" w:hAnsi="宋体" w:cs="Arial"/>
          <w:sz w:val="22"/>
          <w:szCs w:val="21"/>
        </w:rPr>
        <w:t xml:space="preserve">签署日期：</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签署日期：</w:t>
      </w:r>
      <w:r>
        <w:rPr>
          <w:rFonts w:ascii="宋体" w:hAnsi="宋体" w:cs="Arial"/>
          <w:sz w:val="22"/>
          <w:szCs w:val="21"/>
        </w:rPr>
      </w:r>
      <w:r/>
    </w:p>
    <w:p>
      <w:pPr>
        <w:pStyle w:val="1277"/>
        <w:ind w:left="632" w:hanging="632"/>
        <w:spacing w:line="360" w:lineRule="auto"/>
        <w:rPr>
          <w:rFonts w:ascii="宋体" w:hAnsi="宋体" w:cs="Arial"/>
          <w:b/>
          <w:bCs/>
          <w:szCs w:val="21"/>
        </w:rPr>
      </w:pPr>
      <w:r>
        <w:rPr>
          <w:rFonts w:hint="eastAsia" w:ascii="宋体" w:hAnsi="宋体" w:cs="Arial"/>
          <w:b/>
          <w:bCs/>
          <w:szCs w:val="21"/>
        </w:rPr>
        <w:t xml:space="preserve">备注：</w:t>
      </w:r>
      <w:r>
        <w:rPr>
          <w:rFonts w:ascii="宋体" w:hAnsi="宋体" w:cs="Arial"/>
          <w:b/>
          <w:bCs/>
          <w:szCs w:val="21"/>
        </w:rPr>
      </w:r>
      <w:r/>
    </w:p>
    <w:p>
      <w:pPr>
        <w:pStyle w:val="1277"/>
        <w:numPr>
          <w:ilvl w:val="0"/>
          <w:numId w:val="0"/>
        </w:numPr>
        <w:keepLines w:val="0"/>
        <w:keepNext w:val="0"/>
        <w:pageBreakBefore w:val="0"/>
        <w:spacing w:line="360" w:lineRule="auto"/>
        <w:rPr>
          <w:rFonts w:hint="eastAsia" w:ascii="宋体" w:hAnsi="宋体" w:cs="Arial"/>
          <w:b/>
          <w:bCs/>
          <w:szCs w:val="21"/>
        </w:rPr>
      </w:pPr>
      <w:r>
        <w:rPr>
          <w:rFonts w:hint="eastAsia" w:ascii="宋体" w:hAnsi="宋体" w:cs="Arial"/>
          <w:b/>
          <w:bCs/>
          <w:szCs w:val="21"/>
        </w:rPr>
        <w:t xml:space="preserve">1.投标供应商以联合体投标时，联合体各方必须签署本协议并加盖各方公章，协议书须完全注明联合体各方成员，如由授权代表签名，须提交由法定代表人签署的授权委托书。</w:t>
      </w:r>
      <w:r>
        <w:rPr>
          <w:rFonts w:hint="eastAsia" w:ascii="宋体" w:hAnsi="宋体" w:cs="Arial"/>
          <w:b/>
          <w:bCs/>
          <w:szCs w:val="21"/>
        </w:rPr>
      </w:r>
      <w:r/>
    </w:p>
    <w:p>
      <w:pPr>
        <w:pStyle w:val="1277"/>
        <w:numPr>
          <w:ilvl w:val="0"/>
          <w:numId w:val="0"/>
        </w:numPr>
        <w:keepLines w:val="0"/>
        <w:keepNext w:val="0"/>
        <w:pageBreakBefore w:val="0"/>
        <w:spacing w:line="360" w:lineRule="auto"/>
        <w:rPr>
          <w:rFonts w:ascii="宋体" w:hAnsi="宋体" w:cs="Arial"/>
          <w:b/>
          <w:bCs/>
          <w:szCs w:val="21"/>
        </w:rPr>
      </w:pPr>
      <w:r>
        <w:rPr>
          <w:rFonts w:hint="eastAsia" w:ascii="宋体" w:hAnsi="宋体" w:cs="Arial"/>
          <w:b/>
          <w:bCs/>
          <w:szCs w:val="21"/>
          <w:lang w:val="en-US" w:eastAsia="zh-CN"/>
        </w:rPr>
        <w:t xml:space="preserve">2.</w:t>
      </w:r>
      <w:r>
        <w:rPr>
          <w:rFonts w:hint="eastAsia" w:ascii="宋体" w:hAnsi="宋体" w:cs="Arial"/>
          <w:b/>
          <w:bCs/>
          <w:szCs w:val="21"/>
        </w:rPr>
        <w:t xml:space="preserve">如联合体未按要求提交协议书，则将导致投标无效。</w:t>
      </w:r>
      <w:r>
        <w:rPr>
          <w:rFonts w:ascii="宋体" w:hAnsi="宋体" w:cs="Arial"/>
          <w:b/>
          <w:bCs/>
          <w:szCs w:val="21"/>
        </w:rPr>
      </w:r>
      <w:r/>
    </w:p>
    <w:p>
      <w:pPr>
        <w:pStyle w:val="1336"/>
        <w:keepLines w:val="0"/>
        <w:keepNext w:val="0"/>
        <w:pageBreakBefore w:val="0"/>
        <w:sectPr>
          <w:footnotePr/>
          <w:endnotePr/>
          <w:type w:val="nextPage"/>
          <w:pgSz w:w="11906" w:h="16838" w:orient="portrait"/>
          <w:pgMar w:top="1440" w:right="1270" w:bottom="1440" w:left="1440" w:header="794" w:footer="992" w:gutter="0"/>
          <w:cols w:num="1" w:sep="0" w:space="1701" w:equalWidth="1"/>
          <w:docGrid w:linePitch="360"/>
        </w:sectPr>
      </w:p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）中小企业声明函（格式）：</w:t>
      </w:r>
      <w:r>
        <w:rPr>
          <w:rFonts w:hint="eastAsia" w:ascii="宋体" w:hAnsi="宋体" w:cs="宋体"/>
          <w:b/>
          <w:sz w:val="24"/>
          <w:szCs w:val="24"/>
          <w:highlight w:val="none"/>
        </w:rPr>
      </w:r>
      <w:r/>
    </w:p>
    <w:p>
      <w:pPr>
        <w:pStyle w:val="1277"/>
        <w:rPr>
          <w:rFonts w:hint="eastAsia" w:ascii="宋体" w:hAnsi="宋体" w:cs="宋体"/>
          <w:sz w:val="24"/>
          <w:szCs w:val="24"/>
          <w:highlight w:val="none"/>
        </w:rPr>
      </w:pPr>
      <w:r>
        <w:rPr>
          <w:rFonts w:hint="eastAsia" w:ascii="宋体" w:hAnsi="宋体" w:cs="宋体"/>
          <w:sz w:val="24"/>
          <w:szCs w:val="24"/>
          <w:highlight w:val="none"/>
        </w:rPr>
      </w:r>
      <w:r/>
    </w:p>
    <w:p>
      <w:pPr>
        <w:pStyle w:val="1277"/>
        <w:jc w:val="center"/>
        <w:spacing w:line="360" w:lineRule="auto"/>
        <w:rPr>
          <w:rFonts w:hint="eastAsia" w:ascii="宋体" w:hAnsi="宋体" w:cs="宋体"/>
          <w:bCs/>
          <w:color w:val="000000"/>
          <w:sz w:val="24"/>
          <w:szCs w:val="24"/>
          <w:highlight w:val="none"/>
        </w:rPr>
        <w:outlineLvl w:val="9"/>
      </w:pPr>
      <w:r/>
      <w:bookmarkStart w:id="58" w:name="OLE_LINK14"/>
      <w:r/>
      <w:bookmarkStart w:id="59" w:name="OLE_LINK13"/>
      <w:r/>
      <w:bookmarkStart w:id="60" w:name="_Hlk6917152"/>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27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27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27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27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31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27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27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r>
        <w:rPr>
          <w:rFonts w:hint="eastAsia" w:ascii="宋体" w:hAnsi="宋体" w:cs="宋体"/>
          <w:b/>
          <w:sz w:val="24"/>
          <w:szCs w:val="24"/>
          <w:highlight w:val="none"/>
        </w:rPr>
      </w:r>
      <w:r/>
    </w:p>
    <w:p>
      <w:pPr>
        <w:pStyle w:val="1277"/>
        <w:spacing w:line="588" w:lineRule="exact"/>
        <w:rPr>
          <w:rFonts w:hint="eastAsia" w:ascii="宋体" w:hAnsi="宋体" w:cs="宋体"/>
          <w:b/>
          <w:spacing w:val="6"/>
          <w:sz w:val="24"/>
          <w:szCs w:val="24"/>
          <w:highlight w:val="none"/>
        </w:rPr>
      </w:pPr>
      <w:r/>
      <w:bookmarkEnd w:id="58"/>
      <w:r/>
      <w:bookmarkEnd w:id="59"/>
      <w:r>
        <w:rPr>
          <w:rFonts w:hint="eastAsia" w:ascii="宋体" w:hAnsi="宋体" w:cs="宋体"/>
          <w:b/>
          <w:spacing w:val="6"/>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rPr>
          <w:rFonts w:hint="eastAsia" w:ascii="宋体" w:hAnsi="宋体" w:cs="宋体"/>
          <w:bCs/>
          <w:sz w:val="24"/>
          <w:szCs w:val="24"/>
          <w:highlight w:val="none"/>
        </w:rPr>
      </w:r>
      <w:r/>
    </w:p>
    <w:p>
      <w:pPr>
        <w:pStyle w:val="1277"/>
        <w:jc w:val="center"/>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pStyle w:val="1277"/>
        <w:jc w:val="right"/>
        <w:spacing w:line="580" w:lineRule="exact"/>
        <w:rPr>
          <w:rFonts w:hint="eastAsia" w:ascii="宋体" w:hAnsi="宋体" w:cs="宋体"/>
          <w:bCs/>
          <w:sz w:val="24"/>
          <w:szCs w:val="24"/>
          <w:highlight w:val="none"/>
        </w:rPr>
      </w:pPr>
      <w:r>
        <w:rPr>
          <w:rFonts w:hint="eastAsia" w:ascii="宋体" w:hAnsi="宋体" w:eastAsia="宋体" w:cs="宋体"/>
          <w:bCs/>
          <w:sz w:val="24"/>
          <w:szCs w:val="24"/>
          <w:highlight w:val="none"/>
        </w:rPr>
        <w:t xml:space="preserve">单位名称（盖章）</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277"/>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rPr>
      </w:r>
      <w:r/>
    </w:p>
    <w:p>
      <w:pPr>
        <w:pStyle w:val="1355"/>
        <w:ind w:firstLine="480"/>
        <w:rPr>
          <w:rFonts w:hint="eastAsia" w:ascii="宋体" w:hAnsi="宋体" w:cs="宋体"/>
          <w:sz w:val="24"/>
          <w:szCs w:val="24"/>
          <w:highlight w:val="none"/>
        </w:rPr>
      </w:pPr>
      <w:r/>
      <w:bookmarkEnd w:id="60"/>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355"/>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）技术方案：</w:t>
      </w:r>
      <w:r>
        <w:rPr>
          <w:rFonts w:hint="eastAsia" w:ascii="宋体" w:hAnsi="宋体" w:cs="宋体"/>
          <w:b/>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355"/>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rPr>
          <w:rFonts w:hint="eastAsia" w:ascii="宋体" w:hAnsi="宋体" w:cs="宋体"/>
          <w:bCs/>
          <w:sz w:val="24"/>
          <w:szCs w:val="24"/>
          <w:highlight w:val="none"/>
        </w:rPr>
      </w:r>
      <w:r/>
    </w:p>
    <w:p>
      <w:pPr>
        <w:pStyle w:val="1277"/>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pStyle w:val="1277"/>
        <w:rPr>
          <w:rFonts w:hint="eastAsia" w:ascii="宋体" w:hAnsi="宋体" w:cs="宋体"/>
          <w:b/>
          <w:sz w:val="30"/>
          <w:szCs w:val="30"/>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）其他</w:t>
      </w:r>
      <w:r>
        <w:rPr>
          <w:rFonts w:hint="eastAsia" w:ascii="宋体" w:hAnsi="宋体" w:cs="宋体"/>
          <w:b/>
          <w:bCs/>
          <w:sz w:val="24"/>
          <w:szCs w:val="24"/>
          <w:highlight w:val="none"/>
        </w:rPr>
        <w:t xml:space="preserve">（投标人认为有必要提供的声明和文件，如有格式自拟）：</w:t>
      </w:r>
      <w:r>
        <w:rPr>
          <w:rFonts w:hint="eastAsia" w:ascii="宋体" w:hAnsi="宋体" w:cs="宋体"/>
          <w:b/>
          <w:sz w:val="30"/>
          <w:szCs w:val="30"/>
          <w:highlight w:val="none"/>
        </w:rPr>
      </w:r>
      <w:r/>
    </w:p>
    <w:p>
      <w:pPr>
        <w:pStyle w:val="1297"/>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277"/>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rPr>
          <w:rFonts w:hint="eastAsia" w:ascii="宋体" w:hAnsi="宋体" w:cs="宋体"/>
          <w:bCs/>
          <w:sz w:val="24"/>
          <w:szCs w:val="24"/>
          <w:highlight w:val="none"/>
        </w:rPr>
      </w:r>
      <w:r/>
    </w:p>
    <w:p>
      <w:pPr>
        <w:pStyle w:val="1317"/>
        <w:tabs>
          <w:tab w:val="left" w:pos="420" w:leader="none"/>
        </w:tabs>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317"/>
        <w:tabs>
          <w:tab w:val="left" w:pos="420" w:leader="none"/>
        </w:tabs>
        <w:rPr>
          <w:rFonts w:hint="eastAsia"/>
          <w:highlight w:val="none"/>
        </w:rPr>
      </w:pPr>
      <w:r>
        <w:rPr>
          <w:rFonts w:hint="eastAsia"/>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w:t>
      </w:r>
      <w:r>
        <w:rPr>
          <w:rFonts w:hint="eastAsia" w:ascii="宋体" w:hAnsi="宋体" w:cs="宋体"/>
          <w:sz w:val="24"/>
          <w:szCs w:val="24"/>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法定代表人或授权委托人(签字)：</w:t>
      </w:r>
      <w:r>
        <w:rPr>
          <w:rFonts w:hint="eastAsia" w:ascii="宋体" w:hAnsi="宋体" w:cs="宋体"/>
          <w:sz w:val="24"/>
          <w:szCs w:val="24"/>
          <w:highlight w:val="none"/>
        </w:rPr>
      </w:r>
      <w:r/>
    </w:p>
    <w:p>
      <w:pPr>
        <w:pStyle w:val="1277"/>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separate"/>
    </w:r>
    <w:r>
      <w:rPr>
        <w:rStyle w:val="1331"/>
      </w:rPr>
      <w:t xml:space="preserve">1</w:t>
    </w:r>
    <w:r>
      <w:fldChar w:fldCharType="end"/>
    </w:r>
    <w:r>
      <w:rPr>
        <w:rStyle w:val="1331"/>
      </w:rPr>
    </w:r>
    <w:r/>
  </w:p>
  <w:p>
    <w:pPr>
      <w:pStyle w:val="131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27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27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27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7"/>
                          </w:pPr>
                          <w:r/>
                          <w:r/>
                        </w:p>
                        <w:p>
                          <w:pPr>
                            <w:pStyle w:val="1277"/>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7"/>
                    </w:pPr>
                    <w:r/>
                    <w:r/>
                  </w:p>
                  <w:p>
                    <w:pPr>
                      <w:pStyle w:val="1277"/>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277"/>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after="240"/>
      <w:tabs>
        <w:tab w:val="center" w:pos="4153" w:leader="none"/>
        <w:tab w:val="right" w:pos="8306" w:leader="none"/>
      </w:tabs>
      <w:rPr>
        <w:rStyle w:val="1331"/>
      </w:rPr>
      <w:framePr w:wrap="around" w:vAnchor="text" w:hAnchor="margin" w:xAlign="center" w:y="1"/>
    </w:pPr>
    <w:r>
      <w:fldChar w:fldCharType="begin"/>
    </w:r>
    <w:r>
      <w:rPr>
        <w:rStyle w:val="1331"/>
      </w:rPr>
      <w:instrText xml:space="preserve">PAGE  </w:instrText>
    </w:r>
    <w:r>
      <w:fldChar w:fldCharType="end"/>
    </w:r>
    <w:r>
      <w:rPr>
        <w:rStyle w:val="1331"/>
      </w:rPr>
    </w:r>
    <w:r/>
  </w:p>
  <w:p>
    <w:pPr>
      <w:pStyle w:val="1311"/>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82"/>
      <w:isLgl w:val="false"/>
      <w:suff w:val="tab"/>
      <w:lvlText w:val="%1."/>
      <w:lvlJc w:val="left"/>
      <w:pPr>
        <w:pStyle w:val="1277"/>
        <w:ind w:left="360" w:hanging="360"/>
        <w:tabs>
          <w:tab w:val="num" w:pos="360" w:leader="none"/>
        </w:tabs>
      </w:pPr>
      <w:rPr>
        <w:rFonts w:cs="Times New Roman"/>
      </w:rPr>
    </w:lvl>
    <w:lvl w:ilvl="1">
      <w:start w:val="1"/>
      <w:numFmt w:val="lowerLetter"/>
      <w:isLgl w:val="false"/>
      <w:suff w:val="tab"/>
      <w:lvlText w:val="%2)"/>
      <w:lvlJc w:val="left"/>
      <w:pPr>
        <w:pStyle w:val="1277"/>
        <w:ind w:left="840" w:hanging="420"/>
        <w:tabs>
          <w:tab w:val="num" w:pos="840" w:leader="none"/>
        </w:tabs>
      </w:pPr>
      <w:rPr>
        <w:rFonts w:cs="Times New Roman"/>
      </w:rPr>
    </w:lvl>
    <w:lvl w:ilvl="2">
      <w:start w:val="1"/>
      <w:numFmt w:val="lowerRoman"/>
      <w:isLgl w:val="false"/>
      <w:suff w:val="tab"/>
      <w:lvlText w:val="%3."/>
      <w:lvlJc w:val="right"/>
      <w:pPr>
        <w:pStyle w:val="1277"/>
        <w:ind w:left="1260" w:hanging="420"/>
        <w:tabs>
          <w:tab w:val="num" w:pos="1260" w:leader="none"/>
        </w:tabs>
      </w:pPr>
      <w:rPr>
        <w:rFonts w:cs="Times New Roman"/>
      </w:rPr>
    </w:lvl>
    <w:lvl w:ilvl="3">
      <w:start w:val="1"/>
      <w:numFmt w:val="decimal"/>
      <w:isLgl w:val="false"/>
      <w:suff w:val="tab"/>
      <w:lvlText w:val="%4."/>
      <w:lvlJc w:val="left"/>
      <w:pPr>
        <w:pStyle w:val="1277"/>
        <w:ind w:left="1680" w:hanging="420"/>
        <w:tabs>
          <w:tab w:val="num" w:pos="1680" w:leader="none"/>
        </w:tabs>
      </w:pPr>
      <w:rPr>
        <w:rFonts w:cs="Times New Roman"/>
      </w:rPr>
    </w:lvl>
    <w:lvl w:ilvl="4">
      <w:start w:val="1"/>
      <w:numFmt w:val="lowerLetter"/>
      <w:isLgl w:val="false"/>
      <w:suff w:val="tab"/>
      <w:lvlText w:val="%5)"/>
      <w:lvlJc w:val="left"/>
      <w:pPr>
        <w:pStyle w:val="1277"/>
        <w:ind w:left="2100" w:hanging="420"/>
        <w:tabs>
          <w:tab w:val="num" w:pos="2100" w:leader="none"/>
        </w:tabs>
      </w:pPr>
      <w:rPr>
        <w:rFonts w:cs="Times New Roman"/>
      </w:rPr>
    </w:lvl>
    <w:lvl w:ilvl="5">
      <w:start w:val="1"/>
      <w:numFmt w:val="lowerRoman"/>
      <w:isLgl w:val="false"/>
      <w:suff w:val="tab"/>
      <w:lvlText w:val="%6."/>
      <w:lvlJc w:val="right"/>
      <w:pPr>
        <w:pStyle w:val="1277"/>
        <w:ind w:left="2520" w:hanging="420"/>
        <w:tabs>
          <w:tab w:val="num" w:pos="2520" w:leader="none"/>
        </w:tabs>
      </w:pPr>
      <w:rPr>
        <w:rFonts w:cs="Times New Roman"/>
      </w:rPr>
    </w:lvl>
    <w:lvl w:ilvl="6">
      <w:start w:val="1"/>
      <w:numFmt w:val="decimal"/>
      <w:isLgl w:val="false"/>
      <w:suff w:val="tab"/>
      <w:lvlText w:val="%7."/>
      <w:lvlJc w:val="left"/>
      <w:pPr>
        <w:pStyle w:val="1277"/>
        <w:ind w:left="2940" w:hanging="420"/>
        <w:tabs>
          <w:tab w:val="num" w:pos="2940" w:leader="none"/>
        </w:tabs>
      </w:pPr>
      <w:rPr>
        <w:rFonts w:cs="Times New Roman"/>
      </w:rPr>
    </w:lvl>
    <w:lvl w:ilvl="7">
      <w:start w:val="1"/>
      <w:numFmt w:val="lowerLetter"/>
      <w:isLgl w:val="false"/>
      <w:suff w:val="tab"/>
      <w:lvlText w:val="%8)"/>
      <w:lvlJc w:val="left"/>
      <w:pPr>
        <w:pStyle w:val="1277"/>
        <w:ind w:left="3360" w:hanging="420"/>
        <w:tabs>
          <w:tab w:val="num" w:pos="3360" w:leader="none"/>
        </w:tabs>
      </w:pPr>
      <w:rPr>
        <w:rFonts w:cs="Times New Roman"/>
      </w:rPr>
    </w:lvl>
    <w:lvl w:ilvl="8">
      <w:start w:val="1"/>
      <w:numFmt w:val="lowerRoman"/>
      <w:isLgl w:val="false"/>
      <w:suff w:val="tab"/>
      <w:lvlText w:val="%9."/>
      <w:lvlJc w:val="right"/>
      <w:pPr>
        <w:pStyle w:val="1277"/>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77"/>
    <w:next w:val="12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77"/>
    <w:next w:val="12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77"/>
    <w:next w:val="12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77"/>
    <w:next w:val="12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77"/>
    <w:next w:val="12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77"/>
    <w:next w:val="12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77"/>
    <w:next w:val="12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77"/>
    <w:next w:val="12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77"/>
    <w:next w:val="12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277"/>
    <w:next w:val="12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77"/>
    <w:next w:val="12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77"/>
    <w:next w:val="1277"/>
    <w:link w:val="38"/>
    <w:uiPriority w:val="29"/>
    <w:qFormat/>
    <w:pPr>
      <w:ind w:left="720" w:right="720"/>
    </w:pPr>
    <w:rPr>
      <w:i/>
    </w:rPr>
  </w:style>
  <w:style w:type="character" w:styleId="38">
    <w:name w:val="Quote Char"/>
    <w:link w:val="37"/>
    <w:uiPriority w:val="29"/>
    <w:rPr>
      <w:i/>
    </w:rPr>
  </w:style>
  <w:style w:type="paragraph" w:styleId="39">
    <w:name w:val="Intense Quote"/>
    <w:basedOn w:val="1277"/>
    <w:next w:val="12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77"/>
    <w:next w:val="12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77"/>
    <w:next w:val="1277"/>
    <w:uiPriority w:val="39"/>
    <w:unhideWhenUsed/>
    <w:pPr>
      <w:ind w:left="0" w:right="0" w:firstLine="0"/>
      <w:spacing w:after="57"/>
    </w:pPr>
  </w:style>
  <w:style w:type="paragraph" w:styleId="181">
    <w:name w:val="toc 2"/>
    <w:basedOn w:val="1277"/>
    <w:next w:val="1277"/>
    <w:uiPriority w:val="39"/>
    <w:unhideWhenUsed/>
    <w:pPr>
      <w:ind w:left="283" w:right="0" w:firstLine="0"/>
      <w:spacing w:after="57"/>
    </w:pPr>
  </w:style>
  <w:style w:type="paragraph" w:styleId="182">
    <w:name w:val="toc 3"/>
    <w:basedOn w:val="1277"/>
    <w:next w:val="1277"/>
    <w:uiPriority w:val="39"/>
    <w:unhideWhenUsed/>
    <w:pPr>
      <w:ind w:left="567" w:right="0" w:firstLine="0"/>
      <w:spacing w:after="57"/>
    </w:pPr>
  </w:style>
  <w:style w:type="paragraph" w:styleId="183">
    <w:name w:val="toc 4"/>
    <w:basedOn w:val="1277"/>
    <w:next w:val="1277"/>
    <w:uiPriority w:val="39"/>
    <w:unhideWhenUsed/>
    <w:pPr>
      <w:ind w:left="850" w:right="0" w:firstLine="0"/>
      <w:spacing w:after="57"/>
    </w:pPr>
  </w:style>
  <w:style w:type="paragraph" w:styleId="184">
    <w:name w:val="toc 5"/>
    <w:basedOn w:val="1277"/>
    <w:next w:val="1277"/>
    <w:uiPriority w:val="39"/>
    <w:unhideWhenUsed/>
    <w:pPr>
      <w:ind w:left="1134" w:right="0" w:firstLine="0"/>
      <w:spacing w:after="57"/>
    </w:pPr>
  </w:style>
  <w:style w:type="paragraph" w:styleId="185">
    <w:name w:val="toc 6"/>
    <w:basedOn w:val="1277"/>
    <w:next w:val="1277"/>
    <w:uiPriority w:val="39"/>
    <w:unhideWhenUsed/>
    <w:pPr>
      <w:ind w:left="1417" w:right="0" w:firstLine="0"/>
      <w:spacing w:after="57"/>
    </w:pPr>
  </w:style>
  <w:style w:type="paragraph" w:styleId="186">
    <w:name w:val="toc 7"/>
    <w:basedOn w:val="1277"/>
    <w:next w:val="1277"/>
    <w:uiPriority w:val="39"/>
    <w:unhideWhenUsed/>
    <w:pPr>
      <w:ind w:left="1701" w:right="0" w:firstLine="0"/>
      <w:spacing w:after="57"/>
    </w:pPr>
  </w:style>
  <w:style w:type="paragraph" w:styleId="187">
    <w:name w:val="toc 8"/>
    <w:basedOn w:val="1277"/>
    <w:next w:val="1277"/>
    <w:uiPriority w:val="39"/>
    <w:unhideWhenUsed/>
    <w:pPr>
      <w:ind w:left="1984" w:right="0" w:firstLine="0"/>
      <w:spacing w:after="57"/>
    </w:pPr>
  </w:style>
  <w:style w:type="paragraph" w:styleId="188">
    <w:name w:val="toc 9"/>
    <w:basedOn w:val="1277"/>
    <w:next w:val="12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77"/>
    <w:next w:val="1277"/>
    <w:uiPriority w:val="99"/>
    <w:unhideWhenUsed/>
    <w:pPr>
      <w:spacing w:after="0" w:afterAutospacing="0"/>
    </w:pPr>
  </w:style>
  <w:style w:type="paragraph" w:styleId="1277" w:default="1">
    <w:name w:val="Normal"/>
    <w:next w:val="1285"/>
    <w:link w:val="1277"/>
    <w:qFormat/>
    <w:pPr>
      <w:jc w:val="both"/>
      <w:widowControl w:val="off"/>
    </w:pPr>
    <w:rPr>
      <w:sz w:val="21"/>
      <w:lang w:val="en-US" w:eastAsia="zh-CN" w:bidi="ar-SA"/>
    </w:rPr>
  </w:style>
  <w:style w:type="paragraph" w:styleId="1278">
    <w:name w:val="标题 1"/>
    <w:basedOn w:val="1277"/>
    <w:next w:val="1277"/>
    <w:link w:val="1286"/>
    <w:qFormat/>
    <w:pPr>
      <w:jc w:val="center"/>
      <w:keepNext/>
      <w:outlineLvl w:val="0"/>
    </w:pPr>
    <w:rPr>
      <w:rFonts w:ascii="楷体_GB2312" w:hAnsi="楷体_GB2312" w:eastAsia="宋体"/>
      <w:b/>
      <w:sz w:val="28"/>
      <w:szCs w:val="32"/>
    </w:rPr>
  </w:style>
  <w:style w:type="paragraph" w:styleId="1279">
    <w:name w:val="标题 2"/>
    <w:basedOn w:val="1277"/>
    <w:next w:val="1277"/>
    <w:link w:val="1287"/>
    <w:qFormat/>
    <w:pPr>
      <w:jc w:val="center"/>
      <w:keepNext/>
      <w:outlineLvl w:val="1"/>
    </w:pPr>
    <w:rPr>
      <w:rFonts w:ascii="楷体_GB2312" w:eastAsia="楷体_GB2312"/>
      <w:b/>
      <w:bCs/>
      <w:sz w:val="18"/>
    </w:rPr>
  </w:style>
  <w:style w:type="paragraph" w:styleId="1280">
    <w:name w:val="标题 3"/>
    <w:basedOn w:val="1277"/>
    <w:next w:val="1277"/>
    <w:link w:val="1288"/>
    <w:qFormat/>
    <w:pPr>
      <w:jc w:val="center"/>
      <w:keepNext/>
      <w:outlineLvl w:val="2"/>
    </w:pPr>
    <w:rPr>
      <w:rFonts w:eastAsia="楷体_GB2312"/>
      <w:b/>
      <w:bCs/>
      <w:sz w:val="15"/>
    </w:rPr>
  </w:style>
  <w:style w:type="paragraph" w:styleId="1281">
    <w:name w:val="标题 4"/>
    <w:basedOn w:val="1277"/>
    <w:next w:val="1277"/>
    <w:link w:val="1289"/>
    <w:qFormat/>
    <w:pPr>
      <w:jc w:val="center"/>
      <w:keepNext/>
      <w:outlineLvl w:val="3"/>
    </w:pPr>
    <w:rPr>
      <w:rFonts w:eastAsia="楷体_GB2312"/>
      <w:b/>
      <w:bCs/>
      <w:sz w:val="13"/>
    </w:rPr>
  </w:style>
  <w:style w:type="paragraph" w:styleId="1282">
    <w:name w:val="标题 5"/>
    <w:basedOn w:val="1277"/>
    <w:next w:val="1277"/>
    <w:link w:val="1290"/>
    <w:qFormat/>
    <w:pPr>
      <w:numPr>
        <w:ilvl w:val="0"/>
        <w:numId w:val="1"/>
      </w:numPr>
      <w:keepNext/>
      <w:tabs>
        <w:tab w:val="left" w:pos="360" w:leader="none"/>
      </w:tabs>
      <w:outlineLvl w:val="4"/>
    </w:pPr>
    <w:rPr>
      <w:rFonts w:ascii="楷体_GB2312" w:eastAsia="楷体_GB2312"/>
      <w:bCs/>
      <w:sz w:val="28"/>
    </w:rPr>
  </w:style>
  <w:style w:type="character" w:styleId="1283">
    <w:name w:val="默认段落字体"/>
    <w:next w:val="1283"/>
    <w:link w:val="1277"/>
    <w:uiPriority w:val="1"/>
    <w:unhideWhenUsed/>
  </w:style>
  <w:style w:type="table" w:styleId="1284">
    <w:name w:val="普通表格"/>
    <w:next w:val="1284"/>
    <w:link w:val="1277"/>
    <w:uiPriority w:val="99"/>
    <w:unhideWhenUsed/>
    <w:qFormat/>
    <w:tblPr/>
  </w:style>
  <w:style w:type="paragraph" w:styleId="1285">
    <w:name w:val="列表段落"/>
    <w:basedOn w:val="1277"/>
    <w:next w:val="1285"/>
    <w:link w:val="1277"/>
    <w:uiPriority w:val="34"/>
    <w:qFormat/>
    <w:pPr>
      <w:ind w:firstLine="420"/>
    </w:pPr>
  </w:style>
  <w:style w:type="character" w:styleId="1286">
    <w:name w:val="标题 1 字符"/>
    <w:next w:val="1286"/>
    <w:link w:val="1278"/>
    <w:qFormat/>
    <w:rPr>
      <w:rFonts w:ascii="楷体_GB2312" w:hAnsi="楷体_GB2312" w:eastAsia="宋体" w:cs="Times New Roman"/>
      <w:b/>
      <w:sz w:val="28"/>
      <w:szCs w:val="32"/>
    </w:rPr>
  </w:style>
  <w:style w:type="character" w:styleId="1287">
    <w:name w:val="标题 2 字符"/>
    <w:next w:val="1287"/>
    <w:link w:val="1279"/>
    <w:qFormat/>
    <w:rPr>
      <w:rFonts w:ascii="楷体_GB2312" w:hAnsi="Times New Roman" w:eastAsia="楷体_GB2312" w:cs="Times New Roman"/>
      <w:b/>
      <w:bCs/>
      <w:sz w:val="18"/>
      <w:szCs w:val="20"/>
    </w:rPr>
  </w:style>
  <w:style w:type="character" w:styleId="1288">
    <w:name w:val="标题 3 字符"/>
    <w:next w:val="1288"/>
    <w:link w:val="1280"/>
    <w:qFormat/>
    <w:rPr>
      <w:rFonts w:ascii="Times New Roman" w:hAnsi="Times New Roman" w:eastAsia="楷体_GB2312" w:cs="Times New Roman"/>
      <w:b/>
      <w:bCs/>
      <w:sz w:val="15"/>
      <w:szCs w:val="20"/>
    </w:rPr>
  </w:style>
  <w:style w:type="character" w:styleId="1289">
    <w:name w:val="标题 4 字符"/>
    <w:next w:val="1289"/>
    <w:link w:val="1281"/>
    <w:qFormat/>
    <w:rPr>
      <w:rFonts w:ascii="Times New Roman" w:hAnsi="Times New Roman" w:eastAsia="楷体_GB2312" w:cs="Times New Roman"/>
      <w:b/>
      <w:bCs/>
      <w:sz w:val="13"/>
      <w:szCs w:val="20"/>
    </w:rPr>
  </w:style>
  <w:style w:type="character" w:styleId="1290">
    <w:name w:val="标题 5 字符"/>
    <w:next w:val="1290"/>
    <w:link w:val="1282"/>
    <w:qFormat/>
    <w:rPr>
      <w:rFonts w:ascii="楷体_GB2312" w:hAnsi="Times New Roman" w:eastAsia="楷体_GB2312" w:cs="Times New Roman"/>
      <w:bCs/>
      <w:sz w:val="28"/>
      <w:szCs w:val="20"/>
    </w:rPr>
  </w:style>
  <w:style w:type="paragraph" w:styleId="1291">
    <w:name w:val="正文缩进"/>
    <w:basedOn w:val="1277"/>
    <w:next w:val="1291"/>
    <w:link w:val="1292"/>
    <w:unhideWhenUsed/>
    <w:qFormat/>
    <w:pPr>
      <w:ind w:firstLine="420"/>
    </w:pPr>
  </w:style>
  <w:style w:type="character" w:styleId="1292">
    <w:name w:val="正文缩进 字符"/>
    <w:next w:val="1292"/>
    <w:link w:val="1291"/>
    <w:semiHidden/>
    <w:qFormat/>
    <w:rPr>
      <w:rFonts w:ascii="Times New Roman" w:hAnsi="Times New Roman"/>
      <w:sz w:val="21"/>
    </w:rPr>
  </w:style>
  <w:style w:type="paragraph" w:styleId="1293">
    <w:name w:val="文档结构图"/>
    <w:basedOn w:val="1277"/>
    <w:next w:val="1293"/>
    <w:link w:val="1294"/>
    <w:semiHidden/>
    <w:qFormat/>
    <w:pPr>
      <w:shd w:val="clear" w:color="auto" w:fill="000080"/>
    </w:pPr>
    <w:rPr>
      <w:sz w:val="20"/>
    </w:rPr>
  </w:style>
  <w:style w:type="character" w:styleId="1294">
    <w:name w:val="文档结构图 字符"/>
    <w:next w:val="1294"/>
    <w:link w:val="1293"/>
    <w:semiHidden/>
    <w:qFormat/>
    <w:rPr>
      <w:rFonts w:ascii="Times New Roman" w:hAnsi="Times New Roman" w:eastAsia="宋体" w:cs="Times New Roman"/>
      <w:szCs w:val="20"/>
      <w:shd w:val="clear" w:color="auto" w:fill="000080"/>
    </w:rPr>
  </w:style>
  <w:style w:type="paragraph" w:styleId="1295">
    <w:name w:val="批注文字"/>
    <w:basedOn w:val="1277"/>
    <w:next w:val="1295"/>
    <w:link w:val="1296"/>
    <w:uiPriority w:val="99"/>
    <w:semiHidden/>
    <w:qFormat/>
    <w:pPr>
      <w:jc w:val="left"/>
    </w:pPr>
    <w:rPr>
      <w:sz w:val="20"/>
      <w:szCs w:val="24"/>
    </w:rPr>
  </w:style>
  <w:style w:type="character" w:styleId="1296">
    <w:name w:val="批注文字 字符"/>
    <w:next w:val="1296"/>
    <w:link w:val="1295"/>
    <w:uiPriority w:val="99"/>
    <w:semiHidden/>
    <w:qFormat/>
    <w:rPr>
      <w:rFonts w:ascii="Times New Roman" w:hAnsi="Times New Roman" w:eastAsia="宋体" w:cs="Times New Roman"/>
      <w:szCs w:val="24"/>
    </w:rPr>
  </w:style>
  <w:style w:type="paragraph" w:styleId="1297">
    <w:name w:val="正文文本"/>
    <w:basedOn w:val="1277"/>
    <w:next w:val="1297"/>
    <w:link w:val="1298"/>
    <w:uiPriority w:val="99"/>
    <w:qFormat/>
    <w:rPr>
      <w:rFonts w:ascii="华文中宋" w:eastAsia="华文中宋"/>
      <w:bCs/>
      <w:sz w:val="28"/>
    </w:rPr>
  </w:style>
  <w:style w:type="character" w:styleId="1298">
    <w:name w:val="正文文本 字符"/>
    <w:next w:val="1298"/>
    <w:link w:val="1297"/>
    <w:uiPriority w:val="99"/>
    <w:qFormat/>
    <w:rPr>
      <w:rFonts w:ascii="华文中宋" w:hAnsi="Times New Roman" w:eastAsia="华文中宋" w:cs="Times New Roman"/>
      <w:bCs/>
      <w:sz w:val="28"/>
      <w:szCs w:val="20"/>
    </w:rPr>
  </w:style>
  <w:style w:type="paragraph" w:styleId="1299">
    <w:name w:val="正文文本缩进"/>
    <w:basedOn w:val="1277"/>
    <w:next w:val="1301"/>
    <w:link w:val="1300"/>
    <w:qFormat/>
    <w:pPr>
      <w:ind w:firstLine="576"/>
    </w:pPr>
    <w:rPr>
      <w:b/>
      <w:sz w:val="30"/>
    </w:rPr>
  </w:style>
  <w:style w:type="character" w:styleId="1300">
    <w:name w:val="正文文本缩进 字符"/>
    <w:next w:val="1300"/>
    <w:link w:val="1299"/>
    <w:qFormat/>
    <w:rPr>
      <w:rFonts w:ascii="Times New Roman" w:hAnsi="Times New Roman" w:eastAsia="宋体" w:cs="Times New Roman"/>
      <w:b/>
      <w:sz w:val="30"/>
      <w:szCs w:val="20"/>
    </w:rPr>
  </w:style>
  <w:style w:type="paragraph" w:styleId="1301">
    <w:name w:val="寄信人地址"/>
    <w:basedOn w:val="1277"/>
    <w:next w:val="1301"/>
    <w:link w:val="1277"/>
    <w:qFormat/>
    <w:rPr>
      <w:rFonts w:ascii="Arial" w:hAnsi="Arial"/>
    </w:rPr>
  </w:style>
  <w:style w:type="paragraph" w:styleId="1302">
    <w:name w:val="索引 4"/>
    <w:basedOn w:val="1277"/>
    <w:next w:val="1277"/>
    <w:link w:val="1277"/>
    <w:uiPriority w:val="99"/>
    <w:qFormat/>
    <w:pPr>
      <w:ind w:left="600"/>
    </w:pPr>
    <w:rPr>
      <w:szCs w:val="24"/>
    </w:rPr>
  </w:style>
  <w:style w:type="paragraph" w:styleId="1303">
    <w:name w:val="纯文本"/>
    <w:basedOn w:val="1277"/>
    <w:next w:val="1303"/>
    <w:link w:val="1304"/>
    <w:qFormat/>
    <w:rPr>
      <w:rFonts w:ascii="宋体" w:hAnsi="Courier New"/>
    </w:rPr>
  </w:style>
  <w:style w:type="character" w:styleId="1304">
    <w:name w:val="纯文本 字符"/>
    <w:next w:val="1304"/>
    <w:link w:val="1303"/>
    <w:rPr>
      <w:rFonts w:ascii="宋体" w:hAnsi="Courier New"/>
      <w:sz w:val="21"/>
    </w:rPr>
  </w:style>
  <w:style w:type="paragraph" w:styleId="1305">
    <w:name w:val="日期"/>
    <w:basedOn w:val="1277"/>
    <w:next w:val="1277"/>
    <w:link w:val="1306"/>
    <w:qFormat/>
    <w:rPr>
      <w:rFonts w:eastAsia="黑体"/>
      <w:b/>
      <w:sz w:val="36"/>
    </w:rPr>
  </w:style>
  <w:style w:type="character" w:styleId="1306">
    <w:name w:val="日期 字符"/>
    <w:next w:val="1306"/>
    <w:link w:val="1305"/>
    <w:qFormat/>
    <w:rPr>
      <w:rFonts w:ascii="Times New Roman" w:hAnsi="Times New Roman" w:eastAsia="黑体" w:cs="Times New Roman"/>
      <w:b/>
      <w:sz w:val="36"/>
      <w:szCs w:val="20"/>
    </w:rPr>
  </w:style>
  <w:style w:type="paragraph" w:styleId="1307">
    <w:name w:val="正文文本缩进 2"/>
    <w:basedOn w:val="1277"/>
    <w:next w:val="1307"/>
    <w:link w:val="1308"/>
    <w:qFormat/>
    <w:pPr>
      <w:ind w:left="900"/>
    </w:pPr>
    <w:rPr>
      <w:rFonts w:ascii="楷体_GB2312" w:eastAsia="楷体_GB2312"/>
      <w:b/>
      <w:sz w:val="28"/>
    </w:rPr>
  </w:style>
  <w:style w:type="character" w:styleId="1308">
    <w:name w:val="正文文本缩进 2 字符"/>
    <w:next w:val="1308"/>
    <w:link w:val="1307"/>
    <w:qFormat/>
    <w:rPr>
      <w:rFonts w:ascii="楷体_GB2312" w:hAnsi="Times New Roman" w:eastAsia="楷体_GB2312" w:cs="Times New Roman"/>
      <w:b/>
      <w:sz w:val="28"/>
      <w:szCs w:val="20"/>
    </w:rPr>
  </w:style>
  <w:style w:type="paragraph" w:styleId="1309">
    <w:name w:val="批注框文本"/>
    <w:basedOn w:val="1277"/>
    <w:next w:val="1309"/>
    <w:link w:val="1310"/>
    <w:uiPriority w:val="99"/>
    <w:unhideWhenUsed/>
    <w:qFormat/>
    <w:rPr>
      <w:sz w:val="18"/>
      <w:szCs w:val="18"/>
    </w:rPr>
  </w:style>
  <w:style w:type="character" w:styleId="1310">
    <w:name w:val="批注框文本 字符"/>
    <w:next w:val="1310"/>
    <w:link w:val="1309"/>
    <w:uiPriority w:val="99"/>
    <w:semiHidden/>
    <w:qFormat/>
    <w:rPr>
      <w:rFonts w:ascii="Times New Roman" w:hAnsi="Times New Roman" w:eastAsia="宋体" w:cs="Times New Roman"/>
      <w:sz w:val="18"/>
      <w:szCs w:val="18"/>
    </w:rPr>
  </w:style>
  <w:style w:type="paragraph" w:styleId="1311">
    <w:name w:val="页脚"/>
    <w:basedOn w:val="1277"/>
    <w:next w:val="1277"/>
    <w:link w:val="1312"/>
    <w:unhideWhenUsed/>
    <w:qFormat/>
    <w:pPr>
      <w:jc w:val="left"/>
      <w:tabs>
        <w:tab w:val="center" w:pos="4153" w:leader="none"/>
        <w:tab w:val="right" w:pos="8306" w:leader="none"/>
      </w:tabs>
    </w:pPr>
    <w:rPr>
      <w:sz w:val="18"/>
      <w:szCs w:val="18"/>
    </w:rPr>
  </w:style>
  <w:style w:type="character" w:styleId="1312">
    <w:name w:val="页脚 字符"/>
    <w:next w:val="1312"/>
    <w:link w:val="1311"/>
    <w:qFormat/>
    <w:rPr>
      <w:sz w:val="18"/>
      <w:szCs w:val="18"/>
    </w:rPr>
  </w:style>
  <w:style w:type="paragraph" w:styleId="1313">
    <w:name w:val="页眉"/>
    <w:basedOn w:val="1277"/>
    <w:next w:val="1313"/>
    <w:link w:val="1314"/>
    <w:unhideWhenUsed/>
    <w:qFormat/>
    <w:pPr>
      <w:jc w:val="center"/>
      <w:tabs>
        <w:tab w:val="center" w:pos="4153" w:leader="none"/>
        <w:tab w:val="right" w:pos="8306" w:leader="none"/>
      </w:tabs>
      <w:pBdr>
        <w:bottom w:val="single" w:color="000000" w:sz="6" w:space="1"/>
      </w:pBdr>
    </w:pPr>
    <w:rPr>
      <w:sz w:val="18"/>
      <w:szCs w:val="18"/>
    </w:rPr>
  </w:style>
  <w:style w:type="character" w:styleId="1314">
    <w:name w:val="页眉 字符"/>
    <w:next w:val="1314"/>
    <w:link w:val="1313"/>
    <w:qFormat/>
    <w:rPr>
      <w:sz w:val="18"/>
      <w:szCs w:val="18"/>
    </w:rPr>
  </w:style>
  <w:style w:type="paragraph" w:styleId="1315">
    <w:name w:val="目录 1"/>
    <w:basedOn w:val="1277"/>
    <w:next w:val="1277"/>
    <w:link w:val="1277"/>
    <w:uiPriority w:val="39"/>
    <w:unhideWhenUsed/>
  </w:style>
  <w:style w:type="paragraph" w:styleId="1316">
    <w:name w:val="副标题"/>
    <w:basedOn w:val="1277"/>
    <w:next w:val="1277"/>
    <w:link w:val="1277"/>
    <w:uiPriority w:val="11"/>
    <w:qFormat/>
    <w:pPr>
      <w:spacing w:before="200" w:after="200"/>
    </w:pPr>
    <w:rPr>
      <w:sz w:val="24"/>
      <w:szCs w:val="24"/>
    </w:rPr>
  </w:style>
  <w:style w:type="paragraph" w:styleId="1317">
    <w:name w:val="列表"/>
    <w:basedOn w:val="1277"/>
    <w:next w:val="1317"/>
    <w:link w:val="1277"/>
    <w:qFormat/>
    <w:pPr>
      <w:ind w:left="420" w:hanging="420"/>
      <w:spacing w:after="20" w:line="288" w:lineRule="auto"/>
      <w:tabs>
        <w:tab w:val="left" w:pos="420" w:leader="none"/>
      </w:tabs>
    </w:pPr>
    <w:rPr>
      <w:szCs w:val="20"/>
      <w:lang w:val="en-GB"/>
    </w:rPr>
  </w:style>
  <w:style w:type="paragraph" w:styleId="1318">
    <w:name w:val="正文文本缩进 3"/>
    <w:basedOn w:val="1277"/>
    <w:next w:val="1318"/>
    <w:link w:val="1319"/>
    <w:qFormat/>
    <w:pPr>
      <w:ind w:left="359" w:firstLine="359"/>
    </w:pPr>
    <w:rPr>
      <w:sz w:val="20"/>
    </w:rPr>
  </w:style>
  <w:style w:type="character" w:styleId="1319">
    <w:name w:val="正文文本缩进 3 字符"/>
    <w:next w:val="1319"/>
    <w:link w:val="1318"/>
    <w:qFormat/>
    <w:rPr>
      <w:rFonts w:ascii="Times New Roman" w:hAnsi="Times New Roman" w:eastAsia="宋体" w:cs="Times New Roman"/>
      <w:szCs w:val="20"/>
    </w:rPr>
  </w:style>
  <w:style w:type="paragraph" w:styleId="1320">
    <w:name w:val="目录 2"/>
    <w:basedOn w:val="1277"/>
    <w:next w:val="1277"/>
    <w:link w:val="1277"/>
    <w:uiPriority w:val="39"/>
    <w:qFormat/>
    <w:pPr>
      <w:ind w:left="210" w:firstLine="150"/>
      <w:jc w:val="left"/>
      <w:tabs>
        <w:tab w:val="right" w:pos="9170" w:leader="dot"/>
      </w:tabs>
    </w:pPr>
    <w:rPr>
      <w:smallCaps/>
      <w:sz w:val="20"/>
    </w:rPr>
  </w:style>
  <w:style w:type="paragraph" w:styleId="1321">
    <w:name w:val="正文文本 2"/>
    <w:basedOn w:val="1277"/>
    <w:next w:val="1321"/>
    <w:link w:val="1322"/>
    <w:qFormat/>
    <w:pPr>
      <w:spacing w:after="120" w:line="480" w:lineRule="auto"/>
    </w:pPr>
    <w:rPr>
      <w:sz w:val="20"/>
    </w:rPr>
  </w:style>
  <w:style w:type="character" w:styleId="1322">
    <w:name w:val="正文文本 2 字符"/>
    <w:next w:val="1322"/>
    <w:link w:val="1321"/>
    <w:qFormat/>
    <w:rPr>
      <w:rFonts w:ascii="Times New Roman" w:hAnsi="Times New Roman" w:eastAsia="宋体" w:cs="Times New Roman"/>
      <w:szCs w:val="20"/>
    </w:rPr>
  </w:style>
  <w:style w:type="paragraph" w:styleId="1323">
    <w:name w:val="普通(网站)"/>
    <w:basedOn w:val="1277"/>
    <w:next w:val="1323"/>
    <w:link w:val="1277"/>
    <w:uiPriority w:val="99"/>
    <w:qFormat/>
    <w:pPr>
      <w:jc w:val="left"/>
      <w:spacing w:before="100" w:beforeAutospacing="1" w:after="100" w:afterAutospacing="1"/>
      <w:widowControl/>
    </w:pPr>
    <w:rPr>
      <w:rFonts w:ascii="宋体" w:hAnsi="宋体" w:cs="宋体"/>
      <w:sz w:val="24"/>
      <w:szCs w:val="24"/>
    </w:rPr>
  </w:style>
  <w:style w:type="paragraph" w:styleId="1324">
    <w:name w:val="批注主题"/>
    <w:basedOn w:val="1295"/>
    <w:next w:val="1295"/>
    <w:link w:val="1325"/>
    <w:uiPriority w:val="99"/>
    <w:semiHidden/>
    <w:qFormat/>
    <w:rPr>
      <w:b/>
      <w:bCs/>
    </w:rPr>
  </w:style>
  <w:style w:type="character" w:styleId="1325">
    <w:name w:val="批注主题 字符"/>
    <w:next w:val="1325"/>
    <w:link w:val="1324"/>
    <w:uiPriority w:val="99"/>
    <w:semiHidden/>
    <w:qFormat/>
    <w:rPr>
      <w:rFonts w:ascii="Times New Roman" w:hAnsi="Times New Roman" w:eastAsia="宋体" w:cs="Times New Roman"/>
      <w:b/>
      <w:bCs/>
      <w:szCs w:val="24"/>
    </w:rPr>
  </w:style>
  <w:style w:type="paragraph" w:styleId="1326">
    <w:name w:val="正文首行缩进"/>
    <w:basedOn w:val="1297"/>
    <w:next w:val="1326"/>
    <w:link w:val="1327"/>
    <w:pPr>
      <w:ind w:firstLine="420"/>
      <w:spacing w:after="120"/>
    </w:pPr>
    <w:rPr>
      <w:rFonts w:ascii="Times New Roman" w:eastAsia="宋体"/>
      <w:sz w:val="21"/>
      <w:szCs w:val="24"/>
    </w:rPr>
  </w:style>
  <w:style w:type="character" w:styleId="1327">
    <w:name w:val="正文文本首行缩进 字符"/>
    <w:next w:val="1327"/>
    <w:link w:val="1326"/>
    <w:qFormat/>
    <w:rPr>
      <w:rFonts w:ascii="Times New Roman" w:eastAsia="宋体"/>
      <w:sz w:val="21"/>
      <w:szCs w:val="24"/>
    </w:rPr>
  </w:style>
  <w:style w:type="paragraph" w:styleId="1328">
    <w:name w:val="正文首行缩进 2"/>
    <w:basedOn w:val="1299"/>
    <w:next w:val="1277"/>
    <w:link w:val="127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329">
    <w:name w:val="网格型"/>
    <w:basedOn w:val="1284"/>
    <w:next w:val="1329"/>
    <w:link w:val="1277"/>
    <w:qFormat/>
    <w:pPr>
      <w:jc w:val="both"/>
      <w:widowControl w:val="off"/>
    </w:pPr>
    <w:tblPr/>
  </w:style>
  <w:style w:type="character" w:styleId="1330">
    <w:name w:val="要点"/>
    <w:next w:val="1330"/>
    <w:link w:val="1277"/>
    <w:uiPriority w:val="99"/>
    <w:qFormat/>
    <w:rPr>
      <w:rFonts w:cs="Times New Roman"/>
      <w:b/>
      <w:bCs/>
    </w:rPr>
  </w:style>
  <w:style w:type="character" w:styleId="1331">
    <w:name w:val="页码"/>
    <w:next w:val="1331"/>
    <w:link w:val="1277"/>
    <w:rPr>
      <w:rFonts w:cs="Times New Roman"/>
    </w:rPr>
  </w:style>
  <w:style w:type="character" w:styleId="1332">
    <w:name w:val="已访问的超链接"/>
    <w:next w:val="1332"/>
    <w:link w:val="1277"/>
    <w:uiPriority w:val="99"/>
    <w:qFormat/>
    <w:rPr>
      <w:rFonts w:cs="Times New Roman"/>
      <w:color w:val="000000"/>
      <w:u w:val="none"/>
    </w:rPr>
  </w:style>
  <w:style w:type="character" w:styleId="1333">
    <w:name w:val="HTML 打字机"/>
    <w:next w:val="1333"/>
    <w:link w:val="1277"/>
    <w:uiPriority w:val="99"/>
    <w:qFormat/>
    <w:rPr>
      <w:rFonts w:ascii="宋体" w:hAnsi="宋体" w:eastAsia="宋体" w:cs="宋体"/>
      <w:sz w:val="24"/>
      <w:szCs w:val="24"/>
    </w:rPr>
  </w:style>
  <w:style w:type="character" w:styleId="1334">
    <w:name w:val="超链接"/>
    <w:next w:val="1334"/>
    <w:link w:val="1277"/>
    <w:qFormat/>
    <w:rPr>
      <w:color w:val="000000"/>
      <w:u w:val="none"/>
    </w:rPr>
  </w:style>
  <w:style w:type="paragraph" w:styleId="1335">
    <w:name w:val="TOC Heading1"/>
    <w:next w:val="1277"/>
    <w:link w:val="1277"/>
    <w:qFormat/>
    <w:rPr>
      <w:sz w:val="32"/>
      <w:lang w:val="en-US" w:eastAsia="zh-CN" w:bidi="ar-SA"/>
    </w:rPr>
  </w:style>
  <w:style w:type="paragraph" w:styleId="1336">
    <w:name w:val="段"/>
    <w:next w:val="1277"/>
    <w:link w:val="1277"/>
    <w:qFormat/>
    <w:pPr>
      <w:ind w:firstLine="200"/>
      <w:jc w:val="both"/>
    </w:pPr>
    <w:rPr>
      <w:rFonts w:ascii="宋体"/>
      <w:sz w:val="21"/>
      <w:lang w:val="en-US" w:eastAsia="zh-CN" w:bidi="ar-SA"/>
    </w:rPr>
  </w:style>
  <w:style w:type="character" w:styleId="1337">
    <w:name w:val="font31"/>
    <w:next w:val="1337"/>
    <w:link w:val="1277"/>
    <w:qFormat/>
    <w:rPr>
      <w:rFonts w:hint="eastAsia" w:ascii="仿宋" w:hAnsi="仿宋" w:eastAsia="仿宋" w:cs="仿宋"/>
      <w:color w:val="000000"/>
      <w:sz w:val="24"/>
      <w:szCs w:val="24"/>
      <w:u w:val="none"/>
    </w:rPr>
  </w:style>
  <w:style w:type="character" w:styleId="1338">
    <w:name w:val="font11"/>
    <w:next w:val="1338"/>
    <w:link w:val="1277"/>
    <w:rPr>
      <w:rFonts w:hint="eastAsia" w:ascii="宋体" w:hAnsi="宋体" w:eastAsia="宋体" w:cs="宋体"/>
      <w:color w:val="000000"/>
      <w:sz w:val="20"/>
      <w:szCs w:val="20"/>
      <w:u w:val="none"/>
    </w:rPr>
  </w:style>
  <w:style w:type="character" w:styleId="1339">
    <w:name w:val="正文文本缩进 2 Char1"/>
    <w:next w:val="1339"/>
    <w:link w:val="1277"/>
    <w:semiHidden/>
    <w:qFormat/>
    <w:rPr>
      <w:rFonts w:ascii="Times New Roman" w:hAnsi="Times New Roman" w:eastAsia="宋体" w:cs="Times New Roman"/>
      <w:szCs w:val="20"/>
    </w:rPr>
  </w:style>
  <w:style w:type="character" w:styleId="1340">
    <w:name w:val="批注框文本 Char1"/>
    <w:next w:val="1340"/>
    <w:link w:val="1277"/>
    <w:uiPriority w:val="99"/>
    <w:semiHidden/>
    <w:rPr>
      <w:rFonts w:ascii="Times New Roman" w:hAnsi="Times New Roman" w:eastAsia="宋体" w:cs="Times New Roman"/>
      <w:sz w:val="18"/>
      <w:szCs w:val="18"/>
    </w:rPr>
  </w:style>
  <w:style w:type="character" w:styleId="1341">
    <w:name w:val="NormalCharacter1"/>
    <w:next w:val="1341"/>
    <w:link w:val="1342"/>
    <w:uiPriority w:val="99"/>
    <w:qFormat/>
    <w:rPr>
      <w:sz w:val="20"/>
    </w:rPr>
  </w:style>
  <w:style w:type="paragraph" w:styleId="1342">
    <w:name w:val="UserStyle_4"/>
    <w:basedOn w:val="1277"/>
    <w:next w:val="1342"/>
    <w:link w:val="1341"/>
    <w:uiPriority w:val="99"/>
    <w:qFormat/>
    <w:pPr>
      <w:widowControl/>
    </w:pPr>
    <w:rPr>
      <w:sz w:val="20"/>
    </w:rPr>
  </w:style>
  <w:style w:type="character" w:styleId="1343">
    <w:name w:val="正文文本缩进 Char1"/>
    <w:next w:val="1343"/>
    <w:link w:val="1277"/>
    <w:semiHidden/>
    <w:qFormat/>
    <w:rPr>
      <w:rFonts w:ascii="Times New Roman" w:hAnsi="Times New Roman" w:eastAsia="宋体" w:cs="Times New Roman"/>
      <w:szCs w:val="20"/>
    </w:rPr>
  </w:style>
  <w:style w:type="character" w:styleId="1344">
    <w:name w:val="case31"/>
    <w:next w:val="1344"/>
    <w:link w:val="1277"/>
    <w:qFormat/>
    <w:rPr>
      <w:spacing w:val="390"/>
      <w:sz w:val="21"/>
      <w:szCs w:val="21"/>
    </w:rPr>
  </w:style>
  <w:style w:type="character" w:styleId="1345">
    <w:name w:val="正文首行缩进两字 Char"/>
    <w:next w:val="1345"/>
    <w:link w:val="1346"/>
    <w:qFormat/>
    <w:rPr>
      <w:sz w:val="24"/>
      <w:szCs w:val="24"/>
      <w:lang w:val="en-US" w:eastAsia="zh-CN" w:bidi="ar-SA"/>
    </w:rPr>
  </w:style>
  <w:style w:type="paragraph" w:styleId="1346">
    <w:name w:val="正文首行缩进两字"/>
    <w:next w:val="1346"/>
    <w:link w:val="1345"/>
    <w:qFormat/>
    <w:pPr>
      <w:ind w:left="240" w:right="240" w:firstLine="480"/>
      <w:spacing w:line="300" w:lineRule="auto"/>
    </w:pPr>
    <w:rPr>
      <w:sz w:val="24"/>
      <w:szCs w:val="24"/>
      <w:lang w:val="en-US" w:eastAsia="zh-CN" w:bidi="ar-SA"/>
    </w:rPr>
  </w:style>
  <w:style w:type="character" w:styleId="1347">
    <w:name w:val="正文文本缩进 3 Char1"/>
    <w:next w:val="1347"/>
    <w:link w:val="1277"/>
    <w:semiHidden/>
    <w:qFormat/>
    <w:rPr>
      <w:rFonts w:ascii="Times New Roman" w:hAnsi="Times New Roman" w:eastAsia="宋体" w:cs="Times New Roman"/>
      <w:sz w:val="16"/>
      <w:szCs w:val="16"/>
    </w:rPr>
  </w:style>
  <w:style w:type="character" w:styleId="1348">
    <w:name w:val="日期 Char1"/>
    <w:next w:val="1348"/>
    <w:link w:val="1277"/>
    <w:semiHidden/>
    <w:qFormat/>
    <w:rPr>
      <w:rFonts w:ascii="Times New Roman" w:hAnsi="Times New Roman" w:eastAsia="宋体" w:cs="Times New Roman"/>
      <w:szCs w:val="20"/>
    </w:rPr>
  </w:style>
  <w:style w:type="character" w:styleId="1349">
    <w:name w:val="文档结构图 Char1"/>
    <w:next w:val="1349"/>
    <w:link w:val="1277"/>
    <w:semiHidden/>
    <w:qFormat/>
    <w:rPr>
      <w:rFonts w:ascii="宋体" w:hAnsi="Times New Roman" w:eastAsia="宋体" w:cs="Times New Roman"/>
      <w:sz w:val="18"/>
      <w:szCs w:val="18"/>
    </w:rPr>
  </w:style>
  <w:style w:type="character" w:styleId="1350">
    <w:name w:val="正文文本 2 Char1"/>
    <w:next w:val="1350"/>
    <w:link w:val="1277"/>
    <w:semiHidden/>
    <w:qFormat/>
    <w:rPr>
      <w:rFonts w:ascii="Times New Roman" w:hAnsi="Times New Roman" w:eastAsia="宋体" w:cs="Times New Roman"/>
      <w:szCs w:val="20"/>
    </w:rPr>
  </w:style>
  <w:style w:type="character" w:styleId="1351">
    <w:name w:val="font21"/>
    <w:next w:val="1351"/>
    <w:link w:val="1277"/>
    <w:qFormat/>
    <w:rPr>
      <w:rFonts w:hint="eastAsia" w:ascii="仿宋" w:hAnsi="仿宋" w:eastAsia="仿宋" w:cs="仿宋"/>
      <w:color w:val="000000"/>
      <w:sz w:val="24"/>
      <w:szCs w:val="24"/>
      <w:u w:val="none"/>
    </w:rPr>
  </w:style>
  <w:style w:type="paragraph" w:styleId="1352">
    <w:name w:val="一级条标题"/>
    <w:next w:val="1277"/>
    <w:link w:val="1277"/>
    <w:qFormat/>
    <w:pPr>
      <w:ind w:left="552" w:hanging="420"/>
      <w:tabs>
        <w:tab w:val="left" w:pos="552" w:leader="none"/>
      </w:tabs>
      <w:outlineLvl w:val="2"/>
    </w:pPr>
    <w:rPr>
      <w:rFonts w:ascii="黑体" w:eastAsia="黑体"/>
      <w:sz w:val="21"/>
      <w:szCs w:val="21"/>
      <w:lang w:val="en-US" w:eastAsia="zh-CN" w:bidi="ar-SA"/>
    </w:rPr>
  </w:style>
  <w:style w:type="paragraph" w:styleId="1353">
    <w:name w:val="_Style 1"/>
    <w:basedOn w:val="1277"/>
    <w:next w:val="1353"/>
    <w:link w:val="1277"/>
    <w:uiPriority w:val="99"/>
    <w:qFormat/>
    <w:pPr>
      <w:ind w:firstLine="420"/>
    </w:pPr>
    <w:rPr>
      <w:rFonts w:ascii="Calibri" w:hAnsi="Calibri" w:eastAsia="宋体" w:cs="Calibri"/>
      <w:sz w:val="34"/>
      <w:szCs w:val="34"/>
    </w:rPr>
  </w:style>
  <w:style w:type="paragraph" w:styleId="1354">
    <w:name w:val="首行缩进"/>
    <w:basedOn w:val="1277"/>
    <w:next w:val="1354"/>
    <w:link w:val="1277"/>
    <w:qFormat/>
    <w:pPr>
      <w:ind w:firstLine="480"/>
    </w:pPr>
    <w:rPr>
      <w:szCs w:val="20"/>
      <w:lang w:val="zh-CN"/>
    </w:rPr>
  </w:style>
  <w:style w:type="paragraph" w:styleId="1355">
    <w:name w:val="List Paragraph1"/>
    <w:basedOn w:val="1277"/>
    <w:next w:val="1355"/>
    <w:link w:val="1277"/>
    <w:qFormat/>
    <w:pPr>
      <w:ind w:firstLine="420"/>
    </w:pPr>
    <w:rPr>
      <w:szCs w:val="21"/>
    </w:rPr>
  </w:style>
  <w:style w:type="paragraph" w:styleId="1356">
    <w:name w:val="普通文字"/>
    <w:basedOn w:val="1277"/>
    <w:next w:val="1277"/>
    <w:link w:val="1277"/>
    <w:rPr>
      <w:rFonts w:ascii="宋体"/>
      <w:sz w:val="24"/>
    </w:rPr>
  </w:style>
  <w:style w:type="paragraph" w:styleId="1357">
    <w:name w:val="二级无"/>
    <w:basedOn w:val="1277"/>
    <w:next w:val="1357"/>
    <w:link w:val="1277"/>
    <w:qFormat/>
    <w:pPr>
      <w:ind w:left="552" w:hanging="420"/>
      <w:jc w:val="left"/>
      <w:widowControl/>
      <w:tabs>
        <w:tab w:val="left" w:pos="552" w:leader="none"/>
      </w:tabs>
      <w:outlineLvl w:val="3"/>
    </w:pPr>
    <w:rPr>
      <w:rFonts w:ascii="宋体"/>
      <w:szCs w:val="21"/>
    </w:rPr>
  </w:style>
  <w:style w:type="paragraph" w:styleId="1358">
    <w:name w:val="正文文本1"/>
    <w:basedOn w:val="1277"/>
    <w:next w:val="1277"/>
    <w:link w:val="1277"/>
    <w:qFormat/>
    <w:rPr>
      <w:rFonts w:ascii="仿宋_GB2312" w:hAnsi="Times New Roman" w:eastAsia="仿宋_GB2312"/>
      <w:sz w:val="28"/>
      <w:szCs w:val="20"/>
    </w:rPr>
  </w:style>
  <w:style w:type="paragraph" w:styleId="1359">
    <w:name w:val="p0 paragraphindent"/>
    <w:basedOn w:val="1277"/>
    <w:next w:val="1359"/>
    <w:link w:val="1277"/>
    <w:qFormat/>
    <w:pPr>
      <w:jc w:val="left"/>
      <w:spacing w:before="100" w:beforeAutospacing="1" w:after="100" w:afterAutospacing="1"/>
      <w:widowControl/>
    </w:pPr>
    <w:rPr>
      <w:rFonts w:ascii="宋体" w:hAnsi="宋体" w:cs="宋体"/>
      <w:sz w:val="24"/>
      <w:szCs w:val="24"/>
    </w:rPr>
  </w:style>
  <w:style w:type="paragraph" w:styleId="1360">
    <w:name w:val="List Paragraph"/>
    <w:basedOn w:val="1277"/>
    <w:next w:val="1360"/>
    <w:link w:val="127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61">
    <w:name w:val="字母编号列项（一级）"/>
    <w:next w:val="1361"/>
    <w:link w:val="1277"/>
    <w:qFormat/>
    <w:pPr>
      <w:ind w:left="552" w:hanging="420"/>
      <w:jc w:val="both"/>
      <w:tabs>
        <w:tab w:val="left" w:pos="552" w:leader="none"/>
        <w:tab w:val="left" w:pos="840" w:leader="none"/>
      </w:tabs>
    </w:pPr>
    <w:rPr>
      <w:rFonts w:ascii="宋体"/>
      <w:sz w:val="21"/>
      <w:lang w:val="en-US" w:eastAsia="zh-CN" w:bidi="ar-SA"/>
    </w:rPr>
  </w:style>
  <w:style w:type="paragraph" w:styleId="1362">
    <w:name w:val="标题 41"/>
    <w:basedOn w:val="1277"/>
    <w:next w:val="1277"/>
    <w:link w:val="1277"/>
    <w:qFormat/>
    <w:pPr>
      <w:jc w:val="center"/>
      <w:keepNext/>
      <w:outlineLvl w:val="3"/>
    </w:pPr>
    <w:rPr>
      <w:rFonts w:eastAsia="楷体_GB2312"/>
      <w:b/>
      <w:bCs/>
      <w:sz w:val="13"/>
    </w:rPr>
  </w:style>
  <w:style w:type="paragraph" w:styleId="1363">
    <w:name w:val="样式 小四 段前: 5 磅 段后: 5 磅 首行缩进:  2 字符"/>
    <w:basedOn w:val="1277"/>
    <w:next w:val="1363"/>
    <w:link w:val="1277"/>
    <w:qFormat/>
    <w:pPr>
      <w:jc w:val="center"/>
      <w:spacing w:line="360" w:lineRule="auto"/>
    </w:pPr>
    <w:rPr>
      <w:rFonts w:ascii="宋体" w:hAnsi="宋体"/>
      <w:bCs/>
      <w:color w:val="ff0000"/>
      <w:sz w:val="24"/>
      <w:szCs w:val="24"/>
    </w:rPr>
  </w:style>
  <w:style w:type="character" w:styleId="1364">
    <w:name w:val="HTML 打字机1"/>
    <w:next w:val="1364"/>
    <w:link w:val="1277"/>
    <w:qFormat/>
    <w:rPr>
      <w:rFonts w:ascii="宋体" w:hAnsi="宋体" w:eastAsia="宋体" w:cs="宋体"/>
      <w:sz w:val="24"/>
      <w:szCs w:val="24"/>
    </w:rPr>
  </w:style>
  <w:style w:type="paragraph" w:styleId="1365">
    <w:name w:val="正文缩进1"/>
    <w:basedOn w:val="1277"/>
    <w:next w:val="1277"/>
    <w:link w:val="1277"/>
    <w:qFormat/>
    <w:pPr>
      <w:ind w:firstLine="420"/>
    </w:pPr>
    <w:rPr>
      <w:rFonts w:ascii="Times New Roman" w:hAnsi="Times New Roman" w:eastAsia="宋体" w:cs="Times New Roman"/>
      <w:szCs w:val="20"/>
    </w:rPr>
  </w:style>
  <w:style w:type="character" w:styleId="10572" w:default="1">
    <w:name w:val="Default Paragraph Font"/>
    <w:uiPriority w:val="1"/>
    <w:semiHidden/>
    <w:unhideWhenUsed/>
  </w:style>
  <w:style w:type="numbering" w:styleId="10573" w:default="1">
    <w:name w:val="No List"/>
    <w:uiPriority w:val="99"/>
    <w:semiHidden/>
    <w:unhideWhenUsed/>
  </w:style>
  <w:style w:type="table" w:styleId="105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4</cp:revision>
  <dcterms:created xsi:type="dcterms:W3CDTF">2023-03-28T06:55:00Z</dcterms:created>
  <dcterms:modified xsi:type="dcterms:W3CDTF">2025-05-12T05:32:44Z</dcterms:modified>
</cp:coreProperties>
</file>