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ascii="宋体" w:hAnsi="宋体" w:cs="宋体"/>
          <w:b/>
          <w:color w:val="000000" w:themeColor="text1"/>
          <w:spacing w:val="76"/>
          <w:sz w:val="112"/>
          <w:szCs w:val="112"/>
          <w:highlight w:val="none"/>
          <w14:textFill>
            <w14:solidFill>
              <w14:schemeClr w14:val="tx1"/>
            </w14:solidFill>
          </w14:textFill>
        </w:rPr>
      </w:pPr>
      <w:r>
        <w:rPr>
          <w:rFonts w:ascii="宋体" w:hAnsi="宋体" w:cs="宋体"/>
          <w:b/>
          <w:color w:val="000000" w:themeColor="text1"/>
          <w:spacing w:val="76"/>
          <w:sz w:val="112"/>
          <w:szCs w:val="112"/>
          <w:highlight w:val="none"/>
          <w14:textFill>
            <w14:solidFill>
              <w14:schemeClr w14:val="tx1"/>
            </w14:solidFill>
          </w14:textFill>
        </w:rPr>
      </w:r>
      <w:r/>
    </w:p>
    <w:p>
      <w:pPr>
        <w:jc w:val="center"/>
        <w:widowControl w:val="off"/>
        <w:rPr>
          <w:rFonts w:ascii="宋体" w:hAnsi="宋体" w:cs="宋体"/>
          <w:b/>
          <w:color w:val="000000" w:themeColor="text1"/>
          <w:sz w:val="112"/>
          <w:szCs w:val="112"/>
          <w:highlight w:val="none"/>
          <w14:textFill>
            <w14:solidFill>
              <w14:schemeClr w14:val="tx1"/>
            </w14:solidFill>
          </w14:textFill>
        </w:rPr>
      </w:pPr>
      <w:r>
        <w:rPr>
          <w:rFonts w:hint="eastAsia" w:ascii="宋体" w:hAnsi="宋体" w:cs="宋体"/>
          <w:b/>
          <w:color w:val="000000" w:themeColor="text1"/>
          <w:spacing w:val="76"/>
          <w:sz w:val="112"/>
          <w:szCs w:val="112"/>
          <w:highlight w:val="none"/>
          <w14:textFill>
            <w14:solidFill>
              <w14:schemeClr w14:val="tx1"/>
            </w14:solidFill>
          </w14:textFill>
        </w:rPr>
        <w:t xml:space="preserve">招标文件</w:t>
      </w:r>
      <w:r/>
    </w:p>
    <w:p>
      <w:pPr>
        <w:jc w:val="both"/>
        <w:widowControl w:val="off"/>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both"/>
        <w:widowControl w:val="off"/>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630"/>
        <w:jc w:val="both"/>
        <w:widowControl w:val="off"/>
        <w:rPr>
          <w:rFonts w:ascii="宋体" w:hAnsi="宋体" w:cs="宋体"/>
          <w:color w:val="000000" w:themeColor="text1"/>
          <w:sz w:val="32"/>
          <w:szCs w:val="24"/>
          <w:highlight w:val="none"/>
          <w14:textFill>
            <w14:solidFill>
              <w14:schemeClr w14:val="tx1"/>
            </w14:solidFill>
          </w14:textFill>
        </w:rPr>
      </w:pPr>
      <w:r>
        <w:rPr>
          <w:rFonts w:hint="eastAsia" w:ascii="宋体" w:hAnsi="宋体" w:cs="宋体"/>
          <w:color w:val="000000" w:themeColor="text1"/>
          <w:sz w:val="32"/>
          <w:szCs w:val="24"/>
          <w:highlight w:val="none"/>
          <w14:textFill>
            <w14:solidFill>
              <w14:schemeClr w14:val="tx1"/>
            </w14:solidFill>
          </w14:textFill>
        </w:rPr>
        <w:t xml:space="preserve">      </w:t>
      </w:r>
      <w:r/>
    </w:p>
    <w:p>
      <w:pPr>
        <w:jc w:val="both"/>
        <w:widowControl w:val="off"/>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JSZC-320300-JTGL-G2024-0006</w:t>
      </w:r>
      <w:r>
        <w:rPr>
          <w:rFonts w:hint="eastAsia" w:ascii="宋体" w:hAnsi="宋体" w:cs="宋体"/>
          <w:color w:val="000000" w:themeColor="text1"/>
          <w:sz w:val="32"/>
          <w:szCs w:val="32"/>
          <w:highlight w:val="none"/>
          <w14:textFill>
            <w14:solidFill>
              <w14:schemeClr w14:val="tx1"/>
            </w14:solidFill>
          </w14:textFill>
        </w:rPr>
        <w:t xml:space="preserve">       </w:t>
      </w:r>
      <w:r/>
    </w:p>
    <w:p>
      <w:pPr>
        <w:ind w:left="1600" w:hanging="1600"/>
        <w:jc w:val="both"/>
        <w:widowControl w:val="off"/>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项目名称：</w:t>
      </w:r>
      <w:r>
        <w:rPr>
          <w:rFonts w:hint="eastAsia" w:ascii="宋体" w:hAnsi="宋体" w:cs="宋体"/>
          <w:sz w:val="32"/>
          <w:szCs w:val="32"/>
          <w:highlight w:val="none"/>
          <w:lang w:eastAsia="zh-CN"/>
        </w:rPr>
        <w:t xml:space="preserve">徐州市南四湖小沿河饮用水源地水生态保护及水面保洁</w:t>
      </w:r>
      <w:r/>
    </w:p>
    <w:p>
      <w:pPr>
        <w:jc w:val="both"/>
        <w:widowControl w:val="off"/>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采 购 人：徐州市河湖管理中心</w:t>
      </w:r>
      <w:r/>
    </w:p>
    <w:p>
      <w:pPr>
        <w:ind w:firstLine="630"/>
        <w:jc w:val="both"/>
        <w:widowControl w:val="off"/>
        <w:rPr>
          <w:rFonts w:ascii="宋体" w:hAnsi="宋体" w:cs="宋体"/>
          <w:color w:val="000000" w:themeColor="text1"/>
          <w:sz w:val="32"/>
          <w:szCs w:val="24"/>
          <w:highlight w:val="none"/>
          <w14:textFill>
            <w14:solidFill>
              <w14:schemeClr w14:val="tx1"/>
            </w14:solidFill>
          </w14:textFill>
        </w:rPr>
      </w:pPr>
      <w:r>
        <w:rPr>
          <w:rFonts w:ascii="宋体" w:hAnsi="宋体" w:cs="宋体"/>
          <w:color w:val="000000" w:themeColor="text1"/>
          <w:sz w:val="32"/>
          <w:szCs w:val="24"/>
          <w:highlight w:val="none"/>
          <w14:textFill>
            <w14:solidFill>
              <w14:schemeClr w14:val="tx1"/>
            </w14:solidFill>
          </w14:textFill>
        </w:rPr>
      </w:r>
      <w:r/>
    </w:p>
    <w:p>
      <w:pPr>
        <w:pStyle w:val="72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630"/>
        <w:jc w:val="both"/>
        <w:widowControl w:val="off"/>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p>
    <w:p>
      <w:pPr>
        <w:ind w:firstLine="630"/>
        <w:jc w:val="center"/>
        <w:widowControl w:val="off"/>
        <w:rPr>
          <w:rFonts w:ascii="宋体" w:hAnsi="宋体" w:cs="宋体"/>
          <w:color w:val="000000" w:themeColor="text1"/>
          <w:sz w:val="28"/>
          <w:szCs w:val="28"/>
          <w:highlight w:val="none"/>
          <w14:textFill>
            <w14:solidFill>
              <w14:schemeClr w14:val="tx1"/>
            </w14:solidFill>
          </w14:textFill>
        </w:rPr>
      </w:pPr>
      <w:r>
        <w:rPr>
          <w:rFonts w:hint="eastAsia" w:ascii="宋体" w:hAnsi="宋体"/>
          <w:sz w:val="32"/>
          <w:szCs w:val="32"/>
          <w:highlight w:val="none"/>
        </w:rPr>
        <mc:AlternateContent>
          <mc:Choice Requires="wpg">
            <w:drawing>
              <wp:inline xmlns:wp="http://schemas.openxmlformats.org/drawingml/2006/wordprocessingDrawing" distT="0" distB="0" distL="0" distR="0">
                <wp:extent cx="2813050" cy="2158365"/>
                <wp:effectExtent l="0" t="0" r="6350" b="5715"/>
                <wp:docPr id="2" name="图片 7" descr="0d76c3ba569fe7f2a735129fda8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descr="0d76c3ba569fe7f2a735129fda83195"/>
                        <pic:cNvPicPr>
                          <a:picLocks noChangeAspect="1"/>
                        </pic:cNvPicPr>
                        <pic:nvPr/>
                      </pic:nvPicPr>
                      <pic:blipFill>
                        <a:blip r:embed="rId15"/>
                        <a:stretch/>
                      </pic:blipFill>
                      <pic:spPr bwMode="auto">
                        <a:xfrm>
                          <a:off x="0" y="0"/>
                          <a:ext cx="2813050" cy="2158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1.5pt;height:169.9pt;mso-wrap-distance-left:0.0pt;mso-wrap-distance-top:0.0pt;mso-wrap-distance-right:0.0pt;mso-wrap-distance-bottom:0.0pt;" stroked="false">
                <v:path textboxrect="0,0,0,0"/>
                <v:imagedata r:id="rId15" o:title=""/>
              </v:shape>
            </w:pict>
          </mc:Fallback>
        </mc:AlternateContent>
      </w:r>
      <w:r/>
    </w:p>
    <w:p>
      <w:pPr>
        <w:jc w:val="right"/>
        <w:widowControl w:val="off"/>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both"/>
        <w:widowControl w:val="off"/>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jc w:val="center"/>
        <w:widowControl w:val="off"/>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jc w:val="center"/>
        <w:widowControl w:val="off"/>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ind w:firstLine="1760"/>
        <w:widowControl w:val="off"/>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招标代理机构：</w:t>
      </w:r>
      <w:r>
        <w:rPr>
          <w:rFonts w:hint="eastAsia" w:ascii="宋体" w:hAnsi="宋体" w:cs="宋体"/>
          <w:color w:val="000000" w:themeColor="text1"/>
          <w:sz w:val="32"/>
          <w:szCs w:val="24"/>
          <w:highlight w:val="none"/>
          <w14:textFill>
            <w14:solidFill>
              <w14:schemeClr w14:val="tx1"/>
            </w14:solidFill>
          </w14:textFill>
        </w:rPr>
        <w:t xml:space="preserve">江苏九天招标管理有限公司</w:t>
      </w:r>
      <w:r/>
    </w:p>
    <w:p>
      <w:pPr>
        <w:pStyle w:val="974"/>
        <w:ind w:firstLine="0"/>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二〇二四年十一月</w:t>
      </w:r>
      <w:r/>
    </w:p>
    <w:p>
      <w:pPr>
        <w:pStyle w:val="974"/>
        <w:ind w:firstLine="0"/>
        <w:jc w:val="center"/>
        <w:rPr>
          <w:rFonts w:ascii="宋体" w:hAnsi="宋体" w:cs="宋体"/>
          <w:b/>
          <w:color w:val="000000" w:themeColor="text1"/>
          <w:sz w:val="44"/>
          <w:highlight w:val="none"/>
          <w14:textFill>
            <w14:solidFill>
              <w14:schemeClr w14:val="tx1"/>
            </w14:solidFill>
          </w14:textFill>
        </w:rPr>
      </w:pPr>
      <w:r>
        <w:rPr>
          <w:rFonts w:ascii="宋体" w:hAnsi="宋体" w:cs="宋体"/>
          <w:b/>
          <w:color w:val="000000" w:themeColor="text1"/>
          <w:sz w:val="44"/>
          <w:highlight w:val="none"/>
          <w14:textFill>
            <w14:solidFill>
              <w14:schemeClr w14:val="tx1"/>
            </w14:solidFill>
          </w14:textFill>
        </w:rPr>
      </w:r>
      <w:r/>
    </w:p>
    <w:p>
      <w:pPr>
        <w:pStyle w:val="974"/>
        <w:ind w:firstLine="0"/>
        <w:jc w:val="center"/>
        <w:rPr>
          <w:rFonts w:ascii="宋体" w:hAnsi="宋体" w:cs="宋体"/>
          <w:b/>
          <w:color w:val="000000" w:themeColor="text1"/>
          <w:sz w:val="44"/>
          <w:highlight w:val="none"/>
          <w14:textFill>
            <w14:solidFill>
              <w14:schemeClr w14:val="tx1"/>
            </w14:solidFill>
          </w14:textFill>
        </w:rPr>
      </w:pPr>
      <w:r>
        <w:rPr>
          <w:rFonts w:ascii="宋体" w:hAnsi="宋体" w:cs="宋体"/>
          <w:b/>
          <w:color w:val="000000" w:themeColor="text1"/>
          <w:sz w:val="44"/>
          <w:highlight w:val="none"/>
          <w14:textFill>
            <w14:solidFill>
              <w14:schemeClr w14:val="tx1"/>
            </w14:solidFill>
          </w14:textFill>
        </w:rPr>
      </w:r>
      <w:r/>
    </w:p>
    <w:p>
      <w:pPr>
        <w:pStyle w:val="974"/>
        <w:ind w:firstLine="0"/>
        <w:jc w:val="center"/>
        <w:rPr>
          <w:rFonts w:ascii="宋体" w:hAnsi="宋体" w:cs="宋体"/>
          <w:b/>
          <w:color w:val="000000" w:themeColor="text1"/>
          <w:sz w:val="44"/>
          <w:highlight w:val="none"/>
          <w14:textFill>
            <w14:solidFill>
              <w14:schemeClr w14:val="tx1"/>
            </w14:solidFill>
          </w14:textFill>
        </w:rPr>
      </w:pPr>
      <w:r>
        <w:rPr>
          <w:rFonts w:hint="eastAsia" w:ascii="宋体" w:hAnsi="宋体" w:cs="宋体"/>
          <w:b/>
          <w:color w:val="000000" w:themeColor="text1"/>
          <w:sz w:val="44"/>
          <w:highlight w:val="none"/>
          <w14:textFill>
            <w14:solidFill>
              <w14:schemeClr w14:val="tx1"/>
            </w14:solidFill>
          </w14:textFill>
        </w:rPr>
        <w:t xml:space="preserve">目 录</w:t>
      </w:r>
      <w:r/>
    </w:p>
    <w:p>
      <w:pPr>
        <w:pStyle w:val="790"/>
        <w:jc w:val="center"/>
        <w:spacing w:line="520" w:lineRule="exact"/>
        <w:rPr>
          <w:rFonts w:ascii="宋体" w:hAnsi="宋体" w:cs="宋体"/>
          <w:b/>
          <w:color w:val="000000" w:themeColor="text1"/>
          <w:sz w:val="44"/>
          <w:szCs w:val="44"/>
          <w:highlight w:val="none"/>
          <w14:textFill>
            <w14:solidFill>
              <w14:schemeClr w14:val="tx1"/>
            </w14:solidFill>
          </w14:textFill>
        </w:rPr>
      </w:pPr>
      <w:r/>
      <w:bookmarkStart w:id="0" w:name="_Toc522790130"/>
      <w:r/>
      <w:r/>
    </w:p>
    <w:p>
      <w:pPr>
        <w:pStyle w:val="790"/>
        <w:jc w:val="center"/>
        <w:spacing w:line="520" w:lineRule="exac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pStyle w:val="795"/>
        <w:tabs>
          <w:tab w:val="right" w:pos="8948" w:leader="dot"/>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fldChar w:fldCharType="begin"/>
      </w:r>
      <w:r>
        <w:rPr>
          <w:rFonts w:hint="eastAsia" w:ascii="宋体" w:hAnsi="宋体" w:cs="宋体"/>
          <w:b/>
          <w:color w:val="000000" w:themeColor="text1"/>
          <w:sz w:val="28"/>
          <w:szCs w:val="28"/>
          <w:highlight w:val="none"/>
          <w14:textFill>
            <w14:solidFill>
              <w14:schemeClr w14:val="tx1"/>
            </w14:solidFill>
          </w14:textFill>
        </w:rPr>
        <w:instrText xml:space="preserve"> TOC \o "1-3" \h \z \u </w:instrText>
      </w:r>
      <w:r>
        <w:rPr>
          <w:rFonts w:hint="eastAsia" w:ascii="宋体" w:hAnsi="宋体" w:cs="宋体"/>
          <w:b/>
          <w:color w:val="000000" w:themeColor="text1"/>
          <w:sz w:val="28"/>
          <w:szCs w:val="28"/>
          <w:highlight w:val="none"/>
          <w14:textFill>
            <w14:solidFill>
              <w14:schemeClr w14:val="tx1"/>
            </w14:solidFill>
          </w14:textFill>
        </w:rPr>
        <w:fldChar w:fldCharType="separate"/>
      </w:r>
      <w:r>
        <w:rPr>
          <w:highlight w:val="none"/>
        </w:rPr>
        <w:fldChar w:fldCharType="begin"/>
      </w:r>
      <w:r>
        <w:rPr>
          <w:highlight w:val="none"/>
        </w:rPr>
        <w:instrText xml:space="preserve"> HYPERLINK \l "_Toc523404695" </w:instrText>
      </w:r>
      <w:r>
        <w:rPr>
          <w:highlight w:val="none"/>
        </w:rPr>
        <w:fldChar w:fldCharType="separate"/>
      </w:r>
      <w:r>
        <w:rPr>
          <w:rStyle w:val="947"/>
          <w:rFonts w:hint="eastAsia" w:ascii="宋体" w:hAnsi="宋体" w:cs="宋体"/>
          <w:color w:val="000000" w:themeColor="text1"/>
          <w:sz w:val="28"/>
          <w:szCs w:val="28"/>
          <w:highlight w:val="none"/>
          <w14:textFill>
            <w14:solidFill>
              <w14:schemeClr w14:val="tx1"/>
            </w14:solidFill>
          </w14:textFill>
        </w:rPr>
        <w:t xml:space="preserve">第一章  投标邀请</w:t>
      </w:r>
      <w:r>
        <w:rPr>
          <w:rStyle w:val="947"/>
          <w:rFonts w:hint="eastAsia" w:ascii="宋体" w:hAnsi="宋体" w:cs="宋体"/>
          <w:color w:val="000000" w:themeColor="text1"/>
          <w:sz w:val="28"/>
          <w:szCs w:val="28"/>
          <w:highlight w:val="none"/>
          <w14:textFill>
            <w14:solidFill>
              <w14:schemeClr w14:val="tx1"/>
            </w14:solidFill>
          </w14:textFill>
        </w:rPr>
        <w:fldChar w:fldCharType="end"/>
      </w:r>
      <w:r/>
    </w:p>
    <w:p>
      <w:pPr>
        <w:pStyle w:val="795"/>
        <w:tabs>
          <w:tab w:val="right" w:pos="8948" w:leader="dot"/>
        </w:tabs>
        <w:rPr>
          <w:rFonts w:ascii="宋体" w:hAnsi="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"_Toc523404696" </w:instrText>
      </w:r>
      <w:r>
        <w:rPr>
          <w:highlight w:val="none"/>
        </w:rPr>
        <w:fldChar w:fldCharType="separate"/>
      </w:r>
      <w:r>
        <w:rPr>
          <w:rStyle w:val="947"/>
          <w:rFonts w:hint="eastAsia" w:ascii="宋体" w:hAnsi="宋体" w:cs="宋体"/>
          <w:color w:val="000000" w:themeColor="text1"/>
          <w:sz w:val="28"/>
          <w:szCs w:val="28"/>
          <w:highlight w:val="none"/>
          <w14:textFill>
            <w14:solidFill>
              <w14:schemeClr w14:val="tx1"/>
            </w14:solidFill>
          </w14:textFill>
        </w:rPr>
        <w:t xml:space="preserve">第二章  投标人须知</w:t>
      </w:r>
      <w:r>
        <w:rPr>
          <w:rStyle w:val="947"/>
          <w:rFonts w:hint="eastAsia" w:ascii="宋体" w:hAnsi="宋体" w:cs="宋体"/>
          <w:color w:val="000000" w:themeColor="text1"/>
          <w:sz w:val="28"/>
          <w:szCs w:val="28"/>
          <w:highlight w:val="none"/>
          <w14:textFill>
            <w14:solidFill>
              <w14:schemeClr w14:val="tx1"/>
            </w14:solidFill>
          </w14:textFill>
        </w:rPr>
        <w:fldChar w:fldCharType="end"/>
      </w:r>
      <w:r/>
    </w:p>
    <w:p>
      <w:pPr>
        <w:pStyle w:val="795"/>
        <w:tabs>
          <w:tab w:val="right" w:pos="8948" w:leader="dot"/>
        </w:tabs>
        <w:rPr>
          <w:rFonts w:ascii="宋体" w:hAnsi="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"_Toc523404697" </w:instrText>
      </w:r>
      <w:r>
        <w:rPr>
          <w:highlight w:val="none"/>
        </w:rPr>
        <w:fldChar w:fldCharType="separate"/>
      </w:r>
      <w:r>
        <w:rPr>
          <w:rStyle w:val="947"/>
          <w:rFonts w:hint="eastAsia" w:ascii="宋体" w:hAnsi="宋体" w:cs="宋体"/>
          <w:color w:val="000000" w:themeColor="text1"/>
          <w:sz w:val="28"/>
          <w:szCs w:val="28"/>
          <w:highlight w:val="none"/>
          <w14:textFill>
            <w14:solidFill>
              <w14:schemeClr w14:val="tx1"/>
            </w14:solidFill>
          </w14:textFill>
        </w:rPr>
        <w:t xml:space="preserve">第三章  投标资料表</w:t>
      </w:r>
      <w:r>
        <w:rPr>
          <w:rStyle w:val="947"/>
          <w:rFonts w:hint="eastAsia" w:ascii="宋体" w:hAnsi="宋体" w:cs="宋体"/>
          <w:color w:val="000000" w:themeColor="text1"/>
          <w:sz w:val="28"/>
          <w:szCs w:val="28"/>
          <w:highlight w:val="none"/>
          <w14:textFill>
            <w14:solidFill>
              <w14:schemeClr w14:val="tx1"/>
            </w14:solidFill>
          </w14:textFill>
        </w:rPr>
        <w:fldChar w:fldCharType="end"/>
      </w:r>
      <w:r/>
    </w:p>
    <w:p>
      <w:pPr>
        <w:pStyle w:val="795"/>
        <w:tabs>
          <w:tab w:val="right" w:pos="8948" w:leader="dot"/>
        </w:tabs>
        <w:rPr>
          <w:rFonts w:ascii="宋体" w:hAnsi="宋体" w:cs="宋体"/>
          <w:color w:val="000000" w:themeColor="text1"/>
          <w:sz w:val="28"/>
          <w:szCs w:val="28"/>
          <w:highlight w:val="none"/>
          <w14:textFill>
            <w14:solidFill>
              <w14:schemeClr w14:val="tx1"/>
            </w14:solidFill>
          </w14:textFill>
        </w:rPr>
      </w:pPr>
      <w:r>
        <w:rPr>
          <w:rStyle w:val="947"/>
          <w:rFonts w:hint="eastAsia" w:ascii="宋体" w:hAnsi="宋体" w:cs="宋体"/>
          <w:color w:val="000000" w:themeColor="text1"/>
          <w:sz w:val="28"/>
          <w:szCs w:val="28"/>
          <w:highlight w:val="none"/>
          <w14:textFill>
            <w14:solidFill>
              <w14:schemeClr w14:val="tx1"/>
            </w14:solidFill>
          </w14:textFill>
        </w:rPr>
        <w:t xml:space="preserve">第四章  评标标准</w:t>
      </w:r>
      <w:r/>
    </w:p>
    <w:p>
      <w:pPr>
        <w:pStyle w:val="795"/>
        <w:tabs>
          <w:tab w:val="right" w:pos="8948" w:leader="dot"/>
        </w:tabs>
        <w:rPr>
          <w:rFonts w:ascii="宋体" w:hAnsi="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"_Toc523404699" </w:instrText>
      </w:r>
      <w:r>
        <w:rPr>
          <w:highlight w:val="none"/>
        </w:rPr>
        <w:fldChar w:fldCharType="separate"/>
      </w:r>
      <w:r>
        <w:rPr>
          <w:rStyle w:val="947"/>
          <w:rFonts w:hint="eastAsia" w:ascii="宋体" w:hAnsi="宋体" w:cs="宋体"/>
          <w:color w:val="000000" w:themeColor="text1"/>
          <w:sz w:val="28"/>
          <w:szCs w:val="28"/>
          <w:highlight w:val="none"/>
          <w14:textFill>
            <w14:solidFill>
              <w14:schemeClr w14:val="tx1"/>
            </w14:solidFill>
          </w14:textFill>
        </w:rPr>
        <w:t xml:space="preserve">第五章  拟签订的合同文本</w:t>
      </w:r>
      <w:r>
        <w:rPr>
          <w:rStyle w:val="947"/>
          <w:rFonts w:hint="eastAsia" w:ascii="宋体" w:hAnsi="宋体" w:cs="宋体"/>
          <w:color w:val="000000" w:themeColor="text1"/>
          <w:sz w:val="28"/>
          <w:szCs w:val="28"/>
          <w:highlight w:val="none"/>
          <w14:textFill>
            <w14:solidFill>
              <w14:schemeClr w14:val="tx1"/>
            </w14:solidFill>
          </w14:textFill>
        </w:rPr>
        <w:fldChar w:fldCharType="end"/>
      </w:r>
      <w:r/>
    </w:p>
    <w:p>
      <w:pPr>
        <w:pStyle w:val="795"/>
        <w:tabs>
          <w:tab w:val="right" w:pos="8948" w:leader="dot"/>
        </w:tabs>
        <w:rPr>
          <w:rFonts w:ascii="宋体" w:hAnsi="宋体" w:cs="宋体"/>
          <w:color w:val="000000" w:themeColor="text1"/>
          <w:sz w:val="28"/>
          <w:szCs w:val="28"/>
          <w:highlight w:val="none"/>
          <w14:textFill>
            <w14:solidFill>
              <w14:schemeClr w14:val="tx1"/>
            </w14:solidFill>
          </w14:textFill>
        </w:rPr>
      </w:pPr>
      <w:r>
        <w:rPr>
          <w:highlight w:val="none"/>
        </w:rPr>
        <w:fldChar w:fldCharType="begin"/>
      </w:r>
      <w:r>
        <w:rPr>
          <w:highlight w:val="none"/>
        </w:rPr>
        <w:instrText xml:space="preserve"> HYPERLINK \l "_Toc523404700" </w:instrText>
      </w:r>
      <w:r>
        <w:rPr>
          <w:highlight w:val="none"/>
        </w:rPr>
        <w:fldChar w:fldCharType="separate"/>
      </w:r>
      <w:r>
        <w:rPr>
          <w:rStyle w:val="947"/>
          <w:rFonts w:hint="eastAsia" w:ascii="宋体" w:hAnsi="宋体" w:cs="宋体"/>
          <w:color w:val="000000" w:themeColor="text1"/>
          <w:sz w:val="28"/>
          <w:szCs w:val="28"/>
          <w:highlight w:val="none"/>
          <w14:textFill>
            <w14:solidFill>
              <w14:schemeClr w14:val="tx1"/>
            </w14:solidFill>
          </w14:textFill>
        </w:rPr>
        <w:t xml:space="preserve">第六章  采购需求</w:t>
      </w:r>
      <w:r>
        <w:rPr>
          <w:rStyle w:val="947"/>
          <w:rFonts w:hint="eastAsia" w:ascii="宋体" w:hAnsi="宋体" w:cs="宋体"/>
          <w:color w:val="000000" w:themeColor="text1"/>
          <w:sz w:val="28"/>
          <w:szCs w:val="28"/>
          <w:highlight w:val="none"/>
          <w14:textFill>
            <w14:solidFill>
              <w14:schemeClr w14:val="tx1"/>
            </w14:solidFill>
          </w14:textFill>
        </w:rPr>
        <w:fldChar w:fldCharType="end"/>
      </w:r>
      <w:r/>
    </w:p>
    <w:p>
      <w:pPr>
        <w:pStyle w:val="795"/>
        <w:tabs>
          <w:tab w:val="right" w:pos="8948" w:leader="dot"/>
        </w:tabs>
        <w:rPr>
          <w:rFonts w:ascii="宋体" w:hAnsi="宋体" w:cs="宋体"/>
          <w:color w:val="000000" w:themeColor="text1"/>
          <w:highlight w:val="none"/>
          <w14:textFill>
            <w14:solidFill>
              <w14:schemeClr w14:val="tx1"/>
            </w14:solidFill>
          </w14:textFill>
        </w:rPr>
      </w:pPr>
      <w:r>
        <w:rPr>
          <w:highlight w:val="none"/>
        </w:rPr>
        <w:fldChar w:fldCharType="begin"/>
      </w:r>
      <w:r>
        <w:rPr>
          <w:highlight w:val="none"/>
        </w:rPr>
        <w:instrText xml:space="preserve"> HYPERLINK \l "_Toc523404701" </w:instrText>
      </w:r>
      <w:r>
        <w:rPr>
          <w:highlight w:val="none"/>
        </w:rPr>
        <w:fldChar w:fldCharType="separate"/>
      </w:r>
      <w:r>
        <w:rPr>
          <w:rStyle w:val="947"/>
          <w:rFonts w:hint="eastAsia" w:ascii="宋体" w:hAnsi="宋体" w:cs="宋体"/>
          <w:color w:val="000000" w:themeColor="text1"/>
          <w:sz w:val="28"/>
          <w:szCs w:val="28"/>
          <w:highlight w:val="none"/>
          <w14:textFill>
            <w14:solidFill>
              <w14:schemeClr w14:val="tx1"/>
            </w14:solidFill>
          </w14:textFill>
        </w:rPr>
        <w:t xml:space="preserve">第七章  投标文件相关格</w:t>
      </w:r>
      <w:bookmarkStart w:id="1" w:name="_Hlt532911772"/>
      <w:r/>
      <w:bookmarkStart w:id="2" w:name="_Hlt532911771"/>
      <w:r>
        <w:rPr>
          <w:rStyle w:val="947"/>
          <w:rFonts w:hint="eastAsia" w:ascii="宋体" w:hAnsi="宋体" w:cs="宋体"/>
          <w:color w:val="000000" w:themeColor="text1"/>
          <w:sz w:val="28"/>
          <w:szCs w:val="28"/>
          <w:highlight w:val="none"/>
          <w14:textFill>
            <w14:solidFill>
              <w14:schemeClr w14:val="tx1"/>
            </w14:solidFill>
          </w14:textFill>
        </w:rPr>
        <w:t xml:space="preserve">式</w:t>
      </w:r>
      <w:bookmarkEnd w:id="1"/>
      <w:r/>
      <w:bookmarkEnd w:id="2"/>
      <w:r>
        <w:rPr>
          <w:rStyle w:val="947"/>
          <w:rFonts w:hint="eastAsia" w:ascii="宋体" w:hAnsi="宋体" w:cs="宋体"/>
          <w:color w:val="000000" w:themeColor="text1"/>
          <w:sz w:val="28"/>
          <w:szCs w:val="28"/>
          <w:highlight w:val="none"/>
          <w14:textFill>
            <w14:solidFill>
              <w14:schemeClr w14:val="tx1"/>
            </w14:solidFill>
          </w14:textFill>
        </w:rPr>
        <w:fldChar w:fldCharType="end"/>
      </w:r>
      <w:r/>
    </w:p>
    <w:p>
      <w:pPr>
        <w:pStyle w:val="790"/>
        <w:jc w:val="center"/>
        <w:spacing w:line="360" w:lineRule="auto"/>
        <w:rPr>
          <w:rFonts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fldChar w:fldCharType="end"/>
      </w:r>
      <w:r/>
    </w:p>
    <w:p>
      <w:pPr>
        <w:pStyle w:val="790"/>
        <w:jc w:val="center"/>
        <w:spacing w:line="520" w:lineRule="exact"/>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90"/>
        <w:jc w:val="center"/>
        <w:spacing w:line="520" w:lineRule="exact"/>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90"/>
        <w:jc w:val="center"/>
        <w:spacing w:line="520" w:lineRule="exact"/>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90"/>
        <w:jc w:val="center"/>
        <w:spacing w:line="520" w:lineRule="exact"/>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90"/>
        <w:jc w:val="center"/>
        <w:spacing w:line="520" w:lineRule="exact"/>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90"/>
        <w:jc w:val="center"/>
        <w:spacing w:line="520" w:lineRule="exact"/>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90"/>
        <w:jc w:val="center"/>
        <w:spacing w:line="520" w:lineRule="exact"/>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90"/>
        <w:jc w:val="center"/>
        <w:spacing w:line="520" w:lineRule="exact"/>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90"/>
        <w:jc w:val="center"/>
        <w:spacing w:line="520" w:lineRule="exact"/>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90"/>
        <w:jc w:val="center"/>
        <w:spacing w:line="520" w:lineRule="exact"/>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90"/>
        <w:jc w:val="center"/>
        <w:spacing w:line="520" w:lineRule="exact"/>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90"/>
        <w:jc w:val="center"/>
        <w:spacing w:line="520" w:lineRule="exact"/>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90"/>
        <w:jc w:val="center"/>
        <w:spacing w:line="520" w:lineRule="exact"/>
        <w:rPr>
          <w:rFonts w:ascii="宋体" w:hAnsi="宋体" w:cs="宋体"/>
          <w:b/>
          <w:color w:val="000000" w:themeColor="text1"/>
          <w:sz w:val="44"/>
          <w:szCs w:val="44"/>
          <w:highlight w:val="none"/>
          <w14:textFill>
            <w14:solidFill>
              <w14:schemeClr w14:val="tx1"/>
            </w14:solidFill>
          </w14:textFill>
        </w:rPr>
      </w:pPr>
      <w:r>
        <w:rPr>
          <w:rFonts w:ascii="宋体" w:hAnsi="宋体" w:cs="宋体"/>
          <w:b/>
          <w:color w:val="000000" w:themeColor="text1"/>
          <w:sz w:val="44"/>
          <w:szCs w:val="44"/>
          <w:highlight w:val="none"/>
          <w14:textFill>
            <w14:solidFill>
              <w14:schemeClr w14:val="tx1"/>
            </w14:solidFill>
          </w14:textFill>
        </w:rPr>
      </w:r>
      <w:r/>
    </w:p>
    <w:p>
      <w:pPr>
        <w:pStyle w:val="790"/>
        <w:jc w:val="center"/>
        <w:spacing w:line="520" w:lineRule="exact"/>
        <w:rPr>
          <w:rFonts w:ascii="宋体" w:hAnsi="宋体" w:cs="宋体"/>
          <w:b/>
          <w:color w:val="000000" w:themeColor="text1"/>
          <w:sz w:val="44"/>
          <w:szCs w:val="44"/>
          <w:highlight w:val="none"/>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color w:val="000000" w:themeColor="text1"/>
          <w:sz w:val="44"/>
          <w:szCs w:val="44"/>
          <w:highlight w:val="none"/>
          <w14:textFill>
            <w14:solidFill>
              <w14:schemeClr w14:val="tx1"/>
            </w14:solidFill>
          </w14:textFill>
        </w:rPr>
      </w:r>
      <w:r/>
    </w:p>
    <w:p>
      <w:pPr>
        <w:pStyle w:val="795"/>
        <w:rPr>
          <w:highlight w:val="none"/>
        </w:rPr>
      </w:pPr>
      <w:r>
        <w:rPr>
          <w:highlight w:val="none"/>
        </w:rPr>
      </w:r>
      <w:r/>
    </w:p>
    <w:p>
      <w:pPr>
        <w:pStyle w:val="790"/>
        <w:jc w:val="center"/>
        <w:spacing w:line="520" w:lineRule="exact"/>
        <w:rPr>
          <w:rFonts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徐州市河湖管理中心</w:t>
      </w:r>
      <w:r/>
    </w:p>
    <w:p>
      <w:pPr>
        <w:pStyle w:val="790"/>
        <w:jc w:val="center"/>
        <w:spacing w:line="520" w:lineRule="exact"/>
        <w:rPr>
          <w:rFonts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w:t>
      </w:r>
      <w:r>
        <w:rPr>
          <w:rFonts w:hint="eastAsia" w:ascii="宋体" w:hAnsi="宋体" w:cs="宋体"/>
          <w:b/>
          <w:color w:val="000000" w:themeColor="text1"/>
          <w:sz w:val="44"/>
          <w:szCs w:val="44"/>
          <w:highlight w:val="none"/>
          <w:lang w:eastAsia="zh-CN"/>
          <w14:textFill>
            <w14:solidFill>
              <w14:schemeClr w14:val="tx1"/>
            </w14:solidFill>
          </w14:textFill>
        </w:rPr>
        <w:t xml:space="preserve">徐州市南四湖小沿河饮用水源地水生态保护及水面保洁</w:t>
      </w:r>
      <w:r>
        <w:rPr>
          <w:rFonts w:hint="eastAsia" w:ascii="宋体" w:hAnsi="宋体" w:cs="宋体"/>
          <w:b/>
          <w:color w:val="000000" w:themeColor="text1"/>
          <w:sz w:val="44"/>
          <w:szCs w:val="44"/>
          <w:highlight w:val="none"/>
          <w14:textFill>
            <w14:solidFill>
              <w14:schemeClr w14:val="tx1"/>
            </w14:solidFill>
          </w14:textFill>
        </w:rPr>
        <w:t xml:space="preserve">》招标文件</w:t>
      </w:r>
      <w:r>
        <w:rPr>
          <w:rFonts w:hint="eastAsia" w:ascii="宋体" w:hAnsi="宋体" w:cs="宋体"/>
          <w:b/>
          <w:color w:val="000000" w:themeColor="text1"/>
          <w:sz w:val="30"/>
          <w:szCs w:val="30"/>
          <w:highlight w:val="none"/>
          <w14:textFill>
            <w14:solidFill>
              <w14:schemeClr w14:val="tx1"/>
            </w14:solidFill>
          </w14:textFill>
        </w:rPr>
        <w:t xml:space="preserve"> </w:t>
      </w:r>
      <w:r/>
    </w:p>
    <w:p>
      <w:pPr>
        <w:pStyle w:val="790"/>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    </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90"/>
        <w:spacing w:line="36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40"/>
        <w:spacing w:line="520" w:lineRule="exact"/>
        <w:rPr>
          <w:rFonts w:ascii="宋体" w:hAnsi="宋体" w:eastAsia="宋体" w:cs="宋体"/>
          <w:color w:val="000000" w:themeColor="text1"/>
          <w:sz w:val="28"/>
          <w:szCs w:val="28"/>
          <w:highlight w:val="none"/>
          <w14:textFill>
            <w14:solidFill>
              <w14:schemeClr w14:val="tx1"/>
            </w14:solidFill>
          </w14:textFill>
        </w:rPr>
      </w:pPr>
      <w:r/>
      <w:bookmarkStart w:id="3" w:name="_Toc523404695"/>
      <w:r>
        <w:rPr>
          <w:rFonts w:hint="eastAsia" w:ascii="宋体" w:hAnsi="宋体" w:eastAsia="宋体" w:cs="宋体"/>
          <w:color w:val="000000" w:themeColor="text1"/>
          <w:sz w:val="28"/>
          <w:szCs w:val="28"/>
          <w:highlight w:val="none"/>
          <w14:textFill>
            <w14:solidFill>
              <w14:schemeClr w14:val="tx1"/>
            </w14:solidFill>
          </w14:textFill>
        </w:rPr>
        <w:t xml:space="preserve">第一章  投标邀请</w:t>
      </w:r>
      <w:bookmarkEnd w:id="3"/>
      <w:r/>
      <w:r/>
    </w:p>
    <w:p>
      <w:pPr>
        <w:pStyle w:val="790"/>
        <w:jc w:val="center"/>
        <w:spacing w:line="36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江苏九天招标管理有限公司对徐州市河湖管理中心“</w:t>
      </w:r>
      <w:r>
        <w:rPr>
          <w:rFonts w:hint="eastAsia" w:ascii="宋体" w:hAnsi="宋体" w:cs="宋体"/>
          <w:color w:val="000000" w:themeColor="text1"/>
          <w:sz w:val="28"/>
          <w:szCs w:val="28"/>
          <w:highlight w:val="none"/>
          <w:lang w:eastAsia="zh-CN"/>
          <w14:textFill>
            <w14:solidFill>
              <w14:schemeClr w14:val="tx1"/>
            </w14:solidFill>
          </w14:textFill>
        </w:rPr>
        <w:t xml:space="preserve">徐州市南四湖小沿河饮用水源地水生态保护及水面保洁</w:t>
      </w:r>
      <w:r>
        <w:rPr>
          <w:rFonts w:hint="eastAsia" w:ascii="宋体" w:hAnsi="宋体" w:cs="宋体"/>
          <w:color w:val="000000" w:themeColor="text1"/>
          <w:sz w:val="28"/>
          <w:szCs w:val="28"/>
          <w:highlight w:val="none"/>
          <w14:textFill>
            <w14:solidFill>
              <w14:schemeClr w14:val="tx1"/>
            </w14:solidFill>
          </w14:textFill>
        </w:rPr>
        <w:t xml:space="preserve">”进行公开招标采购，现邀请符合相关条件的供应商投标。</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一、项目名称和项目编号</w:t>
      </w:r>
      <w:r/>
    </w:p>
    <w:p>
      <w:pPr>
        <w:pStyle w:val="790"/>
        <w:ind w:firstLine="600"/>
        <w:spacing w:line="520" w:lineRule="exact"/>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（一）项目名称：</w:t>
      </w:r>
      <w:r>
        <w:rPr>
          <w:rFonts w:hint="eastAsia" w:ascii="宋体" w:hAnsi="宋体" w:cs="宋体"/>
          <w:color w:val="000000" w:themeColor="text1"/>
          <w:sz w:val="28"/>
          <w:szCs w:val="28"/>
          <w:highlight w:val="none"/>
          <w:lang w:eastAsia="zh-CN"/>
          <w14:textFill>
            <w14:solidFill>
              <w14:schemeClr w14:val="tx1"/>
            </w14:solidFill>
          </w14:textFill>
        </w:rPr>
        <w:t xml:space="preserve">徐州市南四湖小沿河饮用水源地水生态保护及水面保洁</w:t>
      </w:r>
      <w:r/>
    </w:p>
    <w:p>
      <w:pPr>
        <w:pStyle w:val="790"/>
        <w:ind w:firstLine="600"/>
        <w:spacing w:line="520" w:lineRule="exact"/>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（二）项目编号：</w:t>
      </w:r>
      <w:r>
        <w:rPr>
          <w:rFonts w:hint="eastAsia" w:ascii="宋体" w:hAnsi="宋体" w:cs="宋体"/>
          <w:color w:val="000000" w:themeColor="text1"/>
          <w:sz w:val="28"/>
          <w:szCs w:val="28"/>
          <w:highlight w:val="none"/>
          <w:lang w:eastAsia="zh-CN"/>
          <w14:textFill>
            <w14:solidFill>
              <w14:schemeClr w14:val="tx1"/>
            </w14:solidFill>
          </w14:textFill>
        </w:rPr>
        <w:t xml:space="preserve">JSZC-320300-JTGL-G2024-0006</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二、对投标人的资格要求</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详见本项目公开招标公告。</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三、获取招标文件</w:t>
      </w:r>
      <w:bookmarkEnd w:id="0"/>
      <w:r/>
      <w:r/>
    </w:p>
    <w:p>
      <w:pPr>
        <w:pStyle w:val="790"/>
        <w:ind w:firstLine="621"/>
        <w:spacing w:line="52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（1）潜在供应商访问电子招标投标交易平台的网络地址和方法：</w:t>
      </w:r>
      <w:r/>
    </w:p>
    <w:p>
      <w:pPr>
        <w:pStyle w:val="790"/>
        <w:ind w:firstLine="621"/>
        <w:spacing w:line="52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①登录 http://jszfcg.jsczt.cn/ ，或进入徐州政府采购网-－业务工作－－用户登录，点击“苏采云”进入系统。</w:t>
      </w:r>
      <w:r/>
    </w:p>
    <w:p>
      <w:pPr>
        <w:pStyle w:val="790"/>
        <w:ind w:firstLine="621"/>
        <w:spacing w:line="52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90"/>
        <w:ind w:firstLine="621"/>
        <w:spacing w:line="52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（2）采购代理机构将数据电文形式的招标文件加载至电子招标投标交易平台，供潜在供应商下载或者查阅。</w:t>
      </w:r>
      <w:r/>
    </w:p>
    <w:p>
      <w:pPr>
        <w:pStyle w:val="790"/>
        <w:ind w:firstLine="600"/>
        <w:spacing w:line="52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（3）售价：免费。  </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四、投标有关信息</w:t>
      </w:r>
      <w:r/>
    </w:p>
    <w:p>
      <w:pPr>
        <w:pStyle w:val="790"/>
        <w:ind w:firstLine="60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（一）投标截止时间：2024年12月24日北京时间9：30。</w:t>
      </w:r>
      <w:r/>
    </w:p>
    <w:p>
      <w:pPr>
        <w:pStyle w:val="790"/>
        <w:ind w:firstLine="600"/>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（二）开标时间：2024年12月24日北京时间9：30。</w:t>
      </w:r>
      <w:r/>
    </w:p>
    <w:p>
      <w:pPr>
        <w:pStyle w:val="790"/>
        <w:ind w:firstLine="601"/>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（三）开标地点：“苏采云”系统（网址： http://jszfcg.jsczt.cn/）“开标大厅”或进入徐州政府采购网（网址：http://czj.xz.gov.cn/Home/HomeIndex）－业务工作 －用户登录，点击“苏采云”进入系统“开标大厅”。 </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五、采购人</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（一）名称：徐州市河湖管理中心。</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（二）地址：徐州市引洪路东首积水坝</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（三）联系电话：闫辉</w:t>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18652207222</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六、采购代理机构</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（一）名称：江苏九天招标管理有限公司。</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（二）地址：徐州市鼓楼区复兴北路219-56号。</w:t>
      </w:r>
      <w:r/>
    </w:p>
    <w:p>
      <w:pPr>
        <w:pStyle w:val="790"/>
        <w:ind w:firstLine="601"/>
        <w:spacing w:line="520" w:lineRule="exact"/>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（三）联系电话：</w:t>
      </w:r>
      <w:r>
        <w:rPr>
          <w:rFonts w:hint="eastAsia" w:ascii="宋体" w:hAnsi="宋体" w:cs="宋体"/>
          <w:color w:val="000000" w:themeColor="text1"/>
          <w:sz w:val="28"/>
          <w:szCs w:val="28"/>
          <w:highlight w:val="none"/>
          <w:lang w:eastAsia="zh-CN"/>
          <w14:textFill>
            <w14:solidFill>
              <w14:schemeClr w14:val="tx1"/>
            </w14:solidFill>
          </w14:textFill>
        </w:rPr>
        <w:t xml:space="preserve">赵侠</w:t>
      </w:r>
      <w:r>
        <w:rPr>
          <w:rFonts w:hint="eastAsia" w:ascii="宋体" w:hAnsi="宋体" w:cs="宋体"/>
          <w:color w:val="000000" w:themeColor="text1"/>
          <w:sz w:val="28"/>
          <w:szCs w:val="28"/>
          <w:highlight w:val="none"/>
          <w:lang w:val="en-US" w:eastAsia="zh-CN"/>
          <w14:textFill>
            <w14:solidFill>
              <w14:schemeClr w14:val="tx1"/>
            </w14:solidFill>
          </w14:textFill>
        </w:rPr>
        <w:t xml:space="preserve">   17834668963</w:t>
      </w:r>
      <w:r/>
    </w:p>
    <w:p>
      <w:pPr>
        <w:pStyle w:val="790"/>
        <w:ind w:firstLine="600"/>
        <w:spacing w:line="36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spacing w:line="36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40"/>
        <w:rPr>
          <w:rFonts w:ascii="宋体" w:hAnsi="宋体" w:eastAsia="宋体" w:cs="宋体"/>
          <w:color w:val="000000" w:themeColor="text1"/>
          <w:sz w:val="28"/>
          <w:szCs w:val="28"/>
          <w:highlight w:val="none"/>
          <w14:textFill>
            <w14:solidFill>
              <w14:schemeClr w14:val="tx1"/>
            </w14:solidFill>
          </w14:textFill>
        </w:rPr>
      </w:pPr>
      <w:r/>
      <w:bookmarkStart w:id="4" w:name="_Toc523404696"/>
      <w:r/>
      <w:bookmarkStart w:id="5" w:name="_Toc522790131"/>
      <w:r>
        <w:rPr>
          <w:rFonts w:hint="eastAsia" w:ascii="宋体" w:hAnsi="宋体" w:eastAsia="宋体" w:cs="宋体"/>
          <w:color w:val="000000" w:themeColor="text1"/>
          <w:sz w:val="28"/>
          <w:szCs w:val="28"/>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第二章  投标人须知</w:t>
      </w:r>
      <w:bookmarkEnd w:id="4"/>
      <w:r/>
      <w:bookmarkEnd w:id="5"/>
      <w:r/>
      <w:r/>
    </w:p>
    <w:p>
      <w:pPr>
        <w:pStyle w:val="790"/>
        <w:spacing w:line="520" w:lineRule="exact"/>
        <w:rPr>
          <w:rFonts w:ascii="宋体" w:hAnsi="宋体" w:cs="宋体"/>
          <w:color w:val="000000" w:themeColor="text1"/>
          <w:sz w:val="28"/>
          <w:szCs w:val="28"/>
          <w:highlight w:val="none"/>
          <w14:textFill>
            <w14:solidFill>
              <w14:schemeClr w14:val="tx1"/>
            </w14:solidFill>
          </w14:textFill>
        </w:rPr>
      </w:pPr>
      <w:r/>
      <w:bookmarkStart w:id="6" w:name="_Toc522790132"/>
      <w:r/>
      <w:bookmarkStart w:id="7" w:name="_Toc523404697"/>
      <w:r>
        <w:rPr>
          <w:rFonts w:hint="eastAsia" w:ascii="宋体" w:hAnsi="宋体" w:cs="宋体"/>
          <w:color w:val="000000" w:themeColor="text1"/>
          <w:sz w:val="28"/>
          <w:szCs w:val="28"/>
          <w:highlight w:val="none"/>
          <w14:textFill>
            <w14:solidFill>
              <w14:schemeClr w14:val="tx1"/>
            </w14:solidFill>
          </w14:textFill>
        </w:rPr>
        <w:t xml:space="preserve">一、总则</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（一）采购人。采购人即指依法进行政府采购的国家机关、事业单位和团体组织。</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（二）政府招标采购方式。政府采购货物或服务（以下简称“货物服务”）的招标方式，分为公开招标和邀请招标。</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（五）采购人委托采购代理机构代理招标的，采购代理机构必须在采购人委托的范围内依法开展采购活动。</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（六）投标人的资格条件：</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投标人是指响应招标、参加投标竞争的法人、其他组织或者自然人。</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2.投标人授权代表系指法定代表人或受法人委托的受托人。</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二、招标</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（八）招标文件应包括以下内容：</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第一章，投标邀请；</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第二章，投标人须知；</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第三章，投标资料表；</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第四章，评标标准；</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第五章，拟签订的合同文本；</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第六章，采购需求；</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第七章，投标文件相关格式。</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（九）招标文件澄清或者修改：</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2.现场考察以本文件第三章《投标资料表》中的要求为准。</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3.开标前答疑会以本文件第三章《投标资料表》中的要求为准。</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三、投标</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（十）投标人应当按照招标文件的要求编制投标文件。投标文件应对招标文件提出的要求和条件作出实质性响应。</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（十二）投标文件的构成：</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1.投标文件的构成以本文件第三章《投标资料表》中的要求为准。</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2.投标人应当提交的资格、资信证明文件，以本文件第三章《投标资料表》中的所提要求为准。</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（十三）投标函和价格表、商务条件、交货和提供服务的时间：</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1.投标函和价格表的要求见本章（十二）、（十三），格式见本文件第七章《投标文件相关格式》中《投标函》和《开标一览表》。</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2.商务条件以本文件第三章《投标资料表》中的要求为准。</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3.交货和提供服务的时间，以本文件第三章《投标资料表》中所提要求为准。</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（十四）投标报价要求：</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1.投标人应按照招标文件的要求报出分项价格和总价。</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2.投标人应按照招标文件的要求进行报价，如投标人作出偏离，应在《偏离表》中列出。</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3.采购人不支付报价以外的任何费用。</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5.投标人只能提交一个投标价格，投标人提交多个价格的投标文件，在资格性、符合性检查时按照无效投标处理。</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（十五）投标货币。以本文件第三章《投标资料表》中所提要求为准。</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（十六）投标有效期：</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1.投标有效期为开标之日后90天。采购人可以要求对投标有效期延长一次，但该延长期最长不得超过30天。</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（十七）投标文件的编制要求和签署要求</w:t>
      </w:r>
      <w:r/>
    </w:p>
    <w:p>
      <w:pPr>
        <w:pStyle w:val="790"/>
        <w:ind w:firstLine="482"/>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pStyle w:val="790"/>
        <w:ind w:firstLine="482"/>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2.投标人应对 CA 证书妥善保管，如被他人盗用投标，因此带来的结果均由投标人自行承担。</w:t>
      </w:r>
      <w:r/>
    </w:p>
    <w:p>
      <w:pPr>
        <w:pStyle w:val="790"/>
        <w:ind w:firstLine="482"/>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3.投标人应当对招标文件提出的要求和条件作出实质性响应，并在电子投标系统逐条应答。</w:t>
      </w:r>
      <w:r/>
    </w:p>
    <w:p>
      <w:pPr>
        <w:pStyle w:val="790"/>
        <w:ind w:firstLine="482"/>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（十八）投标文件的盖章要求：</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投标文件的盖章要求，以本文件第三章《投标资料表》中所提要求为准。</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（二十二）本项目不允许分包。</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在评标过程中发现投标人有上述情形的，评标委员会应当认定其投标无效，并书面报告本级财政部门。</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（二十四）有下列情形之一的，其投标无效。</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1.不同投标人的投标文件，由同一单位或者个人编制；</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2.不同投标人委托同一单位或者个人办理投标事宜；</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3.不同投标人的投标文件中，所载明的项目管理成员或联系人为同一人；</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4.不同投标人的投标文件，异常一致或者投标报价呈规律性差异；</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6.电子投标文件未按规定期限投标的；</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7.电子投标文件未按招标文件要求签章的；</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8.投标人未在规定时间内解密电子投标文件的；</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9.投标文件未按招标文件规定的内容和要求填写的；没有在投标系统指定位置上传对应文件、材料的；材料模糊不清无法辨认的；</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10.不具备招标文件中规定的资格要求的；</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11.报价超过招标文件中规定的预算金额或者最高限价的；</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12.投标文件含有采购人不能接受的附加条件的；</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13.法律、法规和招标文件规定的其他无效情形。</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四、开标</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（二十五）开标：</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790"/>
        <w:ind w:firstLine="600"/>
        <w:spacing w:line="520" w:lineRule="exact"/>
        <w:rPr>
          <w:rFonts w:ascii="宋体" w:hAnsi="宋体" w:cs="宋体"/>
          <w:color w:val="000000" w:themeColor="text1"/>
          <w:sz w:val="28"/>
          <w:szCs w:val="28"/>
          <w:highlight w:val="none"/>
          <w:shd w:val="clear" w:color="auto" w:fill="ffffff"/>
          <w14:textFill>
            <w14:solidFill>
              <w14:schemeClr w14:val="tx1"/>
            </w14:solidFill>
          </w14:textFill>
        </w:rPr>
      </w:pPr>
      <w:r>
        <w:rPr>
          <w:rFonts w:hint="eastAsia" w:ascii="宋体" w:hAnsi="宋体" w:cs="宋体"/>
          <w:color w:val="000000" w:themeColor="text1"/>
          <w:sz w:val="28"/>
          <w:szCs w:val="28"/>
          <w:highlight w:val="none"/>
          <w:shd w:val="clear" w:color="auto" w:fill="ffffff"/>
          <w14:textFill>
            <w14:solidFill>
              <w14:schemeClr w14:val="tx1"/>
            </w14:solidFill>
          </w14:textFill>
        </w:rPr>
        <w:t xml:space="preserve">2.由电子招标投标交易平台主持，邀请投标人参加。</w:t>
      </w:r>
      <w:r/>
    </w:p>
    <w:p>
      <w:pPr>
        <w:pStyle w:val="790"/>
        <w:ind w:firstLine="600"/>
        <w:spacing w:line="520" w:lineRule="exact"/>
        <w:rPr>
          <w:rFonts w:ascii="宋体" w:hAnsi="宋体" w:cs="宋体"/>
          <w:color w:val="000000" w:themeColor="text1"/>
          <w:sz w:val="28"/>
          <w:szCs w:val="28"/>
          <w:highlight w:val="none"/>
          <w:shd w:val="clear" w:color="auto" w:fill="ffffff"/>
          <w14:textFill>
            <w14:solidFill>
              <w14:schemeClr w14:val="tx1"/>
            </w14:solidFill>
          </w14:textFill>
        </w:rPr>
      </w:pPr>
      <w:r>
        <w:rPr>
          <w:rFonts w:hint="eastAsia" w:ascii="宋体" w:hAnsi="宋体" w:cs="宋体"/>
          <w:color w:val="000000" w:themeColor="text1"/>
          <w:sz w:val="28"/>
          <w:szCs w:val="28"/>
          <w:highlight w:val="none"/>
          <w:shd w:val="clear" w:color="auto" w:fill="ffffff"/>
          <w14:textFill>
            <w14:solidFill>
              <w14:schemeClr w14:val="tx1"/>
            </w14:solidFill>
          </w14:textFill>
        </w:rPr>
        <w:t xml:space="preserve">3.所有投标单位使用 CA 证书在开标时间时，解密各自投标文件，投标人不足3家的，不得评标。</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shd w:val="clear" w:color="auto" w:fill="ffffff"/>
          <w14:textFill>
            <w14:solidFill>
              <w14:schemeClr w14:val="tx1"/>
            </w14:solidFill>
          </w14:textFill>
        </w:rPr>
        <w:t xml:space="preserve">4.投标人原因造成投标文件未</w:t>
      </w:r>
      <w:r>
        <w:rPr>
          <w:rFonts w:hint="eastAsia" w:ascii="宋体" w:hAnsi="宋体" w:cs="宋体"/>
          <w:color w:val="000000" w:themeColor="text1"/>
          <w:sz w:val="28"/>
          <w:szCs w:val="28"/>
          <w:highlight w:val="none"/>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五、评标</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（二十六）公开招标采购项目开标结束后，采购人依法对投标人的资格进行审查。合格投标人不足3家的，不得评标。</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1.评标工作由采购代理机构负责组织，并履行下列职责：</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（2）宣布评标纪律；</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（3）公布投标人名单，告知评审专家应当回避的情形；</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（4）组织评标委员会推选评标组长（采购人代表不得担任组长）；</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（5）在评标期间采取必要的通讯管理措施，保证评标活动不受外界干扰；</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（6）根据评标委员会的要求介绍政府采购相关政策法规、招标文件；</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（8）核对评标结果，对有《</w:t>
      </w:r>
      <w:r>
        <w:rPr>
          <w:highlight w:val="none"/>
        </w:rPr>
        <w:fldChar w:fldCharType="begin"/>
      </w:r>
      <w:r>
        <w:rPr>
          <w:highlight w:val="none"/>
        </w:rPr>
        <w:instrText xml:space="preserve"> HYPERLINK "http://www.caigou2003.com/" \t "_blank"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政府采购</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（10）处理与评标有关的其他事项。</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2.评标委员会负责具体评标事务，并独立履行下列职责：</w:t>
      </w:r>
      <w:r/>
    </w:p>
    <w:p>
      <w:pPr>
        <w:pStyle w:val="790"/>
        <w:ind w:firstLine="45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（1）审查、评价投标文件是否符合招标文件的商务、技术等实质性要求；</w:t>
      </w:r>
      <w:r/>
    </w:p>
    <w:p>
      <w:pPr>
        <w:pStyle w:val="790"/>
        <w:ind w:firstLine="45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（2）要求投标人对投标文件有关事项作出澄清或者说明；</w:t>
      </w:r>
      <w:r/>
    </w:p>
    <w:p>
      <w:pPr>
        <w:pStyle w:val="790"/>
        <w:ind w:firstLine="45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（3）对投标文件进行比较和评价；</w:t>
      </w:r>
      <w:r/>
    </w:p>
    <w:p>
      <w:pPr>
        <w:pStyle w:val="790"/>
        <w:ind w:firstLine="45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（4）确定中标候选人名单，以及根据采购人委托直接确定中标人；</w:t>
      </w:r>
      <w:r/>
    </w:p>
    <w:p>
      <w:pPr>
        <w:pStyle w:val="790"/>
        <w:ind w:firstLine="45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（5）向采购人、采购代理机构或有关部门报告评标中发现的违法行为。</w:t>
      </w:r>
      <w:r/>
    </w:p>
    <w:p>
      <w:pPr>
        <w:pStyle w:val="790"/>
        <w:ind w:firstLine="45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（二十七）评标方法分为最低评标价法和综合评分法。</w:t>
      </w:r>
      <w:r/>
    </w:p>
    <w:p>
      <w:pPr>
        <w:pStyle w:val="790"/>
        <w:ind w:firstLine="45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（二十八）评标</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1.评标工作程序：</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（1）投标文件初审。</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①资格性审查。</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②符合性审查。</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（2）澄清有关问题。</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（3）比较与评价。</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（4）推荐中标候选供应商名单。</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（5）编写评审报告（评标报告）。</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3.采用</w:t>
      </w:r>
      <w:r>
        <w:rPr>
          <w:highlight w:val="none"/>
        </w:rPr>
        <w:fldChar w:fldCharType="begin"/>
      </w:r>
      <w:r>
        <w:rPr>
          <w:highlight w:val="none"/>
        </w:rPr>
        <w:instrText xml:space="preserve"> HYPERLINK "http://lilun.caigou2003.com/recijiedu/2365668.html" \t "_blank"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最低评标价法</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采用</w:t>
      </w:r>
      <w:r>
        <w:rPr>
          <w:highlight w:val="none"/>
        </w:rPr>
        <w:fldChar w:fldCharType="begin"/>
      </w:r>
      <w:r>
        <w:rPr>
          <w:highlight w:val="none"/>
        </w:rPr>
        <w:instrText xml:space="preserve"> HYPERLINK "http://lilun.caigou2003.com/recijiedu/2365667.html" \t "_blank"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综合评分法</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非单一产品采购项目，多家投标人提供的核心产品品牌相同的，按前两款规定处理。</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（二十九）投标文件报价出现前后不一致的，按照下列规定修正：</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1.投标文件中开标一览表（报价表）内容与投标文件中相应内容不一致的，以开标一览表（报价表）为准；</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2.大写金额和小写金额不一致的，以大写金额为准；</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3.单价金额小数点或者百分比有明显错位的，以开标一览表的总价为准，并修改单价；</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4.总价金额与按单价合计金额不一致的，以单价金额计算结果为准。</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790"/>
        <w:ind w:firstLine="600"/>
        <w:jc w:val="left"/>
        <w:spacing w:line="520" w:lineRule="exact"/>
        <w:widowControl/>
        <w:rPr>
          <w:rFonts w:ascii="宋体" w:hAnsi="宋体" w:cs="宋体"/>
          <w:i/>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评标中需要投标人对投标文件澄清或者说明的，应当通过“苏采云”系统交换数据电文。在评标期间，请投标人保持在线。</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（三十二）废标条款：</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出现下列情形之一的，应予废标。</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1.符合专业条件的供应商或者对招标文件作实质响应的供应商不足三家的；</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2.出现影响采购公正的违法、违规行为的；</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3.投标人的报价均超过了采购预算，采购人不能支付的；</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4.因重大变故，采购任务取消的。</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六、定标</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（三十三）采购代理机构应当在评标结束后2个工作日内将评标报告送采购人。</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七、政府采购合同</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（三十六）签订政府采购合同（合同签订方式）：</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90"/>
        <w:ind w:firstLine="600"/>
        <w:jc w:val="left"/>
        <w:spacing w:line="52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采购人不得向中标人提出任何不合理的要求作为签订合同的条件。</w:t>
      </w:r>
      <w:r/>
    </w:p>
    <w:p>
      <w:pPr>
        <w:pStyle w:val="790"/>
        <w:ind w:firstLine="600"/>
        <w:jc w:val="left"/>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90"/>
        <w:ind w:firstLine="600"/>
        <w:jc w:val="left"/>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（三十七）采购人与中标人应当根据合同的约定依法履行合同义务。政府采购合同的履行、违约责任和解决争议的方法等，按《</w:t>
      </w:r>
      <w:r>
        <w:rPr>
          <w:rFonts w:hint="eastAsia" w:ascii="宋体" w:hAnsi="宋体" w:cs="宋体"/>
          <w:color w:val="000000" w:themeColor="text1"/>
          <w:sz w:val="28"/>
          <w:szCs w:val="28"/>
          <w:highlight w:val="none"/>
          <w:lang w:eastAsia="zh-CN"/>
          <w14:textFill>
            <w14:solidFill>
              <w14:schemeClr w14:val="tx1"/>
            </w14:solidFill>
          </w14:textFill>
        </w:rPr>
        <w:t xml:space="preserve">民法典</w:t>
      </w:r>
      <w:r>
        <w:rPr>
          <w:rFonts w:hint="eastAsia" w:ascii="宋体" w:hAnsi="宋体" w:cs="宋体"/>
          <w:color w:val="000000" w:themeColor="text1"/>
          <w:sz w:val="28"/>
          <w:szCs w:val="28"/>
          <w:highlight w:val="none"/>
          <w14:textFill>
            <w14:solidFill>
              <w14:schemeClr w14:val="tx1"/>
            </w14:solidFill>
          </w14:textFill>
        </w:rPr>
        <w:t xml:space="preserve">》相关条款执行。</w:t>
      </w:r>
      <w:r/>
    </w:p>
    <w:p>
      <w:pPr>
        <w:pStyle w:val="790"/>
        <w:ind w:firstLine="600"/>
        <w:jc w:val="left"/>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（三十八）履约保证金：</w:t>
      </w:r>
      <w:r/>
    </w:p>
    <w:p>
      <w:pPr>
        <w:pStyle w:val="790"/>
        <w:ind w:firstLine="600"/>
        <w:jc w:val="left"/>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1.中标人应当在评审结果公示日起三日内，向采购人提交本文件第三章《投标资料表》中规定金额的履约保证金。</w:t>
      </w:r>
      <w:r/>
    </w:p>
    <w:p>
      <w:pPr>
        <w:pStyle w:val="790"/>
        <w:ind w:firstLine="600"/>
        <w:jc w:val="left"/>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90"/>
        <w:ind w:firstLine="600"/>
        <w:jc w:val="left"/>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获得补偿。</w:t>
      </w:r>
      <w:r/>
    </w:p>
    <w:p>
      <w:pPr>
        <w:pStyle w:val="790"/>
        <w:ind w:firstLine="600"/>
        <w:jc w:val="left"/>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（三十九）腐败和欺诈行为：</w:t>
      </w:r>
      <w:r/>
    </w:p>
    <w:p>
      <w:pPr>
        <w:pStyle w:val="790"/>
        <w:ind w:firstLine="600"/>
        <w:jc w:val="left"/>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pStyle w:val="790"/>
        <w:ind w:firstLine="600"/>
        <w:jc w:val="left"/>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（1）腐败和欺诈行为的含义：</w:t>
      </w:r>
      <w:r/>
    </w:p>
    <w:p>
      <w:pPr>
        <w:pStyle w:val="790"/>
        <w:ind w:firstLine="600"/>
        <w:jc w:val="left"/>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pStyle w:val="790"/>
        <w:ind w:firstLine="600"/>
        <w:jc w:val="left"/>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②“欺诈行为”系指为了影响招标、采购和合同执行等过程，隐瞒事实真相，给买方、卖方、采购代理机构及他人造成损害的行为，其中包括投标人之间的串通行为。</w:t>
      </w:r>
      <w:r/>
    </w:p>
    <w:p>
      <w:pPr>
        <w:pStyle w:val="790"/>
        <w:ind w:firstLine="600"/>
        <w:jc w:val="left"/>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（2）如果被推荐的中标人有腐败和欺诈行为，将取消其中标资格。</w:t>
      </w:r>
      <w:r/>
    </w:p>
    <w:p>
      <w:pPr>
        <w:pStyle w:val="790"/>
        <w:ind w:firstLine="600"/>
        <w:jc w:val="left"/>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pStyle w:val="790"/>
        <w:ind w:firstLine="600"/>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八、询问和质疑</w:t>
      </w:r>
      <w:r/>
    </w:p>
    <w:p>
      <w:pPr>
        <w:pStyle w:val="790"/>
        <w:ind w:firstLine="600"/>
        <w:jc w:val="left"/>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（四十）询问和质疑</w:t>
      </w:r>
      <w:r/>
    </w:p>
    <w:p>
      <w:pPr>
        <w:pStyle w:val="790"/>
        <w:ind w:firstLine="600"/>
        <w:jc w:val="left"/>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0"/>
        <w:ind w:firstLine="600"/>
        <w:jc w:val="left"/>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九、电子招标投标交易平台</w:t>
      </w:r>
      <w:r/>
    </w:p>
    <w:p>
      <w:pPr>
        <w:pStyle w:val="790"/>
        <w:ind w:firstLine="600"/>
        <w:jc w:val="left"/>
        <w:spacing w:line="5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（四十一）电子招标投标交易平台（即“苏采云”系统，网址：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http://jszfcg.jsczt.cn/</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t xml:space="preserve">）相关要求是本招标文件的组成部分。</w:t>
      </w:r>
      <w:r/>
    </w:p>
    <w:p>
      <w:pPr>
        <w:pStyle w:val="94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color w:val="000000" w:themeColor="text1"/>
          <w:highlight w:val="none"/>
          <w14:textFill>
            <w14:solidFill>
              <w14:schemeClr w14:val="tx1"/>
            </w14:solidFill>
          </w14:textFill>
        </w:rPr>
        <w:t xml:space="preserve">第三章  投标资料表</w:t>
      </w:r>
      <w:bookmarkEnd w:id="6"/>
      <w:r/>
      <w:bookmarkEnd w:id="7"/>
      <w:r/>
      <w:r/>
    </w:p>
    <w:p>
      <w:pPr>
        <w:pStyle w:val="982"/>
        <w:ind w:firstLine="600"/>
        <w:spacing w:line="520" w:lineRule="exact"/>
        <w:rPr>
          <w:rFonts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790"/>
        <w:spacing w:line="24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bl>
      <w:tblPr>
        <w:tblStyle w:val="718"/>
        <w:tblW w:w="10065"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63"/>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90"/>
              <w:jc w:val="center"/>
              <w:spacing w:line="40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jc w:val="center"/>
              <w:spacing w:line="40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一</w:t>
            </w:r>
            <w:r>
              <w:rPr>
                <w:rFonts w:hint="eastAsia" w:ascii="宋体" w:hAnsi="宋体" w:cs="宋体"/>
                <w:color w:val="000000" w:themeColor="text1"/>
                <w:sz w:val="28"/>
                <w:szCs w:val="28"/>
                <w:highlight w:val="none"/>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本项目采购人：徐州市河湖管理中心</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二</w:t>
            </w:r>
            <w:r>
              <w:rPr>
                <w:rFonts w:hint="eastAsia" w:ascii="宋体" w:hAnsi="宋体" w:cs="宋体"/>
                <w:color w:val="000000" w:themeColor="text1"/>
                <w:sz w:val="28"/>
                <w:szCs w:val="28"/>
                <w:highlight w:val="none"/>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本项目采购代理机构：江苏九天招标管理有限公司</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投标人的资格条件：</w:t>
            </w:r>
            <w:r/>
          </w:p>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一、符合《中华人民共和国政府采购法》第二十二条的规定；</w:t>
            </w:r>
            <w:r/>
          </w:p>
          <w:p>
            <w:pPr>
              <w:pStyle w:val="790"/>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二、</w:t>
            </w:r>
            <w:r>
              <w:rPr>
                <w:rFonts w:hint="eastAsia" w:ascii="宋体" w:hAnsi="宋体" w:eastAsia="宋体" w:cs="宋体"/>
                <w:i w:val="0"/>
                <w:iCs w:val="0"/>
                <w:caps w:val="0"/>
                <w:color w:val="333333"/>
                <w:spacing w:val="0"/>
                <w:sz w:val="28"/>
                <w:szCs w:val="28"/>
                <w:highlight w:val="none"/>
              </w:rPr>
            </w:r>
            <w:r>
              <w:rPr>
                <w:rFonts w:ascii="SimSun" w:hAnsi="SimSun" w:eastAsia="SimSun" w:cs="SimSun"/>
                <w:color w:val="333333"/>
                <w:sz w:val="28"/>
              </w:rPr>
              <w:t xml:space="preserve">本项目属于专门面向中小微企业采购的项目，供应商应为中小微企业、监狱企业、残疾人福利性单位</w:t>
            </w:r>
            <w:r>
              <w:rPr>
                <w:rFonts w:hint="eastAsia" w:ascii="宋体" w:hAnsi="宋体" w:eastAsia="宋体" w:cs="宋体"/>
                <w:i w:val="0"/>
                <w:iCs w:val="0"/>
                <w:caps w:val="0"/>
                <w:color w:val="333333"/>
                <w:spacing w:val="0"/>
                <w:sz w:val="28"/>
                <w:szCs w:val="28"/>
                <w:highlight w:val="none"/>
              </w:rPr>
              <w:t xml:space="preserve">。</w:t>
            </w:r>
            <w:r/>
          </w:p>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同时明确相关事项如下：</w:t>
            </w:r>
            <w:r/>
          </w:p>
          <w:p>
            <w:pPr>
              <w:pStyle w:val="790"/>
              <w:ind w:firstLine="28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一、本项目不接受联合体参与采购活动。</w:t>
            </w:r>
            <w:r/>
          </w:p>
          <w:p>
            <w:pPr>
              <w:pStyle w:val="790"/>
              <w:ind w:left="559" w:hanging="28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二、单位负责人为同一人或者存在直接控股、管理关系的不同供应商，不得参加同一合同项下的政府采购活动。</w:t>
            </w:r>
            <w:r/>
          </w:p>
          <w:p>
            <w:pPr>
              <w:pStyle w:val="790"/>
              <w:ind w:left="559" w:hanging="280"/>
              <w:jc w:val="left"/>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三、为本采购项目提供整体设计、规范编制或者项目管理、监理、检测等服务的供应商，不得再参加本采购项目的采购活动。</w:t>
            </w:r>
            <w:r/>
          </w:p>
          <w:p>
            <w:pPr>
              <w:pStyle w:val="790"/>
              <w:ind w:firstLine="28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四、查询及使用供应商信用记录：</w:t>
            </w:r>
            <w:r/>
          </w:p>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（一）由采购人查询信用信息。</w:t>
            </w:r>
            <w:r/>
          </w:p>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（二）查询渠道包括：</w:t>
            </w:r>
            <w:r/>
          </w:p>
          <w:p>
            <w:pPr>
              <w:pStyle w:val="790"/>
              <w:ind w:firstLine="70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www.creditchina.gov.cn</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t xml:space="preserve">）；</w:t>
            </w:r>
            <w:r/>
          </w:p>
          <w:p>
            <w:pPr>
              <w:pStyle w:val="790"/>
              <w:ind w:firstLine="70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www.ccgp.gov.cn</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t xml:space="preserve">）；</w:t>
            </w:r>
            <w:r/>
          </w:p>
          <w:p>
            <w:pPr>
              <w:pStyle w:val="790"/>
              <w:ind w:firstLine="70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3.“信用江苏”网（www.jscredit.gov.cn）；</w:t>
            </w:r>
            <w:r/>
          </w:p>
          <w:p>
            <w:pPr>
              <w:pStyle w:val="790"/>
              <w:ind w:firstLine="70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4.“信用中国（江苏徐州）”网</w:t>
            </w:r>
            <w:r/>
          </w:p>
          <w:p>
            <w:pPr>
              <w:pStyle w:val="790"/>
              <w:ind w:firstLine="70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rPr>
                <w:highlight w:val="none"/>
              </w:rPr>
              <w:fldChar w:fldCharType="begin"/>
            </w:r>
            <w:r>
              <w:rPr>
                <w:highlight w:val="none"/>
              </w:rPr>
              <w:instrText xml:space="preserve"> HYPERLINK "http://www.xuzhoucredit.gov.cn/" </w:instrText>
            </w:r>
            <w:r>
              <w:rPr>
                <w:highlight w:val="none"/>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http://www.xuzhoucredit.gov.cn</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t xml:space="preserve">）；</w:t>
            </w:r>
            <w:r/>
          </w:p>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（三）截止时点（查询环节）：资格审查结束前。</w:t>
            </w:r>
            <w:r/>
          </w:p>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（四）信用信息查询记录和证据留存的具体方式：网页截屏打印，与其他采购文件一并保存。</w:t>
            </w:r>
            <w:r/>
          </w:p>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（五）信用信息的使用规则：</w:t>
            </w:r>
            <w:r/>
          </w:p>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（二</w:t>
            </w:r>
            <w:r>
              <w:rPr>
                <w:rFonts w:hint="eastAsia" w:ascii="宋体" w:hAnsi="宋体" w:eastAsia="宋体" w:cs="宋体"/>
                <w:color w:val="000000" w:themeColor="text1"/>
                <w:sz w:val="28"/>
                <w:szCs w:val="28"/>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tabs>
                <w:tab w:val="left" w:pos="5760" w:leader="none"/>
              </w:tabs>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不统一安排现场考察。</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一</w:t>
            </w:r>
            <w:r>
              <w:rPr>
                <w:rFonts w:hint="eastAsia" w:ascii="宋体" w:hAnsi="宋体" w:cs="宋体"/>
                <w:color w:val="000000" w:themeColor="text1"/>
                <w:sz w:val="28"/>
                <w:szCs w:val="28"/>
                <w:highlight w:val="none"/>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二</w:t>
            </w:r>
            <w:r>
              <w:rPr>
                <w:rFonts w:hint="eastAsia" w:ascii="宋体" w:hAnsi="宋体" w:cs="宋体"/>
                <w:color w:val="000000" w:themeColor="text1"/>
                <w:sz w:val="28"/>
                <w:szCs w:val="28"/>
                <w:highlight w:val="none"/>
                <w:lang w:eastAsia="zh-CN"/>
                <w14:textFill>
                  <w14:solidFill>
                    <w14:schemeClr w14:val="tx1"/>
                  </w14:solidFill>
                </w14:textFill>
              </w:rPr>
              <w:t xml:space="preserve">）</w:t>
            </w:r>
            <w:r/>
          </w:p>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投标文件编制要求：</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请按照以下要求（包括但不限于以下要求）制作：</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一、基本目录</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1.《开标一览表》（加盖电子签章，政府采购客户端工具输入报价自动生成）；</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2.所投产品的环境标志产品认证证书原件的扫描件（如有）。</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注：</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（2）环境标志产品认证证书是否符合要求，采购人评标时查询中国政府采购网（www.ccgp.gov.cn）相关内容后确定。</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3.所投产品的节能产品认证证书原件的扫描件（如有）。</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注：</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（2）节能产品认证证书是否符合要求，采购人评标时查询中国政府采购网（www.ccgp.gov.cn）相关内容后确定。</w:t>
            </w:r>
            <w:r/>
          </w:p>
          <w:p>
            <w:pPr>
              <w:pStyle w:val="790"/>
              <w:spacing w:line="40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二、资格条件（必须提供，否则投标无效）</w:t>
            </w:r>
            <w:r/>
          </w:p>
          <w:p>
            <w:pPr>
              <w:pStyle w:val="790"/>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1.投标人合法有效的法人或者其他组织的营业执照等证明文件。以上证明文件提供原件的扫描件；</w:t>
            </w:r>
            <w:r/>
          </w:p>
          <w:p>
            <w:pPr>
              <w:pStyle w:val="790"/>
              <w:spacing w:line="400" w:lineRule="exact"/>
              <w:widowControl/>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cs="宋体"/>
                <w:color w:val="auto"/>
                <w:sz w:val="28"/>
                <w:szCs w:val="28"/>
                <w:highlight w:val="none"/>
              </w:rPr>
              <w:t xml:space="preserve">2.</w:t>
            </w:r>
            <w:r>
              <w:rPr>
                <w:rFonts w:hint="eastAsia" w:ascii="宋体" w:hAnsi="宋体" w:eastAsia="宋体" w:cs="宋体"/>
                <w:color w:val="auto"/>
                <w:sz w:val="28"/>
                <w:szCs w:val="28"/>
                <w:highlight w:val="none"/>
              </w:rPr>
              <w:t xml:space="preserve">财务状况报告</w:t>
            </w:r>
            <w:r>
              <w:rPr>
                <w:rFonts w:hint="eastAsia" w:ascii="宋体" w:hAnsi="宋体" w:cs="宋体"/>
                <w:color w:val="auto"/>
                <w:sz w:val="28"/>
                <w:szCs w:val="28"/>
                <w:highlight w:val="none"/>
                <w:lang w:eastAsia="zh-CN"/>
              </w:rPr>
              <w:t xml:space="preserve">：</w:t>
            </w:r>
            <w:r>
              <w:rPr>
                <w:rFonts w:hint="eastAsia" w:ascii="宋体" w:hAnsi="宋体" w:eastAsia="宋体" w:cs="宋体"/>
                <w:i w:val="0"/>
                <w:iCs w:val="0"/>
                <w:caps w:val="0"/>
                <w:color w:val="auto"/>
                <w:spacing w:val="0"/>
                <w:sz w:val="28"/>
                <w:szCs w:val="28"/>
                <w:highlight w:val="none"/>
              </w:rPr>
              <w:t xml:space="preserve">即提供</w:t>
            </w:r>
            <w:r>
              <w:rPr>
                <w:rFonts w:hint="eastAsia" w:ascii="宋体" w:hAnsi="宋体" w:eastAsia="宋体" w:cs="宋体"/>
                <w:i w:val="0"/>
                <w:iCs w:val="0"/>
                <w:caps w:val="0"/>
                <w:color w:val="auto"/>
                <w:spacing w:val="0"/>
                <w:sz w:val="28"/>
                <w:szCs w:val="28"/>
                <w:highlight w:val="none"/>
                <w:lang w:eastAsia="zh-CN"/>
              </w:rPr>
              <w:t xml:space="preserve">供应商</w:t>
            </w:r>
            <w:r>
              <w:rPr>
                <w:rFonts w:hint="eastAsia" w:ascii="宋体" w:hAnsi="宋体" w:eastAsia="宋体" w:cs="宋体"/>
                <w:i w:val="0"/>
                <w:iCs w:val="0"/>
                <w:caps w:val="0"/>
                <w:color w:val="auto"/>
                <w:spacing w:val="0"/>
                <w:sz w:val="28"/>
                <w:szCs w:val="28"/>
                <w:highlight w:val="none"/>
              </w:rPr>
              <w:t xml:space="preserve">的本项目开标时间前6个月内</w:t>
            </w:r>
            <w:r>
              <w:rPr>
                <w:rFonts w:hint="eastAsia" w:ascii="宋体" w:hAnsi="宋体" w:eastAsia="宋体" w:cs="宋体"/>
                <w:color w:val="auto"/>
                <w:sz w:val="28"/>
                <w:szCs w:val="28"/>
                <w:highlight w:val="none"/>
              </w:rPr>
              <w:t xml:space="preserve">（不含“首次响应文件提交的截止时间”当月）</w:t>
            </w:r>
            <w:r>
              <w:rPr>
                <w:rFonts w:hint="eastAsia" w:ascii="宋体" w:hAnsi="宋体" w:eastAsia="宋体" w:cs="宋体"/>
                <w:i w:val="0"/>
                <w:iCs w:val="0"/>
                <w:caps w:val="0"/>
                <w:color w:val="auto"/>
                <w:spacing w:val="0"/>
                <w:sz w:val="28"/>
                <w:szCs w:val="28"/>
                <w:highlight w:val="none"/>
              </w:rPr>
              <w:t xml:space="preserve">任何时间的资产负债表、利润表扫描件各一份；或提供</w:t>
            </w:r>
            <w:r>
              <w:rPr>
                <w:rFonts w:hint="eastAsia" w:ascii="宋体" w:hAnsi="宋体" w:eastAsia="宋体" w:cs="宋体"/>
                <w:i w:val="0"/>
                <w:iCs w:val="0"/>
                <w:caps w:val="0"/>
                <w:color w:val="auto"/>
                <w:spacing w:val="0"/>
                <w:sz w:val="28"/>
                <w:szCs w:val="28"/>
                <w:highlight w:val="none"/>
                <w:lang w:eastAsia="zh-CN"/>
              </w:rPr>
              <w:t xml:space="preserve">供应商</w:t>
            </w:r>
            <w:r>
              <w:rPr>
                <w:rFonts w:hint="eastAsia" w:ascii="宋体" w:hAnsi="宋体" w:eastAsia="宋体" w:cs="宋体"/>
                <w:i w:val="0"/>
                <w:iCs w:val="0"/>
                <w:caps w:val="0"/>
                <w:color w:val="auto"/>
                <w:spacing w:val="0"/>
                <w:sz w:val="28"/>
                <w:szCs w:val="28"/>
                <w:highlight w:val="none"/>
              </w:rPr>
              <w:t xml:space="preserve">上年度经审计的财务报告扫描件一份；或</w:t>
            </w:r>
            <w:r>
              <w:rPr>
                <w:rFonts w:hint="eastAsia" w:ascii="宋体" w:hAnsi="宋体" w:eastAsia="宋体" w:cs="宋体"/>
                <w:i w:val="0"/>
                <w:iCs w:val="0"/>
                <w:caps w:val="0"/>
                <w:color w:val="auto"/>
                <w:spacing w:val="0"/>
                <w:sz w:val="28"/>
                <w:szCs w:val="28"/>
                <w:highlight w:val="none"/>
                <w:lang w:eastAsia="zh-CN"/>
              </w:rPr>
              <w:t xml:space="preserve">供应商</w:t>
            </w:r>
            <w:r>
              <w:rPr>
                <w:rFonts w:hint="eastAsia" w:ascii="宋体" w:hAnsi="宋体" w:eastAsia="宋体" w:cs="宋体"/>
                <w:i w:val="0"/>
                <w:iCs w:val="0"/>
                <w:caps w:val="0"/>
                <w:color w:val="auto"/>
                <w:spacing w:val="0"/>
                <w:sz w:val="28"/>
                <w:szCs w:val="28"/>
                <w:highlight w:val="none"/>
              </w:rPr>
              <w:t xml:space="preserve">的本项目开标时间前6个月内银行出具的资信证明扫描件一份）</w:t>
            </w:r>
            <w:r>
              <w:rPr>
                <w:rFonts w:hint="eastAsia" w:ascii="宋体" w:hAnsi="宋体" w:eastAsia="宋体" w:cs="宋体"/>
                <w:i w:val="0"/>
                <w:iCs w:val="0"/>
                <w:caps w:val="0"/>
                <w:color w:val="auto"/>
                <w:spacing w:val="0"/>
                <w:sz w:val="28"/>
                <w:szCs w:val="28"/>
                <w:highlight w:val="none"/>
                <w:lang w:eastAsia="zh-CN"/>
              </w:rPr>
              <w:t xml:space="preserve">。</w:t>
            </w:r>
            <w:r/>
          </w:p>
          <w:p>
            <w:pPr>
              <w:pStyle w:val="790"/>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供应商的“首次响应文件提交的截止时间”前6个月内任何1月（不含“首次响应文件提交的截止时间”当月）的依法缴纳税收和社会保障资金的相关材料的扫描件（依法免税或不需要缴纳社会保障资金的供应商,应提供相应文件证明其依法免税或不需要缴纳社会保障资金)；</w:t>
            </w:r>
            <w:r/>
          </w:p>
          <w:p>
            <w:pPr>
              <w:pStyle w:val="790"/>
              <w:spacing w:line="400" w:lineRule="exac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4.具备履行合同所必需的设备和专业技术能力的证明材料</w:t>
            </w:r>
            <w:r>
              <w:rPr>
                <w:rFonts w:hint="eastAsia" w:ascii="宋体" w:hAnsi="宋体" w:cs="宋体"/>
                <w:bCs/>
                <w:color w:val="000000" w:themeColor="text1"/>
                <w:sz w:val="28"/>
                <w:szCs w:val="28"/>
                <w:highlight w:val="none"/>
                <w14:textFill>
                  <w14:solidFill>
                    <w14:schemeClr w14:val="tx1"/>
                  </w14:solidFill>
                </w14:textFill>
              </w:rPr>
              <w:t xml:space="preserve">（加盖电子签章，格式见招标文件第七章《投标文件相关格式》。）</w:t>
            </w:r>
            <w:r>
              <w:rPr>
                <w:rFonts w:hint="eastAsia" w:ascii="宋体" w:hAnsi="宋体" w:cs="宋体"/>
                <w:color w:val="000000" w:themeColor="text1"/>
                <w:sz w:val="28"/>
                <w:szCs w:val="28"/>
                <w:highlight w:val="none"/>
                <w14:textFill>
                  <w14:solidFill>
                    <w14:schemeClr w14:val="tx1"/>
                  </w14:solidFill>
                </w14:textFill>
              </w:rPr>
              <w:t xml:space="preserve">；</w:t>
            </w:r>
            <w:r/>
          </w:p>
          <w:p>
            <w:pPr>
              <w:pStyle w:val="790"/>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pStyle w:val="790"/>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6.提供投标人《中小企业声明函》（请填写完整，加盖电子签章，格式见招标文件第七章《投标文件相关格式》）。查询渠道参考工业和信息化部发布的中小企业规模自测小程序。</w:t>
            </w:r>
            <w:r/>
          </w:p>
          <w:p>
            <w:pPr>
              <w:pStyle w:val="790"/>
              <w:spacing w:line="400" w:lineRule="exact"/>
              <w:widowControl/>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7.特殊资格条件：</w:t>
            </w:r>
            <w:r>
              <w:rPr>
                <w:rFonts w:hint="eastAsia" w:ascii="宋体" w:hAnsi="宋体" w:cs="宋体"/>
                <w:color w:val="000000" w:themeColor="text1"/>
                <w:sz w:val="28"/>
                <w:szCs w:val="28"/>
                <w:highlight w:val="none"/>
                <w:lang w:eastAsia="zh-CN"/>
                <w14:textFill>
                  <w14:solidFill>
                    <w14:schemeClr w14:val="tx1"/>
                  </w14:solidFill>
                </w14:textFill>
              </w:rPr>
              <w:t xml:space="preserve">无</w:t>
            </w:r>
            <w:r/>
          </w:p>
          <w:p>
            <w:pPr>
              <w:pStyle w:val="796"/>
              <w:rPr>
                <w:rFonts w:hAnsi="宋体" w:eastAsia="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14:textFill>
                  <w14:solidFill>
                    <w14:schemeClr w14:val="tx1"/>
                  </w14:solidFill>
                </w14:textFill>
              </w:rPr>
              <w:t xml:space="preserve">注：</w:t>
            </w:r>
            <w:r/>
          </w:p>
          <w:p>
            <w:pPr>
              <w:pStyle w:val="796"/>
              <w:rPr>
                <w:rFonts w:hAnsi="宋体" w:eastAsia="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14:textFill>
                  <w14:solidFill>
                    <w14:schemeClr w14:val="tx1"/>
                  </w14:solidFill>
                </w14:textFill>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96"/>
              <w:rPr>
                <w:rFonts w:hAnsi="宋体" w:eastAsia="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14:textFill>
                  <w14:solidFill>
                    <w14:schemeClr w14:val="tx1"/>
                  </w14:solidFill>
                </w14:textFill>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96"/>
              <w:rPr>
                <w:rFonts w:hAnsi="宋体" w:eastAsia="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14:textFill>
                  <w14:solidFill>
                    <w14:schemeClr w14:val="tx1"/>
                  </w14:solidFill>
                </w14:textFill>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pStyle w:val="796"/>
              <w:rPr>
                <w:rFonts w:hAnsi="宋体" w:eastAsia="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14:textFill>
                  <w14:solidFill>
                    <w14:schemeClr w14:val="tx1"/>
                  </w14:solidFill>
                </w14:textFill>
              </w:rPr>
              <w:t xml:space="preserve">2.投标人为监狱企业的，提供省级（含新疆生产建设兵团）以上监狱管理局、戒毒管理局出具的属于监狱企业的证明文件扫描件。具体以《财政部司法部关于政府采购支持监狱企业发展有关问题的通知》（财库〔2014〕68号）的规定为准。</w:t>
            </w:r>
            <w:r/>
          </w:p>
          <w:p>
            <w:pPr>
              <w:pStyle w:val="796"/>
              <w:rPr>
                <w:rFonts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sz w:val="28"/>
                <w:szCs w:val="28"/>
                <w:highlight w:val="none"/>
                <w14:textFill>
                  <w14:solidFill>
                    <w14:schemeClr w14:val="tx1"/>
                  </w14:solidFill>
                </w14:textFill>
              </w:rPr>
              <w:t xml:space="preserve">3.投标人为残疾人福利性单位的，提供《残疾人福利性单位声明函》。要求加盖电子签章，格式见本文件第七章《投标文件相关格式》。具体以《关于促进残疾人就业政府采购政策的通知》（财库〔2017〕141号）的规定为准。</w:t>
            </w:r>
            <w:r/>
          </w:p>
          <w:p>
            <w:pPr>
              <w:pStyle w:val="790"/>
              <w:spacing w:line="40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三、符合条件（必须提供，否则投标无效）</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（一）报价</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1.《开标一览表》（加盖电子签章，格式见招标文件第七章《投标文件相关格式》。）</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2.《分项价格表》（加盖电子签章，格式见招标文件第七章《投标文件相关格式》。）</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（二）商务资信</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1.《投标函》（加盖电子签章，格式见招标文件第七章《投标文件相关格式》。）</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2.《授权委托书》（提供原件的扫描件，格式见招标文件第七章《投标文件相关格式》。）</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（三）技术响应</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1.《偏离表》（加盖电子签章，格式见招标文件第七章《投标文件相关格式》。）</w:t>
            </w:r>
            <w:r/>
          </w:p>
          <w:p>
            <w:pPr>
              <w:pStyle w:val="790"/>
              <w:spacing w:line="40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四、综合评审评分项</w:t>
            </w:r>
            <w:r/>
          </w:p>
          <w:p>
            <w:pPr>
              <w:pStyle w:val="796"/>
              <w:rPr>
                <w:rFonts w:hAnsi="宋体" w:eastAsia="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14:textFill>
                  <w14:solidFill>
                    <w14:schemeClr w14:val="tx1"/>
                  </w14:solidFill>
                </w14:textFill>
              </w:rPr>
              <w:t xml:space="preserve">要求见招标文件第四章《评标标准》</w:t>
            </w:r>
            <w:r/>
          </w:p>
          <w:p>
            <w:pPr>
              <w:pStyle w:val="790"/>
              <w:spacing w:line="40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五、价格折扣文件格式</w:t>
            </w:r>
            <w:r/>
          </w:p>
          <w:p>
            <w:pPr>
              <w:pStyle w:val="796"/>
              <w:rPr>
                <w:rFonts w:hAnsi="宋体" w:eastAsia="宋体" w:cs="宋体"/>
                <w:bCs/>
                <w:color w:val="000000" w:themeColor="text1"/>
                <w:sz w:val="28"/>
                <w:szCs w:val="28"/>
                <w:highlight w:val="none"/>
                <w14:textFill>
                  <w14:solidFill>
                    <w14:schemeClr w14:val="tx1"/>
                  </w14:solidFill>
                </w14:textFill>
              </w:rPr>
            </w:pPr>
            <w:r>
              <w:rPr>
                <w:rFonts w:hint="eastAsia" w:hAnsi="宋体" w:eastAsia="宋体" w:cs="宋体"/>
                <w:bCs/>
                <w:color w:val="000000" w:themeColor="text1"/>
                <w:sz w:val="28"/>
                <w:szCs w:val="28"/>
                <w:highlight w:val="none"/>
                <w14:textFill>
                  <w14:solidFill>
                    <w14:schemeClr w14:val="tx1"/>
                  </w14:solidFill>
                </w14:textFill>
              </w:rPr>
              <w:t xml:space="preserve">企业报价折扣证明：无</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注：</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1.投标人应对以上文件的合法性、真实性负责。</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商务条件见：</w:t>
            </w:r>
            <w:r/>
          </w:p>
          <w:p>
            <w:pPr>
              <w:pStyle w:val="790"/>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一、本文件第四章《评标标准》中《评分细则》。</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交货和提供服务的时间：见本文件第五章《拟签订的合同文本》及本文件第六章《采购需求》。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本项目采购项目预算金额详见采购需求</w:t>
            </w:r>
            <w:r/>
          </w:p>
        </w:tc>
      </w:tr>
      <w:tr>
        <w:trPr>
          <w:trHeight w:val="90"/>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ind w:firstLine="28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w:t>
            </w:r>
            <w:r>
              <w:rPr>
                <w:rFonts w:hint="eastAsia" w:ascii="宋体" w:hAnsi="宋体" w:cs="宋体"/>
                <w:bCs/>
                <w:color w:val="000000" w:themeColor="text1"/>
                <w:sz w:val="28"/>
                <w:szCs w:val="28"/>
                <w:highlight w:val="none"/>
                <w:lang w:eastAsia="zh-CN"/>
                <w14:textFill>
                  <w14:solidFill>
                    <w14:schemeClr w14:val="tx1"/>
                  </w14:solidFill>
                </w14:textFill>
              </w:rPr>
              <w:t xml:space="preserve">七</w:t>
            </w:r>
            <w:r>
              <w:rPr>
                <w:rFonts w:hint="eastAsia" w:ascii="宋体" w:hAnsi="宋体" w:eastAsia="宋体" w:cs="宋体"/>
                <w:bCs/>
                <w:color w:val="000000" w:themeColor="text1"/>
                <w:sz w:val="28"/>
                <w:szCs w:val="28"/>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投标人应当通过“苏采云”系统提交数据电文形式的投标文件（即电子投标）。</w:t>
            </w:r>
            <w:r/>
          </w:p>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特别说明：通过“苏采云”系统提交政府采购客户端工具导出加密的投标文件（后缀名为zip）。投标文件不得超过150M！</w:t>
            </w:r>
            <w:r/>
          </w:p>
          <w:p>
            <w:pPr>
              <w:pStyle w:val="790"/>
              <w:spacing w:line="400" w:lineRule="exact"/>
              <w:rPr>
                <w:rFonts w:ascii="宋体" w:hAnsi="宋体" w:cs="宋体"/>
                <w:bC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（八）</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（九）</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jc w:val="left"/>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投标文件的提交与接收： </w:t>
            </w:r>
            <w:r/>
          </w:p>
          <w:p>
            <w:pPr>
              <w:pStyle w:val="790"/>
              <w:jc w:val="left"/>
              <w:spacing w:line="400" w:lineRule="exact"/>
              <w:rPr>
                <w:rFonts w:ascii="宋体" w:hAnsi="宋体" w:cs="宋体"/>
                <w:b/>
                <w:bCs/>
                <w:color w:val="auto"/>
                <w:sz w:val="28"/>
                <w:szCs w:val="28"/>
                <w:highlight w:val="none"/>
              </w:rPr>
            </w:pPr>
            <w:r>
              <w:rPr>
                <w:rFonts w:hint="eastAsia" w:ascii="宋体" w:hAnsi="宋体" w:cs="宋体"/>
                <w:color w:val="000000" w:themeColor="text1"/>
                <w:sz w:val="28"/>
                <w:szCs w:val="28"/>
                <w:highlight w:val="none"/>
                <w14:textFill>
                  <w14:solidFill>
                    <w14:schemeClr w14:val="tx1"/>
                  </w14:solidFill>
                </w14:textFill>
              </w:rPr>
              <w:t xml:space="preserve">1.投标文件提交与接收时间：</w:t>
            </w:r>
            <w:r>
              <w:rPr>
                <w:rFonts w:hint="eastAsia" w:ascii="宋体" w:hAnsi="宋体" w:cs="宋体"/>
                <w:b/>
                <w:bCs/>
                <w:color w:val="auto"/>
                <w:sz w:val="28"/>
                <w:szCs w:val="28"/>
                <w:highlight w:val="none"/>
              </w:rPr>
              <w:t xml:space="preserve">提交投标文件截止时间（2024年12月24日9：30）前。</w:t>
            </w:r>
            <w:r/>
          </w:p>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auto"/>
                <w:sz w:val="28"/>
                <w:szCs w:val="28"/>
                <w:highlight w:val="none"/>
              </w:rPr>
              <w:t xml:space="preserve">2.投标文件提交与接收地点：投标人应当</w:t>
            </w:r>
            <w:r>
              <w:rPr>
                <w:rFonts w:hint="eastAsia" w:ascii="宋体" w:hAnsi="宋体" w:cs="宋体"/>
                <w:color w:val="000000" w:themeColor="text1"/>
                <w:sz w:val="28"/>
                <w:szCs w:val="28"/>
                <w:highlight w:val="none"/>
                <w14:textFill>
                  <w14:solidFill>
                    <w14:schemeClr w14:val="tx1"/>
                  </w14:solidFill>
                </w14:textFill>
              </w:rPr>
              <w:t xml:space="preserve">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（十）</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电子投标文件应由其法定代表人或法定代表人授权代表在规定的网上投标时间内，凭 CA 证书登录“苏采云”系统在线编制投标文件（电子数据），并在投标截止时间之前上传投标文件。</w:t>
            </w:r>
            <w:r/>
          </w:p>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开标时间及地点：</w:t>
            </w:r>
            <w:r/>
          </w:p>
          <w:p>
            <w:pPr>
              <w:pStyle w:val="790"/>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b/>
                <w:bCs/>
                <w:color w:val="auto"/>
                <w:sz w:val="28"/>
                <w:szCs w:val="28"/>
                <w:highlight w:val="none"/>
              </w:rPr>
              <w:t xml:space="preserve">开标时间：2024年12月24日9：30（标准时间）</w:t>
            </w:r>
            <w:r/>
          </w:p>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二</w:t>
            </w:r>
            <w:r>
              <w:rPr>
                <w:rFonts w:hint="eastAsia" w:ascii="宋体" w:hAnsi="宋体" w:cs="宋体"/>
                <w:color w:val="000000" w:themeColor="text1"/>
                <w:sz w:val="28"/>
                <w:szCs w:val="28"/>
                <w:highlight w:val="none"/>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线上开标时，“苏采云”系统自动提取所有投标文件，投标人按招标文件规定方式按时</w:t>
            </w:r>
            <w:r/>
          </w:p>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在线解密。本项目招标文件规定的投标人按时在线解密方式：开标时间后30分钟内，通过“苏采云”系统（使用“CA数字证书”）解密。</w:t>
            </w:r>
            <w:r/>
          </w:p>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二</w:t>
            </w:r>
            <w:r>
              <w:rPr>
                <w:rFonts w:hint="eastAsia" w:ascii="宋体" w:hAnsi="宋体" w:cs="宋体"/>
                <w:color w:val="000000" w:themeColor="text1"/>
                <w:sz w:val="28"/>
                <w:szCs w:val="28"/>
                <w:highlight w:val="none"/>
                <w:lang w:eastAsia="zh-CN"/>
                <w14:textFill>
                  <w14:solidFill>
                    <w14:schemeClr w14:val="tx1"/>
                  </w14:solidFill>
                </w14:textFill>
              </w:rPr>
              <w:t xml:space="preserve">）</w:t>
            </w:r>
            <w:r/>
          </w:p>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ind w:left="560" w:hanging="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一、推荐中标候选供应商名单。中标候选供应商数量应当根据采购需要确定，但必须按顺序排列中标候选供应商。</w:t>
            </w:r>
            <w:r/>
          </w:p>
          <w:p>
            <w:pPr>
              <w:pStyle w:val="790"/>
              <w:ind w:left="560" w:hanging="56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二、采用综合评分法的，按评审后得分由高到低顺序排列。得分相同的，按投标报价由低到高顺序排列。得分且投标报价相同的，按技术指标优劣得分顺序排列。</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eastAsia="zh-CN"/>
                <w14:textFill>
                  <w14:solidFill>
                    <w14:schemeClr w14:val="tx1"/>
                  </w14:solidFill>
                </w14:textFill>
              </w:rPr>
              <w:t xml:space="preserve">三</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ind w:firstLine="28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eastAsia="zh-CN"/>
                <w14:textFill>
                  <w14:solidFill>
                    <w14:schemeClr w14:val="tx1"/>
                  </w14:solidFill>
                </w14:textFill>
              </w:rPr>
              <w:t xml:space="preserve">二</w:t>
            </w:r>
            <w:r>
              <w:rPr>
                <w:rFonts w:hint="eastAsia" w:ascii="宋体" w:hAnsi="宋体" w:eastAsia="宋体" w:cs="宋体"/>
                <w:color w:val="000000" w:themeColor="text1"/>
                <w:sz w:val="28"/>
                <w:szCs w:val="28"/>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履约保证金缴纳方式、时间及退款具体要求：</w:t>
            </w:r>
            <w:r/>
          </w:p>
          <w:p>
            <w:pPr>
              <w:pStyle w:val="796"/>
              <w:rPr>
                <w:rFonts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sz w:val="28"/>
                <w:szCs w:val="28"/>
                <w:highlight w:val="none"/>
                <w14:textFill>
                  <w14:solidFill>
                    <w14:schemeClr w14:val="tx1"/>
                  </w14:solidFill>
                </w14:textFill>
              </w:rPr>
              <w:t xml:space="preserve">见采购需求</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6"/>
              <w:rPr>
                <w:rFonts w:hAnsi="宋体" w:eastAsia="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14:textFill>
                  <w14:solidFill>
                    <w14:schemeClr w14:val="tx1"/>
                  </w14:solidFill>
                </w14:textFill>
              </w:rPr>
              <w:t xml:space="preserve">供应商在法定质疑期内一次性提出针对同一采购程序环节的质疑。</w:t>
            </w:r>
            <w:r/>
          </w:p>
          <w:p>
            <w:pPr>
              <w:pStyle w:val="790"/>
              <w:spacing w:line="400" w:lineRule="exact"/>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质疑接收人：</w:t>
            </w:r>
            <w:r>
              <w:rPr>
                <w:rFonts w:hint="eastAsia" w:ascii="宋体" w:hAnsi="宋体" w:cs="宋体"/>
                <w:color w:val="000000" w:themeColor="text1"/>
                <w:sz w:val="28"/>
                <w:szCs w:val="28"/>
                <w:highlight w:val="none"/>
                <w:lang w:eastAsia="zh-CN"/>
                <w14:textFill>
                  <w14:solidFill>
                    <w14:schemeClr w14:val="tx1"/>
                  </w14:solidFill>
                </w14:textFill>
              </w:rPr>
              <w:t xml:space="preserve">赵侠</w:t>
            </w:r>
            <w:r>
              <w:rPr>
                <w:rFonts w:hint="eastAsia" w:ascii="宋体" w:hAnsi="宋体" w:cs="宋体"/>
                <w:color w:val="000000" w:themeColor="text1"/>
                <w:sz w:val="28"/>
                <w:szCs w:val="28"/>
                <w:highlight w:val="none"/>
                <w14:textFill>
                  <w14:solidFill>
                    <w14:schemeClr w14:val="tx1"/>
                  </w14:solidFill>
                </w14:textFill>
              </w:rPr>
              <w:t xml:space="preserve"> 联系电话：</w:t>
            </w:r>
            <w:r>
              <w:rPr>
                <w:rFonts w:hint="eastAsia" w:ascii="宋体" w:hAnsi="宋体" w:cs="宋体"/>
                <w:color w:val="000000" w:themeColor="text1"/>
                <w:sz w:val="28"/>
                <w:szCs w:val="28"/>
                <w:highlight w:val="none"/>
                <w:lang w:val="en-US" w:eastAsia="zh-CN"/>
                <w14:textFill>
                  <w14:solidFill>
                    <w14:schemeClr w14:val="tx1"/>
                  </w14:solidFill>
                </w14:textFill>
              </w:rPr>
              <w:t xml:space="preserve">17834668963</w:t>
            </w:r>
            <w:r/>
          </w:p>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办公地址：徐州市鼓楼区复兴北路219-56号</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90"/>
              <w:jc w:val="center"/>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90"/>
              <w:spacing w:line="4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中标人在收到中标通知书时，须向采购代理机构提交《开标一览表》和《分项价格表》的数据文件（WORD格式）。</w:t>
            </w:r>
            <w:r/>
          </w:p>
        </w:tc>
      </w:tr>
    </w:tbl>
    <w:p>
      <w:pPr>
        <w:pStyle w:val="790"/>
        <w:ind w:firstLine="600"/>
        <w:spacing w:line="240" w:lineRule="exact"/>
        <w:widowControl/>
        <w:rPr>
          <w:rFonts w:ascii="宋体" w:hAnsi="宋体" w:cs="宋体"/>
          <w:color w:val="000000" w:themeColor="text1"/>
          <w:sz w:val="30"/>
          <w:szCs w:val="30"/>
          <w:highlight w:val="none"/>
          <w14:textFill>
            <w14:solidFill>
              <w14:schemeClr w14:val="tx1"/>
            </w14:solidFill>
          </w14:textFill>
        </w:rPr>
      </w:pPr>
      <w:r/>
      <w:bookmarkStart w:id="8" w:name="_Toc522790133"/>
      <w:r/>
      <w:r/>
    </w:p>
    <w:p>
      <w:pPr>
        <w:pStyle w:val="790"/>
        <w:ind w:firstLine="600"/>
        <w:spacing w:line="520" w:lineRule="exact"/>
        <w:widowControl/>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br w:type="page" w:clear="all"/>
      </w:r>
      <w:bookmarkStart w:id="9" w:name="_Toc523404698"/>
      <w:r>
        <w:rPr>
          <w:rFonts w:hint="eastAsia" w:ascii="宋体" w:hAnsi="宋体" w:cs="宋体"/>
          <w:color w:val="000000" w:themeColor="text1"/>
          <w:sz w:val="30"/>
          <w:szCs w:val="30"/>
          <w:highlight w:val="none"/>
          <w14:textFill>
            <w14:solidFill>
              <w14:schemeClr w14:val="tx1"/>
            </w14:solidFill>
          </w14:textFill>
        </w:rPr>
        <w:t xml:space="preserve">本章附件：</w:t>
      </w:r>
      <w:r>
        <w:rPr>
          <w:rFonts w:hint="eastAsia" w:ascii="宋体" w:hAnsi="宋体" w:cs="宋体"/>
          <w:b/>
          <w:color w:val="000000" w:themeColor="text1"/>
          <w:sz w:val="30"/>
          <w:szCs w:val="30"/>
          <w:highlight w:val="none"/>
          <w14:textFill>
            <w14:solidFill>
              <w14:schemeClr w14:val="tx1"/>
            </w14:solidFill>
          </w14:textFill>
        </w:rPr>
        <w:t xml:space="preserve">招标代理服务收费标准</w:t>
      </w:r>
      <w:r/>
    </w:p>
    <w:tbl>
      <w:tblPr>
        <w:tblStyle w:val="718"/>
        <w:tblW w:w="830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Borders>
              <w:top w:val="single" w:color="auto" w:sz="4" w:space="0"/>
            </w:tcBorders>
            <w:tcW w:w="2447"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中标金额</w:t>
            </w:r>
            <w:r/>
          </w:p>
        </w:tc>
        <w:tc>
          <w:tcPr>
            <w:tcBorders>
              <w:top w:val="single" w:color="auto" w:sz="4" w:space="0"/>
            </w:tcBorders>
            <w:tcW w:w="1320"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货物</w:t>
            </w:r>
            <w:r/>
          </w:p>
        </w:tc>
        <w:tc>
          <w:tcPr>
            <w:tcBorders>
              <w:top w:val="single" w:color="auto" w:sz="4" w:space="0"/>
            </w:tcBorders>
            <w:tcW w:w="1260"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服务</w:t>
            </w:r>
            <w:r/>
          </w:p>
        </w:tc>
        <w:tc>
          <w:tcPr>
            <w:tcBorders>
              <w:top w:val="single" w:color="auto" w:sz="4" w:space="0"/>
            </w:tcBorders>
            <w:tcW w:w="1311"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工程</w:t>
            </w:r>
            <w:r/>
          </w:p>
        </w:tc>
        <w:tc>
          <w:tcPr>
            <w:tcBorders>
              <w:top w:val="single" w:color="auto" w:sz="4" w:space="0"/>
            </w:tcBorders>
            <w:tcW w:w="1971"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收费上下限</w:t>
            </w:r>
            <w:r/>
          </w:p>
        </w:tc>
      </w:tr>
      <w:tr>
        <w:trPr>
          <w:jc w:val="center"/>
          <w:trHeight w:val="240"/>
        </w:trPr>
        <w:tc>
          <w:tcPr>
            <w:tcW w:w="2447"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100万以下</w:t>
            </w:r>
            <w:r/>
          </w:p>
        </w:tc>
        <w:tc>
          <w:tcPr>
            <w:tcW w:w="1320"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1.50%</w:t>
            </w:r>
            <w:r/>
          </w:p>
        </w:tc>
        <w:tc>
          <w:tcPr>
            <w:tcW w:w="1260"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1.50%</w:t>
            </w:r>
            <w:r/>
          </w:p>
        </w:tc>
        <w:tc>
          <w:tcPr>
            <w:tcW w:w="1311"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1.00%</w:t>
            </w:r>
            <w:r/>
          </w:p>
        </w:tc>
        <w:tc>
          <w:tcPr>
            <w:tcW w:w="1971" w:type="dxa"/>
            <w:vAlign w:val="center"/>
            <w:vMerge w:val="restart"/>
            <w:textDirection w:val="lrTb"/>
            <w:noWrap w:val="false"/>
          </w:tcPr>
          <w:p>
            <w:pP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最低5千元</w:t>
            </w:r>
            <w:r/>
          </w:p>
          <w:p>
            <w:pP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最高15万元</w:t>
            </w:r>
            <w:r/>
          </w:p>
          <w:p>
            <w:pPr>
              <w:ind w:firstLine="280"/>
              <w:spacing w:line="6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6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jc w:val="center"/>
          <w:trHeight w:val="240"/>
        </w:trPr>
        <w:tc>
          <w:tcPr>
            <w:tcW w:w="2447"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100万～500万</w:t>
            </w:r>
            <w:r/>
          </w:p>
        </w:tc>
        <w:tc>
          <w:tcPr>
            <w:tcW w:w="1320"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1.10%</w:t>
            </w:r>
            <w:r/>
          </w:p>
        </w:tc>
        <w:tc>
          <w:tcPr>
            <w:tcW w:w="1260"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0.80%</w:t>
            </w:r>
            <w:r/>
          </w:p>
        </w:tc>
        <w:tc>
          <w:tcPr>
            <w:tcW w:w="1311"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0.70%</w:t>
            </w:r>
            <w:r/>
          </w:p>
        </w:tc>
        <w:tc>
          <w:tcPr>
            <w:tcW w:w="1971" w:type="dxa"/>
            <w:vAlign w:val="center"/>
            <w:vMerge w:val="continue"/>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jc w:val="center"/>
          <w:trHeight w:val="240"/>
        </w:trPr>
        <w:tc>
          <w:tcPr>
            <w:tcW w:w="2447"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500万～1000万</w:t>
            </w:r>
            <w:r/>
          </w:p>
        </w:tc>
        <w:tc>
          <w:tcPr>
            <w:tcW w:w="1320"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0.80%</w:t>
            </w:r>
            <w:r/>
          </w:p>
        </w:tc>
        <w:tc>
          <w:tcPr>
            <w:tcW w:w="1260"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0.45%</w:t>
            </w:r>
            <w:r/>
          </w:p>
        </w:tc>
        <w:tc>
          <w:tcPr>
            <w:tcW w:w="1311"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0.55%</w:t>
            </w:r>
            <w:r/>
          </w:p>
        </w:tc>
        <w:tc>
          <w:tcPr>
            <w:tcW w:w="1971" w:type="dxa"/>
            <w:vAlign w:val="center"/>
            <w:vMerge w:val="continue"/>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jc w:val="center"/>
          <w:trHeight w:val="480"/>
        </w:trPr>
        <w:tc>
          <w:tcPr>
            <w:tcW w:w="2447"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l000万～5000万</w:t>
            </w:r>
            <w:r/>
          </w:p>
        </w:tc>
        <w:tc>
          <w:tcPr>
            <w:tcW w:w="1320"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0.50%</w:t>
            </w:r>
            <w:r/>
          </w:p>
        </w:tc>
        <w:tc>
          <w:tcPr>
            <w:tcW w:w="1260"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0.25%</w:t>
            </w:r>
            <w:r/>
          </w:p>
        </w:tc>
        <w:tc>
          <w:tcPr>
            <w:tcW w:w="1311"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0.35%</w:t>
            </w:r>
            <w:r/>
          </w:p>
        </w:tc>
        <w:tc>
          <w:tcPr>
            <w:tcW w:w="1971" w:type="dxa"/>
            <w:vAlign w:val="center"/>
            <w:vMerge w:val="continue"/>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jc w:val="center"/>
          <w:trHeight w:val="480"/>
        </w:trPr>
        <w:tc>
          <w:tcPr>
            <w:tcW w:w="2447"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5000万～l亿</w:t>
            </w:r>
            <w:r/>
          </w:p>
        </w:tc>
        <w:tc>
          <w:tcPr>
            <w:tcW w:w="1320"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0.25%</w:t>
            </w:r>
            <w:r/>
          </w:p>
        </w:tc>
        <w:tc>
          <w:tcPr>
            <w:tcW w:w="1260"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0.10%</w:t>
            </w:r>
            <w:r/>
          </w:p>
        </w:tc>
        <w:tc>
          <w:tcPr>
            <w:tcW w:w="1311"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0.20%</w:t>
            </w:r>
            <w:r/>
          </w:p>
        </w:tc>
        <w:tc>
          <w:tcPr>
            <w:tcW w:w="1971" w:type="dxa"/>
            <w:vAlign w:val="center"/>
            <w:vMerge w:val="continue"/>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jc w:val="center"/>
          <w:trHeight w:val="480"/>
        </w:trPr>
        <w:tc>
          <w:tcPr>
            <w:tcW w:w="2447"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1亿～5亿</w:t>
            </w:r>
            <w:r/>
          </w:p>
        </w:tc>
        <w:tc>
          <w:tcPr>
            <w:tcW w:w="1320"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0.05%</w:t>
            </w:r>
            <w:r/>
          </w:p>
        </w:tc>
        <w:tc>
          <w:tcPr>
            <w:tcW w:w="1260"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0.05%</w:t>
            </w:r>
            <w:r/>
          </w:p>
        </w:tc>
        <w:tc>
          <w:tcPr>
            <w:tcW w:w="1311"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0.05%</w:t>
            </w:r>
            <w:r/>
          </w:p>
        </w:tc>
        <w:tc>
          <w:tcPr>
            <w:tcW w:w="1971" w:type="dxa"/>
            <w:vAlign w:val="center"/>
            <w:vMerge w:val="continue"/>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jc w:val="center"/>
          <w:trHeight w:val="480"/>
        </w:trPr>
        <w:tc>
          <w:tcPr>
            <w:tcW w:w="2447"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5亿～10亿</w:t>
            </w:r>
            <w:r/>
          </w:p>
        </w:tc>
        <w:tc>
          <w:tcPr>
            <w:tcW w:w="1320"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0.035%</w:t>
            </w:r>
            <w:r/>
          </w:p>
        </w:tc>
        <w:tc>
          <w:tcPr>
            <w:tcW w:w="1260"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0.035%</w:t>
            </w:r>
            <w:r/>
          </w:p>
        </w:tc>
        <w:tc>
          <w:tcPr>
            <w:tcW w:w="1311"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0.035%</w:t>
            </w:r>
            <w:r/>
          </w:p>
        </w:tc>
        <w:tc>
          <w:tcPr>
            <w:tcW w:w="1971" w:type="dxa"/>
            <w:vAlign w:val="center"/>
            <w:vMerge w:val="continue"/>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jc w:val="center"/>
          <w:trHeight w:val="480"/>
        </w:trPr>
        <w:tc>
          <w:tcPr>
            <w:tcW w:w="2447"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10亿～50亿</w:t>
            </w:r>
            <w:r/>
          </w:p>
        </w:tc>
        <w:tc>
          <w:tcPr>
            <w:tcW w:w="1320"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0.008%</w:t>
            </w:r>
            <w:r/>
          </w:p>
        </w:tc>
        <w:tc>
          <w:tcPr>
            <w:tcW w:w="1260"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0.008%</w:t>
            </w:r>
            <w:r/>
          </w:p>
        </w:tc>
        <w:tc>
          <w:tcPr>
            <w:tcW w:w="1311"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0.008%</w:t>
            </w:r>
            <w:r/>
          </w:p>
        </w:tc>
        <w:tc>
          <w:tcPr>
            <w:tcW w:w="1971" w:type="dxa"/>
            <w:vAlign w:val="center"/>
            <w:vMerge w:val="continue"/>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jc w:val="center"/>
          <w:trHeight w:val="480"/>
        </w:trPr>
        <w:tc>
          <w:tcPr>
            <w:tcW w:w="2447"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50亿以上</w:t>
            </w:r>
            <w:r/>
          </w:p>
        </w:tc>
        <w:tc>
          <w:tcPr>
            <w:tcW w:w="1320"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0.006%</w:t>
            </w:r>
            <w:r/>
          </w:p>
        </w:tc>
        <w:tc>
          <w:tcPr>
            <w:tcW w:w="1260"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0.006%</w:t>
            </w:r>
            <w:r/>
          </w:p>
        </w:tc>
        <w:tc>
          <w:tcPr>
            <w:tcW w:w="1311" w:type="dxa"/>
            <w:vAlign w:val="center"/>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0.006%</w:t>
            </w:r>
            <w:r/>
          </w:p>
        </w:tc>
        <w:tc>
          <w:tcPr>
            <w:tcW w:w="1971" w:type="dxa"/>
            <w:vAlign w:val="center"/>
            <w:vMerge w:val="continue"/>
            <w:textDirection w:val="lrTb"/>
            <w:noWrap w:val="false"/>
          </w:tcPr>
          <w:p>
            <w:pPr>
              <w:jc w:val="center"/>
              <w:spacing w:line="60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bl>
    <w:p>
      <w:pPr>
        <w:pStyle w:val="790"/>
        <w:ind w:firstLine="630"/>
        <w:spacing w:line="4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说明：</w:t>
      </w:r>
      <w:r/>
    </w:p>
    <w:p>
      <w:pPr>
        <w:pStyle w:val="790"/>
        <w:ind w:firstLine="630"/>
        <w:spacing w:line="42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1.按上表计算的收费为代理服务全过程的收费金额。</w:t>
      </w:r>
      <w:r>
        <w:rPr>
          <w:rFonts w:hint="eastAsia" w:ascii="宋体" w:hAnsi="宋体" w:eastAsia="宋体" w:cs="宋体"/>
          <w:color w:val="000000" w:themeColor="text1"/>
          <w:sz w:val="28"/>
          <w:szCs w:val="28"/>
          <w:highlight w:val="none"/>
          <w14:textFill>
            <w14:solidFill>
              <w14:schemeClr w14:val="tx1"/>
            </w14:solidFill>
          </w14:textFill>
        </w:rPr>
        <w:t xml:space="preserve">各社会代理机构不另外收取采购文件制作售卖费用。</w:t>
      </w:r>
      <w:r/>
    </w:p>
    <w:p>
      <w:pPr>
        <w:pStyle w:val="790"/>
        <w:ind w:firstLine="630"/>
        <w:spacing w:line="4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2.代理服务费按差额定率累进法计算。</w:t>
      </w:r>
      <w:r/>
    </w:p>
    <w:p>
      <w:pPr>
        <w:pStyle w:val="790"/>
        <w:ind w:firstLine="630"/>
        <w:spacing w:line="4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3.代理服务费基准金额（按差额定率累进法计算的）=中标金额（按差额定率累进法计算的） * 费率（80%）</w:t>
      </w:r>
      <w:r/>
    </w:p>
    <w:p>
      <w:pPr>
        <w:pStyle w:val="790"/>
        <w:ind w:firstLine="630"/>
        <w:spacing w:line="4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4.代理服务费应收取金额=代理服务费基准金额（按差额定率累进法计算的）的合计数。</w:t>
      </w:r>
      <w:r/>
    </w:p>
    <w:p>
      <w:pPr>
        <w:pStyle w:val="790"/>
        <w:ind w:firstLine="630"/>
        <w:spacing w:line="4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5.计算出的代理服务费应收取金额如低于5千元，按5千元收取；如高于15万元，按15万元收取。</w:t>
      </w:r>
      <w:r/>
    </w:p>
    <w:p>
      <w:pPr>
        <w:pStyle w:val="790"/>
        <w:ind w:firstLine="630"/>
        <w:spacing w:line="4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6.定点类等无金额或事先不能计算出价格总额的项目，按中标（成交）金额100万元计算服务费。</w:t>
      </w:r>
      <w:r/>
    </w:p>
    <w:p>
      <w:pPr>
        <w:pStyle w:val="790"/>
        <w:ind w:firstLine="630"/>
        <w:spacing w:line="4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7.多个采购包（标段）项目按总项目中标（成交）金额收费，最高不超过15万元。</w:t>
      </w:r>
      <w:r/>
    </w:p>
    <w:p>
      <w:pPr>
        <w:pStyle w:val="790"/>
        <w:ind w:firstLine="630"/>
        <w:spacing w:line="4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8.以上价格为协会指导价，具体价格双方可协商确定。</w:t>
      </w:r>
      <w:r/>
    </w:p>
    <w:p>
      <w:pPr>
        <w:pStyle w:val="790"/>
        <w:ind w:firstLine="630"/>
        <w:spacing w:line="4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9.账户信息：</w:t>
      </w:r>
      <w:r/>
    </w:p>
    <w:p>
      <w:pPr>
        <w:pStyle w:val="790"/>
        <w:ind w:firstLine="630"/>
        <w:spacing w:line="4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收款人：江苏九天招标管理有限公司</w:t>
      </w:r>
      <w:r/>
    </w:p>
    <w:p>
      <w:pPr>
        <w:pStyle w:val="790"/>
        <w:ind w:firstLine="630"/>
        <w:spacing w:line="4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开户银行：江苏银行徐州彭城支行</w:t>
      </w:r>
      <w:r/>
    </w:p>
    <w:p>
      <w:pPr>
        <w:pStyle w:val="790"/>
        <w:ind w:firstLine="630"/>
        <w:spacing w:line="42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账号：60060188000363628</w:t>
      </w:r>
      <w:r>
        <w:rPr>
          <w:rFonts w:hint="eastAsia" w:ascii="宋体" w:hAnsi="宋体" w:cs="宋体"/>
          <w:color w:val="000000" w:themeColor="text1"/>
          <w:highlight w:val="none"/>
          <w14:textFill>
            <w14:solidFill>
              <w14:schemeClr w14:val="tx1"/>
            </w14:solidFill>
          </w14:textFill>
        </w:rPr>
        <w:t xml:space="preserve"> </w:t>
      </w:r>
      <w:r/>
    </w:p>
    <w:p>
      <w:pPr>
        <w:pStyle w:val="790"/>
        <w:ind w:firstLine="630"/>
        <w:spacing w:line="420" w:lineRule="exact"/>
        <w:rPr>
          <w:rFonts w:ascii="宋体" w:hAnsi="宋体" w:cs="宋体"/>
          <w:color w:val="000000" w:themeColor="text1"/>
          <w:highlight w:val="none"/>
          <w14:textFill>
            <w14:solidFill>
              <w14:schemeClr w14:val="tx1"/>
            </w14:solidFill>
          </w14:textFill>
        </w:rPr>
        <w:sectPr>
          <w:footerReference w:type="default" r:id="rId10"/>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color w:val="000000" w:themeColor="text1"/>
          <w:sz w:val="28"/>
          <w:szCs w:val="28"/>
          <w:highlight w:val="none"/>
          <w14:textFill>
            <w14:solidFill>
              <w14:schemeClr w14:val="tx1"/>
            </w14:solidFill>
          </w14:textFill>
        </w:rPr>
        <w:t xml:space="preserve">中标人中标后应在中标（成交）公告发布之日起3个工作日内将中标代理服务费（金额按照招标文件“代理服务费收取标准”执行）通过网银、电汇、转账等方式汇入江苏九天招标管理有限公司账户。（账户名称、开户行、账号详见“代理服务费收取标准”最后），中标（成交）公告发布后7个工作日内，持银行汇款凭据或回单截图到江苏九天招标管理有限公司领取中标（成交）通知书，中标人在领取中标通知书的同时，需向代理机构提供投标文件正本纸质文件两本。逾期不予汇款的，视同自动放弃中标（成交）资格。</w:t>
      </w:r>
      <w:bookmarkEnd w:id="8"/>
      <w:r/>
      <w:bookmarkEnd w:id="9"/>
      <w:r/>
      <w:r/>
    </w:p>
    <w:p>
      <w:pPr>
        <w:pStyle w:val="708"/>
        <w:numPr>
          <w:ilvl w:val="0"/>
          <w:numId w:val="1"/>
        </w:numPr>
        <w:jc w:val="center"/>
        <w:spacing w:before="0" w:after="0"/>
        <w:rPr>
          <w:rFonts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 评标标准</w:t>
      </w:r>
      <w:r/>
    </w:p>
    <w:tbl>
      <w:tblPr>
        <w:tblStyle w:val="747"/>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1244"/>
        <w:gridCol w:w="7256"/>
      </w:tblGrid>
      <w:tr>
        <w:trPr>
          <w:trHeight w:val="494"/>
        </w:trPr>
        <w:tc>
          <w:tcPr>
            <w:gridSpan w:val="2"/>
            <w:tcMar>
              <w:left w:w="108" w:type="dxa"/>
              <w:top w:w="0" w:type="dxa"/>
              <w:right w:w="108" w:type="dxa"/>
              <w:bottom w:w="0" w:type="dxa"/>
            </w:tcMar>
            <w:tcW w:w="198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项目</w:t>
            </w:r>
            <w:r/>
          </w:p>
        </w:tc>
        <w:tc>
          <w:tcPr>
            <w:tcMar>
              <w:left w:w="108" w:type="dxa"/>
              <w:top w:w="0" w:type="dxa"/>
              <w:right w:w="108" w:type="dxa"/>
              <w:bottom w:w="0" w:type="dxa"/>
            </w:tcMar>
            <w:tcW w:w="725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评分标准及细则</w:t>
            </w:r>
            <w:r/>
          </w:p>
        </w:tc>
      </w:tr>
      <w:tr>
        <w:trPr>
          <w:trHeight w:val="1018"/>
        </w:trPr>
        <w:tc>
          <w:tcPr>
            <w:gridSpan w:val="2"/>
            <w:tcMar>
              <w:left w:w="108" w:type="dxa"/>
              <w:top w:w="0" w:type="dxa"/>
              <w:right w:w="108" w:type="dxa"/>
              <w:bottom w:w="0" w:type="dxa"/>
            </w:tcMar>
            <w:tcW w:w="1986"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价格</w:t>
            </w:r>
            <w:r/>
          </w:p>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（10分）</w:t>
            </w:r>
            <w:r/>
          </w:p>
        </w:tc>
        <w:tc>
          <w:tcPr>
            <w:tcMar>
              <w:left w:w="108" w:type="dxa"/>
              <w:top w:w="0" w:type="dxa"/>
              <w:right w:w="108" w:type="dxa"/>
              <w:bottom w:w="0" w:type="dxa"/>
            </w:tcMar>
            <w:tcW w:w="7256"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采用低价优先法计算，即满足</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文件要求且</w:t>
            </w:r>
            <w:r>
              <w:rPr>
                <w:rFonts w:hint="eastAsia" w:ascii="宋体" w:hAnsi="宋体" w:eastAsia="宋体" w:cs="宋体"/>
                <w:color w:val="auto"/>
                <w:sz w:val="24"/>
                <w:szCs w:val="24"/>
                <w:highlight w:val="none"/>
                <w:lang w:val="en-US" w:eastAsia="zh-CN"/>
              </w:rPr>
              <w:t xml:space="preserve">有效</w:t>
            </w:r>
            <w:r>
              <w:rPr>
                <w:rFonts w:hint="eastAsia" w:ascii="宋体" w:hAnsi="宋体" w:eastAsia="宋体" w:cs="宋体"/>
                <w:color w:val="auto"/>
                <w:sz w:val="24"/>
                <w:szCs w:val="24"/>
                <w:highlight w:val="none"/>
              </w:rPr>
              <w:t xml:space="preserve">报价最低的供应商的价格为基准价，其价格分为满分。其他供应商的价格分统一按照下列公式计算：</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报价得分=（基准价/</w:t>
            </w:r>
            <w:r>
              <w:rPr>
                <w:rFonts w:hint="eastAsia" w:ascii="宋体" w:hAnsi="宋体" w:eastAsia="宋体" w:cs="宋体"/>
                <w:color w:val="auto"/>
                <w:sz w:val="24"/>
                <w:szCs w:val="24"/>
                <w:highlight w:val="none"/>
                <w:lang w:val="en-US" w:eastAsia="zh-CN"/>
              </w:rPr>
              <w:t xml:space="preserve">有效</w:t>
            </w:r>
            <w:r>
              <w:rPr>
                <w:rFonts w:hint="eastAsia" w:ascii="宋体" w:hAnsi="宋体" w:eastAsia="宋体" w:cs="宋体"/>
                <w:color w:val="auto"/>
                <w:sz w:val="24"/>
                <w:szCs w:val="24"/>
                <w:highlight w:val="none"/>
              </w:rPr>
              <w:t xml:space="preserve">报价）×10。</w:t>
            </w:r>
            <w:r/>
          </w:p>
        </w:tc>
      </w:tr>
      <w:tr>
        <w:trPr>
          <w:trHeight w:val="640"/>
        </w:trPr>
        <w:tc>
          <w:tcPr>
            <w:gridSpan w:val="2"/>
            <w:tcMar>
              <w:left w:w="108" w:type="dxa"/>
              <w:top w:w="0" w:type="dxa"/>
              <w:right w:w="108" w:type="dxa"/>
              <w:bottom w:w="0" w:type="dxa"/>
            </w:tcMar>
            <w:tcW w:w="1986"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供应商业绩（4分）</w:t>
            </w:r>
            <w:r/>
          </w:p>
        </w:tc>
        <w:tc>
          <w:tcPr>
            <w:tcMar>
              <w:left w:w="108" w:type="dxa"/>
              <w:top w:w="0" w:type="dxa"/>
              <w:right w:w="108" w:type="dxa"/>
              <w:bottom w:w="0" w:type="dxa"/>
            </w:tcMar>
            <w:tcW w:w="7256" w:type="dxa"/>
            <w:vAlign w:val="center"/>
            <w:textDirection w:val="lrTb"/>
            <w:noWrap w:val="false"/>
          </w:tcPr>
          <w:p>
            <w:pPr>
              <w:spacing w:before="210"/>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响应文件中提供供应商为乙方，合同签订日期在2021年11月1日后，合同内容为城市河道养护或河道闸站看护或绿地（化）养护或公园养护的，每提供1份得2分，本项最高得4分。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响应文件中提供业绩合同</w:t>
            </w:r>
            <w:r>
              <w:rPr>
                <w:rFonts w:hint="eastAsia" w:ascii="宋体" w:hAnsi="宋体" w:cs="宋体"/>
                <w:b/>
                <w:color w:val="auto"/>
                <w:sz w:val="24"/>
                <w:szCs w:val="24"/>
                <w:highlight w:val="none"/>
                <w:lang w:eastAsia="zh-CN"/>
              </w:rPr>
              <w:t xml:space="preserve">原件</w:t>
            </w:r>
            <w:r>
              <w:rPr>
                <w:rFonts w:hint="eastAsia" w:ascii="宋体" w:hAnsi="宋体" w:cs="宋体"/>
                <w:b/>
                <w:color w:val="auto"/>
                <w:sz w:val="24"/>
                <w:szCs w:val="24"/>
                <w:highlight w:val="none"/>
              </w:rPr>
              <w:t xml:space="preserve">扫描件加盖供应商电子签章。中标后须提供原件核查。</w:t>
            </w:r>
            <w:r/>
          </w:p>
        </w:tc>
      </w:tr>
      <w:tr>
        <w:trPr>
          <w:trHeight w:val="640"/>
        </w:trPr>
        <w:tc>
          <w:tcPr>
            <w:gridSpan w:val="2"/>
            <w:tcMar>
              <w:left w:w="108" w:type="dxa"/>
              <w:top w:w="0" w:type="dxa"/>
              <w:right w:w="108" w:type="dxa"/>
              <w:bottom w:w="0" w:type="dxa"/>
            </w:tcMar>
            <w:tcW w:w="1986"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供应商评价（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7256"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响应文件中提供供应商有效期内的质量体系认证书、职业健康体系认证书、环境体系认证书的，每提供一个得1分，本项最高得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响应文件中</w:t>
            </w:r>
            <w:r>
              <w:rPr>
                <w:rFonts w:hint="eastAsia" w:ascii="宋体" w:hAnsi="宋体" w:eastAsia="宋体" w:cs="宋体"/>
                <w:b/>
                <w:bCs/>
                <w:color w:val="auto"/>
                <w:sz w:val="24"/>
                <w:szCs w:val="24"/>
                <w:highlight w:val="none"/>
                <w:lang w:eastAsia="zh-CN"/>
              </w:rPr>
              <w:t xml:space="preserve">需提供原件</w:t>
            </w:r>
            <w:r>
              <w:rPr>
                <w:rFonts w:hint="eastAsia" w:ascii="宋体" w:hAnsi="宋体" w:eastAsia="宋体" w:cs="宋体"/>
                <w:b/>
                <w:bCs/>
                <w:color w:val="auto"/>
                <w:sz w:val="24"/>
                <w:szCs w:val="24"/>
                <w:highlight w:val="none"/>
              </w:rPr>
              <w:t xml:space="preserve">扫描件加盖供应商电子签章。中标后须提供原件核查。</w:t>
            </w:r>
            <w:r/>
          </w:p>
        </w:tc>
      </w:tr>
      <w:tr>
        <w:trPr>
          <w:trHeight w:val="909"/>
        </w:trPr>
        <w:tc>
          <w:tcPr>
            <w:tcMar>
              <w:left w:w="108" w:type="dxa"/>
              <w:top w:w="0" w:type="dxa"/>
              <w:right w:w="108" w:type="dxa"/>
              <w:bottom w:w="0" w:type="dxa"/>
            </w:tcMar>
            <w:tcW w:w="742" w:type="dxa"/>
            <w:vAlign w:val="center"/>
            <w:vMerge w:val="restart"/>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养护管理组织实施方案（8</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1244"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养护管理总体部署（10分）</w:t>
            </w:r>
            <w:r/>
          </w:p>
        </w:tc>
        <w:tc>
          <w:tcPr>
            <w:tcMar>
              <w:left w:w="108" w:type="dxa"/>
              <w:top w:w="0" w:type="dxa"/>
              <w:right w:w="108" w:type="dxa"/>
              <w:bottom w:w="0" w:type="dxa"/>
            </w:tcMar>
            <w:tcW w:w="7256"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(1)内容完整，科学合理，详细具体，符合采购包特点，针对性强的得10分；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(2)内容较完整，较合理，针对性一般的得7分；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(3)内容欠完整，合理性一般，缺乏针对性的得3分；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(4)无具体内容，该项得0分。</w:t>
            </w:r>
            <w:r/>
          </w:p>
        </w:tc>
      </w:tr>
      <w:tr>
        <w:trPr>
          <w:trHeight w:val="909"/>
        </w:trPr>
        <w:tc>
          <w:tcPr>
            <w:tcW w:w="742"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44"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组织机构设置（</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7256"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(1)机构设置科学合理，符合采购包特点，针对性强的得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(2)机构设置较合理，针对性一般的得3分；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(3)机构设置不合理，缺乏针对性的得1分；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(4)无组织机构设置，该项得0分。</w:t>
            </w:r>
            <w:r/>
          </w:p>
        </w:tc>
      </w:tr>
      <w:tr>
        <w:trPr>
          <w:trHeight w:val="909"/>
        </w:trPr>
        <w:tc>
          <w:tcPr>
            <w:tcW w:w="742"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44"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人员投入</w:t>
            </w:r>
            <w:r/>
          </w:p>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（10分）</w:t>
            </w:r>
            <w:r/>
          </w:p>
        </w:tc>
        <w:tc>
          <w:tcPr>
            <w:tcMar>
              <w:left w:w="108" w:type="dxa"/>
              <w:top w:w="0" w:type="dxa"/>
              <w:right w:w="108" w:type="dxa"/>
              <w:bottom w:w="0" w:type="dxa"/>
            </w:tcMar>
            <w:tcW w:w="7256"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(1)人员配置、岗点设置合理，满足甲方要求，人员管理制度完善，能根据不同季节和情况合理安排人员，针对性较强的得10分；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(2)人员配置和岗点设置基本合理，人员管理制度内容一般，不同季节和情况下人员安排针对性不强的得7分；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(3)人员配置和岗点设置不合理，人员管理制度内容一般，不同季节和情况下人员安排无针对性的得3分；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(4)无具体内容的，该项得0分。</w:t>
            </w:r>
            <w:r/>
          </w:p>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必须</w:t>
            </w:r>
            <w:r>
              <w:rPr>
                <w:rFonts w:hint="eastAsia" w:ascii="宋体" w:hAnsi="宋体" w:eastAsia="宋体" w:cs="宋体"/>
                <w:color w:val="auto"/>
                <w:sz w:val="24"/>
                <w:szCs w:val="24"/>
                <w:highlight w:val="none"/>
                <w:lang w:eastAsia="zh-CN"/>
              </w:rPr>
              <w:t xml:space="preserve">附</w:t>
            </w:r>
            <w:r>
              <w:rPr>
                <w:rFonts w:hint="eastAsia" w:ascii="宋体" w:hAnsi="宋体" w:eastAsia="宋体" w:cs="宋体"/>
                <w:color w:val="auto"/>
                <w:sz w:val="24"/>
                <w:szCs w:val="24"/>
                <w:highlight w:val="none"/>
              </w:rPr>
              <w:t xml:space="preserve">项目负责人简历表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投标人对“人员配备”的承诺</w:t>
            </w:r>
            <w:r>
              <w:rPr>
                <w:rFonts w:hint="eastAsia" w:ascii="宋体" w:hAnsi="宋体" w:cs="宋体"/>
                <w:color w:val="auto"/>
                <w:sz w:val="24"/>
                <w:szCs w:val="24"/>
                <w:highlight w:val="none"/>
                <w:lang w:eastAsia="zh-CN"/>
              </w:rPr>
              <w:t xml:space="preserve">及投标人对“养护管理设备配置”的承诺，格式详见第七章投标文件相关格式，本项没有不得分。</w:t>
            </w:r>
            <w:r/>
          </w:p>
        </w:tc>
      </w:tr>
      <w:tr>
        <w:trPr>
          <w:trHeight w:val="285"/>
        </w:trPr>
        <w:tc>
          <w:tcPr>
            <w:tcW w:w="742"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44"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管理方案（15分）</w:t>
            </w:r>
            <w:r/>
          </w:p>
        </w:tc>
        <w:tc>
          <w:tcPr>
            <w:tcMar>
              <w:left w:w="108" w:type="dxa"/>
              <w:top w:w="0" w:type="dxa"/>
              <w:right w:w="108" w:type="dxa"/>
              <w:bottom w:w="0" w:type="dxa"/>
            </w:tcMar>
            <w:tcW w:w="7256"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w:t>
            </w:r>
            <w:r>
              <w:rPr>
                <w:rFonts w:hint="eastAsia" w:ascii="宋体" w:hAnsi="宋体" w:eastAsia="宋体" w:cs="宋体"/>
                <w:color w:val="auto"/>
                <w:sz w:val="24"/>
                <w:szCs w:val="24"/>
                <w:highlight w:val="none"/>
              </w:rPr>
              <w:t xml:space="preserve">1)目标明确，管理工作程序规范，自查体系完善、反馈渠道畅通、整改保障措施到位，针对性较强的得15分；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(2)目标不明确，有管理工作程序、自查体系、反馈渠道、整改保障措施，但针对性不强的得10分；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(3)无管理目标，管理工作程序一般，无针对性的得5分；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(4)无具体内容的，该项得0分。</w:t>
            </w:r>
            <w:r/>
          </w:p>
          <w:p>
            <w:pPr>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供应商须在</w:t>
            </w:r>
            <w:r>
              <w:rPr>
                <w:rFonts w:hint="eastAsia" w:ascii="宋体" w:hAnsi="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文件中承诺中标（成交）后在水源地附近建立固定办公地点（不少于50平米）</w:t>
            </w:r>
            <w:r>
              <w:rPr>
                <w:rFonts w:hint="eastAsia" w:ascii="宋体" w:hAnsi="宋体" w:cs="宋体"/>
                <w:color w:val="auto"/>
                <w:sz w:val="24"/>
                <w:szCs w:val="24"/>
                <w:highlight w:val="none"/>
                <w:lang w:eastAsia="zh-CN"/>
              </w:rPr>
              <w:t xml:space="preserve">，格式自拟，本项没有不得分。</w:t>
            </w:r>
            <w:r/>
          </w:p>
        </w:tc>
      </w:tr>
      <w:tr>
        <w:trPr>
          <w:trHeight w:val="90"/>
        </w:trPr>
        <w:tc>
          <w:tcPr>
            <w:tcW w:w="742"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44"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质量管理措施及承诺（15分）</w:t>
            </w:r>
            <w:r/>
          </w:p>
        </w:tc>
        <w:tc>
          <w:tcPr>
            <w:tcMar>
              <w:left w:w="108" w:type="dxa"/>
              <w:top w:w="0" w:type="dxa"/>
              <w:right w:w="108" w:type="dxa"/>
              <w:bottom w:w="0" w:type="dxa"/>
            </w:tcMar>
            <w:tcW w:w="7256"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(1)目标明确，河道坡面、水面养护严格按照徐政办发【2014】79号文中中A级河道养护质量标准；涵养林、水生植物、景观绿地按照</w:t>
            </w:r>
            <w:r>
              <w:rPr>
                <w:rFonts w:hint="eastAsia" w:ascii="宋体" w:hAnsi="宋体" w:cs="宋体"/>
                <w:color w:val="auto"/>
                <w:sz w:val="24"/>
                <w:szCs w:val="24"/>
                <w:highlight w:val="none"/>
                <w:lang w:eastAsia="zh-CN"/>
              </w:rPr>
              <w:t xml:space="preserve">最新DB 3203/502-2008《园林绿化养护管理规范》</w:t>
            </w:r>
            <w:r>
              <w:rPr>
                <w:rFonts w:hint="eastAsia" w:ascii="宋体" w:hAnsi="宋体" w:eastAsia="宋体" w:cs="宋体"/>
                <w:color w:val="auto"/>
                <w:sz w:val="24"/>
                <w:szCs w:val="24"/>
                <w:highlight w:val="none"/>
              </w:rPr>
              <w:t xml:space="preserve">三级养护标准和《徐州市小沿河水源地涵养林、水面、坡面、水生植物、景观绿地养护管理考核办法》等制度制定合理可行措施的得15分；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(2)目标较明确，河道坡面、水面养护未全面按照徐政办发【2014】79号文中中A级河道养护质量标准或涵养林、水生植物、景观绿地未全面按照DB 3203/502-2008《园林绿化养护管理规范》三级养护标准和《徐州市小沿河水源地涵养林、水面、坡面、水生植物、景观绿地养护管理考核办法》等制度制定合理可行措施的得10分；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(3)目标一般，措施一般，质量承诺不具备针对性的得5分；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(4)无具体内容的，该项得0分。</w:t>
            </w:r>
            <w:r/>
          </w:p>
        </w:tc>
      </w:tr>
      <w:tr>
        <w:trPr>
          <w:trHeight w:val="909"/>
        </w:trPr>
        <w:tc>
          <w:tcPr>
            <w:tcW w:w="742"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44"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安全、文明及环保措施、制度（10分）</w:t>
            </w:r>
            <w:r/>
          </w:p>
        </w:tc>
        <w:tc>
          <w:tcPr>
            <w:tcMar>
              <w:left w:w="108" w:type="dxa"/>
              <w:top w:w="0" w:type="dxa"/>
              <w:right w:w="108" w:type="dxa"/>
              <w:bottom w:w="0" w:type="dxa"/>
            </w:tcMar>
            <w:tcW w:w="7256"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(1)有河道坡面、水面、涵养林、水生态维护、景观绿地养护、秩序、保洁及安全、文明管理制度及措施，内容全面，措施到位，针对性强的得10分；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(2)有河道坡面、水面、涵养林、水生态维护、景观绿地养护、秩序、保洁及安全、文明管理制度及措施，内容一般，措施针对性不强的得7分；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(3)河道坡面、水面、涵养林、水生态维护、景观绿地养护、秩序、保洁及安全、文明管理制度及措施内容缺少的得3分；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(4)无具体内容的，该项得0分。</w:t>
            </w:r>
            <w:r/>
          </w:p>
        </w:tc>
      </w:tr>
      <w:tr>
        <w:trPr>
          <w:trHeight w:val="1351"/>
        </w:trPr>
        <w:tc>
          <w:tcPr>
            <w:tcW w:w="742"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44"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处理突发事件等应急机制</w:t>
            </w:r>
            <w:r/>
          </w:p>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(7分)</w:t>
            </w:r>
            <w:r/>
          </w:p>
        </w:tc>
        <w:tc>
          <w:tcPr>
            <w:tcMar>
              <w:left w:w="108" w:type="dxa"/>
              <w:top w:w="0" w:type="dxa"/>
              <w:right w:w="108" w:type="dxa"/>
              <w:bottom w:w="0" w:type="dxa"/>
            </w:tcMar>
            <w:tcW w:w="7256"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(1)内容全面，切实可行，符合特点，针对性强的得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(2)内容较全面，基本可行，针对性一般的得3分；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(3)内容泛泛，无针对性的得1分；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(4)无具体内容，该项得0分。</w:t>
            </w:r>
            <w:r/>
          </w:p>
        </w:tc>
      </w:tr>
      <w:tr>
        <w:trPr>
          <w:trHeight w:val="909"/>
        </w:trPr>
        <w:tc>
          <w:tcPr>
            <w:tcW w:w="742" w:type="dxa"/>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44"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服从采购人管理（10分）</w:t>
            </w:r>
            <w:r/>
          </w:p>
        </w:tc>
        <w:tc>
          <w:tcPr>
            <w:tcMar>
              <w:left w:w="108" w:type="dxa"/>
              <w:top w:w="0" w:type="dxa"/>
              <w:right w:w="108" w:type="dxa"/>
              <w:bottom w:w="0" w:type="dxa"/>
            </w:tcMar>
            <w:tcW w:w="7256" w:type="dxa"/>
            <w:vAlign w:val="center"/>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(1)内容全面，切实可行，符合特点，针对性强的得10分；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(2)内容较全面，基本可行，针对性一般的得7分；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(3)内容不具备针对性的得3分；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(4)无具体内容，该项得0分。</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7"/>
        <w:ind w:left="0"/>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适用于采购包</w:t>
      </w:r>
      <w:r>
        <w:rPr>
          <w:rFonts w:hint="eastAsia" w:ascii="宋体" w:hAnsi="宋体" w:cs="宋体"/>
          <w:color w:val="000000" w:themeColor="text1"/>
          <w:highlight w:val="none"/>
          <w:lang w:val="en-US" w:eastAsia="zh-CN"/>
          <w14:textFill>
            <w14:solidFill>
              <w14:schemeClr w14:val="tx1"/>
            </w14:solidFill>
          </w14:textFill>
        </w:rPr>
        <w:t xml:space="preserve">1-采购包2</w:t>
      </w:r>
      <w:r/>
    </w:p>
    <w:p>
      <w:pPr>
        <w:pStyle w:val="79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94"/>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本项目采用综合评分法，保留小数点后2位。</w:t>
      </w:r>
      <w:r/>
    </w:p>
    <w:p>
      <w:pPr>
        <w:pStyle w:val="793"/>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94"/>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93"/>
      </w:pPr>
      <w:r/>
      <w:r/>
    </w:p>
    <w:p>
      <w:pPr>
        <w:pStyle w:val="793"/>
        <w:rPr>
          <w:highlight w:val="none"/>
        </w:rPr>
      </w:pPr>
      <w:r>
        <w:rPr>
          <w:highlight w:val="none"/>
        </w:rPr>
      </w:r>
      <w:r/>
    </w:p>
    <w:p>
      <w:pPr>
        <w:keepLines/>
        <w:keepNext/>
        <w:rPr>
          <w:rFonts w:ascii="宋体" w:hAnsi="宋体" w:cs="宋体"/>
          <w:b/>
          <w:bCs/>
          <w:color w:val="000000" w:themeColor="text1"/>
          <w:sz w:val="32"/>
          <w:szCs w:val="32"/>
          <w:highlight w:val="none"/>
          <w14:textFill>
            <w14:solidFill>
              <w14:schemeClr w14:val="tx1"/>
            </w14:solidFill>
          </w14:textFill>
        </w:rPr>
      </w:pPr>
      <w:r/>
      <w:bookmarkStart w:id="10" w:name="_Toc15691"/>
      <w:r/>
      <w:bookmarkStart w:id="11" w:name="_Toc522790135"/>
      <w:r/>
      <w:bookmarkStart w:id="12" w:name="_Toc523404700"/>
      <w:r/>
      <w:r/>
    </w:p>
    <w:p>
      <w:pPr>
        <w:pStyle w:val="708"/>
        <w:jc w:val="center"/>
        <w:spacing w:before="0" w:after="0"/>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第五章  拟签订的合同文本</w:t>
      </w:r>
      <w:bookmarkEnd w:id="10"/>
      <w:r/>
      <w:r/>
    </w:p>
    <w:p>
      <w:pPr>
        <w:jc w:val="center"/>
        <w:rPr>
          <w:rFonts w:ascii="宋体" w:hAnsi="宋体" w:cs="宋体"/>
          <w:b/>
          <w:color w:val="000000" w:themeColor="text1"/>
          <w:sz w:val="72"/>
          <w:szCs w:val="72"/>
          <w:highlight w:val="none"/>
          <w14:textFill>
            <w14:solidFill>
              <w14:schemeClr w14:val="tx1"/>
            </w14:solidFill>
          </w14:textFill>
        </w:rPr>
      </w:pPr>
      <w:r>
        <w:rPr>
          <w:rStyle w:val="1007"/>
          <w:rFonts w:hint="eastAsia" w:ascii="宋体" w:hAnsi="宋体" w:cs="宋体"/>
          <w:b/>
          <w:bCs/>
          <w:sz w:val="36"/>
          <w:szCs w:val="36"/>
          <w:highlight w:val="none"/>
        </w:rPr>
        <w:t xml:space="preserve">（以实际签订合同为准）</w:t>
      </w:r>
      <w:r/>
    </w:p>
    <w:p>
      <w:pPr>
        <w:ind w:firstLine="480"/>
        <w:jc w:val="center"/>
        <w:spacing w:after="150"/>
        <w:shd w:val="clear" w:color="auto" w:fill="ffffff"/>
        <w:rPr>
          <w:rFonts w:ascii="宋体" w:hAnsi="宋体" w:cs="宋体"/>
          <w:color w:val="333333"/>
          <w:sz w:val="28"/>
          <w:szCs w:val="28"/>
          <w:highlight w:val="none"/>
        </w:rPr>
      </w:pPr>
      <w:r>
        <w:rPr>
          <w:rFonts w:hint="eastAsia" w:ascii="宋体" w:hAnsi="宋体" w:cs="宋体"/>
          <w:b/>
          <w:bCs/>
          <w:color w:val="000000"/>
          <w:sz w:val="28"/>
          <w:szCs w:val="28"/>
          <w:highlight w:val="none"/>
        </w:rPr>
        <w:t xml:space="preserve">徐州市河湖管理中心</w:t>
      </w:r>
      <w:r/>
    </w:p>
    <w:p>
      <w:pPr>
        <w:ind w:firstLine="480"/>
        <w:jc w:val="center"/>
        <w:spacing w:after="150"/>
        <w:shd w:val="clear" w:color="auto" w:fill="ffffff"/>
        <w:rPr>
          <w:rFonts w:ascii="宋体" w:hAnsi="宋体" w:cs="宋体"/>
          <w:color w:val="333333"/>
          <w:sz w:val="28"/>
          <w:szCs w:val="28"/>
          <w:highlight w:val="none"/>
        </w:rPr>
      </w:pPr>
      <w:r>
        <w:rPr>
          <w:rFonts w:hint="eastAsia" w:ascii="宋体" w:hAnsi="宋体" w:cs="宋体"/>
          <w:b/>
          <w:bCs/>
          <w:color w:val="000000"/>
          <w:sz w:val="28"/>
          <w:szCs w:val="28"/>
          <w:highlight w:val="none"/>
        </w:rPr>
        <w:t xml:space="preserve">合同</w:t>
      </w:r>
      <w:r/>
    </w:p>
    <w:p>
      <w:pPr>
        <w:ind w:firstLine="480"/>
        <w:jc w:val="center"/>
        <w:spacing w:after="150"/>
        <w:shd w:val="clear" w:color="auto" w:fill="ffffff"/>
        <w:rPr>
          <w:rFonts w:ascii="宋体" w:hAnsi="宋体" w:cs="宋体"/>
          <w:color w:val="333333"/>
          <w:sz w:val="28"/>
          <w:szCs w:val="28"/>
          <w:highlight w:val="none"/>
        </w:rPr>
      </w:pPr>
      <w:r>
        <w:rPr>
          <w:rFonts w:hint="eastAsia" w:ascii="宋体" w:hAnsi="宋体" w:cs="宋体"/>
          <w:b/>
          <w:bCs/>
          <w:color w:val="333333"/>
          <w:sz w:val="28"/>
          <w:szCs w:val="28"/>
          <w:highlight w:val="none"/>
        </w:rPr>
        <w:t xml:space="preserve"> </w:t>
      </w:r>
      <w:r/>
    </w:p>
    <w:p>
      <w:pPr>
        <w:ind w:firstLine="480"/>
        <w:spacing w:after="150"/>
        <w:shd w:val="clear" w:color="auto" w:fill="ffffff"/>
        <w:rPr>
          <w:rFonts w:ascii="宋体" w:hAnsi="宋体" w:cs="宋体"/>
          <w:color w:val="333333"/>
          <w:sz w:val="28"/>
          <w:szCs w:val="28"/>
          <w:highlight w:val="none"/>
        </w:rPr>
      </w:pPr>
      <w:r>
        <w:rPr>
          <w:rFonts w:hint="eastAsia" w:ascii="宋体" w:hAnsi="宋体" w:cs="宋体"/>
          <w:b/>
          <w:bCs/>
          <w:color w:val="333333"/>
          <w:sz w:val="28"/>
          <w:szCs w:val="28"/>
          <w:highlight w:val="none"/>
        </w:rPr>
        <w:t xml:space="preserve"> </w:t>
      </w:r>
      <w:r/>
    </w:p>
    <w:p>
      <w:pPr>
        <w:pStyle w:val="805"/>
        <w:rPr>
          <w:rFonts w:ascii="宋体" w:hAnsi="宋体" w:cs="宋体"/>
          <w:bCs/>
          <w:sz w:val="28"/>
          <w:szCs w:val="28"/>
          <w:highlight w:val="none"/>
        </w:rPr>
      </w:pPr>
      <w:r>
        <w:rPr>
          <w:rFonts w:hint="eastAsia" w:ascii="宋体" w:hAnsi="宋体" w:cs="宋体"/>
          <w:bCs/>
          <w:sz w:val="28"/>
          <w:szCs w:val="28"/>
          <w:highlight w:val="none"/>
        </w:rPr>
        <w:t xml:space="preserve">项目名称：</w:t>
      </w:r>
      <w:r>
        <w:rPr>
          <w:rFonts w:hint="eastAsia" w:cs="宋体"/>
          <w:bCs/>
          <w:sz w:val="28"/>
          <w:szCs w:val="28"/>
          <w:highlight w:val="none"/>
          <w:lang w:eastAsia="zh-CN"/>
        </w:rPr>
        <w:t xml:space="preserve">徐州市南四湖小沿河饮用水源地水生态保护及水面保洁</w:t>
      </w:r>
      <w:r>
        <w:rPr>
          <w:rFonts w:hint="eastAsia" w:cs="宋体"/>
          <w:bCs/>
          <w:sz w:val="28"/>
          <w:szCs w:val="28"/>
          <w:highlight w:val="none"/>
        </w:rPr>
        <w:t xml:space="preserve">项目</w:t>
      </w:r>
      <w:r/>
    </w:p>
    <w:p>
      <w:pPr>
        <w:pStyle w:val="805"/>
        <w:rPr>
          <w:rFonts w:ascii="宋体" w:hAnsi="宋体" w:cs="宋体"/>
          <w:bCs/>
          <w:sz w:val="28"/>
          <w:szCs w:val="28"/>
          <w:highlight w:val="none"/>
        </w:rPr>
      </w:pPr>
      <w:r>
        <w:rPr>
          <w:rFonts w:hint="eastAsia" w:ascii="宋体" w:hAnsi="宋体" w:cs="宋体"/>
          <w:bCs/>
          <w:sz w:val="28"/>
          <w:szCs w:val="28"/>
          <w:highlight w:val="none"/>
        </w:rPr>
        <w:t xml:space="preserve">项目编号：</w:t>
      </w:r>
      <w:r/>
    </w:p>
    <w:p>
      <w:pPr>
        <w:pStyle w:val="805"/>
        <w:jc w:val="center"/>
        <w:rPr>
          <w:rFonts w:ascii="宋体" w:hAnsi="宋体" w:cs="宋体"/>
          <w:bCs/>
          <w:sz w:val="56"/>
          <w:szCs w:val="56"/>
          <w:highlight w:val="none"/>
        </w:rPr>
      </w:pPr>
      <w:r>
        <w:rPr>
          <w:rFonts w:hint="eastAsia" w:ascii="宋体" w:hAnsi="宋体" w:cs="宋体"/>
          <w:bCs/>
          <w:sz w:val="56"/>
          <w:szCs w:val="56"/>
          <w:highlight w:val="none"/>
        </w:rPr>
        <w:t xml:space="preserve">政</w:t>
      </w:r>
      <w:r/>
    </w:p>
    <w:p>
      <w:pPr>
        <w:pStyle w:val="805"/>
        <w:jc w:val="center"/>
        <w:rPr>
          <w:rFonts w:ascii="宋体" w:hAnsi="宋体" w:cs="宋体"/>
          <w:bCs/>
          <w:sz w:val="56"/>
          <w:szCs w:val="56"/>
          <w:highlight w:val="none"/>
        </w:rPr>
      </w:pPr>
      <w:r>
        <w:rPr>
          <w:rFonts w:hint="eastAsia" w:ascii="宋体" w:hAnsi="宋体" w:cs="宋体"/>
          <w:bCs/>
          <w:sz w:val="56"/>
          <w:szCs w:val="56"/>
          <w:highlight w:val="none"/>
        </w:rPr>
        <w:t xml:space="preserve">府</w:t>
      </w:r>
      <w:r/>
    </w:p>
    <w:p>
      <w:pPr>
        <w:pStyle w:val="805"/>
        <w:jc w:val="center"/>
        <w:rPr>
          <w:rFonts w:ascii="宋体" w:hAnsi="宋体" w:cs="宋体"/>
          <w:bCs/>
          <w:sz w:val="56"/>
          <w:szCs w:val="56"/>
          <w:highlight w:val="none"/>
        </w:rPr>
      </w:pPr>
      <w:r>
        <w:rPr>
          <w:rFonts w:hint="eastAsia" w:ascii="宋体" w:hAnsi="宋体" w:cs="宋体"/>
          <w:bCs/>
          <w:sz w:val="56"/>
          <w:szCs w:val="56"/>
          <w:highlight w:val="none"/>
        </w:rPr>
        <w:t xml:space="preserve">采</w:t>
      </w:r>
      <w:r/>
    </w:p>
    <w:p>
      <w:pPr>
        <w:pStyle w:val="805"/>
        <w:jc w:val="center"/>
        <w:rPr>
          <w:rFonts w:ascii="宋体" w:hAnsi="宋体" w:cs="宋体"/>
          <w:bCs/>
          <w:sz w:val="56"/>
          <w:szCs w:val="56"/>
          <w:highlight w:val="none"/>
        </w:rPr>
      </w:pPr>
      <w:r>
        <w:rPr>
          <w:rFonts w:hint="eastAsia" w:ascii="宋体" w:hAnsi="宋体" w:cs="宋体"/>
          <w:bCs/>
          <w:sz w:val="56"/>
          <w:szCs w:val="56"/>
          <w:highlight w:val="none"/>
        </w:rPr>
        <w:t xml:space="preserve">购</w:t>
      </w:r>
      <w:r/>
    </w:p>
    <w:p>
      <w:pPr>
        <w:pStyle w:val="805"/>
        <w:jc w:val="center"/>
        <w:rPr>
          <w:rFonts w:ascii="宋体" w:hAnsi="宋体" w:cs="宋体"/>
          <w:bCs/>
          <w:sz w:val="56"/>
          <w:szCs w:val="56"/>
          <w:highlight w:val="none"/>
        </w:rPr>
      </w:pPr>
      <w:r>
        <w:rPr>
          <w:rFonts w:hint="eastAsia" w:ascii="宋体" w:hAnsi="宋体" w:cs="宋体"/>
          <w:bCs/>
          <w:sz w:val="56"/>
          <w:szCs w:val="56"/>
          <w:highlight w:val="none"/>
        </w:rPr>
        <w:t xml:space="preserve">合</w:t>
      </w:r>
      <w:r/>
    </w:p>
    <w:p>
      <w:pPr>
        <w:pStyle w:val="805"/>
        <w:jc w:val="center"/>
        <w:rPr>
          <w:rFonts w:ascii="宋体" w:hAnsi="宋体" w:cs="宋体"/>
          <w:bCs/>
          <w:sz w:val="56"/>
          <w:szCs w:val="56"/>
          <w:highlight w:val="none"/>
        </w:rPr>
      </w:pPr>
      <w:r>
        <w:rPr>
          <w:rFonts w:hint="eastAsia" w:ascii="宋体" w:hAnsi="宋体" w:cs="宋体"/>
          <w:bCs/>
          <w:sz w:val="56"/>
          <w:szCs w:val="56"/>
          <w:highlight w:val="none"/>
        </w:rPr>
        <w:t xml:space="preserve">同</w:t>
      </w:r>
      <w:r/>
    </w:p>
    <w:p>
      <w:pPr>
        <w:pStyle w:val="805"/>
        <w:rPr>
          <w:rFonts w:ascii="宋体" w:hAnsi="宋体" w:cs="宋体"/>
          <w:bCs/>
          <w:sz w:val="28"/>
          <w:szCs w:val="28"/>
          <w:highlight w:val="none"/>
        </w:rPr>
      </w:pPr>
      <w:r>
        <w:rPr>
          <w:rFonts w:ascii="宋体" w:hAnsi="宋体" w:cs="宋体"/>
          <w:bCs/>
          <w:sz w:val="28"/>
          <w:szCs w:val="28"/>
          <w:highlight w:val="none"/>
        </w:rPr>
      </w:r>
      <w:r/>
    </w:p>
    <w:p>
      <w:pPr>
        <w:pStyle w:val="805"/>
        <w:jc w:val="left"/>
        <w:spacing w:after="0" w:line="360" w:lineRule="auto"/>
        <w:rPr>
          <w:rFonts w:ascii="宋体" w:hAnsi="宋体" w:cs="宋体"/>
          <w:bCs/>
          <w:sz w:val="28"/>
          <w:szCs w:val="28"/>
          <w:highlight w:val="none"/>
        </w:rPr>
      </w:pPr>
      <w:r>
        <w:rPr>
          <w:rFonts w:hint="eastAsia" w:ascii="宋体" w:hAnsi="宋体" w:cs="宋体"/>
          <w:bCs/>
          <w:sz w:val="28"/>
          <w:szCs w:val="28"/>
          <w:highlight w:val="none"/>
        </w:rPr>
        <w:t xml:space="preserve">采  购  人：</w:t>
      </w:r>
      <w:r/>
    </w:p>
    <w:p>
      <w:pPr>
        <w:pStyle w:val="805"/>
        <w:jc w:val="left"/>
        <w:spacing w:after="0" w:line="360" w:lineRule="auto"/>
        <w:rPr>
          <w:rFonts w:ascii="宋体" w:hAnsi="宋体" w:cs="宋体"/>
          <w:bCs/>
          <w:sz w:val="28"/>
          <w:szCs w:val="28"/>
          <w:highlight w:val="none"/>
        </w:rPr>
      </w:pPr>
      <w:r>
        <w:rPr>
          <w:rFonts w:hint="eastAsia" w:ascii="宋体" w:hAnsi="宋体" w:cs="宋体"/>
          <w:bCs/>
          <w:sz w:val="28"/>
          <w:szCs w:val="28"/>
          <w:highlight w:val="none"/>
        </w:rPr>
        <w:t xml:space="preserve">中  标  人：</w:t>
      </w:r>
      <w:r/>
    </w:p>
    <w:p>
      <w:pPr>
        <w:pStyle w:val="805"/>
        <w:jc w:val="left"/>
        <w:spacing w:after="0" w:line="360" w:lineRule="auto"/>
        <w:rPr>
          <w:rFonts w:ascii="宋体" w:hAnsi="宋体" w:cs="宋体"/>
          <w:bCs/>
          <w:sz w:val="28"/>
          <w:szCs w:val="28"/>
          <w:highlight w:val="none"/>
        </w:rPr>
      </w:pPr>
      <w:r>
        <w:rPr>
          <w:rFonts w:hint="eastAsia" w:ascii="宋体" w:hAnsi="宋体" w:cs="宋体"/>
          <w:bCs/>
          <w:sz w:val="28"/>
          <w:szCs w:val="28"/>
          <w:highlight w:val="none"/>
        </w:rPr>
        <w:t xml:space="preserve">合同签订日期：   年   月   日</w:t>
      </w:r>
      <w:r/>
    </w:p>
    <w:p>
      <w:pPr>
        <w:pStyle w:val="790"/>
        <w:ind w:firstLine="480"/>
        <w:rPr>
          <w:rFonts w:ascii="宋体" w:hAnsi="宋体" w:cs="宋体"/>
          <w:bCs/>
          <w:sz w:val="28"/>
          <w:szCs w:val="28"/>
          <w:highlight w:val="none"/>
        </w:rPr>
      </w:pPr>
      <w:r>
        <w:rPr>
          <w:rFonts w:hint="eastAsia" w:ascii="宋体" w:hAnsi="宋体" w:cs="宋体"/>
          <w:bCs/>
          <w:sz w:val="28"/>
          <w:szCs w:val="28"/>
          <w:highlight w:val="none"/>
        </w:rPr>
        <w:t xml:space="preserve">友情提醒：采购人与中标人（成交供应商）应当在中标、成交通知书发出之日起三十日内，按照采购文件确定的事项签订政府采购合同。</w:t>
      </w:r>
      <w:r/>
    </w:p>
    <w:p>
      <w:pPr>
        <w:pStyle w:val="790"/>
        <w:ind w:firstLine="480"/>
        <w:rPr>
          <w:rFonts w:ascii="宋体" w:hAnsi="宋体" w:cs="宋体"/>
          <w:bCs/>
          <w:sz w:val="28"/>
          <w:szCs w:val="28"/>
          <w:highlight w:val="none"/>
        </w:rPr>
      </w:pPr>
      <w:r>
        <w:rPr>
          <w:rFonts w:hint="eastAsia" w:ascii="宋体" w:hAnsi="宋体" w:cs="宋体"/>
          <w:bCs/>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ascii="宋体" w:hAnsi="宋体" w:cs="宋体"/>
          <w:sz w:val="28"/>
          <w:szCs w:val="28"/>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s="宋体"/>
          <w:sz w:val="28"/>
          <w:szCs w:val="28"/>
          <w:highlight w:val="none"/>
        </w:rPr>
        <w:br w:type="page" w:clear="all"/>
      </w:r>
      <w:r/>
    </w:p>
    <w:p>
      <w:pPr>
        <w:pStyle w:val="730"/>
        <w:jc w:val="center"/>
        <w:spacing w:before="240" w:line="420" w:lineRule="exact"/>
        <w:rPr>
          <w:rFonts w:ascii="黑体" w:hAnsi="黑体" w:eastAsia="黑体" w:cs="黑体"/>
          <w:b/>
          <w:bCs/>
          <w:sz w:val="44"/>
          <w:szCs w:val="44"/>
          <w:highlight w:val="none"/>
        </w:rPr>
      </w:pPr>
      <w:r>
        <w:rPr>
          <w:rFonts w:hint="eastAsia" w:ascii="黑体" w:hAnsi="黑体" w:eastAsia="黑体" w:cs="黑体"/>
          <w:b/>
          <w:bCs/>
          <w:sz w:val="44"/>
          <w:szCs w:val="44"/>
          <w:highlight w:val="none"/>
        </w:rPr>
        <w:t xml:space="preserve"> </w:t>
      </w:r>
      <w:r>
        <w:rPr>
          <w:rFonts w:hint="eastAsia" w:ascii="黑体" w:hAnsi="黑体" w:eastAsia="黑体" w:cs="黑体"/>
          <w:b/>
          <w:bCs/>
          <w:sz w:val="44"/>
          <w:szCs w:val="44"/>
          <w:highlight w:val="none"/>
          <w:lang w:eastAsia="zh-CN"/>
        </w:rPr>
        <w:t xml:space="preserve">徐州市南四湖小沿河饮用水源地水生态保护及水面保洁</w:t>
      </w:r>
      <w:r>
        <w:rPr>
          <w:rFonts w:hint="eastAsia" w:ascii="黑体" w:hAnsi="黑体" w:eastAsia="黑体" w:cs="黑体"/>
          <w:b/>
          <w:bCs/>
          <w:sz w:val="44"/>
          <w:szCs w:val="44"/>
          <w:highlight w:val="none"/>
        </w:rPr>
        <w:t xml:space="preserve">合同</w:t>
      </w:r>
      <w:r/>
    </w:p>
    <w:p>
      <w:pPr>
        <w:ind w:firstLine="480"/>
        <w:jc w:val="both"/>
        <w:spacing w:line="360" w:lineRule="auto"/>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r>
      <w:r/>
    </w:p>
    <w:p>
      <w:pPr>
        <w:ind w:firstLine="480"/>
        <w:jc w:val="both"/>
        <w:spacing w:line="360" w:lineRule="auto"/>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甲方：</w:t>
      </w:r>
      <w:r/>
    </w:p>
    <w:p>
      <w:pPr>
        <w:pStyle w:val="719"/>
        <w:rPr>
          <w:rFonts w:hint="eastAsia"/>
          <w:highlight w:val="none"/>
          <w:lang w:eastAsia="zh-CN"/>
        </w:rPr>
      </w:pPr>
      <w:r>
        <w:rPr>
          <w:rFonts w:hint="eastAsia" w:ascii="宋体" w:hAnsi="宋体" w:cs="宋体"/>
          <w:color w:val="000000"/>
          <w:sz w:val="24"/>
          <w:szCs w:val="24"/>
          <w:highlight w:val="none"/>
          <w:lang w:eastAsia="zh-CN"/>
        </w:rPr>
        <w:t xml:space="preserve">乙方：</w:t>
      </w:r>
      <w:r/>
    </w:p>
    <w:p>
      <w:pPr>
        <w:ind w:firstLine="480"/>
        <w:jc w:val="both"/>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甲方将</w:t>
      </w:r>
      <w:r>
        <w:rPr>
          <w:rFonts w:hint="eastAsia" w:ascii="宋体" w:hAnsi="宋体" w:cs="宋体"/>
          <w:color w:val="000000"/>
          <w:sz w:val="24"/>
          <w:szCs w:val="24"/>
          <w:highlight w:val="none"/>
          <w:lang w:eastAsia="zh-CN"/>
        </w:rPr>
        <w:t xml:space="preserve">徐州市</w:t>
      </w:r>
      <w:r>
        <w:rPr>
          <w:rFonts w:hint="eastAsia" w:ascii="宋体" w:hAnsi="宋体" w:cs="宋体"/>
          <w:color w:val="000000"/>
          <w:sz w:val="24"/>
          <w:szCs w:val="24"/>
          <w:highlight w:val="none"/>
        </w:rPr>
        <w:t xml:space="preserve">南四湖小沿河水源地保护区涵养林、水面、坡面、水生植物、景观绿地养护相关区域节点看护等综合服务采购包委托给乙方养护管理。根据《</w:t>
      </w:r>
      <w:r>
        <w:rPr>
          <w:rFonts w:hint="eastAsia" w:ascii="宋体" w:hAnsi="宋体" w:cs="宋体"/>
          <w:color w:val="000000"/>
          <w:sz w:val="24"/>
          <w:szCs w:val="24"/>
          <w:highlight w:val="none"/>
          <w:lang w:eastAsia="zh-CN"/>
        </w:rPr>
        <w:t xml:space="preserve">民法典</w:t>
      </w:r>
      <w:r>
        <w:rPr>
          <w:rFonts w:hint="eastAsia" w:ascii="宋体" w:hAnsi="宋体" w:cs="宋体"/>
          <w:color w:val="000000"/>
          <w:sz w:val="24"/>
          <w:szCs w:val="24"/>
          <w:highlight w:val="none"/>
        </w:rPr>
        <w:t xml:space="preserve">》、《中华人民共和国政府采购法》等有关法律、法规，在自愿、平等、协商一致的基础上，就综合服务管理相关事宜达成如下合同条款：</w:t>
      </w:r>
      <w:r/>
    </w:p>
    <w:p>
      <w:pPr>
        <w:ind w:firstLine="480"/>
        <w:jc w:val="both"/>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一、养护管理的内容</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1、基本情况：</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①服务范围：</w:t>
      </w:r>
      <w:r/>
    </w:p>
    <w:p>
      <w:pPr>
        <w:ind w:firstLine="480"/>
        <w:jc w:val="both"/>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（采购包1）水生态河面保洁：负责南四湖小沿河水源地取水口至黄庄地涵保护区域内水域（411842 平方米,含水生植物面积 88266 平方米）、坡面（75810 平方米），</w:t>
      </w:r>
      <w:r>
        <w:rPr>
          <w:rFonts w:hint="eastAsia" w:ascii="宋体" w:hAnsi="宋体" w:cs="宋体"/>
          <w:color w:val="000000"/>
          <w:sz w:val="24"/>
          <w:szCs w:val="24"/>
          <w:highlight w:val="none"/>
        </w:rPr>
        <w:t xml:space="preserve">生态悬床6600平方米、</w:t>
      </w:r>
      <w:r>
        <w:rPr>
          <w:rFonts w:hint="eastAsia" w:ascii="宋体" w:hAnsi="宋体" w:cs="宋体"/>
          <w:sz w:val="24"/>
          <w:szCs w:val="24"/>
          <w:highlight w:val="none"/>
        </w:rPr>
        <w:t xml:space="preserve">14台曝气机周边日常垃圾及水草清理，黄庄地涵北侧进水口及排涝泵站进水池的杂草打捞和外运，以及农场排涝站、向阳渠闸、</w:t>
      </w:r>
      <w:r>
        <w:rPr>
          <w:rFonts w:hint="eastAsia" w:ascii="宋体" w:hAnsi="宋体" w:cs="宋体"/>
          <w:color w:val="000000"/>
          <w:sz w:val="24"/>
          <w:szCs w:val="24"/>
          <w:highlight w:val="none"/>
        </w:rPr>
        <w:t xml:space="preserve">运粮河闸、景山中沟闸及景山地涵等4处区域节点看护与管理。</w:t>
      </w:r>
      <w:r/>
    </w:p>
    <w:p>
      <w:pPr>
        <w:ind w:firstLine="48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采购包2）水生态景观绿地养护：负责南四湖小沿河水源地城子河桥至黄庄地涵两侧、取水口西侧、南侧绿地养护，绿地总面积326577平方米，其中城子河桥至黄庄地涵两侧</w:t>
      </w:r>
      <w:r>
        <w:rPr>
          <w:rFonts w:hint="eastAsia" w:ascii="宋体" w:hAnsi="宋体" w:cs="宋体"/>
          <w:sz w:val="24"/>
          <w:szCs w:val="24"/>
          <w:highlight w:val="none"/>
        </w:rPr>
        <w:t xml:space="preserve">91590</w:t>
      </w:r>
      <w:r>
        <w:rPr>
          <w:rFonts w:hint="eastAsia" w:ascii="宋体" w:hAnsi="宋体" w:cs="宋体"/>
          <w:color w:val="000000"/>
          <w:sz w:val="24"/>
          <w:szCs w:val="24"/>
          <w:highlight w:val="none"/>
        </w:rPr>
        <w:t xml:space="preserve">平方米，</w:t>
      </w:r>
      <w:r>
        <w:rPr>
          <w:rFonts w:hint="eastAsia" w:ascii="宋体" w:hAnsi="宋体" w:cs="宋体"/>
          <w:sz w:val="24"/>
          <w:szCs w:val="24"/>
          <w:highlight w:val="none"/>
        </w:rPr>
        <w:t xml:space="preserve">取水口西侧40100平方米，涵养林148666 平方米、管理所内景观绿地15300平方米养护、取水口南侧3427平方米、新增一级保护区涵养林27494平方米。主要苗木有高杆女贞、中山杉、朴树、榉树、榔榆、广玉</w:t>
      </w:r>
      <w:r>
        <w:rPr>
          <w:rFonts w:hint="eastAsia" w:ascii="宋体" w:hAnsi="宋体" w:cs="宋体"/>
          <w:color w:val="000000"/>
          <w:sz w:val="24"/>
          <w:szCs w:val="24"/>
          <w:highlight w:val="none"/>
        </w:rPr>
        <w:t xml:space="preserve">兰、乌桕、雪松、香樟、桂花、枇杷、紫薇、樱花、垂丝海棠、天堂草等乔灌木和地被植物的养护管理。</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②维护期限为</w:t>
      </w:r>
      <w:r>
        <w:rPr>
          <w:rFonts w:hint="eastAsia" w:ascii="宋体" w:hAnsi="宋体" w:cs="宋体"/>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壹 </w:t>
      </w:r>
      <w:r>
        <w:rPr>
          <w:rFonts w:hint="eastAsia" w:ascii="宋体" w:hAnsi="宋体" w:cs="宋体"/>
          <w:color w:val="000000"/>
          <w:sz w:val="24"/>
          <w:szCs w:val="24"/>
          <w:highlight w:val="none"/>
        </w:rPr>
        <w:t xml:space="preserve">年，自</w:t>
      </w:r>
      <w:r>
        <w:rPr>
          <w:rFonts w:hint="eastAsia" w:ascii="宋体" w:hAnsi="宋体" w:cs="宋体"/>
          <w:b/>
          <w:bCs/>
          <w:color w:val="000000"/>
          <w:sz w:val="24"/>
          <w:szCs w:val="24"/>
          <w:highlight w:val="none"/>
          <w:u w:val="single"/>
        </w:rPr>
        <w:t xml:space="preserve">2025年1月1日</w:t>
      </w:r>
      <w:r>
        <w:rPr>
          <w:rFonts w:hint="eastAsia" w:ascii="宋体" w:hAnsi="宋体" w:cs="宋体"/>
          <w:color w:val="000000"/>
          <w:sz w:val="24"/>
          <w:szCs w:val="24"/>
          <w:highlight w:val="none"/>
        </w:rPr>
        <w:t xml:space="preserve">起，结束日期为</w:t>
      </w:r>
      <w:r>
        <w:rPr>
          <w:rFonts w:hint="eastAsia" w:ascii="宋体" w:hAnsi="宋体" w:cs="宋体"/>
          <w:b/>
          <w:bCs/>
          <w:color w:val="000000"/>
          <w:sz w:val="24"/>
          <w:szCs w:val="24"/>
          <w:highlight w:val="none"/>
          <w:u w:val="single"/>
        </w:rPr>
        <w:t xml:space="preserve">2025年12月31</w:t>
      </w:r>
      <w:r>
        <w:rPr>
          <w:rFonts w:hint="eastAsia" w:ascii="宋体" w:hAnsi="宋体" w:cs="宋体"/>
          <w:color w:val="000000"/>
          <w:sz w:val="24"/>
          <w:szCs w:val="24"/>
          <w:highlight w:val="none"/>
        </w:rPr>
        <w:t xml:space="preserve">日。</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2、下列文件为本合同不可分割部分：</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① </w:t>
      </w:r>
      <w:r>
        <w:rPr>
          <w:rFonts w:hint="eastAsia" w:ascii="宋体" w:hAnsi="宋体" w:cs="宋体"/>
          <w:color w:val="000000"/>
          <w:sz w:val="24"/>
          <w:szCs w:val="24"/>
          <w:highlight w:val="none"/>
          <w:lang w:eastAsia="zh-CN"/>
        </w:rPr>
        <w:t xml:space="preserve">招标文件</w:t>
      </w:r>
      <w:r>
        <w:rPr>
          <w:rFonts w:hint="eastAsia" w:ascii="宋体" w:hAnsi="宋体" w:cs="宋体"/>
          <w:color w:val="000000"/>
          <w:sz w:val="24"/>
          <w:szCs w:val="24"/>
          <w:highlight w:val="none"/>
        </w:rPr>
        <w:t xml:space="preserve">及其附件；</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② 乙方的响应文件；</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③ 乙方在采购过程中所作的其它承诺、声明、书面澄清等；</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④ 中标（成交）通知书；</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⑤ 合同附件。</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以上与本合同具有同等法律效力</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乙方聘用符合</w:t>
      </w:r>
      <w:r>
        <w:rPr>
          <w:rFonts w:hint="eastAsia" w:ascii="宋体" w:hAnsi="宋体" w:cs="宋体"/>
          <w:color w:val="000000"/>
          <w:sz w:val="24"/>
          <w:szCs w:val="24"/>
          <w:highlight w:val="none"/>
          <w:lang w:eastAsia="zh-CN"/>
        </w:rPr>
        <w:t xml:space="preserve">招标文件</w:t>
      </w:r>
      <w:r>
        <w:rPr>
          <w:rFonts w:hint="eastAsia" w:ascii="宋体" w:hAnsi="宋体" w:cs="宋体"/>
          <w:color w:val="000000"/>
          <w:sz w:val="24"/>
          <w:szCs w:val="24"/>
          <w:highlight w:val="none"/>
        </w:rPr>
        <w:t xml:space="preserve">要求的运维人员及管理人员符合</w:t>
      </w:r>
      <w:r>
        <w:rPr>
          <w:rFonts w:hint="eastAsia" w:ascii="宋体" w:hAnsi="宋体" w:cs="宋体"/>
          <w:color w:val="000000"/>
          <w:sz w:val="24"/>
          <w:szCs w:val="24"/>
          <w:highlight w:val="none"/>
          <w:lang w:eastAsia="zh-CN"/>
        </w:rPr>
        <w:t xml:space="preserve">招标</w:t>
      </w:r>
      <w:r>
        <w:rPr>
          <w:rFonts w:hint="eastAsia" w:ascii="宋体" w:hAnsi="宋体" w:cs="宋体"/>
          <w:color w:val="000000"/>
          <w:sz w:val="24"/>
          <w:szCs w:val="24"/>
          <w:highlight w:val="none"/>
        </w:rPr>
        <w:t xml:space="preserve">文件要求。具体见乙方响应文件:</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4、工作人员配备要求和设备机械配置要求</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对本合同项目实施养护管理所用的一切劳动力、材料设备和服务由乙方自行组织，由此产生的一切费用由乙方承担。具体见乙方响应文件[项目编号：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二、承包服务费及付款办法：</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1、乙方中标价为人民币（大写）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，（小写）￥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。按平均每月合同价为（大写）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，（小写）￥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2、支付方式：</w:t>
      </w:r>
      <w:r/>
    </w:p>
    <w:p>
      <w:pPr>
        <w:ind w:firstLine="480"/>
        <w:spacing w:line="300" w:lineRule="auto"/>
        <w:rPr>
          <w:rFonts w:ascii="宋体" w:hAnsi="宋体" w:cs="宋体"/>
          <w:sz w:val="24"/>
          <w:szCs w:val="24"/>
          <w:highlight w:val="none"/>
        </w:rPr>
      </w:pPr>
      <w:r>
        <w:rPr>
          <w:rFonts w:hint="eastAsia" w:ascii="宋体" w:hAnsi="宋体" w:cs="宋体"/>
          <w:color w:val="000000"/>
          <w:sz w:val="24"/>
          <w:szCs w:val="24"/>
          <w:highlight w:val="none"/>
        </w:rPr>
        <w:t xml:space="preserve">经双方协商一致，选择以下第</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种付款方式：</w:t>
      </w:r>
      <w:r/>
    </w:p>
    <w:p>
      <w:pPr>
        <w:ind w:firstLine="482"/>
        <w:spacing w:line="360" w:lineRule="atLeas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（一）付款方式（不提交预付款保函的）</w:t>
      </w:r>
      <w:r/>
    </w:p>
    <w:p>
      <w:pPr>
        <w:ind w:firstLine="480"/>
        <w:spacing w:line="30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  </w:t>
      </w:r>
      <w:r>
        <w:rPr>
          <w:rFonts w:hint="eastAsia" w:ascii="宋体" w:hAnsi="宋体" w:cs="宋体"/>
          <w:color w:val="auto"/>
          <w:sz w:val="24"/>
          <w:szCs w:val="24"/>
          <w:highlight w:val="none"/>
          <w:lang w:eastAsia="zh-CN"/>
        </w:rPr>
        <w:t xml:space="preserve">预付款支付：</w:t>
      </w:r>
      <w:r>
        <w:rPr>
          <w:rFonts w:hint="eastAsia" w:ascii="宋体" w:hAnsi="宋体" w:cs="宋体"/>
          <w:color w:val="auto"/>
          <w:sz w:val="24"/>
          <w:szCs w:val="24"/>
          <w:highlight w:val="none"/>
        </w:rPr>
        <w:t xml:space="preserve">合同总价款的百分之十(10%)即￥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元整，在双方签订合同后10个工作日内，由甲方办理政府采购资金结算手续，经审核后支付给乙方。</w:t>
      </w:r>
      <w:r/>
    </w:p>
    <w:p>
      <w:pPr>
        <w:ind w:firstLine="480"/>
        <w:spacing w:line="300" w:lineRule="auto"/>
        <w:rPr>
          <w:rFonts w:ascii="宋体" w:hAnsi="宋体" w:cs="宋体"/>
          <w:color w:val="000000"/>
          <w:sz w:val="24"/>
          <w:szCs w:val="24"/>
          <w:highlight w:val="none"/>
        </w:rPr>
      </w:pPr>
      <w:r>
        <w:rPr>
          <w:rFonts w:hint="eastAsia" w:ascii="宋体" w:hAnsi="宋体" w:cs="宋体"/>
          <w:color w:val="auto"/>
          <w:sz w:val="24"/>
          <w:szCs w:val="24"/>
          <w:highlight w:val="none"/>
        </w:rPr>
        <w:t xml:space="preserve">② 承包经费支付：每月支付金额为合同价款1/12减去考核扣除金额（在支付第一次服务费时扣除预付款</w:t>
      </w:r>
      <w:r>
        <w:rPr>
          <w:rFonts w:hint="eastAsia" w:ascii="宋体" w:hAnsi="宋体" w:cs="宋体"/>
          <w:color w:val="auto"/>
          <w:sz w:val="24"/>
          <w:szCs w:val="24"/>
          <w:highlight w:val="none"/>
          <w:lang w:eastAsia="zh-CN"/>
        </w:rPr>
        <w:t xml:space="preserve">，如第一个月资金不够抵扣就顺延</w:t>
      </w:r>
      <w:r>
        <w:rPr>
          <w:rFonts w:hint="eastAsia" w:ascii="宋体" w:hAnsi="宋体" w:cs="宋体"/>
          <w:color w:val="auto"/>
          <w:sz w:val="24"/>
          <w:szCs w:val="24"/>
          <w:highlight w:val="none"/>
        </w:rPr>
        <w:t xml:space="preserve">）。月支付金额分摊管护费用的60%为基本费用，月分摊管护费用的40%为考核费用。详</w:t>
      </w:r>
      <w:r>
        <w:rPr>
          <w:rFonts w:hint="eastAsia" w:ascii="宋体" w:hAnsi="宋体" w:cs="宋体"/>
          <w:color w:val="000000"/>
          <w:sz w:val="24"/>
          <w:szCs w:val="24"/>
          <w:highlight w:val="none"/>
        </w:rPr>
        <w:t xml:space="preserve">见《南四湖小沿河水源地涵养林、水面、坡面、水生植物、景观绿地养护管理考核办法》（简称考核办法）</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③ 月分摊考核费用的60%为管理所考核占比，40%为安全管理科考核占比。小沿河管理所按月考核，</w:t>
      </w:r>
      <w:r>
        <w:rPr>
          <w:rFonts w:hint="eastAsia" w:ascii="宋体" w:hAnsi="宋体" w:cs="宋体"/>
          <w:sz w:val="24"/>
          <w:szCs w:val="24"/>
          <w:highlight w:val="none"/>
        </w:rPr>
        <w:t xml:space="preserve">并将考核结果汇总报至安全管理科，</w:t>
      </w:r>
      <w:r>
        <w:rPr>
          <w:rFonts w:hint="eastAsia" w:ascii="宋体" w:hAnsi="宋体" w:cs="宋体"/>
          <w:color w:val="000000"/>
          <w:sz w:val="24"/>
          <w:szCs w:val="24"/>
          <w:highlight w:val="none"/>
        </w:rPr>
        <w:t xml:space="preserve">由安全管理科审核后按支付流程向财政申请经费，将根据财政资金拨付情况据实支付承包款。</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④ 按月进行考核：考核结果分为优秀、合格、不合格三个等次。大于等于95分为优秀，大于等于80，小于95分为合格，80分以下为不合格。考核结果优秀的不扣除当月的承包经费。考核结果合格的每月实际支付承包经费按照考核结果折算发放。即：实际支付=基本费用+考核费用×当月考核得分/100。不合格等次扣除当月的考核费用。</w:t>
      </w:r>
      <w:r/>
    </w:p>
    <w:p>
      <w:pPr>
        <w:ind w:firstLine="482"/>
        <w:spacing w:line="360" w:lineRule="atLeas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（二）付款方式（提交预付款保函的）</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① 合同总价款的百分之三十(30%)即￥</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，大写：人民币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元整，在双方签订合同后10个工作日内，由甲方办理政府采购资金结算手续，经审核后支付给乙方。</w:t>
      </w:r>
      <w:r/>
    </w:p>
    <w:p>
      <w:pPr>
        <w:ind w:firstLine="480"/>
        <w:spacing w:line="36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② 承包经费支付：每月支付金额为合同价款1/12减去考核扣除金额</w:t>
      </w:r>
      <w:r>
        <w:rPr>
          <w:rFonts w:hint="eastAsia" w:ascii="宋体" w:hAnsi="宋体" w:cs="宋体"/>
          <w:sz w:val="24"/>
          <w:szCs w:val="24"/>
          <w:highlight w:val="none"/>
        </w:rPr>
        <w:t xml:space="preserve">（在支付第一次服务费时扣除预付款）。月支付金额分摊管护费用的60%为基本费用，月分摊管护费用的40%为考核费用。</w:t>
      </w:r>
      <w:r>
        <w:rPr>
          <w:rFonts w:hint="eastAsia" w:ascii="宋体" w:hAnsi="宋体" w:cs="宋体"/>
          <w:color w:val="000000"/>
          <w:sz w:val="24"/>
          <w:szCs w:val="24"/>
          <w:highlight w:val="none"/>
        </w:rPr>
        <w:t xml:space="preserve">详见《南四湖小沿河水源地涵养林、水面、坡面、水生植物、景观绿地养护管理考核办法》（简称考核办法）</w:t>
      </w:r>
      <w:r/>
    </w:p>
    <w:p>
      <w:pPr>
        <w:ind w:firstLine="480"/>
        <w:spacing w:line="36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 ③ 月分摊考核费用的60%为管理所考核占比，40%为安全管理科考核占比。小沿河管理所按月考核，并将考核结果汇总报至安全管理科，由安全管理科审核后按支付流程向财政申请经费，将根据财政资金拨付情况据实支付承包款。</w:t>
      </w:r>
      <w:r/>
    </w:p>
    <w:p>
      <w:pPr>
        <w:ind w:firstLine="480"/>
        <w:spacing w:line="36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④ 按月进行考核：考核结果分为优秀、合格、不合格三个等次。大于等于95分为优秀，大于等于80，小于95分为合格，80分以下为不合格。考核结果优秀的不扣除当月的承包经费。考核结果合格的每月实际支付承包经费按照考核结果折算发放。即：实际支付=基本费用+考核费用×当月考核得分/100。不合格等次扣除当月的考核费用。</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三、履约保证函：</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乙方在签订合同之前交纳履约保证函（履约保证函为合同总价的10%，</w:t>
      </w:r>
      <w:r>
        <w:rPr>
          <w:rFonts w:hint="eastAsia" w:ascii="宋体" w:hAnsi="宋体" w:cs="宋体"/>
          <w:color w:val="000000"/>
          <w:sz w:val="24"/>
          <w:szCs w:val="24"/>
          <w:highlight w:val="none"/>
          <w:lang w:eastAsia="zh-CN"/>
        </w:rPr>
        <w:t xml:space="preserve">为非现金形式</w:t>
      </w:r>
      <w:r>
        <w:rPr>
          <w:rFonts w:hint="eastAsia" w:ascii="宋体" w:hAnsi="宋体" w:cs="宋体"/>
          <w:color w:val="000000"/>
          <w:sz w:val="24"/>
          <w:szCs w:val="24"/>
          <w:highlight w:val="none"/>
        </w:rPr>
        <w:t xml:space="preserve">）,合同期期内，乙方无违约行为的，合同期满后履约保函（无息）全额返还。</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四、质量标准：</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1、河道坡面、水面养护按照徐政办发【2014】79号文中中A级河道养护质量标准执行。</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2、涵养林、水生植物、景观绿地养护按照DB 3203/502-2008《园林绿化养护管理规范》三级绿地标准执行。</w:t>
      </w:r>
      <w:r/>
    </w:p>
    <w:p>
      <w:pPr>
        <w:ind w:firstLine="480"/>
        <w:spacing w:line="300" w:lineRule="auto"/>
        <w:rPr>
          <w:rFonts w:ascii="宋体" w:hAnsi="宋体" w:cs="宋体"/>
          <w:sz w:val="24"/>
          <w:szCs w:val="24"/>
          <w:highlight w:val="none"/>
        </w:rPr>
      </w:pPr>
      <w:r>
        <w:rPr>
          <w:rFonts w:hint="eastAsia" w:ascii="宋体" w:hAnsi="宋体" w:cs="宋体"/>
          <w:sz w:val="24"/>
          <w:szCs w:val="24"/>
          <w:highlight w:val="none"/>
        </w:rPr>
        <w:t xml:space="preserve">3、保护区内其他绿化苗木按甲方要求及时修剪养护，如垂柳、水杉等。</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五、河道坡面、水面、涵养林、水生植物、景观绿地养护具体要求见附件2相关内容及考核表。</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六、管护作业时间</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1、管护时间：水草打捞及其他养护人员每天工作时间不得少于8小时，并完成当天工作任务。区域节点看护人员24小时有人值守，看护期间造成甲方设施设备等资产被盗，乙方负责全额赔偿。</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2、若遇重大活动、突发事件等特殊情况，乙方应无条件服从甲方对管护时间的调整。</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七、管护考核标准：详见附件1，附件2。</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八、管护工作的检查：详见附件1，附件2。</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九、权利和义务</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（一）甲方权利和义务</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1、对乙方给予工作的指导，按照安全作业的相关要求，对乙方的安全工作进行检查考核。</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按照附件1、附件2对乙方的工作进行检查考核；对管护工作不力、造成不良影响和发生事故的乙方，通报批评，相应处罚；对在甲方月检查考核中连续三次不合格、新闻媒体连续二次曝光、拖欠管护员工资、发生重大安全作业事故等违规现象之一的，甲方有权即行中止合同。</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3、发现保护区内由于驻场人员原因在管护工作中不应出现的问题，造成甲方不良影响，由甲方根据有关规定移交乙方处理。</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4、根据检查考核结果，由甲方办理政府采购资金结算手续，经审核后支付给乙方。</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5、要求乙方的管护车、船，管护人员按甲方要求统一的标志和着装，费用由乙方承担。</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6、听取乙方提出的合理建议并给予答复。</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（二）乙方权利和义务</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1、按照附件1、附件2中的考核管护内容和标准开展保护区涵养林、水面、坡面、水生植物、景观绿地养护及相关区域节点看护等综合服务工作，确保水源地水质稳定、干净整洁。</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为保证管护工作正常有效开展，乙方应组成固定的专业管护队伍，按一船二人定岗。管护人员年龄18-65周岁，身体健康，并且会游泳。乙方必须与管护人员签订用工合同及购买人身意外伤害保险。乙方按月支付管护人员工资，严禁发生拖欠工资现象。工资水平不得低于地方制定的最低工资标准。在管护过程中，由于乙方管理不善、违规操作等出现的一切安全事故均由乙方承担，并赔偿由此给甲方等单位带来的一切损失。</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3、按照附件2要求，制定和建立管护管理相关制度和台帐，建立每日自查制度，如实填写自查报表，按时报甲方。</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乙方必须向甲方作出书面安全承诺，承担管护人员、船只等全部安全责任，每只管护船必须配备救生圈，管护人员均需配备救生衣。管护人员工作时间不得饮酒并严禁酒后作业。如因乙方在安全、管理等方面管理不善，造成甲方损失，乙方应赔偿甲方的全部损失。</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5、乙方所聘用的管护人员应遵纪守法、文明作业，统一着装；管护船只应设置统一标志，保持船况良好，船容整洁。</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6、打捞上岸的垃圾、杂物应按规定的时间及时外运，清运垃圾时间不得冲抵管护时间，做到日捞日清，打捞船内无积存垃圾，不发生将捞出的垃圾随意丢弃或乱堆乱放，</w:t>
      </w:r>
      <w:r>
        <w:rPr>
          <w:rFonts w:hint="eastAsia" w:ascii="宋体" w:hAnsi="宋体" w:cs="宋体"/>
          <w:sz w:val="24"/>
          <w:szCs w:val="24"/>
          <w:highlight w:val="none"/>
        </w:rPr>
        <w:t xml:space="preserve">14台曝气机周边日常垃圾及水草清理。</w:t>
      </w:r>
      <w:r>
        <w:rPr>
          <w:rFonts w:hint="eastAsia" w:ascii="宋体" w:hAnsi="宋体" w:cs="宋体"/>
          <w:color w:val="000000"/>
          <w:sz w:val="24"/>
          <w:szCs w:val="24"/>
          <w:highlight w:val="none"/>
        </w:rPr>
        <w:t xml:space="preserve">保护区护栏内绿化苗木按甲方要求及时修剪养护，如垂柳、水杉等。所有垃圾不得焚烧和二次污染，存放、处理地点由乙方自行解决，所发生的全部费用由乙方承担。</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7、遇重大节日或重大活动，乙方应服从甲方的要求和安排，做好突击性的管护工作。</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8、接受社会和广大市民的监督，对群众提出的合理要求视事情大小，一般情况必须在1小时内进行整改。</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9、按照附件1、附件2中表1、2，接受甲方的各类检查、考核及其结果。</w:t>
      </w:r>
      <w:r/>
    </w:p>
    <w:p>
      <w:pPr>
        <w:ind w:firstLine="480"/>
        <w:spacing w:line="300" w:lineRule="auto"/>
        <w:rPr>
          <w:rFonts w:ascii="宋体" w:hAnsi="宋体" w:cs="宋体"/>
          <w:sz w:val="24"/>
          <w:szCs w:val="24"/>
          <w:highlight w:val="none"/>
        </w:rPr>
      </w:pPr>
      <w:r>
        <w:rPr>
          <w:rFonts w:hint="eastAsia" w:ascii="宋体" w:hAnsi="宋体" w:cs="宋体"/>
          <w:sz w:val="24"/>
          <w:szCs w:val="24"/>
          <w:highlight w:val="none"/>
        </w:rPr>
        <w:t xml:space="preserve">10、准时参加管理部门召开的会议。</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11、不得将中标（成交）的采购包再行转包。</w:t>
      </w:r>
      <w:r/>
    </w:p>
    <w:p>
      <w:pPr>
        <w:ind w:firstLine="480"/>
        <w:spacing w:line="300" w:lineRule="auto"/>
        <w:rPr>
          <w:rFonts w:ascii="宋体" w:hAnsi="宋体" w:cs="宋体"/>
          <w:sz w:val="24"/>
          <w:szCs w:val="24"/>
          <w:highlight w:val="none"/>
        </w:rPr>
      </w:pPr>
      <w:r>
        <w:rPr>
          <w:rFonts w:hint="eastAsia" w:ascii="宋体" w:hAnsi="宋体" w:cs="宋体"/>
          <w:sz w:val="24"/>
          <w:szCs w:val="24"/>
          <w:highlight w:val="none"/>
        </w:rPr>
        <w:t xml:space="preserve">12、配合管理部门开展水源地保护相关工作。</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十、违约责任</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1、乙方如将中标（成交）采购包再行转包，甲方有权立即终止合同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并要求乙方按照合同总价的20%承担违约责任</w:t>
      </w:r>
      <w:r>
        <w:rPr>
          <w:rFonts w:hint="eastAsia" w:ascii="宋体" w:hAnsi="宋体" w:cs="宋体"/>
          <w:color w:val="000000"/>
          <w:sz w:val="24"/>
          <w:szCs w:val="24"/>
          <w:highlight w:val="none"/>
        </w:rPr>
        <w:t xml:space="preserve">。</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2、如乙方在甲方月检查考核中连续三次不合格、媒体连续二次曝光、拖欠管护员工资、发生重大安全作业事故等违规现象之一的，甲方有权即行中止合同并由乙方承担相关责任。</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十一、其它责任：</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由于第三方或不可抗力原因造成合同管护河段部分或全部暂停管护的，其费用由双方协商确定。</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小沿河管理所负责日常管理及及考核结果的汇总工作，负责人为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。乙方指定现场负责人为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十二、合同的生效</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本合同在双方签字盖章，并经政府采购管理机构备案后即生效。</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十三、附则</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1、合同份数</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本合同一式</w:t>
      </w:r>
      <w:r>
        <w:rPr>
          <w:rFonts w:hint="eastAsia" w:ascii="宋体" w:hAnsi="宋体" w:cs="宋体"/>
          <w:b/>
          <w:bCs/>
          <w:color w:val="000000"/>
          <w:sz w:val="24"/>
          <w:szCs w:val="24"/>
          <w:highlight w:val="none"/>
          <w:u w:val="single"/>
        </w:rPr>
        <w:t xml:space="preserve">肆</w:t>
      </w:r>
      <w:r>
        <w:rPr>
          <w:rFonts w:hint="eastAsia" w:ascii="宋体" w:hAnsi="宋体" w:cs="宋体"/>
          <w:color w:val="000000"/>
          <w:sz w:val="24"/>
          <w:szCs w:val="24"/>
          <w:highlight w:val="none"/>
        </w:rPr>
        <w:t xml:space="preserve">份，具有同等法律效力，甲方</w:t>
      </w:r>
      <w:r>
        <w:rPr>
          <w:rFonts w:hint="eastAsia" w:ascii="宋体" w:hAnsi="宋体" w:cs="宋体"/>
          <w:b/>
          <w:bCs/>
          <w:color w:val="000000"/>
          <w:sz w:val="24"/>
          <w:szCs w:val="24"/>
          <w:highlight w:val="none"/>
          <w:u w:val="single"/>
        </w:rPr>
        <w:t xml:space="preserve">贰</w:t>
      </w:r>
      <w:r>
        <w:rPr>
          <w:rFonts w:hint="eastAsia" w:ascii="宋体" w:hAnsi="宋体" w:cs="宋体"/>
          <w:color w:val="000000"/>
          <w:sz w:val="24"/>
          <w:szCs w:val="24"/>
          <w:highlight w:val="none"/>
        </w:rPr>
        <w:t xml:space="preserve">份，乙方</w:t>
      </w:r>
      <w:r>
        <w:rPr>
          <w:rFonts w:hint="eastAsia" w:ascii="宋体" w:hAnsi="宋体" w:cs="宋体"/>
          <w:b/>
          <w:bCs/>
          <w:color w:val="000000"/>
          <w:sz w:val="24"/>
          <w:szCs w:val="24"/>
          <w:highlight w:val="none"/>
          <w:u w:val="single"/>
        </w:rPr>
        <w:t xml:space="preserve">贰</w:t>
      </w:r>
      <w:r>
        <w:rPr>
          <w:rFonts w:hint="eastAsia" w:ascii="宋体" w:hAnsi="宋体" w:cs="宋体"/>
          <w:color w:val="000000"/>
          <w:sz w:val="24"/>
          <w:szCs w:val="24"/>
          <w:highlight w:val="none"/>
        </w:rPr>
        <w:t xml:space="preserve">份。</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2、未尽事宜</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本合同未尽事宜应按《中华人民共和国民法典》、《中华人民共和国政府采购法》以及其同相关法律、法规之规定解释。</w:t>
      </w:r>
      <w:r/>
    </w:p>
    <w:p>
      <w:pPr>
        <w:ind w:firstLine="480"/>
        <w:spacing w:line="300" w:lineRule="auto"/>
        <w:rPr>
          <w:rFonts w:ascii="宋体" w:hAnsi="宋体" w:cs="宋体"/>
          <w:sz w:val="24"/>
          <w:szCs w:val="24"/>
          <w:highlight w:val="none"/>
        </w:rPr>
      </w:pPr>
      <w:r>
        <w:rPr>
          <w:rFonts w:hint="eastAsia" w:ascii="宋体" w:hAnsi="宋体" w:cs="宋体"/>
          <w:sz w:val="24"/>
          <w:szCs w:val="24"/>
          <w:highlight w:val="none"/>
        </w:rPr>
        <w:t xml:space="preserve">3、双方发生争议协商解决，协商不成双方均可向甲方所在地人民法院提起诉讼。</w:t>
      </w:r>
      <w:r/>
    </w:p>
    <w:p>
      <w:pPr>
        <w:ind w:firstLine="480"/>
        <w:spacing w:line="30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甲方（盖章）：            乙方（盖章）：</w:t>
      </w:r>
      <w:r/>
    </w:p>
    <w:p>
      <w:pPr>
        <w:ind w:firstLine="48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法定代表人或授权代表(签名)：     法定代表人或授权代表(签名)：</w:t>
      </w:r>
      <w:r/>
    </w:p>
    <w:p>
      <w:pPr>
        <w:ind w:firstLine="5040"/>
        <w:spacing w:line="30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开户银行及帐号：</w:t>
      </w:r>
      <w:r/>
    </w:p>
    <w:p>
      <w:pPr>
        <w:ind w:firstLine="300"/>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 </w:t>
      </w:r>
      <w:r/>
    </w:p>
    <w:p>
      <w:pPr>
        <w:ind w:firstLine="300"/>
        <w:rPr>
          <w:rFonts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 </w:t>
      </w:r>
      <w:r/>
    </w:p>
    <w:p>
      <w:pPr>
        <w:ind w:left="1346" w:hanging="626"/>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附件：1、徐州市南四湖小沿河饮用水源地水生态保护及水面保洁管护内容、人员设备配备一览表</w:t>
      </w:r>
      <w:r/>
    </w:p>
    <w:p>
      <w:pPr>
        <w:ind w:left="1440" w:hanging="1440"/>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          2、徐州市南四湖小沿河饮用水源地水生态保护及水面保洁河水源地、涵养林、水面、坡面、水生植物、景观绿地养护管理考核办法</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br w:type="page" w:clear="all"/>
      </w:r>
      <w:r>
        <w:rPr>
          <w:rFonts w:hint="eastAsia" w:ascii="宋体" w:hAnsi="宋体" w:cs="宋体"/>
          <w:b/>
          <w:color w:val="000000"/>
          <w:sz w:val="24"/>
          <w:szCs w:val="24"/>
          <w:highlight w:val="none"/>
        </w:rPr>
        <w:t xml:space="preserve">附件1：</w:t>
      </w:r>
      <w:r>
        <w:rPr>
          <w:rFonts w:hint="eastAsia" w:ascii="宋体" w:hAnsi="宋体" w:cs="宋体"/>
          <w:b/>
          <w:color w:val="000000"/>
          <w:sz w:val="24"/>
          <w:szCs w:val="24"/>
          <w:highlight w:val="none"/>
        </w:rPr>
        <w:t xml:space="preserve">徐州市南四湖小沿河饮用水源地水生态保护及水面保洁管护内容、人员设备配备一览表</w:t>
      </w:r>
      <w:r/>
    </w:p>
    <w:tbl>
      <w:tblPr>
        <w:tblStyle w:val="747"/>
        <w:tblW w:w="8336"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94"/>
        <w:gridCol w:w="820"/>
        <w:gridCol w:w="2167"/>
        <w:gridCol w:w="2287"/>
        <w:gridCol w:w="922"/>
        <w:gridCol w:w="1546"/>
      </w:tblGrid>
      <w:tr>
        <w:trPr>
          <w:trHeight w:val="653"/>
        </w:trPr>
        <w:tc>
          <w:tcPr>
            <w:tcMar>
              <w:left w:w="15" w:type="dxa"/>
              <w:top w:w="15" w:type="dxa"/>
              <w:right w:w="15" w:type="dxa"/>
              <w:bottom w:w="0" w:type="dxa"/>
            </w:tcMar>
            <w:tcW w:w="594"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采购包</w:t>
            </w:r>
            <w:r/>
          </w:p>
        </w:tc>
        <w:tc>
          <w:tcPr>
            <w:tcMar>
              <w:left w:w="15" w:type="dxa"/>
              <w:top w:w="15" w:type="dxa"/>
              <w:right w:w="15" w:type="dxa"/>
              <w:bottom w:w="0" w:type="dxa"/>
            </w:tcMar>
            <w:tcW w:w="820"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起止点</w:t>
            </w:r>
            <w:r/>
          </w:p>
        </w:tc>
        <w:tc>
          <w:tcPr>
            <w:tcMar>
              <w:left w:w="15" w:type="dxa"/>
              <w:top w:w="15" w:type="dxa"/>
              <w:right w:w="15" w:type="dxa"/>
              <w:bottom w:w="0" w:type="dxa"/>
            </w:tcMar>
            <w:tcW w:w="2167"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管护面积、内容及管护要求</w:t>
            </w:r>
            <w:r/>
          </w:p>
        </w:tc>
        <w:tc>
          <w:tcPr>
            <w:tcMar>
              <w:left w:w="15" w:type="dxa"/>
              <w:top w:w="15" w:type="dxa"/>
              <w:right w:w="15" w:type="dxa"/>
              <w:bottom w:w="0" w:type="dxa"/>
            </w:tcMar>
            <w:tcW w:w="2287" w:type="dxa"/>
            <w:vAlign w:val="center"/>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管护设备标准（最低标准）</w:t>
            </w:r>
            <w:r/>
          </w:p>
        </w:tc>
        <w:tc>
          <w:tcPr>
            <w:tcMar>
              <w:left w:w="15" w:type="dxa"/>
              <w:top w:w="15" w:type="dxa"/>
              <w:right w:w="15" w:type="dxa"/>
              <w:bottom w:w="0" w:type="dxa"/>
            </w:tcMar>
            <w:tcW w:w="922" w:type="dxa"/>
            <w:vAlign w:val="center"/>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管理人员配备数量（最低标准）</w:t>
            </w:r>
            <w:r/>
          </w:p>
        </w:tc>
        <w:tc>
          <w:tcPr>
            <w:tcMar>
              <w:left w:w="15" w:type="dxa"/>
              <w:top w:w="15" w:type="dxa"/>
              <w:right w:w="15" w:type="dxa"/>
              <w:bottom w:w="0" w:type="dxa"/>
            </w:tcMar>
            <w:tcW w:w="1546"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备注</w:t>
            </w:r>
            <w:r/>
          </w:p>
        </w:tc>
      </w:tr>
      <w:tr>
        <w:trPr>
          <w:trHeight w:val="2002"/>
        </w:trPr>
        <w:tc>
          <w:tcPr>
            <w:tcMar>
              <w:left w:w="15" w:type="dxa"/>
              <w:top w:w="15" w:type="dxa"/>
              <w:right w:w="15" w:type="dxa"/>
              <w:bottom w:w="0" w:type="dxa"/>
            </w:tcMar>
            <w:tcW w:w="594" w:type="dxa"/>
            <w:vAlign w:val="center"/>
            <w:vMerge w:val="restart"/>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一</w:t>
            </w:r>
            <w:r/>
          </w:p>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 </w:t>
            </w:r>
            <w:r/>
          </w:p>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标</w:t>
            </w:r>
            <w:r/>
          </w:p>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 </w:t>
            </w:r>
            <w:r/>
          </w:p>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段</w:t>
            </w:r>
            <w:r/>
          </w:p>
        </w:tc>
        <w:tc>
          <w:tcPr>
            <w:tcMar>
              <w:left w:w="15" w:type="dxa"/>
              <w:top w:w="15" w:type="dxa"/>
              <w:right w:w="15" w:type="dxa"/>
              <w:bottom w:w="0" w:type="dxa"/>
            </w:tcMar>
            <w:tcW w:w="820"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一级保护区1.65公里（取水口-梁山桥）</w:t>
            </w:r>
            <w:r/>
          </w:p>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 </w:t>
            </w:r>
            <w:r/>
          </w:p>
        </w:tc>
        <w:tc>
          <w:tcPr>
            <w:tcMar>
              <w:left w:w="15" w:type="dxa"/>
              <w:top w:w="15" w:type="dxa"/>
              <w:right w:w="15" w:type="dxa"/>
              <w:bottom w:w="0" w:type="dxa"/>
            </w:tcMar>
            <w:tcW w:w="2167" w:type="dxa"/>
            <w:vAlign w:val="center"/>
            <w:textDirection w:val="lrTb"/>
            <w:noWrap w:val="false"/>
          </w:tcPr>
          <w:p>
            <w:pPr>
              <w:ind w:firstLine="240"/>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常水位水面面积130537㎡，河坡面积14850㎡，水生植物41992㎡。一级保护区取水口24小时及保洁安排管护，，</w:t>
            </w:r>
            <w:r>
              <w:rPr>
                <w:rFonts w:hint="eastAsia" w:ascii="宋体" w:hAnsi="宋体" w:cs="宋体"/>
                <w:sz w:val="24"/>
                <w:szCs w:val="24"/>
                <w:highlight w:val="none"/>
              </w:rPr>
              <w:t xml:space="preserve">14台曝气机周边日常垃圾及水草清理</w:t>
            </w:r>
            <w:r>
              <w:rPr>
                <w:rFonts w:hint="eastAsia" w:ascii="宋体" w:hAnsi="宋体" w:cs="宋体"/>
                <w:color w:val="000000"/>
                <w:sz w:val="24"/>
                <w:szCs w:val="24"/>
                <w:highlight w:val="none"/>
              </w:rPr>
              <w:t xml:space="preserve">。</w:t>
            </w:r>
            <w:r/>
          </w:p>
        </w:tc>
        <w:tc>
          <w:tcPr>
            <w:tcMar>
              <w:left w:w="15" w:type="dxa"/>
              <w:top w:w="15" w:type="dxa"/>
              <w:right w:w="15" w:type="dxa"/>
              <w:bottom w:w="0" w:type="dxa"/>
            </w:tcMar>
            <w:tcW w:w="2287"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打捞船3艘（2艘打捞船，1艘垃圾清运船），机动垃圾清运车1辆，草坪割灌机3台，以及能够满足要求的其他小型常用工具。</w:t>
            </w:r>
            <w:r/>
          </w:p>
        </w:tc>
        <w:tc>
          <w:tcPr>
            <w:tcMar>
              <w:left w:w="15" w:type="dxa"/>
              <w:top w:w="15" w:type="dxa"/>
              <w:right w:w="15" w:type="dxa"/>
              <w:bottom w:w="0" w:type="dxa"/>
            </w:tcMar>
            <w:tcW w:w="922"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7人（船6人，机动车1人）</w:t>
            </w:r>
            <w:r/>
          </w:p>
        </w:tc>
        <w:tc>
          <w:tcPr>
            <w:tcMar>
              <w:left w:w="15" w:type="dxa"/>
              <w:top w:w="15" w:type="dxa"/>
              <w:right w:w="15" w:type="dxa"/>
              <w:bottom w:w="0" w:type="dxa"/>
            </w:tcMar>
            <w:tcW w:w="1546" w:type="dxa"/>
            <w:vAlign w:val="center"/>
            <w:vMerge w:val="restart"/>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垃圾清理由管护公司自主安排人员清理、外运至保护区外，确保不燃烧、不二次污染（地点、费用自负）。</w:t>
            </w:r>
            <w:r/>
          </w:p>
        </w:tc>
      </w:tr>
      <w:tr>
        <w:trPr>
          <w:trHeight w:val="1938"/>
        </w:trPr>
        <w:tc>
          <w:tcPr>
            <w:tcW w:w="594" w:type="dxa"/>
            <w:vMerge w:val="continue"/>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Mar>
              <w:left w:w="15" w:type="dxa"/>
              <w:top w:w="15" w:type="dxa"/>
              <w:right w:w="15" w:type="dxa"/>
              <w:bottom w:w="0" w:type="dxa"/>
            </w:tcMar>
            <w:tcW w:w="820"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二级保护区及准保护区6.35公里（梁山桥-黄庄地涵）</w:t>
            </w:r>
            <w:r/>
          </w:p>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 </w:t>
            </w:r>
            <w:r/>
          </w:p>
        </w:tc>
        <w:tc>
          <w:tcPr>
            <w:tcMar>
              <w:left w:w="15" w:type="dxa"/>
              <w:top w:w="15" w:type="dxa"/>
              <w:right w:w="15" w:type="dxa"/>
              <w:bottom w:w="0" w:type="dxa"/>
            </w:tcMar>
            <w:tcW w:w="2167"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常水位水面面积281305㎡，河坡面积60960㎡，水生植物46274㎡，悬床6600㎡。二级保护区（含运粮河闸）、准保护区24小时安排人员看护与管理。</w:t>
            </w:r>
            <w:r/>
          </w:p>
        </w:tc>
        <w:tc>
          <w:tcPr>
            <w:tcMar>
              <w:left w:w="15" w:type="dxa"/>
              <w:top w:w="15" w:type="dxa"/>
              <w:right w:w="15" w:type="dxa"/>
              <w:bottom w:w="0" w:type="dxa"/>
            </w:tcMar>
            <w:tcW w:w="2287"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打捞船9艘（7艘打捞船，2艘垃圾清运船），1辆机动垃圾清运车，3台割灌机，以及能够满足要求的其他小型常用工具。</w:t>
            </w:r>
            <w:r/>
          </w:p>
        </w:tc>
        <w:tc>
          <w:tcPr>
            <w:tcMar>
              <w:left w:w="15" w:type="dxa"/>
              <w:top w:w="15" w:type="dxa"/>
              <w:right w:w="15" w:type="dxa"/>
              <w:bottom w:w="0" w:type="dxa"/>
            </w:tcMar>
            <w:tcW w:w="922"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19人（每船2人，含机动驾驶员1人）</w:t>
            </w:r>
            <w:r/>
          </w:p>
        </w:tc>
        <w:tc>
          <w:tcPr>
            <w:tcW w:w="1546" w:type="dxa"/>
            <w:vMerge w:val="continue"/>
            <w:textDirection w:val="lrTb"/>
            <w:noWrap w:val="false"/>
          </w:tcPr>
          <w:p>
            <w:pPr>
              <w:rPr>
                <w:rFonts w:ascii="宋体" w:hAnsi="宋体" w:cs="宋体"/>
                <w:sz w:val="24"/>
                <w:szCs w:val="24"/>
                <w:highlight w:val="none"/>
              </w:rPr>
            </w:pPr>
            <w:r>
              <w:rPr>
                <w:rFonts w:ascii="宋体" w:hAnsi="宋体" w:cs="宋体"/>
                <w:sz w:val="24"/>
                <w:szCs w:val="24"/>
                <w:highlight w:val="none"/>
              </w:rPr>
            </w:r>
            <w:r/>
          </w:p>
        </w:tc>
      </w:tr>
      <w:tr>
        <w:trPr>
          <w:trHeight w:val="90"/>
        </w:trPr>
        <w:tc>
          <w:tcPr>
            <w:tcW w:w="594" w:type="dxa"/>
            <w:vMerge w:val="continue"/>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Mar>
              <w:left w:w="15" w:type="dxa"/>
              <w:top w:w="15" w:type="dxa"/>
              <w:right w:w="15" w:type="dxa"/>
              <w:bottom w:w="0" w:type="dxa"/>
            </w:tcMar>
            <w:tcW w:w="820"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其他相关区域及节点</w:t>
            </w:r>
            <w:r/>
          </w:p>
        </w:tc>
        <w:tc>
          <w:tcPr>
            <w:tcMar>
              <w:left w:w="15" w:type="dxa"/>
              <w:top w:w="15" w:type="dxa"/>
              <w:right w:w="15" w:type="dxa"/>
              <w:bottom w:w="0" w:type="dxa"/>
            </w:tcMar>
            <w:tcW w:w="2167"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排涝泵站、向阳渠闸、运粮河闸、景山中沟闸及景山地涵24小时安排人员看护与管理。</w:t>
            </w:r>
            <w:r/>
          </w:p>
        </w:tc>
        <w:tc>
          <w:tcPr>
            <w:tcMar>
              <w:left w:w="15" w:type="dxa"/>
              <w:top w:w="15" w:type="dxa"/>
              <w:right w:w="15" w:type="dxa"/>
              <w:bottom w:w="0" w:type="dxa"/>
            </w:tcMar>
            <w:tcW w:w="2287"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tc>
        <w:tc>
          <w:tcPr>
            <w:tcMar>
              <w:left w:w="15" w:type="dxa"/>
              <w:top w:w="15" w:type="dxa"/>
              <w:right w:w="15" w:type="dxa"/>
              <w:bottom w:w="0" w:type="dxa"/>
            </w:tcMar>
            <w:tcW w:w="922"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4人（含管理人员</w:t>
            </w:r>
            <w:r>
              <w:rPr>
                <w:rFonts w:hint="eastAsia" w:ascii="宋体" w:hAnsi="宋体" w:cs="宋体"/>
                <w:color w:val="000000"/>
                <w:sz w:val="24"/>
                <w:szCs w:val="24"/>
                <w:highlight w:val="none"/>
              </w:rPr>
              <w:t xml:space="preserve">）</w:t>
            </w:r>
            <w:r/>
          </w:p>
        </w:tc>
        <w:tc>
          <w:tcPr>
            <w:tcMar>
              <w:left w:w="15" w:type="dxa"/>
              <w:top w:w="15" w:type="dxa"/>
              <w:right w:w="15" w:type="dxa"/>
              <w:bottom w:w="0" w:type="dxa"/>
            </w:tcMar>
            <w:tcW w:w="1546"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各节点24小时有人员值守，并负责辖区内卫生、安全等工作，在保证24小时有人值守的基础上，管护公司可自主安排相关人员或参与其他工作</w:t>
            </w:r>
            <w:r/>
          </w:p>
        </w:tc>
      </w:tr>
      <w:tr>
        <w:trPr>
          <w:trHeight w:val="1119"/>
        </w:trPr>
        <w:tc>
          <w:tcPr>
            <w:tcMar>
              <w:left w:w="15" w:type="dxa"/>
              <w:top w:w="15" w:type="dxa"/>
              <w:right w:w="15" w:type="dxa"/>
              <w:bottom w:w="0" w:type="dxa"/>
            </w:tcMar>
            <w:tcW w:w="594" w:type="dxa"/>
            <w:vAlign w:val="center"/>
            <w:vMerge w:val="restart"/>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二</w:t>
            </w:r>
            <w:r/>
          </w:p>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 </w:t>
            </w:r>
            <w:r/>
          </w:p>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标</w:t>
            </w:r>
            <w:r/>
          </w:p>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 </w:t>
            </w:r>
            <w:r/>
          </w:p>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段</w:t>
            </w:r>
            <w:r/>
          </w:p>
        </w:tc>
        <w:tc>
          <w:tcPr>
            <w:tcMar>
              <w:left w:w="15" w:type="dxa"/>
              <w:top w:w="15" w:type="dxa"/>
              <w:right w:w="15" w:type="dxa"/>
              <w:bottom w:w="0" w:type="dxa"/>
            </w:tcMar>
            <w:tcW w:w="820"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一级保护区</w:t>
            </w:r>
            <w:r/>
          </w:p>
        </w:tc>
        <w:tc>
          <w:tcPr>
            <w:tcMar>
              <w:left w:w="15" w:type="dxa"/>
              <w:top w:w="15" w:type="dxa"/>
              <w:right w:w="15" w:type="dxa"/>
              <w:bottom w:w="0" w:type="dxa"/>
            </w:tcMar>
            <w:tcW w:w="2167"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景观绿地（管理所西侧、取水口南岸）43527㎡，景绿地（管理所）15300㎡，</w:t>
            </w:r>
            <w:r>
              <w:rPr>
                <w:rFonts w:hint="eastAsia" w:ascii="宋体" w:hAnsi="宋体" w:cs="宋体"/>
                <w:sz w:val="24"/>
                <w:szCs w:val="24"/>
                <w:highlight w:val="none"/>
              </w:rPr>
              <w:t xml:space="preserve">新增一级保护区涵养林27494平</w:t>
            </w:r>
            <w:r>
              <w:rPr>
                <w:rFonts w:hint="eastAsia" w:ascii="宋体" w:hAnsi="宋体" w:cs="宋体"/>
                <w:color w:val="000000" w:themeColor="text1"/>
                <w:sz w:val="24"/>
                <w:szCs w:val="24"/>
                <w:highlight w:val="none"/>
                <w14:textFill>
                  <w14:solidFill>
                    <w14:schemeClr w14:val="tx1"/>
                  </w14:solidFill>
                </w14:textFill>
              </w:rPr>
              <w:t xml:space="preserve">方米。</w:t>
            </w:r>
            <w:r/>
          </w:p>
        </w:tc>
        <w:tc>
          <w:tcPr>
            <w:tcMar>
              <w:left w:w="15" w:type="dxa"/>
              <w:top w:w="15" w:type="dxa"/>
              <w:right w:w="15" w:type="dxa"/>
              <w:bottom w:w="0" w:type="dxa"/>
            </w:tcMar>
            <w:tcW w:w="2287"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绿篱机3台，草坪机3台，割灌机2台，汽油泵4台，三轮保洁车2辆，以及能够满足要求的其他小型常用工具。</w:t>
            </w:r>
            <w:r/>
          </w:p>
        </w:tc>
        <w:tc>
          <w:tcPr>
            <w:tcMar>
              <w:left w:w="15" w:type="dxa"/>
              <w:top w:w="15" w:type="dxa"/>
              <w:right w:w="15" w:type="dxa"/>
              <w:bottom w:w="0" w:type="dxa"/>
            </w:tcMar>
            <w:tcW w:w="922"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7人（养护人员5人，修剪技术员2人）</w:t>
            </w:r>
            <w:r/>
          </w:p>
        </w:tc>
        <w:tc>
          <w:tcPr>
            <w:tcMar>
              <w:left w:w="15" w:type="dxa"/>
              <w:top w:w="15" w:type="dxa"/>
              <w:right w:w="15" w:type="dxa"/>
              <w:bottom w:w="0" w:type="dxa"/>
            </w:tcMar>
            <w:tcW w:w="1546" w:type="dxa"/>
            <w:vAlign w:val="center"/>
            <w:vMerge w:val="restart"/>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生产垃圾清理由管护公司自主安排人员清理、外运至保护区外，确保不燃烧、不二次污染（地点、费用自负）。养护人员公司可根据情况自主调节</w:t>
            </w:r>
            <w:r/>
          </w:p>
        </w:tc>
      </w:tr>
      <w:tr>
        <w:trPr>
          <w:trHeight w:val="648"/>
        </w:trPr>
        <w:tc>
          <w:tcPr>
            <w:tcW w:w="594" w:type="dxa"/>
            <w:vMerge w:val="continue"/>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Mar>
              <w:left w:w="15" w:type="dxa"/>
              <w:top w:w="15" w:type="dxa"/>
              <w:right w:w="15" w:type="dxa"/>
              <w:bottom w:w="0" w:type="dxa"/>
            </w:tcMar>
            <w:tcW w:w="820"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二级及准保护区</w:t>
            </w:r>
            <w:r/>
          </w:p>
        </w:tc>
        <w:tc>
          <w:tcPr>
            <w:tcMar>
              <w:left w:w="15" w:type="dxa"/>
              <w:top w:w="15" w:type="dxa"/>
              <w:right w:w="15" w:type="dxa"/>
              <w:bottom w:w="0" w:type="dxa"/>
            </w:tcMar>
            <w:tcW w:w="2167"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涵养林148666 平方米，景观绿地（城子河桥至黄庄地涵两侧）91590㎡，其中，城子河桥至补水泵站右岸10410㎡，补水泵站至黄庄地涵两岸81180㎡</w:t>
            </w:r>
            <w:r/>
          </w:p>
        </w:tc>
        <w:tc>
          <w:tcPr>
            <w:tcMar>
              <w:left w:w="15" w:type="dxa"/>
              <w:top w:w="15" w:type="dxa"/>
              <w:right w:w="15" w:type="dxa"/>
              <w:bottom w:w="0" w:type="dxa"/>
            </w:tcMar>
            <w:tcW w:w="2287"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绿篱机5台，草坪机6台，割灌机3台，汽油泵5台，机动垃圾清运车1辆，三轮保洁车4辆，以及必要的园林机械和安全设备。</w:t>
            </w:r>
            <w:r/>
          </w:p>
        </w:tc>
        <w:tc>
          <w:tcPr>
            <w:tcMar>
              <w:left w:w="15" w:type="dxa"/>
              <w:top w:w="15" w:type="dxa"/>
              <w:right w:w="15" w:type="dxa"/>
              <w:bottom w:w="0" w:type="dxa"/>
            </w:tcMar>
            <w:tcW w:w="922"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18人（养护人员13人含机动车驾驶员1人，修剪技术员5人）</w:t>
            </w:r>
            <w:r/>
          </w:p>
        </w:tc>
        <w:tc>
          <w:tcPr>
            <w:tcW w:w="1546" w:type="dxa"/>
            <w:vMerge w:val="continue"/>
            <w:textDirection w:val="lrTb"/>
            <w:noWrap w:val="false"/>
          </w:tcPr>
          <w:p>
            <w:pPr>
              <w:rPr>
                <w:rFonts w:ascii="宋体" w:hAnsi="宋体" w:cs="宋体"/>
                <w:sz w:val="24"/>
                <w:szCs w:val="24"/>
                <w:highlight w:val="none"/>
              </w:rPr>
            </w:pPr>
            <w:r>
              <w:rPr>
                <w:rFonts w:ascii="宋体" w:hAnsi="宋体" w:cs="宋体"/>
                <w:sz w:val="24"/>
                <w:szCs w:val="24"/>
                <w:highlight w:val="none"/>
              </w:rPr>
            </w:r>
            <w:r/>
          </w:p>
        </w:tc>
      </w:tr>
    </w:tbl>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rPr>
          <w:rFonts w:ascii="宋体" w:hAnsi="宋体" w:cs="宋体"/>
          <w:b/>
          <w:color w:val="000000"/>
          <w:sz w:val="24"/>
          <w:szCs w:val="24"/>
          <w:highlight w:val="none"/>
        </w:rPr>
      </w:pPr>
      <w:r>
        <w:rPr>
          <w:rFonts w:hint="eastAsia" w:ascii="宋体" w:hAnsi="宋体" w:cs="宋体"/>
          <w:b/>
          <w:color w:val="000000"/>
          <w:sz w:val="24"/>
          <w:szCs w:val="24"/>
          <w:highlight w:val="none"/>
        </w:rPr>
        <w:br w:type="page" w:clear="all"/>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附件2：</w:t>
      </w:r>
      <w:r/>
    </w:p>
    <w:p>
      <w:pPr>
        <w:ind w:firstLine="590"/>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徐州市南四湖小沿河饮用水源地水生态保护及水面保洁河水源地</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涵养林、水面、坡面、水生植物、景观绿地养护管理考核办法</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为进一步加强和规范徐州市饮用水源地长效管理工作，保障全市人民的饮用水安全，改善水源地水质与环境，实现水源地“水质稳定、水量充足”的目标，根据市政府办公室关于印发</w:t>
      </w:r>
      <w:r>
        <w:rPr>
          <w:rFonts w:hint="eastAsia" w:ascii="宋体" w:hAnsi="宋体" w:cs="宋体"/>
          <w:color w:val="000000"/>
          <w:sz w:val="24"/>
          <w:szCs w:val="24"/>
          <w:highlight w:val="none"/>
        </w:rPr>
        <w:t xml:space="preserve">《徐州市城市河道保洁质量标准（试行）》的通知（徐政办发〔2014〕79号）及DB 3203/502-2008</w:t>
      </w:r>
      <w:r>
        <w:rPr>
          <w:rFonts w:hint="eastAsia" w:ascii="宋体" w:hAnsi="宋体" w:cs="宋体"/>
          <w:color w:val="000000"/>
          <w:sz w:val="24"/>
          <w:szCs w:val="24"/>
          <w:highlight w:val="none"/>
        </w:rPr>
        <w:t xml:space="preserve">《园林绿化养护管理规范》，特制定本考核办法。</w:t>
      </w:r>
      <w:r/>
    </w:p>
    <w:p>
      <w:pPr>
        <w:ind w:firstLine="411"/>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一、考核职责及分工</w:t>
      </w:r>
      <w:r/>
    </w:p>
    <w:p>
      <w:pPr>
        <w:ind w:firstLine="411"/>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徐州市河湖管理中心（以下简称中心）负责南四湖小沿河水源地的全面管理，小沿河管理所对该项目进行巡检、督导和考核；安全管理科进行抽查和考核，并分别按照合同及考核占比对服务类项目落实情况进行管理。</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二、考核对象及范围</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考核对象：南四湖小沿河水源地管理区承包单位。</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考核范围：南四湖小沿河取水口（湖西航道左岸河口线）至黄庄航道8公里河道管护区范围内涵养林、水面、坡面、水生植物、景观绿地及相关区域节点看护等综合服务工作。</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三、考核方式及方法</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1.按月考核并建立健全的全面日常巡查、不定期抽查和社会监督等考核机制。</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1.1全面巡查：小沿河管理所安排专人每日对该系统运行状态进行巡查，安排专人对管护人员上下班时间、项目服务质量、安全生产等情况进行检查，进行综合打分并计算出采购包周得分及月得分，每周进行通报（口头或文件形式）、每月进行统计，并进行《月检查考核评分表》（附表1、2）、《考核权重表》（附表3.1）材料编制，签字确认后交至安全管理科。</w:t>
      </w:r>
      <w:r/>
    </w:p>
    <w:p>
      <w:pPr>
        <w:ind w:firstLine="411"/>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1.2抽查：安全管理科人员不定期对养护管理情况进行抽检，并进行《月检查</w:t>
      </w:r>
      <w:r>
        <w:rPr>
          <w:rFonts w:hint="eastAsia" w:ascii="宋体" w:hAnsi="宋体" w:cs="宋体"/>
          <w:color w:val="000000" w:themeColor="text1"/>
          <w:sz w:val="24"/>
          <w:szCs w:val="24"/>
          <w:highlight w:val="none"/>
          <w14:textFill>
            <w14:solidFill>
              <w14:schemeClr w14:val="tx1"/>
            </w14:solidFill>
          </w14:textFill>
        </w:rPr>
        <w:t xml:space="preserve">考核评分表》（附表1、2）、《考核权重表》（附表3.2）《服务质量考核结果表》（附表4）等支付材料的编制汇总。</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1.3接受社会监督：每月综合沿河居民、新闻媒体等反映情况进行扣分。</w:t>
      </w:r>
      <w:r/>
    </w:p>
    <w:p>
      <w:pPr>
        <w:numPr>
          <w:ilvl w:val="0"/>
          <w:numId w:val="2"/>
        </w:num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根据中心相关职责分工规定，由小沿河管理所考核占比60%（考核扣分情况提交安全科汇总）；安全管理科考核占比40%开展该项目的管理考核。</w:t>
      </w:r>
      <w:r/>
    </w:p>
    <w:p>
      <w:pPr>
        <w:numPr>
          <w:ilvl w:val="0"/>
          <w:numId w:val="2"/>
        </w:num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四、考核标准及内容</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（一）质量标准</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水面、坡面按照徐政办发【2014】79号文中A级河道养护质量标准，涵养林、水生植物、景观绿地养护参照DB 3203/502-2008《园林绿化养护管理规范》三级绿地标准</w:t>
      </w:r>
      <w:r>
        <w:rPr>
          <w:rFonts w:hint="eastAsia" w:ascii="宋体" w:hAnsi="宋体" w:cs="宋体"/>
          <w:color w:val="000000"/>
          <w:sz w:val="24"/>
          <w:szCs w:val="24"/>
          <w:highlight w:val="none"/>
        </w:rPr>
        <w:t xml:space="preserve">。</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（二）考核标准</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以《南四湖小沿河水源地涵养林、水面、坡面、水生植物、景观绿地养护管理考核办法》（简称考核办法）中《涵养林、水面、坡面、水生植物养护管理月检查考核评分表》、《景观绿地养护管理检查月检查考核评分表》为依据（详见附后表1、2）。对管护区内水面、坡面打捞管护，涵养林、水生植物、景观绿地养护，节点看护管理等方面进行全面日常检查考核。</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（三）考核内容</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1、管理制度</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（1）承包单位应建立水源地管护劳动纪律、教育培训、岗位职责、安全、好人好事登记、违章举报、休息等管理制度。</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承包单位应遵守国家相关的法律法规，与管护人员签订用工合同，按规定为员工交纳各种社会保险，如因承包单位未按规定签订合同及缴纳各种保险，造成的纠纷及相关责任由承包单位全部负责，与发包方无任何关系。</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（3）配合管理所做好管护人员动态管理工作，做到“一人一档”，辞退、聘用管护人员三天之内将《管护员信息登记表》报送管理所。</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2、管护质量</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管护范围：小沿河取水口（湖西航道左岸河口线）至黄庄航道8公里河道管护区范围内涵养林、水面、坡面、水生植物、景观绿地养护及相关区域节点看护。河道两岸有护栏的，管护范围为护栏与护栏之间；河道两岸无护栏的，管护范围已管护边界为准；相关区域节点，管护范围以管护边界为准。</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（2）漂浮物定义：包括生活垃圾、水草、绿萍以及动物尸体、废弃家具、树干（枝）等较大物品。</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水面清洁无漂浮物，及时清理河道内杂草、水生植物、漂浮物等，确保引排通畅，保持水面清洁；岸坡整洁无垃圾，无堆放物料，无生活、建筑垃圾，无翻土种植等现象，保持河坡整洁；河堤范围内无设置障碍、违章搭建、种植、擅自取土等违法现象，维护堤防标准，保持河堤完好；涵养林内及各类乔、灌木，地被等植物应及时修剪和养护；水生植物能够及时养护管理、及时收割，保持良好的生态净水效果。，</w:t>
      </w:r>
      <w:r>
        <w:rPr>
          <w:rFonts w:hint="eastAsia" w:ascii="宋体" w:hAnsi="宋体" w:cs="宋体"/>
          <w:sz w:val="24"/>
          <w:szCs w:val="24"/>
          <w:highlight w:val="none"/>
        </w:rPr>
        <w:t xml:space="preserve">14台曝气机周边日常垃圾及水草清理。</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（4）景观绿地涉及的个别术语和定义 </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模纹：指用园林植物在一个平面上栽种出的各种图案。</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绿篱：指成行密植，作造型修剪而形成的植物墙。</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地被植物：指株丛密集、低矮，用于覆盖地面的植物。</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整形修剪：指用剪、锯、疏、捆、绑、扎等手段，使树木长成特定形状的技术措施。</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施肥：指在植物生长和发育过程中，为补充所需的各种营养元素而采取的肥料施用措施。</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 园林植物养护管理：对园林植物采取灌溉、排涝、修剪、防治病虫、防寒、支撑、扶正、中耕除草、切边、松土、施肥、涂白、苗木调整等技术措施。 </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（5）景观绿地内各类乔、灌木、地被等园林植物应及时</w:t>
      </w:r>
      <w:r>
        <w:rPr>
          <w:rFonts w:hint="eastAsia" w:ascii="宋体" w:hAnsi="宋体" w:cs="宋体"/>
          <w:color w:val="000000"/>
          <w:sz w:val="24"/>
          <w:szCs w:val="24"/>
          <w:highlight w:val="none"/>
        </w:rPr>
        <w:t xml:space="preserve">修剪和养护管理、定期施肥、除草，在干旱或积水时，能及时进行灌溉和排涝，保证绿地整洁、苗木健壮生长。定期对乔、灌木、造型苗木进行修剪整形，保持最佳园林景观效果。地被、色块植物每年应及时中耕除草、对枯死植物进行补植、补种，保证设计效果。绿地内草坪适时进行轧草，草坪的高度控制在8cm左右，路边和树根边的草坪要修剪整平；扎草要求平整，边角无遗漏，草屑及时除净，草坪中杂草及时挑除，干旱季节及时浇水，防止草坪枯黄；草坪发芽前进行浇水、施肥、打孔，生长季节根据情况追施肥，保持草坪无斑秃、无病虫害，保持草坪良好的景观效果。</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加强病虫害的预防，认真执行防治措施，防治效果是否良好，保证各类苗木、草坪地被无病虫危害，不发生药害，不影响水源地水质。绿地内园林植物养护管理过程中产生的垃圾（如：树枝、树叶、草沫等）要做到随产随清，不乱丢；其它地区做到日产日清；保证绿地内整洁等。</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（6）鼓励承包单位根据季节、工作量对采购包人员配置进行优化，但必须保证采购包的基本力量。</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（7）遇重大活动或重要节日，承包单位服从管理所的统一安排和调度，配合做好突击性管护工作。</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（8）接受社会监督，对发现的问题及时处办，有记录有答复。</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（9）相关区域节点管护人员到位，卫生整洁，无脱岗、缺岗现象。</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3、安全生产</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（1）管护人员相对固定，必须做到1船2人。管护人员年龄不大于65周岁，如遇特殊情况需经批准。</w:t>
      </w:r>
      <w:r/>
    </w:p>
    <w:p>
      <w:pPr>
        <w:ind w:firstLine="411"/>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承包单位必须为作业人员购买人身意外伤害保险，并报管理所备案。承包单位应做好承包期间人才物的各项安全措施，为管护人员购买保险，否则出现的一切安全事故责任及损失全部由承包方承担，与发包方无任何关系，造成的损失由承包方负责全部赔偿。</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（3）管理所每月开展一次安全生产检查，将检查结果通报承包单位。</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（4）各节点及保护区的管护期间，如遇设施设备被人为破坏（如堤防）应及时制止并上报管理所（10分钟之内），否则由承包方负责赔偿；如设施设备等资产被盗，由承包方全部赔偿。</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（5）养护单位及管护人员在规定工作时间不得利用现有设备干私活或谋利。</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（6）严禁养护人员酒后上岗，养护设备良好，安全设备齐全。</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4、作业时间及工作要求</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（1）涵养林、水面、坡面、水生植物、景观绿地养护养护每天工作时间不得少于8小时，并完成当天工作任务，严禁管护作业人员迟到、早退等现象。</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（2）河道管护要求全时段巡回打捞清理，每40分钟至少巡回管护1次。</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（3）每日工作期间允许两次休息，每次休息时间不超过15分钟。</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（4）其他相关区域及节点的看护人员要求24小时值守。</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（5）高温、冰冻、台风等恶劣天气，管护时间服从管理所统一安排。</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（6）听从管理人员统一安排，对提出的整改意见要在规定的时间内完成整改任务。</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（7）对某些需紧急处置的情况，在接到管理所通知后，养护单位应无条件在规定时间内突击完成。</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5、文明作业</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（1）管护人员统一服装，文明作业，使用有统一标记的船只，保持船况良好，船容整洁。船只要求做到“三无”，即无积存垃圾、无污迹污水、无杂物堆放。</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（2）严禁河面打捞人员与岸上居民和其他管护人员发生口角、吵架等不文明行为；严禁损坏河岸线设施。</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（3）发现河道违章、水质异常、死鱼、污染物入河、外围河道水草等杂物大量入河必须第一时间汇报。</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（4）发扬助人为乐、拾金不昧等优良传统，积极配合救助落水人员和打捞掉入河内财物。</w:t>
      </w:r>
      <w:r/>
    </w:p>
    <w:p>
      <w:pPr>
        <w:ind w:firstLine="41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五、经费拨付</w:t>
      </w:r>
      <w:r/>
    </w:p>
    <w:p>
      <w:pPr>
        <w:ind w:firstLine="480"/>
        <w:spacing w:line="36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（1）承包经费支付：每月支付金额为合同价款1/12减去考核</w:t>
      </w:r>
      <w:r>
        <w:rPr>
          <w:rFonts w:hint="eastAsia" w:ascii="宋体" w:hAnsi="宋体" w:cs="宋体"/>
          <w:sz w:val="24"/>
          <w:szCs w:val="24"/>
          <w:highlight w:val="none"/>
        </w:rPr>
        <w:t xml:space="preserve">扣除金额（在支付第一次服务费时扣除预付款</w:t>
      </w:r>
      <w:r>
        <w:rPr>
          <w:rFonts w:hint="eastAsia" w:ascii="宋体" w:hAnsi="宋体" w:cs="宋体"/>
          <w:sz w:val="24"/>
          <w:szCs w:val="24"/>
          <w:highlight w:val="none"/>
          <w:lang w:eastAsia="zh-CN"/>
        </w:rPr>
        <w:t xml:space="preserve">，</w:t>
      </w:r>
      <w:r>
        <w:rPr>
          <w:rFonts w:hint="eastAsia" w:ascii="宋体" w:hAnsi="宋体" w:cs="宋体"/>
          <w:color w:val="auto"/>
          <w:sz w:val="24"/>
          <w:szCs w:val="24"/>
          <w:highlight w:val="none"/>
          <w:lang w:eastAsia="zh-CN"/>
        </w:rPr>
        <w:t xml:space="preserve">如第一个月资金不够抵扣就顺延</w:t>
      </w:r>
      <w:r>
        <w:rPr>
          <w:rFonts w:hint="eastAsia" w:ascii="宋体" w:hAnsi="宋体" w:cs="宋体"/>
          <w:sz w:val="24"/>
          <w:szCs w:val="24"/>
          <w:highlight w:val="none"/>
        </w:rPr>
        <w:t xml:space="preserve">）。月支付金额分摊管护费用的60%为基本费用，月分摊管护费用的40%为考核费用。</w:t>
      </w:r>
      <w:r/>
    </w:p>
    <w:p>
      <w:pPr>
        <w:ind w:firstLine="480"/>
        <w:spacing w:line="360" w:lineRule="atLeas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 （2）月分摊考核费用的60%为管理所考核占比，40%为安全管理科考核占比。小沿河管理所按月考核，并将考核结果汇总报至安全管理科，由安全管理科审核</w:t>
      </w:r>
      <w:r>
        <w:rPr>
          <w:rFonts w:hint="eastAsia" w:ascii="宋体" w:hAnsi="宋体" w:cs="宋体"/>
          <w:sz w:val="24"/>
          <w:szCs w:val="24"/>
          <w:highlight w:val="none"/>
        </w:rPr>
        <w:t xml:space="preserve">后按支付流程向财政申请经费，将根据财政资金拨付情况据实支付承包款。</w:t>
      </w:r>
      <w:r/>
    </w:p>
    <w:p>
      <w:pPr>
        <w:ind w:firstLine="480"/>
        <w:spacing w:line="36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按月进行考核，考核结果分为：优秀、合格、不合格三个等次。大于等于95分为优秀，大于等于80、小于95分为合格，80分以下为不合格。考核结果优秀的全额支付当月的承包经费。考核结果合格的每月实际支付承包经费按照考核结果折算发放。即：实际支付=基本费用+考核费用×当月考核得分/100。不合格等次扣除当月的考核费用。</w:t>
      </w:r>
      <w:r/>
    </w:p>
    <w:p>
      <w:pPr>
        <w:rPr>
          <w:rFonts w:ascii="宋体" w:hAnsi="宋体" w:cs="宋体"/>
          <w:color w:val="000000"/>
          <w:sz w:val="24"/>
          <w:szCs w:val="24"/>
          <w:highlight w:val="none"/>
        </w:rPr>
      </w:pPr>
      <w:r>
        <w:rPr>
          <w:rFonts w:ascii="宋体" w:hAnsi="宋体" w:cs="宋体"/>
          <w:color w:val="000000"/>
          <w:sz w:val="24"/>
          <w:szCs w:val="24"/>
          <w:highlight w:val="none"/>
        </w:rPr>
      </w:r>
      <w:r/>
    </w:p>
    <w:p>
      <w:pPr>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附表1：水面、坡面、水生植物养护管理</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月份检查考核评分表</w:t>
      </w:r>
      <w:r/>
    </w:p>
    <w:p>
      <w:pPr>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 承包单位：                                                □巡查□抽查□社会</w:t>
      </w:r>
      <w:r/>
    </w:p>
    <w:tbl>
      <w:tblPr>
        <w:tblStyle w:val="718"/>
        <w:tblW w:w="9476" w:type="dxa"/>
        <w:tblInd w:w="-520" w:type="dxa"/>
        <w:tblLayout w:type="fixed"/>
        <w:tblCellMar>
          <w:left w:w="108" w:type="dxa"/>
          <w:top w:w="0" w:type="dxa"/>
          <w:right w:w="108" w:type="dxa"/>
          <w:bottom w:w="0" w:type="dxa"/>
        </w:tblCellMar>
        <w:tblLook w:val="04A0" w:firstRow="1" w:lastRow="0" w:firstColumn="1" w:lastColumn="0" w:noHBand="0" w:noVBand="1"/>
      </w:tblPr>
      <w:tblGrid>
        <w:gridCol w:w="1140"/>
        <w:gridCol w:w="746"/>
        <w:gridCol w:w="4164"/>
        <w:gridCol w:w="945"/>
        <w:gridCol w:w="606"/>
        <w:gridCol w:w="606"/>
        <w:gridCol w:w="644"/>
        <w:gridCol w:w="625"/>
      </w:tblGrid>
      <w:tr>
        <w:trPr>
          <w:trHeight w:val="288"/>
        </w:trPr>
        <w:tc>
          <w:tcPr>
            <w:tcBorders>
              <w:top w:val="single" w:color="000000" w:sz="8" w:space="0"/>
              <w:left w:val="single" w:color="000000" w:sz="8" w:space="0"/>
              <w:bottom w:val="single" w:color="000000" w:sz="8" w:space="0"/>
              <w:right w:val="single" w:color="000000" w:sz="8" w:space="0"/>
            </w:tcBorders>
            <w:tcW w:w="1140"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考核项目</w:t>
            </w:r>
            <w:r/>
          </w:p>
        </w:tc>
        <w:tc>
          <w:tcPr>
            <w:gridSpan w:val="2"/>
            <w:tcBorders>
              <w:top w:val="single" w:color="000000" w:sz="8" w:space="0"/>
              <w:left w:val="single" w:color="000000" w:sz="8" w:space="0"/>
              <w:bottom w:val="single" w:color="000000" w:sz="8" w:space="0"/>
              <w:right w:val="single" w:color="000000" w:sz="8" w:space="0"/>
            </w:tcBorders>
            <w:tcW w:w="4910"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考</w:t>
            </w:r>
            <w:r>
              <w:rPr>
                <w:rStyle w:val="1044"/>
                <w:rFonts w:hint="default" w:ascii="宋体" w:hAnsi="宋体" w:eastAsia="宋体" w:cs="宋体"/>
                <w:sz w:val="24"/>
                <w:szCs w:val="24"/>
                <w:highlight w:val="none"/>
              </w:rPr>
              <w:t xml:space="preserve"> </w:t>
            </w:r>
            <w:r>
              <w:rPr>
                <w:rStyle w:val="1045"/>
                <w:rFonts w:hint="default"/>
                <w:sz w:val="24"/>
                <w:szCs w:val="24"/>
                <w:highlight w:val="none"/>
              </w:rPr>
              <w:t xml:space="preserve"> </w:t>
            </w:r>
            <w:r>
              <w:rPr>
                <w:rStyle w:val="1044"/>
                <w:rFonts w:hint="default" w:ascii="宋体" w:hAnsi="宋体" w:eastAsia="宋体" w:cs="宋体"/>
                <w:sz w:val="24"/>
                <w:szCs w:val="24"/>
                <w:highlight w:val="none"/>
              </w:rPr>
              <w:t xml:space="preserve">核 </w:t>
            </w:r>
            <w:r>
              <w:rPr>
                <w:rStyle w:val="1045"/>
                <w:rFonts w:hint="default"/>
                <w:sz w:val="24"/>
                <w:szCs w:val="24"/>
                <w:highlight w:val="none"/>
              </w:rPr>
              <w:t xml:space="preserve"> </w:t>
            </w:r>
            <w:r>
              <w:rPr>
                <w:rStyle w:val="1044"/>
                <w:rFonts w:hint="default" w:ascii="宋体" w:hAnsi="宋体" w:eastAsia="宋体" w:cs="宋体"/>
                <w:sz w:val="24"/>
                <w:szCs w:val="24"/>
                <w:highlight w:val="none"/>
              </w:rPr>
              <w:t xml:space="preserve">内 </w:t>
            </w:r>
            <w:r>
              <w:rPr>
                <w:rStyle w:val="1045"/>
                <w:rFonts w:hint="default"/>
                <w:sz w:val="24"/>
                <w:szCs w:val="24"/>
                <w:highlight w:val="none"/>
              </w:rPr>
              <w:t xml:space="preserve"> </w:t>
            </w:r>
            <w:r>
              <w:rPr>
                <w:rStyle w:val="1044"/>
                <w:rFonts w:hint="default" w:ascii="宋体" w:hAnsi="宋体" w:eastAsia="宋体" w:cs="宋体"/>
                <w:sz w:val="24"/>
                <w:szCs w:val="24"/>
                <w:highlight w:val="none"/>
              </w:rPr>
              <w:t xml:space="preserve">容</w:t>
            </w:r>
            <w:r/>
          </w:p>
        </w:tc>
        <w:tc>
          <w:tcPr>
            <w:tcBorders>
              <w:top w:val="single" w:color="000000" w:sz="8" w:space="0"/>
              <w:left w:val="single" w:color="000000" w:sz="8" w:space="0"/>
              <w:bottom w:val="single" w:color="000000" w:sz="8" w:space="0"/>
              <w:right w:val="single" w:color="000000" w:sz="8" w:space="0"/>
            </w:tcBorders>
            <w:tcW w:w="945"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分值</w:t>
            </w:r>
            <w:r/>
          </w:p>
        </w:tc>
        <w:tc>
          <w:tcPr>
            <w:gridSpan w:val="4"/>
            <w:tcBorders>
              <w:top w:val="single" w:color="000000" w:sz="8" w:space="0"/>
              <w:left w:val="single" w:color="000000" w:sz="8" w:space="0"/>
              <w:bottom w:val="none" w:color="000000" w:sz="4" w:space="0"/>
              <w:right w:val="single" w:color="000000" w:sz="8" w:space="0"/>
            </w:tcBorders>
            <w:tcW w:w="2481"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扣分日期（周）</w:t>
            </w:r>
            <w:r/>
          </w:p>
        </w:tc>
      </w:tr>
      <w:tr>
        <w:trPr>
          <w:trHeight w:val="390"/>
        </w:trPr>
        <w:tc>
          <w:tcPr>
            <w:tcBorders>
              <w:top w:val="single" w:color="000000" w:sz="8" w:space="0"/>
              <w:left w:val="single" w:color="000000" w:sz="8" w:space="0"/>
              <w:bottom w:val="single" w:color="000000" w:sz="8" w:space="0"/>
              <w:right w:val="single" w:color="000000" w:sz="8" w:space="0"/>
            </w:tcBorders>
            <w:tcW w:w="114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gridSpan w:val="2"/>
            <w:tcBorders>
              <w:top w:val="single" w:color="000000" w:sz="8" w:space="0"/>
              <w:left w:val="single" w:color="000000" w:sz="8" w:space="0"/>
              <w:bottom w:val="single" w:color="000000" w:sz="8" w:space="0"/>
              <w:right w:val="single" w:color="000000" w:sz="8" w:space="0"/>
            </w:tcBorders>
            <w:tcW w:w="491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8" w:space="0"/>
              <w:left w:val="single" w:color="000000" w:sz="8" w:space="0"/>
              <w:bottom w:val="single" w:color="000000" w:sz="8" w:space="0"/>
              <w:right w:val="single" w:color="000000" w:sz="8" w:space="0"/>
            </w:tcBorders>
            <w:tcW w:w="945"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06"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single" w:color="auto" w:sz="4" w:space="0"/>
              <w:left w:val="none" w:color="000000" w:sz="4" w:space="0"/>
              <w:bottom w:val="single" w:color="auto" w:sz="4" w:space="0"/>
              <w:right w:val="single" w:color="auto" w:sz="4" w:space="0"/>
            </w:tcBorders>
            <w:tcW w:w="606" w:type="dxa"/>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single" w:color="auto" w:sz="4" w:space="0"/>
              <w:left w:val="none" w:color="000000" w:sz="4" w:space="0"/>
              <w:bottom w:val="single" w:color="auto" w:sz="4" w:space="0"/>
              <w:right w:val="single" w:color="auto" w:sz="4" w:space="0"/>
            </w:tcBorders>
            <w:tcW w:w="644" w:type="dxa"/>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single" w:color="auto" w:sz="4" w:space="0"/>
              <w:left w:val="none" w:color="000000" w:sz="4" w:space="0"/>
              <w:bottom w:val="single" w:color="auto" w:sz="4" w:space="0"/>
              <w:right w:val="single" w:color="auto" w:sz="4" w:space="0"/>
            </w:tcBorders>
            <w:tcW w:w="625" w:type="dxa"/>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W w:w="1140"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管理制度（10分）</w:t>
            </w:r>
            <w:r/>
          </w:p>
        </w:tc>
        <w:tc>
          <w:tcPr>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承包者与管护人员无用工合同每次扣</w:t>
            </w:r>
            <w:r>
              <w:rPr>
                <w:rStyle w:val="1044"/>
                <w:rFonts w:hint="default" w:ascii="宋体" w:hAnsi="宋体" w:eastAsia="宋体" w:cs="宋体"/>
                <w:sz w:val="24"/>
                <w:szCs w:val="24"/>
                <w:highlight w:val="none"/>
              </w:rPr>
              <w:t xml:space="preserve">0.5分，扣完为止。</w:t>
            </w:r>
            <w:r/>
          </w:p>
        </w:tc>
        <w:tc>
          <w:tcPr>
            <w:tcBorders>
              <w:top w:val="none" w:color="000000"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708"/>
        </w:trPr>
        <w:tc>
          <w:tcPr>
            <w:tcBorders>
              <w:top w:val="none" w:color="000000" w:sz="4" w:space="0"/>
              <w:left w:val="single" w:color="000000" w:sz="8" w:space="0"/>
              <w:bottom w:val="single" w:color="000000" w:sz="8" w:space="0"/>
              <w:right w:val="single" w:color="000000" w:sz="8" w:space="0"/>
            </w:tcBorders>
            <w:tcW w:w="114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新聘或已辞管护人员未在</w:t>
            </w:r>
            <w:r>
              <w:rPr>
                <w:rStyle w:val="1044"/>
                <w:rFonts w:hint="default" w:ascii="宋体" w:hAnsi="宋体" w:eastAsia="宋体" w:cs="宋体"/>
                <w:sz w:val="24"/>
                <w:szCs w:val="24"/>
                <w:highlight w:val="none"/>
              </w:rPr>
              <w:t xml:space="preserve">3天内更新上报管护人员基本信息表每次扣0.5分，扣完为止。</w:t>
            </w:r>
            <w:r/>
          </w:p>
        </w:tc>
        <w:tc>
          <w:tcPr>
            <w:tcBorders>
              <w:top w:val="none" w:color="000000"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732"/>
        </w:trPr>
        <w:tc>
          <w:tcPr>
            <w:tcBorders>
              <w:top w:val="none" w:color="000000" w:sz="4" w:space="0"/>
              <w:left w:val="single" w:color="000000" w:sz="8" w:space="0"/>
              <w:bottom w:val="single" w:color="000000" w:sz="8" w:space="0"/>
              <w:right w:val="single" w:color="000000" w:sz="8" w:space="0"/>
            </w:tcBorders>
            <w:tcW w:w="114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所承包采购包出现涉水违章未当日上报每次扣</w:t>
            </w:r>
            <w:r>
              <w:rPr>
                <w:rStyle w:val="1044"/>
                <w:rFonts w:hint="default" w:ascii="宋体" w:hAnsi="宋体" w:eastAsia="宋体" w:cs="宋体"/>
                <w:sz w:val="24"/>
                <w:szCs w:val="24"/>
                <w:highlight w:val="none"/>
              </w:rPr>
              <w:t xml:space="preserve">0.5分，扣完为止。</w:t>
            </w:r>
            <w:r/>
          </w:p>
        </w:tc>
        <w:tc>
          <w:tcPr>
            <w:tcBorders>
              <w:top w:val="none" w:color="000000"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864"/>
        </w:trPr>
        <w:tc>
          <w:tcPr>
            <w:tcBorders>
              <w:top w:val="none" w:color="000000" w:sz="4" w:space="0"/>
              <w:left w:val="single" w:color="000000" w:sz="8" w:space="0"/>
              <w:bottom w:val="single" w:color="000000" w:sz="8" w:space="0"/>
              <w:right w:val="single" w:color="000000" w:sz="8" w:space="0"/>
            </w:tcBorders>
            <w:tcW w:w="114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没有为管护工人提供必要的劳动保障、劳动必须品、劳动条件，每次扣</w:t>
            </w:r>
            <w:r>
              <w:rPr>
                <w:rStyle w:val="1044"/>
                <w:rFonts w:hint="default" w:ascii="宋体" w:hAnsi="宋体" w:eastAsia="宋体" w:cs="宋体"/>
                <w:sz w:val="24"/>
                <w:szCs w:val="24"/>
                <w:highlight w:val="none"/>
              </w:rPr>
              <w:t xml:space="preserve">0.5分，扣完为止。</w:t>
            </w:r>
            <w:r/>
          </w:p>
        </w:tc>
        <w:tc>
          <w:tcPr>
            <w:tcBorders>
              <w:top w:val="none" w:color="000000"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236"/>
        </w:trPr>
        <w:tc>
          <w:tcPr>
            <w:tcBorders>
              <w:top w:val="none" w:color="000000" w:sz="4" w:space="0"/>
              <w:left w:val="single" w:color="000000" w:sz="8" w:space="0"/>
              <w:bottom w:val="single" w:color="000000" w:sz="8" w:space="0"/>
              <w:right w:val="single" w:color="000000" w:sz="8" w:space="0"/>
            </w:tcBorders>
            <w:tcW w:w="114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养护负责人未向管理所提交本周工作计划（本周第一天下班前）或本月养护计划或上月养护总结（本月第一周前），每次扣</w:t>
            </w:r>
            <w:r>
              <w:rPr>
                <w:rStyle w:val="1044"/>
                <w:rFonts w:hint="default" w:ascii="宋体" w:hAnsi="宋体" w:eastAsia="宋体" w:cs="宋体"/>
                <w:sz w:val="24"/>
                <w:szCs w:val="24"/>
                <w:highlight w:val="none"/>
              </w:rPr>
              <w:t xml:space="preserve">0.5分，扣完为止。</w:t>
            </w:r>
            <w:r/>
          </w:p>
        </w:tc>
        <w:tc>
          <w:tcPr>
            <w:tcBorders>
              <w:top w:val="none" w:color="000000"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624"/>
        </w:trPr>
        <w:tc>
          <w:tcPr>
            <w:tcBorders>
              <w:top w:val="none" w:color="000000" w:sz="4" w:space="0"/>
              <w:left w:val="single" w:color="000000" w:sz="8" w:space="0"/>
              <w:right w:val="single" w:color="000000" w:sz="8" w:space="0"/>
            </w:tcBorders>
            <w:tcW w:w="1140"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水面、坡面养护（30分)</w:t>
            </w:r>
            <w:r/>
          </w:p>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河道水面上出现漂浮物</w:t>
            </w:r>
            <w:r>
              <w:rPr>
                <w:rStyle w:val="1044"/>
                <w:rFonts w:hint="default" w:ascii="宋体" w:hAnsi="宋体" w:eastAsia="宋体" w:cs="宋体"/>
                <w:sz w:val="24"/>
                <w:szCs w:val="24"/>
                <w:highlight w:val="none"/>
              </w:rPr>
              <w:t xml:space="preserve">30分钟未打捞，每发现一处扣1分，扣完为止。</w:t>
            </w:r>
            <w:r/>
          </w:p>
        </w:tc>
        <w:tc>
          <w:tcPr>
            <w:tcBorders>
              <w:top w:val="none" w:color="000000"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Borders>
              <w:top w:val="none" w:color="000000"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200"/>
        </w:trPr>
        <w:tc>
          <w:tcPr>
            <w:tcBorders>
              <w:left w:val="single" w:color="000000" w:sz="8" w:space="0"/>
              <w:right w:val="single" w:color="000000" w:sz="8" w:space="0"/>
            </w:tcBorders>
            <w:tcW w:w="114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p>
        </w:tc>
        <w:tc>
          <w:tcPr>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河道内发现有动物尸体、家具、杂草、树干等较大杂物或陆域植被、苗木、杂草没有及时修剪、清除或打捞，每发现一处扣</w:t>
            </w:r>
            <w:r>
              <w:rPr>
                <w:rStyle w:val="1044"/>
                <w:rFonts w:hint="default" w:ascii="宋体" w:hAnsi="宋体" w:eastAsia="宋体" w:cs="宋体"/>
                <w:sz w:val="24"/>
                <w:szCs w:val="24"/>
                <w:highlight w:val="none"/>
              </w:rPr>
              <w:t xml:space="preserve">1分，扣完为止。</w:t>
            </w:r>
            <w:r/>
          </w:p>
        </w:tc>
        <w:tc>
          <w:tcPr>
            <w:tcBorders>
              <w:top w:val="none" w:color="000000"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Borders>
              <w:top w:val="none" w:color="000000"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948"/>
        </w:trPr>
        <w:tc>
          <w:tcPr>
            <w:tcBorders>
              <w:left w:val="single" w:color="000000" w:sz="8" w:space="0"/>
              <w:right w:val="single" w:color="000000" w:sz="8" w:space="0"/>
            </w:tcBorders>
            <w:tcW w:w="114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p>
        </w:tc>
        <w:tc>
          <w:tcPr>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河埠、河坡发现有暴露垃圾、杂物或生产垃圾未日收日清，每发现一处扣</w:t>
            </w:r>
            <w:r>
              <w:rPr>
                <w:rStyle w:val="1044"/>
                <w:rFonts w:hint="default" w:ascii="宋体" w:hAnsi="宋体" w:eastAsia="宋体" w:cs="宋体"/>
                <w:sz w:val="24"/>
                <w:szCs w:val="24"/>
                <w:highlight w:val="none"/>
              </w:rPr>
              <w:t xml:space="preserve">1分，扣完为止。</w:t>
            </w:r>
            <w:r/>
          </w:p>
        </w:tc>
        <w:tc>
          <w:tcPr>
            <w:tcBorders>
              <w:top w:val="none" w:color="000000"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Borders>
              <w:top w:val="none" w:color="000000"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672"/>
        </w:trPr>
        <w:tc>
          <w:tcPr>
            <w:tcBorders>
              <w:left w:val="single" w:color="000000" w:sz="8" w:space="0"/>
              <w:right w:val="single" w:color="000000" w:sz="8" w:space="0"/>
            </w:tcBorders>
            <w:tcW w:w="114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none" w:color="000000" w:sz="4"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p>
        </w:tc>
        <w:tc>
          <w:tcPr>
            <w:tcBorders>
              <w:top w:val="none" w:color="000000" w:sz="4" w:space="0"/>
              <w:left w:val="none" w:color="000000" w:sz="4" w:space="0"/>
              <w:bottom w:val="none" w:color="000000" w:sz="4"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桥洞内、桥墩上有堆积物品或者生产垃圾，每发现一处扣</w:t>
            </w:r>
            <w:r>
              <w:rPr>
                <w:rStyle w:val="1044"/>
                <w:rFonts w:hint="default" w:ascii="宋体" w:hAnsi="宋体" w:eastAsia="宋体" w:cs="宋体"/>
                <w:sz w:val="24"/>
                <w:szCs w:val="24"/>
                <w:highlight w:val="none"/>
              </w:rPr>
              <w:t xml:space="preserve">1分，扣完为止。</w:t>
            </w:r>
            <w:r/>
          </w:p>
        </w:tc>
        <w:tc>
          <w:tcPr>
            <w:tcBorders>
              <w:top w:val="none" w:color="000000" w:sz="4" w:space="0"/>
              <w:left w:val="none" w:color="000000" w:sz="4" w:space="0"/>
              <w:bottom w:val="none" w:color="000000" w:sz="4"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Borders>
              <w:top w:val="none" w:color="000000" w:sz="4" w:space="0"/>
              <w:left w:val="none" w:color="000000" w:sz="4" w:space="0"/>
              <w:bottom w:val="none" w:color="000000" w:sz="4"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none" w:color="000000" w:sz="4"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none" w:color="000000" w:sz="4"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none" w:color="000000" w:sz="4"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564"/>
        </w:trPr>
        <w:tc>
          <w:tcPr>
            <w:tcBorders>
              <w:left w:val="single" w:color="000000" w:sz="8" w:space="0"/>
              <w:right w:val="single" w:color="000000" w:sz="8" w:space="0"/>
            </w:tcBorders>
            <w:tcW w:w="1140" w:type="dxa"/>
            <w:vAlign w:val="center"/>
            <w:vMerge w:val="continue"/>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8" w:space="0"/>
              <w:left w:val="none" w:color="000000" w:sz="4" w:space="0"/>
              <w:bottom w:val="single" w:color="auto" w:sz="4"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tcBorders>
              <w:top w:val="single" w:color="000000" w:sz="8"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水生态悬床翻床、沉床，未及时处理每发现一次扣</w:t>
            </w:r>
            <w:r>
              <w:rPr>
                <w:rStyle w:val="1044"/>
                <w:rFonts w:hint="default" w:ascii="宋体" w:hAnsi="宋体" w:eastAsia="宋体" w:cs="宋体"/>
                <w:sz w:val="24"/>
                <w:szCs w:val="24"/>
                <w:highlight w:val="none"/>
              </w:rPr>
              <w:t xml:space="preserve">1分。扣完为止。</w:t>
            </w:r>
            <w:r/>
          </w:p>
        </w:tc>
        <w:tc>
          <w:tcPr>
            <w:tcBorders>
              <w:top w:val="single" w:color="000000" w:sz="8"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Borders>
              <w:top w:val="single" w:color="000000" w:sz="8"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single" w:color="000000" w:sz="8"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single" w:color="000000" w:sz="8"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single" w:color="000000" w:sz="8"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564"/>
        </w:trPr>
        <w:tc>
          <w:tcPr>
            <w:tcBorders>
              <w:left w:val="single" w:color="000000" w:sz="8" w:space="0"/>
              <w:bottom w:val="single" w:color="auto" w:sz="4" w:space="0"/>
              <w:right w:val="single" w:color="000000" w:sz="8" w:space="0"/>
            </w:tcBorders>
            <w:tcW w:w="1140" w:type="dxa"/>
            <w:vAlign w:val="center"/>
            <w:vMerge w:val="continue"/>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8" w:space="0"/>
              <w:left w:val="none" w:color="000000" w:sz="4" w:space="0"/>
              <w:bottom w:val="single" w:color="auto" w:sz="4"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11</w:t>
            </w:r>
            <w:r/>
          </w:p>
        </w:tc>
        <w:tc>
          <w:tcPr>
            <w:tcBorders>
              <w:top w:val="single" w:color="000000" w:sz="8"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sz w:val="24"/>
                <w:szCs w:val="24"/>
                <w:highlight w:val="none"/>
              </w:rPr>
              <w:t xml:space="preserve">14台曝气机周边日常垃圾及水草没有及时清理，每发现一处扣1分，扣完为止。</w:t>
            </w:r>
            <w:r/>
          </w:p>
        </w:tc>
        <w:tc>
          <w:tcPr>
            <w:tcBorders>
              <w:top w:val="single" w:color="000000" w:sz="8"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Borders>
              <w:top w:val="single" w:color="000000" w:sz="8"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936"/>
        </w:trPr>
        <w:tc>
          <w:tcPr>
            <w:tcBorders>
              <w:top w:val="single" w:color="auto" w:sz="4" w:space="0"/>
              <w:left w:val="single" w:color="000000" w:sz="8" w:space="0"/>
              <w:bottom w:val="single" w:color="000000" w:sz="8" w:space="0"/>
              <w:right w:val="single" w:color="000000" w:sz="8" w:space="0"/>
            </w:tcBorders>
            <w:tcW w:w="1140"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水生植物养护（20分）</w:t>
            </w:r>
            <w:r/>
          </w:p>
        </w:tc>
        <w:tc>
          <w:tcPr>
            <w:tcBorders>
              <w:top w:val="single" w:color="auto"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12</w:t>
            </w:r>
            <w:r/>
          </w:p>
        </w:tc>
        <w:tc>
          <w:tcPr>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水生植物缺株（超过</w:t>
            </w:r>
            <w:r>
              <w:rPr>
                <w:rStyle w:val="1044"/>
                <w:rFonts w:hint="default" w:ascii="宋体" w:hAnsi="宋体" w:eastAsia="宋体" w:cs="宋体"/>
                <w:sz w:val="24"/>
                <w:szCs w:val="24"/>
                <w:highlight w:val="none"/>
              </w:rPr>
              <w:t xml:space="preserve">1平米）没有及时补植或杂草未及时清除、打捞，每发现一处扣1分，扣完为止。</w:t>
            </w:r>
            <w:r/>
          </w:p>
        </w:tc>
        <w:tc>
          <w:tcPr>
            <w:tcBorders>
              <w:top w:val="none" w:color="000000"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p>
        </w:tc>
        <w:tc>
          <w:tcPr>
            <w:tcBorders>
              <w:top w:val="none" w:color="000000"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840"/>
        </w:trPr>
        <w:tc>
          <w:tcPr>
            <w:tcBorders>
              <w:top w:val="none" w:color="000000" w:sz="4" w:space="0"/>
              <w:left w:val="single" w:color="000000" w:sz="8" w:space="0"/>
              <w:bottom w:val="single" w:color="000000" w:sz="8" w:space="0"/>
              <w:right w:val="single" w:color="000000" w:sz="8" w:space="0"/>
            </w:tcBorders>
            <w:tcW w:w="114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13</w:t>
            </w:r>
            <w:r/>
          </w:p>
        </w:tc>
        <w:tc>
          <w:tcPr>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水生植物枯叶、病株、腐烂水草没有按要求及时清除或收割，每发现一处扣</w:t>
            </w:r>
            <w:r>
              <w:rPr>
                <w:rStyle w:val="1044"/>
                <w:rFonts w:hint="default" w:ascii="宋体" w:hAnsi="宋体" w:eastAsia="宋体" w:cs="宋体"/>
                <w:sz w:val="24"/>
                <w:szCs w:val="24"/>
                <w:highlight w:val="none"/>
              </w:rPr>
              <w:t xml:space="preserve">2分，扣完为止。</w:t>
            </w:r>
            <w:r/>
          </w:p>
        </w:tc>
        <w:tc>
          <w:tcPr>
            <w:tcBorders>
              <w:top w:val="none" w:color="000000"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12</w:t>
            </w:r>
            <w:r/>
          </w:p>
        </w:tc>
        <w:tc>
          <w:tcPr>
            <w:tcBorders>
              <w:top w:val="none" w:color="000000"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756"/>
        </w:trPr>
        <w:tc>
          <w:tcPr>
            <w:tcBorders>
              <w:top w:val="none" w:color="000000" w:sz="4" w:space="0"/>
              <w:left w:val="single" w:color="000000" w:sz="8" w:space="0"/>
              <w:bottom w:val="single" w:color="auto" w:sz="4" w:space="0"/>
              <w:right w:val="single" w:color="000000" w:sz="8" w:space="0"/>
            </w:tcBorders>
            <w:tcW w:w="1140"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节点看护（5分）</w:t>
            </w:r>
            <w:r/>
          </w:p>
        </w:tc>
        <w:tc>
          <w:tcPr>
            <w:tcBorders>
              <w:top w:val="none" w:color="000000" w:sz="4" w:space="0"/>
              <w:left w:val="none" w:color="000000" w:sz="4" w:space="0"/>
              <w:bottom w:val="single" w:color="auto" w:sz="4"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14</w:t>
            </w:r>
            <w:r/>
          </w:p>
        </w:tc>
        <w:tc>
          <w:tcPr>
            <w:tcBorders>
              <w:top w:val="none" w:color="000000" w:sz="4" w:space="0"/>
              <w:left w:val="none" w:color="000000" w:sz="4" w:space="0"/>
              <w:bottom w:val="single" w:color="auto" w:sz="4"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卫生及管护不到位、脱岗等，每发现一次扣</w:t>
            </w:r>
            <w:r>
              <w:rPr>
                <w:rStyle w:val="1044"/>
                <w:rFonts w:hint="default" w:ascii="宋体" w:hAnsi="宋体" w:eastAsia="宋体" w:cs="宋体"/>
                <w:sz w:val="24"/>
                <w:szCs w:val="24"/>
                <w:highlight w:val="none"/>
              </w:rPr>
              <w:t xml:space="preserve">1分，扣完为止。</w:t>
            </w:r>
            <w:r/>
          </w:p>
        </w:tc>
        <w:tc>
          <w:tcPr>
            <w:tcBorders>
              <w:top w:val="none" w:color="000000" w:sz="4" w:space="0"/>
              <w:left w:val="none" w:color="000000" w:sz="4" w:space="0"/>
              <w:bottom w:val="single" w:color="auto" w:sz="4"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Borders>
              <w:top w:val="none" w:color="000000" w:sz="4" w:space="0"/>
              <w:left w:val="none" w:color="000000" w:sz="4" w:space="0"/>
              <w:bottom w:val="single" w:color="auto" w:sz="4"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588"/>
        </w:trPr>
        <w:tc>
          <w:tcPr>
            <w:tcBorders>
              <w:top w:val="single" w:color="auto" w:sz="4" w:space="0"/>
              <w:left w:val="single" w:color="000000" w:sz="8" w:space="0"/>
              <w:bottom w:val="single" w:color="000000" w:sz="8" w:space="0"/>
              <w:right w:val="single" w:color="000000" w:sz="8" w:space="0"/>
            </w:tcBorders>
            <w:tcW w:w="1140"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安全生产（20分）</w:t>
            </w:r>
            <w:r/>
          </w:p>
        </w:tc>
        <w:tc>
          <w:tcPr>
            <w:tcBorders>
              <w:top w:val="single" w:color="auto"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p>
        </w:tc>
        <w:tc>
          <w:tcPr>
            <w:tcBorders>
              <w:top w:val="single" w:color="auto"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未经批准</w:t>
            </w:r>
            <w:r>
              <w:rPr>
                <w:rStyle w:val="1044"/>
                <w:rFonts w:hint="default" w:ascii="宋体" w:hAnsi="宋体" w:eastAsia="宋体" w:cs="宋体"/>
                <w:sz w:val="24"/>
                <w:szCs w:val="24"/>
                <w:highlight w:val="none"/>
              </w:rPr>
              <w:t xml:space="preserve">1船1人，每发现一次扣1分，扣完为止。</w:t>
            </w:r>
            <w:r/>
          </w:p>
        </w:tc>
        <w:tc>
          <w:tcPr>
            <w:tcBorders>
              <w:top w:val="single" w:color="auto"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Borders>
              <w:top w:val="single" w:color="auto"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single" w:color="auto"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single" w:color="auto"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single" w:color="auto"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W w:w="114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w:t>
            </w:r>
            <w:r/>
          </w:p>
        </w:tc>
        <w:tc>
          <w:tcPr>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酒后作业或工作时间饮酒。每发现一次扣</w:t>
            </w:r>
            <w:r>
              <w:rPr>
                <w:rStyle w:val="1044"/>
                <w:rFonts w:hint="default" w:ascii="宋体" w:hAnsi="宋体" w:eastAsia="宋体" w:cs="宋体"/>
                <w:sz w:val="24"/>
                <w:szCs w:val="24"/>
                <w:highlight w:val="none"/>
              </w:rPr>
              <w:t xml:space="preserve">1分，扣完为止。</w:t>
            </w:r>
            <w:r/>
          </w:p>
        </w:tc>
        <w:tc>
          <w:tcPr>
            <w:tcBorders>
              <w:top w:val="none" w:color="000000"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Borders>
              <w:top w:val="none" w:color="000000"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912"/>
        </w:trPr>
        <w:tc>
          <w:tcPr>
            <w:tcBorders>
              <w:top w:val="none" w:color="000000" w:sz="4" w:space="0"/>
              <w:left w:val="single" w:color="000000" w:sz="8" w:space="0"/>
              <w:bottom w:val="single" w:color="000000" w:sz="8" w:space="0"/>
              <w:right w:val="single" w:color="000000" w:sz="8" w:space="0"/>
            </w:tcBorders>
            <w:tcW w:w="114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w:t>
            </w:r>
            <w:r/>
          </w:p>
        </w:tc>
        <w:tc>
          <w:tcPr>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船只漏水漏油、无救生圈、无饮用水、不穿救生衣及穿拖鞋上船。发现一次扣</w:t>
            </w:r>
            <w:r>
              <w:rPr>
                <w:rStyle w:val="1044"/>
                <w:rFonts w:hint="default" w:ascii="宋体" w:hAnsi="宋体" w:eastAsia="宋体" w:cs="宋体"/>
                <w:sz w:val="24"/>
                <w:szCs w:val="24"/>
                <w:highlight w:val="none"/>
              </w:rPr>
              <w:t xml:space="preserve">1分，扣完为止。</w:t>
            </w:r>
            <w:r/>
          </w:p>
        </w:tc>
        <w:tc>
          <w:tcPr>
            <w:tcBorders>
              <w:top w:val="none" w:color="000000"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Borders>
              <w:top w:val="none" w:color="000000"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W w:w="114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18</w:t>
            </w:r>
            <w:r/>
          </w:p>
        </w:tc>
        <w:tc>
          <w:tcPr>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养护单位及管护人员未经甲方同意利用现有设备及人员在正常工作时间干私活或谋利，发现一次扣</w:t>
            </w:r>
            <w:r>
              <w:rPr>
                <w:rStyle w:val="1044"/>
                <w:rFonts w:hint="default" w:ascii="宋体" w:hAnsi="宋体" w:eastAsia="宋体" w:cs="宋体"/>
                <w:sz w:val="24"/>
                <w:szCs w:val="24"/>
                <w:highlight w:val="none"/>
              </w:rPr>
              <w:t xml:space="preserve">1分，扣完为止。</w:t>
            </w:r>
            <w:r/>
          </w:p>
        </w:tc>
        <w:tc>
          <w:tcPr>
            <w:tcBorders>
              <w:top w:val="none" w:color="000000"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Borders>
              <w:top w:val="none" w:color="000000"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W w:w="1140"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工作要求（</w:t>
            </w:r>
            <w:r>
              <w:rPr>
                <w:rStyle w:val="1044"/>
                <w:rFonts w:hint="default" w:ascii="宋体" w:hAnsi="宋体" w:eastAsia="宋体" w:cs="宋体"/>
                <w:sz w:val="24"/>
                <w:szCs w:val="24"/>
                <w:highlight w:val="none"/>
              </w:rPr>
              <w:t xml:space="preserve">1</w:t>
            </w:r>
            <w:r>
              <w:rPr>
                <w:rStyle w:val="1044"/>
                <w:rFonts w:hint="default" w:ascii="宋体" w:hAnsi="宋体" w:cs="宋体"/>
                <w:sz w:val="24"/>
                <w:szCs w:val="24"/>
                <w:highlight w:val="none"/>
              </w:rPr>
              <w:t xml:space="preserve">5</w:t>
            </w:r>
            <w:r>
              <w:rPr>
                <w:rStyle w:val="1044"/>
                <w:rFonts w:hint="default" w:ascii="宋体" w:hAnsi="宋体" w:eastAsia="宋体" w:cs="宋体"/>
                <w:sz w:val="24"/>
                <w:szCs w:val="24"/>
                <w:highlight w:val="none"/>
              </w:rPr>
              <w:t xml:space="preserve">分）</w:t>
            </w:r>
            <w:r/>
          </w:p>
        </w:tc>
        <w:tc>
          <w:tcPr>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19</w:t>
            </w:r>
            <w:r/>
          </w:p>
        </w:tc>
        <w:tc>
          <w:tcPr>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发现迟到、早退、擅自换岗、离岗现象或在河面上连续休息超过</w:t>
            </w:r>
            <w:r>
              <w:rPr>
                <w:rStyle w:val="1044"/>
                <w:rFonts w:hint="default" w:ascii="宋体" w:hAnsi="宋体" w:eastAsia="宋体" w:cs="宋体"/>
                <w:sz w:val="24"/>
                <w:szCs w:val="24"/>
                <w:highlight w:val="none"/>
              </w:rPr>
              <w:t xml:space="preserve">15分钟以上，发现一次扣0.2分，扣完为止。</w:t>
            </w:r>
            <w:r/>
          </w:p>
        </w:tc>
        <w:tc>
          <w:tcPr>
            <w:tcBorders>
              <w:top w:val="none" w:color="000000"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564"/>
        </w:trPr>
        <w:tc>
          <w:tcPr>
            <w:tcBorders>
              <w:top w:val="none" w:color="000000" w:sz="4" w:space="0"/>
              <w:left w:val="single" w:color="000000" w:sz="8" w:space="0"/>
              <w:bottom w:val="single" w:color="000000" w:sz="8" w:space="0"/>
              <w:right w:val="single" w:color="000000" w:sz="8" w:space="0"/>
            </w:tcBorders>
            <w:tcW w:w="114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20</w:t>
            </w:r>
            <w:r/>
          </w:p>
        </w:tc>
        <w:tc>
          <w:tcPr>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养护作业时间不符合规定要求，发现一次扣</w:t>
            </w:r>
            <w:r>
              <w:rPr>
                <w:rStyle w:val="1044"/>
                <w:rFonts w:hint="default" w:ascii="宋体" w:hAnsi="宋体" w:eastAsia="宋体" w:cs="宋体"/>
                <w:sz w:val="24"/>
                <w:szCs w:val="24"/>
                <w:highlight w:val="none"/>
              </w:rPr>
              <w:t xml:space="preserve">0.5分，扣完为止。</w:t>
            </w:r>
            <w:r/>
          </w:p>
        </w:tc>
        <w:tc>
          <w:tcPr>
            <w:tcBorders>
              <w:top w:val="none" w:color="000000"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720"/>
        </w:trPr>
        <w:tc>
          <w:tcPr>
            <w:tcBorders>
              <w:top w:val="none" w:color="000000" w:sz="4" w:space="0"/>
              <w:left w:val="single" w:color="000000" w:sz="8" w:space="0"/>
              <w:bottom w:val="single" w:color="000000" w:sz="8" w:space="0"/>
              <w:right w:val="single" w:color="000000" w:sz="8" w:space="0"/>
            </w:tcBorders>
            <w:tcW w:w="114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21</w:t>
            </w:r>
            <w:r/>
          </w:p>
        </w:tc>
        <w:tc>
          <w:tcPr>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管护人员上岗未统一着装或年龄不符合要求，发现一次扣</w:t>
            </w:r>
            <w:r>
              <w:rPr>
                <w:rStyle w:val="1044"/>
                <w:rFonts w:hint="default" w:ascii="宋体" w:hAnsi="宋体" w:eastAsia="宋体" w:cs="宋体"/>
                <w:sz w:val="24"/>
                <w:szCs w:val="24"/>
                <w:highlight w:val="none"/>
              </w:rPr>
              <w:t xml:space="preserve">0.2分，扣完为止。</w:t>
            </w:r>
            <w:r/>
          </w:p>
        </w:tc>
        <w:tc>
          <w:tcPr>
            <w:tcBorders>
              <w:top w:val="none" w:color="000000"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672"/>
        </w:trPr>
        <w:tc>
          <w:tcPr>
            <w:tcBorders>
              <w:top w:val="none" w:color="000000" w:sz="4" w:space="0"/>
              <w:left w:val="single" w:color="000000" w:sz="8" w:space="0"/>
              <w:bottom w:val="single" w:color="000000" w:sz="8" w:space="0"/>
              <w:right w:val="single" w:color="000000" w:sz="8" w:space="0"/>
            </w:tcBorders>
            <w:tcW w:w="114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22</w:t>
            </w:r>
            <w:r/>
          </w:p>
        </w:tc>
        <w:tc>
          <w:tcPr>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不文明作业（争吵、打架等违纪现象）发现一次扣</w:t>
            </w:r>
            <w:r>
              <w:rPr>
                <w:rStyle w:val="1044"/>
                <w:rFonts w:hint="default" w:ascii="宋体" w:hAnsi="宋体" w:eastAsia="宋体" w:cs="宋体"/>
                <w:sz w:val="24"/>
                <w:szCs w:val="24"/>
                <w:highlight w:val="none"/>
              </w:rPr>
              <w:t xml:space="preserve">0.5分，扣完为止。</w:t>
            </w:r>
            <w:r/>
          </w:p>
        </w:tc>
        <w:tc>
          <w:tcPr>
            <w:tcBorders>
              <w:top w:val="none" w:color="000000"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W w:w="114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23</w:t>
            </w:r>
            <w:r/>
          </w:p>
        </w:tc>
        <w:tc>
          <w:tcPr>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生产车船未统一标记、状况不良、不整洁，发现一次扣</w:t>
            </w:r>
            <w:r>
              <w:rPr>
                <w:rStyle w:val="1044"/>
                <w:rFonts w:hint="default" w:ascii="宋体" w:hAnsi="宋体" w:eastAsia="宋体" w:cs="宋体"/>
                <w:sz w:val="24"/>
                <w:szCs w:val="24"/>
                <w:highlight w:val="none"/>
              </w:rPr>
              <w:t xml:space="preserve">0.2分，扣完为止。</w:t>
            </w:r>
            <w:r/>
          </w:p>
        </w:tc>
        <w:tc>
          <w:tcPr>
            <w:tcBorders>
              <w:top w:val="none" w:color="000000"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W w:w="114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24</w:t>
            </w:r>
            <w:r/>
          </w:p>
        </w:tc>
        <w:tc>
          <w:tcPr>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生产路面、绿地、岸坡等处有丢弃垃圾或不整洁，发现一次扣</w:t>
            </w:r>
            <w:r>
              <w:rPr>
                <w:rStyle w:val="1044"/>
                <w:rFonts w:hint="default" w:ascii="宋体" w:hAnsi="宋体" w:eastAsia="宋体" w:cs="宋体"/>
                <w:sz w:val="24"/>
                <w:szCs w:val="24"/>
                <w:highlight w:val="none"/>
              </w:rPr>
              <w:t xml:space="preserve">0.5分，扣完为止。</w:t>
            </w:r>
            <w:r/>
          </w:p>
        </w:tc>
        <w:tc>
          <w:tcPr>
            <w:tcBorders>
              <w:top w:val="none" w:color="000000"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W w:w="1140"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25</w:t>
            </w:r>
            <w:r/>
          </w:p>
        </w:tc>
        <w:tc>
          <w:tcPr>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对巡查员提出的整改意见未能在规定的时间整改。每发现一次扣</w:t>
            </w:r>
            <w:r>
              <w:rPr>
                <w:rStyle w:val="1044"/>
                <w:rFonts w:hint="default" w:ascii="宋体" w:hAnsi="宋体" w:eastAsia="宋体" w:cs="宋体"/>
                <w:sz w:val="24"/>
                <w:szCs w:val="24"/>
                <w:highlight w:val="none"/>
              </w:rPr>
              <w:t xml:space="preserve">1分，扣完为止。</w:t>
            </w:r>
            <w:r/>
          </w:p>
        </w:tc>
        <w:tc>
          <w:tcPr>
            <w:tcBorders>
              <w:top w:val="none" w:color="000000"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312"/>
        </w:trPr>
        <w:tc>
          <w:tcPr>
            <w:tcBorders>
              <w:top w:val="none" w:color="000000" w:sz="4" w:space="0"/>
              <w:left w:val="single" w:color="000000" w:sz="8" w:space="0"/>
              <w:bottom w:val="single" w:color="000000" w:sz="8" w:space="0"/>
              <w:right w:val="single" w:color="000000" w:sz="8" w:space="0"/>
            </w:tcBorders>
            <w:tcW w:w="1140"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Style w:val="1044"/>
                <w:rFonts w:hint="default" w:ascii="宋体" w:hAnsi="宋体" w:eastAsia="宋体" w:cs="宋体"/>
                <w:sz w:val="24"/>
                <w:szCs w:val="24"/>
                <w:highlight w:val="none"/>
              </w:rPr>
              <w:t xml:space="preserve">100分）</w:t>
            </w:r>
            <w:r/>
          </w:p>
        </w:tc>
        <w:tc>
          <w:tcPr>
            <w:tcBorders>
              <w:top w:val="none" w:color="000000" w:sz="4" w:space="0"/>
              <w:left w:val="none" w:color="000000" w:sz="4" w:space="0"/>
              <w:bottom w:val="single" w:color="000000" w:sz="8" w:space="0"/>
              <w:right w:val="single" w:color="000000" w:sz="8" w:space="0"/>
            </w:tcBorders>
            <w:tcW w:w="74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164"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945"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100</w:t>
            </w:r>
            <w:r/>
          </w:p>
        </w:tc>
        <w:tc>
          <w:tcPr>
            <w:tcBorders>
              <w:top w:val="none" w:color="000000" w:sz="4" w:space="0"/>
              <w:left w:val="none" w:color="000000" w:sz="4" w:space="0"/>
              <w:bottom w:val="single" w:color="000000" w:sz="8" w:space="0"/>
              <w:right w:val="single" w:color="000000" w:sz="8" w:space="0"/>
            </w:tcBorders>
            <w:tcW w:w="60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0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44"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625"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300"/>
        </w:trPr>
        <w:tc>
          <w:tcPr>
            <w:gridSpan w:val="3"/>
            <w:tcBorders>
              <w:top w:val="single" w:color="000000" w:sz="8" w:space="0"/>
              <w:left w:val="single" w:color="000000" w:sz="8" w:space="0"/>
              <w:bottom w:val="single" w:color="000000" w:sz="8" w:space="0"/>
              <w:right w:val="single" w:color="000000" w:sz="8" w:space="0"/>
            </w:tcBorders>
            <w:tcW w:w="6050"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得</w:t>
            </w:r>
            <w:r>
              <w:rPr>
                <w:rStyle w:val="1044"/>
                <w:rFonts w:hint="default" w:ascii="宋体" w:hAnsi="宋体" w:eastAsia="宋体" w:cs="宋体"/>
                <w:sz w:val="24"/>
                <w:szCs w:val="24"/>
                <w:highlight w:val="none"/>
              </w:rPr>
              <w:t xml:space="preserve"> </w:t>
            </w:r>
            <w:r>
              <w:rPr>
                <w:rStyle w:val="1045"/>
                <w:rFonts w:hint="default"/>
                <w:sz w:val="24"/>
                <w:szCs w:val="24"/>
                <w:highlight w:val="none"/>
              </w:rPr>
              <w:t xml:space="preserve">    </w:t>
            </w:r>
            <w:r>
              <w:rPr>
                <w:rStyle w:val="1044"/>
                <w:rFonts w:hint="default" w:ascii="宋体" w:hAnsi="宋体" w:eastAsia="宋体" w:cs="宋体"/>
                <w:sz w:val="24"/>
                <w:szCs w:val="24"/>
                <w:highlight w:val="none"/>
              </w:rPr>
              <w:t xml:space="preserve">分</w:t>
            </w:r>
            <w:r/>
          </w:p>
        </w:tc>
        <w:tc>
          <w:tcPr>
            <w:gridSpan w:val="5"/>
            <w:tcBorders>
              <w:top w:val="single" w:color="000000" w:sz="8" w:space="0"/>
              <w:left w:val="none" w:color="000000" w:sz="4" w:space="0"/>
              <w:bottom w:val="single" w:color="000000" w:sz="8" w:space="0"/>
              <w:right w:val="single" w:color="000000" w:sz="8" w:space="0"/>
            </w:tcBorders>
            <w:tcW w:w="342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bl>
    <w:p>
      <w:pPr>
        <w:ind w:firstLine="442"/>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部门负责人：                                 考核人员：</w:t>
      </w:r>
      <w:r/>
    </w:p>
    <w:p>
      <w:pPr>
        <w:rPr>
          <w:rFonts w:ascii="宋体" w:hAnsi="宋体" w:cs="宋体"/>
          <w:sz w:val="24"/>
          <w:szCs w:val="24"/>
          <w:highlight w:val="none"/>
        </w:rPr>
      </w:pPr>
      <w:r>
        <w:rPr>
          <w:rFonts w:hint="eastAsia" w:ascii="宋体" w:hAnsi="宋体" w:cs="宋体"/>
          <w:sz w:val="24"/>
          <w:szCs w:val="24"/>
          <w:highlight w:val="none"/>
        </w:rPr>
        <w:br w:type="page" w:clear="all"/>
      </w:r>
      <w:r/>
    </w:p>
    <w:tbl>
      <w:tblPr>
        <w:tblStyle w:val="718"/>
        <w:tblW w:w="9660" w:type="dxa"/>
        <w:tblInd w:w="-580" w:type="dxa"/>
        <w:tblLayout w:type="fixed"/>
        <w:tblCellMar>
          <w:left w:w="108" w:type="dxa"/>
          <w:top w:w="0" w:type="dxa"/>
          <w:right w:w="108" w:type="dxa"/>
          <w:bottom w:w="0" w:type="dxa"/>
        </w:tblCellMar>
        <w:tblLook w:val="04A0" w:firstRow="1" w:lastRow="0" w:firstColumn="1" w:lastColumn="0" w:noHBand="0" w:noVBand="1"/>
      </w:tblPr>
      <w:tblGrid>
        <w:gridCol w:w="1736"/>
        <w:gridCol w:w="608"/>
        <w:gridCol w:w="3468"/>
        <w:gridCol w:w="717"/>
        <w:gridCol w:w="647"/>
        <w:gridCol w:w="816"/>
        <w:gridCol w:w="840"/>
        <w:gridCol w:w="828"/>
      </w:tblGrid>
      <w:tr>
        <w:trPr>
          <w:trHeight w:val="300"/>
        </w:trPr>
        <w:tc>
          <w:tcPr>
            <w:gridSpan w:val="8"/>
            <w:tcBorders>
              <w:top w:val="none" w:color="000000" w:sz="4" w:space="0"/>
              <w:left w:val="none" w:color="000000" w:sz="4" w:space="0"/>
              <w:bottom w:val="single" w:color="000000" w:sz="8" w:space="0"/>
              <w:right w:val="none" w:color="000000" w:sz="4" w:space="0"/>
            </w:tcBorders>
            <w:tcW w:w="9660" w:type="dxa"/>
            <w:vAlign w:val="center"/>
            <w:textDirection w:val="lrTb"/>
            <w:noWrap/>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附表2：涵养林、景观绿地养护管理检查</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月检查考核评分表</w:t>
            </w:r>
            <w:r/>
          </w:p>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承包单位：                                                                           □巡查□抽查□社会</w:t>
            </w:r>
            <w:r/>
          </w:p>
        </w:tc>
      </w:tr>
      <w:tr>
        <w:trPr>
          <w:trHeight w:val="288"/>
        </w:trPr>
        <w:tc>
          <w:tcPr>
            <w:tcBorders>
              <w:top w:val="none" w:color="000000" w:sz="4" w:space="0"/>
              <w:left w:val="single" w:color="000000" w:sz="8" w:space="0"/>
              <w:bottom w:val="single" w:color="000000" w:sz="8" w:space="0"/>
              <w:right w:val="single" w:color="000000" w:sz="8" w:space="0"/>
            </w:tcBorders>
            <w:tcW w:w="1736"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考核项目</w:t>
            </w:r>
            <w:r/>
          </w:p>
        </w:tc>
        <w:tc>
          <w:tcPr>
            <w:gridSpan w:val="2"/>
            <w:tcBorders>
              <w:top w:val="single" w:color="000000" w:sz="8" w:space="0"/>
              <w:left w:val="single" w:color="000000" w:sz="8" w:space="0"/>
              <w:bottom w:val="single" w:color="000000" w:sz="8" w:space="0"/>
              <w:right w:val="single" w:color="000000" w:sz="8" w:space="0"/>
            </w:tcBorders>
            <w:tcW w:w="4076"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考  核  内  容</w:t>
            </w:r>
            <w:r/>
          </w:p>
        </w:tc>
        <w:tc>
          <w:tcPr>
            <w:tcBorders>
              <w:top w:val="none" w:color="000000" w:sz="4" w:space="0"/>
              <w:left w:val="single" w:color="000000" w:sz="8" w:space="0"/>
              <w:bottom w:val="single" w:color="000000" w:sz="8" w:space="0"/>
              <w:right w:val="single" w:color="000000" w:sz="8" w:space="0"/>
            </w:tcBorders>
            <w:tcW w:w="717"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分值</w:t>
            </w:r>
            <w:r/>
          </w:p>
        </w:tc>
        <w:tc>
          <w:tcPr>
            <w:gridSpan w:val="4"/>
            <w:tcBorders>
              <w:top w:val="single" w:color="000000" w:sz="8" w:space="0"/>
              <w:left w:val="single" w:color="000000" w:sz="8" w:space="0"/>
              <w:bottom w:val="single" w:color="000000" w:sz="8" w:space="0"/>
              <w:right w:val="single" w:color="000000" w:sz="8" w:space="0"/>
            </w:tcBorders>
            <w:tcW w:w="3131"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扣分日期（周）</w:t>
            </w:r>
            <w:r/>
          </w:p>
        </w:tc>
      </w:tr>
      <w:tr>
        <w:trPr>
          <w:trHeight w:val="300"/>
        </w:trPr>
        <w:tc>
          <w:tcPr>
            <w:tcBorders>
              <w:top w:val="none" w:color="000000" w:sz="4" w:space="0"/>
              <w:left w:val="single" w:color="000000" w:sz="8" w:space="0"/>
              <w:bottom w:val="single" w:color="000000" w:sz="8"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gridSpan w:val="2"/>
            <w:tcBorders>
              <w:top w:val="single" w:color="000000" w:sz="8" w:space="0"/>
              <w:left w:val="single" w:color="000000" w:sz="8" w:space="0"/>
              <w:bottom w:val="single" w:color="000000" w:sz="8" w:space="0"/>
              <w:right w:val="single" w:color="000000" w:sz="8" w:space="0"/>
            </w:tcBorders>
            <w:tcW w:w="407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single" w:color="000000" w:sz="8" w:space="0"/>
              <w:bottom w:val="single" w:color="000000" w:sz="8" w:space="0"/>
              <w:right w:val="single" w:color="000000" w:sz="8" w:space="0"/>
            </w:tcBorders>
            <w:tcW w:w="717"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W w:w="1736"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管理制度（5分）</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承包者与管护人员无用工合同每次扣0.5分，扣完为止。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960"/>
        </w:trPr>
        <w:tc>
          <w:tcPr>
            <w:tcBorders>
              <w:top w:val="none" w:color="000000" w:sz="4" w:space="0"/>
              <w:left w:val="single" w:color="000000" w:sz="8" w:space="0"/>
              <w:bottom w:val="single" w:color="000000" w:sz="8"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新聘或已辞管护人员未在3天内更新上报管护人员基本信息表每次扣0.5分，扣完为止。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588"/>
        </w:trPr>
        <w:tc>
          <w:tcPr>
            <w:tcBorders>
              <w:top w:val="none" w:color="000000" w:sz="4" w:space="0"/>
              <w:left w:val="single" w:color="000000" w:sz="8" w:space="0"/>
              <w:bottom w:val="single" w:color="000000" w:sz="8"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所承包采购包出现涉水违章未当日上报每次扣0.5分，扣完为止。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没有为管护工人提供必要的劳动保障、劳动必须品、劳动条件，每次扣0.5分，扣完为止。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128"/>
        </w:trPr>
        <w:tc>
          <w:tcPr>
            <w:tcBorders>
              <w:top w:val="none" w:color="000000" w:sz="4" w:space="0"/>
              <w:left w:val="single" w:color="000000" w:sz="8" w:space="0"/>
              <w:bottom w:val="single" w:color="000000" w:sz="8"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养护负责人未向管理所提交本周工作计划（本周第一天下班前）或本月养护计划或上月养护总结（本月第一周前），每次扣0.5分，扣完为止。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176"/>
        </w:trPr>
        <w:tc>
          <w:tcPr>
            <w:tcBorders>
              <w:top w:val="none" w:color="000000" w:sz="4" w:space="0"/>
              <w:left w:val="single" w:color="000000" w:sz="8" w:space="0"/>
              <w:bottom w:val="none" w:color="000000" w:sz="4" w:space="0"/>
              <w:right w:val="single" w:color="000000" w:sz="8" w:space="0"/>
            </w:tcBorders>
            <w:tcW w:w="1736"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苗木养护（15分）</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Borders>
              <w:top w:val="none" w:color="000000" w:sz="4" w:space="0"/>
              <w:left w:val="none" w:color="000000" w:sz="4" w:space="0"/>
              <w:bottom w:val="single" w:color="000000" w:sz="8" w:space="0"/>
              <w:right w:val="single" w:color="000000" w:sz="8" w:space="0"/>
            </w:tcBorders>
            <w:tcW w:w="3468" w:type="dxa"/>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苗木在干旱时未及时灌溉，积水时未及时排除，造成苗木周围土壤有板结现象或苗木受淹，每发现一处扣1分，扣完为止。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224"/>
        </w:trPr>
        <w:tc>
          <w:tcPr>
            <w:tcBorders>
              <w:top w:val="none" w:color="000000" w:sz="4" w:space="0"/>
              <w:left w:val="single" w:color="000000" w:sz="8" w:space="0"/>
              <w:bottom w:val="none" w:color="000000"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苗木休眠前及生长期根据苗木长势及时施肥、追肥，保证苗木健壮。未及时养护施肥的，每起扣分1分，扣完为止。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512"/>
        </w:trPr>
        <w:tc>
          <w:tcPr>
            <w:tcBorders>
              <w:top w:val="none" w:color="000000" w:sz="4" w:space="0"/>
              <w:left w:val="single" w:color="000000" w:sz="8" w:space="0"/>
              <w:bottom w:val="none" w:color="000000"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绿地内枯死枝、株应及时修剪、清理，修剪清理后的枝、叶应及时清除干净。未及时整形、修剪、枯叶（枝）清理的，每发现1次扣1分，扣完为止。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376"/>
        </w:trPr>
        <w:tc>
          <w:tcPr>
            <w:tcBorders>
              <w:top w:val="none" w:color="000000" w:sz="4" w:space="0"/>
              <w:left w:val="single" w:color="000000" w:sz="8" w:space="0"/>
              <w:bottom w:val="none" w:color="000000"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none" w:color="000000" w:sz="4"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p>
        </w:tc>
        <w:tc>
          <w:tcPr>
            <w:tcBorders>
              <w:top w:val="none" w:color="000000" w:sz="4" w:space="0"/>
              <w:left w:val="none" w:color="000000" w:sz="4" w:space="0"/>
              <w:bottom w:val="none" w:color="000000" w:sz="4"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树木在灾难性气候来临前，应加强巡查并做好预防措施。灾前未进行有效防护的，灾后，24小时内未清理现场，对刮倒或歪斜的树木末进行修正处理的，每发现1次扣1分，扣完为止。</w:t>
            </w:r>
            <w:r/>
          </w:p>
        </w:tc>
        <w:tc>
          <w:tcPr>
            <w:tcBorders>
              <w:top w:val="none" w:color="000000" w:sz="4" w:space="0"/>
              <w:left w:val="none" w:color="000000" w:sz="4" w:space="0"/>
              <w:bottom w:val="none" w:color="000000" w:sz="4"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none" w:color="000000" w:sz="4" w:space="0"/>
              <w:left w:val="none" w:color="000000" w:sz="4" w:space="0"/>
              <w:bottom w:val="none" w:color="000000" w:sz="4"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none" w:color="000000" w:sz="4"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none" w:color="000000" w:sz="4"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none" w:color="000000" w:sz="4"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740"/>
        </w:trPr>
        <w:tc>
          <w:tcPr>
            <w:tcBorders>
              <w:top w:val="none" w:color="000000" w:sz="4" w:space="0"/>
              <w:left w:val="single" w:color="000000" w:sz="8" w:space="0"/>
              <w:bottom w:val="none" w:color="000000"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tcBorders>
              <w:top w:val="single" w:color="000000" w:sz="8"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行道树缺株率不超过5%，树木缺株，无故死亡的要及时挖除并补种，补植的树木应适用原来树种、规格也应相近。未对死树及时更换处理或行道树缺株率超过5%，每起扣分1分，扣完为止。</w:t>
            </w:r>
            <w:r/>
          </w:p>
        </w:tc>
        <w:tc>
          <w:tcPr>
            <w:tcBorders>
              <w:top w:val="single" w:color="000000" w:sz="8"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single" w:color="000000" w:sz="8"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single" w:color="000000" w:sz="8"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single" w:color="000000" w:sz="8"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single" w:color="000000" w:sz="8"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020"/>
        </w:trPr>
        <w:tc>
          <w:tcPr>
            <w:tcBorders>
              <w:top w:val="none" w:color="000000"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11</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树上有影响生长的附着物（铁丝、钉子、杂藤等）未及时清除。每发现一处扣1分，扣完为止。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884"/>
        </w:trPr>
        <w:tc>
          <w:tcPr>
            <w:tcBorders>
              <w:top w:val="single" w:color="auto" w:sz="4" w:space="0"/>
              <w:left w:val="single" w:color="000000" w:sz="8" w:space="0"/>
              <w:bottom w:val="single" w:color="auto" w:sz="4" w:space="0"/>
              <w:right w:val="single" w:color="000000" w:sz="8" w:space="0"/>
            </w:tcBorders>
            <w:tcW w:w="1736"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草坪地被养护(15分）</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12</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地被、色块植物每年应及时中耕除草、对枯死植物进行补植，植物叶面的灰尘应适时冲刷。发现地被、色块植物内杂草明显或枯死或未及时补植的，每发现一处扣1分，扣完为止。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2568"/>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13</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保持草坪及地被色块整齐度一致，覆盖率90%以上，单块斑秃面积不超过0.3m2或10m2绿地内斑秃面积不超过4块，草坪、地被色块要及时修剪，适时、适量浇水，旱春发芽前要普遍进行施肥和浇水；覆盖率、斑秃面积超过规定标准的未及时修剪、施肥、浇水的，每发现一处扣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176"/>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14</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草坪内杂草应及时挑除，杂草率不得超过15%。草坪中发现超过规定标准或有明显杂草的，每发现一处扣1分，扣完为止。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164"/>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干旱季节应及时进行浇水，防止草坪及地被枯黄；造成草坪及地被因缺水造成枯黄的，每发现一处扣1分，扣完为止。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2112"/>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16</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草坪应适时进行轧草、切边，高度控制在8cm左右，路边和树根边的草坪要修剪整平；轧草要求平整，边角无遗漏，草屑及时除净。草坪未按要求及时轧草、扎草不平整、边角有遗漏，草屑未按要求处理的，每发现一处扣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672"/>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17</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草坪生长季节要根据情况追施肥料，未及时追肥的，每次扣1分，扣完为止。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788"/>
        </w:trPr>
        <w:tc>
          <w:tcPr>
            <w:tcBorders>
              <w:top w:val="single" w:color="auto" w:sz="4" w:space="0"/>
              <w:left w:val="single" w:color="000000" w:sz="8" w:space="0"/>
              <w:bottom w:val="single" w:color="auto" w:sz="4" w:space="0"/>
              <w:right w:val="single" w:color="000000" w:sz="8" w:space="0"/>
            </w:tcBorders>
            <w:tcW w:w="1736"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养护管理（15分</w:t>
            </w:r>
            <w:r>
              <w:rPr>
                <w:rStyle w:val="1046"/>
                <w:rFonts w:hint="eastAsia" w:ascii="宋体" w:hAnsi="宋体" w:eastAsia="宋体" w:cs="宋体"/>
                <w:highlight w:val="none"/>
              </w:rPr>
              <w:t xml:space="preserve">）</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18</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绿地内基本整洁，无明显杂物，无白色污染（树挂），绿化生产垃圾（如：树枝、树叶、草沫等）要做到随产随清、日产日清；不乱丢，保持绿地内整洁。未按规定执行的，每发现一处扣1分，扣完为止。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476"/>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19</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秋末冬初及时对乔木进行树干涂白，对耐寒性差且树皮较薄的树种（如桂花、香樟等）做好防寒措施，未按要求执行的，每发现一处扣1分，扣完为止。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188"/>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20</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 保证围栏、护网、的安全，及时清除护栏围网上的攀援植物。未按要求及时清除的每发现一处扣1分，扣完为止。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2028"/>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21</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绿篱、模纹、球类等的修剪应做到轮廓清晰，线条整齐，顶面平整，高度一致，新生萌蘖枝条不高于整体5cm，侧面上下垂直或上窄下宽。每年整形修剪不少于4次。未达质量要求或未按要求执行的，每发现一处扣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840"/>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22</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对人为攀摘树木、花果未有效制止或制止不力的，每发现一次扣1分，扣完为止。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776"/>
        </w:trPr>
        <w:tc>
          <w:tcPr>
            <w:tcBorders>
              <w:top w:val="single" w:color="auto" w:sz="4" w:space="0"/>
              <w:left w:val="single" w:color="000000" w:sz="8" w:space="0"/>
              <w:bottom w:val="single" w:color="auto" w:sz="4" w:space="0"/>
              <w:right w:val="single" w:color="000000" w:sz="8" w:space="0"/>
            </w:tcBorders>
            <w:tcW w:w="1736"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病虫害防治(10分)</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23</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病虫害的防治，应以物理防治和生物防治为主，化学防治为辅，化学防治应选用高效、无污染、对天敌较安全的药剂，严禁使用高毒药剂，邻水坡面严禁采用化学防治。未按规定防治的，每发现一处扣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800"/>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24</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病虫害控制及时，防治效果良好，园林树木、草坪上无明显的病虫危害现象，防治过程中不发生药害，不影响水质安全。未及时防治或防治不力或防治过程发生药害。每发现一次扣1分，扣完为止。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800"/>
        </w:trPr>
        <w:tc>
          <w:tcPr>
            <w:shd w:val="clear" w:color="auto" w:fill="auto"/>
            <w:tcBorders>
              <w:top w:val="single" w:color="auto" w:sz="4" w:space="0"/>
              <w:left w:val="single" w:color="000000" w:sz="8" w:space="0"/>
              <w:bottom w:val="single" w:color="auto" w:sz="4" w:space="0"/>
              <w:right w:val="single" w:color="000000" w:sz="8" w:space="0"/>
            </w:tcBorders>
            <w:tcW w:w="1736"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涵养林（绿地）养护（15分）</w:t>
            </w:r>
            <w:r/>
          </w:p>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苗木养护：树木在干旱时未及时灌溉；生长期未根据长势及时施追肥；未及时对树木整形，修剪；灾难性气候来临前，未及时巡查并做好预防方案等措施；绿地内对缺株，无故死亡的景观苗木未及时挖除、补种；补植的树木未与原来树种、规格相近；树上有影响生长的附着物（铁丝、钉子、杂藤等）未及时清除。每发现一处扣</w:t>
            </w:r>
            <w:r>
              <w:rPr>
                <w:rStyle w:val="1044"/>
                <w:rFonts w:hint="default" w:ascii="宋体" w:hAnsi="宋体" w:eastAsia="宋体" w:cs="宋体"/>
                <w:color w:val="auto"/>
                <w:sz w:val="24"/>
                <w:szCs w:val="24"/>
                <w:highlight w:val="none"/>
              </w:rPr>
              <w:t xml:space="preserve">1分，扣完为止。</w:t>
            </w:r>
            <w:r/>
          </w:p>
        </w:tc>
        <w:tc>
          <w:tcPr>
            <w:shd w:val="clear" w:color="auto" w:fill="auto"/>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800"/>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草坪地被养护：地被、色块植物未及时中耕除草、对枯死植物未进行补种；地被色块、草坪（高度控制在</w:t>
            </w:r>
            <w:r>
              <w:rPr>
                <w:rStyle w:val="1044"/>
                <w:rFonts w:hint="default" w:ascii="宋体" w:hAnsi="宋体" w:eastAsia="宋体" w:cs="宋体"/>
                <w:color w:val="auto"/>
                <w:sz w:val="24"/>
                <w:szCs w:val="24"/>
                <w:highlight w:val="none"/>
              </w:rPr>
              <w:t xml:space="preserve">8cm左右）未及时修剪，干旱天气，未及时浇水，旱春发芽前未及时施肥；草坪中杂草未及时挑除；路边和树根边的草坪未修剪整平；扎草未平整、边角有遗漏、草屑未及时除净；生长季节未及时追施肥。每发现一处扣1分，扣完为止。</w:t>
            </w:r>
            <w:r/>
          </w:p>
        </w:tc>
        <w:tc>
          <w:tcPr>
            <w:shd w:val="clear" w:color="auto" w:fill="auto"/>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800"/>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病虫害防治：未及时发现病虫害，发生病虫害未及时拿出处理措施；未认真执行防治措施或不及时防治或防治发生药害。每发现一处扣</w:t>
            </w:r>
            <w:r>
              <w:rPr>
                <w:rStyle w:val="1044"/>
                <w:rFonts w:hint="default" w:ascii="宋体" w:hAnsi="宋体" w:eastAsia="宋体" w:cs="宋体"/>
                <w:color w:val="auto"/>
                <w:sz w:val="24"/>
                <w:szCs w:val="24"/>
                <w:highlight w:val="none"/>
              </w:rPr>
              <w:t xml:space="preserve">1分，扣完为止。</w:t>
            </w:r>
            <w:r/>
          </w:p>
        </w:tc>
        <w:tc>
          <w:tcPr>
            <w:shd w:val="clear" w:color="auto" w:fill="auto"/>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800"/>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养护管理：涵养林（绿地）内整洁卫生，无垃圾，生产垃圾日收日清；秋末冬初及时对乔木进行树干涂白，对耐寒性树种做好防寒措施；及时清除护栏围网上的攀援植物；绿篱、模纹、球类等的修剪做到轮廓清晰，线条整齐，顶面平整。未按要求管理，每处扣</w:t>
            </w:r>
            <w:r>
              <w:rPr>
                <w:rStyle w:val="1044"/>
                <w:rFonts w:hint="default" w:ascii="宋体" w:hAnsi="宋体" w:eastAsia="宋体" w:cs="宋体"/>
                <w:color w:val="auto"/>
                <w:sz w:val="24"/>
                <w:szCs w:val="24"/>
                <w:highlight w:val="none"/>
              </w:rPr>
              <w:t xml:space="preserve">1分，扣完为止。</w:t>
            </w:r>
            <w:r/>
          </w:p>
        </w:tc>
        <w:tc>
          <w:tcPr>
            <w:shd w:val="clear" w:color="auto" w:fill="auto"/>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588"/>
        </w:trPr>
        <w:tc>
          <w:tcPr>
            <w:tcBorders>
              <w:top w:val="single" w:color="auto" w:sz="4" w:space="0"/>
              <w:left w:val="single" w:color="000000" w:sz="8" w:space="0"/>
              <w:bottom w:val="single" w:color="auto" w:sz="4" w:space="0"/>
              <w:right w:val="single" w:color="000000" w:sz="8" w:space="0"/>
            </w:tcBorders>
            <w:tcW w:w="1736"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安全生产(15分）</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29</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未经批准1船1人，每发现一次扣1分，扣完为止。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720"/>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30</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酒后作业或工作时间饮酒。每发现一次扣1分，扣完为止。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020"/>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31</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船只漏水漏油、无救生圈、无饮用水、不穿救生衣及穿拖鞋上船。发现一次扣1分，扣完为止。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128"/>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32</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养护单位及管护人员未经甲方同意利用现有设备及人员在正常工作时间干私活或谋利，发现一次扣1分，扣完为止。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1008"/>
        </w:trPr>
        <w:tc>
          <w:tcPr>
            <w:tcBorders>
              <w:top w:val="single" w:color="auto" w:sz="4" w:space="0"/>
              <w:left w:val="single" w:color="000000" w:sz="8" w:space="0"/>
              <w:bottom w:val="single" w:color="auto" w:sz="4" w:space="0"/>
              <w:right w:val="single" w:color="000000" w:sz="8" w:space="0"/>
            </w:tcBorders>
            <w:tcW w:w="1736"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工作要求（10分）</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33</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发现迟到、早退、擅自换岗、离岗现象或在河面上连续休息超过15分钟以上，发现一次扣0.2分，扣完为止。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684"/>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34</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养护作业时间不符合规定要求，发现一次扣0.5分，扣完为止。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696"/>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35</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管护人员上岗未统一着装或年龄不符合要求，发现一次扣0.2分，扣完为止。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768"/>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36</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不文明作业（争吵、打架等违纪现象）发现一次扣0.5分，扣完为止。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684"/>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37</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生产车船未统一标记、状况不良、不整洁，发现一次扣0.2分，扣完为止。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864"/>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38</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生产路面、绿地、岸坡等处有丢弃垃圾或不整洁，发现一次扣0.5分，扣完为止。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900"/>
        </w:trPr>
        <w:tc>
          <w:tcPr>
            <w:tcBorders>
              <w:top w:val="single" w:color="auto" w:sz="4" w:space="0"/>
              <w:left w:val="single" w:color="000000" w:sz="8" w:space="0"/>
              <w:bottom w:val="single" w:color="auto" w:sz="4" w:space="0"/>
              <w:right w:val="single" w:color="000000" w:sz="8" w:space="0"/>
            </w:tcBorders>
            <w:tcW w:w="1736"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39</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对巡查员提出的整改意见未能在规定的时间整改。每发现一次扣1分，扣完为止。</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288"/>
        </w:trPr>
        <w:tc>
          <w:tcPr>
            <w:tcBorders>
              <w:top w:val="single" w:color="auto" w:sz="4" w:space="0"/>
              <w:left w:val="single" w:color="000000" w:sz="8" w:space="0"/>
              <w:bottom w:val="single" w:color="000000" w:sz="8" w:space="0"/>
              <w:right w:val="single" w:color="000000" w:sz="8" w:space="0"/>
            </w:tcBorders>
            <w:tcW w:w="1736"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（100分）</w:t>
            </w:r>
            <w:r/>
          </w:p>
        </w:tc>
        <w:tc>
          <w:tcPr>
            <w:tcBorders>
              <w:top w:val="none" w:color="000000" w:sz="4" w:space="0"/>
              <w:left w:val="none" w:color="000000" w:sz="4" w:space="0"/>
              <w:bottom w:val="single" w:color="000000" w:sz="8" w:space="0"/>
              <w:right w:val="single" w:color="000000" w:sz="8" w:space="0"/>
            </w:tcBorders>
            <w:tcW w:w="60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468"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71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100</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16"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40"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828"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trHeight w:val="300"/>
        </w:trPr>
        <w:tc>
          <w:tcPr>
            <w:gridSpan w:val="3"/>
            <w:tcBorders>
              <w:top w:val="single" w:color="000000" w:sz="8" w:space="0"/>
              <w:left w:val="single" w:color="000000" w:sz="8" w:space="0"/>
              <w:bottom w:val="single" w:color="000000" w:sz="8" w:space="0"/>
              <w:right w:val="single" w:color="000000" w:sz="8" w:space="0"/>
            </w:tcBorders>
            <w:tcW w:w="5812"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得     分</w:t>
            </w:r>
            <w:r/>
          </w:p>
        </w:tc>
        <w:tc>
          <w:tcPr>
            <w:gridSpan w:val="5"/>
            <w:tcBorders>
              <w:top w:val="single" w:color="000000" w:sz="8" w:space="0"/>
              <w:left w:val="none" w:color="000000" w:sz="4" w:space="0"/>
              <w:bottom w:val="single" w:color="000000" w:sz="8" w:space="0"/>
              <w:right w:val="single" w:color="000000" w:sz="8" w:space="0"/>
            </w:tcBorders>
            <w:tcW w:w="384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bl>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ind w:firstLine="482"/>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部门负责人：                                考核人员：</w:t>
      </w:r>
      <w:r/>
    </w:p>
    <w:p>
      <w:pPr>
        <w:pStyle w:val="730"/>
        <w:rPr>
          <w:rFonts w:hAnsi="宋体" w:cs="宋体"/>
          <w:sz w:val="24"/>
          <w:szCs w:val="24"/>
          <w:highlight w:val="none"/>
        </w:rPr>
      </w:pPr>
      <w:r>
        <w:rPr>
          <w:rFonts w:hAnsi="宋体" w:cs="宋体"/>
          <w:sz w:val="24"/>
          <w:szCs w:val="24"/>
          <w:highlight w:val="none"/>
        </w:rPr>
      </w:r>
      <w:r/>
    </w:p>
    <w:p>
      <w:pPr>
        <w:ind w:firstLine="880"/>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000000"/>
          <w:sz w:val="24"/>
          <w:szCs w:val="24"/>
          <w:highlight w:val="none"/>
        </w:rPr>
      </w:r>
      <w:r/>
    </w:p>
    <w:p>
      <w:pPr>
        <w:rPr>
          <w:rFonts w:ascii="宋体" w:hAnsi="宋体" w:cs="宋体"/>
          <w:sz w:val="24"/>
          <w:szCs w:val="24"/>
          <w:highlight w:val="none"/>
        </w:rPr>
      </w:pPr>
      <w:r>
        <w:rPr>
          <w:rFonts w:hint="eastAsia" w:ascii="宋体" w:hAnsi="宋体" w:cs="宋体"/>
          <w:sz w:val="24"/>
          <w:szCs w:val="24"/>
          <w:highlight w:val="none"/>
        </w:rPr>
        <w:t xml:space="preserve">附表：3.1考核权重表</w:t>
      </w:r>
      <w:r/>
    </w:p>
    <w:p>
      <w:pPr>
        <w:rPr>
          <w:rFonts w:ascii="宋体" w:hAnsi="宋体" w:cs="宋体"/>
          <w:sz w:val="24"/>
          <w:szCs w:val="24"/>
          <w:highlight w:val="none"/>
          <w:u w:val="single"/>
        </w:rPr>
      </w:pPr>
      <w:r>
        <w:rPr>
          <w:rFonts w:ascii="宋体" w:hAnsi="宋体" w:cs="宋体"/>
          <w:sz w:val="24"/>
          <w:szCs w:val="24"/>
          <w:highlight w:val="none"/>
          <w:u w:val="single"/>
        </w:rPr>
      </w:r>
      <w:r/>
    </w:p>
    <w:p>
      <w:pPr>
        <w:jc w:val="center"/>
        <w:rPr>
          <w:rFonts w:ascii="宋体" w:hAnsi="宋体" w:cs="宋体"/>
          <w:b/>
          <w:bCs/>
          <w:color w:val="000000"/>
          <w:sz w:val="24"/>
          <w:szCs w:val="24"/>
          <w:highlight w:val="none"/>
        </w:rPr>
      </w:pPr>
      <w:r>
        <w:rPr>
          <w:rFonts w:hint="eastAsia" w:ascii="宋体" w:hAnsi="宋体" w:cs="宋体"/>
          <w:sz w:val="24"/>
          <w:szCs w:val="24"/>
          <w:highlight w:val="none"/>
        </w:rPr>
        <w:t xml:space="preserve">20</w:t>
      </w:r>
      <w:r>
        <w:rPr>
          <w:rFonts w:hint="eastAsia" w:ascii="宋体" w:hAnsi="宋体" w:cs="宋体"/>
          <w:b/>
          <w:bCs/>
          <w:sz w:val="24"/>
          <w:szCs w:val="24"/>
          <w:highlight w:val="none"/>
        </w:rPr>
        <w:t xml:space="preserve">××年×月份</w:t>
      </w:r>
      <w:r>
        <w:rPr>
          <w:rFonts w:hint="eastAsia" w:ascii="宋体" w:hAnsi="宋体" w:cs="宋体"/>
          <w:b/>
          <w:bCs/>
          <w:sz w:val="24"/>
          <w:szCs w:val="24"/>
          <w:highlight w:val="none"/>
          <w:u w:val="single"/>
        </w:rPr>
        <w:t xml:space="preserve">                                          </w:t>
      </w:r>
      <w:r>
        <w:rPr>
          <w:rFonts w:hint="eastAsia" w:ascii="宋体" w:hAnsi="宋体" w:cs="宋体"/>
          <w:b/>
          <w:bCs/>
          <w:color w:val="000000"/>
          <w:sz w:val="24"/>
          <w:szCs w:val="24"/>
          <w:highlight w:val="none"/>
        </w:rPr>
        <w:t xml:space="preserve">考核权重表</w:t>
      </w:r>
      <w:r/>
    </w:p>
    <w:p>
      <w:pPr>
        <w:jc w:val="center"/>
        <w:rPr>
          <w:rFonts w:ascii="宋体" w:hAnsi="宋体" w:cs="宋体"/>
          <w:b/>
          <w:bCs/>
          <w:color w:val="000000"/>
          <w:sz w:val="24"/>
          <w:szCs w:val="24"/>
          <w:highlight w:val="none"/>
        </w:rPr>
      </w:pPr>
      <w:r>
        <w:rPr>
          <w:rFonts w:ascii="宋体" w:hAnsi="宋体" w:cs="宋体"/>
          <w:b/>
          <w:bCs/>
          <w:color w:val="000000"/>
          <w:sz w:val="24"/>
          <w:szCs w:val="24"/>
          <w:highlight w:val="none"/>
        </w:rPr>
      </w:r>
      <w:r/>
    </w:p>
    <w:tbl>
      <w:tblPr>
        <w:tblStyle w:val="718"/>
        <w:tblpPr w:horzAnchor="page" w:tblpX="1562" w:vertAnchor="text" w:tblpY="52" w:leftFromText="180" w:topFromText="0" w:rightFromText="180" w:bottomFromText="0"/>
        <w:tblW w:w="14171" w:type="dxa"/>
        <w:tblInd w:w="0" w:type="dxa"/>
        <w:tblLayout w:type="fixed"/>
        <w:tblCellMar>
          <w:left w:w="108" w:type="dxa"/>
          <w:top w:w="0" w:type="dxa"/>
          <w:right w:w="108" w:type="dxa"/>
          <w:bottom w:w="0" w:type="dxa"/>
        </w:tblCellMar>
        <w:tblLook w:val="04A0" w:firstRow="1" w:lastRow="0" w:firstColumn="1" w:lastColumn="0" w:noHBand="0" w:noVBand="1"/>
      </w:tblPr>
      <w:tblGrid>
        <w:gridCol w:w="2769"/>
        <w:gridCol w:w="1692"/>
        <w:gridCol w:w="1772"/>
        <w:gridCol w:w="1338"/>
        <w:gridCol w:w="1233"/>
        <w:gridCol w:w="1687"/>
        <w:gridCol w:w="1732"/>
        <w:gridCol w:w="1948"/>
      </w:tblGrid>
      <w:tr>
        <w:trPr>
          <w:trHeight w:val="763"/>
        </w:trPr>
        <w:tc>
          <w:tcPr>
            <w:tcBorders>
              <w:top w:val="single" w:color="auto" w:sz="4" w:space="0"/>
              <w:left w:val="single" w:color="auto" w:sz="4" w:space="0"/>
              <w:bottom w:val="single" w:color="auto" w:sz="4" w:space="0"/>
              <w:right w:val="single" w:color="auto" w:sz="4" w:space="0"/>
            </w:tcBorders>
            <w:tcW w:w="2769" w:type="dxa"/>
            <w:vAlign w:val="center"/>
            <w:vMerge w:val="restar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服务单位</w:t>
            </w:r>
            <w:r/>
          </w:p>
        </w:tc>
        <w:tc>
          <w:tcPr>
            <w:gridSpan w:val="7"/>
            <w:tcBorders>
              <w:top w:val="single" w:color="auto" w:sz="4" w:space="0"/>
              <w:left w:val="single" w:color="auto" w:sz="4" w:space="0"/>
              <w:bottom w:val="single" w:color="auto" w:sz="4" w:space="0"/>
              <w:right w:val="single" w:color="auto" w:sz="4" w:space="0"/>
            </w:tcBorders>
            <w:tcW w:w="11402"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所（站）</w:t>
            </w:r>
            <w:r/>
          </w:p>
        </w:tc>
      </w:tr>
      <w:tr>
        <w:trPr>
          <w:trHeight w:val="747"/>
        </w:trPr>
        <w:tc>
          <w:tcPr>
            <w:tcBorders>
              <w:top w:val="single" w:color="auto" w:sz="4" w:space="0"/>
              <w:left w:val="single" w:color="auto" w:sz="4" w:space="0"/>
              <w:bottom w:val="single" w:color="auto" w:sz="4" w:space="0"/>
              <w:right w:val="single" w:color="auto" w:sz="4" w:space="0"/>
            </w:tcBorders>
            <w:tcW w:w="2769"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gridSpan w:val="4"/>
            <w:tcBorders>
              <w:top w:val="single" w:color="auto" w:sz="4" w:space="0"/>
              <w:left w:val="single" w:color="auto" w:sz="4" w:space="0"/>
              <w:bottom w:val="single" w:color="auto" w:sz="4" w:space="0"/>
              <w:right w:val="single" w:color="auto" w:sz="4" w:space="0"/>
            </w:tcBorders>
            <w:tcW w:w="603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周考核扣分</w:t>
            </w:r>
            <w:r/>
          </w:p>
        </w:tc>
        <w:tc>
          <w:tcPr>
            <w:tcBorders>
              <w:top w:val="none" w:color="000000" w:sz="4" w:space="0"/>
              <w:left w:val="none" w:color="000000" w:sz="4" w:space="0"/>
              <w:bottom w:val="none" w:color="000000" w:sz="4" w:space="0"/>
              <w:right w:val="single" w:color="auto" w:sz="4" w:space="0"/>
            </w:tcBorders>
            <w:tcW w:w="1687" w:type="dxa"/>
            <w:vAlign w:val="center"/>
            <w:vMerge w:val="restar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扣分</w:t>
            </w:r>
            <w:r/>
          </w:p>
          <w:p>
            <w:pPr>
              <w:jc w:val="center"/>
              <w:rPr>
                <w:rFonts w:ascii="宋体" w:hAnsi="宋体" w:cs="宋体"/>
                <w:sz w:val="24"/>
                <w:szCs w:val="24"/>
                <w:highlight w:val="none"/>
              </w:rPr>
            </w:pPr>
            <w:r>
              <w:rPr>
                <w:rFonts w:hint="eastAsia" w:ascii="宋体" w:hAnsi="宋体" w:cs="宋体"/>
                <w:sz w:val="24"/>
                <w:szCs w:val="24"/>
                <w:highlight w:val="none"/>
              </w:rPr>
              <w:t xml:space="preserve">合计</w:t>
            </w:r>
            <w:r/>
          </w:p>
        </w:tc>
        <w:tc>
          <w:tcPr>
            <w:tcBorders>
              <w:top w:val="none" w:color="000000" w:sz="4" w:space="0"/>
              <w:left w:val="none" w:color="000000" w:sz="4" w:space="0"/>
              <w:bottom w:val="none" w:color="000000" w:sz="4" w:space="0"/>
              <w:right w:val="single" w:color="auto" w:sz="4" w:space="0"/>
            </w:tcBorders>
            <w:tcW w:w="1732" w:type="dxa"/>
            <w:vAlign w:val="center"/>
            <w:vMerge w:val="restar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考核</w:t>
            </w:r>
            <w:r/>
          </w:p>
          <w:p>
            <w:pPr>
              <w:jc w:val="center"/>
              <w:rPr>
                <w:rFonts w:ascii="宋体" w:hAnsi="宋体" w:cs="宋体"/>
                <w:sz w:val="24"/>
                <w:szCs w:val="24"/>
                <w:highlight w:val="none"/>
              </w:rPr>
            </w:pPr>
            <w:r>
              <w:rPr>
                <w:rFonts w:hint="eastAsia" w:ascii="宋体" w:hAnsi="宋体" w:cs="宋体"/>
                <w:sz w:val="24"/>
                <w:szCs w:val="24"/>
                <w:highlight w:val="none"/>
              </w:rPr>
              <w:t xml:space="preserve">得分</w:t>
            </w:r>
            <w:r/>
          </w:p>
        </w:tc>
        <w:tc>
          <w:tcPr>
            <w:tcBorders>
              <w:top w:val="none" w:color="000000" w:sz="4" w:space="0"/>
              <w:left w:val="none" w:color="000000" w:sz="4" w:space="0"/>
              <w:bottom w:val="none" w:color="000000" w:sz="4" w:space="0"/>
              <w:right w:val="single" w:color="auto" w:sz="4" w:space="0"/>
            </w:tcBorders>
            <w:tcW w:w="1948" w:type="dxa"/>
            <w:vAlign w:val="center"/>
            <w:vMerge w:val="restar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60%权重    得分</w:t>
            </w:r>
            <w:r/>
          </w:p>
        </w:tc>
      </w:tr>
      <w:tr>
        <w:trPr>
          <w:trHeight w:val="383"/>
        </w:trPr>
        <w:tc>
          <w:tcPr>
            <w:tcBorders>
              <w:top w:val="single" w:color="auto" w:sz="4" w:space="0"/>
              <w:left w:val="single" w:color="auto" w:sz="4" w:space="0"/>
              <w:bottom w:val="single" w:color="auto" w:sz="4" w:space="0"/>
              <w:right w:val="single" w:color="auto" w:sz="4" w:space="0"/>
            </w:tcBorders>
            <w:tcW w:w="2769"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一</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二</w:t>
            </w:r>
            <w:r/>
          </w:p>
        </w:tc>
        <w:tc>
          <w:tcPr>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三</w:t>
            </w:r>
            <w:r/>
          </w:p>
        </w:tc>
        <w:tc>
          <w:tcPr>
            <w:tcBorders>
              <w:top w:val="none" w:color="000000" w:sz="4" w:space="0"/>
              <w:left w:val="none" w:color="000000" w:sz="4" w:space="0"/>
              <w:bottom w:val="single" w:color="auto" w:sz="4" w:space="0"/>
              <w:right w:val="single" w:color="auto" w:sz="4" w:space="0"/>
            </w:tcBorders>
            <w:tcW w:w="123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四</w:t>
            </w:r>
            <w:r/>
          </w:p>
        </w:tc>
        <w:tc>
          <w:tcPr>
            <w:tcBorders>
              <w:left w:val="none" w:color="000000" w:sz="4" w:space="0"/>
              <w:bottom w:val="single" w:color="auto" w:sz="4" w:space="0"/>
              <w:right w:val="single" w:color="auto" w:sz="4" w:space="0"/>
            </w:tcBorders>
            <w:tcW w:w="1687"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1732"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1948"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trHeight w:val="1816"/>
        </w:trPr>
        <w:tc>
          <w:tcPr>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233"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948"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bl>
    <w:p>
      <w:pPr>
        <w:rPr>
          <w:rFonts w:ascii="宋体" w:hAnsi="宋体" w:cs="宋体"/>
          <w:sz w:val="24"/>
          <w:szCs w:val="24"/>
          <w:highlight w:val="none"/>
        </w:rPr>
      </w:pPr>
      <w:r>
        <w:rPr>
          <w:rFonts w:ascii="宋体" w:hAnsi="宋体" w:cs="宋体"/>
          <w:sz w:val="24"/>
          <w:szCs w:val="24"/>
          <w:highlight w:val="none"/>
        </w:rPr>
      </w:r>
      <w:r/>
    </w:p>
    <w:p>
      <w:pPr>
        <w:pStyle w:val="730"/>
        <w:ind w:firstLine="480"/>
        <w:spacing w:before="240" w:line="420" w:lineRule="exact"/>
        <w:rPr>
          <w:rFonts w:hAnsi="宋体" w:cs="宋体"/>
          <w:sz w:val="24"/>
          <w:szCs w:val="24"/>
          <w:highlight w:val="none"/>
        </w:rPr>
      </w:pPr>
      <w:r>
        <w:rPr>
          <w:rFonts w:hint="eastAsia" w:hAnsi="宋体" w:cs="宋体"/>
          <w:sz w:val="24"/>
          <w:szCs w:val="24"/>
          <w:highlight w:val="none"/>
        </w:rPr>
        <w:t xml:space="preserve">分管负责人：                                  所（站）负责人：                              制表人：</w:t>
      </w:r>
      <w:r/>
    </w:p>
    <w:p>
      <w:pPr>
        <w:pStyle w:val="730"/>
        <w:jc w:val="center"/>
        <w:spacing w:before="240" w:line="420" w:lineRule="exact"/>
        <w:rPr>
          <w:rFonts w:hAnsi="宋体" w:cs="宋体"/>
          <w:sz w:val="24"/>
          <w:szCs w:val="24"/>
          <w:highlight w:val="none"/>
          <w:u w:val="single"/>
        </w:rPr>
      </w:pPr>
      <w:r>
        <w:rPr>
          <w:rFonts w:hAnsi="宋体" w:cs="宋体"/>
          <w:sz w:val="24"/>
          <w:szCs w:val="24"/>
          <w:highlight w:val="none"/>
          <w:u w:val="singl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hint="eastAsia" w:ascii="宋体" w:hAnsi="宋体" w:cs="宋体"/>
          <w:sz w:val="24"/>
          <w:szCs w:val="24"/>
          <w:highlight w:val="none"/>
        </w:rPr>
        <w:t xml:space="preserve">附表：3.2考核权重表</w:t>
      </w:r>
      <w:r/>
    </w:p>
    <w:p>
      <w:pPr>
        <w:rPr>
          <w:rFonts w:ascii="宋体" w:hAnsi="宋体" w:cs="宋体"/>
          <w:sz w:val="24"/>
          <w:szCs w:val="24"/>
          <w:highlight w:val="none"/>
          <w:u w:val="single"/>
        </w:rPr>
      </w:pPr>
      <w:r>
        <w:rPr>
          <w:rFonts w:ascii="宋体" w:hAnsi="宋体" w:cs="宋体"/>
          <w:sz w:val="24"/>
          <w:szCs w:val="24"/>
          <w:highlight w:val="none"/>
          <w:u w:val="single"/>
        </w:rPr>
      </w:r>
      <w:r/>
    </w:p>
    <w:p>
      <w:pPr>
        <w:pStyle w:val="730"/>
        <w:jc w:val="center"/>
        <w:spacing w:before="240" w:line="420" w:lineRule="exact"/>
        <w:rPr>
          <w:rFonts w:hAnsi="宋体" w:cs="宋体"/>
          <w:sz w:val="24"/>
          <w:szCs w:val="24"/>
          <w:highlight w:val="none"/>
        </w:rPr>
      </w:pPr>
      <w:r>
        <w:rPr>
          <w:rFonts w:hAnsi="宋体" w:cs="宋体"/>
          <w:sz w:val="24"/>
          <w:szCs w:val="24"/>
          <w:highlight w:val="none"/>
        </w:rPr>
      </w:r>
      <w:r/>
    </w:p>
    <w:p>
      <w:pPr>
        <w:pStyle w:val="730"/>
        <w:jc w:val="center"/>
        <w:spacing w:before="240" w:line="420" w:lineRule="exact"/>
        <w:rPr>
          <w:rFonts w:hAnsi="宋体" w:cs="宋体"/>
          <w:sz w:val="24"/>
          <w:szCs w:val="24"/>
          <w:highlight w:val="none"/>
        </w:rPr>
      </w:pPr>
      <w:r>
        <w:rPr>
          <w:rFonts w:hint="eastAsia" w:hAnsi="宋体" w:cs="宋体"/>
          <w:sz w:val="24"/>
          <w:szCs w:val="24"/>
          <w:highlight w:val="none"/>
        </w:rPr>
        <w:t xml:space="preserve">20</w:t>
      </w:r>
      <w:r>
        <w:rPr>
          <w:rFonts w:hint="eastAsia" w:hAnsi="宋体" w:cs="宋体"/>
          <w:b/>
          <w:bCs/>
          <w:sz w:val="24"/>
          <w:szCs w:val="24"/>
          <w:highlight w:val="none"/>
        </w:rPr>
        <w:t xml:space="preserve">××年×月份</w:t>
      </w:r>
      <w:r>
        <w:rPr>
          <w:rFonts w:hint="eastAsia" w:hAnsi="宋体" w:cs="宋体"/>
          <w:b/>
          <w:bCs/>
          <w:sz w:val="24"/>
          <w:szCs w:val="24"/>
          <w:highlight w:val="none"/>
          <w:u w:val="single"/>
        </w:rPr>
        <w:t xml:space="preserve">                              </w:t>
      </w:r>
      <w:r>
        <w:rPr>
          <w:rFonts w:hint="eastAsia" w:hAnsi="宋体" w:cs="宋体"/>
          <w:b/>
          <w:bCs/>
          <w:color w:val="000000"/>
          <w:sz w:val="24"/>
          <w:szCs w:val="24"/>
          <w:highlight w:val="none"/>
        </w:rPr>
        <w:t xml:space="preserve">考核权重表</w:t>
      </w:r>
      <w:r/>
    </w:p>
    <w:tbl>
      <w:tblPr>
        <w:tblStyle w:val="718"/>
        <w:tblpPr w:horzAnchor="page" w:tblpX="1562" w:vertAnchor="text" w:tblpY="52" w:leftFromText="180" w:topFromText="0" w:rightFromText="180" w:bottomFromText="0"/>
        <w:tblW w:w="13908" w:type="dxa"/>
        <w:tblInd w:w="0" w:type="dxa"/>
        <w:tblLayout w:type="fixed"/>
        <w:tblCellMar>
          <w:left w:w="108" w:type="dxa"/>
          <w:top w:w="0" w:type="dxa"/>
          <w:right w:w="108" w:type="dxa"/>
          <w:bottom w:w="0" w:type="dxa"/>
        </w:tblCellMar>
        <w:tblLook w:val="04A0" w:firstRow="1" w:lastRow="0" w:firstColumn="1" w:lastColumn="0" w:noHBand="0" w:noVBand="1"/>
      </w:tblPr>
      <w:tblGrid>
        <w:gridCol w:w="2718"/>
        <w:gridCol w:w="1663"/>
        <w:gridCol w:w="1744"/>
        <w:gridCol w:w="1314"/>
        <w:gridCol w:w="1202"/>
        <w:gridCol w:w="1660"/>
        <w:gridCol w:w="1700"/>
        <w:gridCol w:w="1907"/>
      </w:tblGrid>
      <w:tr>
        <w:trPr>
          <w:trHeight w:val="763"/>
        </w:trPr>
        <w:tc>
          <w:tcPr>
            <w:tcBorders>
              <w:top w:val="single" w:color="auto" w:sz="4" w:space="0"/>
              <w:left w:val="single" w:color="auto" w:sz="4" w:space="0"/>
              <w:bottom w:val="single" w:color="auto" w:sz="4" w:space="0"/>
              <w:right w:val="single" w:color="auto" w:sz="4" w:space="0"/>
            </w:tcBorders>
            <w:tcW w:w="2718" w:type="dxa"/>
            <w:vAlign w:val="center"/>
            <w:vMerge w:val="restar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服务单位</w:t>
            </w:r>
            <w:r/>
          </w:p>
        </w:tc>
        <w:tc>
          <w:tcPr>
            <w:gridSpan w:val="7"/>
            <w:tcBorders>
              <w:top w:val="single" w:color="auto" w:sz="4" w:space="0"/>
              <w:left w:val="single" w:color="auto" w:sz="4" w:space="0"/>
              <w:bottom w:val="single" w:color="auto" w:sz="4" w:space="0"/>
              <w:right w:val="single" w:color="auto" w:sz="4" w:space="0"/>
            </w:tcBorders>
            <w:tcW w:w="1119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安全管理科</w:t>
            </w:r>
            <w:r/>
          </w:p>
        </w:tc>
      </w:tr>
      <w:tr>
        <w:trPr>
          <w:trHeight w:val="747"/>
        </w:trPr>
        <w:tc>
          <w:tcPr>
            <w:tcBorders>
              <w:top w:val="single" w:color="auto" w:sz="4" w:space="0"/>
              <w:left w:val="single" w:color="auto" w:sz="4" w:space="0"/>
              <w:bottom w:val="single" w:color="auto" w:sz="4" w:space="0"/>
              <w:right w:val="single" w:color="auto" w:sz="4" w:space="0"/>
            </w:tcBorders>
            <w:tcW w:w="2718"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gridSpan w:val="4"/>
            <w:tcBorders>
              <w:top w:val="single" w:color="auto" w:sz="4" w:space="0"/>
              <w:left w:val="single" w:color="auto" w:sz="4" w:space="0"/>
              <w:bottom w:val="single" w:color="auto" w:sz="4" w:space="0"/>
              <w:right w:val="single" w:color="auto" w:sz="4" w:space="0"/>
            </w:tcBorders>
            <w:tcW w:w="592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周考核扣分</w:t>
            </w:r>
            <w:r/>
          </w:p>
        </w:tc>
        <w:tc>
          <w:tcPr>
            <w:tcBorders>
              <w:top w:val="none" w:color="000000" w:sz="4" w:space="0"/>
              <w:left w:val="none" w:color="000000" w:sz="4" w:space="0"/>
              <w:bottom w:val="none" w:color="000000" w:sz="4" w:space="0"/>
              <w:right w:val="single" w:color="auto" w:sz="4" w:space="0"/>
            </w:tcBorders>
            <w:tcW w:w="1660" w:type="dxa"/>
            <w:vAlign w:val="center"/>
            <w:vMerge w:val="restar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扣分</w:t>
            </w:r>
            <w:r/>
          </w:p>
          <w:p>
            <w:pPr>
              <w:jc w:val="center"/>
              <w:rPr>
                <w:rFonts w:ascii="宋体" w:hAnsi="宋体" w:cs="宋体"/>
                <w:sz w:val="24"/>
                <w:szCs w:val="24"/>
                <w:highlight w:val="none"/>
              </w:rPr>
            </w:pPr>
            <w:r>
              <w:rPr>
                <w:rFonts w:hint="eastAsia" w:ascii="宋体" w:hAnsi="宋体" w:cs="宋体"/>
                <w:sz w:val="24"/>
                <w:szCs w:val="24"/>
                <w:highlight w:val="none"/>
              </w:rPr>
              <w:t xml:space="preserve">合计</w:t>
            </w:r>
            <w:r/>
          </w:p>
        </w:tc>
        <w:tc>
          <w:tcPr>
            <w:tcBorders>
              <w:top w:val="none" w:color="000000" w:sz="4" w:space="0"/>
              <w:left w:val="none" w:color="000000" w:sz="4" w:space="0"/>
              <w:bottom w:val="none" w:color="000000" w:sz="4" w:space="0"/>
              <w:right w:val="single" w:color="auto" w:sz="4" w:space="0"/>
            </w:tcBorders>
            <w:tcW w:w="1700" w:type="dxa"/>
            <w:vAlign w:val="center"/>
            <w:vMerge w:val="restar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考核</w:t>
            </w:r>
            <w:r/>
          </w:p>
          <w:p>
            <w:pPr>
              <w:jc w:val="center"/>
              <w:rPr>
                <w:rFonts w:ascii="宋体" w:hAnsi="宋体" w:cs="宋体"/>
                <w:sz w:val="24"/>
                <w:szCs w:val="24"/>
                <w:highlight w:val="none"/>
              </w:rPr>
            </w:pPr>
            <w:r>
              <w:rPr>
                <w:rFonts w:hint="eastAsia" w:ascii="宋体" w:hAnsi="宋体" w:cs="宋体"/>
                <w:sz w:val="24"/>
                <w:szCs w:val="24"/>
                <w:highlight w:val="none"/>
              </w:rPr>
              <w:t xml:space="preserve">得分</w:t>
            </w:r>
            <w:r/>
          </w:p>
        </w:tc>
        <w:tc>
          <w:tcPr>
            <w:tcBorders>
              <w:top w:val="none" w:color="000000" w:sz="4" w:space="0"/>
              <w:left w:val="none" w:color="000000" w:sz="4" w:space="0"/>
              <w:bottom w:val="none" w:color="000000" w:sz="4" w:space="0"/>
              <w:right w:val="single" w:color="auto" w:sz="4" w:space="0"/>
            </w:tcBorders>
            <w:tcW w:w="1907" w:type="dxa"/>
            <w:vAlign w:val="center"/>
            <w:vMerge w:val="restart"/>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40%权重    得分</w:t>
            </w:r>
            <w:r/>
          </w:p>
        </w:tc>
      </w:tr>
      <w:tr>
        <w:trPr>
          <w:trHeight w:val="383"/>
        </w:trPr>
        <w:tc>
          <w:tcPr>
            <w:tcBorders>
              <w:top w:val="single" w:color="auto" w:sz="4" w:space="0"/>
              <w:left w:val="single" w:color="auto" w:sz="4" w:space="0"/>
              <w:bottom w:val="single" w:color="auto" w:sz="4" w:space="0"/>
              <w:right w:val="single" w:color="auto" w:sz="4" w:space="0"/>
            </w:tcBorders>
            <w:tcW w:w="2718"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66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一</w:t>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二</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三</w:t>
            </w:r>
            <w:r/>
          </w:p>
        </w:tc>
        <w:tc>
          <w:tcPr>
            <w:tcBorders>
              <w:top w:val="none" w:color="000000" w:sz="4" w:space="0"/>
              <w:left w:val="none" w:color="000000" w:sz="4" w:space="0"/>
              <w:bottom w:val="single" w:color="auto" w:sz="4" w:space="0"/>
              <w:right w:val="single" w:color="auto" w:sz="4" w:space="0"/>
            </w:tcBorders>
            <w:tcW w:w="1202"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四</w:t>
            </w:r>
            <w:r/>
          </w:p>
        </w:tc>
        <w:tc>
          <w:tcPr>
            <w:tcBorders>
              <w:left w:val="none" w:color="000000" w:sz="4" w:space="0"/>
              <w:bottom w:val="single" w:color="auto" w:sz="4" w:space="0"/>
              <w:right w:val="single" w:color="auto" w:sz="4" w:space="0"/>
            </w:tcBorders>
            <w:tcW w:w="1660"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1700"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1907" w:type="dxa"/>
            <w:vAlign w:val="center"/>
            <w:vMerge w:val="continue"/>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trHeight w:val="1816"/>
        </w:trPr>
        <w:tc>
          <w:tcPr>
            <w:tcBorders>
              <w:top w:val="single" w:color="auto" w:sz="4" w:space="0"/>
              <w:left w:val="single" w:color="auto" w:sz="4" w:space="0"/>
              <w:bottom w:val="single" w:color="auto" w:sz="4" w:space="0"/>
              <w:right w:val="single" w:color="auto" w:sz="4" w:space="0"/>
            </w:tcBorders>
            <w:tcW w:w="2718"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663"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202"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907" w:type="dxa"/>
            <w:vAlign w:val="center"/>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bl>
    <w:p>
      <w:pPr>
        <w:pStyle w:val="730"/>
        <w:ind w:firstLine="11520"/>
        <w:spacing w:before="240" w:line="420" w:lineRule="exact"/>
        <w:rPr>
          <w:rFonts w:hAnsi="宋体" w:cs="宋体"/>
          <w:sz w:val="24"/>
          <w:szCs w:val="24"/>
          <w:highlight w:val="none"/>
        </w:rPr>
      </w:pPr>
      <w:r>
        <w:rPr>
          <w:rFonts w:hAnsi="宋体" w:cs="宋体"/>
          <w:sz w:val="24"/>
          <w:szCs w:val="24"/>
          <w:highlight w:val="none"/>
        </w:rPr>
      </w:r>
      <w:r/>
    </w:p>
    <w:p>
      <w:pPr>
        <w:pStyle w:val="730"/>
        <w:ind w:firstLine="480"/>
        <w:spacing w:before="240" w:line="420" w:lineRule="exact"/>
        <w:rPr>
          <w:rFonts w:hAnsi="宋体" w:cs="宋体"/>
          <w:sz w:val="24"/>
          <w:szCs w:val="24"/>
          <w:highlight w:val="none"/>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hAnsi="宋体" w:cs="宋体"/>
          <w:sz w:val="24"/>
          <w:szCs w:val="24"/>
          <w:highlight w:val="none"/>
        </w:rPr>
        <w:t xml:space="preserve">分管负责人：                                   科室负责人：                              制表人：</w:t>
      </w:r>
      <w:r/>
    </w:p>
    <w:p>
      <w:pPr>
        <w:rPr>
          <w:rFonts w:ascii="宋体" w:hAnsi="宋体" w:cs="宋体"/>
          <w:sz w:val="24"/>
          <w:szCs w:val="24"/>
          <w:highlight w:val="none"/>
        </w:rPr>
      </w:pPr>
      <w:r>
        <w:rPr>
          <w:rFonts w:hint="eastAsia" w:ascii="宋体" w:hAnsi="宋体" w:cs="宋体"/>
          <w:sz w:val="24"/>
          <w:szCs w:val="24"/>
          <w:highlight w:val="none"/>
        </w:rPr>
        <w:t xml:space="preserve">附表：4.服务质量考核结果表</w:t>
      </w:r>
      <w:r/>
    </w:p>
    <w:p>
      <w:pPr>
        <w:jc w:val="center"/>
        <w:rPr>
          <w:rFonts w:ascii="宋体" w:hAnsi="宋体" w:cs="宋体"/>
          <w:b/>
          <w:bCs/>
          <w:color w:val="000000"/>
          <w:sz w:val="24"/>
          <w:szCs w:val="24"/>
          <w:highlight w:val="none"/>
        </w:rPr>
      </w:pPr>
      <w:r>
        <w:rPr>
          <w:rFonts w:hint="eastAsia" w:ascii="宋体" w:hAnsi="宋体" w:cs="宋体"/>
          <w:sz w:val="24"/>
          <w:szCs w:val="24"/>
          <w:highlight w:val="none"/>
        </w:rPr>
        <w:t xml:space="preserve">20</w:t>
      </w:r>
      <w:r>
        <w:rPr>
          <w:rFonts w:hint="eastAsia" w:ascii="宋体" w:hAnsi="宋体" w:cs="宋体"/>
          <w:b/>
          <w:bCs/>
          <w:sz w:val="24"/>
          <w:szCs w:val="24"/>
          <w:highlight w:val="none"/>
        </w:rPr>
        <w:t xml:space="preserve">××年×月份</w:t>
      </w:r>
      <w:r>
        <w:rPr>
          <w:rFonts w:hint="eastAsia" w:ascii="宋体" w:hAnsi="宋体" w:cs="宋体"/>
          <w:b/>
          <w:bCs/>
          <w:sz w:val="24"/>
          <w:szCs w:val="24"/>
          <w:highlight w:val="none"/>
          <w:u w:val="single"/>
        </w:rPr>
        <w:t xml:space="preserve">              </w:t>
      </w:r>
      <w:r>
        <w:rPr>
          <w:rFonts w:hint="eastAsia" w:ascii="宋体" w:hAnsi="宋体" w:cs="宋体"/>
          <w:b/>
          <w:bCs/>
          <w:color w:val="000000"/>
          <w:sz w:val="24"/>
          <w:szCs w:val="24"/>
          <w:highlight w:val="none"/>
        </w:rPr>
        <w:t xml:space="preserve">项目服务质量考核结果表</w:t>
      </w:r>
      <w:r/>
    </w:p>
    <w:p>
      <w:pPr>
        <w:jc w:val="right"/>
        <w:rPr>
          <w:rFonts w:ascii="宋体" w:hAnsi="宋体" w:cs="宋体"/>
          <w:color w:val="000000"/>
          <w:sz w:val="24"/>
          <w:szCs w:val="24"/>
          <w:highlight w:val="none"/>
        </w:rPr>
      </w:pPr>
      <w:r>
        <w:rPr>
          <w:rStyle w:val="1047"/>
          <w:rFonts w:hint="eastAsia" w:ascii="宋体" w:hAnsi="宋体" w:eastAsia="宋体" w:cs="宋体"/>
          <w:highlight w:val="none"/>
        </w:rPr>
        <w:t xml:space="preserve">单位：元</w:t>
      </w:r>
      <w:r/>
    </w:p>
    <w:tbl>
      <w:tblPr>
        <w:tblStyle w:val="747"/>
        <w:tblW w:w="15657" w:type="dxa"/>
        <w:tblInd w:w="-6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8"/>
        <w:gridCol w:w="821"/>
        <w:gridCol w:w="834"/>
        <w:gridCol w:w="937"/>
        <w:gridCol w:w="890"/>
        <w:gridCol w:w="743"/>
        <w:gridCol w:w="1545"/>
        <w:gridCol w:w="1222"/>
        <w:gridCol w:w="1222"/>
        <w:gridCol w:w="1222"/>
        <w:gridCol w:w="1235"/>
        <w:gridCol w:w="859"/>
        <w:gridCol w:w="2799"/>
      </w:tblGrid>
      <w:tr>
        <w:trPr>
          <w:trHeight w:val="762"/>
        </w:trPr>
        <w:tc>
          <w:tcPr>
            <w:tcW w:w="1328"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w:t>
            </w:r>
            <w:r/>
          </w:p>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名称</w:t>
            </w:r>
            <w:r/>
          </w:p>
        </w:tc>
        <w:tc>
          <w:tcPr>
            <w:tcW w:w="821"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服务单位</w:t>
            </w:r>
            <w:r/>
          </w:p>
        </w:tc>
        <w:tc>
          <w:tcPr>
            <w:tcW w:w="834" w:type="dxa"/>
            <w:vAlign w:val="center"/>
            <w:vMerge w:val="restart"/>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服务内容</w:t>
            </w:r>
            <w:r/>
          </w:p>
        </w:tc>
        <w:tc>
          <w:tcPr>
            <w:gridSpan w:val="2"/>
            <w:tcW w:w="1827"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考核权重得分</w:t>
            </w:r>
            <w:r/>
          </w:p>
        </w:tc>
        <w:tc>
          <w:tcPr>
            <w:tcW w:w="743"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最终得分</w:t>
            </w:r>
            <w:r/>
          </w:p>
        </w:tc>
        <w:tc>
          <w:tcPr>
            <w:tcW w:w="1545"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合同月平均费用</w:t>
            </w:r>
            <w:r/>
          </w:p>
        </w:tc>
        <w:tc>
          <w:tcPr>
            <w:tcW w:w="1222"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月基本费用60%</w:t>
            </w:r>
            <w:r/>
          </w:p>
        </w:tc>
        <w:tc>
          <w:tcPr>
            <w:tcW w:w="1222"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月考核费用40%</w:t>
            </w:r>
            <w:r/>
          </w:p>
        </w:tc>
        <w:tc>
          <w:tcPr>
            <w:tcW w:w="1222"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当月考核扣除费用</w:t>
            </w:r>
            <w:r/>
          </w:p>
        </w:tc>
        <w:tc>
          <w:tcPr>
            <w:tcW w:w="1235" w:type="dxa"/>
            <w:vAlign w:val="center"/>
            <w:vMerge w:val="restart"/>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当月应付费用</w:t>
            </w:r>
            <w:r/>
          </w:p>
        </w:tc>
        <w:tc>
          <w:tcPr>
            <w:tcW w:w="859" w:type="dxa"/>
            <w:vAlign w:val="center"/>
            <w:vMerge w:val="restart"/>
            <w:textDirection w:val="lrTb"/>
            <w:noWrap w:val="false"/>
          </w:tcPr>
          <w:p>
            <w:pPr>
              <w:jc w:val="center"/>
              <w:rPr>
                <w:rFonts w:ascii="宋体" w:hAnsi="宋体" w:cs="宋体"/>
                <w:color w:val="000000"/>
                <w:sz w:val="24"/>
                <w:szCs w:val="24"/>
                <w:highlight w:val="none"/>
              </w:rPr>
            </w:pPr>
            <w:r>
              <w:rPr>
                <w:rStyle w:val="1047"/>
                <w:rFonts w:hint="eastAsia" w:ascii="宋体" w:hAnsi="宋体" w:eastAsia="宋体" w:cs="宋体"/>
                <w:highlight w:val="none"/>
              </w:rPr>
              <w:t xml:space="preserve">开户行</w:t>
            </w:r>
            <w:r/>
          </w:p>
        </w:tc>
        <w:tc>
          <w:tcPr>
            <w:tcW w:w="2799" w:type="dxa"/>
            <w:vAlign w:val="center"/>
            <w:vMerge w:val="restart"/>
            <w:textDirection w:val="lrTb"/>
            <w:noWrap w:val="false"/>
          </w:tcPr>
          <w:p>
            <w:pPr>
              <w:jc w:val="center"/>
              <w:rPr>
                <w:rFonts w:ascii="宋体" w:hAnsi="宋体" w:cs="宋体"/>
                <w:color w:val="000000"/>
                <w:sz w:val="24"/>
                <w:szCs w:val="24"/>
                <w:highlight w:val="none"/>
              </w:rPr>
            </w:pPr>
            <w:r>
              <w:rPr>
                <w:rStyle w:val="1047"/>
                <w:rFonts w:hint="eastAsia" w:ascii="宋体" w:hAnsi="宋体" w:eastAsia="宋体" w:cs="宋体"/>
                <w:highlight w:val="none"/>
              </w:rPr>
              <w:t xml:space="preserve">账号</w:t>
            </w:r>
            <w:r/>
          </w:p>
        </w:tc>
      </w:tr>
      <w:tr>
        <w:trPr>
          <w:trHeight w:val="1178"/>
        </w:trPr>
        <w:tc>
          <w:tcPr>
            <w:tcW w:w="1328"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821"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834" w:type="dxa"/>
            <w:vAlign w:val="center"/>
            <w:vMerge w:val="continue"/>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tcW w:w="937" w:type="dxa"/>
            <w:vAlign w:val="center"/>
            <w:textDirection w:val="lrTb"/>
            <w:noWrap w:val="false"/>
          </w:tcPr>
          <w:p>
            <w:pPr>
              <w:rPr>
                <w:rFonts w:ascii="宋体" w:hAnsi="宋体" w:cs="宋体"/>
                <w:color w:val="000000"/>
                <w:sz w:val="24"/>
                <w:szCs w:val="24"/>
                <w:highlight w:val="none"/>
              </w:rPr>
            </w:pP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所（站）60%</w:t>
            </w:r>
            <w:r/>
          </w:p>
        </w:tc>
        <w:tc>
          <w:tcPr>
            <w:tcW w:w="890"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安全管理科40%</w:t>
            </w:r>
            <w:r/>
          </w:p>
        </w:tc>
        <w:tc>
          <w:tcPr>
            <w:tcW w:w="743"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545"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222"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222"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222"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235"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859" w:type="dxa"/>
            <w:vAlign w:val="center"/>
            <w:vMerge w:val="continue"/>
            <w:textDirection w:val="lrTb"/>
            <w:noWrap w:val="false"/>
          </w:tcPr>
          <w:p>
            <w:pPr>
              <w:jc w:val="center"/>
              <w:rPr>
                <w:rStyle w:val="1047"/>
                <w:rFonts w:ascii="宋体" w:hAnsi="宋体" w:eastAsia="宋体" w:cs="宋体"/>
                <w:highlight w:val="none"/>
              </w:rPr>
            </w:pPr>
            <w:r>
              <w:rPr>
                <w:rFonts w:ascii="宋体" w:hAnsi="宋体" w:eastAsia="宋体" w:cs="宋体"/>
                <w:highlight w:val="none"/>
              </w:rPr>
            </w:r>
            <w:r/>
          </w:p>
        </w:tc>
        <w:tc>
          <w:tcPr>
            <w:tcW w:w="2799" w:type="dxa"/>
            <w:vAlign w:val="center"/>
            <w:vMerge w:val="continue"/>
            <w:textDirection w:val="lrTb"/>
            <w:noWrap w:val="false"/>
          </w:tcPr>
          <w:p>
            <w:pPr>
              <w:jc w:val="center"/>
              <w:rPr>
                <w:rStyle w:val="1047"/>
                <w:rFonts w:ascii="宋体" w:hAnsi="宋体" w:eastAsia="宋体" w:cs="宋体"/>
                <w:highlight w:val="none"/>
              </w:rPr>
            </w:pPr>
            <w:r>
              <w:rPr>
                <w:rFonts w:ascii="宋体" w:hAnsi="宋体" w:eastAsia="宋体" w:cs="宋体"/>
                <w:highlight w:val="none"/>
              </w:rPr>
            </w:r>
            <w:r/>
          </w:p>
        </w:tc>
      </w:tr>
      <w:tr>
        <w:trPr>
          <w:trHeight w:val="1084"/>
        </w:trPr>
        <w:tc>
          <w:tcPr>
            <w:tcW w:w="1328"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821"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834"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937"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890"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743"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54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22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22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22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23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859"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799"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732"/>
        </w:trPr>
        <w:tc>
          <w:tcPr>
            <w:tcW w:w="1328" w:type="dxa"/>
            <w:vAlign w:val="center"/>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合计</w:t>
            </w:r>
            <w:r/>
          </w:p>
        </w:tc>
        <w:tc>
          <w:tcPr>
            <w:tcW w:w="821"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834"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937"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890"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743"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54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22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22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222"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235"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859"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2799" w:type="dxa"/>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ind w:left="1202" w:hanging="744"/>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t xml:space="preserve">1.当月乙方考核分值≥95分，为优秀（全额拨付）；95分＞考核分值≥80分，为合格（当月考核扣除费用为：80以下为不合格，扣除当月考核费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月考核费用×（1-考核最终得分/100）；</w:t>
      </w:r>
      <w:r/>
    </w:p>
    <w:p>
      <w:pPr>
        <w:ind w:firstLine="1161"/>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2.经费支付（当月应付费用）=月基本费用+月考核费用×考核最终得分/100。</w:t>
      </w:r>
      <w:r/>
    </w:p>
    <w:p>
      <w:pPr>
        <w:pStyle w:val="730"/>
        <w:ind w:firstLine="480"/>
        <w:spacing w:before="240" w:line="420" w:lineRule="exact"/>
        <w:rPr>
          <w:rFonts w:hAnsi="宋体" w:cs="宋体"/>
          <w:sz w:val="24"/>
          <w:szCs w:val="24"/>
          <w:highlight w:val="none"/>
        </w:rPr>
      </w:pPr>
      <w:r>
        <w:rPr>
          <w:rFonts w:hAnsi="宋体" w:cs="宋体"/>
          <w:sz w:val="24"/>
          <w:szCs w:val="24"/>
          <w:highlight w:val="none"/>
        </w:rPr>
      </w:r>
      <w:r/>
    </w:p>
    <w:p>
      <w:pPr>
        <w:pStyle w:val="730"/>
        <w:ind w:firstLine="480"/>
        <w:spacing w:before="240" w:line="420" w:lineRule="exact"/>
        <w:rPr>
          <w:rFonts w:hAnsi="宋体" w:cs="宋体"/>
          <w:sz w:val="24"/>
          <w:szCs w:val="24"/>
          <w:highlight w:val="none"/>
        </w:rPr>
      </w:pPr>
      <w:r>
        <w:rPr>
          <w:rFonts w:hint="eastAsia" w:hAnsi="宋体" w:cs="宋体"/>
          <w:sz w:val="24"/>
          <w:szCs w:val="24"/>
          <w:highlight w:val="none"/>
        </w:rPr>
        <w:t xml:space="preserve">分管负责人：                   纪检委员：                科室负责人：                   制表人：</w:t>
      </w:r>
      <w:r/>
    </w:p>
    <w:p>
      <w:pPr>
        <w:rPr>
          <w:rFonts w:ascii="宋体" w:hAnsi="宋体" w:cs="宋体"/>
          <w:color w:val="000000"/>
          <w:sz w:val="24"/>
          <w:szCs w:val="24"/>
          <w:highlight w:val="none"/>
        </w:rPr>
        <w:sectPr>
          <w:footnotePr/>
          <w:endnotePr/>
          <w:type w:val="nextPage"/>
          <w:pgSz w:w="16838" w:h="11906" w:orient="landscape"/>
          <w:pgMar w:top="1800" w:right="1440" w:bottom="1800" w:left="1440" w:header="851" w:footer="992" w:gutter="0"/>
          <w:cols w:num="1" w:sep="0" w:space="720" w:equalWidth="1"/>
          <w:docGrid w:linePitch="360"/>
        </w:sectPr>
      </w:pPr>
      <w:r>
        <w:rPr>
          <w:rFonts w:ascii="宋体" w:hAnsi="宋体" w:cs="宋体"/>
          <w:color w:val="000000"/>
          <w:sz w:val="24"/>
          <w:szCs w:val="24"/>
          <w:highlight w:val="none"/>
        </w:rPr>
      </w:r>
      <w:r/>
    </w:p>
    <w:p>
      <w:pPr>
        <w:pStyle w:val="80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4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第六章  采购需求</w:t>
      </w:r>
      <w:bookmarkEnd w:id="11"/>
      <w:r/>
      <w:bookmarkEnd w:id="12"/>
      <w:r/>
      <w:r/>
    </w:p>
    <w:p>
      <w:pPr>
        <w:ind w:firstLine="562"/>
        <w:spacing w:line="360" w:lineRule="auto"/>
        <w:rPr>
          <w:rFonts w:ascii="宋体" w:hAnsi="宋体" w:cs="宋体"/>
          <w:b/>
          <w:color w:val="000000"/>
          <w:sz w:val="28"/>
          <w:szCs w:val="28"/>
          <w:highlight w:val="none"/>
        </w:rPr>
        <w:pBdr>
          <w:top w:val="none" w:color="000000" w:sz="0" w:space="0"/>
          <w:left w:val="none" w:color="000000" w:sz="0" w:space="0"/>
          <w:bottom w:val="none" w:color="000000" w:sz="0" w:space="0"/>
          <w:right w:val="none" w:color="000000" w:sz="0" w:space="0"/>
        </w:pBdr>
      </w:pPr>
      <w:r/>
      <w:bookmarkStart w:id="13" w:name="_Toc522790136"/>
      <w:r/>
      <w:bookmarkStart w:id="14" w:name="_Toc523404701"/>
      <w:r>
        <w:rPr>
          <w:rFonts w:hint="eastAsia" w:ascii="宋体" w:hAnsi="宋体" w:cs="宋体"/>
          <w:b/>
          <w:color w:val="000000"/>
          <w:sz w:val="28"/>
          <w:szCs w:val="28"/>
          <w:highlight w:val="none"/>
        </w:rPr>
        <w:t xml:space="preserve">一、项目概况</w:t>
      </w:r>
      <w:r/>
    </w:p>
    <w:p>
      <w:pPr>
        <w:ind w:firstLine="562"/>
        <w:jc w:val="both"/>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本项目不接受超过164.07万元人民币（采购项目预算金额）的响应报价，其中，采购包一不接受超过102.73万元人民币，采购包二不接受超过61.34万元人民币（采购项目预算金额）的响应报价。</w:t>
      </w:r>
      <w:r>
        <w:rPr>
          <w:rFonts w:hint="eastAsia" w:ascii="宋体" w:hAnsi="宋体" w:cs="宋体"/>
          <w:bCs/>
          <w:color w:val="000000"/>
          <w:sz w:val="28"/>
          <w:szCs w:val="28"/>
          <w:highlight w:val="none"/>
        </w:rPr>
        <w:t xml:space="preserve">报价包括但不限于税金、运费、检验、保险、人工、培训、售后服务、投标人的利润等全部费用。采购</w:t>
      </w:r>
      <w:r>
        <w:rPr>
          <w:rFonts w:hint="eastAsia" w:ascii="宋体" w:hAnsi="宋体" w:eastAsia="宋体" w:cs="宋体"/>
          <w:color w:val="000000"/>
          <w:sz w:val="28"/>
          <w:szCs w:val="28"/>
          <w:highlight w:val="none"/>
        </w:rPr>
        <w:t xml:space="preserve">人不再支付报价以外的任何费用。</w:t>
      </w:r>
      <w:r/>
    </w:p>
    <w:p>
      <w:pPr>
        <w:ind w:firstLine="562"/>
        <w:jc w:val="both"/>
        <w:spacing w:line="360" w:lineRule="auto"/>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每个供应商可以响应多个采购包，但只能成交其中一个采购包，定标顺序为采购包一至采购包二。</w:t>
      </w:r>
      <w:r/>
    </w:p>
    <w:p>
      <w:pPr>
        <w:ind w:firstLine="562"/>
        <w:jc w:val="both"/>
        <w:spacing w:line="360" w:lineRule="auto"/>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二、项目名称：</w:t>
      </w:r>
      <w:r>
        <w:rPr>
          <w:rFonts w:hint="eastAsia" w:ascii="宋体" w:hAnsi="宋体" w:eastAsia="宋体" w:cs="宋体"/>
          <w:b/>
          <w:bCs/>
          <w:color w:val="000000"/>
          <w:sz w:val="28"/>
          <w:szCs w:val="28"/>
          <w:highlight w:val="none"/>
          <w:lang w:eastAsia="zh-CN"/>
        </w:rPr>
        <w:t xml:space="preserve">徐州市南四湖小沿河饮用水源地水生态保护及水面保洁</w:t>
      </w:r>
      <w:r>
        <w:rPr>
          <w:rFonts w:hint="eastAsia" w:ascii="宋体" w:hAnsi="宋体" w:eastAsia="宋体" w:cs="宋体"/>
          <w:b/>
          <w:bCs/>
          <w:color w:val="000000"/>
          <w:sz w:val="28"/>
          <w:szCs w:val="28"/>
          <w:highlight w:val="none"/>
        </w:rPr>
        <w:t xml:space="preserve">项目</w:t>
      </w:r>
      <w:r/>
    </w:p>
    <w:p>
      <w:pPr>
        <w:ind w:firstLine="562"/>
        <w:jc w:val="both"/>
        <w:spacing w:line="360" w:lineRule="auto"/>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三、项目实施时间：维护期限为壹年，自2025年1月1日起，结束日期为2025年12月31日。</w:t>
      </w:r>
      <w:r/>
    </w:p>
    <w:p>
      <w:pPr>
        <w:ind w:firstLine="562"/>
        <w:jc w:val="both"/>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四、管护范围及内容</w:t>
      </w:r>
      <w:r/>
    </w:p>
    <w:p>
      <w:pPr>
        <w:ind w:firstLine="560"/>
        <w:jc w:val="both"/>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南四湖小沿河水源地取水口至黄庄地涵保护区域内涵养林、水面、坡面、水生植物、景观绿地养护，总面积 786735平方米,其中:水域面积 411842 平方米(含水生植物面积 88266 平方米)，坡面积 75810 平方米，景观绿地面积150417平方米，涵养林面积148666 平方米、新增一级保护区涵养林27494平方米、</w:t>
      </w:r>
      <w:r>
        <w:rPr>
          <w:rFonts w:hint="eastAsia" w:ascii="宋体" w:hAnsi="宋体" w:cs="宋体"/>
          <w:color w:val="000000"/>
          <w:sz w:val="28"/>
          <w:szCs w:val="28"/>
          <w:highlight w:val="none"/>
          <w:lang w:eastAsia="zh-CN"/>
        </w:rPr>
        <w:t xml:space="preserve">生态悬床</w:t>
      </w:r>
      <w:r>
        <w:rPr>
          <w:rFonts w:hint="eastAsia" w:ascii="宋体" w:hAnsi="宋体" w:cs="宋体"/>
          <w:color w:val="000000"/>
          <w:sz w:val="28"/>
          <w:szCs w:val="28"/>
          <w:highlight w:val="none"/>
          <w:lang w:val="en-US" w:eastAsia="zh-CN"/>
        </w:rPr>
        <w:t xml:space="preserve">6600平方米、</w:t>
      </w:r>
      <w:r>
        <w:rPr>
          <w:rFonts w:hint="eastAsia" w:ascii="宋体" w:hAnsi="宋体" w:cs="宋体"/>
          <w:sz w:val="28"/>
          <w:szCs w:val="28"/>
          <w:highlight w:val="none"/>
        </w:rPr>
        <w:t xml:space="preserve">14台曝气机周边日常垃圾及水草清理，黄庄地涵北侧进水口及排涝泵站进水池的杂草打捞和外运。以及</w:t>
      </w:r>
      <w:r>
        <w:rPr>
          <w:rFonts w:hint="eastAsia" w:ascii="宋体" w:hAnsi="宋体" w:cs="宋体"/>
          <w:color w:val="000000"/>
          <w:sz w:val="28"/>
          <w:szCs w:val="28"/>
          <w:highlight w:val="none"/>
        </w:rPr>
        <w:t xml:space="preserve">排涝泵站、向阳渠闸、运粮河闸、景山中沟闸及景山地涵等4处区域节点看护与管理。</w:t>
      </w:r>
      <w:r/>
    </w:p>
    <w:p>
      <w:pPr>
        <w:ind w:firstLine="562"/>
        <w:jc w:val="both"/>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五、采购包划分及内容</w:t>
      </w:r>
      <w:r/>
    </w:p>
    <w:p>
      <w:pPr>
        <w:ind w:firstLine="562"/>
        <w:jc w:val="both"/>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采购包一：</w:t>
      </w:r>
      <w:r>
        <w:rPr>
          <w:rFonts w:hint="eastAsia" w:ascii="宋体" w:hAnsi="宋体" w:eastAsia="宋体" w:cs="宋体"/>
          <w:sz w:val="28"/>
          <w:szCs w:val="28"/>
          <w:highlight w:val="none"/>
        </w:rPr>
        <w:t xml:space="preserve">水生态河面保洁服务范围及管护内容：负责南四湖小沿河水源地取水口至黄庄地涵保护区域内水域（411842 平方米,含水生植物面积 88266 平方米，）、坡面（75810 平方米），</w:t>
      </w:r>
      <w:r>
        <w:rPr>
          <w:rFonts w:hint="eastAsia" w:ascii="宋体" w:hAnsi="宋体" w:cs="宋体"/>
          <w:color w:val="000000"/>
          <w:sz w:val="28"/>
          <w:szCs w:val="28"/>
          <w:highlight w:val="none"/>
          <w:lang w:eastAsia="zh-CN"/>
        </w:rPr>
        <w:t xml:space="preserve">生态悬床</w:t>
      </w:r>
      <w:r>
        <w:rPr>
          <w:rFonts w:hint="eastAsia" w:ascii="宋体" w:hAnsi="宋体" w:cs="宋体"/>
          <w:color w:val="000000"/>
          <w:sz w:val="28"/>
          <w:szCs w:val="28"/>
          <w:highlight w:val="none"/>
          <w:lang w:val="en-US" w:eastAsia="zh-CN"/>
        </w:rPr>
        <w:t xml:space="preserve">6600平方米、</w:t>
      </w:r>
      <w:r>
        <w:rPr>
          <w:rFonts w:hint="eastAsia" w:ascii="宋体" w:hAnsi="宋体" w:eastAsia="宋体" w:cs="宋体"/>
          <w:sz w:val="28"/>
          <w:szCs w:val="28"/>
          <w:highlight w:val="none"/>
        </w:rPr>
        <w:t xml:space="preserve">14台曝气机周边日常垃圾及水草清理，黄庄航道北侧及排涝泵站进水池的杂草打捞和外运，以及农场排涝站、向阳渠闸、运粮河闸、景山中沟闸及景山地涵等4处区域节点看护与管理。</w:t>
      </w:r>
      <w:r/>
    </w:p>
    <w:p>
      <w:pPr>
        <w:ind w:firstLine="562"/>
        <w:jc w:val="both"/>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采购包二：</w:t>
      </w:r>
      <w:r>
        <w:rPr>
          <w:rFonts w:hint="eastAsia" w:ascii="宋体" w:hAnsi="宋体" w:eastAsia="宋体" w:cs="宋体"/>
          <w:sz w:val="28"/>
          <w:szCs w:val="28"/>
          <w:highlight w:val="none"/>
        </w:rPr>
        <w:t xml:space="preserve">水生态景观绿地养护服务范围及管护内容：负责南四湖小沿河水源地城子河桥至黄庄地涵两侧、取水口西侧、南侧绿地养护，绿地总面积326577平方米，其中城子河桥至黄庄地涵两侧91590平方米，取水口西侧40100平方米，涵养林148666 平方米、管理所内景观绿地15300平方米养护、取水口南侧3427平方米、新增一级保护区涵养林27494平方米。主要苗木有高杆女贞、中山杉、朴树、榉树、榔榆、广玉兰、乌桕、雪松、香樟、桂花、枇杷、紫薇、樱花、垂丝海棠、天堂草等乔灌木和地被植物的养护管理。</w:t>
      </w:r>
      <w:r/>
    </w:p>
    <w:p>
      <w:pPr>
        <w:ind w:firstLine="562"/>
        <w:jc w:val="both"/>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六、工作人员配备要求及养护机械设备配置要求</w:t>
      </w:r>
      <w:r/>
    </w:p>
    <w:p>
      <w:pPr>
        <w:ind w:firstLine="562"/>
        <w:jc w:val="both"/>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（一）工作人员配备要求：</w:t>
      </w:r>
      <w:r/>
    </w:p>
    <w:p>
      <w:pPr>
        <w:ind w:firstLine="480"/>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为保障全市人民的饮用水安全，根据徐政办发〔2014〕79号文件规定，结合DB 3203/502-2008《园林绿化养护管理规范》，小沿河水源地保护区涵养林、水面、坡面、水生植物及景观绿地养护综合服务项目工作人员配备不低于《小沿河水源地保护区管护内容、人员设备配备一览表》管理人员配备数量（最低标准），即：采购包一不低于30人，采购包二不低于25人。</w:t>
      </w:r>
      <w:r/>
    </w:p>
    <w:p>
      <w:pPr>
        <w:ind w:left="2153" w:hanging="1687"/>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工作人员具体要求如下：</w:t>
      </w:r>
      <w:r/>
    </w:p>
    <w:p>
      <w:pPr>
        <w:numPr>
          <w:ilvl w:val="0"/>
          <w:numId w:val="3"/>
        </w:numPr>
        <w:ind w:firstLine="480"/>
        <w:jc w:val="both"/>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工作人员应穿戴统一服装，并配有安全防护用具，工作现场有明显标志</w:t>
      </w:r>
      <w:r>
        <w:rPr>
          <w:rFonts w:hint="eastAsia" w:ascii="宋体" w:hAnsi="宋体" w:cs="宋体"/>
          <w:sz w:val="28"/>
          <w:szCs w:val="28"/>
          <w:highlight w:val="none"/>
        </w:rPr>
        <w:t xml:space="preserve">，有管理人员管理。</w:t>
      </w:r>
      <w:r/>
    </w:p>
    <w:p>
      <w:pPr>
        <w:ind w:firstLine="480"/>
        <w:spacing w:line="360" w:lineRule="auto"/>
        <w:rPr>
          <w:rFonts w:ascii="宋体" w:hAnsi="宋体" w:cs="宋体"/>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highlight w:val="none"/>
        </w:rPr>
        <w:t xml:space="preserve">2、项目负责人</w:t>
      </w:r>
      <w:r/>
    </w:p>
    <w:p>
      <w:pPr>
        <w:ind w:firstLine="480"/>
        <w:keepLines w:val="0"/>
        <w:keepNext w:val="0"/>
        <w:pageBreakBefore w:val="0"/>
        <w:spacing w:line="500" w:lineRule="exact"/>
        <w:widowControl/>
        <w:rPr>
          <w:rFonts w:ascii="宋体" w:hAnsi="宋体" w:cs="宋体"/>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highlight w:val="none"/>
        </w:rPr>
        <w:t xml:space="preserve">1）采购包1：项目负责人应具有高级物</w:t>
      </w:r>
      <w:bookmarkStart w:id="15" w:name="_Hlk180585932"/>
      <w:r>
        <w:rPr>
          <w:rFonts w:hint="eastAsia" w:ascii="宋体" w:hAnsi="宋体" w:cs="宋体"/>
          <w:bCs/>
          <w:sz w:val="28"/>
          <w:szCs w:val="28"/>
          <w:highlight w:val="none"/>
        </w:rPr>
        <w:t xml:space="preserve">业</w:t>
      </w:r>
      <w:bookmarkEnd w:id="15"/>
      <w:r>
        <w:rPr>
          <w:rFonts w:hint="eastAsia" w:ascii="宋体" w:hAnsi="宋体" w:cs="宋体"/>
          <w:bCs/>
          <w:sz w:val="28"/>
          <w:szCs w:val="28"/>
          <w:highlight w:val="none"/>
        </w:rPr>
        <w:t xml:space="preserve">管理师资格且具有园林绿化专业中级（含）以上职称，提供相关证书扫描件并加盖公章。如职称证书无法证明园林相关专业（园林绿化、园艺、风景园林、园林规划设计等）的，以职称评定表或学历毕业证书为准。响应文件中应提供项目负责人加盖公章的职称证、物业师证扫描件。</w:t>
      </w:r>
      <w:r/>
    </w:p>
    <w:p>
      <w:pPr>
        <w:ind w:firstLine="480"/>
        <w:keepLines w:val="0"/>
        <w:keepNext w:val="0"/>
        <w:pageBreakBefore w:val="0"/>
        <w:spacing w:line="500" w:lineRule="exact"/>
        <w:widowControl/>
        <w:rPr>
          <w:rFonts w:hint="eastAsia" w:ascii="宋体" w:hAnsi="宋体" w:eastAsia="宋体" w:cs="宋体"/>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8"/>
          <w:szCs w:val="28"/>
          <w:highlight w:val="none"/>
        </w:rPr>
        <w:t xml:space="preserve">2）采购包2：项目负责人应具有市政公用工程二级（含）以上建造师资格且具有园林绿化专业中级（含）以上职称，如职称证书无法证明园林相关专业（园林绿化、园艺、风景园林、园林规划设计等）的，以职称评定表或学历毕业证书为准。响应文件中应提供项目负责人加盖公章的职称证、建造师证扫描件。</w:t>
      </w:r>
      <w:r/>
    </w:p>
    <w:p>
      <w:pPr>
        <w:ind w:firstLine="480"/>
        <w:keepLines w:val="0"/>
        <w:keepNext w:val="0"/>
        <w:pageBreakBefore w:val="0"/>
        <w:spacing w:line="500" w:lineRule="exact"/>
        <w:widowControl/>
        <w:rPr>
          <w:rFonts w:hint="eastAsia" w:ascii="宋体" w:hAnsi="宋体" w:eastAsia="宋体" w:cs="宋体"/>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8"/>
          <w:szCs w:val="28"/>
          <w:highlight w:val="none"/>
        </w:rPr>
        <w:t xml:space="preserve">3、提供全天24小时应急服务，在水源地附近有固定办公地点（不少于50平米）、值班人员及联系电话。</w:t>
      </w:r>
      <w:r/>
    </w:p>
    <w:p>
      <w:pPr>
        <w:ind w:firstLine="480"/>
        <w:jc w:val="both"/>
        <w:keepLines w:val="0"/>
        <w:keepNext w:val="0"/>
        <w:pageBreakBefore w:val="0"/>
        <w:spacing w:line="500" w:lineRule="exact"/>
        <w:widowControl/>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（二）养护机械设备配置要求：</w:t>
      </w:r>
      <w:r/>
    </w:p>
    <w:p>
      <w:pPr>
        <w:ind w:firstLine="560"/>
        <w:jc w:val="both"/>
        <w:keepLines w:val="0"/>
        <w:keepNext w:val="0"/>
        <w:pageBreakBefore w:val="0"/>
        <w:spacing w:line="500" w:lineRule="exact"/>
        <w:widowControl/>
        <w:rPr>
          <w:rFonts w:ascii="宋体" w:hAnsi="宋体" w:cs="宋体"/>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8"/>
          <w:szCs w:val="28"/>
          <w:highlight w:val="none"/>
        </w:rPr>
        <w:t xml:space="preserve">采购包1：保证日常养护管理需要管护船只不低于12艘，其中垃圾转运船不低于3 艘；机动垃圾清运车不低于2辆，草坪割灌机6台。以及能够满足项目要求的其它小型常用工具（小船长4-5米、大船为9-10米的钢驳船）。所有设备的完好率为100%。</w:t>
      </w:r>
      <w:r/>
    </w:p>
    <w:p>
      <w:pPr>
        <w:ind w:firstLine="560"/>
        <w:jc w:val="both"/>
        <w:keepLines w:val="0"/>
        <w:keepNext w:val="0"/>
        <w:pageBreakBefore w:val="0"/>
        <w:spacing w:line="500" w:lineRule="exact"/>
        <w:widowControl/>
        <w:rPr>
          <w:rFonts w:ascii="宋体" w:hAnsi="宋体" w:cs="宋体"/>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8"/>
          <w:szCs w:val="28"/>
          <w:highlight w:val="none"/>
        </w:rPr>
        <w:t xml:space="preserve">采购包2：保证日常养护管理需要机动垃圾清运车不低于1辆，三轮保洁车不低于6辆，草坪割灌机5台，草坪机9台，绿篱机8台，汽油泵9台。以及能够满足项目要求必要的园林机械和安全设备。（所有设备的完好率为100%。</w:t>
      </w:r>
      <w:r/>
    </w:p>
    <w:p>
      <w:pPr>
        <w:ind w:firstLine="560"/>
        <w:jc w:val="both"/>
        <w:keepLines w:val="0"/>
        <w:keepNext w:val="0"/>
        <w:pageBreakBefore w:val="0"/>
        <w:spacing w:line="500" w:lineRule="exact"/>
        <w:widowControl/>
        <w:rPr>
          <w:rFonts w:hint="eastAsia" w:ascii="宋体" w:hAnsi="宋体" w:eastAsia="宋体" w:cs="宋体"/>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8"/>
          <w:szCs w:val="28"/>
          <w:highlight w:val="none"/>
        </w:rPr>
        <w:t xml:space="preserve">4、投标人应在投标文件中承诺：（本条为实质性响应条款，若不满足按无效响应文件处理。提供承诺书，格式自拟。）</w:t>
      </w:r>
      <w:r/>
    </w:p>
    <w:p>
      <w:pPr>
        <w:ind w:firstLine="560"/>
        <w:jc w:val="both"/>
        <w:keepLines w:val="0"/>
        <w:keepNext w:val="0"/>
        <w:pageBreakBefore w:val="0"/>
        <w:spacing w:line="500" w:lineRule="exact"/>
        <w:widowControl/>
        <w:rPr>
          <w:rFonts w:hint="eastAsia" w:ascii="宋体" w:hAnsi="宋体" w:eastAsia="宋体" w:cs="宋体"/>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8"/>
          <w:szCs w:val="28"/>
          <w:highlight w:val="none"/>
        </w:rPr>
        <w:t xml:space="preserve">（1）如中标，针对本项目所配备的工作人员、养护机械设备配置不低于“项目要求——六、工作人员配备要求及养护机械设备配置要求”，且参与本项目的建造师不是同类中标项目的建造师。</w:t>
      </w:r>
      <w:r/>
    </w:p>
    <w:p>
      <w:pPr>
        <w:ind w:firstLine="560"/>
        <w:jc w:val="both"/>
        <w:keepLines w:val="0"/>
        <w:keepNext w:val="0"/>
        <w:pageBreakBefore w:val="0"/>
        <w:spacing w:line="500" w:lineRule="exact"/>
        <w:widowControl/>
        <w:rPr>
          <w:rFonts w:hint="eastAsia" w:ascii="宋体" w:hAnsi="宋体" w:eastAsia="宋体" w:cs="宋体"/>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8"/>
          <w:szCs w:val="28"/>
          <w:highlight w:val="none"/>
        </w:rPr>
        <w:t xml:space="preserve">（2）供应商须在响应文件中承诺中标（成交）后在水源地附近建立固定办公地点（不少于50平米）。中标（成交）后，一周内未能满足此条件的，采购人有权拒绝签订合同。</w:t>
      </w:r>
      <w:r/>
    </w:p>
    <w:p>
      <w:pPr>
        <w:keepLines w:val="0"/>
        <w:keepNext w:val="0"/>
        <w:pageBreakBefore w:val="0"/>
        <w:spacing w:line="500" w:lineRule="exact"/>
        <w:widowControl/>
        <w:rPr>
          <w:rFonts w:ascii="宋体" w:hAnsi="宋体" w:cs="宋体"/>
          <w:sz w:val="28"/>
          <w:szCs w:val="28"/>
          <w:highlight w:val="none"/>
        </w:rPr>
      </w:pPr>
      <w:r>
        <w:rPr>
          <w:rFonts w:hint="eastAsia" w:ascii="宋体" w:hAnsi="宋体" w:cs="宋体"/>
          <w:b/>
          <w:sz w:val="28"/>
          <w:szCs w:val="28"/>
          <w:highlight w:val="none"/>
        </w:rPr>
        <w:t xml:space="preserve">七、其他要求</w:t>
      </w:r>
      <w:r/>
    </w:p>
    <w:p>
      <w:pPr>
        <w:jc w:val="both"/>
        <w:keepLines w:val="0"/>
        <w:keepNext w:val="0"/>
        <w:pageBreakBefore w:val="0"/>
        <w:spacing w:line="500" w:lineRule="exact"/>
        <w:widowControl/>
        <w:rPr>
          <w:rFonts w:ascii="宋体" w:hAnsi="宋体" w:cs="宋体"/>
          <w:sz w:val="28"/>
          <w:szCs w:val="28"/>
          <w:highlight w:val="none"/>
        </w:rPr>
        <w:sectPr>
          <w:headerReference w:type="default" r:id="rId9"/>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sz w:val="28"/>
          <w:szCs w:val="28"/>
          <w:highlight w:val="none"/>
        </w:rPr>
        <w:t xml:space="preserve">见招标文件第五章《拟签订的合同文本》。</w:t>
      </w:r>
      <w:r/>
    </w:p>
    <w:p>
      <w:pPr>
        <w:pStyle w:val="9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第七章  投标文件相关格式</w:t>
      </w:r>
      <w:bookmarkEnd w:id="13"/>
      <w:r/>
      <w:bookmarkEnd w:id="14"/>
      <w:r/>
      <w:r/>
    </w:p>
    <w:p>
      <w:pPr>
        <w:pStyle w:val="790"/>
        <w:ind w:firstLine="640"/>
        <w:jc w:val="center"/>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一、投标函格式</w:t>
      </w:r>
      <w:r/>
    </w:p>
    <w:p>
      <w:pPr>
        <w:pStyle w:val="790"/>
        <w:spacing w:line="44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致：</w:t>
      </w:r>
      <w:r>
        <w:rPr>
          <w:rFonts w:hint="eastAsia" w:ascii="宋体" w:hAnsi="宋体" w:cs="宋体"/>
          <w:color w:val="000000" w:themeColor="text1"/>
          <w:sz w:val="28"/>
          <w:szCs w:val="28"/>
          <w:highlight w:val="none"/>
          <w:u w:val="single"/>
          <w14:textFill>
            <w14:solidFill>
              <w14:schemeClr w14:val="tx1"/>
            </w14:solidFill>
          </w14:textFill>
        </w:rPr>
        <w:t xml:space="preserve"> 江苏九天招标管理有限公司</w:t>
      </w:r>
      <w:r/>
    </w:p>
    <w:p>
      <w:pPr>
        <w:pStyle w:val="790"/>
        <w:ind w:firstLine="60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根据</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项目[项目编号：</w:t>
      </w:r>
      <w:r>
        <w:rPr>
          <w:rFonts w:hint="eastAsia" w:ascii="宋体" w:hAnsi="宋体" w:cs="宋体"/>
          <w:color w:val="000000" w:themeColor="text1"/>
          <w:sz w:val="28"/>
          <w:szCs w:val="28"/>
          <w:highlight w:val="none"/>
          <w:lang w:eastAsia="zh-CN"/>
          <w14:textFill>
            <w14:solidFill>
              <w14:schemeClr w14:val="tx1"/>
            </w14:solidFill>
          </w14:textFill>
        </w:rPr>
        <w:t xml:space="preserve">JSZC-320300-JTGL-G2024-0006</w:t>
      </w:r>
      <w:r>
        <w:rPr>
          <w:rFonts w:hint="eastAsia" w:ascii="宋体" w:hAnsi="宋体" w:cs="宋体"/>
          <w:color w:val="000000" w:themeColor="text1"/>
          <w:sz w:val="28"/>
          <w:szCs w:val="28"/>
          <w:highlight w:val="none"/>
          <w14:textFill>
            <w14:solidFill>
              <w14:schemeClr w14:val="tx1"/>
            </w14:solidFill>
          </w14:textFill>
        </w:rPr>
        <w:t xml:space="preserve">]招标文件， </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姓名）代表我方</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（投标人的名称）全权处理本次投标的有关事宜。</w:t>
      </w:r>
      <w:r/>
    </w:p>
    <w:p>
      <w:pPr>
        <w:pStyle w:val="790"/>
        <w:ind w:firstLine="60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据此函，投标人承诺并同意如下： </w:t>
      </w:r>
      <w:r/>
    </w:p>
    <w:p>
      <w:pPr>
        <w:pStyle w:val="790"/>
        <w:ind w:firstLine="60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1.投标人唯一投标报价见《开标一览表》。</w:t>
      </w:r>
      <w:r/>
    </w:p>
    <w:p>
      <w:pPr>
        <w:pStyle w:val="790"/>
        <w:ind w:firstLine="60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2.投标人将按招标文件的规定履行合同责任和义务。</w:t>
      </w:r>
      <w:r/>
    </w:p>
    <w:p>
      <w:pPr>
        <w:pStyle w:val="790"/>
        <w:ind w:firstLine="60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790"/>
        <w:ind w:firstLine="60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4.投标有效期为开标之日后90天。</w:t>
      </w:r>
      <w:r/>
    </w:p>
    <w:p>
      <w:pPr>
        <w:pStyle w:val="790"/>
        <w:ind w:firstLine="60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790"/>
        <w:ind w:firstLine="60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6.投标人同意在授予合同后，按照有关规定支付公证费（如有）。</w:t>
      </w:r>
      <w:r/>
    </w:p>
    <w:p>
      <w:pPr>
        <w:pStyle w:val="790"/>
        <w:ind w:right="29" w:firstLine="60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7.江苏九天招标管理有限公司有权将我单位本项目的《开标一览表》和《分项价格表》予以公示，公示的方式由江苏九天招标管理有限公司确定。</w:t>
      </w:r>
      <w:r/>
    </w:p>
    <w:p>
      <w:pPr>
        <w:pStyle w:val="790"/>
        <w:ind w:right="29" w:firstLine="60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90"/>
        <w:ind w:firstLine="60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9.与本投标有关的一切正式往来信函请寄：</w:t>
      </w:r>
      <w:r/>
    </w:p>
    <w:p>
      <w:pPr>
        <w:pStyle w:val="790"/>
        <w:ind w:firstLine="120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地址：</w:t>
      </w:r>
      <w:r/>
    </w:p>
    <w:p>
      <w:pPr>
        <w:pStyle w:val="790"/>
        <w:ind w:firstLine="120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电话：</w:t>
      </w:r>
      <w:r/>
    </w:p>
    <w:p>
      <w:pPr>
        <w:pStyle w:val="790"/>
        <w:ind w:firstLine="120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传真：</w:t>
      </w:r>
      <w:r/>
    </w:p>
    <w:p>
      <w:pPr>
        <w:pStyle w:val="790"/>
        <w:ind w:firstLine="2700"/>
        <w:spacing w:line="44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ind w:firstLine="270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（电子签章）</w:t>
      </w:r>
      <w:r/>
    </w:p>
    <w:p>
      <w:pPr>
        <w:pStyle w:val="790"/>
        <w:ind w:firstLine="60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投标人授权代表：</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（签字或盖章）  </w:t>
      </w:r>
      <w:r/>
    </w:p>
    <w:p>
      <w:pPr>
        <w:pStyle w:val="790"/>
        <w:ind w:firstLine="4500"/>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日期：   年  月  日</w:t>
      </w:r>
      <w:r/>
    </w:p>
    <w:p>
      <w:pPr>
        <w:pStyle w:val="790"/>
        <w:jc w:val="center"/>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二、开标一览表格式</w:t>
      </w:r>
      <w:r/>
    </w:p>
    <w:p>
      <w:pPr>
        <w:pStyle w:val="790"/>
        <w:spacing w:line="48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ind w:firstLine="600"/>
        <w:spacing w:line="520" w:lineRule="exact"/>
        <w:rPr>
          <w:rFonts w:ascii="宋体" w:hAnsi="宋体" w:cs="宋体"/>
          <w:color w:val="000000" w:themeColor="text1"/>
          <w:sz w:val="28"/>
          <w:szCs w:val="28"/>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w:t>
      </w:r>
      <w:r>
        <w:rPr>
          <w:rFonts w:hint="eastAsia" w:ascii="宋体" w:hAnsi="宋体" w:cs="宋体"/>
          <w:color w:val="000000" w:themeColor="text1"/>
          <w:sz w:val="28"/>
          <w:szCs w:val="28"/>
          <w:highlight w:val="none"/>
          <w:lang w:eastAsia="zh-CN"/>
          <w14:textFill>
            <w14:solidFill>
              <w14:schemeClr w14:val="tx1"/>
            </w14:solidFill>
          </w14:textFill>
        </w:rPr>
        <w:t xml:space="preserve">徐州市南四湖小沿河饮用水源地水生态保护及水面保洁</w:t>
      </w:r>
      <w:r>
        <w:rPr>
          <w:rFonts w:hint="eastAsia" w:ascii="宋体" w:hAnsi="宋体" w:cs="宋体"/>
          <w:color w:val="000000" w:themeColor="text1"/>
          <w:sz w:val="28"/>
          <w:szCs w:val="28"/>
          <w:highlight w:val="none"/>
          <w14:textFill>
            <w14:solidFill>
              <w14:schemeClr w14:val="tx1"/>
            </w14:solidFill>
          </w14:textFill>
        </w:rPr>
        <w:t xml:space="preserve"> </w:t>
      </w:r>
      <w:r/>
    </w:p>
    <w:p>
      <w:pPr>
        <w:pStyle w:val="790"/>
        <w:ind w:firstLine="600"/>
        <w:spacing w:line="520" w:lineRule="exact"/>
        <w:rPr>
          <w:rFonts w:hint="eastAsia"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项目编号：</w:t>
      </w:r>
      <w:r>
        <w:rPr>
          <w:rFonts w:hint="eastAsia" w:ascii="宋体" w:hAnsi="宋体" w:cs="宋体"/>
          <w:color w:val="000000" w:themeColor="text1"/>
          <w:sz w:val="28"/>
          <w:szCs w:val="28"/>
          <w:highlight w:val="none"/>
          <w:lang w:eastAsia="zh-CN"/>
          <w14:textFill>
            <w14:solidFill>
              <w14:schemeClr w14:val="tx1"/>
            </w14:solidFill>
          </w14:textFill>
        </w:rPr>
        <w:t xml:space="preserve">JSZC-320300-JTGL-G2024-0006</w:t>
      </w:r>
      <w:r/>
    </w:p>
    <w:p>
      <w:pPr>
        <w:pStyle w:val="795"/>
        <w:rPr>
          <w:rFonts w:hint="eastAsia"/>
          <w:lang w:eastAsia="zh-CN"/>
        </w:rPr>
      </w:pPr>
      <w:r>
        <w:rPr>
          <w:rFonts w:hint="eastAsia"/>
          <w:lang w:eastAsia="zh-CN"/>
        </w:rPr>
      </w:r>
      <w:r/>
    </w:p>
    <w:p>
      <w:pPr>
        <w:pStyle w:val="790"/>
        <w:ind w:firstLine="672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货币单位：人民币元</w:t>
      </w:r>
      <w:r/>
    </w:p>
    <w:tbl>
      <w:tblPr>
        <w:tblStyle w:val="718"/>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721"/>
        <w:gridCol w:w="2943"/>
      </w:tblGrid>
      <w:tr>
        <w:trPr>
          <w:cantSplit/>
          <w:jc w:val="center"/>
          <w:trHeight w:val="1163"/>
        </w:trPr>
        <w:tc>
          <w:tcPr>
            <w:tcW w:w="3670" w:type="dxa"/>
            <w:vAlign w:val="center"/>
            <w:textDirection w:val="lrTb"/>
            <w:noWrap w:val="false"/>
          </w:tcPr>
          <w:p>
            <w:pPr>
              <w:pStyle w:val="790"/>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w:t>
            </w:r>
            <w:r/>
          </w:p>
        </w:tc>
        <w:tc>
          <w:tcPr>
            <w:tcW w:w="2721" w:type="dxa"/>
            <w:vAlign w:val="center"/>
            <w:textDirection w:val="lrTb"/>
            <w:noWrap w:val="false"/>
          </w:tcPr>
          <w:p>
            <w:pPr>
              <w:pStyle w:val="790"/>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项目内容</w:t>
            </w:r>
            <w:r/>
          </w:p>
        </w:tc>
        <w:tc>
          <w:tcPr>
            <w:tcW w:w="2943" w:type="dxa"/>
            <w:vAlign w:val="center"/>
            <w:textDirection w:val="lrTb"/>
            <w:noWrap w:val="false"/>
          </w:tcPr>
          <w:p>
            <w:pPr>
              <w:pStyle w:val="790"/>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总价（小写）</w:t>
            </w:r>
            <w:r/>
          </w:p>
        </w:tc>
      </w:tr>
      <w:tr>
        <w:trPr>
          <w:cantSplit/>
          <w:jc w:val="center"/>
          <w:trHeight w:val="1214"/>
        </w:trPr>
        <w:tc>
          <w:tcPr>
            <w:tcW w:w="3670" w:type="dxa"/>
            <w:vAlign w:val="center"/>
            <w:textDirection w:val="lrTb"/>
            <w:noWrap w:val="false"/>
          </w:tcPr>
          <w:p>
            <w:pPr>
              <w:pStyle w:val="790"/>
              <w:jc w:val="center"/>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徐州市南四湖小沿河饮用水源地水生态保护及水面保洁采购包</w:t>
            </w:r>
            <w:r>
              <w:rPr>
                <w:rFonts w:hint="eastAsia" w:ascii="宋体" w:hAnsi="宋体" w:cs="宋体"/>
                <w:color w:val="000000" w:themeColor="text1"/>
                <w:sz w:val="28"/>
                <w:szCs w:val="28"/>
                <w:highlight w:val="none"/>
                <w:lang w:val="en-US" w:eastAsia="zh-CN"/>
                <w14:textFill>
                  <w14:solidFill>
                    <w14:schemeClr w14:val="tx1"/>
                  </w14:solidFill>
                </w14:textFill>
              </w:rPr>
              <w:t xml:space="preserve">1</w:t>
            </w:r>
            <w:r/>
          </w:p>
        </w:tc>
        <w:tc>
          <w:tcPr>
            <w:tcW w:w="2721" w:type="dxa"/>
            <w:vAlign w:val="center"/>
            <w:textDirection w:val="lrTb"/>
            <w:noWrap w:val="false"/>
          </w:tcPr>
          <w:p>
            <w:pPr>
              <w:pStyle w:val="790"/>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详见投标文件</w:t>
            </w:r>
            <w:r/>
          </w:p>
        </w:tc>
        <w:tc>
          <w:tcPr>
            <w:tcW w:w="2943" w:type="dxa"/>
            <w:vAlign w:val="center"/>
            <w:textDirection w:val="lrTb"/>
            <w:noWrap w:val="false"/>
          </w:tcPr>
          <w:p>
            <w:pPr>
              <w:pStyle w:val="790"/>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cantSplit/>
          <w:jc w:val="center"/>
          <w:trHeight w:val="1214"/>
        </w:trPr>
        <w:tc>
          <w:tcPr>
            <w:tcW w:w="3670" w:type="dxa"/>
            <w:vAlign w:val="center"/>
            <w:textDirection w:val="lrTb"/>
            <w:noWrap w:val="false"/>
          </w:tcPr>
          <w:p>
            <w:pPr>
              <w:pStyle w:val="790"/>
              <w:jc w:val="center"/>
              <w:rPr>
                <w:rFonts w:hint="default"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徐州市南四湖小沿河饮用水源地水生态保护及水面保洁采购包</w:t>
            </w: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p>
        </w:tc>
        <w:tc>
          <w:tcPr>
            <w:tcW w:w="2721" w:type="dxa"/>
            <w:vAlign w:val="center"/>
            <w:textDirection w:val="lrTb"/>
            <w:noWrap w:val="false"/>
          </w:tcPr>
          <w:p>
            <w:pPr>
              <w:pStyle w:val="790"/>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详见投标文件</w:t>
            </w:r>
            <w:r/>
          </w:p>
        </w:tc>
        <w:tc>
          <w:tcPr>
            <w:tcW w:w="2943" w:type="dxa"/>
            <w:vAlign w:val="center"/>
            <w:textDirection w:val="lrTb"/>
            <w:noWrap w:val="false"/>
          </w:tcPr>
          <w:p>
            <w:pPr>
              <w:pStyle w:val="790"/>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cantSplit/>
          <w:jc w:val="center"/>
          <w:trHeight w:val="1452"/>
        </w:trPr>
        <w:tc>
          <w:tcPr>
            <w:tcW w:w="3670" w:type="dxa"/>
            <w:vAlign w:val="center"/>
            <w:textDirection w:val="lrTb"/>
            <w:noWrap w:val="false"/>
          </w:tcPr>
          <w:p>
            <w:pPr>
              <w:pStyle w:val="790"/>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采购包</w:t>
            </w:r>
            <w:r>
              <w:rPr>
                <w:rFonts w:hint="eastAsia" w:ascii="宋体" w:hAnsi="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cs="宋体"/>
                <w:color w:val="000000" w:themeColor="text1"/>
                <w:sz w:val="28"/>
                <w:szCs w:val="28"/>
                <w:highlight w:val="none"/>
                <w14:textFill>
                  <w14:solidFill>
                    <w14:schemeClr w14:val="tx1"/>
                  </w14:solidFill>
                </w14:textFill>
              </w:rPr>
              <w:t xml:space="preserve">总价（大写）：</w:t>
            </w:r>
            <w:r/>
          </w:p>
        </w:tc>
        <w:tc>
          <w:tcPr>
            <w:gridSpan w:val="2"/>
            <w:tcW w:w="5664" w:type="dxa"/>
            <w:vAlign w:val="center"/>
            <w:textDirection w:val="lrTb"/>
            <w:noWrap w:val="false"/>
          </w:tcPr>
          <w:p>
            <w:pPr>
              <w:pStyle w:val="790"/>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cantSplit/>
          <w:jc w:val="center"/>
          <w:trHeight w:val="1452"/>
        </w:trPr>
        <w:tc>
          <w:tcPr>
            <w:tcW w:w="3670" w:type="dxa"/>
            <w:vAlign w:val="center"/>
            <w:textDirection w:val="lrTb"/>
            <w:noWrap w:val="false"/>
          </w:tcPr>
          <w:p>
            <w:pPr>
              <w:pStyle w:val="790"/>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采购包</w:t>
            </w: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cs="宋体"/>
                <w:color w:val="000000" w:themeColor="text1"/>
                <w:sz w:val="28"/>
                <w:szCs w:val="28"/>
                <w:highlight w:val="none"/>
                <w14:textFill>
                  <w14:solidFill>
                    <w14:schemeClr w14:val="tx1"/>
                  </w14:solidFill>
                </w14:textFill>
              </w:rPr>
              <w:t xml:space="preserve">总价（大写）：</w:t>
            </w:r>
            <w:r/>
          </w:p>
        </w:tc>
        <w:tc>
          <w:tcPr>
            <w:gridSpan w:val="2"/>
            <w:tcW w:w="5664" w:type="dxa"/>
            <w:vAlign w:val="center"/>
            <w:textDirection w:val="lrTb"/>
            <w:noWrap w:val="false"/>
          </w:tcPr>
          <w:p>
            <w:pPr>
              <w:pStyle w:val="790"/>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bl>
    <w:p>
      <w:pPr>
        <w:pStyle w:val="790"/>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ind w:firstLine="2760"/>
        <w:spacing w:line="48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ind w:firstLine="3150"/>
        <w:spacing w:line="48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ind w:firstLine="3150"/>
        <w:spacing w:line="48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ind w:firstLine="392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（电子签章）</w:t>
      </w:r>
      <w:r/>
    </w:p>
    <w:p>
      <w:pPr>
        <w:pStyle w:val="790"/>
        <w:ind w:firstLine="60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p>
    <w:p>
      <w:pPr>
        <w:pStyle w:val="790"/>
        <w:ind w:firstLine="495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日期：   年  月  日</w:t>
      </w:r>
      <w:r/>
    </w:p>
    <w:p>
      <w:pPr>
        <w:pStyle w:val="790"/>
        <w:spacing w:line="48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spacing w:line="48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jc w:val="center"/>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三、分项价格表格式</w:t>
      </w:r>
      <w:r/>
    </w:p>
    <w:p>
      <w:pPr>
        <w:pStyle w:val="790"/>
        <w:ind w:firstLine="600"/>
        <w:spacing w:line="48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ind w:firstLine="60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w:t>
      </w:r>
      <w:r>
        <w:rPr>
          <w:rFonts w:hint="eastAsia" w:ascii="宋体" w:hAnsi="宋体" w:cs="宋体"/>
          <w:color w:val="000000" w:themeColor="text1"/>
          <w:sz w:val="28"/>
          <w:szCs w:val="28"/>
          <w:highlight w:val="none"/>
          <w:lang w:eastAsia="zh-CN"/>
          <w14:textFill>
            <w14:solidFill>
              <w14:schemeClr w14:val="tx1"/>
            </w14:solidFill>
          </w14:textFill>
        </w:rPr>
        <w:t xml:space="preserve">徐州市南四湖小沿河饮用水源地水生态保护及水面保洁</w:t>
      </w:r>
      <w:r>
        <w:rPr>
          <w:rFonts w:hint="eastAsia" w:ascii="宋体" w:hAnsi="宋体" w:cs="宋体"/>
          <w:color w:val="000000" w:themeColor="text1"/>
          <w:sz w:val="28"/>
          <w:szCs w:val="28"/>
          <w:highlight w:val="none"/>
          <w14:textFill>
            <w14:solidFill>
              <w14:schemeClr w14:val="tx1"/>
            </w14:solidFill>
          </w14:textFill>
        </w:rPr>
        <w:t xml:space="preserve">  </w:t>
      </w:r>
      <w:r/>
    </w:p>
    <w:p>
      <w:pPr>
        <w:pStyle w:val="790"/>
        <w:ind w:firstLine="60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项目编号：</w:t>
      </w:r>
      <w:r>
        <w:rPr>
          <w:rFonts w:hint="eastAsia" w:ascii="宋体" w:hAnsi="宋体" w:cs="宋体"/>
          <w:color w:val="000000" w:themeColor="text1"/>
          <w:sz w:val="28"/>
          <w:szCs w:val="28"/>
          <w:highlight w:val="none"/>
          <w:lang w:eastAsia="zh-CN"/>
          <w14:textFill>
            <w14:solidFill>
              <w14:schemeClr w14:val="tx1"/>
            </w14:solidFill>
          </w14:textFill>
        </w:rPr>
        <w:t xml:space="preserve">JSZC-320300-JTGL-G2024-0006</w:t>
      </w:r>
      <w:r>
        <w:rPr>
          <w:rFonts w:hint="eastAsia" w:ascii="宋体" w:hAnsi="宋体" w:cs="宋体"/>
          <w:color w:val="000000" w:themeColor="text1"/>
          <w:sz w:val="28"/>
          <w:szCs w:val="28"/>
          <w:highlight w:val="none"/>
          <w14:textFill>
            <w14:solidFill>
              <w14:schemeClr w14:val="tx1"/>
            </w14:solidFill>
          </w14:textFill>
        </w:rPr>
        <w:t xml:space="preserve">   </w:t>
      </w:r>
      <w:r/>
    </w:p>
    <w:p>
      <w:pPr>
        <w:pStyle w:val="790"/>
        <w:spacing w:line="480" w:lineRule="exact"/>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    采购包：</w:t>
      </w:r>
      <w:r/>
    </w:p>
    <w:p>
      <w:pPr>
        <w:pStyle w:val="790"/>
        <w:ind w:firstLine="5880"/>
        <w:spacing w:line="48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790"/>
        <w:ind w:firstLine="5880"/>
        <w:spacing w:line="48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790"/>
        <w:ind w:firstLine="588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货币单位：人民币元</w:t>
      </w:r>
      <w:r/>
    </w:p>
    <w:p>
      <w:pPr>
        <w:pStyle w:val="790"/>
        <w:ind w:firstLine="2850"/>
        <w:spacing w:line="48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790"/>
        <w:ind w:firstLine="2850"/>
        <w:spacing w:line="48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790"/>
        <w:ind w:firstLine="2850"/>
        <w:spacing w:line="480" w:lineRule="exact"/>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格式自拟</w:t>
      </w:r>
      <w:r/>
    </w:p>
    <w:p>
      <w:pPr>
        <w:pStyle w:val="790"/>
        <w:ind w:firstLine="2850"/>
        <w:spacing w:line="48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790"/>
        <w:ind w:firstLine="2850"/>
        <w:spacing w:line="48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790"/>
        <w:ind w:firstLine="2850"/>
        <w:spacing w:line="48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790"/>
        <w:ind w:firstLine="2850"/>
        <w:spacing w:line="48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790"/>
        <w:ind w:firstLine="2850"/>
        <w:spacing w:line="48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790"/>
        <w:ind w:firstLine="2850"/>
        <w:spacing w:line="48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790"/>
        <w:ind w:firstLine="2850"/>
        <w:spacing w:line="48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790"/>
        <w:ind w:firstLine="2850"/>
        <w:spacing w:line="48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790"/>
        <w:ind w:firstLine="285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（电子签章）              </w:t>
      </w:r>
      <w:r/>
    </w:p>
    <w:p>
      <w:pPr>
        <w:pStyle w:val="790"/>
        <w:ind w:firstLine="390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日期：   年  月  日</w:t>
      </w:r>
      <w:r/>
    </w:p>
    <w:p>
      <w:pPr>
        <w:pStyle w:val="790"/>
        <w:ind w:firstLine="600"/>
        <w:spacing w:line="48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注：</w:t>
      </w:r>
      <w:r>
        <w:rPr>
          <w:rFonts w:hint="eastAsia" w:ascii="宋体" w:hAnsi="宋体" w:cs="宋体"/>
          <w:b/>
          <w:bCs/>
          <w:color w:val="000000" w:themeColor="text1"/>
          <w:sz w:val="28"/>
          <w:szCs w:val="28"/>
          <w:highlight w:val="none"/>
          <w14:textFill>
            <w14:solidFill>
              <w14:schemeClr w14:val="tx1"/>
            </w14:solidFill>
          </w14:textFill>
        </w:rPr>
        <w:t xml:space="preserve">①如果不提供详细分项报价的，将视为没有实质性响应招标文件。</w:t>
      </w:r>
      <w:r/>
    </w:p>
    <w:p>
      <w:pPr>
        <w:pStyle w:val="790"/>
        <w:ind w:firstLine="112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②投标人对以上数据的真实性负责。</w:t>
      </w:r>
      <w:r/>
    </w:p>
    <w:p>
      <w:pPr>
        <w:pStyle w:val="790"/>
        <w:ind w:firstLine="600"/>
        <w:jc w:val="center"/>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江苏九天招标管理有限公司有权将以上内容进行公示。</w:t>
      </w:r>
      <w:r/>
    </w:p>
    <w:p>
      <w:pPr>
        <w:pStyle w:val="790"/>
        <w:jc w:val="center"/>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rPr>
          <w:rFonts w:hint="eastAsia" w:ascii="宋体" w:hAnsi="宋体" w:cs="宋体"/>
          <w:color w:val="000000" w:themeColor="text1"/>
          <w:sz w:val="28"/>
          <w:szCs w:val="28"/>
          <w:highlight w:val="none"/>
          <w14:textFill>
            <w14:solidFill>
              <w14:schemeClr w14:val="tx1"/>
            </w14:solidFill>
          </w14:textFill>
        </w:rPr>
        <w:t xml:space="preserve">四、偏离表格式</w:t>
      </w:r>
      <w:r/>
    </w:p>
    <w:p>
      <w:pPr>
        <w:pStyle w:val="790"/>
        <w:ind w:firstLine="600"/>
        <w:spacing w:line="48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ind w:firstLine="600"/>
        <w:spacing w:line="480" w:lineRule="exact"/>
        <w:rPr>
          <w:rFonts w:hint="eastAsia" w:ascii="宋体" w:hAnsi="宋体" w:eastAsia="宋体" w:cs="宋体"/>
          <w:color w:val="000000" w:themeColor="text1"/>
          <w:sz w:val="28"/>
          <w:szCs w:val="28"/>
          <w:highlight w:val="none"/>
          <w:u w:val="single"/>
          <w:lang w:eastAsia="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w:t>
      </w:r>
      <w:r>
        <w:rPr>
          <w:rFonts w:hint="eastAsia" w:ascii="宋体" w:hAnsi="宋体" w:cs="宋体"/>
          <w:color w:val="000000" w:themeColor="text1"/>
          <w:sz w:val="28"/>
          <w:szCs w:val="28"/>
          <w:highlight w:val="none"/>
          <w:lang w:eastAsia="zh-CN"/>
          <w14:textFill>
            <w14:solidFill>
              <w14:schemeClr w14:val="tx1"/>
            </w14:solidFill>
          </w14:textFill>
        </w:rPr>
        <w:t xml:space="preserve">徐州市南四湖小沿河饮用水源地水生态保护及水面保洁</w:t>
      </w:r>
      <w:r/>
    </w:p>
    <w:p>
      <w:pPr>
        <w:pStyle w:val="790"/>
        <w:ind w:firstLine="600"/>
        <w:spacing w:line="480" w:lineRule="exact"/>
        <w:rPr>
          <w:rFonts w:hint="eastAsia" w:ascii="宋体" w:hAnsi="宋体" w:eastAsia="宋体" w:cs="宋体"/>
          <w:color w:val="000000" w:themeColor="text1"/>
          <w:sz w:val="28"/>
          <w:szCs w:val="28"/>
          <w:highlight w:val="none"/>
          <w:u w:val="single"/>
          <w:lang w:eastAsia="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项目编号：</w:t>
      </w:r>
      <w:r>
        <w:rPr>
          <w:rFonts w:hint="eastAsia" w:ascii="宋体" w:hAnsi="宋体" w:cs="宋体"/>
          <w:color w:val="000000" w:themeColor="text1"/>
          <w:sz w:val="28"/>
          <w:szCs w:val="28"/>
          <w:highlight w:val="none"/>
          <w:lang w:eastAsia="zh-CN"/>
          <w14:textFill>
            <w14:solidFill>
              <w14:schemeClr w14:val="tx1"/>
            </w14:solidFill>
          </w14:textFill>
        </w:rPr>
        <w:t xml:space="preserve">JSZC-320300-JTGL-G2024-0006</w:t>
      </w:r>
      <w:r/>
    </w:p>
    <w:p>
      <w:pPr>
        <w:pStyle w:val="790"/>
        <w:rPr>
          <w:rFonts w:ascii="宋体" w:hAnsi="宋体" w:cs="宋体"/>
          <w:color w:val="000000" w:themeColor="text1"/>
          <w:sz w:val="28"/>
          <w:szCs w:val="28"/>
          <w:highlight w:val="none"/>
          <w:u w:val="single"/>
          <w14:textFill>
            <w14:solidFill>
              <w14:schemeClr w14:val="tx1"/>
            </w14:solidFill>
          </w14:textFill>
        </w:rPr>
      </w:pPr>
      <w:r>
        <w:rPr>
          <w:rFonts w:ascii="宋体" w:hAnsi="宋体" w:cs="宋体"/>
          <w:color w:val="000000" w:themeColor="text1"/>
          <w:sz w:val="28"/>
          <w:szCs w:val="28"/>
          <w:highlight w:val="none"/>
          <w:u w:val="single"/>
          <w14:textFill>
            <w14:solidFill>
              <w14:schemeClr w14:val="tx1"/>
            </w14:solidFill>
          </w14:textFill>
        </w:rPr>
      </w:r>
      <w:r/>
    </w:p>
    <w:tbl>
      <w:tblPr>
        <w:tblStyle w:val="718"/>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90"/>
              <w:jc w:val="center"/>
              <w:rPr>
                <w:rFonts w:ascii="宋体" w:hAnsi="宋体" w:cs="宋体"/>
                <w:caps/>
                <w:color w:val="000000" w:themeColor="text1"/>
                <w:sz w:val="28"/>
                <w:szCs w:val="28"/>
                <w:highlight w:val="none"/>
                <w14:textFill>
                  <w14:solidFill>
                    <w14:schemeClr w14:val="tx1"/>
                  </w14:solidFill>
                </w14:textFill>
              </w:rPr>
            </w:pPr>
            <w:r>
              <w:rPr>
                <w:rFonts w:hint="eastAsia" w:ascii="宋体" w:hAnsi="宋体" w:cs="宋体"/>
                <w:caps/>
                <w:color w:val="000000" w:themeColor="text1"/>
                <w:sz w:val="28"/>
                <w:szCs w:val="28"/>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90"/>
              <w:jc w:val="center"/>
              <w:rPr>
                <w:rFonts w:ascii="宋体" w:hAnsi="宋体" w:cs="宋体"/>
                <w:caps/>
                <w:color w:val="000000" w:themeColor="text1"/>
                <w:sz w:val="28"/>
                <w:szCs w:val="28"/>
                <w:highlight w:val="none"/>
                <w14:textFill>
                  <w14:solidFill>
                    <w14:schemeClr w14:val="tx1"/>
                  </w14:solidFill>
                </w14:textFill>
              </w:rPr>
            </w:pPr>
            <w:r>
              <w:rPr>
                <w:rFonts w:hint="eastAsia" w:ascii="宋体" w:hAnsi="宋体" w:cs="宋体"/>
                <w:caps/>
                <w:color w:val="000000" w:themeColor="text1"/>
                <w:sz w:val="28"/>
                <w:szCs w:val="28"/>
                <w:highlight w:val="none"/>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90"/>
              <w:jc w:val="center"/>
              <w:rPr>
                <w:rFonts w:ascii="宋体" w:hAnsi="宋体" w:cs="宋体"/>
                <w:cap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90"/>
              <w:jc w:val="center"/>
              <w:rPr>
                <w:rFonts w:ascii="宋体" w:hAnsi="宋体" w:cs="宋体"/>
                <w:caps/>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90"/>
              <w:jc w:val="center"/>
              <w:rPr>
                <w:rFonts w:ascii="宋体" w:hAnsi="宋体" w:cs="宋体"/>
                <w:caps/>
                <w:color w:val="000000" w:themeColor="text1"/>
                <w:sz w:val="28"/>
                <w:szCs w:val="28"/>
                <w:highlight w:val="none"/>
                <w14:textFill>
                  <w14:solidFill>
                    <w14:schemeClr w14:val="tx1"/>
                  </w14:solidFill>
                </w14:textFill>
              </w:rPr>
            </w:pPr>
            <w:r>
              <w:rPr>
                <w:rFonts w:hint="eastAsia" w:ascii="宋体" w:hAnsi="宋体" w:cs="宋体"/>
                <w:caps/>
                <w:color w:val="000000" w:themeColor="text1"/>
                <w:sz w:val="28"/>
                <w:szCs w:val="28"/>
                <w:highlight w:val="none"/>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90"/>
              <w:jc w:val="center"/>
              <w:rPr>
                <w:rFonts w:ascii="宋体" w:hAnsi="宋体" w:cs="宋体"/>
                <w:caps/>
                <w:color w:val="000000" w:themeColor="text1"/>
                <w:sz w:val="28"/>
                <w:szCs w:val="28"/>
                <w:highlight w:val="none"/>
                <w14:textFill>
                  <w14:solidFill>
                    <w14:schemeClr w14:val="tx1"/>
                  </w14:solidFill>
                </w14:textFill>
              </w:rPr>
            </w:pPr>
            <w:r>
              <w:rPr>
                <w:rFonts w:hint="eastAsia" w:ascii="宋体" w:hAnsi="宋体" w:cs="宋体"/>
                <w:caps/>
                <w:color w:val="000000" w:themeColor="text1"/>
                <w:sz w:val="28"/>
                <w:szCs w:val="28"/>
                <w:highlight w:val="none"/>
                <w14:textFill>
                  <w14:solidFill>
                    <w14:schemeClr w14:val="tx1"/>
                  </w14:solidFill>
                </w14:textFill>
              </w:rPr>
              <w:t xml:space="preserve">说 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tc>
      </w:tr>
    </w:tbl>
    <w:p>
      <w:pPr>
        <w:pStyle w:val="790"/>
        <w:rPr>
          <w:rFonts w:ascii="宋体" w:hAnsi="宋体" w:cs="宋体"/>
          <w:color w:val="000000" w:themeColor="text1"/>
          <w:sz w:val="28"/>
          <w:szCs w:val="28"/>
          <w:highlight w:val="none"/>
          <w:u w:val="single"/>
          <w14:textFill>
            <w14:solidFill>
              <w14:schemeClr w14:val="tx1"/>
            </w14:solidFill>
          </w14:textFill>
        </w:rPr>
      </w:pPr>
      <w:r>
        <w:rPr>
          <w:rFonts w:ascii="宋体" w:hAnsi="宋体" w:cs="宋体"/>
          <w:color w:val="000000" w:themeColor="text1"/>
          <w:sz w:val="28"/>
          <w:szCs w:val="28"/>
          <w:highlight w:val="none"/>
          <w:u w:val="single"/>
          <w14:textFill>
            <w14:solidFill>
              <w14:schemeClr w14:val="tx1"/>
            </w14:solidFill>
          </w14:textFill>
        </w:rPr>
      </w:r>
      <w:r/>
    </w:p>
    <w:p>
      <w:pPr>
        <w:pStyle w:val="790"/>
        <w:ind w:firstLine="562"/>
        <w:spacing w:line="44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注</w:t>
      </w:r>
      <w:r>
        <w:rPr>
          <w:rFonts w:hint="eastAsia" w:ascii="宋体" w:hAnsi="宋体" w:cs="宋体"/>
          <w:color w:val="000000" w:themeColor="text1"/>
          <w:sz w:val="28"/>
          <w:szCs w:val="28"/>
          <w:highlight w:val="none"/>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pStyle w:val="790"/>
        <w:ind w:firstLine="2850"/>
        <w:spacing w:line="30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（电子签章）</w:t>
      </w:r>
      <w:r/>
    </w:p>
    <w:p>
      <w:pPr>
        <w:pStyle w:val="790"/>
        <w:ind w:firstLine="600"/>
        <w:spacing w:line="30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p>
    <w:p>
      <w:pPr>
        <w:pStyle w:val="790"/>
        <w:ind w:firstLine="390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日期：   年  月  日</w:t>
      </w:r>
      <w:r/>
    </w:p>
    <w:p>
      <w:pPr>
        <w:pStyle w:val="790"/>
        <w:ind w:firstLine="600"/>
        <w:spacing w:line="480" w:lineRule="exact"/>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p>
      <w:pPr>
        <w:pStyle w:val="790"/>
        <w:spacing w:line="480" w:lineRule="exact"/>
        <w:rPr>
          <w:rFonts w:ascii="宋体" w:hAnsi="宋体" w:cs="宋体"/>
          <w:bCs/>
          <w:color w:val="000000" w:themeColor="text1"/>
          <w:sz w:val="28"/>
          <w:szCs w:val="28"/>
          <w:highlight w:val="none"/>
          <w14:textFill>
            <w14:solidFill>
              <w14:schemeClr w14:val="tx1"/>
            </w14:solidFill>
          </w14:textFill>
        </w:rPr>
      </w:pPr>
      <w:r>
        <w:rPr>
          <w:rFonts w:ascii="宋体" w:hAnsi="宋体" w:cs="宋体"/>
          <w:bCs/>
          <w:color w:val="000000" w:themeColor="text1"/>
          <w:sz w:val="28"/>
          <w:szCs w:val="28"/>
          <w:highlight w:val="none"/>
          <w14:textFill>
            <w14:solidFill>
              <w14:schemeClr w14:val="tx1"/>
            </w14:solidFill>
          </w14:textFill>
        </w:rPr>
      </w:r>
      <w:r/>
    </w:p>
    <w:p>
      <w:pPr>
        <w:pStyle w:val="790"/>
        <w:jc w:val="center"/>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br w:type="page" w:clear="all"/>
      </w:r>
      <w:r>
        <w:rPr>
          <w:rFonts w:hint="eastAsia" w:ascii="宋体" w:hAnsi="宋体" w:cs="宋体"/>
          <w:bCs/>
          <w:color w:val="000000" w:themeColor="text1"/>
          <w:sz w:val="28"/>
          <w:szCs w:val="28"/>
          <w:highlight w:val="none"/>
          <w14:textFill>
            <w14:solidFill>
              <w14:schemeClr w14:val="tx1"/>
            </w14:solidFill>
          </w14:textFill>
        </w:rPr>
        <w:t xml:space="preserve">五、法定代表人授权书格式</w:t>
      </w:r>
      <w:r/>
    </w:p>
    <w:p>
      <w:pPr>
        <w:pStyle w:val="790"/>
        <w:spacing w:line="48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委托人：</w:t>
      </w:r>
      <w:r/>
    </w:p>
    <w:p>
      <w:pPr>
        <w:pStyle w:val="79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  址：</w:t>
      </w:r>
      <w:r/>
    </w:p>
    <w:p>
      <w:pPr>
        <w:pStyle w:val="79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法定代表人（负责人）：               职务：</w:t>
      </w:r>
      <w:r/>
    </w:p>
    <w:p>
      <w:pPr>
        <w:pStyle w:val="79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统一社会信用代码：</w:t>
      </w:r>
      <w:r/>
    </w:p>
    <w:p>
      <w:pPr>
        <w:pStyle w:val="79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受托人：                   性别：男（女）  </w:t>
      </w:r>
      <w:r/>
    </w:p>
    <w:p>
      <w:pPr>
        <w:pStyle w:val="79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年龄：  岁                 民族：   族</w:t>
      </w:r>
      <w:r/>
    </w:p>
    <w:p>
      <w:pPr>
        <w:pStyle w:val="79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职务：</w:t>
      </w:r>
      <w:r/>
    </w:p>
    <w:p>
      <w:pPr>
        <w:pStyle w:val="79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身份证号：</w:t>
      </w:r>
      <w:r/>
    </w:p>
    <w:p>
      <w:pPr>
        <w:pStyle w:val="79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受托人联系电话：</w:t>
      </w:r>
      <w:r/>
    </w:p>
    <w:p>
      <w:pPr>
        <w:pStyle w:val="790"/>
        <w:ind w:firstLine="60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兹委托（      ）全权代表我企业（公司）参与</w:t>
      </w:r>
      <w:r>
        <w:rPr>
          <w:rFonts w:hint="eastAsia" w:ascii="宋体" w:hAnsi="宋体" w:cs="宋体"/>
          <w:color w:val="000000" w:themeColor="text1"/>
          <w:sz w:val="28"/>
          <w:szCs w:val="28"/>
          <w:highlight w:val="none"/>
          <w:lang w:eastAsia="zh-CN"/>
          <w14:textFill>
            <w14:solidFill>
              <w14:schemeClr w14:val="tx1"/>
            </w14:solidFill>
          </w14:textFill>
        </w:rPr>
        <w:t xml:space="preserve">徐州市南四湖小沿河饮用水源地水生态保护及水面保洁</w:t>
      </w:r>
      <w:r>
        <w:rPr>
          <w:rFonts w:hint="eastAsia" w:ascii="宋体" w:hAnsi="宋体" w:cs="宋体"/>
          <w:color w:val="000000" w:themeColor="text1"/>
          <w:sz w:val="28"/>
          <w:szCs w:val="28"/>
          <w:highlight w:val="none"/>
          <w14:textFill>
            <w14:solidFill>
              <w14:schemeClr w14:val="tx1"/>
            </w14:solidFill>
          </w14:textFill>
        </w:rPr>
        <w:t xml:space="preserve">项目（项目编号：</w:t>
      </w:r>
      <w:r>
        <w:rPr>
          <w:rFonts w:hint="eastAsia" w:ascii="宋体" w:hAnsi="宋体" w:cs="宋体"/>
          <w:color w:val="000000" w:themeColor="text1"/>
          <w:sz w:val="28"/>
          <w:szCs w:val="28"/>
          <w:highlight w:val="none"/>
          <w:lang w:eastAsia="zh-CN"/>
          <w14:textFill>
            <w14:solidFill>
              <w14:schemeClr w14:val="tx1"/>
            </w14:solidFill>
          </w14:textFill>
        </w:rPr>
        <w:t xml:space="preserve">JSZC-320300-JTGL-G2024-0006</w:t>
      </w:r>
      <w:r>
        <w:rPr>
          <w:rFonts w:hint="eastAsia" w:ascii="宋体" w:hAnsi="宋体" w:cs="宋体"/>
          <w:color w:val="000000" w:themeColor="text1"/>
          <w:sz w:val="28"/>
          <w:szCs w:val="28"/>
          <w:highlight w:val="none"/>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90"/>
        <w:ind w:firstLine="63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特此授权委托。</w:t>
      </w:r>
      <w:r/>
    </w:p>
    <w:p>
      <w:pPr>
        <w:pStyle w:val="790"/>
        <w:ind w:firstLine="60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委托人（盖章）：               受托人（签字）：</w:t>
      </w:r>
      <w:r/>
    </w:p>
    <w:p>
      <w:pPr>
        <w:pStyle w:val="790"/>
        <w:ind w:firstLine="60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法定代表人（签字）： </w:t>
      </w:r>
      <w:r/>
    </w:p>
    <w:p>
      <w:pPr>
        <w:pStyle w:val="790"/>
        <w:ind w:right="600" w:firstLine="615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年   月   日 </w:t>
      </w:r>
      <w:r/>
    </w:p>
    <w:p>
      <w:pPr>
        <w:pStyle w:val="79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（受托人身份证复印件附后）</w:t>
      </w:r>
      <w:r/>
    </w:p>
    <w:p>
      <w:pPr>
        <w:pStyle w:val="790"/>
        <w:ind w:firstLine="447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p>
    <w:p>
      <w:pPr>
        <w:pStyle w:val="790"/>
        <w:ind w:firstLine="447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ind w:firstLine="447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ind w:firstLine="447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p>
    <w:p>
      <w:pPr>
        <w:pStyle w:val="790"/>
        <w:jc w:val="center"/>
        <w:spacing w:before="100" w:beforeAutospacing="1" w:after="100" w:afterAutospacing="1" w:line="480" w:lineRule="exac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六、中小企业声明函格式</w:t>
      </w:r>
      <w:r/>
    </w:p>
    <w:p>
      <w:pPr>
        <w:pStyle w:val="797"/>
        <w:jc w:val="cente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504"/>
        <w:spacing w:line="360" w:lineRule="auto"/>
        <w:rPr>
          <w:rStyle w:val="1007"/>
          <w:rFonts w:ascii="宋体" w:hAnsi="宋体" w:cs="宋体"/>
          <w:spacing w:val="6"/>
          <w:szCs w:val="28"/>
          <w:highlight w:val="none"/>
          <w:u w:val="single"/>
        </w:rPr>
      </w:pPr>
      <w:r>
        <w:rPr>
          <w:rStyle w:val="1007"/>
          <w:rFonts w:hint="eastAsia" w:ascii="宋体" w:hAnsi="宋体" w:cs="宋体"/>
          <w:spacing w:val="6"/>
          <w:szCs w:val="28"/>
          <w:highlight w:val="none"/>
        </w:rPr>
        <w:t xml:space="preserve">项目编号：</w:t>
      </w:r>
      <w:r>
        <w:rPr>
          <w:rStyle w:val="1007"/>
          <w:rFonts w:hint="eastAsia" w:ascii="宋体" w:hAnsi="宋体" w:cs="宋体"/>
          <w:spacing w:val="6"/>
          <w:szCs w:val="28"/>
          <w:highlight w:val="none"/>
          <w:u w:val="single"/>
        </w:rPr>
        <w:t xml:space="preserve"> JSZC-320300-JTGL-G2024-0006              </w:t>
      </w:r>
      <w:r/>
    </w:p>
    <w:p>
      <w:pPr>
        <w:ind w:firstLine="504"/>
        <w:spacing w:line="360" w:lineRule="auto"/>
        <w:rPr>
          <w:rStyle w:val="1007"/>
          <w:rFonts w:ascii="宋体" w:hAnsi="宋体" w:cs="宋体"/>
          <w:spacing w:val="6"/>
          <w:szCs w:val="28"/>
          <w:highlight w:val="none"/>
          <w:u w:val="single"/>
        </w:rPr>
      </w:pPr>
      <w:r>
        <w:rPr>
          <w:rStyle w:val="1007"/>
          <w:rFonts w:hint="eastAsia" w:ascii="宋体" w:hAnsi="宋体" w:cs="宋体"/>
          <w:spacing w:val="6"/>
          <w:szCs w:val="28"/>
          <w:highlight w:val="none"/>
        </w:rPr>
        <w:t xml:space="preserve">项目名称：</w:t>
      </w:r>
      <w:r>
        <w:rPr>
          <w:rStyle w:val="1007"/>
          <w:rFonts w:hint="eastAsia" w:ascii="宋体" w:hAnsi="宋体" w:cs="宋体"/>
          <w:spacing w:val="6"/>
          <w:szCs w:val="28"/>
          <w:highlight w:val="none"/>
          <w:u w:val="single"/>
        </w:rPr>
        <w:t xml:space="preserve"> 徐州市南四湖小沿河饮用水源地水生态保护及水面保洁              </w:t>
      </w:r>
      <w:r/>
    </w:p>
    <w:p>
      <w:pPr>
        <w:ind w:firstLine="560"/>
        <w:spacing w:line="360" w:lineRule="auto"/>
        <w:rPr>
          <w:rStyle w:val="1007"/>
          <w:rFonts w:ascii="宋体" w:hAnsi="宋体" w:cs="宋体"/>
          <w:szCs w:val="28"/>
          <w:highlight w:val="none"/>
        </w:rPr>
      </w:pPr>
      <w:r>
        <w:rPr>
          <w:rFonts w:ascii="宋体" w:hAnsi="宋体" w:cs="宋体"/>
          <w:szCs w:val="28"/>
          <w:highlight w:val="none"/>
        </w:rPr>
      </w:r>
      <w:r/>
    </w:p>
    <w:p>
      <w:pPr>
        <w:ind w:firstLine="560"/>
        <w:spacing w:line="360" w:lineRule="auto"/>
        <w:rPr>
          <w:rStyle w:val="1007"/>
          <w:rFonts w:ascii="宋体" w:hAnsi="宋体" w:cs="宋体"/>
          <w:szCs w:val="28"/>
          <w:highlight w:val="none"/>
        </w:rPr>
      </w:pPr>
      <w:r>
        <w:rPr>
          <w:rStyle w:val="1007"/>
          <w:rFonts w:hint="eastAsia" w:ascii="宋体" w:hAnsi="宋体" w:cs="宋体"/>
          <w:szCs w:val="28"/>
          <w:highlight w:val="none"/>
        </w:rPr>
        <w:t xml:space="preserve">本公司郑重声明，根据《政府采购促进中小企业发展管理办法》（财库﹝2020﹞46 号）的规定，本公司参加</w:t>
      </w:r>
      <w:r>
        <w:rPr>
          <w:rStyle w:val="1007"/>
          <w:rFonts w:hint="eastAsia" w:ascii="宋体" w:hAnsi="宋体" w:cs="宋体"/>
          <w:szCs w:val="28"/>
          <w:highlight w:val="none"/>
          <w:u w:val="single"/>
        </w:rPr>
        <w:t xml:space="preserve">（</w:t>
      </w:r>
      <w:bookmarkStart w:id="16" w:name="_GoBack"/>
      <w:r/>
      <w:bookmarkEnd w:id="16"/>
      <w:r>
        <w:rPr>
          <w:rStyle w:val="1007"/>
          <w:rFonts w:hint="eastAsia" w:ascii="宋体" w:hAnsi="宋体" w:cs="宋体"/>
          <w:szCs w:val="28"/>
          <w:highlight w:val="none"/>
          <w:u w:val="single"/>
        </w:rPr>
        <w:t xml:space="preserve">徐州市河湖管理中心）</w:t>
      </w:r>
      <w:r>
        <w:rPr>
          <w:rStyle w:val="1007"/>
          <w:rFonts w:hint="eastAsia" w:ascii="宋体" w:hAnsi="宋体" w:cs="宋体"/>
          <w:szCs w:val="28"/>
          <w:highlight w:val="none"/>
        </w:rPr>
        <w:t xml:space="preserve">的</w:t>
      </w:r>
      <w:r>
        <w:rPr>
          <w:rStyle w:val="1007"/>
          <w:rFonts w:hint="eastAsia" w:ascii="宋体" w:hAnsi="宋体" w:cs="宋体"/>
          <w:szCs w:val="28"/>
          <w:highlight w:val="none"/>
          <w:u w:val="single"/>
        </w:rPr>
        <w:t xml:space="preserve">（ 徐州市南四湖小沿河饮用水源地水生态保护及水面保洁）</w:t>
      </w:r>
      <w:r>
        <w:rPr>
          <w:rStyle w:val="1007"/>
          <w:rFonts w:hint="eastAsia" w:ascii="宋体" w:hAnsi="宋体" w:cs="宋体"/>
          <w:szCs w:val="28"/>
          <w:highlight w:val="none"/>
        </w:rPr>
        <w:t xml:space="preserve">采购活动，服务全部由符合政策要求的中小企业提供。相关企业的具体情况如下：</w:t>
      </w:r>
      <w:r/>
    </w:p>
    <w:p>
      <w:pPr>
        <w:ind w:firstLine="560"/>
        <w:spacing w:line="360" w:lineRule="auto"/>
        <w:rPr>
          <w:rStyle w:val="1007"/>
          <w:rFonts w:ascii="宋体" w:hAnsi="宋体" w:cs="宋体"/>
          <w:b/>
          <w:szCs w:val="28"/>
          <w:highlight w:val="none"/>
        </w:rPr>
      </w:pPr>
      <w:r>
        <w:rPr>
          <w:rStyle w:val="1007"/>
          <w:rFonts w:hint="eastAsia" w:ascii="宋体" w:hAnsi="宋体" w:cs="宋体"/>
          <w:szCs w:val="28"/>
          <w:highlight w:val="none"/>
          <w:u w:val="single"/>
        </w:rPr>
        <w:t xml:space="preserve">（项目名称）</w:t>
      </w:r>
      <w:r>
        <w:rPr>
          <w:rStyle w:val="1007"/>
          <w:rFonts w:hint="eastAsia" w:ascii="宋体" w:hAnsi="宋体" w:cs="宋体"/>
          <w:szCs w:val="28"/>
          <w:highlight w:val="none"/>
        </w:rPr>
        <w:t xml:space="preserve">，属于</w:t>
      </w:r>
      <w:r>
        <w:rPr>
          <w:rStyle w:val="1007"/>
          <w:rFonts w:hint="eastAsia" w:ascii="宋体" w:hAnsi="宋体" w:cs="宋体"/>
          <w:szCs w:val="28"/>
          <w:highlight w:val="none"/>
          <w:u w:val="single"/>
        </w:rPr>
        <w:t xml:space="preserve">（</w:t>
      </w:r>
      <w:r>
        <w:rPr>
          <w:rStyle w:val="1007"/>
          <w:rFonts w:hint="eastAsia" w:ascii="宋体" w:hAnsi="宋体" w:cs="宋体"/>
          <w:b/>
          <w:bCs/>
          <w:szCs w:val="28"/>
          <w:highlight w:val="none"/>
          <w:u w:val="single"/>
        </w:rPr>
        <w:t xml:space="preserve">其他未列明行业</w:t>
      </w:r>
      <w:r>
        <w:rPr>
          <w:rStyle w:val="1007"/>
          <w:rFonts w:hint="eastAsia" w:ascii="宋体" w:hAnsi="宋体" w:cs="宋体"/>
          <w:szCs w:val="28"/>
          <w:highlight w:val="none"/>
          <w:u w:val="single"/>
        </w:rPr>
        <w:t xml:space="preserve">）</w:t>
      </w:r>
      <w:r>
        <w:rPr>
          <w:rStyle w:val="1007"/>
          <w:rFonts w:hint="eastAsia" w:ascii="宋体" w:hAnsi="宋体" w:cs="宋体"/>
          <w:szCs w:val="28"/>
          <w:highlight w:val="none"/>
        </w:rPr>
        <w:t xml:space="preserve">；供货企业为</w:t>
      </w:r>
      <w:r>
        <w:rPr>
          <w:rStyle w:val="1007"/>
          <w:rFonts w:hint="eastAsia" w:ascii="宋体" w:hAnsi="宋体" w:cs="宋体"/>
          <w:szCs w:val="28"/>
          <w:highlight w:val="none"/>
          <w:u w:val="single"/>
        </w:rPr>
        <w:t xml:space="preserve">（企业名称）</w:t>
      </w:r>
      <w:r>
        <w:rPr>
          <w:rStyle w:val="1007"/>
          <w:rFonts w:hint="eastAsia" w:ascii="宋体" w:hAnsi="宋体" w:cs="宋体"/>
          <w:szCs w:val="28"/>
          <w:highlight w:val="none"/>
        </w:rPr>
        <w:t xml:space="preserve">，从业人员</w:t>
      </w:r>
      <w:r>
        <w:rPr>
          <w:rStyle w:val="1007"/>
          <w:rFonts w:hint="eastAsia" w:ascii="宋体" w:hAnsi="宋体" w:cs="宋体"/>
          <w:szCs w:val="28"/>
          <w:highlight w:val="none"/>
          <w:u w:val="single"/>
        </w:rPr>
        <w:t xml:space="preserve">   </w:t>
      </w:r>
      <w:r>
        <w:rPr>
          <w:rStyle w:val="1007"/>
          <w:rFonts w:hint="eastAsia" w:ascii="宋体" w:hAnsi="宋体" w:cs="宋体"/>
          <w:szCs w:val="28"/>
          <w:highlight w:val="none"/>
        </w:rPr>
        <w:t xml:space="preserve">人，营业收入为</w:t>
      </w:r>
      <w:r>
        <w:rPr>
          <w:rStyle w:val="1007"/>
          <w:rFonts w:hint="eastAsia" w:ascii="宋体" w:hAnsi="宋体" w:cs="宋体"/>
          <w:szCs w:val="28"/>
          <w:highlight w:val="none"/>
          <w:u w:val="single"/>
        </w:rPr>
        <w:t xml:space="preserve">    </w:t>
      </w:r>
      <w:r>
        <w:rPr>
          <w:rStyle w:val="1007"/>
          <w:rFonts w:hint="eastAsia" w:ascii="宋体" w:hAnsi="宋体" w:cs="宋体"/>
          <w:szCs w:val="28"/>
          <w:highlight w:val="none"/>
        </w:rPr>
        <w:t xml:space="preserve">万元，资产总额为</w:t>
      </w:r>
      <w:r>
        <w:rPr>
          <w:rStyle w:val="1007"/>
          <w:rFonts w:hint="eastAsia" w:ascii="宋体" w:hAnsi="宋体" w:cs="宋体"/>
          <w:szCs w:val="28"/>
          <w:highlight w:val="none"/>
          <w:u w:val="single"/>
        </w:rPr>
        <w:t xml:space="preserve">    </w:t>
      </w:r>
      <w:r>
        <w:rPr>
          <w:rStyle w:val="1007"/>
          <w:rFonts w:hint="eastAsia" w:ascii="宋体" w:hAnsi="宋体" w:cs="宋体"/>
          <w:szCs w:val="28"/>
          <w:highlight w:val="none"/>
        </w:rPr>
        <w:t xml:space="preserve">万元，</w:t>
      </w:r>
      <w:r>
        <w:rPr>
          <w:rStyle w:val="1007"/>
          <w:rFonts w:hint="eastAsia" w:ascii="宋体" w:hAnsi="宋体" w:cs="宋体"/>
          <w:b/>
          <w:szCs w:val="28"/>
          <w:highlight w:val="none"/>
        </w:rPr>
        <w:t xml:space="preserve">属于（□中型企业、□小型企业、□微型企业，请勾选！）；</w:t>
      </w:r>
      <w:r/>
    </w:p>
    <w:p>
      <w:pPr>
        <w:ind w:firstLine="560"/>
        <w:spacing w:line="360" w:lineRule="auto"/>
        <w:rPr>
          <w:rStyle w:val="1007"/>
          <w:rFonts w:ascii="宋体" w:hAnsi="宋体" w:cs="宋体"/>
          <w:b/>
          <w:spacing w:val="6"/>
          <w:szCs w:val="28"/>
          <w:highlight w:val="none"/>
        </w:rPr>
      </w:pPr>
      <w:r>
        <w:rPr>
          <w:rStyle w:val="1007"/>
          <w:rFonts w:hint="eastAsia" w:ascii="宋体" w:hAnsi="宋体" w:cs="宋体"/>
          <w:b/>
          <w:szCs w:val="28"/>
          <w:highlight w:val="none"/>
        </w:rPr>
        <w:t xml:space="preserve">......</w:t>
      </w:r>
      <w:r/>
    </w:p>
    <w:p>
      <w:pPr>
        <w:ind w:firstLine="560"/>
        <w:spacing w:line="360" w:lineRule="auto"/>
        <w:rPr>
          <w:rStyle w:val="1007"/>
          <w:rFonts w:ascii="宋体" w:hAnsi="宋体" w:cs="宋体"/>
          <w:spacing w:val="6"/>
          <w:szCs w:val="28"/>
          <w:highlight w:val="none"/>
        </w:rPr>
      </w:pPr>
      <w:r>
        <w:rPr>
          <w:rStyle w:val="1007"/>
          <w:rFonts w:hint="eastAsia" w:ascii="宋体" w:hAnsi="宋体" w:cs="宋体"/>
          <w:szCs w:val="28"/>
          <w:highlight w:val="none"/>
        </w:rPr>
        <w:t xml:space="preserve">以上企业，不属于大企业的分支机构，不存在控股股东为大企业的情形，也不存在与大企业的负责人为同一人的情形。</w:t>
      </w:r>
      <w:r/>
    </w:p>
    <w:p>
      <w:pPr>
        <w:ind w:firstLine="560"/>
        <w:spacing w:line="360" w:lineRule="auto"/>
        <w:rPr>
          <w:rStyle w:val="1007"/>
          <w:rFonts w:ascii="宋体" w:hAnsi="宋体" w:cs="宋体"/>
          <w:spacing w:val="6"/>
          <w:szCs w:val="28"/>
          <w:highlight w:val="none"/>
        </w:rPr>
      </w:pPr>
      <w:r>
        <w:rPr>
          <w:rStyle w:val="1007"/>
          <w:rFonts w:hint="eastAsia" w:ascii="宋体" w:hAnsi="宋体" w:cs="宋体"/>
          <w:szCs w:val="28"/>
          <w:highlight w:val="none"/>
        </w:rPr>
        <w:t xml:space="preserve">本企业对上述声明内容的真实性负责。如有虚假，将依法承担相应责任。</w:t>
      </w:r>
      <w:r/>
    </w:p>
    <w:p>
      <w:pPr>
        <w:spacing w:line="360" w:lineRule="auto"/>
        <w:rPr>
          <w:rStyle w:val="1007"/>
          <w:rFonts w:ascii="宋体" w:hAnsi="宋体" w:cs="宋体"/>
          <w:szCs w:val="28"/>
          <w:highlight w:val="none"/>
        </w:rPr>
      </w:pPr>
      <w:r>
        <w:rPr>
          <w:rFonts w:ascii="宋体" w:hAnsi="宋体" w:cs="宋体"/>
          <w:szCs w:val="28"/>
          <w:highlight w:val="none"/>
        </w:rPr>
      </w:r>
      <w:r/>
    </w:p>
    <w:p>
      <w:pPr>
        <w:spacing w:line="360" w:lineRule="auto"/>
        <w:rPr>
          <w:rStyle w:val="1007"/>
          <w:rFonts w:ascii="宋体" w:hAnsi="宋体" w:cs="宋体"/>
          <w:b/>
          <w:bCs/>
          <w:szCs w:val="28"/>
          <w:highlight w:val="none"/>
        </w:rPr>
      </w:pPr>
      <w:r>
        <w:rPr>
          <w:rStyle w:val="1007"/>
          <w:rFonts w:hint="eastAsia" w:ascii="宋体" w:hAnsi="宋体" w:cs="宋体"/>
          <w:b/>
          <w:bCs/>
          <w:szCs w:val="28"/>
          <w:highlight w:val="none"/>
        </w:rPr>
        <w:t xml:space="preserve">注：本项目采购的行业属于</w:t>
      </w:r>
      <w:r>
        <w:rPr>
          <w:rStyle w:val="1007"/>
          <w:rFonts w:hint="eastAsia" w:ascii="宋体" w:hAnsi="宋体" w:eastAsia="宋体" w:cs="宋体"/>
          <w:b/>
          <w:bCs/>
          <w:color w:val="auto"/>
          <w:sz w:val="28"/>
          <w:szCs w:val="28"/>
          <w:highlight w:val="none"/>
          <w:u w:val="single"/>
        </w:rPr>
        <w:t xml:space="preserve">其他未列明</w:t>
      </w:r>
      <w:r>
        <w:rPr>
          <w:rStyle w:val="1007"/>
          <w:rFonts w:hint="eastAsia" w:ascii="宋体" w:hAnsi="宋体" w:eastAsia="宋体" w:cs="宋体"/>
          <w:b/>
          <w:bCs/>
          <w:color w:val="auto"/>
          <w:sz w:val="28"/>
          <w:szCs w:val="28"/>
          <w:highlight w:val="none"/>
          <w:u w:val="single"/>
          <w:lang w:eastAsia="zh-CN"/>
        </w:rPr>
        <w:t xml:space="preserve">行业</w:t>
      </w:r>
      <w:r>
        <w:rPr>
          <w:rStyle w:val="1007"/>
          <w:rFonts w:hint="eastAsia" w:ascii="宋体" w:hAnsi="宋体" w:cs="宋体"/>
          <w:b/>
          <w:bCs/>
          <w:szCs w:val="28"/>
          <w:highlight w:val="none"/>
        </w:rPr>
        <w:t xml:space="preserve">。</w:t>
      </w:r>
      <w:r/>
    </w:p>
    <w:p>
      <w:pPr>
        <w:spacing w:line="360" w:lineRule="auto"/>
        <w:rPr>
          <w:rStyle w:val="1007"/>
          <w:rFonts w:ascii="宋体" w:hAnsi="宋体" w:cs="宋体"/>
          <w:b/>
          <w:bCs/>
          <w:szCs w:val="28"/>
          <w:highlight w:val="none"/>
        </w:rPr>
      </w:pPr>
      <w:r>
        <w:rPr>
          <w:rFonts w:ascii="宋体" w:hAnsi="宋体" w:cs="宋体"/>
          <w:b/>
          <w:bCs/>
          <w:szCs w:val="28"/>
          <w:highlight w:val="none"/>
        </w:rPr>
      </w:r>
      <w:r/>
    </w:p>
    <w:p>
      <w:pPr>
        <w:ind w:firstLine="600"/>
        <w:spacing w:line="360" w:lineRule="auto"/>
        <w:rPr>
          <w:rStyle w:val="1007"/>
          <w:rFonts w:ascii="宋体" w:hAnsi="宋体" w:cs="宋体"/>
          <w:szCs w:val="28"/>
          <w:highlight w:val="none"/>
        </w:rPr>
      </w:pPr>
      <w:r>
        <w:rPr>
          <w:rFonts w:ascii="宋体" w:hAnsi="宋体" w:cs="宋体"/>
          <w:szCs w:val="28"/>
          <w:highlight w:val="none"/>
        </w:rPr>
      </w:r>
      <w:r/>
    </w:p>
    <w:p>
      <w:pPr>
        <w:ind w:firstLine="480"/>
        <w:spacing w:line="360" w:lineRule="auto"/>
        <w:rPr>
          <w:rStyle w:val="1007"/>
          <w:rFonts w:ascii="宋体" w:hAnsi="宋体" w:cs="宋体"/>
          <w:szCs w:val="28"/>
          <w:highlight w:val="none"/>
        </w:rPr>
      </w:pPr>
      <w:r>
        <w:rPr>
          <w:rStyle w:val="1007"/>
          <w:rFonts w:hint="eastAsia" w:ascii="宋体" w:hAnsi="宋体" w:cs="宋体"/>
          <w:szCs w:val="28"/>
          <w:highlight w:val="none"/>
        </w:rPr>
        <w:t xml:space="preserve">                         企业名称（电子签章）：</w:t>
      </w:r>
      <w:r/>
    </w:p>
    <w:p>
      <w:pPr>
        <w:ind w:firstLine="480"/>
        <w:spacing w:line="360" w:lineRule="auto"/>
        <w:rPr>
          <w:rStyle w:val="1007"/>
          <w:rFonts w:ascii="宋体" w:hAnsi="宋体" w:cs="宋体"/>
          <w:szCs w:val="28"/>
          <w:highlight w:val="none"/>
        </w:rPr>
      </w:pPr>
      <w:r>
        <w:rPr>
          <w:rStyle w:val="1007"/>
          <w:rFonts w:hint="eastAsia" w:ascii="宋体" w:hAnsi="宋体" w:cs="宋体"/>
          <w:szCs w:val="28"/>
          <w:highlight w:val="none"/>
        </w:rPr>
        <w:t xml:space="preserve">                         日期： 年  月  日</w:t>
      </w:r>
      <w:r/>
    </w:p>
    <w:p>
      <w:pPr>
        <w:ind w:firstLine="480"/>
        <w:spacing w:line="360" w:lineRule="auto"/>
        <w:rPr>
          <w:rStyle w:val="1007"/>
          <w:rFonts w:ascii="宋体" w:hAnsi="宋体" w:cs="宋体"/>
          <w:szCs w:val="28"/>
          <w:highlight w:val="none"/>
        </w:rPr>
      </w:pPr>
      <w:r>
        <w:rPr>
          <w:rFonts w:ascii="宋体" w:hAnsi="宋体" w:cs="宋体"/>
          <w:szCs w:val="28"/>
          <w:highlight w:val="none"/>
        </w:rPr>
      </w:r>
      <w:r/>
    </w:p>
    <w:p>
      <w:pPr>
        <w:ind w:firstLine="480"/>
        <w:spacing w:line="360" w:lineRule="auto"/>
        <w:rPr>
          <w:rStyle w:val="1007"/>
          <w:rFonts w:ascii="宋体" w:hAnsi="宋体" w:cs="宋体"/>
          <w:szCs w:val="28"/>
          <w:highlight w:val="none"/>
        </w:rPr>
      </w:pPr>
      <w:r>
        <w:rPr>
          <w:rFonts w:ascii="宋体" w:hAnsi="宋体" w:cs="宋体"/>
          <w:szCs w:val="28"/>
          <w:highlight w:val="none"/>
        </w:rPr>
      </w:r>
      <w:r/>
    </w:p>
    <w:p>
      <w:pPr>
        <w:ind w:firstLine="480"/>
        <w:spacing w:line="360" w:lineRule="auto"/>
        <w:rPr>
          <w:rStyle w:val="1007"/>
          <w:rFonts w:ascii="宋体" w:hAnsi="宋体" w:cs="宋体"/>
          <w:szCs w:val="28"/>
          <w:highlight w:val="none"/>
        </w:rPr>
      </w:pPr>
      <w:r>
        <w:rPr>
          <w:rFonts w:ascii="宋体" w:hAnsi="宋体" w:cs="宋体"/>
          <w:szCs w:val="28"/>
          <w:highlight w:val="none"/>
        </w:rPr>
      </w:r>
      <w:r/>
    </w:p>
    <w:p>
      <w:pPr>
        <w:pStyle w:val="1027"/>
        <w:ind w:left="0"/>
        <w:rPr>
          <w:rStyle w:val="1007"/>
          <w:rFonts w:ascii="宋体" w:hAnsi="宋体" w:cs="宋体"/>
          <w:szCs w:val="28"/>
          <w:highlight w:val="none"/>
        </w:rPr>
      </w:pPr>
      <w:r>
        <w:rPr>
          <w:rFonts w:ascii="宋体" w:hAnsi="宋体" w:cs="宋体"/>
          <w:szCs w:val="28"/>
          <w:highlight w:val="none"/>
        </w:rPr>
      </w:r>
      <w:r/>
    </w:p>
    <w:p>
      <w:pPr>
        <w:pStyle w:val="1027"/>
        <w:rPr>
          <w:rStyle w:val="1007"/>
          <w:rFonts w:ascii="宋体" w:hAnsi="宋体" w:cs="宋体"/>
          <w:szCs w:val="28"/>
          <w:highlight w:val="none"/>
        </w:rPr>
      </w:pPr>
      <w:r>
        <w:rPr>
          <w:rFonts w:ascii="宋体" w:hAnsi="宋体" w:cs="宋体"/>
          <w:szCs w:val="28"/>
          <w:highlight w:val="none"/>
        </w:rPr>
      </w:r>
      <w:r/>
    </w:p>
    <w:p>
      <w:pPr>
        <w:ind w:firstLine="482"/>
        <w:spacing w:line="360" w:lineRule="auto"/>
        <w:rPr>
          <w:rStyle w:val="1007"/>
          <w:rFonts w:ascii="宋体" w:hAnsi="宋体" w:cs="宋体"/>
          <w:szCs w:val="28"/>
          <w:highlight w:val="none"/>
        </w:rPr>
      </w:pPr>
      <w:r>
        <w:rPr>
          <w:rStyle w:val="1007"/>
          <w:rFonts w:hint="eastAsia" w:ascii="宋体" w:hAnsi="宋体" w:cs="宋体"/>
          <w:b/>
          <w:szCs w:val="28"/>
          <w:highlight w:val="none"/>
        </w:rPr>
        <w:t xml:space="preserve">备注：从业人员、营业收入、资产总额填报上一年度数据，无上一年度数据的新成立企业可不填报。</w:t>
      </w:r>
      <w:r/>
    </w:p>
    <w:p>
      <w:pPr>
        <w:pStyle w:val="790"/>
        <w:ind w:firstLine="600"/>
        <w:spacing w:line="480" w:lineRule="exact"/>
        <w:rPr>
          <w:rFonts w:ascii="宋体" w:hAnsi="宋体" w:cs="宋体"/>
          <w:b/>
          <w:sz w:val="28"/>
          <w:szCs w:val="28"/>
          <w:highlight w:val="none"/>
        </w:rPr>
      </w:pPr>
      <w:r>
        <w:rPr>
          <w:rFonts w:hint="eastAsia" w:ascii="宋体" w:hAnsi="宋体" w:cs="宋体"/>
          <w:b/>
          <w:sz w:val="28"/>
          <w:szCs w:val="28"/>
          <w:highlight w:val="none"/>
        </w:rPr>
        <w:t xml:space="preserve">“中小企业声明函” 查询渠道用微信搜索“中小企业规模类型自测小程序”。</w:t>
      </w:r>
      <w:r/>
    </w:p>
    <w:p>
      <w:pPr>
        <w:pStyle w:val="790"/>
        <w:ind w:firstLine="600"/>
        <w:spacing w:line="480" w:lineRule="exact"/>
        <w:rPr>
          <w:rFonts w:ascii="宋体" w:hAnsi="宋体" w:cs="宋体"/>
          <w:b/>
          <w:sz w:val="28"/>
          <w:szCs w:val="28"/>
          <w:highlight w:val="none"/>
        </w:rPr>
      </w:pPr>
      <w:r>
        <w:rPr>
          <w:rFonts w:ascii="宋体" w:hAnsi="宋体" w:cs="宋体"/>
          <w:b/>
          <w:sz w:val="28"/>
          <w:szCs w:val="28"/>
          <w:highlight w:val="none"/>
        </w:rPr>
      </w:r>
      <w:r/>
    </w:p>
    <w:p>
      <w:pPr>
        <w:pStyle w:val="790"/>
        <w:jc w:val="center"/>
        <w:rPr>
          <w:rFonts w:ascii="宋体" w:hAnsi="宋体" w:cs="宋体"/>
          <w:b/>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mc:AlternateContent>
          <mc:Choice Requires="wpg">
            <w:drawing>
              <wp:inline xmlns:wp="http://schemas.openxmlformats.org/drawingml/2006/wordprocessingDrawing" distT="0" distB="0" distL="0" distR="0">
                <wp:extent cx="3171190" cy="6527165"/>
                <wp:effectExtent l="0" t="0" r="10160" b="6985"/>
                <wp:docPr id="3"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a:picLocks noChangeAspect="1"/>
                        </pic:cNvPicPr>
                        <pic:nvPr/>
                      </pic:nvPicPr>
                      <pic:blipFill>
                        <a:blip r:embed="rId16"/>
                        <a:stretch/>
                      </pic:blipFill>
                      <pic:spPr bwMode="auto">
                        <a:xfrm>
                          <a:off x="0" y="0"/>
                          <a:ext cx="3171190" cy="65271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49.7pt;height:513.9pt;mso-wrap-distance-left:0.0pt;mso-wrap-distance-top:0.0pt;mso-wrap-distance-right:0.0pt;mso-wrap-distance-bottom:0.0pt;" stroked="false">
                <v:path textboxrect="0,0,0,0"/>
                <v:imagedata r:id="rId16" o:title=""/>
              </v:shape>
            </w:pict>
          </mc:Fallback>
        </mc:AlternateContent>
      </w:r>
      <w:r>
        <w:rPr>
          <w:rFonts w:hint="eastAsia" w:ascii="宋体" w:hAnsi="宋体" w:cs="宋体"/>
          <w:color w:val="000000" w:themeColor="text1"/>
          <w:sz w:val="28"/>
          <w:szCs w:val="28"/>
          <w:highlight w:val="none"/>
          <w14:textFill>
            <w14:solidFill>
              <w14:schemeClr w14:val="tx1"/>
            </w14:solidFill>
          </w14:textFill>
        </w:rPr>
        <w:br w:type="page" w:clear="all"/>
      </w:r>
      <w:r>
        <w:rPr>
          <w:rFonts w:hint="eastAsia" w:ascii="宋体" w:hAnsi="宋体" w:cs="宋体"/>
          <w:color w:val="000000" w:themeColor="text1"/>
          <w:sz w:val="28"/>
          <w:szCs w:val="28"/>
          <w:highlight w:val="none"/>
          <w14:textFill>
            <w14:solidFill>
              <w14:schemeClr w14:val="tx1"/>
            </w14:solidFill>
          </w14:textFill>
        </w:rPr>
        <w:t xml:space="preserve">七、残疾人福利性单位声明函格式</w:t>
      </w:r>
      <w:r/>
    </w:p>
    <w:p>
      <w:pPr>
        <w:pStyle w:val="790"/>
        <w:ind w:firstLine="624"/>
        <w:spacing w:line="480" w:lineRule="exact"/>
        <w:rPr>
          <w:rFonts w:ascii="宋体" w:hAnsi="宋体" w:cs="宋体"/>
          <w:color w:val="000000" w:themeColor="text1"/>
          <w:spacing w:val="6"/>
          <w:sz w:val="28"/>
          <w:szCs w:val="28"/>
          <w:highlight w:val="none"/>
          <w14:textFill>
            <w14:solidFill>
              <w14:schemeClr w14:val="tx1"/>
            </w14:solidFill>
          </w14:textFill>
        </w:rPr>
      </w:pPr>
      <w:r>
        <w:rPr>
          <w:rFonts w:ascii="宋体" w:hAnsi="宋体" w:cs="宋体"/>
          <w:color w:val="000000" w:themeColor="text1"/>
          <w:spacing w:val="6"/>
          <w:sz w:val="28"/>
          <w:szCs w:val="28"/>
          <w:highlight w:val="none"/>
          <w14:textFill>
            <w14:solidFill>
              <w14:schemeClr w14:val="tx1"/>
            </w14:solidFill>
          </w14:textFill>
        </w:rPr>
      </w:r>
      <w:r/>
    </w:p>
    <w:p>
      <w:pPr>
        <w:pStyle w:val="790"/>
        <w:ind w:firstLine="624"/>
        <w:spacing w:line="480" w:lineRule="exact"/>
        <w:rPr>
          <w:rFonts w:hint="eastAsia" w:ascii="宋体" w:hAnsi="宋体" w:eastAsia="宋体" w:cs="宋体"/>
          <w:color w:val="000000" w:themeColor="text1"/>
          <w:spacing w:val="6"/>
          <w:sz w:val="28"/>
          <w:szCs w:val="28"/>
          <w:highlight w:val="none"/>
          <w:lang w:eastAsia="zh-CN"/>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项目名称：</w:t>
      </w:r>
      <w:r>
        <w:rPr>
          <w:rFonts w:hint="eastAsia" w:ascii="宋体" w:hAnsi="宋体" w:cs="宋体"/>
          <w:color w:val="000000" w:themeColor="text1"/>
          <w:spacing w:val="6"/>
          <w:sz w:val="28"/>
          <w:szCs w:val="28"/>
          <w:highlight w:val="none"/>
          <w:lang w:eastAsia="zh-CN"/>
          <w14:textFill>
            <w14:solidFill>
              <w14:schemeClr w14:val="tx1"/>
            </w14:solidFill>
          </w14:textFill>
        </w:rPr>
        <w:t xml:space="preserve">徐州市南四湖小沿河饮用水源地水生态保护及水面保洁</w:t>
      </w:r>
      <w:r/>
    </w:p>
    <w:p>
      <w:pPr>
        <w:pStyle w:val="790"/>
        <w:ind w:firstLine="624"/>
        <w:spacing w:line="480" w:lineRule="exact"/>
        <w:rPr>
          <w:rFonts w:hint="eastAsia" w:ascii="宋体" w:hAnsi="宋体" w:eastAsia="宋体" w:cs="宋体"/>
          <w:color w:val="000000" w:themeColor="text1"/>
          <w:spacing w:val="6"/>
          <w:sz w:val="28"/>
          <w:szCs w:val="28"/>
          <w:highlight w:val="none"/>
          <w:lang w:eastAsia="zh-CN"/>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项目编号：</w:t>
      </w:r>
      <w:r>
        <w:rPr>
          <w:rFonts w:hint="eastAsia" w:ascii="宋体" w:hAnsi="宋体" w:cs="宋体"/>
          <w:color w:val="000000" w:themeColor="text1"/>
          <w:spacing w:val="6"/>
          <w:sz w:val="28"/>
          <w:szCs w:val="28"/>
          <w:highlight w:val="none"/>
          <w:lang w:eastAsia="zh-CN"/>
          <w14:textFill>
            <w14:solidFill>
              <w14:schemeClr w14:val="tx1"/>
            </w14:solidFill>
          </w14:textFill>
        </w:rPr>
        <w:t xml:space="preserve">JSZC-320300-JTGL-G2024-0006</w:t>
      </w:r>
      <w:r/>
    </w:p>
    <w:p>
      <w:pPr>
        <w:pStyle w:val="790"/>
        <w:ind w:firstLine="624"/>
        <w:spacing w:line="480" w:lineRule="exact"/>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8"/>
          <w:szCs w:val="28"/>
          <w:highlight w:val="none"/>
          <w14:textFill>
            <w14:solidFill>
              <w14:schemeClr w14:val="tx1"/>
            </w14:solidFill>
          </w14:textFill>
        </w:rPr>
        <w:t xml:space="preserve">〔2017〕 141</w:t>
      </w:r>
      <w:r>
        <w:rPr>
          <w:rFonts w:hint="eastAsia" w:ascii="宋体" w:hAnsi="宋体" w:cs="宋体"/>
          <w:color w:val="000000" w:themeColor="text1"/>
          <w:spacing w:val="6"/>
          <w:sz w:val="28"/>
          <w:szCs w:val="28"/>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z w:val="28"/>
          <w:szCs w:val="28"/>
          <w:highlight w:val="none"/>
          <w:u w:val="single"/>
          <w14:textFill>
            <w14:solidFill>
              <w14:schemeClr w14:val="tx1"/>
            </w14:solidFill>
          </w14:textFill>
        </w:rPr>
        <w:t xml:space="preserve">______</w:t>
      </w:r>
      <w:r>
        <w:rPr>
          <w:rFonts w:hint="eastAsia" w:ascii="宋体" w:hAnsi="宋体" w:cs="宋体"/>
          <w:color w:val="000000" w:themeColor="text1"/>
          <w:spacing w:val="6"/>
          <w:sz w:val="28"/>
          <w:szCs w:val="28"/>
          <w:highlight w:val="none"/>
          <w14:textFill>
            <w14:solidFill>
              <w14:schemeClr w14:val="tx1"/>
            </w14:solidFill>
          </w14:textFill>
        </w:rPr>
        <w:t xml:space="preserve">单位的</w:t>
      </w:r>
      <w:r>
        <w:rPr>
          <w:rFonts w:hint="eastAsia" w:ascii="宋体" w:hAnsi="宋体" w:cs="宋体"/>
          <w:color w:val="000000" w:themeColor="text1"/>
          <w:sz w:val="28"/>
          <w:szCs w:val="28"/>
          <w:highlight w:val="none"/>
          <w:u w:val="single"/>
          <w14:textFill>
            <w14:solidFill>
              <w14:schemeClr w14:val="tx1"/>
            </w14:solidFill>
          </w14:textFill>
        </w:rPr>
        <w:t xml:space="preserve">______</w:t>
      </w:r>
      <w:r>
        <w:rPr>
          <w:rFonts w:hint="eastAsia" w:ascii="宋体" w:hAnsi="宋体" w:cs="宋体"/>
          <w:color w:val="000000" w:themeColor="text1"/>
          <w:spacing w:val="6"/>
          <w:sz w:val="28"/>
          <w:szCs w:val="28"/>
          <w:highlight w:val="none"/>
          <w14:textFill>
            <w14:solidFill>
              <w14:schemeClr w14:val="tx1"/>
            </w14:solidFill>
          </w14:textFill>
        </w:rPr>
        <w:t xml:space="preserve">项目采购活动提供本单位制造的货物（由本单位承担工程/提供服务），或者提供其他残疾人福利性单位提供的服务（不包括使用非残疾人福利性单位注册商标的货物）。</w:t>
      </w:r>
      <w:r/>
    </w:p>
    <w:p>
      <w:pPr>
        <w:pStyle w:val="790"/>
        <w:ind w:firstLine="624"/>
        <w:spacing w:line="480" w:lineRule="exact"/>
        <w:rPr>
          <w:rFonts w:ascii="宋体" w:hAnsi="宋体" w:cs="宋体"/>
          <w:color w:val="000000" w:themeColor="text1"/>
          <w:spacing w:val="6"/>
          <w:sz w:val="28"/>
          <w:szCs w:val="28"/>
          <w:highlight w:val="none"/>
          <w14:textFill>
            <w14:solidFill>
              <w14:schemeClr w14:val="tx1"/>
            </w14:solidFill>
          </w14:textFill>
        </w:rPr>
      </w:pPr>
      <w:r>
        <w:rPr>
          <w:rFonts w:hint="eastAsia" w:ascii="宋体" w:hAnsi="宋体" w:cs="宋体"/>
          <w:color w:val="000000" w:themeColor="text1"/>
          <w:spacing w:val="6"/>
          <w:sz w:val="28"/>
          <w:szCs w:val="28"/>
          <w:highlight w:val="none"/>
          <w14:textFill>
            <w14:solidFill>
              <w14:schemeClr w14:val="tx1"/>
            </w14:solidFill>
          </w14:textFill>
        </w:rPr>
        <w:t xml:space="preserve">本单位对上述声明的真实性负责。如有虚假，将依法承担相应责任。</w:t>
      </w:r>
      <w:r/>
    </w:p>
    <w:p>
      <w:pPr>
        <w:pStyle w:val="790"/>
        <w:ind w:firstLine="624"/>
        <w:spacing w:line="480" w:lineRule="exact"/>
        <w:rPr>
          <w:rFonts w:ascii="宋体" w:hAnsi="宋体" w:cs="宋体"/>
          <w:color w:val="000000" w:themeColor="text1"/>
          <w:spacing w:val="6"/>
          <w:sz w:val="28"/>
          <w:szCs w:val="28"/>
          <w:highlight w:val="none"/>
          <w14:textFill>
            <w14:solidFill>
              <w14:schemeClr w14:val="tx1"/>
            </w14:solidFill>
          </w14:textFill>
        </w:rPr>
      </w:pPr>
      <w:r>
        <w:rPr>
          <w:rFonts w:ascii="宋体" w:hAnsi="宋体" w:cs="宋体"/>
          <w:color w:val="000000" w:themeColor="text1"/>
          <w:spacing w:val="6"/>
          <w:sz w:val="28"/>
          <w:szCs w:val="28"/>
          <w:highlight w:val="none"/>
          <w14:textFill>
            <w14:solidFill>
              <w14:schemeClr w14:val="tx1"/>
            </w14:solidFill>
          </w14:textFill>
        </w:rPr>
      </w:r>
      <w:r/>
    </w:p>
    <w:p>
      <w:pPr>
        <w:pStyle w:val="790"/>
        <w:ind w:firstLine="624"/>
        <w:spacing w:line="480" w:lineRule="exact"/>
        <w:rPr>
          <w:rFonts w:ascii="宋体" w:hAnsi="宋体" w:cs="宋体"/>
          <w:color w:val="000000" w:themeColor="text1"/>
          <w:spacing w:val="6"/>
          <w:sz w:val="28"/>
          <w:szCs w:val="28"/>
          <w:highlight w:val="none"/>
          <w14:textFill>
            <w14:solidFill>
              <w14:schemeClr w14:val="tx1"/>
            </w14:solidFill>
          </w14:textFill>
        </w:rPr>
      </w:pPr>
      <w:r>
        <w:rPr>
          <w:rFonts w:ascii="宋体" w:hAnsi="宋体" w:cs="宋体"/>
          <w:color w:val="000000" w:themeColor="text1"/>
          <w:spacing w:val="6"/>
          <w:sz w:val="28"/>
          <w:szCs w:val="28"/>
          <w:highlight w:val="none"/>
          <w14:textFill>
            <w14:solidFill>
              <w14:schemeClr w14:val="tx1"/>
            </w14:solidFill>
          </w14:textFill>
        </w:rPr>
      </w:r>
      <w:r/>
    </w:p>
    <w:p>
      <w:pPr>
        <w:pStyle w:val="790"/>
        <w:ind w:firstLine="255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（电子签章）</w:t>
      </w:r>
      <w:r/>
    </w:p>
    <w:p>
      <w:pPr>
        <w:pStyle w:val="790"/>
        <w:ind w:firstLine="60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p>
    <w:p>
      <w:pPr>
        <w:pStyle w:val="790"/>
        <w:ind w:firstLine="4500"/>
        <w:spacing w:line="48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ind w:firstLine="450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日期：   年  月  日</w:t>
      </w:r>
      <w:r/>
    </w:p>
    <w:p>
      <w:pPr>
        <w:pStyle w:val="790"/>
        <w:ind w:firstLine="4500"/>
        <w:spacing w:line="48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ind w:firstLine="600"/>
        <w:spacing w:line="48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numPr>
          <w:ilvl w:val="0"/>
          <w:numId w:val="4"/>
        </w:numPr>
        <w:jc w:val="center"/>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r>
        <w:rPr>
          <w:rFonts w:hint="eastAsia" w:ascii="宋体" w:hAnsi="宋体" w:cs="宋体"/>
          <w:color w:val="000000" w:themeColor="text1"/>
          <w:sz w:val="28"/>
          <w:szCs w:val="28"/>
          <w:highlight w:val="none"/>
          <w14:textFill>
            <w14:solidFill>
              <w14:schemeClr w14:val="tx1"/>
            </w14:solidFill>
          </w14:textFill>
        </w:rPr>
        <w:t xml:space="preserve">投标人参加政府采购活动前3年内在经营活动中没有重大违法记录的</w:t>
      </w:r>
      <w:r/>
    </w:p>
    <w:p>
      <w:pPr>
        <w:pStyle w:val="790"/>
        <w:ind w:firstLine="364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书面声明格式</w:t>
      </w:r>
      <w:r/>
    </w:p>
    <w:p>
      <w:pPr>
        <w:pStyle w:val="790"/>
        <w:ind w:firstLine="600"/>
        <w:spacing w:line="48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ind w:firstLine="60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我单位在参加</w:t>
      </w:r>
      <w:r>
        <w:rPr>
          <w:rFonts w:hint="eastAsia" w:ascii="宋体" w:hAnsi="宋体" w:cs="宋体"/>
          <w:color w:val="000000" w:themeColor="text1"/>
          <w:sz w:val="28"/>
          <w:szCs w:val="28"/>
          <w:highlight w:val="none"/>
          <w:lang w:eastAsia="zh-CN"/>
          <w14:textFill>
            <w14:solidFill>
              <w14:schemeClr w14:val="tx1"/>
            </w14:solidFill>
          </w14:textFill>
        </w:rPr>
        <w:t xml:space="preserve">徐州市南四湖小沿河饮用水源地水生态保护及水面保洁</w:t>
      </w:r>
      <w:r>
        <w:rPr>
          <w:rFonts w:hint="eastAsia" w:ascii="宋体" w:hAnsi="宋体" w:cs="宋体"/>
          <w:color w:val="000000" w:themeColor="text1"/>
          <w:sz w:val="28"/>
          <w:szCs w:val="28"/>
          <w:highlight w:val="none"/>
          <w14:textFill>
            <w14:solidFill>
              <w14:schemeClr w14:val="tx1"/>
            </w14:solidFill>
          </w14:textFill>
        </w:rPr>
        <w:t xml:space="preserve">（项目编号：</w:t>
      </w:r>
      <w:r>
        <w:rPr>
          <w:rFonts w:hint="eastAsia" w:ascii="宋体" w:hAnsi="宋体" w:cs="宋体"/>
          <w:color w:val="000000" w:themeColor="text1"/>
          <w:sz w:val="28"/>
          <w:szCs w:val="28"/>
          <w:highlight w:val="none"/>
          <w:lang w:eastAsia="zh-CN"/>
          <w14:textFill>
            <w14:solidFill>
              <w14:schemeClr w14:val="tx1"/>
            </w14:solidFill>
          </w14:textFill>
        </w:rPr>
        <w:t xml:space="preserve">JSZC-320300-JTGL-G2024-0006</w:t>
      </w:r>
      <w:r>
        <w:rPr>
          <w:rFonts w:hint="eastAsia" w:ascii="宋体" w:hAnsi="宋体" w:cs="宋体"/>
          <w:color w:val="000000" w:themeColor="text1"/>
          <w:sz w:val="28"/>
          <w:szCs w:val="28"/>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09"/>
        <w:ind w:firstLine="600"/>
        <w:spacing w:before="0" w:beforeAutospacing="0" w:after="0" w:afterAutospacing="0" w:line="480" w:lineRule="exact"/>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我单位对上述声明的真实性负责。如有虚假，将依法承担相应责任。</w:t>
      </w:r>
      <w:r/>
    </w:p>
    <w:p>
      <w:pPr>
        <w:pStyle w:val="790"/>
        <w:spacing w:line="48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spacing w:line="48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ind w:firstLine="285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（电子签章）</w:t>
      </w:r>
      <w:r/>
    </w:p>
    <w:p>
      <w:pPr>
        <w:pStyle w:val="790"/>
        <w:ind w:firstLine="600"/>
        <w:spacing w:line="48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p>
    <w:p>
      <w:pPr>
        <w:pStyle w:val="790"/>
        <w:ind w:firstLine="4500"/>
        <w:spacing w:line="48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0"/>
        <w:ind w:firstLine="4950"/>
        <w:spacing w:line="480" w:lineRule="exact"/>
        <w:rPr>
          <w:rFonts w:hint="eastAsia" w:ascii="宋体" w:hAnsi="宋体" w:cs="宋体"/>
          <w:color w:val="000000" w:themeColor="text1"/>
          <w:sz w:val="28"/>
          <w:szCs w:val="28"/>
          <w:highlight w:val="none"/>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color w:val="000000" w:themeColor="text1"/>
          <w:sz w:val="28"/>
          <w:szCs w:val="28"/>
          <w:highlight w:val="none"/>
          <w14:textFill>
            <w14:solidFill>
              <w14:schemeClr w14:val="tx1"/>
            </w14:solidFill>
          </w14:textFill>
        </w:rPr>
        <w:t xml:space="preserve">日期：   年  月  日</w:t>
      </w:r>
      <w:r/>
    </w:p>
    <w:p>
      <w:pPr>
        <w:pStyle w:val="800"/>
        <w:jc w:val="cente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九</w:t>
      </w:r>
      <w:r>
        <w:rPr>
          <w:rFonts w:hint="eastAsia" w:ascii="宋体" w:hAnsi="宋体" w:cs="宋体"/>
          <w:color w:val="000000" w:themeColor="text1"/>
          <w:sz w:val="28"/>
          <w:szCs w:val="28"/>
          <w:highlight w:val="none"/>
          <w14:textFill>
            <w14:solidFill>
              <w14:schemeClr w14:val="tx1"/>
            </w14:solidFill>
          </w14:textFill>
        </w:rPr>
        <w:t xml:space="preserve">、具备履行合同所必需的设备和专业技术能力的书面声明（附证明材料）</w:t>
      </w:r>
      <w:r/>
    </w:p>
    <w:p>
      <w:pPr>
        <w:pStyle w:val="800"/>
        <w:jc w:val="cente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格 式</w:t>
      </w:r>
      <w:r/>
    </w:p>
    <w:p>
      <w:pPr>
        <w:pStyle w:val="800"/>
        <w:ind w:firstLine="480"/>
        <w:spacing w:line="480" w:lineRule="exact"/>
        <w:rPr>
          <w:rFonts w:ascii="宋体" w:hAnsi="宋体" w:cs="宋体"/>
          <w:sz w:val="24"/>
          <w:highlight w:val="none"/>
        </w:rPr>
      </w:pPr>
      <w:r>
        <w:rPr>
          <w:rFonts w:ascii="宋体" w:hAnsi="宋体" w:cs="宋体"/>
          <w:sz w:val="24"/>
          <w:highlight w:val="none"/>
        </w:rPr>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项目编号：</w:t>
      </w:r>
      <w:r/>
    </w:p>
    <w:p>
      <w:pPr>
        <w:pStyle w:val="800"/>
        <w:ind w:firstLine="485"/>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响应供应商郑重声明：供应商具备履行合同（项目名称：     ，项目编号：          ）所必需的设备和专业技术能力，具体为：</w:t>
      </w:r>
      <w:r/>
    </w:p>
    <w:p>
      <w:pPr>
        <w:ind w:firstLine="47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设备：</w:t>
      </w:r>
      <w:r/>
    </w:p>
    <w:p>
      <w:pPr>
        <w:ind w:firstLine="47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                （证明材料附后）</w:t>
      </w:r>
      <w:r/>
    </w:p>
    <w:p>
      <w:pPr>
        <w:ind w:firstLine="47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                （证明材料附后）</w:t>
      </w:r>
      <w:r/>
    </w:p>
    <w:p>
      <w:pPr>
        <w:ind w:firstLine="47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p>
    <w:p>
      <w:pPr>
        <w:ind w:firstLine="47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专业技术能力：</w:t>
      </w:r>
      <w:r/>
    </w:p>
    <w:p>
      <w:pPr>
        <w:ind w:firstLine="47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               （证明材料附后）</w:t>
      </w:r>
      <w:r/>
    </w:p>
    <w:p>
      <w:pPr>
        <w:ind w:firstLine="47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               （证明材料附后）</w:t>
      </w:r>
      <w:r/>
    </w:p>
    <w:p>
      <w:pPr>
        <w:ind w:firstLine="47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w:t>
      </w:r>
      <w:r/>
    </w:p>
    <w:p>
      <w:pPr>
        <w:pStyle w:val="800"/>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特此声明。</w:t>
      </w:r>
      <w:r/>
    </w:p>
    <w:p>
      <w:pPr>
        <w:pStyle w:val="800"/>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响应供应商对上述声明的真实性负责。如有虚假，将依法承担相应责任。</w:t>
      </w:r>
      <w:r/>
    </w:p>
    <w:p>
      <w:pPr>
        <w:pStyle w:val="800"/>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left="1680" w:firstLine="42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供应商：（电子签章）</w:t>
      </w:r>
      <w:r/>
    </w:p>
    <w:p>
      <w:pPr>
        <w:ind w:left="1680" w:firstLine="42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供应商法定代表人或授权代表：（签字或电子签章）  </w:t>
      </w:r>
      <w:r/>
    </w:p>
    <w:p>
      <w:pPr>
        <w:ind w:left="1680" w:firstLine="42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日期：   年  月  日</w:t>
      </w:r>
      <w:r/>
    </w:p>
    <w:p>
      <w:pPr>
        <w:pStyle w:val="798"/>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795"/>
        <w:rPr>
          <w:rFonts w:hint="eastAsia"/>
          <w:highlight w:val="none"/>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highlight w:val="none"/>
        </w:rPr>
      </w:r>
      <w:r/>
    </w:p>
    <w:p>
      <w:pPr>
        <w:pStyle w:val="800"/>
        <w:jc w:val="center"/>
        <w:spacing w:line="360" w:lineRule="auto"/>
        <w:rPr>
          <w:rFonts w:hint="eastAsia" w:ascii="宋体" w:hAnsi="宋体" w:cs="宋体"/>
          <w:color w:val="auto"/>
          <w:sz w:val="28"/>
          <w:szCs w:val="28"/>
          <w:highlight w:val="none"/>
          <w:lang w:val="en-US" w:eastAsia="zh-CN" w:bidi="ar-SA"/>
        </w:rPr>
      </w:pPr>
      <w:r>
        <w:rPr>
          <w:rFonts w:hint="eastAsia" w:ascii="宋体" w:hAnsi="宋体" w:cs="宋体"/>
          <w:color w:val="auto"/>
          <w:sz w:val="28"/>
          <w:szCs w:val="28"/>
          <w:highlight w:val="none"/>
          <w:lang w:val="en-US" w:eastAsia="zh-CN" w:bidi="ar-SA"/>
        </w:rPr>
        <w:t xml:space="preserve">十、项目负责人简历表</w:t>
      </w:r>
      <w:r/>
    </w:p>
    <w:p>
      <w:pPr>
        <w:rPr>
          <w:rFonts w:ascii="仿宋_GB2312" w:eastAsia="仿宋_GB2312"/>
          <w:sz w:val="24"/>
          <w:highlight w:val="none"/>
        </w:rPr>
      </w:pPr>
      <w:r>
        <w:rPr>
          <w:rFonts w:ascii="仿宋_GB2312" w:eastAsia="仿宋_GB2312"/>
          <w:sz w:val="24"/>
          <w:highlight w:val="none"/>
        </w:rPr>
      </w:r>
      <w:r/>
    </w:p>
    <w:p>
      <w:pPr>
        <w:ind w:firstLine="504"/>
        <w:spacing w:line="588" w:lineRule="exact"/>
        <w:rPr>
          <w:rFonts w:ascii="宋体" w:hAnsi="宋体"/>
          <w:spacing w:val="6"/>
          <w:sz w:val="28"/>
          <w:szCs w:val="28"/>
          <w:highlight w:val="none"/>
        </w:rPr>
      </w:pPr>
      <w:r>
        <w:rPr>
          <w:rFonts w:hint="eastAsia" w:ascii="宋体" w:hAnsi="宋体"/>
          <w:spacing w:val="6"/>
          <w:sz w:val="28"/>
          <w:szCs w:val="28"/>
          <w:highlight w:val="none"/>
        </w:rPr>
        <w:t xml:space="preserve">项目名称：徐州市南四湖小沿河饮用水源地水生态保护及水面保洁</w:t>
      </w:r>
      <w:r/>
    </w:p>
    <w:p>
      <w:pPr>
        <w:ind w:firstLine="504"/>
        <w:spacing w:line="588" w:lineRule="exact"/>
        <w:rPr>
          <w:rFonts w:ascii="宋体" w:hAnsi="宋体"/>
          <w:spacing w:val="6"/>
          <w:sz w:val="28"/>
          <w:szCs w:val="28"/>
          <w:highlight w:val="none"/>
        </w:rPr>
      </w:pPr>
      <w:r>
        <w:rPr>
          <w:rFonts w:hint="eastAsia" w:ascii="宋体" w:hAnsi="宋体"/>
          <w:spacing w:val="6"/>
          <w:sz w:val="28"/>
          <w:szCs w:val="28"/>
          <w:highlight w:val="none"/>
        </w:rPr>
        <w:t xml:space="preserve">项目编号：JSZC-320300-JTGL-G2024-0006 </w:t>
      </w:r>
      <w:r/>
    </w:p>
    <w:p>
      <w:pPr>
        <w:ind w:firstLine="504"/>
        <w:spacing w:line="588" w:lineRule="exact"/>
        <w:rPr>
          <w:rFonts w:ascii="宋体" w:hAnsi="宋体"/>
          <w:spacing w:val="6"/>
          <w:sz w:val="28"/>
          <w:szCs w:val="28"/>
          <w:highlight w:val="none"/>
        </w:rPr>
      </w:pPr>
      <w:r>
        <w:rPr>
          <w:rFonts w:hint="eastAsia" w:ascii="宋体" w:hAnsi="宋体"/>
          <w:spacing w:val="6"/>
          <w:sz w:val="28"/>
          <w:szCs w:val="28"/>
          <w:highlight w:val="none"/>
        </w:rPr>
        <w:t xml:space="preserve">投标人（章）：</w:t>
      </w:r>
      <w:r/>
    </w:p>
    <w:p>
      <w:pPr>
        <w:pStyle w:val="727"/>
        <w:rPr>
          <w:sz w:val="28"/>
          <w:szCs w:val="28"/>
          <w:highlight w:val="none"/>
        </w:rPr>
      </w:pPr>
      <w:r>
        <w:rPr>
          <w:sz w:val="28"/>
          <w:szCs w:val="28"/>
          <w:highlight w:val="none"/>
        </w:rPr>
      </w:r>
      <w:r/>
    </w:p>
    <w:tbl>
      <w:tblPr>
        <w:tblStyle w:val="718"/>
        <w:tblW w:w="92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318"/>
        <w:gridCol w:w="1587"/>
        <w:gridCol w:w="1075"/>
        <w:gridCol w:w="1345"/>
        <w:gridCol w:w="2539"/>
      </w:tblGrid>
      <w:tr>
        <w:trPr/>
        <w:tc>
          <w:tcPr>
            <w:tcW w:w="1343" w:type="dxa"/>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姓名</w:t>
            </w:r>
            <w:r/>
          </w:p>
        </w:tc>
        <w:tc>
          <w:tcPr>
            <w:tcW w:w="1318"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587" w:type="dxa"/>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性别</w:t>
            </w:r>
            <w:r/>
          </w:p>
        </w:tc>
        <w:tc>
          <w:tcPr>
            <w:tcW w:w="1075"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345" w:type="dxa"/>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年龄</w:t>
            </w:r>
            <w:r/>
          </w:p>
        </w:tc>
        <w:tc>
          <w:tcPr>
            <w:tcW w:w="2539"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r>
      <w:tr>
        <w:trPr/>
        <w:tc>
          <w:tcPr>
            <w:tcW w:w="1343" w:type="dxa"/>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学历</w:t>
            </w:r>
            <w:r/>
          </w:p>
        </w:tc>
        <w:tc>
          <w:tcPr>
            <w:tcW w:w="1318"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587" w:type="dxa"/>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职称</w:t>
            </w:r>
            <w:r/>
          </w:p>
        </w:tc>
        <w:tc>
          <w:tcPr>
            <w:tcW w:w="1075"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345" w:type="dxa"/>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职务</w:t>
            </w:r>
            <w:r/>
          </w:p>
        </w:tc>
        <w:tc>
          <w:tcPr>
            <w:tcW w:w="2539"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r>
      <w:tr>
        <w:trPr/>
        <w:tc>
          <w:tcPr>
            <w:tcW w:w="1343" w:type="dxa"/>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专业</w:t>
            </w:r>
            <w:r/>
          </w:p>
        </w:tc>
        <w:tc>
          <w:tcPr>
            <w:tcW w:w="1318"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587" w:type="dxa"/>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联系电话</w:t>
            </w:r>
            <w:r/>
          </w:p>
        </w:tc>
        <w:tc>
          <w:tcPr>
            <w:tcW w:w="1075"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345"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2539"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r>
      <w:tr>
        <w:trPr/>
        <w:tc>
          <w:tcPr>
            <w:gridSpan w:val="6"/>
            <w:tcW w:w="9207" w:type="dxa"/>
            <w:textDirection w:val="lrTb"/>
            <w:noWrap w:val="false"/>
          </w:tcPr>
          <w:p>
            <w:pPr>
              <w:rPr>
                <w:rFonts w:ascii="宋体" w:hAnsi="宋体"/>
                <w:sz w:val="28"/>
                <w:szCs w:val="28"/>
                <w:highlight w:val="none"/>
              </w:rPr>
            </w:pPr>
            <w:r>
              <w:rPr>
                <w:rFonts w:hint="eastAsia" w:ascii="宋体" w:hAnsi="宋体"/>
                <w:sz w:val="28"/>
                <w:szCs w:val="28"/>
                <w:highlight w:val="none"/>
              </w:rPr>
              <w:t xml:space="preserve">主要业绩：</w:t>
            </w:r>
            <w:r/>
          </w:p>
          <w:p>
            <w:pPr>
              <w:ind w:firstLine="480"/>
              <w:rPr>
                <w:rFonts w:ascii="宋体" w:hAnsi="宋体"/>
                <w:sz w:val="28"/>
                <w:szCs w:val="28"/>
                <w:highlight w:val="none"/>
              </w:rPr>
            </w:pPr>
            <w:r>
              <w:rPr>
                <w:rFonts w:ascii="宋体" w:hAnsi="宋体"/>
                <w:sz w:val="28"/>
                <w:szCs w:val="28"/>
                <w:highlight w:val="none"/>
              </w:rPr>
            </w:r>
            <w:r/>
          </w:p>
          <w:p>
            <w:pPr>
              <w:ind w:firstLine="480"/>
              <w:rPr>
                <w:rFonts w:ascii="宋体" w:hAnsi="宋体"/>
                <w:sz w:val="28"/>
                <w:szCs w:val="28"/>
                <w:highlight w:val="none"/>
              </w:rPr>
            </w:pPr>
            <w:r>
              <w:rPr>
                <w:rFonts w:ascii="宋体" w:hAnsi="宋体"/>
                <w:sz w:val="28"/>
                <w:szCs w:val="28"/>
                <w:highlight w:val="none"/>
              </w:rPr>
            </w:r>
            <w:r/>
          </w:p>
          <w:p>
            <w:pPr>
              <w:ind w:firstLine="480"/>
              <w:rPr>
                <w:rFonts w:ascii="宋体" w:hAnsi="宋体"/>
                <w:sz w:val="28"/>
                <w:szCs w:val="28"/>
                <w:highlight w:val="none"/>
              </w:rPr>
            </w:pPr>
            <w:r>
              <w:rPr>
                <w:rFonts w:ascii="宋体" w:hAnsi="宋体"/>
                <w:sz w:val="28"/>
                <w:szCs w:val="28"/>
                <w:highlight w:val="none"/>
              </w:rPr>
            </w:r>
            <w:r/>
          </w:p>
          <w:p>
            <w:pPr>
              <w:ind w:firstLine="480"/>
              <w:rPr>
                <w:rFonts w:ascii="宋体" w:hAnsi="宋体"/>
                <w:sz w:val="28"/>
                <w:szCs w:val="28"/>
                <w:highlight w:val="none"/>
              </w:rPr>
            </w:pPr>
            <w:r>
              <w:rPr>
                <w:rFonts w:ascii="宋体" w:hAnsi="宋体"/>
                <w:sz w:val="28"/>
                <w:szCs w:val="28"/>
                <w:highlight w:val="none"/>
              </w:rPr>
            </w:r>
            <w:r/>
          </w:p>
          <w:p>
            <w:pPr>
              <w:ind w:firstLine="480"/>
              <w:rPr>
                <w:rFonts w:ascii="宋体" w:hAnsi="宋体"/>
                <w:sz w:val="28"/>
                <w:szCs w:val="28"/>
                <w:highlight w:val="none"/>
              </w:rPr>
            </w:pPr>
            <w:r>
              <w:rPr>
                <w:rFonts w:ascii="宋体" w:hAnsi="宋体"/>
                <w:sz w:val="28"/>
                <w:szCs w:val="28"/>
                <w:highlight w:val="none"/>
              </w:rPr>
            </w:r>
            <w:r/>
          </w:p>
          <w:p>
            <w:pPr>
              <w:ind w:firstLine="480"/>
              <w:rPr>
                <w:rFonts w:ascii="宋体" w:hAnsi="宋体"/>
                <w:sz w:val="28"/>
                <w:szCs w:val="28"/>
                <w:highlight w:val="none"/>
              </w:rPr>
            </w:pPr>
            <w:r>
              <w:rPr>
                <w:rFonts w:ascii="宋体" w:hAnsi="宋体"/>
                <w:sz w:val="28"/>
                <w:szCs w:val="28"/>
                <w:highlight w:val="none"/>
              </w:rPr>
            </w:r>
            <w:r/>
          </w:p>
          <w:p>
            <w:pPr>
              <w:ind w:firstLine="480"/>
              <w:rPr>
                <w:rFonts w:ascii="宋体" w:hAnsi="宋体"/>
                <w:sz w:val="28"/>
                <w:szCs w:val="28"/>
                <w:highlight w:val="none"/>
              </w:rPr>
            </w:pPr>
            <w:r>
              <w:rPr>
                <w:rFonts w:ascii="宋体" w:hAnsi="宋体"/>
                <w:sz w:val="28"/>
                <w:szCs w:val="28"/>
                <w:highlight w:val="none"/>
              </w:rPr>
            </w:r>
            <w:r/>
          </w:p>
          <w:p>
            <w:pPr>
              <w:ind w:firstLine="480"/>
              <w:rPr>
                <w:rFonts w:ascii="宋体" w:hAnsi="宋体"/>
                <w:sz w:val="28"/>
                <w:szCs w:val="28"/>
                <w:highlight w:val="none"/>
              </w:rPr>
            </w:pPr>
            <w:r>
              <w:rPr>
                <w:rFonts w:ascii="宋体" w:hAnsi="宋体"/>
                <w:sz w:val="28"/>
                <w:szCs w:val="28"/>
                <w:highlight w:val="none"/>
              </w:rPr>
            </w:r>
            <w:r/>
          </w:p>
          <w:p>
            <w:pPr>
              <w:ind w:firstLine="480"/>
              <w:rPr>
                <w:rFonts w:ascii="宋体" w:hAnsi="宋体"/>
                <w:sz w:val="28"/>
                <w:szCs w:val="28"/>
                <w:highlight w:val="none"/>
              </w:rPr>
            </w:pPr>
            <w:r>
              <w:rPr>
                <w:rFonts w:ascii="宋体" w:hAnsi="宋体"/>
                <w:sz w:val="28"/>
                <w:szCs w:val="28"/>
                <w:highlight w:val="none"/>
              </w:rPr>
            </w:r>
            <w:r/>
          </w:p>
          <w:p>
            <w:pPr>
              <w:ind w:firstLine="480"/>
              <w:rPr>
                <w:rFonts w:ascii="宋体" w:hAnsi="宋体"/>
                <w:sz w:val="28"/>
                <w:szCs w:val="28"/>
                <w:highlight w:val="none"/>
              </w:rPr>
            </w:pPr>
            <w:r>
              <w:rPr>
                <w:rFonts w:ascii="宋体" w:hAnsi="宋体"/>
                <w:sz w:val="28"/>
                <w:szCs w:val="28"/>
                <w:highlight w:val="none"/>
              </w:rPr>
            </w:r>
            <w:r/>
          </w:p>
          <w:p>
            <w:pPr>
              <w:ind w:firstLine="480"/>
              <w:rPr>
                <w:rFonts w:ascii="宋体" w:hAnsi="宋体"/>
                <w:sz w:val="28"/>
                <w:szCs w:val="28"/>
                <w:highlight w:val="none"/>
              </w:rPr>
            </w:pPr>
            <w:r>
              <w:rPr>
                <w:rFonts w:ascii="宋体" w:hAnsi="宋体"/>
                <w:sz w:val="28"/>
                <w:szCs w:val="28"/>
                <w:highlight w:val="none"/>
              </w:rPr>
            </w:r>
            <w:r/>
          </w:p>
          <w:p>
            <w:pPr>
              <w:ind w:firstLine="480"/>
              <w:rPr>
                <w:rFonts w:ascii="宋体" w:hAnsi="宋体"/>
                <w:sz w:val="28"/>
                <w:szCs w:val="28"/>
                <w:highlight w:val="none"/>
              </w:rPr>
            </w:pPr>
            <w:r>
              <w:rPr>
                <w:rFonts w:ascii="宋体" w:hAnsi="宋体"/>
                <w:sz w:val="28"/>
                <w:szCs w:val="28"/>
                <w:highlight w:val="none"/>
              </w:rPr>
            </w:r>
            <w:r/>
          </w:p>
          <w:p>
            <w:pPr>
              <w:ind w:firstLine="480"/>
              <w:rPr>
                <w:rFonts w:ascii="宋体" w:hAnsi="宋体"/>
                <w:sz w:val="28"/>
                <w:szCs w:val="28"/>
                <w:highlight w:val="none"/>
              </w:rPr>
            </w:pPr>
            <w:r>
              <w:rPr>
                <w:rFonts w:ascii="宋体" w:hAnsi="宋体"/>
                <w:sz w:val="28"/>
                <w:szCs w:val="28"/>
                <w:highlight w:val="none"/>
              </w:rPr>
            </w:r>
            <w:r/>
          </w:p>
          <w:p>
            <w:pPr>
              <w:ind w:firstLine="480"/>
              <w:rPr>
                <w:rFonts w:ascii="宋体" w:hAnsi="宋体"/>
                <w:sz w:val="28"/>
                <w:szCs w:val="28"/>
                <w:highlight w:val="none"/>
              </w:rPr>
            </w:pPr>
            <w:r>
              <w:rPr>
                <w:rFonts w:ascii="宋体" w:hAnsi="宋体"/>
                <w:sz w:val="28"/>
                <w:szCs w:val="28"/>
                <w:highlight w:val="none"/>
              </w:rPr>
            </w:r>
            <w:r/>
          </w:p>
        </w:tc>
      </w:tr>
    </w:tbl>
    <w:p>
      <w:pPr>
        <w:ind w:right="470" w:firstLine="482"/>
        <w:rPr>
          <w:rFonts w:ascii="宋体" w:hAnsi="宋体"/>
          <w:sz w:val="28"/>
          <w:szCs w:val="28"/>
          <w:highlight w:val="none"/>
        </w:rPr>
      </w:pPr>
      <w:r>
        <w:rPr>
          <w:rFonts w:hint="eastAsia" w:ascii="宋体" w:hAnsi="宋体"/>
          <w:b/>
          <w:sz w:val="28"/>
          <w:szCs w:val="28"/>
          <w:highlight w:val="none"/>
        </w:rPr>
        <w:t xml:space="preserve">注：项目负责人具有招标文件要求的资格证书，投标文件中提供证书扫描件。</w:t>
      </w:r>
      <w:r/>
    </w:p>
    <w:p>
      <w:pPr>
        <w:rPr>
          <w:rFonts w:ascii="仿宋_GB2312" w:eastAsia="仿宋_GB2312"/>
          <w:sz w:val="28"/>
          <w:szCs w:val="28"/>
          <w:highlight w:val="none"/>
        </w:rPr>
      </w:pPr>
      <w:r>
        <w:rPr>
          <w:rFonts w:ascii="仿宋_GB2312" w:eastAsia="仿宋_GB2312"/>
          <w:sz w:val="28"/>
          <w:szCs w:val="28"/>
          <w:highlight w:val="none"/>
        </w:rPr>
      </w:r>
      <w:r/>
    </w:p>
    <w:p>
      <w:pPr>
        <w:rPr>
          <w:rFonts w:ascii="仿宋_GB2312" w:hAnsi="仿宋" w:eastAsia="仿宋_GB2312"/>
          <w:sz w:val="28"/>
          <w:szCs w:val="28"/>
          <w:highlight w:val="none"/>
        </w:rPr>
      </w:pPr>
      <w:r>
        <w:rPr>
          <w:rFonts w:ascii="仿宋_GB2312" w:hAnsi="仿宋" w:eastAsia="仿宋_GB2312"/>
          <w:sz w:val="28"/>
          <w:szCs w:val="28"/>
          <w:highlight w:val="none"/>
        </w:rPr>
      </w:r>
      <w:r/>
    </w:p>
    <w:p>
      <w:pPr>
        <w:rPr>
          <w:rFonts w:ascii="仿宋_GB2312" w:eastAsia="仿宋_GB2312"/>
          <w:sz w:val="28"/>
          <w:szCs w:val="28"/>
          <w:highlight w:val="none"/>
        </w:rPr>
      </w:pPr>
      <w:r>
        <w:rPr>
          <w:rFonts w:ascii="仿宋_GB2312" w:eastAsia="仿宋_GB2312"/>
          <w:sz w:val="28"/>
          <w:szCs w:val="28"/>
          <w:highlight w:val="none"/>
        </w:rPr>
      </w:r>
      <w:r/>
    </w:p>
    <w:p>
      <w:pPr>
        <w:pStyle w:val="790"/>
        <w:ind w:firstLine="2850"/>
        <w:jc w:val="center"/>
        <w:spacing w:line="30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投标人：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sz w:val="28"/>
          <w:szCs w:val="28"/>
          <w:highlight w:val="none"/>
        </w:rPr>
        <w:t xml:space="preserve">（</w:t>
      </w:r>
      <w:r>
        <w:rPr>
          <w:rFonts w:hint="eastAsia" w:ascii="宋体" w:hAnsi="宋体" w:cs="宋体"/>
          <w:color w:val="000000"/>
          <w:sz w:val="28"/>
          <w:szCs w:val="28"/>
          <w:highlight w:val="none"/>
        </w:rPr>
        <w:t xml:space="preserve">电子签章</w:t>
      </w:r>
      <w:r>
        <w:rPr>
          <w:rFonts w:hint="eastAsia" w:ascii="宋体" w:hAnsi="宋体" w:cs="宋体"/>
          <w:sz w:val="28"/>
          <w:szCs w:val="28"/>
          <w:highlight w:val="none"/>
        </w:rPr>
        <w:t xml:space="preserve">）</w:t>
      </w:r>
      <w:r/>
    </w:p>
    <w:p>
      <w:pPr>
        <w:pStyle w:val="790"/>
        <w:ind w:firstLine="285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90"/>
        <w:ind w:firstLine="288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  日期：   年  月  日</w:t>
      </w:r>
      <w:r/>
    </w:p>
    <w:p>
      <w:pPr>
        <w:rPr>
          <w:rFonts w:ascii="宋体" w:hAnsi="宋体" w:cs="宋体"/>
          <w:sz w:val="24"/>
          <w:highlight w:val="none"/>
        </w:rPr>
      </w:pPr>
      <w:r>
        <w:rPr>
          <w:rFonts w:ascii="宋体" w:hAnsi="宋体" w:cs="宋体"/>
          <w:sz w:val="24"/>
          <w:highlight w:val="none"/>
        </w:rPr>
      </w:r>
      <w:r/>
    </w:p>
    <w:p>
      <w:pPr>
        <w:ind w:firstLine="5421"/>
        <w:spacing w:line="360" w:lineRule="auto"/>
        <w:rPr>
          <w:rFonts w:ascii="宋体" w:hAnsi="宋体" w:cs="宋体"/>
          <w:sz w:val="24"/>
          <w:highlight w:val="none"/>
        </w:rPr>
      </w:pPr>
      <w:r>
        <w:rPr>
          <w:rFonts w:hint="eastAsia" w:ascii="宋体" w:hAnsi="宋体"/>
          <w:b/>
          <w:sz w:val="36"/>
          <w:szCs w:val="36"/>
          <w:highlight w:val="none"/>
        </w:rPr>
        <w:br w:type="page" w:clear="all"/>
      </w:r>
      <w:r/>
    </w:p>
    <w:p>
      <w:pPr>
        <w:pStyle w:val="800"/>
        <w:jc w:val="center"/>
        <w:spacing w:line="360" w:lineRule="auto"/>
        <w:rPr>
          <w:rFonts w:hint="eastAsia" w:ascii="宋体" w:hAnsi="宋体" w:cs="宋体"/>
          <w:color w:val="000000" w:themeColor="text1"/>
          <w:sz w:val="28"/>
          <w:szCs w:val="28"/>
          <w:highlight w:val="none"/>
          <w:lang w:val="en-US" w:eastAsia="zh-CN" w:bidi="ar-SA"/>
          <w14:textFill>
            <w14:solidFill>
              <w14:schemeClr w14:val="tx1"/>
            </w14:solidFill>
          </w14:textFill>
        </w:rPr>
      </w:pP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十一、投标人对“人员配备”的承诺</w:t>
      </w:r>
      <w:r/>
    </w:p>
    <w:p>
      <w:pPr>
        <w:jc w:val="both"/>
        <w:keepLines w:val="0"/>
        <w:keepNext w:val="0"/>
        <w:pageBreakBefore w:val="0"/>
        <w:spacing w:line="48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项目名称：</w:t>
      </w:r>
      <w:r/>
    </w:p>
    <w:p>
      <w:pPr>
        <w:jc w:val="both"/>
        <w:keepLines w:val="0"/>
        <w:keepNext w:val="0"/>
        <w:pageBreakBefore w:val="0"/>
        <w:spacing w:line="48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项目编号：</w:t>
      </w:r>
      <w:r/>
    </w:p>
    <w:p>
      <w:pPr>
        <w:ind w:firstLine="470"/>
        <w:keepLines w:val="0"/>
        <w:keepNext w:val="0"/>
        <w:pageBreakBefore w:val="0"/>
        <w:spacing w:line="480" w:lineRule="exact"/>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投标人承诺：如我单位被确定为中标人，</w:t>
      </w:r>
      <w:r>
        <w:rPr>
          <w:rFonts w:hint="eastAsia" w:ascii="宋体" w:hAnsi="宋体" w:eastAsia="宋体" w:cs="宋体"/>
          <w:color w:val="000000" w:themeColor="text1"/>
          <w:sz w:val="28"/>
          <w:szCs w:val="28"/>
          <w:highlight w:val="none"/>
          <w14:textFill>
            <w14:solidFill>
              <w14:schemeClr w14:val="tx1"/>
            </w14:solidFill>
          </w14:textFill>
        </w:rPr>
        <w:t xml:space="preserve">对中标项目所配备的工作人员不低于招标文件的要求</w:t>
      </w:r>
      <w:r>
        <w:rPr>
          <w:rFonts w:hint="eastAsia" w:ascii="宋体" w:hAnsi="宋体" w:eastAsia="宋体" w:cs="宋体"/>
          <w:bCs/>
          <w:color w:val="000000" w:themeColor="text1"/>
          <w:sz w:val="28"/>
          <w:szCs w:val="28"/>
          <w:highlight w:val="none"/>
          <w14:textFill>
            <w14:solidFill>
              <w14:schemeClr w14:val="tx1"/>
            </w14:solidFill>
          </w14:textFill>
        </w:rPr>
        <w:t xml:space="preserve">。具体如下：</w:t>
      </w:r>
      <w:r/>
    </w:p>
    <w:p>
      <w:pPr>
        <w:ind w:left="0" w:right="0" w:firstLine="480"/>
        <w:keepLines w:val="0"/>
        <w:keepNext w:val="0"/>
        <w:pageBreakBefore w:val="0"/>
        <w:spacing w:before="0" w:after="0" w:line="480" w:lineRule="exac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小沿河水源地保护区涵养林、水面、坡面、水生植物及景观绿地养护综合服务项目工作人员配备不低于《小沿河水源地保护区管护内容、人员设备配备一览表》管理人员配备数量</w:t>
      </w:r>
      <w:r>
        <w:rPr>
          <w:rFonts w:hint="eastAsia" w:ascii="宋体" w:hAnsi="宋体" w:eastAsia="宋体" w:cs="宋体"/>
          <w:color w:val="auto"/>
          <w:sz w:val="28"/>
          <w:szCs w:val="28"/>
          <w:highlight w:val="none"/>
        </w:rPr>
        <w:t xml:space="preserve">（最低标准），即：</w:t>
      </w:r>
      <w:r>
        <w:rPr>
          <w:rFonts w:hint="eastAsia" w:ascii="宋体" w:hAnsi="宋体" w:eastAsia="宋体" w:cs="宋体"/>
          <w:color w:val="auto"/>
          <w:sz w:val="28"/>
          <w:szCs w:val="28"/>
          <w:highlight w:val="none"/>
          <w:lang w:eastAsia="zh-CN"/>
        </w:rPr>
        <w:t xml:space="preserve">采购包</w:t>
      </w:r>
      <w:r>
        <w:rPr>
          <w:rFonts w:hint="eastAsia" w:ascii="宋体" w:hAnsi="宋体" w:eastAsia="宋体" w:cs="宋体"/>
          <w:color w:val="auto"/>
          <w:sz w:val="28"/>
          <w:szCs w:val="28"/>
          <w:highlight w:val="none"/>
        </w:rPr>
        <w:t xml:space="preserve">一不低于</w:t>
      </w:r>
      <w:r>
        <w:rPr>
          <w:rFonts w:hint="eastAsia" w:ascii="宋体" w:hAnsi="宋体" w:eastAsia="宋体" w:cs="宋体"/>
          <w:color w:val="auto"/>
          <w:sz w:val="28"/>
          <w:szCs w:val="28"/>
          <w:highlight w:val="none"/>
          <w:lang w:val="en-US" w:eastAsia="zh-CN"/>
        </w:rPr>
        <w:t xml:space="preserve">30</w:t>
      </w:r>
      <w:r>
        <w:rPr>
          <w:rFonts w:hint="eastAsia" w:ascii="宋体" w:hAnsi="宋体" w:eastAsia="宋体" w:cs="宋体"/>
          <w:color w:val="auto"/>
          <w:sz w:val="28"/>
          <w:szCs w:val="28"/>
          <w:highlight w:val="none"/>
        </w:rPr>
        <w:t xml:space="preserve">人，</w:t>
      </w:r>
      <w:r>
        <w:rPr>
          <w:rFonts w:hint="eastAsia" w:ascii="宋体" w:hAnsi="宋体" w:eastAsia="宋体" w:cs="宋体"/>
          <w:color w:val="auto"/>
          <w:sz w:val="28"/>
          <w:szCs w:val="28"/>
          <w:highlight w:val="none"/>
          <w:lang w:eastAsia="zh-CN"/>
        </w:rPr>
        <w:t xml:space="preserve">采购包</w:t>
      </w:r>
      <w:r>
        <w:rPr>
          <w:rFonts w:hint="eastAsia" w:ascii="宋体" w:hAnsi="宋体" w:eastAsia="宋体" w:cs="宋体"/>
          <w:color w:val="auto"/>
          <w:sz w:val="28"/>
          <w:szCs w:val="28"/>
          <w:highlight w:val="none"/>
        </w:rPr>
        <w:t xml:space="preserve">二不低于</w:t>
      </w:r>
      <w:r>
        <w:rPr>
          <w:rFonts w:hint="eastAsia" w:ascii="宋体" w:hAnsi="宋体" w:eastAsia="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人。</w:t>
      </w:r>
      <w:r/>
    </w:p>
    <w:p>
      <w:pPr>
        <w:ind w:firstLine="480"/>
        <w:keepLines w:val="0"/>
        <w:keepNext w:val="0"/>
        <w:pageBreakBefore w:val="0"/>
        <w:spacing w:line="480" w:lineRule="exact"/>
        <w:rPr>
          <w:rFonts w:hint="eastAsia" w:ascii="宋体" w:hAnsi="宋体" w:eastAsia="宋体" w:cs="宋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highlight w:val="none"/>
        </w:rPr>
        <w:t xml:space="preserve">2、项目负责人</w:t>
      </w:r>
      <w:r/>
    </w:p>
    <w:p>
      <w:pPr>
        <w:ind w:firstLine="480"/>
        <w:keepLines w:val="0"/>
        <w:keepNext w:val="0"/>
        <w:pageBreakBefore w:val="0"/>
        <w:spacing w:line="480" w:lineRule="exact"/>
        <w:rPr>
          <w:rFonts w:hint="eastAsia" w:ascii="宋体" w:hAnsi="宋体" w:eastAsia="宋体"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highlight w:val="none"/>
        </w:rPr>
        <w:t xml:space="preserve">1）采购包1：项目负责人应具有高级物业管理师资格且具有园林绿化专业中级（含）以上职称，如职称证书无法证明园林相关专业（园林绿化、园艺、风景园林、园林规划设计等）的，以职称评定表或学历毕业证书为准。</w:t>
      </w:r>
      <w:r>
        <w:rPr>
          <w:rFonts w:hint="eastAsia" w:ascii="宋体" w:hAnsi="宋体" w:eastAsia="宋体" w:cs="宋体"/>
          <w:b/>
          <w:bCs w:val="0"/>
          <w:color w:val="auto"/>
          <w:sz w:val="28"/>
          <w:szCs w:val="28"/>
          <w:highlight w:val="none"/>
        </w:rPr>
        <w:t xml:space="preserve">响应文件中应提供项目负责人加盖公章的职称证、物业师证</w:t>
      </w:r>
      <w:r>
        <w:rPr>
          <w:rFonts w:hint="eastAsia" w:ascii="宋体" w:hAnsi="宋体" w:cs="宋体"/>
          <w:b/>
          <w:bCs w:val="0"/>
          <w:color w:val="auto"/>
          <w:sz w:val="28"/>
          <w:szCs w:val="28"/>
          <w:highlight w:val="none"/>
          <w:lang w:eastAsia="zh-CN"/>
        </w:rPr>
        <w:t xml:space="preserve">原件</w:t>
      </w:r>
      <w:r>
        <w:rPr>
          <w:rFonts w:hint="eastAsia" w:ascii="宋体" w:hAnsi="宋体" w:eastAsia="宋体" w:cs="宋体"/>
          <w:b/>
          <w:bCs w:val="0"/>
          <w:color w:val="auto"/>
          <w:sz w:val="28"/>
          <w:szCs w:val="28"/>
          <w:highlight w:val="none"/>
        </w:rPr>
        <w:t xml:space="preserve">扫描件。</w:t>
      </w:r>
      <w:r/>
    </w:p>
    <w:p>
      <w:pPr>
        <w:ind w:firstLine="480"/>
        <w:keepLines w:val="0"/>
        <w:keepNext w:val="0"/>
        <w:pageBreakBefore w:val="0"/>
        <w:spacing w:line="480" w:lineRule="exac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highlight w:val="none"/>
        </w:rPr>
        <w:t xml:space="preserve">2）采购包2：项目负责人应具有市政公用工程二级（含）以上建造师资格且具有园林绿化专业中级（含）以上职称，如职称证书无法证明园林相关专业（园林绿化、园艺、风景园林、园林规划设计等）的，以职称评定表或学历毕业证书为准。响</w:t>
      </w:r>
      <w:r>
        <w:rPr>
          <w:rFonts w:hint="eastAsia" w:ascii="宋体" w:hAnsi="宋体" w:eastAsia="宋体" w:cs="宋体"/>
          <w:color w:val="auto"/>
          <w:sz w:val="28"/>
          <w:szCs w:val="28"/>
          <w:highlight w:val="none"/>
        </w:rPr>
        <w:t xml:space="preserve">应文件中应提供项目负责人加盖公章的职称证、建造师证</w:t>
      </w:r>
      <w:r>
        <w:rPr>
          <w:rFonts w:hint="eastAsia" w:ascii="宋体" w:hAnsi="宋体" w:cs="宋体"/>
          <w:color w:val="auto"/>
          <w:sz w:val="28"/>
          <w:szCs w:val="28"/>
          <w:highlight w:val="none"/>
          <w:lang w:eastAsia="zh-CN"/>
        </w:rPr>
        <w:t xml:space="preserve">原件</w:t>
      </w:r>
      <w:r>
        <w:rPr>
          <w:rFonts w:hint="eastAsia" w:ascii="宋体" w:hAnsi="宋体" w:eastAsia="宋体" w:cs="宋体"/>
          <w:color w:val="auto"/>
          <w:sz w:val="28"/>
          <w:szCs w:val="28"/>
          <w:highlight w:val="none"/>
        </w:rPr>
        <w:t xml:space="preserve">扫描件。</w:t>
      </w:r>
      <w:r/>
    </w:p>
    <w:p>
      <w:pPr>
        <w:ind w:left="0" w:right="0" w:firstLine="560"/>
        <w:jc w:val="both"/>
        <w:keepLines w:val="0"/>
        <w:keepNext w:val="0"/>
        <w:pageBreakBefore w:val="0"/>
        <w:spacing w:before="0" w:after="0" w:line="480" w:lineRule="exact"/>
        <w:rPr>
          <w:rFonts w:hint="eastAsia" w:ascii="宋体" w:hAnsi="宋体" w:eastAsia="宋体" w:cs="宋体"/>
          <w:b w:val="0"/>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提供全天24小时应急服务，在水源地附近有固定办公</w:t>
      </w:r>
      <w:r>
        <w:rPr>
          <w:rFonts w:hint="eastAsia" w:ascii="宋体" w:hAnsi="宋体" w:eastAsia="宋体" w:cs="宋体"/>
          <w:b w:val="0"/>
          <w:bCs/>
          <w:color w:val="000000"/>
          <w:sz w:val="28"/>
          <w:szCs w:val="28"/>
          <w:highlight w:val="none"/>
        </w:rPr>
        <w:t xml:space="preserve">地点（不少于</w:t>
      </w:r>
      <w:r>
        <w:rPr>
          <w:rFonts w:hint="eastAsia" w:ascii="宋体" w:hAnsi="宋体" w:eastAsia="宋体" w:cs="宋体"/>
          <w:b w:val="0"/>
          <w:bCs/>
          <w:color w:val="000000"/>
          <w:sz w:val="28"/>
          <w:szCs w:val="28"/>
          <w:highlight w:val="none"/>
          <w:lang w:val="en-US" w:eastAsia="zh-CN"/>
        </w:rPr>
        <w:t xml:space="preserve">50</w:t>
      </w:r>
      <w:r>
        <w:rPr>
          <w:rFonts w:hint="eastAsia" w:ascii="宋体" w:hAnsi="宋体" w:eastAsia="宋体" w:cs="宋体"/>
          <w:b w:val="0"/>
          <w:bCs/>
          <w:color w:val="000000"/>
          <w:sz w:val="28"/>
          <w:szCs w:val="28"/>
          <w:highlight w:val="none"/>
        </w:rPr>
        <w:t xml:space="preserve">平米）、值班人员及联系电话。</w:t>
      </w:r>
      <w:r/>
    </w:p>
    <w:p>
      <w:pPr>
        <w:ind w:firstLine="560"/>
        <w:keepLines w:val="0"/>
        <w:keepNext w:val="0"/>
        <w:pageBreakBefore w:val="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、负责本项目的项目负责人常驻现场并不得同时兼任其他同类项目的项目负责人。</w:t>
      </w:r>
      <w:r/>
    </w:p>
    <w:p>
      <w:pPr>
        <w:pStyle w:val="800"/>
        <w:ind w:firstLine="480"/>
        <w:keepLines w:val="0"/>
        <w:keepNext w:val="0"/>
        <w:pageBreakBefore w:val="0"/>
        <w:spacing w:line="480" w:lineRule="exact"/>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特此</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承诺</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w:t>
      </w:r>
      <w:r/>
    </w:p>
    <w:p>
      <w:pPr>
        <w:pStyle w:val="800"/>
        <w:ind w:firstLine="480"/>
        <w:keepLines w:val="0"/>
        <w:keepNext w:val="0"/>
        <w:pageBreakBefore w:val="0"/>
        <w:spacing w:line="480" w:lineRule="exact"/>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响应供应商对上述</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承诺</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的真实性负责。如有虚假，将依法承担相应责任。</w:t>
      </w:r>
      <w:r/>
    </w:p>
    <w:p>
      <w:pPr>
        <w:pStyle w:val="790"/>
        <w:ind w:firstLine="2850"/>
        <w:jc w:val="center"/>
        <w:keepLines w:val="0"/>
        <w:keepNext w:val="0"/>
        <w:pageBreakBefore w:val="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投标人：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sz w:val="28"/>
          <w:szCs w:val="28"/>
          <w:highlight w:val="none"/>
        </w:rPr>
        <w:t xml:space="preserve">（</w:t>
      </w:r>
      <w:r>
        <w:rPr>
          <w:rFonts w:hint="eastAsia" w:ascii="宋体" w:hAnsi="宋体" w:cs="宋体"/>
          <w:color w:val="000000"/>
          <w:sz w:val="28"/>
          <w:szCs w:val="28"/>
          <w:highlight w:val="none"/>
        </w:rPr>
        <w:t xml:space="preserve">电子签章</w:t>
      </w:r>
      <w:r>
        <w:rPr>
          <w:rFonts w:hint="eastAsia" w:ascii="宋体" w:hAnsi="宋体" w:cs="宋体"/>
          <w:sz w:val="28"/>
          <w:szCs w:val="28"/>
          <w:highlight w:val="none"/>
        </w:rPr>
        <w:t xml:space="preserve">）</w:t>
      </w:r>
      <w:r/>
    </w:p>
    <w:p>
      <w:pPr>
        <w:pStyle w:val="790"/>
        <w:ind w:firstLine="4500"/>
        <w:keepLines w:val="0"/>
        <w:keepNext w:val="0"/>
        <w:pageBreakBefore w:val="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日期：   年  月  日</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00"/>
        <w:jc w:val="center"/>
        <w:spacing w:line="360" w:lineRule="auto"/>
        <w:shd w:val="clear" w:color="auto"/>
        <w:rPr>
          <w:rFonts w:hint="eastAsia" w:ascii="宋体" w:hAnsi="宋体" w:cs="宋体"/>
          <w:color w:val="000000" w:themeColor="text1"/>
          <w:sz w:val="28"/>
          <w:szCs w:val="28"/>
          <w:highlight w:val="none"/>
          <w:lang w:val="en-US" w:eastAsia="zh-CN" w:bidi="ar-SA"/>
          <w14:textFill>
            <w14:solidFill>
              <w14:schemeClr w14:val="tx1"/>
            </w14:solidFill>
          </w14:textFill>
        </w:rPr>
      </w:pP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十二、投标人对“养护管理设备配置”的承诺</w:t>
      </w:r>
      <w:r/>
    </w:p>
    <w:p>
      <w:pPr>
        <w:ind w:left="0" w:right="0" w:firstLine="560"/>
        <w:jc w:val="both"/>
        <w:spacing w:before="0" w:after="0" w:line="360" w:lineRule="auto"/>
        <w:rPr>
          <w:rFonts w:hint="eastAsia" w:ascii="宋体" w:hAnsi="宋体" w:eastAsia="宋体" w:cs="宋体"/>
          <w:b w:val="0"/>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r>
      <w:r/>
    </w:p>
    <w:p>
      <w:pPr>
        <w:ind w:left="0" w:right="0" w:firstLine="560"/>
        <w:jc w:val="both"/>
        <w:spacing w:before="0" w:after="0" w:line="360" w:lineRule="auto"/>
        <w:rPr>
          <w:rFonts w:hint="eastAsia" w:ascii="宋体" w:hAnsi="宋体" w:eastAsia="宋体" w:cs="宋体"/>
          <w:b w:val="0"/>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val="en-US" w:eastAsia="zh-CN"/>
        </w:rPr>
        <w:t xml:space="preserve">项目名称：</w:t>
      </w:r>
      <w:r/>
    </w:p>
    <w:p>
      <w:pPr>
        <w:ind w:left="0" w:right="0" w:firstLine="560"/>
        <w:jc w:val="both"/>
        <w:spacing w:before="0" w:after="0" w:line="360" w:lineRule="auto"/>
        <w:rPr>
          <w:rFonts w:hint="eastAsia" w:ascii="宋体" w:hAnsi="宋体" w:eastAsia="宋体" w:cs="宋体"/>
          <w:b w:val="0"/>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eastAsia="zh-CN"/>
        </w:rPr>
        <w:t xml:space="preserve">项目编号：</w:t>
      </w:r>
      <w:r/>
    </w:p>
    <w:p>
      <w:pPr>
        <w:ind w:left="0" w:right="0" w:firstLine="560"/>
        <w:jc w:val="both"/>
        <w:spacing w:before="0" w:after="0" w:line="360" w:lineRule="auto"/>
        <w:rPr>
          <w:rFonts w:hint="eastAsia" w:ascii="宋体" w:hAnsi="宋体" w:eastAsia="宋体" w:cs="宋体"/>
          <w:b w:val="0"/>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eastAsia="zh-CN"/>
        </w:rPr>
        <w:t xml:space="preserve">投标人承诺：如我单位被确定为中标人，对中标项目所配备的管理设备不低于招标文件的要求。具体如下：</w:t>
      </w:r>
      <w:r/>
    </w:p>
    <w:p>
      <w:pPr>
        <w:ind w:left="0" w:right="0" w:firstLine="560"/>
        <w:jc w:val="both"/>
        <w:spacing w:before="0" w:after="0" w:line="360" w:lineRule="auto"/>
        <w:rPr>
          <w:rFonts w:hint="eastAsia" w:ascii="宋体" w:hAnsi="宋体" w:eastAsia="宋体" w:cs="宋体"/>
          <w:b w:val="0"/>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eastAsia="zh-CN"/>
        </w:rPr>
        <w:t xml:space="preserve">采购包</w:t>
      </w:r>
      <w:r>
        <w:rPr>
          <w:rFonts w:hint="eastAsia" w:ascii="宋体" w:hAnsi="宋体" w:eastAsia="宋体" w:cs="宋体"/>
          <w:b w:val="0"/>
          <w:bCs/>
          <w:color w:val="000000"/>
          <w:sz w:val="28"/>
          <w:szCs w:val="28"/>
          <w:highlight w:val="none"/>
          <w:lang w:val="en-US" w:eastAsia="zh-CN"/>
        </w:rPr>
        <w:t xml:space="preserve">1</w:t>
      </w:r>
      <w:r>
        <w:rPr>
          <w:rFonts w:hint="eastAsia" w:ascii="宋体" w:hAnsi="宋体" w:eastAsia="宋体" w:cs="宋体"/>
          <w:b w:val="0"/>
          <w:bCs/>
          <w:color w:val="000000"/>
          <w:sz w:val="28"/>
          <w:szCs w:val="28"/>
          <w:highlight w:val="none"/>
          <w:lang w:eastAsia="zh-CN"/>
        </w:rPr>
        <w:t xml:space="preserve">：保证日常养护管理需要管护船只不低于12艘，其中垃圾转运船不低于3 艘；机动垃圾清运车不低于2辆，三轮保洁车不低于6辆，草坪割灌机6台。以及能够满足项目要求的其它小型常用工具（打捞船只均为机动船，小船长4-5米、大船为9-10米的钢驳船）。所有设备的完好率为100%。</w:t>
      </w:r>
      <w:r/>
    </w:p>
    <w:p>
      <w:pPr>
        <w:ind w:left="0" w:right="0" w:firstLine="560"/>
        <w:jc w:val="both"/>
        <w:spacing w:before="0" w:after="0" w:line="360" w:lineRule="auto"/>
        <w:rPr>
          <w:rFonts w:hint="eastAsia" w:ascii="宋体" w:hAnsi="宋体" w:eastAsia="宋体" w:cs="宋体"/>
          <w:b w:val="0"/>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eastAsia="zh-CN"/>
        </w:rPr>
        <w:t xml:space="preserve">采购包</w:t>
      </w:r>
      <w:r>
        <w:rPr>
          <w:rFonts w:hint="eastAsia" w:ascii="宋体" w:hAnsi="宋体" w:eastAsia="宋体" w:cs="宋体"/>
          <w:b w:val="0"/>
          <w:bCs/>
          <w:color w:val="000000"/>
          <w:sz w:val="28"/>
          <w:szCs w:val="28"/>
          <w:highlight w:val="none"/>
          <w:lang w:val="en-US" w:eastAsia="zh-CN"/>
        </w:rPr>
        <w:t xml:space="preserve">2</w:t>
      </w:r>
      <w:r>
        <w:rPr>
          <w:rFonts w:hint="eastAsia" w:ascii="宋体" w:hAnsi="宋体" w:eastAsia="宋体" w:cs="宋体"/>
          <w:b w:val="0"/>
          <w:bCs/>
          <w:color w:val="000000"/>
          <w:sz w:val="28"/>
          <w:szCs w:val="28"/>
          <w:highlight w:val="none"/>
          <w:lang w:eastAsia="zh-CN"/>
        </w:rPr>
        <w:t xml:space="preserve">：保证日常养护管理需要管护船只不低于1艘，机动垃圾清运车不低于1辆，三轮保洁车不低于6辆，草坪割灌机5台，草坪机</w:t>
      </w:r>
      <w:r>
        <w:rPr>
          <w:rFonts w:hint="eastAsia" w:ascii="宋体" w:hAnsi="宋体" w:eastAsia="宋体" w:cs="宋体"/>
          <w:b w:val="0"/>
          <w:bCs/>
          <w:color w:val="000000"/>
          <w:sz w:val="28"/>
          <w:szCs w:val="28"/>
          <w:highlight w:val="none"/>
          <w:lang w:val="en-US" w:eastAsia="zh-CN"/>
        </w:rPr>
        <w:t xml:space="preserve">9</w:t>
      </w:r>
      <w:r>
        <w:rPr>
          <w:rFonts w:hint="eastAsia" w:ascii="宋体" w:hAnsi="宋体" w:eastAsia="宋体" w:cs="宋体"/>
          <w:b w:val="0"/>
          <w:bCs/>
          <w:color w:val="000000"/>
          <w:sz w:val="28"/>
          <w:szCs w:val="28"/>
          <w:highlight w:val="none"/>
          <w:lang w:eastAsia="zh-CN"/>
        </w:rPr>
        <w:t xml:space="preserve">台，绿篱机</w:t>
      </w:r>
      <w:r>
        <w:rPr>
          <w:rFonts w:hint="eastAsia" w:ascii="宋体" w:hAnsi="宋体" w:eastAsia="宋体" w:cs="宋体"/>
          <w:b w:val="0"/>
          <w:bCs/>
          <w:color w:val="000000"/>
          <w:sz w:val="28"/>
          <w:szCs w:val="28"/>
          <w:highlight w:val="none"/>
          <w:lang w:val="en-US" w:eastAsia="zh-CN"/>
        </w:rPr>
        <w:t xml:space="preserve">8</w:t>
      </w:r>
      <w:r>
        <w:rPr>
          <w:rFonts w:hint="eastAsia" w:ascii="宋体" w:hAnsi="宋体" w:eastAsia="宋体" w:cs="宋体"/>
          <w:b w:val="0"/>
          <w:bCs/>
          <w:color w:val="000000"/>
          <w:sz w:val="28"/>
          <w:szCs w:val="28"/>
          <w:highlight w:val="none"/>
          <w:lang w:eastAsia="zh-CN"/>
        </w:rPr>
        <w:t xml:space="preserve">台，汽油泵</w:t>
      </w:r>
      <w:r>
        <w:rPr>
          <w:rFonts w:hint="eastAsia" w:ascii="宋体" w:hAnsi="宋体" w:eastAsia="宋体" w:cs="宋体"/>
          <w:b w:val="0"/>
          <w:bCs/>
          <w:color w:val="000000"/>
          <w:sz w:val="28"/>
          <w:szCs w:val="28"/>
          <w:highlight w:val="none"/>
          <w:lang w:val="en-US" w:eastAsia="zh-CN"/>
        </w:rPr>
        <w:t xml:space="preserve">9</w:t>
      </w:r>
      <w:r>
        <w:rPr>
          <w:rFonts w:hint="eastAsia" w:ascii="宋体" w:hAnsi="宋体" w:eastAsia="宋体" w:cs="宋体"/>
          <w:b w:val="0"/>
          <w:bCs/>
          <w:color w:val="000000"/>
          <w:sz w:val="28"/>
          <w:szCs w:val="28"/>
          <w:highlight w:val="none"/>
          <w:lang w:eastAsia="zh-CN"/>
        </w:rPr>
        <w:t xml:space="preserve">台。以及能够满足项目要求必要的园林机械和安全设备。（所有设备的完好率为100%。</w:t>
      </w:r>
      <w:r/>
    </w:p>
    <w:p>
      <w:pPr>
        <w:ind w:left="0" w:right="0" w:firstLine="562"/>
        <w:jc w:val="both"/>
        <w:spacing w:before="0" w:after="0" w:line="360" w:lineRule="auto"/>
        <w:rPr>
          <w:rFonts w:hint="eastAsia" w:ascii="宋体" w:hAnsi="宋体" w:eastAsia="宋体" w:cs="宋体"/>
          <w:b w:val="0"/>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8"/>
          <w:szCs w:val="28"/>
          <w:highlight w:val="none"/>
          <w:lang w:val="en-US" w:eastAsia="zh-CN"/>
        </w:rPr>
        <w:t xml:space="preserve">在满足采购需求最低要求的情况下，增加设备      台</w:t>
      </w:r>
      <w:r>
        <w:rPr>
          <w:rFonts w:hint="eastAsia" w:ascii="宋体" w:hAnsi="宋体" w:eastAsia="宋体" w:cs="宋体"/>
          <w:b w:val="0"/>
          <w:bCs/>
          <w:color w:val="000000"/>
          <w:sz w:val="28"/>
          <w:szCs w:val="28"/>
          <w:highlight w:val="none"/>
          <w:lang w:val="en-US" w:eastAsia="zh-CN"/>
        </w:rPr>
        <w:t xml:space="preserve">。</w:t>
      </w:r>
      <w:r/>
    </w:p>
    <w:p>
      <w:pPr>
        <w:pStyle w:val="800"/>
        <w:ind w:firstLine="480"/>
        <w:spacing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特此</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承诺</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w:t>
      </w:r>
      <w:r/>
    </w:p>
    <w:p>
      <w:pPr>
        <w:pStyle w:val="800"/>
        <w:ind w:firstLine="480"/>
        <w:spacing w:line="360" w:lineRule="auto"/>
        <w:rPr>
          <w:rFonts w:hint="eastAsia" w:ascii="宋体" w:hAnsi="宋体" w:eastAsia="宋体" w:cs="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响应供应商对上述</w:t>
      </w: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承诺</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的真实性负责。如有虚假，将依法承担相应责任。</w:t>
      </w:r>
      <w:r/>
    </w:p>
    <w:p>
      <w:pPr>
        <w:ind w:firstLine="456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90"/>
        <w:ind w:firstLine="2850"/>
        <w:jc w:val="center"/>
        <w:spacing w:line="30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投标人：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sz w:val="28"/>
          <w:szCs w:val="28"/>
          <w:highlight w:val="none"/>
        </w:rPr>
        <w:t xml:space="preserve">（</w:t>
      </w:r>
      <w:r>
        <w:rPr>
          <w:rFonts w:hint="eastAsia" w:ascii="宋体" w:hAnsi="宋体" w:cs="宋体"/>
          <w:color w:val="000000"/>
          <w:sz w:val="28"/>
          <w:szCs w:val="28"/>
          <w:highlight w:val="none"/>
        </w:rPr>
        <w:t xml:space="preserve">电子签章</w:t>
      </w:r>
      <w:r>
        <w:rPr>
          <w:rFonts w:hint="eastAsia" w:ascii="宋体" w:hAnsi="宋体" w:cs="宋体"/>
          <w:sz w:val="28"/>
          <w:szCs w:val="28"/>
          <w:highlight w:val="none"/>
        </w:rPr>
        <w:t xml:space="preserve">）</w:t>
      </w:r>
      <w:r/>
    </w:p>
    <w:p>
      <w:pPr>
        <w:pStyle w:val="790"/>
        <w:ind w:firstLine="45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90"/>
        <w:ind w:firstLine="45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日期：   年  月  日</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19"/>
        <w:rPr>
          <w:rFonts w:hint="default"/>
          <w:highlight w:val="none"/>
          <w:lang w:val="en-US" w:eastAsia="zh-CN"/>
        </w:rPr>
      </w:pPr>
      <w:r>
        <w:rPr>
          <w:rFonts w:hint="default"/>
          <w:highlight w:val="none"/>
          <w:lang w:val="en-US" w:eastAsia="zh-CN"/>
        </w:rPr>
      </w:r>
      <w:r/>
    </w:p>
    <w:p>
      <w:pPr>
        <w:ind w:left="0" w:right="0" w:firstLine="560"/>
        <w:jc w:val="both"/>
        <w:spacing w:before="0" w:after="0" w:line="360" w:lineRule="auto"/>
        <w:rPr>
          <w:rFonts w:hint="eastAsia" w:ascii="宋体" w:hAnsi="宋体" w:eastAsia="宋体" w:cs="宋体"/>
          <w:b w:val="0"/>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8"/>
          <w:szCs w:val="28"/>
          <w:highlight w:val="none"/>
          <w:lang w:eastAsia="zh-CN"/>
        </w:rPr>
      </w:r>
      <w:r/>
    </w:p>
    <w:p>
      <w:pPr>
        <w:pStyle w:val="719"/>
        <w:rPr>
          <w:rFonts w:hint="eastAsia" w:ascii="宋体" w:hAnsi="宋体" w:eastAsia="宋体" w:cs="宋体"/>
          <w:b w:val="0"/>
          <w:bCs/>
          <w:color w:val="000000"/>
          <w:sz w:val="28"/>
          <w:szCs w:val="28"/>
          <w:highlight w:val="none"/>
          <w:lang w:eastAsia="zh-CN"/>
        </w:rPr>
      </w:pPr>
      <w:r>
        <w:rPr>
          <w:rFonts w:hint="eastAsia" w:ascii="宋体" w:hAnsi="宋体" w:eastAsia="宋体" w:cs="宋体"/>
          <w:b w:val="0"/>
          <w:bCs/>
          <w:color w:val="000000"/>
          <w:sz w:val="28"/>
          <w:szCs w:val="28"/>
          <w:highlight w:val="none"/>
          <w:lang w:eastAsia="zh-CN"/>
        </w:rPr>
      </w:r>
      <w:r/>
    </w:p>
    <w:p>
      <w:pPr>
        <w:rPr>
          <w:rFonts w:hint="eastAsia" w:ascii="宋体" w:hAnsi="宋体" w:eastAsia="宋体" w:cs="宋体"/>
          <w:b w:val="0"/>
          <w:bCs/>
          <w:color w:val="000000"/>
          <w:sz w:val="28"/>
          <w:szCs w:val="28"/>
          <w:highlight w:val="none"/>
          <w:lang w:eastAsia="zh-CN"/>
        </w:rPr>
      </w:pPr>
      <w:r>
        <w:rPr>
          <w:rFonts w:hint="eastAsia" w:ascii="宋体" w:hAnsi="宋体" w:eastAsia="宋体" w:cs="宋体"/>
          <w:b w:val="0"/>
          <w:bCs/>
          <w:color w:val="000000"/>
          <w:sz w:val="28"/>
          <w:szCs w:val="28"/>
          <w:highlight w:val="none"/>
          <w:lang w:eastAsia="zh-CN"/>
        </w:rPr>
      </w:r>
      <w:r/>
    </w:p>
    <w:p>
      <w:pPr>
        <w:pStyle w:val="719"/>
        <w:rPr>
          <w:rFonts w:hint="eastAsia"/>
          <w:highlight w:val="none"/>
          <w:lang w:eastAsia="zh-CN"/>
        </w:rPr>
      </w:pPr>
      <w:r>
        <w:rPr>
          <w:rFonts w:hint="eastAsia"/>
          <w:highlight w:val="none"/>
          <w:lang w:eastAsia="zh-CN"/>
        </w:rPr>
      </w:r>
      <w:r/>
    </w:p>
    <w:p>
      <w:pPr>
        <w:pStyle w:val="719"/>
        <w:rPr>
          <w:rFonts w:hint="eastAsia"/>
          <w:highlight w:val="none"/>
          <w:lang w:eastAsia="zh-CN"/>
        </w:rPr>
      </w:pPr>
      <w:r>
        <w:rPr>
          <w:rFonts w:hint="eastAsia"/>
          <w:highlight w:val="none"/>
          <w:lang w:eastAsia="zh-CN"/>
        </w:rPr>
      </w:r>
      <w:r/>
    </w:p>
    <w:p>
      <w:pPr>
        <w:pStyle w:val="790"/>
        <w:jc w:val="cente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十三、</w:t>
      </w:r>
      <w:r>
        <w:rPr>
          <w:rFonts w:hint="eastAsia" w:ascii="宋体" w:hAnsi="宋体" w:eastAsia="宋体" w:cs="宋体"/>
          <w:color w:val="000000" w:themeColor="text1"/>
          <w:sz w:val="28"/>
          <w:szCs w:val="28"/>
          <w:highlight w:val="none"/>
          <w14:textFill>
            <w14:solidFill>
              <w14:schemeClr w14:val="tx1"/>
            </w14:solidFill>
          </w14:textFill>
        </w:rPr>
        <w:t xml:space="preserve">预付款保函支付条款模板</w:t>
      </w:r>
      <w:r/>
    </w:p>
    <w:p>
      <w:pPr>
        <w:pStyle w:val="790"/>
        <w:ind w:firstLine="605"/>
        <w:spacing w:line="48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p>
      <w:pPr>
        <w:pStyle w:val="790"/>
        <w:ind w:firstLine="605"/>
        <w:spacing w:line="48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符合条件一：提交预付款保函的</w:t>
      </w:r>
      <w:r/>
    </w:p>
    <w:p>
      <w:pPr>
        <w:pStyle w:val="790"/>
        <w:ind w:firstLine="602"/>
        <w:spacing w:line="480" w:lineRule="exact"/>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8"/>
          <w:szCs w:val="28"/>
          <w:highlight w:val="none"/>
          <w:u w:val="single"/>
          <w14:textFill>
            <w14:solidFill>
              <w14:schemeClr w14:val="tx1"/>
            </w14:solidFill>
          </w14:textFill>
        </w:rPr>
        <w:t xml:space="preserve">        XX（    XX%），</w:t>
      </w:r>
      <w:r>
        <w:rPr>
          <w:rFonts w:hint="eastAsia" w:ascii="宋体" w:hAnsi="宋体" w:eastAsia="宋体" w:cs="宋体"/>
          <w:color w:val="000000" w:themeColor="text1"/>
          <w:sz w:val="28"/>
          <w:szCs w:val="28"/>
          <w:highlight w:val="none"/>
          <w14:textFill>
            <w14:solidFill>
              <w14:schemeClr w14:val="tx1"/>
            </w14:solidFill>
          </w14:textFill>
        </w:rPr>
        <w:t xml:space="preserve">小写￥</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大写：人民币</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pStyle w:val="790"/>
        <w:ind w:left="140" w:firstLine="602"/>
        <w:spacing w:line="480" w:lineRule="exact"/>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乙方需提交的支付文件：乙方出具的全额正式发票。</w:t>
      </w:r>
      <w:r/>
    </w:p>
    <w:p>
      <w:pPr>
        <w:pStyle w:val="790"/>
        <w:ind w:left="140" w:firstLine="602"/>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（2）验收合格后</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8"/>
          <w:szCs w:val="28"/>
          <w:highlight w:val="none"/>
          <w:u w:val="single"/>
          <w14:textFill>
            <w14:solidFill>
              <w14:schemeClr w14:val="tx1"/>
            </w14:solidFill>
          </w14:textFill>
        </w:rPr>
        <w:t xml:space="preserve">XX（    XX%），</w:t>
      </w:r>
      <w:r>
        <w:rPr>
          <w:rFonts w:hint="eastAsia" w:ascii="宋体" w:hAnsi="宋体" w:eastAsia="宋体" w:cs="宋体"/>
          <w:color w:val="000000" w:themeColor="text1"/>
          <w:sz w:val="28"/>
          <w:szCs w:val="28"/>
          <w:highlight w:val="none"/>
          <w14:textFill>
            <w14:solidFill>
              <w14:schemeClr w14:val="tx1"/>
            </w14:solidFill>
          </w14:textFill>
        </w:rPr>
        <w:t xml:space="preserve">小写￥</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大写：人民币</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pStyle w:val="790"/>
        <w:ind w:firstLine="605"/>
        <w:spacing w:line="48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w:t>
      </w:r>
      <w:r/>
    </w:p>
    <w:p>
      <w:pPr>
        <w:pStyle w:val="790"/>
        <w:ind w:firstLine="605"/>
        <w:spacing w:line="48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符合条件二：不提交预付款保函的</w:t>
      </w:r>
      <w:r/>
    </w:p>
    <w:p>
      <w:pPr>
        <w:pStyle w:val="790"/>
        <w:ind w:firstLine="602"/>
        <w:spacing w:line="480" w:lineRule="exact"/>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（1）合同签订后</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8"/>
          <w:szCs w:val="28"/>
          <w:highlight w:val="none"/>
          <w:u w:val="single"/>
          <w14:textFill>
            <w14:solidFill>
              <w14:schemeClr w14:val="tx1"/>
            </w14:solidFill>
          </w14:textFill>
        </w:rPr>
        <w:t xml:space="preserve">XX（    XX%），</w:t>
      </w:r>
      <w:r>
        <w:rPr>
          <w:rFonts w:hint="eastAsia" w:ascii="宋体" w:hAnsi="宋体" w:eastAsia="宋体" w:cs="宋体"/>
          <w:color w:val="000000" w:themeColor="text1"/>
          <w:sz w:val="28"/>
          <w:szCs w:val="28"/>
          <w:highlight w:val="none"/>
          <w14:textFill>
            <w14:solidFill>
              <w14:schemeClr w14:val="tx1"/>
            </w14:solidFill>
          </w14:textFill>
        </w:rPr>
        <w:t xml:space="preserve">小写￥</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大写：人民币</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pStyle w:val="790"/>
        <w:ind w:left="140" w:firstLine="602"/>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乙方需提交的支付文件：乙方出具的全额正式发票。</w:t>
      </w:r>
      <w:r/>
    </w:p>
    <w:p>
      <w:pPr>
        <w:pStyle w:val="790"/>
        <w:ind w:left="140" w:firstLine="602"/>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（2）验收合格后</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8"/>
          <w:szCs w:val="28"/>
          <w:highlight w:val="none"/>
          <w:u w:val="single"/>
          <w14:textFill>
            <w14:solidFill>
              <w14:schemeClr w14:val="tx1"/>
            </w14:solidFill>
          </w14:textFill>
        </w:rPr>
        <w:t xml:space="preserve">XX（    XX%），</w:t>
      </w:r>
      <w:r>
        <w:rPr>
          <w:rFonts w:hint="eastAsia" w:ascii="宋体" w:hAnsi="宋体" w:eastAsia="宋体" w:cs="宋体"/>
          <w:color w:val="000000" w:themeColor="text1"/>
          <w:sz w:val="28"/>
          <w:szCs w:val="28"/>
          <w:highlight w:val="none"/>
          <w14:textFill>
            <w14:solidFill>
              <w14:schemeClr w14:val="tx1"/>
            </w14:solidFill>
          </w14:textFill>
        </w:rPr>
        <w:t xml:space="preserve">小写￥</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大写：人民币</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pStyle w:val="790"/>
        <w:ind w:firstLine="605"/>
        <w:spacing w:line="48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w:t>
      </w:r>
      <w:r/>
    </w:p>
    <w:p>
      <w:pPr>
        <w:pStyle w:val="790"/>
        <w:ind w:left="140" w:firstLine="605"/>
        <w:spacing w:line="48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注</w:t>
      </w:r>
      <w:r>
        <w:rPr>
          <w:rFonts w:hint="eastAsia" w:ascii="宋体" w:hAnsi="宋体" w:cs="宋体"/>
          <w:b/>
          <w:color w:val="000000" w:themeColor="text1"/>
          <w:sz w:val="28"/>
          <w:szCs w:val="28"/>
          <w:highlight w:val="none"/>
          <w:lang w:eastAsia="zh-CN"/>
          <w14:textFill>
            <w14:solidFill>
              <w14:schemeClr w14:val="tx1"/>
            </w14:solidFill>
          </w14:textFill>
        </w:rPr>
        <w:t xml:space="preserve">：</w:t>
      </w:r>
      <w:r/>
    </w:p>
    <w:p>
      <w:pPr>
        <w:pStyle w:val="790"/>
        <w:ind w:left="140" w:firstLine="602"/>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付款条件一中，出具预付款保函后支付的合同款应当与保函金额一致。</w:t>
      </w:r>
      <w:r/>
    </w:p>
    <w:p>
      <w:pPr>
        <w:pStyle w:val="790"/>
        <w:ind w:left="140" w:firstLine="602"/>
        <w:spacing w:line="480" w:lineRule="exact"/>
        <w:rPr>
          <w:rFonts w:hint="eastAsia"/>
          <w:highlight w:val="none"/>
          <w:lang w:val="en-US" w:eastAsia="zh-CN"/>
        </w:rPr>
      </w:pPr>
      <w:r>
        <w:rPr>
          <w:rFonts w:hint="eastAsia" w:ascii="宋体" w:hAnsi="宋体" w:cs="宋体"/>
          <w:color w:val="000000" w:themeColor="text1"/>
          <w:sz w:val="28"/>
          <w:szCs w:val="28"/>
          <w:highlight w:val="none"/>
          <w:lang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付款条件二中，预付款比例设定应符合《关于做好政府采购支持企业发展有关事项的通知》</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苏财购〔2020〕52号</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要求。</w:t>
      </w:r>
      <w:r/>
    </w:p>
    <w:p>
      <w:pPr>
        <w:pStyle w:val="793"/>
        <w:rPr>
          <w:highlight w:val="none"/>
        </w:rPr>
      </w:pPr>
      <w:r>
        <w:rPr>
          <w:highlight w:val="none"/>
        </w:rPr>
      </w:r>
      <w:r/>
    </w:p>
    <w:p>
      <w:pPr>
        <w:pStyle w:val="798"/>
        <w:ind w:left="0" w:firstLine="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黑体">
    <w:panose1 w:val="02010609060101010101"/>
  </w:font>
  <w:font w:name="仿宋_GB2312">
    <w:panose1 w:val="02010609060101010101"/>
  </w:font>
  <w:font w:name="CG Times">
    <w:panose1 w:val="020B0503020202020204"/>
  </w:font>
  <w:font w:name="Calibri">
    <w:panose1 w:val="020F0502020204030204"/>
  </w:font>
  <w:font w:name="微软雅黑">
    <w:panose1 w:val="020B050302020402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7">
    <w:name w:val="Plain Table 1"/>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2"/>
    <w:basedOn w:val="7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3"/>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name w:val="Plain Table 4"/>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name w:val="Plain Table 5"/>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2">
    <w:name w:val="Grid Table 1 Light"/>
    <w:basedOn w:val="7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3">
    <w:name w:val="Grid Table 2"/>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4">
    <w:name w:val="Grid Table 3"/>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7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5 Dark"/>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7">
    <w:name w:val="Grid Table 6 Colorful"/>
    <w:basedOn w:val="7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8">
    <w:name w:val="Grid Table 7 Colorful"/>
    <w:basedOn w:val="7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9">
    <w:name w:val="List Table 1 Light"/>
    <w:basedOn w:val="7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0">
    <w:name w:val="List Table 2"/>
    <w:basedOn w:val="7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1">
    <w:name w:val="List Table 3"/>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2">
    <w:name w:val="List Table 4"/>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5 Dark"/>
    <w:basedOn w:val="7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4">
    <w:name w:val="List Table 6 Colorful"/>
    <w:basedOn w:val="7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5">
    <w:name w:val="List Table 7 Colorful"/>
    <w:basedOn w:val="7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6">
    <w:name w:val="TOC Heading"/>
    <w:uiPriority w:val="39"/>
    <w:unhideWhenUsed/>
  </w:style>
  <w:style w:type="paragraph" w:styleId="707" w:default="1">
    <w:name w:val="Normal"/>
    <w:next w:val="719"/>
    <w:uiPriority w:val="0"/>
    <w:qFormat/>
    <w:rPr>
      <w:rFonts w:ascii="Times New Roman" w:hAnsi="Times New Roman" w:eastAsia="宋体" w:cs="Times New Roman"/>
      <w:lang w:val="en-US" w:eastAsia="zh-CN" w:bidi="ar-SA"/>
    </w:rPr>
  </w:style>
  <w:style w:type="paragraph" w:styleId="708">
    <w:name w:val="Heading 1"/>
    <w:basedOn w:val="707"/>
    <w:next w:val="707"/>
    <w:link w:val="811"/>
    <w:uiPriority w:val="9"/>
    <w:qFormat/>
    <w:pPr>
      <w:keepLines/>
      <w:keepNext/>
      <w:spacing w:before="480" w:after="200"/>
      <w:outlineLvl w:val="0"/>
    </w:pPr>
    <w:rPr>
      <w:rFonts w:ascii="Arial" w:hAnsi="Arial" w:eastAsia="Arial" w:cs="Arial"/>
      <w:sz w:val="40"/>
      <w:szCs w:val="40"/>
    </w:rPr>
  </w:style>
  <w:style w:type="paragraph" w:styleId="709">
    <w:name w:val="Heading 2"/>
    <w:basedOn w:val="707"/>
    <w:next w:val="707"/>
    <w:uiPriority w:val="0"/>
    <w:qFormat/>
    <w:pPr>
      <w:keepLines/>
      <w:keepNext/>
      <w:spacing w:before="260" w:after="260" w:line="416" w:lineRule="auto"/>
      <w:outlineLvl w:val="1"/>
    </w:pPr>
    <w:rPr>
      <w:rFonts w:ascii="Calibri Light" w:hAnsi="Calibri Light"/>
      <w:b/>
      <w:bCs/>
      <w:sz w:val="24"/>
      <w:szCs w:val="32"/>
    </w:rPr>
  </w:style>
  <w:style w:type="paragraph" w:styleId="710">
    <w:name w:val="Heading 3"/>
    <w:next w:val="707"/>
    <w:link w:val="813"/>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11">
    <w:name w:val="Heading 4"/>
    <w:basedOn w:val="707"/>
    <w:next w:val="707"/>
    <w:link w:val="814"/>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next w:val="707"/>
    <w:link w:val="815"/>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13">
    <w:name w:val="Heading 6"/>
    <w:next w:val="707"/>
    <w:link w:val="816"/>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14">
    <w:name w:val="Heading 7"/>
    <w:next w:val="707"/>
    <w:link w:val="817"/>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15">
    <w:name w:val="Heading 8"/>
    <w:next w:val="707"/>
    <w:link w:val="818"/>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16">
    <w:name w:val="Heading 9"/>
    <w:next w:val="707"/>
    <w:link w:val="819"/>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name w:val="Body Text First Indent"/>
    <w:basedOn w:val="720"/>
    <w:next w:val="707"/>
    <w:uiPriority w:val="0"/>
    <w:qFormat/>
    <w:pPr>
      <w:ind w:firstLine="420"/>
    </w:pPr>
  </w:style>
  <w:style w:type="paragraph" w:styleId="720">
    <w:name w:val="Body Text"/>
    <w:basedOn w:val="707"/>
    <w:next w:val="707"/>
    <w:uiPriority w:val="99"/>
    <w:qFormat/>
    <w:pPr>
      <w:spacing w:after="120"/>
    </w:pPr>
    <w:rPr>
      <w:rFonts w:ascii="Calibri" w:hAnsi="Calibri"/>
    </w:rPr>
  </w:style>
  <w:style w:type="paragraph" w:styleId="721">
    <w:name w:val="toc 7"/>
    <w:next w:val="707"/>
    <w:uiPriority w:val="39"/>
    <w:unhideWhenUsed/>
    <w:qFormat/>
    <w:pPr>
      <w:ind w:left="1701"/>
      <w:spacing w:after="57"/>
    </w:pPr>
    <w:rPr>
      <w:rFonts w:ascii="Times New Roman" w:hAnsi="Times New Roman" w:eastAsia="宋体" w:cs="Times New Roman"/>
      <w:lang w:val="en-US" w:eastAsia="zh-CN" w:bidi="ar-SA"/>
    </w:rPr>
  </w:style>
  <w:style w:type="paragraph" w:styleId="722">
    <w:name w:val="Normal Indent"/>
    <w:basedOn w:val="707"/>
    <w:next w:val="707"/>
    <w:uiPriority w:val="0"/>
    <w:qFormat/>
    <w:pPr>
      <w:ind w:firstLine="420"/>
    </w:pPr>
    <w:rPr>
      <w:rFonts w:eastAsia="??"/>
      <w:sz w:val="24"/>
    </w:rPr>
  </w:style>
  <w:style w:type="paragraph" w:styleId="723">
    <w:name w:val="Caption"/>
    <w:next w:val="707"/>
    <w:uiPriority w:val="35"/>
    <w:semiHidden/>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24">
    <w:name w:val="Document Map"/>
    <w:basedOn w:val="707"/>
    <w:uiPriority w:val="0"/>
    <w:qFormat/>
    <w:pPr>
      <w:shd w:val="clear" w:color="auto" w:fill="000080"/>
    </w:pPr>
    <w:rPr>
      <w:rFonts w:ascii="仿宋_GB2312" w:hAnsi="仿宋_GB2312"/>
      <w:szCs w:val="21"/>
      <w:shd w:val="clear" w:color="auto" w:fill="000080"/>
    </w:rPr>
  </w:style>
  <w:style w:type="paragraph" w:styleId="725">
    <w:name w:val="annotation text"/>
    <w:basedOn w:val="707"/>
    <w:uiPriority w:val="99"/>
    <w:qFormat/>
    <w:rPr>
      <w:szCs w:val="24"/>
    </w:rPr>
  </w:style>
  <w:style w:type="paragraph" w:styleId="726">
    <w:name w:val="Body Text Indent"/>
    <w:basedOn w:val="707"/>
    <w:link w:val="1033"/>
    <w:uiPriority w:val="99"/>
    <w:semiHidden/>
    <w:unhideWhenUsed/>
    <w:qFormat/>
    <w:pPr>
      <w:ind w:left="420"/>
      <w:spacing w:after="120"/>
    </w:pPr>
  </w:style>
  <w:style w:type="paragraph" w:styleId="727">
    <w:name w:val="Block Text"/>
    <w:basedOn w:val="707"/>
    <w:next w:val="707"/>
    <w:uiPriority w:val="99"/>
    <w:unhideWhenUsed/>
    <w:qFormat/>
    <w:pPr>
      <w:ind w:left="-359" w:right="-512" w:firstLine="501"/>
    </w:pPr>
    <w:rPr>
      <w:rFonts w:ascii="仿宋_GB2312" w:eastAsia="仿宋_GB2312"/>
      <w:sz w:val="30"/>
    </w:rPr>
  </w:style>
  <w:style w:type="paragraph" w:styleId="728">
    <w:name w:val="toc 5"/>
    <w:next w:val="707"/>
    <w:uiPriority w:val="39"/>
    <w:unhideWhenUsed/>
    <w:qFormat/>
    <w:pPr>
      <w:ind w:left="1134"/>
      <w:spacing w:after="57"/>
    </w:pPr>
    <w:rPr>
      <w:rFonts w:ascii="Times New Roman" w:hAnsi="Times New Roman" w:eastAsia="宋体" w:cs="Times New Roman"/>
      <w:lang w:val="en-US" w:eastAsia="zh-CN" w:bidi="ar-SA"/>
    </w:rPr>
  </w:style>
  <w:style w:type="paragraph" w:styleId="729">
    <w:name w:val="toc 3"/>
    <w:next w:val="707"/>
    <w:uiPriority w:val="39"/>
    <w:unhideWhenUsed/>
    <w:qFormat/>
    <w:pPr>
      <w:ind w:left="567"/>
      <w:spacing w:after="57"/>
    </w:pPr>
    <w:rPr>
      <w:rFonts w:ascii="Times New Roman" w:hAnsi="Times New Roman" w:eastAsia="宋体" w:cs="Times New Roman"/>
      <w:lang w:val="en-US" w:eastAsia="zh-CN" w:bidi="ar-SA"/>
    </w:rPr>
  </w:style>
  <w:style w:type="paragraph" w:styleId="730">
    <w:name w:val="Plain Text"/>
    <w:basedOn w:val="707"/>
    <w:uiPriority w:val="0"/>
    <w:qFormat/>
    <w:rPr>
      <w:rFonts w:ascii="宋体" w:hAnsi="Courier New"/>
    </w:rPr>
  </w:style>
  <w:style w:type="paragraph" w:styleId="731">
    <w:name w:val="toc 8"/>
    <w:next w:val="707"/>
    <w:uiPriority w:val="39"/>
    <w:unhideWhenUsed/>
    <w:qFormat/>
    <w:pPr>
      <w:ind w:left="1984"/>
      <w:spacing w:after="57"/>
    </w:pPr>
    <w:rPr>
      <w:rFonts w:ascii="Times New Roman" w:hAnsi="Times New Roman" w:eastAsia="宋体" w:cs="Times New Roman"/>
      <w:lang w:val="en-US" w:eastAsia="zh-CN" w:bidi="ar-SA"/>
    </w:rPr>
  </w:style>
  <w:style w:type="paragraph" w:styleId="732">
    <w:name w:val="endnote text"/>
    <w:link w:val="938"/>
    <w:uiPriority w:val="99"/>
    <w:semiHidden/>
    <w:unhideWhenUsed/>
    <w:qFormat/>
    <w:rPr>
      <w:rFonts w:ascii="Times New Roman" w:hAnsi="Times New Roman" w:eastAsia="宋体" w:cs="Times New Roman"/>
      <w:lang w:val="en-US" w:eastAsia="zh-CN" w:bidi="ar-SA"/>
    </w:rPr>
  </w:style>
  <w:style w:type="paragraph" w:styleId="733">
    <w:name w:val="Footer"/>
    <w:link w:val="830"/>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34">
    <w:name w:val="Header"/>
    <w:link w:val="828"/>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35">
    <w:name w:val="toc 1"/>
    <w:basedOn w:val="707"/>
    <w:next w:val="707"/>
    <w:uiPriority w:val="39"/>
    <w:unhideWhenUsed/>
    <w:qFormat/>
    <w:pPr>
      <w:spacing w:after="57"/>
    </w:pPr>
  </w:style>
  <w:style w:type="paragraph" w:styleId="736">
    <w:name w:val="toc 4"/>
    <w:next w:val="707"/>
    <w:uiPriority w:val="39"/>
    <w:unhideWhenUsed/>
    <w:qFormat/>
    <w:pPr>
      <w:ind w:left="850"/>
      <w:spacing w:after="57"/>
    </w:pPr>
    <w:rPr>
      <w:rFonts w:ascii="Times New Roman" w:hAnsi="Times New Roman" w:eastAsia="宋体" w:cs="Times New Roman"/>
      <w:lang w:val="en-US" w:eastAsia="zh-CN" w:bidi="ar-SA"/>
    </w:rPr>
  </w:style>
  <w:style w:type="paragraph" w:styleId="737">
    <w:name w:val="Subtitle"/>
    <w:link w:val="823"/>
    <w:uiPriority w:val="11"/>
    <w:qFormat/>
    <w:pPr>
      <w:spacing w:before="200" w:after="200"/>
    </w:pPr>
    <w:rPr>
      <w:rFonts w:ascii="Times New Roman" w:hAnsi="Times New Roman" w:eastAsia="宋体" w:cs="Times New Roman"/>
      <w:sz w:val="24"/>
      <w:szCs w:val="24"/>
      <w:lang w:val="en-US" w:eastAsia="zh-CN" w:bidi="ar-SA"/>
    </w:rPr>
  </w:style>
  <w:style w:type="paragraph" w:styleId="738">
    <w:name w:val="footnote text"/>
    <w:link w:val="937"/>
    <w:uiPriority w:val="99"/>
    <w:semiHidden/>
    <w:unhideWhenUsed/>
    <w:qFormat/>
    <w:pPr>
      <w:spacing w:after="40"/>
    </w:pPr>
    <w:rPr>
      <w:rFonts w:ascii="Times New Roman" w:hAnsi="Times New Roman" w:eastAsia="宋体" w:cs="Times New Roman"/>
      <w:sz w:val="18"/>
      <w:lang w:val="en-US" w:eastAsia="zh-CN" w:bidi="ar-SA"/>
    </w:rPr>
  </w:style>
  <w:style w:type="paragraph" w:styleId="739">
    <w:name w:val="toc 6"/>
    <w:next w:val="707"/>
    <w:uiPriority w:val="39"/>
    <w:unhideWhenUsed/>
    <w:qFormat/>
    <w:pPr>
      <w:ind w:left="1417"/>
      <w:spacing w:after="57"/>
    </w:pPr>
    <w:rPr>
      <w:rFonts w:ascii="Times New Roman" w:hAnsi="Times New Roman" w:eastAsia="宋体" w:cs="Times New Roman"/>
      <w:lang w:val="en-US" w:eastAsia="zh-CN" w:bidi="ar-SA"/>
    </w:rPr>
  </w:style>
  <w:style w:type="paragraph" w:styleId="740">
    <w:name w:val="table of figures"/>
    <w:next w:val="707"/>
    <w:uiPriority w:val="99"/>
    <w:unhideWhenUsed/>
    <w:qFormat/>
    <w:rPr>
      <w:rFonts w:ascii="Times New Roman" w:hAnsi="Times New Roman" w:eastAsia="宋体" w:cs="Times New Roman"/>
      <w:lang w:val="en-US" w:eastAsia="zh-CN" w:bidi="ar-SA"/>
    </w:rPr>
  </w:style>
  <w:style w:type="paragraph" w:styleId="741">
    <w:name w:val="toc 2"/>
    <w:next w:val="707"/>
    <w:uiPriority w:val="39"/>
    <w:unhideWhenUsed/>
    <w:qFormat/>
    <w:pPr>
      <w:ind w:left="283"/>
      <w:spacing w:after="57"/>
    </w:pPr>
    <w:rPr>
      <w:rFonts w:ascii="Times New Roman" w:hAnsi="Times New Roman" w:eastAsia="宋体" w:cs="Times New Roman"/>
      <w:lang w:val="en-US" w:eastAsia="zh-CN" w:bidi="ar-SA"/>
    </w:rPr>
  </w:style>
  <w:style w:type="paragraph" w:styleId="742">
    <w:name w:val="toc 9"/>
    <w:next w:val="707"/>
    <w:uiPriority w:val="39"/>
    <w:unhideWhenUsed/>
    <w:qFormat/>
    <w:pPr>
      <w:ind w:left="2268"/>
      <w:spacing w:after="57"/>
    </w:pPr>
    <w:rPr>
      <w:rFonts w:ascii="Times New Roman" w:hAnsi="Times New Roman" w:eastAsia="宋体" w:cs="Times New Roman"/>
      <w:lang w:val="en-US" w:eastAsia="zh-CN" w:bidi="ar-SA"/>
    </w:rPr>
  </w:style>
  <w:style w:type="paragraph" w:styleId="743">
    <w:name w:val="Body Text 2"/>
    <w:basedOn w:val="707"/>
    <w:next w:val="720"/>
    <w:uiPriority w:val="99"/>
    <w:semiHidden/>
    <w:unhideWhenUsed/>
    <w:qFormat/>
    <w:pPr>
      <w:spacing w:after="120" w:line="480" w:lineRule="auto"/>
    </w:pPr>
  </w:style>
  <w:style w:type="paragraph" w:styleId="744">
    <w:name w:val="Normal (Web)"/>
    <w:basedOn w:val="707"/>
    <w:uiPriority w:val="99"/>
    <w:qFormat/>
    <w:pPr>
      <w:spacing w:before="100" w:beforeAutospacing="1" w:after="100" w:afterAutospacing="1"/>
    </w:pPr>
    <w:rPr>
      <w:rFonts w:ascii="宋体" w:hAnsi="宋体" w:cs="宋体"/>
      <w:sz w:val="24"/>
      <w:szCs w:val="24"/>
    </w:rPr>
  </w:style>
  <w:style w:type="paragraph" w:styleId="745">
    <w:name w:val="Title"/>
    <w:basedOn w:val="707"/>
    <w:next w:val="707"/>
    <w:link w:val="822"/>
    <w:uiPriority w:val="10"/>
    <w:qFormat/>
    <w:pPr>
      <w:contextualSpacing/>
      <w:spacing w:before="300" w:after="200"/>
    </w:pPr>
    <w:rPr>
      <w:sz w:val="48"/>
      <w:szCs w:val="48"/>
    </w:rPr>
  </w:style>
  <w:style w:type="paragraph" w:styleId="746">
    <w:name w:val="Body Text First Indent 2"/>
    <w:basedOn w:val="726"/>
    <w:link w:val="1034"/>
    <w:uiPriority w:val="99"/>
    <w:semiHidden/>
    <w:unhideWhenUsed/>
    <w:qFormat/>
    <w:pPr>
      <w:ind w:firstLine="420"/>
    </w:pPr>
  </w:style>
  <w:style w:type="table" w:styleId="7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u w:val="single"/>
    </w:rPr>
  </w:style>
  <w:style w:type="character" w:styleId="750">
    <w:name w:val="footnote reference"/>
    <w:uiPriority w:val="99"/>
    <w:unhideWhenUsed/>
    <w:qFormat/>
    <w:rPr>
      <w:vertAlign w:val="superscript"/>
    </w:rPr>
  </w:style>
  <w:style w:type="character" w:styleId="751" w:customStyle="1">
    <w:name w:val="标题 2 Char"/>
    <w:uiPriority w:val="0"/>
    <w:qFormat/>
    <w:rPr>
      <w:rFonts w:ascii="Cambria" w:hAnsi="Cambria" w:eastAsia="宋体"/>
      <w:b/>
      <w:bCs/>
      <w:sz w:val="32"/>
      <w:szCs w:val="32"/>
    </w:rPr>
  </w:style>
  <w:style w:type="character" w:styleId="752" w:customStyle="1">
    <w:name w:val="标题 1 Char"/>
    <w:uiPriority w:val="0"/>
    <w:qFormat/>
    <w:rPr>
      <w:b/>
      <w:bCs/>
      <w:sz w:val="44"/>
      <w:szCs w:val="44"/>
    </w:rPr>
  </w:style>
  <w:style w:type="character" w:styleId="753" w:customStyle="1">
    <w:name w:val="标题 3 Char"/>
    <w:uiPriority w:val="0"/>
    <w:qFormat/>
    <w:rPr>
      <w:rFonts w:ascii="Arial" w:hAnsi="Arial" w:eastAsia="宋体"/>
      <w:b/>
      <w:sz w:val="32"/>
      <w:szCs w:val="20"/>
    </w:rPr>
  </w:style>
  <w:style w:type="character" w:styleId="754" w:customStyle="1">
    <w:name w:val="Heading 1 Char"/>
    <w:basedOn w:val="717"/>
    <w:uiPriority w:val="9"/>
    <w:qFormat/>
    <w:rPr>
      <w:rFonts w:ascii="Arial" w:hAnsi="Arial" w:eastAsia="Arial" w:cs="Arial"/>
      <w:sz w:val="40"/>
      <w:szCs w:val="40"/>
    </w:rPr>
  </w:style>
  <w:style w:type="character" w:styleId="755" w:customStyle="1">
    <w:name w:val="Heading 3 Char"/>
    <w:basedOn w:val="717"/>
    <w:uiPriority w:val="9"/>
    <w:qFormat/>
    <w:rPr>
      <w:rFonts w:ascii="Arial" w:hAnsi="Arial" w:eastAsia="Arial" w:cs="Arial"/>
      <w:sz w:val="30"/>
      <w:szCs w:val="30"/>
    </w:rPr>
  </w:style>
  <w:style w:type="character" w:styleId="756" w:customStyle="1">
    <w:name w:val="Heading 4 Char"/>
    <w:basedOn w:val="717"/>
    <w:uiPriority w:val="9"/>
    <w:qFormat/>
    <w:rPr>
      <w:rFonts w:ascii="Arial" w:hAnsi="Arial" w:eastAsia="Arial" w:cs="Arial"/>
      <w:b/>
      <w:bCs/>
      <w:sz w:val="26"/>
      <w:szCs w:val="26"/>
    </w:rPr>
  </w:style>
  <w:style w:type="character" w:styleId="757" w:customStyle="1">
    <w:name w:val="Heading 5 Char"/>
    <w:basedOn w:val="717"/>
    <w:uiPriority w:val="9"/>
    <w:qFormat/>
    <w:rPr>
      <w:rFonts w:ascii="Arial" w:hAnsi="Arial" w:eastAsia="Arial" w:cs="Arial"/>
      <w:b/>
      <w:bCs/>
      <w:sz w:val="24"/>
      <w:szCs w:val="24"/>
    </w:rPr>
  </w:style>
  <w:style w:type="character" w:styleId="758" w:customStyle="1">
    <w:name w:val="Heading 6 Char"/>
    <w:basedOn w:val="717"/>
    <w:uiPriority w:val="9"/>
    <w:qFormat/>
    <w:rPr>
      <w:rFonts w:ascii="Arial" w:hAnsi="Arial" w:eastAsia="Arial" w:cs="Arial"/>
      <w:b/>
      <w:bCs/>
      <w:sz w:val="22"/>
      <w:szCs w:val="22"/>
    </w:rPr>
  </w:style>
  <w:style w:type="character" w:styleId="759" w:customStyle="1">
    <w:name w:val="Heading 7 Char"/>
    <w:basedOn w:val="717"/>
    <w:uiPriority w:val="9"/>
    <w:qFormat/>
    <w:rPr>
      <w:rFonts w:ascii="Arial" w:hAnsi="Arial" w:eastAsia="Arial" w:cs="Arial"/>
      <w:b/>
      <w:bCs/>
      <w:i/>
      <w:iCs/>
      <w:sz w:val="22"/>
      <w:szCs w:val="22"/>
    </w:rPr>
  </w:style>
  <w:style w:type="character" w:styleId="760" w:customStyle="1">
    <w:name w:val="Heading 8 Char"/>
    <w:basedOn w:val="717"/>
    <w:uiPriority w:val="9"/>
    <w:qFormat/>
    <w:rPr>
      <w:rFonts w:ascii="Arial" w:hAnsi="Arial" w:eastAsia="Arial" w:cs="Arial"/>
      <w:i/>
      <w:iCs/>
      <w:sz w:val="22"/>
      <w:szCs w:val="22"/>
    </w:rPr>
  </w:style>
  <w:style w:type="character" w:styleId="761" w:customStyle="1">
    <w:name w:val="Heading 9 Char"/>
    <w:basedOn w:val="717"/>
    <w:uiPriority w:val="9"/>
    <w:qFormat/>
    <w:rPr>
      <w:rFonts w:ascii="Arial" w:hAnsi="Arial" w:eastAsia="Arial" w:cs="Arial"/>
      <w:i/>
      <w:iCs/>
      <w:sz w:val="21"/>
      <w:szCs w:val="21"/>
    </w:rPr>
  </w:style>
  <w:style w:type="character" w:styleId="762" w:customStyle="1">
    <w:name w:val="Title Char"/>
    <w:basedOn w:val="717"/>
    <w:uiPriority w:val="10"/>
    <w:qFormat/>
    <w:rPr>
      <w:sz w:val="48"/>
      <w:szCs w:val="48"/>
    </w:rPr>
  </w:style>
  <w:style w:type="character" w:styleId="763" w:customStyle="1">
    <w:name w:val="Subtitle Char"/>
    <w:basedOn w:val="717"/>
    <w:uiPriority w:val="11"/>
    <w:qFormat/>
    <w:rPr>
      <w:sz w:val="24"/>
      <w:szCs w:val="24"/>
    </w:rPr>
  </w:style>
  <w:style w:type="character" w:styleId="764" w:customStyle="1">
    <w:name w:val="Quote Char"/>
    <w:uiPriority w:val="29"/>
    <w:qFormat/>
    <w:rPr>
      <w:i/>
    </w:rPr>
  </w:style>
  <w:style w:type="character" w:styleId="765" w:customStyle="1">
    <w:name w:val="Intense Quote Char"/>
    <w:uiPriority w:val="30"/>
    <w:qFormat/>
    <w:rPr>
      <w:i/>
    </w:rPr>
  </w:style>
  <w:style w:type="character" w:styleId="766" w:customStyle="1">
    <w:name w:val="Header Char"/>
    <w:basedOn w:val="717"/>
    <w:uiPriority w:val="99"/>
    <w:qFormat/>
  </w:style>
  <w:style w:type="character" w:styleId="767" w:customStyle="1">
    <w:name w:val="Caption Char"/>
    <w:uiPriority w:val="99"/>
    <w:qFormat/>
  </w:style>
  <w:style w:type="table" w:styleId="768" w:customStyle="1">
    <w:name w:val="无格式表格 11"/>
    <w:basedOn w:val="71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718"/>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71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71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71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71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网格表 21"/>
    <w:basedOn w:val="718"/>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网格表 31"/>
    <w:basedOn w:val="718"/>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basedOn w:val="71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网格表 5 深色1"/>
    <w:basedOn w:val="71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网格表 6 彩色1"/>
    <w:basedOn w:val="71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网格表 7 彩色1"/>
    <w:basedOn w:val="718"/>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清单表 1 浅色1"/>
    <w:basedOn w:val="718"/>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清单表 21"/>
    <w:basedOn w:val="718"/>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清单表 31"/>
    <w:basedOn w:val="718"/>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41"/>
    <w:basedOn w:val="71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5 深色1"/>
    <w:basedOn w:val="718"/>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清单表 6 彩色1"/>
    <w:basedOn w:val="718"/>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清单表 7 彩色1"/>
    <w:basedOn w:val="718"/>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7" w:customStyle="1">
    <w:name w:val="Footnote Text Char"/>
    <w:uiPriority w:val="99"/>
    <w:qFormat/>
    <w:rPr>
      <w:sz w:val="18"/>
    </w:rPr>
  </w:style>
  <w:style w:type="character" w:styleId="788" w:customStyle="1">
    <w:name w:val="Endnote Text Char"/>
    <w:uiPriority w:val="99"/>
    <w:qFormat/>
    <w:rPr>
      <w:sz w:val="20"/>
    </w:rPr>
  </w:style>
  <w:style w:type="paragraph" w:styleId="789" w:customStyle="1">
    <w:name w:val="TOC 标题1"/>
    <w:uiPriority w:val="39"/>
    <w:unhideWhenUsed/>
    <w:qFormat/>
    <w:rPr>
      <w:rFonts w:ascii="Times New Roman" w:hAnsi="Times New Roman" w:eastAsia="宋体" w:cs="Times New Roman"/>
      <w:lang w:val="en-US" w:eastAsia="zh-CN" w:bidi="ar-SA"/>
    </w:rPr>
  </w:style>
  <w:style w:type="paragraph" w:styleId="790" w:customStyle="1">
    <w:name w:val="正文1"/>
    <w:basedOn w:val="791"/>
    <w:next w:val="795"/>
    <w:link w:val="1008"/>
    <w:uiPriority w:val="0"/>
    <w:qFormat/>
    <w:pPr>
      <w:jc w:val="both"/>
      <w:widowControl w:val="off"/>
    </w:pPr>
    <w:rPr>
      <w:rFonts w:ascii="Times New Roman" w:hAnsi="Times New Roman" w:eastAsia="宋体" w:cs="Times New Roman"/>
      <w:sz w:val="21"/>
      <w:szCs w:val="24"/>
      <w:lang w:val="en-US" w:eastAsia="zh-CN" w:bidi="ar-SA"/>
    </w:rPr>
  </w:style>
  <w:style w:type="paragraph" w:styleId="791" w:customStyle="1">
    <w:name w:val="正文111"/>
    <w:next w:val="792"/>
    <w:uiPriority w:val="0"/>
    <w:qFormat/>
    <w:pPr>
      <w:jc w:val="both"/>
      <w:widowControl w:val="off"/>
    </w:pPr>
    <w:rPr>
      <w:rFonts w:ascii="Times New Roman" w:hAnsi="Times New Roman" w:eastAsia="宋体" w:cs="Times New Roman"/>
      <w:sz w:val="21"/>
      <w:szCs w:val="24"/>
      <w:lang w:val="en-US" w:eastAsia="zh-CN" w:bidi="ar-SA"/>
    </w:rPr>
  </w:style>
  <w:style w:type="paragraph" w:styleId="792" w:customStyle="1">
    <w:name w:val="目录 111"/>
    <w:basedOn w:val="793"/>
    <w:next w:val="707"/>
    <w:uiPriority w:val="0"/>
    <w:qFormat/>
  </w:style>
  <w:style w:type="paragraph" w:styleId="793" w:customStyle="1">
    <w:name w:val="正文12"/>
    <w:next w:val="794"/>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94" w:customStyle="1">
    <w:name w:val="正文文本111"/>
    <w:basedOn w:val="793"/>
    <w:next w:val="793"/>
    <w:uiPriority w:val="0"/>
    <w:qFormat/>
  </w:style>
  <w:style w:type="paragraph" w:styleId="795" w:customStyle="1">
    <w:name w:val="目录 11"/>
    <w:basedOn w:val="793"/>
    <w:next w:val="793"/>
    <w:uiPriority w:val="0"/>
    <w:qFormat/>
  </w:style>
  <w:style w:type="paragraph" w:styleId="796" w:customStyle="1">
    <w:name w:val="脚注文本1"/>
    <w:basedOn w:val="790"/>
    <w:next w:val="797"/>
    <w:uiPriority w:val="0"/>
    <w:qFormat/>
    <w:pPr>
      <w:jc w:val="left"/>
    </w:pPr>
    <w:rPr>
      <w:rFonts w:ascii="宋体" w:eastAsia="Times New Roman"/>
      <w:sz w:val="18"/>
      <w:szCs w:val="18"/>
    </w:rPr>
  </w:style>
  <w:style w:type="paragraph" w:styleId="797" w:customStyle="1">
    <w:name w:val="索引 51"/>
    <w:basedOn w:val="790"/>
    <w:next w:val="790"/>
    <w:uiPriority w:val="0"/>
    <w:qFormat/>
    <w:pPr>
      <w:ind w:left="798"/>
      <w:jc w:val="left"/>
    </w:pPr>
    <w:rPr>
      <w:rFonts w:ascii="Calibri" w:hAnsi="Calibri"/>
    </w:rPr>
  </w:style>
  <w:style w:type="paragraph" w:styleId="798" w:customStyle="1">
    <w:name w:val="文本块1"/>
    <w:basedOn w:val="791"/>
    <w:next w:val="799"/>
    <w:uiPriority w:val="0"/>
    <w:qFormat/>
    <w:pPr>
      <w:ind w:left="420" w:right="33"/>
      <w:jc w:val="left"/>
    </w:pPr>
    <w:rPr>
      <w:sz w:val="24"/>
      <w:szCs w:val="20"/>
    </w:rPr>
  </w:style>
  <w:style w:type="paragraph" w:styleId="799" w:customStyle="1">
    <w:name w:val="标题 411"/>
    <w:basedOn w:val="793"/>
    <w:next w:val="800"/>
    <w:uiPriority w:val="0"/>
    <w:qFormat/>
    <w:pPr>
      <w:keepLines/>
      <w:keepNext/>
      <w:spacing w:before="280" w:after="290" w:line="376" w:lineRule="auto"/>
      <w:outlineLvl w:val="3"/>
    </w:pPr>
    <w:rPr>
      <w:rFonts w:ascii="Arial" w:hAnsi="Arial" w:eastAsia="黑体"/>
      <w:b/>
      <w:bCs/>
      <w:sz w:val="28"/>
      <w:szCs w:val="28"/>
    </w:rPr>
  </w:style>
  <w:style w:type="paragraph" w:styleId="800" w:customStyle="1">
    <w:name w:val="正文11"/>
    <w:next w:val="798"/>
    <w:uiPriority w:val="0"/>
    <w:qFormat/>
    <w:pPr>
      <w:jc w:val="both"/>
      <w:widowControl w:val="off"/>
    </w:pPr>
    <w:rPr>
      <w:rFonts w:ascii="Times New Roman" w:hAnsi="Times New Roman" w:eastAsia="宋体" w:cs="Times New Roman"/>
      <w:sz w:val="21"/>
      <w:szCs w:val="24"/>
      <w:lang w:val="en-US" w:eastAsia="zh-CN" w:bidi="ar-SA"/>
    </w:rPr>
  </w:style>
  <w:style w:type="paragraph" w:styleId="801" w:customStyle="1">
    <w:name w:val="正文文本缩进1"/>
    <w:basedOn w:val="800"/>
    <w:next w:val="802"/>
    <w:link w:val="978"/>
    <w:uiPriority w:val="0"/>
    <w:qFormat/>
    <w:pPr>
      <w:ind w:left="420"/>
      <w:spacing w:after="120"/>
    </w:pPr>
    <w:rPr>
      <w:rFonts w:ascii="Calibri" w:hAnsi="Calibri"/>
    </w:rPr>
  </w:style>
  <w:style w:type="paragraph" w:styleId="802" w:customStyle="1">
    <w:name w:val="寄信人地址1"/>
    <w:basedOn w:val="790"/>
    <w:uiPriority w:val="0"/>
    <w:qFormat/>
    <w:rPr>
      <w:rFonts w:ascii="Arial" w:hAnsi="Arial"/>
    </w:rPr>
  </w:style>
  <w:style w:type="paragraph" w:styleId="803" w:customStyle="1">
    <w:name w:val="标题 41"/>
    <w:basedOn w:val="790"/>
    <w:next w:val="800"/>
    <w:link w:val="953"/>
    <w:uiPriority w:val="0"/>
    <w:qFormat/>
    <w:pPr>
      <w:keepLines/>
      <w:keepNext/>
      <w:spacing w:before="280" w:after="290" w:line="376" w:lineRule="auto"/>
      <w:outlineLvl w:val="3"/>
    </w:pPr>
    <w:rPr>
      <w:rFonts w:ascii="Cambria" w:hAnsi="Cambria"/>
      <w:b/>
      <w:bCs/>
      <w:sz w:val="28"/>
      <w:szCs w:val="28"/>
    </w:rPr>
  </w:style>
  <w:style w:type="paragraph" w:styleId="804" w:customStyle="1">
    <w:name w:val="标题 111"/>
    <w:basedOn w:val="800"/>
    <w:next w:val="800"/>
    <w:uiPriority w:val="0"/>
    <w:qFormat/>
    <w:pPr>
      <w:jc w:val="center"/>
      <w:keepLines/>
      <w:keepNext/>
      <w:spacing w:line="578" w:lineRule="auto"/>
      <w:outlineLvl w:val="0"/>
    </w:pPr>
    <w:rPr>
      <w:rFonts w:eastAsia="新宋体"/>
      <w:b/>
      <w:bCs/>
      <w:sz w:val="30"/>
      <w:szCs w:val="44"/>
    </w:rPr>
  </w:style>
  <w:style w:type="paragraph" w:styleId="805" w:customStyle="1">
    <w:name w:val="正文文本1"/>
    <w:basedOn w:val="806"/>
    <w:next w:val="808"/>
    <w:link w:val="977"/>
    <w:uiPriority w:val="0"/>
    <w:qFormat/>
    <w:pPr>
      <w:spacing w:after="120"/>
    </w:pPr>
    <w:rPr>
      <w:rFonts w:ascii="Calibri" w:hAnsi="Calibri"/>
    </w:rPr>
  </w:style>
  <w:style w:type="paragraph" w:styleId="806" w:customStyle="1">
    <w:name w:val="正文1111"/>
    <w:next w:val="807"/>
    <w:uiPriority w:val="0"/>
    <w:qFormat/>
    <w:pPr>
      <w:jc w:val="both"/>
      <w:widowControl w:val="off"/>
    </w:pPr>
    <w:rPr>
      <w:rFonts w:ascii="Times New Roman" w:hAnsi="Times New Roman" w:eastAsia="宋体" w:cs="Times New Roman"/>
      <w:sz w:val="21"/>
      <w:szCs w:val="24"/>
      <w:lang w:val="en-US" w:eastAsia="zh-CN" w:bidi="ar-SA"/>
    </w:rPr>
  </w:style>
  <w:style w:type="paragraph" w:styleId="807" w:customStyle="1">
    <w:name w:val="标题 211"/>
    <w:basedOn w:val="800"/>
    <w:next w:val="806"/>
    <w:uiPriority w:val="0"/>
    <w:qFormat/>
    <w:pPr>
      <w:keepLines/>
      <w:keepNext/>
      <w:spacing w:before="260" w:after="260" w:line="416" w:lineRule="auto"/>
      <w:outlineLvl w:val="1"/>
    </w:pPr>
    <w:rPr>
      <w:rFonts w:ascii="Calibri Light" w:hAnsi="Calibri Light"/>
      <w:b/>
      <w:bCs/>
      <w:sz w:val="32"/>
      <w:szCs w:val="32"/>
    </w:rPr>
  </w:style>
  <w:style w:type="paragraph" w:styleId="808" w:customStyle="1">
    <w:name w:val="一级条标题"/>
    <w:basedOn w:val="809"/>
    <w:next w:val="81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9" w:customStyle="1">
    <w:name w:val="章标题"/>
    <w:next w:val="707"/>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10" w:customStyle="1">
    <w:name w:val="段"/>
    <w:basedOn w:val="790"/>
    <w:next w:val="707"/>
    <w:uiPriority w:val="0"/>
    <w:qFormat/>
    <w:pPr>
      <w:ind w:firstLine="200"/>
      <w:widowControl/>
    </w:pPr>
    <w:rPr>
      <w:rFonts w:ascii="宋体"/>
      <w:sz w:val="20"/>
      <w:szCs w:val="20"/>
    </w:rPr>
  </w:style>
  <w:style w:type="character" w:styleId="811" w:customStyle="1">
    <w:name w:val="标题 1 Char1"/>
    <w:link w:val="708"/>
    <w:uiPriority w:val="9"/>
    <w:qFormat/>
    <w:rPr>
      <w:rFonts w:ascii="Arial" w:hAnsi="Arial" w:eastAsia="Arial" w:cs="Arial"/>
      <w:sz w:val="40"/>
      <w:szCs w:val="40"/>
    </w:rPr>
  </w:style>
  <w:style w:type="character" w:styleId="812" w:customStyle="1">
    <w:name w:val="Heading 2 Char"/>
    <w:uiPriority w:val="9"/>
    <w:qFormat/>
    <w:rPr>
      <w:rFonts w:ascii="Arial" w:hAnsi="Arial" w:eastAsia="Arial" w:cs="Arial"/>
      <w:sz w:val="34"/>
    </w:rPr>
  </w:style>
  <w:style w:type="character" w:styleId="813" w:customStyle="1">
    <w:name w:val="标题 3 Char1"/>
    <w:link w:val="710"/>
    <w:uiPriority w:val="9"/>
    <w:qFormat/>
    <w:rPr>
      <w:rFonts w:ascii="Arial" w:hAnsi="Arial" w:eastAsia="Arial" w:cs="Arial"/>
      <w:sz w:val="30"/>
      <w:szCs w:val="30"/>
    </w:rPr>
  </w:style>
  <w:style w:type="character" w:styleId="814" w:customStyle="1">
    <w:name w:val="标题 4 Char1"/>
    <w:link w:val="711"/>
    <w:uiPriority w:val="9"/>
    <w:qFormat/>
    <w:rPr>
      <w:rFonts w:ascii="Arial" w:hAnsi="Arial" w:eastAsia="Arial" w:cs="Arial"/>
      <w:b/>
      <w:bCs/>
      <w:sz w:val="26"/>
      <w:szCs w:val="26"/>
    </w:rPr>
  </w:style>
  <w:style w:type="character" w:styleId="815" w:customStyle="1">
    <w:name w:val="标题 5 Char"/>
    <w:link w:val="712"/>
    <w:uiPriority w:val="9"/>
    <w:qFormat/>
    <w:rPr>
      <w:rFonts w:ascii="Arial" w:hAnsi="Arial" w:eastAsia="Arial" w:cs="Arial"/>
      <w:b/>
      <w:bCs/>
      <w:sz w:val="24"/>
      <w:szCs w:val="24"/>
    </w:rPr>
  </w:style>
  <w:style w:type="character" w:styleId="816" w:customStyle="1">
    <w:name w:val="标题 6 Char"/>
    <w:link w:val="713"/>
    <w:uiPriority w:val="9"/>
    <w:qFormat/>
    <w:rPr>
      <w:rFonts w:ascii="Arial" w:hAnsi="Arial" w:eastAsia="Arial" w:cs="Arial"/>
      <w:b/>
      <w:bCs/>
      <w:sz w:val="22"/>
      <w:szCs w:val="22"/>
    </w:rPr>
  </w:style>
  <w:style w:type="character" w:styleId="817" w:customStyle="1">
    <w:name w:val="标题 7 Char"/>
    <w:link w:val="714"/>
    <w:uiPriority w:val="9"/>
    <w:qFormat/>
    <w:rPr>
      <w:rFonts w:ascii="Arial" w:hAnsi="Arial" w:eastAsia="Arial" w:cs="Arial"/>
      <w:b/>
      <w:bCs/>
      <w:i/>
      <w:iCs/>
      <w:sz w:val="22"/>
      <w:szCs w:val="22"/>
    </w:rPr>
  </w:style>
  <w:style w:type="character" w:styleId="818" w:customStyle="1">
    <w:name w:val="标题 8 Char"/>
    <w:link w:val="715"/>
    <w:uiPriority w:val="9"/>
    <w:qFormat/>
    <w:rPr>
      <w:rFonts w:ascii="Arial" w:hAnsi="Arial" w:eastAsia="Arial" w:cs="Arial"/>
      <w:i/>
      <w:iCs/>
      <w:sz w:val="22"/>
      <w:szCs w:val="22"/>
    </w:rPr>
  </w:style>
  <w:style w:type="character" w:styleId="819" w:customStyle="1">
    <w:name w:val="标题 9 Char"/>
    <w:link w:val="716"/>
    <w:uiPriority w:val="9"/>
    <w:qFormat/>
    <w:rPr>
      <w:rFonts w:ascii="Arial" w:hAnsi="Arial" w:eastAsia="Arial" w:cs="Arial"/>
      <w:i/>
      <w:iCs/>
      <w:sz w:val="21"/>
      <w:szCs w:val="21"/>
    </w:rPr>
  </w:style>
  <w:style w:type="paragraph" w:styleId="820">
    <w:name w:val="List Paragraph"/>
    <w:basedOn w:val="707"/>
    <w:uiPriority w:val="34"/>
    <w:qFormat/>
    <w:pPr>
      <w:contextualSpacing/>
      <w:ind w:left="720"/>
    </w:pPr>
  </w:style>
  <w:style w:type="paragraph" w:styleId="821">
    <w:name w:val="No Spacing"/>
    <w:uiPriority w:val="1"/>
    <w:qFormat/>
    <w:rPr>
      <w:rFonts w:ascii="Times New Roman" w:hAnsi="Times New Roman" w:eastAsia="宋体" w:cs="Times New Roman"/>
      <w:lang w:val="en-US" w:eastAsia="zh-CN" w:bidi="ar-SA"/>
    </w:rPr>
  </w:style>
  <w:style w:type="character" w:styleId="822" w:customStyle="1">
    <w:name w:val="标题 Char"/>
    <w:link w:val="745"/>
    <w:uiPriority w:val="10"/>
    <w:qFormat/>
    <w:rPr>
      <w:sz w:val="48"/>
      <w:szCs w:val="48"/>
    </w:rPr>
  </w:style>
  <w:style w:type="character" w:styleId="823" w:customStyle="1">
    <w:name w:val="副标题 Char"/>
    <w:link w:val="737"/>
    <w:uiPriority w:val="11"/>
    <w:qFormat/>
    <w:rPr>
      <w:sz w:val="24"/>
      <w:szCs w:val="24"/>
    </w:rPr>
  </w:style>
  <w:style w:type="paragraph" w:styleId="824">
    <w:name w:val="Quote"/>
    <w:link w:val="825"/>
    <w:uiPriority w:val="29"/>
    <w:qFormat/>
    <w:pPr>
      <w:ind w:left="720" w:right="720"/>
    </w:pPr>
    <w:rPr>
      <w:rFonts w:ascii="Times New Roman" w:hAnsi="Times New Roman" w:eastAsia="宋体" w:cs="Times New Roman"/>
      <w:i/>
      <w:lang w:val="en-US" w:eastAsia="zh-CN" w:bidi="ar-SA"/>
    </w:rPr>
  </w:style>
  <w:style w:type="character" w:styleId="825" w:customStyle="1">
    <w:name w:val="引用 Char"/>
    <w:link w:val="824"/>
    <w:uiPriority w:val="29"/>
    <w:qFormat/>
    <w:rPr>
      <w:i/>
    </w:rPr>
  </w:style>
  <w:style w:type="paragraph" w:styleId="826">
    <w:name w:val="Intense Quote"/>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27" w:customStyle="1">
    <w:name w:val="明显引用 Char"/>
    <w:link w:val="826"/>
    <w:uiPriority w:val="30"/>
    <w:qFormat/>
    <w:rPr>
      <w:i/>
    </w:rPr>
  </w:style>
  <w:style w:type="character" w:styleId="828" w:customStyle="1">
    <w:name w:val="页眉 Char1"/>
    <w:link w:val="734"/>
    <w:uiPriority w:val="99"/>
    <w:qFormat/>
  </w:style>
  <w:style w:type="character" w:styleId="829" w:customStyle="1">
    <w:name w:val="Footer Char"/>
    <w:uiPriority w:val="99"/>
    <w:qFormat/>
  </w:style>
  <w:style w:type="character" w:styleId="830" w:customStyle="1">
    <w:name w:val="页脚 Char1"/>
    <w:link w:val="733"/>
    <w:uiPriority w:val="99"/>
    <w:qFormat/>
  </w:style>
  <w:style w:type="table" w:styleId="83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4" w:customStyle="1">
    <w:name w:val="List Table 1 Light - Accent 1"/>
    <w:uiPriority w:val="99"/>
    <w:qFormat/>
    <w:tblPr>
      <w:tblCellMar>
        <w:left w:w="0" w:type="dxa"/>
        <w:top w:w="0" w:type="dxa"/>
        <w:right w:w="0" w:type="dxa"/>
        <w:bottom w:w="0" w:type="dxa"/>
      </w:tblCellMar>
    </w:tblPr>
  </w:style>
  <w:style w:type="table" w:styleId="875" w:customStyle="1">
    <w:name w:val="List Table 1 Light - Accent 2"/>
    <w:uiPriority w:val="99"/>
    <w:qFormat/>
    <w:tblPr>
      <w:tblCellMar>
        <w:left w:w="0" w:type="dxa"/>
        <w:top w:w="0" w:type="dxa"/>
        <w:right w:w="0" w:type="dxa"/>
        <w:bottom w:w="0" w:type="dxa"/>
      </w:tblCellMar>
    </w:tblPr>
  </w:style>
  <w:style w:type="table" w:styleId="876" w:customStyle="1">
    <w:name w:val="List Table 1 Light - Accent 3"/>
    <w:uiPriority w:val="99"/>
    <w:qFormat/>
    <w:tblPr>
      <w:tblCellMar>
        <w:left w:w="0" w:type="dxa"/>
        <w:top w:w="0" w:type="dxa"/>
        <w:right w:w="0" w:type="dxa"/>
        <w:bottom w:w="0" w:type="dxa"/>
      </w:tblCellMar>
    </w:tblPr>
  </w:style>
  <w:style w:type="table" w:styleId="877" w:customStyle="1">
    <w:name w:val="List Table 1 Light - Accent 4"/>
    <w:uiPriority w:val="99"/>
    <w:qFormat/>
    <w:tblPr>
      <w:tblCellMar>
        <w:left w:w="0" w:type="dxa"/>
        <w:top w:w="0" w:type="dxa"/>
        <w:right w:w="0" w:type="dxa"/>
        <w:bottom w:w="0" w:type="dxa"/>
      </w:tblCellMar>
    </w:tblPr>
  </w:style>
  <w:style w:type="table" w:styleId="878" w:customStyle="1">
    <w:name w:val="List Table 1 Light - Accent 5"/>
    <w:uiPriority w:val="99"/>
    <w:qFormat/>
    <w:tblPr>
      <w:tblCellMar>
        <w:left w:w="0" w:type="dxa"/>
        <w:top w:w="0" w:type="dxa"/>
        <w:right w:w="0" w:type="dxa"/>
        <w:bottom w:w="0" w:type="dxa"/>
      </w:tblCellMar>
    </w:tblPr>
  </w:style>
  <w:style w:type="table" w:styleId="879" w:customStyle="1">
    <w:name w:val="List Table 1 Light - Accent 6"/>
    <w:uiPriority w:val="99"/>
    <w:qFormat/>
    <w:tblPr>
      <w:tblCellMar>
        <w:left w:w="0" w:type="dxa"/>
        <w:top w:w="0" w:type="dxa"/>
        <w:right w:w="0" w:type="dxa"/>
        <w:bottom w:w="0" w:type="dxa"/>
      </w:tblCellMar>
    </w:tblPr>
  </w:style>
  <w:style w:type="table" w:styleId="88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6" w:customStyle="1">
    <w:name w:val="Lined - Accent"/>
    <w:uiPriority w:val="99"/>
    <w:qFormat/>
    <w:rPr>
      <w:color w:val="404040"/>
    </w:rPr>
    <w:tblPr>
      <w:tblCellMar>
        <w:left w:w="0" w:type="dxa"/>
        <w:top w:w="0" w:type="dxa"/>
        <w:right w:w="0" w:type="dxa"/>
        <w:bottom w:w="0" w:type="dxa"/>
      </w:tblCellMar>
    </w:tblPr>
  </w:style>
  <w:style w:type="table" w:styleId="917" w:customStyle="1">
    <w:name w:val="Lined - Accent 1"/>
    <w:uiPriority w:val="99"/>
    <w:qFormat/>
    <w:rPr>
      <w:color w:val="404040"/>
    </w:rPr>
    <w:tblPr>
      <w:tblCellMar>
        <w:left w:w="0" w:type="dxa"/>
        <w:top w:w="0" w:type="dxa"/>
        <w:right w:w="0" w:type="dxa"/>
        <w:bottom w:w="0" w:type="dxa"/>
      </w:tblCellMar>
    </w:tblPr>
  </w:style>
  <w:style w:type="table" w:styleId="918" w:customStyle="1">
    <w:name w:val="Lined - Accent 2"/>
    <w:uiPriority w:val="99"/>
    <w:qFormat/>
    <w:rPr>
      <w:color w:val="404040"/>
    </w:rPr>
    <w:tblPr>
      <w:tblCellMar>
        <w:left w:w="0" w:type="dxa"/>
        <w:top w:w="0" w:type="dxa"/>
        <w:right w:w="0" w:type="dxa"/>
        <w:bottom w:w="0" w:type="dxa"/>
      </w:tblCellMar>
    </w:tblPr>
  </w:style>
  <w:style w:type="table" w:styleId="919" w:customStyle="1">
    <w:name w:val="Lined - Accent 3"/>
    <w:uiPriority w:val="99"/>
    <w:qFormat/>
    <w:rPr>
      <w:color w:val="404040"/>
    </w:rPr>
    <w:tblPr>
      <w:tblCellMar>
        <w:left w:w="0" w:type="dxa"/>
        <w:top w:w="0" w:type="dxa"/>
        <w:right w:w="0" w:type="dxa"/>
        <w:bottom w:w="0" w:type="dxa"/>
      </w:tblCellMar>
    </w:tblPr>
  </w:style>
  <w:style w:type="table" w:styleId="920" w:customStyle="1">
    <w:name w:val="Lined - Accent 4"/>
    <w:uiPriority w:val="99"/>
    <w:qFormat/>
    <w:rPr>
      <w:color w:val="404040"/>
    </w:rPr>
    <w:tblPr>
      <w:tblCellMar>
        <w:left w:w="0" w:type="dxa"/>
        <w:top w:w="0" w:type="dxa"/>
        <w:right w:w="0" w:type="dxa"/>
        <w:bottom w:w="0" w:type="dxa"/>
      </w:tblCellMar>
    </w:tblPr>
  </w:style>
  <w:style w:type="table" w:styleId="921" w:customStyle="1">
    <w:name w:val="Lined - Accent 5"/>
    <w:uiPriority w:val="99"/>
    <w:qFormat/>
    <w:rPr>
      <w:color w:val="404040"/>
    </w:rPr>
    <w:tblPr>
      <w:tblCellMar>
        <w:left w:w="0" w:type="dxa"/>
        <w:top w:w="0" w:type="dxa"/>
        <w:right w:w="0" w:type="dxa"/>
        <w:bottom w:w="0" w:type="dxa"/>
      </w:tblCellMar>
    </w:tblPr>
  </w:style>
  <w:style w:type="table" w:styleId="922" w:customStyle="1">
    <w:name w:val="Lined - Accent 6"/>
    <w:uiPriority w:val="99"/>
    <w:qFormat/>
    <w:rPr>
      <w:color w:val="404040"/>
    </w:rPr>
    <w:tblPr>
      <w:tblCellMar>
        <w:left w:w="0" w:type="dxa"/>
        <w:top w:w="0" w:type="dxa"/>
        <w:right w:w="0" w:type="dxa"/>
        <w:bottom w:w="0" w:type="dxa"/>
      </w:tblCellMar>
    </w:tblPr>
  </w:style>
  <w:style w:type="table" w:styleId="92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7" w:customStyle="1">
    <w:name w:val="脚注文本 Char"/>
    <w:link w:val="738"/>
    <w:uiPriority w:val="99"/>
    <w:qFormat/>
    <w:rPr>
      <w:sz w:val="18"/>
    </w:rPr>
  </w:style>
  <w:style w:type="character" w:styleId="938" w:customStyle="1">
    <w:name w:val="尾注文本 Char"/>
    <w:link w:val="732"/>
    <w:uiPriority w:val="99"/>
    <w:qFormat/>
    <w:rPr>
      <w:sz w:val="20"/>
    </w:rPr>
  </w:style>
  <w:style w:type="paragraph" w:styleId="939" w:customStyle="1">
    <w:name w:val="TOC 标题11"/>
    <w:uiPriority w:val="39"/>
    <w:unhideWhenUsed/>
    <w:qFormat/>
    <w:rPr>
      <w:rFonts w:ascii="Times New Roman" w:hAnsi="Times New Roman" w:eastAsia="宋体" w:cs="Times New Roman"/>
      <w:lang w:val="en-US" w:eastAsia="zh-CN" w:bidi="ar-SA"/>
    </w:rPr>
  </w:style>
  <w:style w:type="paragraph" w:styleId="940" w:customStyle="1">
    <w:name w:val="标题 11"/>
    <w:basedOn w:val="790"/>
    <w:next w:val="800"/>
    <w:link w:val="968"/>
    <w:uiPriority w:val="0"/>
    <w:qFormat/>
    <w:pPr>
      <w:jc w:val="center"/>
      <w:keepLines/>
      <w:keepNext/>
      <w:spacing w:line="578" w:lineRule="auto"/>
      <w:outlineLvl w:val="0"/>
    </w:pPr>
    <w:rPr>
      <w:rFonts w:eastAsia="新宋体"/>
      <w:b/>
      <w:bCs/>
      <w:sz w:val="30"/>
      <w:szCs w:val="44"/>
    </w:rPr>
  </w:style>
  <w:style w:type="paragraph" w:styleId="941" w:customStyle="1">
    <w:name w:val="标题 21"/>
    <w:basedOn w:val="790"/>
    <w:next w:val="790"/>
    <w:link w:val="958"/>
    <w:uiPriority w:val="0"/>
    <w:qFormat/>
    <w:pPr>
      <w:keepLines/>
      <w:keepNext/>
      <w:spacing w:before="260" w:after="260" w:line="416" w:lineRule="auto"/>
      <w:outlineLvl w:val="1"/>
    </w:pPr>
    <w:rPr>
      <w:rFonts w:ascii="Cambria" w:hAnsi="Cambria"/>
      <w:b/>
      <w:bCs/>
      <w:sz w:val="32"/>
      <w:szCs w:val="32"/>
    </w:rPr>
  </w:style>
  <w:style w:type="paragraph" w:styleId="942" w:customStyle="1">
    <w:name w:val="标题 31"/>
    <w:basedOn w:val="790"/>
    <w:next w:val="790"/>
    <w:link w:val="954"/>
    <w:uiPriority w:val="0"/>
    <w:qFormat/>
    <w:pPr>
      <w:keepLines/>
      <w:keepNext/>
      <w:spacing w:before="260" w:after="260" w:line="416" w:lineRule="auto"/>
      <w:outlineLvl w:val="2"/>
    </w:pPr>
    <w:rPr>
      <w:b/>
      <w:bCs/>
      <w:sz w:val="32"/>
      <w:szCs w:val="32"/>
    </w:rPr>
  </w:style>
  <w:style w:type="paragraph" w:styleId="943" w:customStyle="1">
    <w:name w:val="标题 51"/>
    <w:basedOn w:val="790"/>
    <w:next w:val="790"/>
    <w:link w:val="967"/>
    <w:uiPriority w:val="0"/>
    <w:qFormat/>
    <w:pPr>
      <w:keepLines/>
      <w:keepNext/>
      <w:spacing w:before="280" w:after="290" w:line="376" w:lineRule="auto"/>
      <w:outlineLvl w:val="4"/>
    </w:pPr>
    <w:rPr>
      <w:b/>
      <w:bCs/>
      <w:sz w:val="28"/>
      <w:szCs w:val="28"/>
    </w:rPr>
  </w:style>
  <w:style w:type="paragraph" w:styleId="944" w:customStyle="1">
    <w:name w:val="标题 71"/>
    <w:basedOn w:val="790"/>
    <w:next w:val="790"/>
    <w:link w:val="972"/>
    <w:uiPriority w:val="0"/>
    <w:qFormat/>
    <w:pPr>
      <w:keepLines/>
      <w:keepNext/>
      <w:spacing w:before="240" w:after="64" w:line="320" w:lineRule="auto"/>
      <w:outlineLvl w:val="6"/>
    </w:pPr>
    <w:rPr>
      <w:rFonts w:ascii="Calibri" w:hAnsi="Calibri"/>
      <w:b/>
      <w:bCs/>
      <w:sz w:val="24"/>
    </w:rPr>
  </w:style>
  <w:style w:type="character" w:styleId="945" w:customStyle="1">
    <w:name w:val="默认段落字体1"/>
    <w:uiPriority w:val="0"/>
    <w:semiHidden/>
    <w:qFormat/>
  </w:style>
  <w:style w:type="table" w:styleId="946" w:customStyle="1">
    <w:name w:val="普通表格1"/>
    <w:uiPriority w:val="0"/>
    <w:semiHidden/>
    <w:qFormat/>
    <w:tblPr>
      <w:tblCellMar>
        <w:left w:w="0" w:type="dxa"/>
        <w:top w:w="0" w:type="dxa"/>
        <w:right w:w="0" w:type="dxa"/>
        <w:bottom w:w="0" w:type="dxa"/>
      </w:tblCellMar>
    </w:tblPr>
  </w:style>
  <w:style w:type="character" w:styleId="947" w:customStyle="1">
    <w:name w:val="超链接1"/>
    <w:uiPriority w:val="0"/>
    <w:qFormat/>
    <w:rPr>
      <w:color w:val="0000ff"/>
      <w:u w:val="single"/>
    </w:rPr>
  </w:style>
  <w:style w:type="character" w:styleId="948" w:customStyle="1">
    <w:name w:val="批注引用1"/>
    <w:uiPriority w:val="0"/>
    <w:qFormat/>
    <w:rPr>
      <w:sz w:val="21"/>
      <w:szCs w:val="21"/>
    </w:rPr>
  </w:style>
  <w:style w:type="character" w:styleId="949" w:customStyle="1">
    <w:name w:val="强调1"/>
    <w:uiPriority w:val="0"/>
    <w:qFormat/>
    <w:rPr>
      <w:i/>
    </w:rPr>
  </w:style>
  <w:style w:type="character" w:styleId="950" w:customStyle="1">
    <w:name w:val="要点1"/>
    <w:uiPriority w:val="0"/>
    <w:qFormat/>
    <w:rPr>
      <w:b/>
      <w:bCs/>
    </w:rPr>
  </w:style>
  <w:style w:type="character" w:styleId="951" w:customStyle="1">
    <w:name w:val="页码1"/>
    <w:uiPriority w:val="0"/>
    <w:qFormat/>
  </w:style>
  <w:style w:type="character" w:styleId="952" w:customStyle="1">
    <w:name w:val="日期 Char"/>
    <w:uiPriority w:val="0"/>
    <w:semiHidden/>
    <w:qFormat/>
  </w:style>
  <w:style w:type="character" w:styleId="953" w:customStyle="1">
    <w:name w:val="标题 4 字符1"/>
    <w:link w:val="803"/>
    <w:uiPriority w:val="0"/>
    <w:semiHidden/>
    <w:qFormat/>
    <w:rPr>
      <w:rFonts w:ascii="Cambria" w:hAnsi="Cambria"/>
      <w:b/>
      <w:bCs/>
      <w:sz w:val="28"/>
      <w:szCs w:val="28"/>
    </w:rPr>
  </w:style>
  <w:style w:type="character" w:styleId="954" w:customStyle="1">
    <w:name w:val="标题 3 字符"/>
    <w:link w:val="942"/>
    <w:uiPriority w:val="0"/>
    <w:semiHidden/>
    <w:qFormat/>
    <w:rPr>
      <w:b/>
      <w:bCs/>
      <w:sz w:val="32"/>
      <w:szCs w:val="32"/>
    </w:rPr>
  </w:style>
  <w:style w:type="character" w:styleId="955" w:customStyle="1">
    <w:name w:val="标题 4 Char"/>
    <w:uiPriority w:val="0"/>
    <w:semiHidden/>
    <w:qFormat/>
    <w:rPr>
      <w:rFonts w:ascii="Cambria" w:hAnsi="Cambria" w:eastAsia="宋体"/>
      <w:b/>
      <w:bCs/>
      <w:sz w:val="28"/>
      <w:szCs w:val="28"/>
    </w:rPr>
  </w:style>
  <w:style w:type="character" w:styleId="956" w:customStyle="1">
    <w:name w:val="批注框文本 字符"/>
    <w:link w:val="957"/>
    <w:uiPriority w:val="0"/>
    <w:qFormat/>
    <w:rPr>
      <w:sz w:val="18"/>
      <w:szCs w:val="18"/>
    </w:rPr>
  </w:style>
  <w:style w:type="paragraph" w:styleId="957" w:customStyle="1">
    <w:name w:val="批注框文本1"/>
    <w:basedOn w:val="790"/>
    <w:link w:val="956"/>
    <w:uiPriority w:val="0"/>
    <w:qFormat/>
    <w:rPr>
      <w:sz w:val="18"/>
      <w:szCs w:val="18"/>
    </w:rPr>
  </w:style>
  <w:style w:type="character" w:styleId="958" w:customStyle="1">
    <w:name w:val="标题 2 字符1"/>
    <w:link w:val="941"/>
    <w:uiPriority w:val="0"/>
    <w:qFormat/>
    <w:rPr>
      <w:rFonts w:ascii="Cambria" w:hAnsi="Cambria"/>
      <w:b/>
      <w:bCs/>
      <w:sz w:val="32"/>
      <w:szCs w:val="32"/>
    </w:rPr>
  </w:style>
  <w:style w:type="character" w:styleId="959" w:customStyle="1">
    <w:name w:val="正文文本首行缩进 字符"/>
    <w:uiPriority w:val="0"/>
    <w:qFormat/>
  </w:style>
  <w:style w:type="character" w:styleId="960" w:customStyle="1">
    <w:name w:val="批注框文本 Char"/>
    <w:uiPriority w:val="0"/>
    <w:semiHidden/>
    <w:qFormat/>
    <w:rPr>
      <w:sz w:val="18"/>
      <w:szCs w:val="18"/>
    </w:rPr>
  </w:style>
  <w:style w:type="character" w:styleId="961" w:customStyle="1">
    <w:name w:val="批注主题 字符"/>
    <w:link w:val="962"/>
    <w:uiPriority w:val="0"/>
    <w:qFormat/>
    <w:rPr>
      <w:b/>
      <w:bCs/>
      <w:sz w:val="21"/>
      <w:szCs w:val="24"/>
    </w:rPr>
  </w:style>
  <w:style w:type="paragraph" w:styleId="962" w:customStyle="1">
    <w:name w:val="批注主题1"/>
    <w:basedOn w:val="963"/>
    <w:next w:val="963"/>
    <w:link w:val="961"/>
    <w:uiPriority w:val="0"/>
    <w:qFormat/>
    <w:rPr>
      <w:b/>
      <w:bCs/>
    </w:rPr>
  </w:style>
  <w:style w:type="paragraph" w:styleId="963" w:customStyle="1">
    <w:name w:val="批注文字1"/>
    <w:basedOn w:val="790"/>
    <w:link w:val="964"/>
    <w:uiPriority w:val="0"/>
    <w:qFormat/>
    <w:pPr>
      <w:jc w:val="left"/>
    </w:pPr>
  </w:style>
  <w:style w:type="character" w:styleId="964" w:customStyle="1">
    <w:name w:val="批注文字 字符"/>
    <w:link w:val="963"/>
    <w:uiPriority w:val="0"/>
    <w:qFormat/>
    <w:rPr>
      <w:sz w:val="21"/>
      <w:szCs w:val="24"/>
    </w:rPr>
  </w:style>
  <w:style w:type="character" w:styleId="965" w:customStyle="1">
    <w:name w:val="页眉 字符"/>
    <w:link w:val="966"/>
    <w:uiPriority w:val="0"/>
    <w:qFormat/>
    <w:rPr>
      <w:sz w:val="18"/>
      <w:szCs w:val="18"/>
    </w:rPr>
  </w:style>
  <w:style w:type="paragraph" w:styleId="966" w:customStyle="1">
    <w:name w:val="页眉1"/>
    <w:basedOn w:val="790"/>
    <w:link w:val="965"/>
    <w:uiPriority w:val="0"/>
    <w:qFormat/>
    <w:pPr>
      <w:jc w:val="center"/>
      <w:tabs>
        <w:tab w:val="center" w:pos="4153" w:leader="none"/>
        <w:tab w:val="right" w:pos="8306" w:leader="none"/>
      </w:tabs>
      <w:pBdr>
        <w:bottom w:val="single" w:color="000000" w:sz="6" w:space="1"/>
      </w:pBdr>
    </w:pPr>
    <w:rPr>
      <w:sz w:val="18"/>
      <w:szCs w:val="18"/>
    </w:rPr>
  </w:style>
  <w:style w:type="character" w:styleId="967" w:customStyle="1">
    <w:name w:val="标题 5 字符"/>
    <w:link w:val="943"/>
    <w:uiPriority w:val="0"/>
    <w:semiHidden/>
    <w:qFormat/>
    <w:rPr>
      <w:b/>
      <w:bCs/>
      <w:sz w:val="28"/>
      <w:szCs w:val="28"/>
    </w:rPr>
  </w:style>
  <w:style w:type="character" w:styleId="968" w:customStyle="1">
    <w:name w:val="标题 1 字符"/>
    <w:link w:val="940"/>
    <w:uiPriority w:val="0"/>
    <w:qFormat/>
    <w:rPr>
      <w:rFonts w:eastAsia="新宋体"/>
      <w:b/>
      <w:bCs/>
      <w:sz w:val="30"/>
      <w:szCs w:val="44"/>
    </w:rPr>
  </w:style>
  <w:style w:type="character" w:styleId="969" w:customStyle="1">
    <w:name w:val="标题 4 字符"/>
    <w:uiPriority w:val="0"/>
    <w:semiHidden/>
    <w:qFormat/>
    <w:rPr>
      <w:rFonts w:ascii="等线 Light" w:hAnsi="等线 Light" w:eastAsia="等线 Light"/>
      <w:b/>
      <w:bCs/>
      <w:sz w:val="28"/>
      <w:szCs w:val="28"/>
    </w:rPr>
  </w:style>
  <w:style w:type="character" w:styleId="970" w:customStyle="1">
    <w:name w:val="纯文本 Char"/>
    <w:uiPriority w:val="0"/>
    <w:qFormat/>
    <w:rPr>
      <w:rFonts w:ascii="宋体" w:hAnsi="Courier New" w:eastAsia="宋体"/>
      <w:sz w:val="21"/>
      <w:szCs w:val="21"/>
    </w:rPr>
  </w:style>
  <w:style w:type="character" w:styleId="971" w:customStyle="1">
    <w:name w:val="apple-converted-space"/>
    <w:uiPriority w:val="0"/>
    <w:qFormat/>
  </w:style>
  <w:style w:type="character" w:styleId="972" w:customStyle="1">
    <w:name w:val="标题 7 字符"/>
    <w:link w:val="944"/>
    <w:uiPriority w:val="0"/>
    <w:semiHidden/>
    <w:qFormat/>
    <w:rPr>
      <w:rFonts w:ascii="Calibri" w:hAnsi="Calibri"/>
      <w:b/>
      <w:bCs/>
      <w:sz w:val="24"/>
      <w:szCs w:val="24"/>
    </w:rPr>
  </w:style>
  <w:style w:type="character" w:styleId="973" w:customStyle="1">
    <w:name w:val="正文缩进 字符"/>
    <w:link w:val="974"/>
    <w:uiPriority w:val="0"/>
    <w:qFormat/>
    <w:rPr>
      <w:sz w:val="21"/>
      <w:szCs w:val="24"/>
      <w:lang w:bidi="ar-SA"/>
    </w:rPr>
  </w:style>
  <w:style w:type="paragraph" w:styleId="974" w:customStyle="1">
    <w:name w:val="正文缩进1"/>
    <w:basedOn w:val="790"/>
    <w:link w:val="973"/>
    <w:uiPriority w:val="0"/>
    <w:qFormat/>
    <w:pPr>
      <w:ind w:firstLine="420"/>
    </w:pPr>
  </w:style>
  <w:style w:type="character" w:styleId="975" w:customStyle="1">
    <w:name w:val="文档结构图 字符1"/>
    <w:link w:val="976"/>
    <w:uiPriority w:val="0"/>
    <w:qFormat/>
    <w:rPr>
      <w:rFonts w:ascii="宋体" w:hAnsi="Calibri"/>
      <w:sz w:val="18"/>
      <w:szCs w:val="18"/>
    </w:rPr>
  </w:style>
  <w:style w:type="paragraph" w:styleId="976" w:customStyle="1">
    <w:name w:val="文档结构图1"/>
    <w:basedOn w:val="790"/>
    <w:link w:val="975"/>
    <w:uiPriority w:val="0"/>
    <w:qFormat/>
    <w:rPr>
      <w:rFonts w:ascii="宋体" w:hAnsi="Calibri"/>
      <w:sz w:val="18"/>
      <w:szCs w:val="18"/>
    </w:rPr>
  </w:style>
  <w:style w:type="character" w:styleId="977" w:customStyle="1">
    <w:name w:val="正文文本 字符"/>
    <w:link w:val="805"/>
    <w:uiPriority w:val="0"/>
    <w:qFormat/>
    <w:rPr>
      <w:rFonts w:ascii="Calibri" w:hAnsi="Calibri"/>
      <w:sz w:val="21"/>
      <w:szCs w:val="24"/>
    </w:rPr>
  </w:style>
  <w:style w:type="character" w:styleId="978" w:customStyle="1">
    <w:name w:val="正文文本缩进 字符"/>
    <w:link w:val="801"/>
    <w:uiPriority w:val="0"/>
    <w:qFormat/>
    <w:rPr>
      <w:rFonts w:ascii="Calibri" w:hAnsi="Calibri"/>
      <w:sz w:val="21"/>
      <w:szCs w:val="24"/>
    </w:rPr>
  </w:style>
  <w:style w:type="character" w:styleId="979" w:customStyle="1">
    <w:name w:val="纯文本 字符"/>
    <w:link w:val="980"/>
    <w:uiPriority w:val="0"/>
    <w:qFormat/>
    <w:rPr>
      <w:rFonts w:ascii="宋体" w:hAnsi="Courier New"/>
      <w:sz w:val="21"/>
    </w:rPr>
  </w:style>
  <w:style w:type="paragraph" w:styleId="980" w:customStyle="1">
    <w:name w:val="纯文本1"/>
    <w:basedOn w:val="790"/>
    <w:link w:val="979"/>
    <w:uiPriority w:val="0"/>
    <w:qFormat/>
    <w:rPr>
      <w:rFonts w:ascii="宋体" w:hAnsi="Courier New"/>
      <w:sz w:val="20"/>
      <w:szCs w:val="20"/>
    </w:rPr>
  </w:style>
  <w:style w:type="character" w:styleId="981" w:customStyle="1">
    <w:name w:val="日期 字符"/>
    <w:link w:val="982"/>
    <w:uiPriority w:val="0"/>
    <w:qFormat/>
    <w:rPr>
      <w:rFonts w:eastAsia="仿宋_GB2312"/>
      <w:sz w:val="28"/>
    </w:rPr>
  </w:style>
  <w:style w:type="paragraph" w:styleId="982" w:customStyle="1">
    <w:name w:val="日期1"/>
    <w:basedOn w:val="790"/>
    <w:next w:val="790"/>
    <w:link w:val="981"/>
    <w:uiPriority w:val="0"/>
    <w:qFormat/>
    <w:rPr>
      <w:rFonts w:eastAsia="仿宋_GB2312"/>
      <w:sz w:val="28"/>
      <w:szCs w:val="20"/>
    </w:rPr>
  </w:style>
  <w:style w:type="character" w:styleId="983" w:customStyle="1">
    <w:name w:val="正文文本缩进 2 字符"/>
    <w:link w:val="984"/>
    <w:uiPriority w:val="0"/>
    <w:qFormat/>
    <w:rPr>
      <w:rFonts w:ascii="仿宋_GB2312" w:eastAsia="仿宋_GB2312"/>
      <w:sz w:val="24"/>
      <w:szCs w:val="24"/>
      <w:lang w:bidi="ar-SA"/>
    </w:rPr>
  </w:style>
  <w:style w:type="paragraph" w:styleId="984" w:customStyle="1">
    <w:name w:val="正文文本缩进 21"/>
    <w:basedOn w:val="790"/>
    <w:link w:val="983"/>
    <w:uiPriority w:val="0"/>
    <w:qFormat/>
    <w:pPr>
      <w:ind w:firstLine="475"/>
      <w:spacing w:line="10" w:lineRule="atLeast"/>
    </w:pPr>
    <w:rPr>
      <w:rFonts w:ascii="仿宋_GB2312" w:eastAsia="仿宋_GB2312"/>
      <w:sz w:val="24"/>
    </w:rPr>
  </w:style>
  <w:style w:type="character" w:styleId="985" w:customStyle="1">
    <w:name w:val="页脚 字符"/>
    <w:link w:val="986"/>
    <w:uiPriority w:val="0"/>
    <w:qFormat/>
    <w:rPr>
      <w:sz w:val="18"/>
      <w:szCs w:val="18"/>
    </w:rPr>
  </w:style>
  <w:style w:type="paragraph" w:styleId="986" w:customStyle="1">
    <w:name w:val="页脚1"/>
    <w:basedOn w:val="790"/>
    <w:link w:val="985"/>
    <w:uiPriority w:val="0"/>
    <w:qFormat/>
    <w:pPr>
      <w:jc w:val="left"/>
      <w:tabs>
        <w:tab w:val="center" w:pos="4153" w:leader="none"/>
        <w:tab w:val="right" w:pos="8306" w:leader="none"/>
      </w:tabs>
    </w:pPr>
    <w:rPr>
      <w:sz w:val="18"/>
      <w:szCs w:val="18"/>
    </w:rPr>
  </w:style>
  <w:style w:type="character" w:styleId="987" w:customStyle="1">
    <w:name w:val="正文首行缩进 字符"/>
    <w:link w:val="988"/>
    <w:uiPriority w:val="0"/>
    <w:qFormat/>
    <w:rPr>
      <w:rFonts w:ascii="仿宋_GB2312" w:hAnsi="Times New Roman" w:eastAsia="仿宋_GB2312"/>
      <w:sz w:val="30"/>
      <w:szCs w:val="30"/>
    </w:rPr>
  </w:style>
  <w:style w:type="paragraph" w:styleId="988" w:customStyle="1">
    <w:name w:val="正文首行缩进1"/>
    <w:basedOn w:val="989"/>
    <w:next w:val="991"/>
    <w:link w:val="987"/>
    <w:uiPriority w:val="0"/>
    <w:qFormat/>
    <w:pPr>
      <w:ind w:firstLine="420"/>
    </w:pPr>
    <w:rPr>
      <w:rFonts w:ascii="仿宋_GB2312" w:eastAsia="仿宋_GB2312"/>
      <w:sz w:val="30"/>
      <w:szCs w:val="30"/>
    </w:rPr>
  </w:style>
  <w:style w:type="paragraph" w:styleId="989" w:customStyle="1">
    <w:name w:val="正文文本11"/>
    <w:basedOn w:val="990"/>
    <w:next w:val="800"/>
    <w:uiPriority w:val="0"/>
    <w:qFormat/>
    <w:pPr>
      <w:spacing w:after="120"/>
    </w:pPr>
  </w:style>
  <w:style w:type="paragraph" w:styleId="990" w:customStyle="1">
    <w:name w:val="正文112"/>
    <w:next w:val="989"/>
    <w:uiPriority w:val="0"/>
    <w:qFormat/>
    <w:pPr>
      <w:jc w:val="both"/>
      <w:widowControl w:val="off"/>
    </w:pPr>
    <w:rPr>
      <w:rFonts w:ascii="Times New Roman" w:hAnsi="Times New Roman" w:eastAsia="宋体" w:cs="Times New Roman"/>
      <w:sz w:val="21"/>
      <w:szCs w:val="24"/>
      <w:lang w:val="en-US" w:eastAsia="zh-CN" w:bidi="ar-SA"/>
    </w:rPr>
  </w:style>
  <w:style w:type="paragraph" w:styleId="991" w:customStyle="1">
    <w:name w:val="正文首行缩进 21"/>
    <w:basedOn w:val="801"/>
    <w:next w:val="791"/>
    <w:link w:val="992"/>
    <w:uiPriority w:val="0"/>
    <w:qFormat/>
    <w:pPr>
      <w:ind w:firstLine="420"/>
    </w:pPr>
    <w:rPr>
      <w:rFonts w:ascii="Times New Roman" w:hAnsi="Times New Roman"/>
    </w:rPr>
  </w:style>
  <w:style w:type="character" w:styleId="992" w:customStyle="1">
    <w:name w:val="正文首行缩进 2 字符1"/>
    <w:link w:val="991"/>
    <w:uiPriority w:val="0"/>
    <w:qFormat/>
  </w:style>
  <w:style w:type="character" w:styleId="993" w:customStyle="1">
    <w:name w:val="标题 2 字符"/>
    <w:uiPriority w:val="0"/>
    <w:semiHidden/>
    <w:qFormat/>
    <w:rPr>
      <w:rFonts w:ascii="等线 Light" w:hAnsi="等线 Light" w:eastAsia="等线 Light"/>
      <w:b/>
      <w:bCs/>
      <w:sz w:val="32"/>
      <w:szCs w:val="32"/>
    </w:rPr>
  </w:style>
  <w:style w:type="character" w:styleId="994" w:customStyle="1">
    <w:name w:val="批注文字 Char"/>
    <w:uiPriority w:val="0"/>
    <w:qFormat/>
    <w:rPr>
      <w:rFonts w:ascii="Times New Roman" w:hAnsi="Times New Roman"/>
      <w:sz w:val="21"/>
    </w:rPr>
  </w:style>
  <w:style w:type="character" w:styleId="995" w:customStyle="1">
    <w:name w:val="正文首行缩进 2 字符"/>
    <w:link w:val="996"/>
    <w:uiPriority w:val="0"/>
    <w:qFormat/>
    <w:rPr>
      <w:sz w:val="21"/>
      <w:szCs w:val="24"/>
    </w:rPr>
  </w:style>
  <w:style w:type="paragraph" w:styleId="996" w:customStyle="1">
    <w:name w:val="_Style 63"/>
    <w:basedOn w:val="801"/>
    <w:next w:val="790"/>
    <w:link w:val="995"/>
    <w:uiPriority w:val="0"/>
    <w:qFormat/>
    <w:pPr>
      <w:ind w:firstLine="420"/>
    </w:pPr>
    <w:rPr>
      <w:rFonts w:ascii="Times New Roman" w:hAnsi="Times New Roman"/>
    </w:rPr>
  </w:style>
  <w:style w:type="character" w:styleId="997" w:customStyle="1">
    <w:name w:val="标书正文 Char1"/>
    <w:link w:val="998"/>
    <w:uiPriority w:val="0"/>
    <w:qFormat/>
    <w:rPr>
      <w:color w:val="000000"/>
      <w:sz w:val="22"/>
      <w:szCs w:val="28"/>
      <w:lang w:eastAsia="en-US"/>
    </w:rPr>
  </w:style>
  <w:style w:type="paragraph" w:styleId="998" w:customStyle="1">
    <w:name w:val="标书正文"/>
    <w:basedOn w:val="790"/>
    <w:link w:val="997"/>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99" w:customStyle="1">
    <w:name w:val="font01"/>
    <w:uiPriority w:val="0"/>
    <w:qFormat/>
    <w:rPr>
      <w:rFonts w:ascii="仿宋" w:hAnsi="仿宋" w:eastAsia="仿宋"/>
      <w:color w:val="000000"/>
      <w:sz w:val="20"/>
      <w:szCs w:val="20"/>
      <w:u w:val="none"/>
    </w:rPr>
  </w:style>
  <w:style w:type="character" w:styleId="1000" w:customStyle="1">
    <w:name w:val="批注主题 Char"/>
    <w:uiPriority w:val="0"/>
    <w:semiHidden/>
    <w:qFormat/>
    <w:rPr>
      <w:rFonts w:ascii="Times New Roman" w:hAnsi="Times New Roman"/>
      <w:b/>
      <w:bCs/>
      <w:sz w:val="21"/>
    </w:rPr>
  </w:style>
  <w:style w:type="character" w:styleId="1001" w:customStyle="1">
    <w:name w:val="font41"/>
    <w:uiPriority w:val="0"/>
    <w:qFormat/>
    <w:rPr>
      <w:rFonts w:ascii="Symbol" w:hAnsi="Symbol"/>
      <w:color w:val="000000"/>
      <w:sz w:val="20"/>
      <w:szCs w:val="20"/>
      <w:u w:val="none"/>
    </w:rPr>
  </w:style>
  <w:style w:type="character" w:styleId="1002" w:customStyle="1">
    <w:name w:val="文档结构图 Char"/>
    <w:uiPriority w:val="0"/>
    <w:semiHidden/>
    <w:qFormat/>
    <w:rPr>
      <w:rFonts w:ascii="宋体"/>
      <w:sz w:val="18"/>
      <w:szCs w:val="18"/>
    </w:rPr>
  </w:style>
  <w:style w:type="character" w:styleId="1003" w:customStyle="1">
    <w:name w:val="文档结构图 字符"/>
    <w:uiPriority w:val="0"/>
    <w:qFormat/>
    <w:rPr>
      <w:rFonts w:ascii="Microsoft YaHei UI" w:eastAsia="Microsoft YaHei UI"/>
      <w:sz w:val="18"/>
      <w:szCs w:val="18"/>
    </w:rPr>
  </w:style>
  <w:style w:type="character" w:styleId="1004" w:customStyle="1">
    <w:name w:val="正文文本 Char"/>
    <w:uiPriority w:val="0"/>
    <w:qFormat/>
    <w:rPr>
      <w:sz w:val="21"/>
      <w:szCs w:val="24"/>
    </w:rPr>
  </w:style>
  <w:style w:type="character" w:styleId="1005" w:customStyle="1">
    <w:name w:val="纯文本 Char1"/>
    <w:uiPriority w:val="0"/>
    <w:qFormat/>
    <w:rPr>
      <w:rFonts w:ascii="宋体" w:hAnsi="Courier New" w:eastAsia="宋体"/>
      <w:sz w:val="20"/>
      <w:szCs w:val="20"/>
    </w:rPr>
  </w:style>
  <w:style w:type="character" w:styleId="1006" w:customStyle="1">
    <w:name w:val="页脚 Char"/>
    <w:uiPriority w:val="0"/>
    <w:qFormat/>
    <w:rPr>
      <w:sz w:val="18"/>
      <w:szCs w:val="18"/>
    </w:rPr>
  </w:style>
  <w:style w:type="character" w:styleId="1007" w:customStyle="1">
    <w:name w:val="NormalCharacter"/>
    <w:uiPriority w:val="0"/>
    <w:semiHidden/>
    <w:qFormat/>
    <w:rPr>
      <w:sz w:val="28"/>
      <w:lang w:val="en-US" w:eastAsia="zh-CN" w:bidi="ar-SA"/>
    </w:rPr>
  </w:style>
  <w:style w:type="character" w:styleId="1008" w:customStyle="1">
    <w:name w:val="页眉 Char"/>
    <w:link w:val="790"/>
    <w:uiPriority w:val="0"/>
    <w:qFormat/>
    <w:rPr>
      <w:sz w:val="18"/>
      <w:szCs w:val="18"/>
    </w:rPr>
  </w:style>
  <w:style w:type="paragraph" w:styleId="1009" w:customStyle="1">
    <w:name w:val="普通(网站)1"/>
    <w:basedOn w:val="790"/>
    <w:uiPriority w:val="0"/>
    <w:qFormat/>
    <w:pPr>
      <w:jc w:val="left"/>
      <w:spacing w:before="100" w:beforeAutospacing="1" w:after="100" w:afterAutospacing="1"/>
      <w:widowControl/>
    </w:pPr>
    <w:rPr>
      <w:rFonts w:ascii="宋体" w:hAnsi="宋体"/>
      <w:sz w:val="24"/>
    </w:rPr>
  </w:style>
  <w:style w:type="paragraph" w:styleId="1010" w:customStyle="1">
    <w:name w:val="索引 41"/>
    <w:basedOn w:val="790"/>
    <w:next w:val="790"/>
    <w:uiPriority w:val="0"/>
    <w:qFormat/>
    <w:pPr>
      <w:ind w:left="600"/>
    </w:pPr>
    <w:rPr>
      <w:rFonts w:ascii="Calibri" w:hAnsi="Calibri"/>
      <w:sz w:val="22"/>
      <w:szCs w:val="22"/>
    </w:rPr>
  </w:style>
  <w:style w:type="paragraph" w:styleId="1011" w:customStyle="1">
    <w:name w:val="_Style 48"/>
    <w:basedOn w:val="790"/>
    <w:next w:val="1012"/>
    <w:uiPriority w:val="0"/>
    <w:qFormat/>
    <w:pPr>
      <w:ind w:firstLine="420"/>
    </w:pPr>
    <w:rPr>
      <w:rFonts w:eastAsia="微软雅黑"/>
      <w:sz w:val="24"/>
    </w:rPr>
  </w:style>
  <w:style w:type="paragraph" w:styleId="1012" w:customStyle="1">
    <w:name w:val="列出段落1"/>
    <w:basedOn w:val="790"/>
    <w:uiPriority w:val="0"/>
    <w:qFormat/>
    <w:pPr>
      <w:ind w:firstLine="420"/>
    </w:pPr>
  </w:style>
  <w:style w:type="paragraph" w:styleId="1013"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14" w:customStyle="1">
    <w:name w:val="_Style 100"/>
    <w:basedOn w:val="790"/>
    <w:next w:val="790"/>
    <w:uiPriority w:val="0"/>
    <w:qFormat/>
    <w:pPr>
      <w:ind w:left="420"/>
    </w:pPr>
    <w:rPr>
      <w:rFonts w:ascii="Calibri" w:hAnsi="Calibri"/>
      <w:sz w:val="22"/>
      <w:szCs w:val="22"/>
    </w:rPr>
  </w:style>
  <w:style w:type="paragraph" w:styleId="1015" w:customStyle="1">
    <w:name w:val="p0"/>
    <w:basedOn w:val="790"/>
    <w:uiPriority w:val="0"/>
    <w:qFormat/>
    <w:pPr>
      <w:widowControl/>
    </w:pPr>
    <w:rPr>
      <w:szCs w:val="21"/>
    </w:rPr>
  </w:style>
  <w:style w:type="paragraph" w:styleId="1016" w:customStyle="1">
    <w:name w:val="TOC 标题2"/>
    <w:basedOn w:val="940"/>
    <w:next w:val="790"/>
    <w:uiPriority w:val="0"/>
    <w:qFormat/>
    <w:pPr>
      <w:jc w:val="left"/>
      <w:spacing w:before="480" w:line="276" w:lineRule="auto"/>
      <w:widowControl/>
      <w:outlineLvl w:val="9"/>
    </w:pPr>
    <w:rPr>
      <w:rFonts w:ascii="Cambria" w:hAnsi="Cambria" w:eastAsia="宋体"/>
      <w:color w:val="365f91"/>
      <w:sz w:val="28"/>
      <w:szCs w:val="28"/>
    </w:rPr>
  </w:style>
  <w:style w:type="paragraph" w:styleId="1017" w:customStyle="1">
    <w:name w:val="修订1"/>
    <w:uiPriority w:val="0"/>
    <w:qFormat/>
    <w:rPr>
      <w:rFonts w:ascii="Times New Roman" w:hAnsi="Times New Roman" w:eastAsia="宋体" w:cs="Times New Roman"/>
      <w:sz w:val="21"/>
      <w:szCs w:val="24"/>
      <w:lang w:val="en-US" w:eastAsia="zh-CN" w:bidi="ar-SA"/>
    </w:rPr>
  </w:style>
  <w:style w:type="paragraph" w:styleId="1018" w:customStyle="1">
    <w:name w:val="UserStyle_1"/>
    <w:basedOn w:val="790"/>
    <w:uiPriority w:val="0"/>
    <w:qFormat/>
    <w:pPr>
      <w:ind w:left="-6" w:hanging="99"/>
      <w:jc w:val="left"/>
    </w:pPr>
    <w:rPr>
      <w:rFonts w:ascii="宋体"/>
      <w:b/>
    </w:rPr>
  </w:style>
  <w:style w:type="paragraph" w:styleId="1019" w:customStyle="1">
    <w:name w:val="首行缩进"/>
    <w:basedOn w:val="790"/>
    <w:uiPriority w:val="0"/>
    <w:qFormat/>
    <w:pPr>
      <w:ind w:firstLine="480"/>
    </w:pPr>
    <w:rPr>
      <w:sz w:val="20"/>
      <w:szCs w:val="20"/>
      <w:lang w:val="zh-CN"/>
    </w:rPr>
  </w:style>
  <w:style w:type="paragraph" w:styleId="1020" w:customStyle="1">
    <w:name w:val="Other|1"/>
    <w:basedOn w:val="790"/>
    <w:uiPriority w:val="0"/>
    <w:qFormat/>
    <w:pPr>
      <w:ind w:firstLine="400"/>
      <w:spacing w:line="418" w:lineRule="auto"/>
    </w:pPr>
    <w:rPr>
      <w:rFonts w:ascii="宋体" w:hAnsi="宋体"/>
      <w:sz w:val="30"/>
      <w:szCs w:val="30"/>
      <w:lang w:val="zh-TW" w:eastAsia="zh-TW" w:bidi="zh-TW"/>
    </w:rPr>
  </w:style>
  <w:style w:type="paragraph" w:styleId="1021" w:customStyle="1">
    <w:name w:val="投标文件正文"/>
    <w:basedOn w:val="790"/>
    <w:uiPriority w:val="0"/>
    <w:qFormat/>
    <w:pPr>
      <w:ind w:firstLine="200"/>
      <w:spacing w:before="40" w:after="40" w:line="400" w:lineRule="exact"/>
    </w:pPr>
    <w:rPr>
      <w:sz w:val="24"/>
    </w:rPr>
  </w:style>
  <w:style w:type="paragraph" w:styleId="1022" w:customStyle="1">
    <w:name w:val="179"/>
    <w:basedOn w:val="790"/>
    <w:uiPriority w:val="0"/>
    <w:qFormat/>
    <w:pPr>
      <w:ind w:firstLine="420"/>
      <w:jc w:val="left"/>
      <w:widowControl/>
    </w:pPr>
    <w:rPr>
      <w:rFonts w:ascii="宋体" w:hAnsi="宋体"/>
      <w:sz w:val="24"/>
    </w:rPr>
  </w:style>
  <w:style w:type="paragraph" w:styleId="1023" w:customStyle="1">
    <w:name w:val="样式"/>
    <w:uiPriority w:val="0"/>
    <w:qFormat/>
    <w:pPr>
      <w:widowControl w:val="off"/>
    </w:pPr>
    <w:rPr>
      <w:rFonts w:ascii="宋体" w:hAnsi="宋体" w:eastAsia="宋体" w:cs="Times New Roman"/>
      <w:sz w:val="24"/>
      <w:szCs w:val="24"/>
      <w:lang w:val="en-US" w:eastAsia="zh-CN" w:bidi="ar-SA"/>
    </w:rPr>
  </w:style>
  <w:style w:type="paragraph" w:styleId="1024" w:customStyle="1">
    <w:name w:val="列出段落11"/>
    <w:basedOn w:val="790"/>
    <w:uiPriority w:val="0"/>
    <w:qFormat/>
    <w:pPr>
      <w:ind w:firstLine="420"/>
    </w:pPr>
    <w:rPr>
      <w:rFonts w:ascii="Calibri" w:hAnsi="Calibri"/>
    </w:rPr>
  </w:style>
  <w:style w:type="paragraph" w:styleId="1025" w:customStyle="1">
    <w:name w:val="_Style 15"/>
    <w:basedOn w:val="790"/>
    <w:next w:val="1012"/>
    <w:uiPriority w:val="0"/>
    <w:qFormat/>
    <w:pPr>
      <w:ind w:firstLine="420"/>
    </w:pPr>
    <w:rPr>
      <w:rFonts w:ascii="Calibri" w:hAnsi="Calibri"/>
      <w:sz w:val="22"/>
      <w:szCs w:val="22"/>
    </w:rPr>
  </w:style>
  <w:style w:type="paragraph" w:styleId="1026" w:customStyle="1">
    <w:name w:val="one-p"/>
    <w:basedOn w:val="790"/>
    <w:uiPriority w:val="0"/>
    <w:qFormat/>
    <w:pPr>
      <w:jc w:val="left"/>
      <w:spacing w:before="100" w:beforeAutospacing="1" w:after="100" w:afterAutospacing="1"/>
      <w:widowControl/>
    </w:pPr>
    <w:rPr>
      <w:rFonts w:ascii="宋体" w:hAnsi="宋体"/>
      <w:sz w:val="24"/>
    </w:rPr>
  </w:style>
  <w:style w:type="paragraph" w:styleId="1027" w:customStyle="1">
    <w:name w:val="BodyTextIndent"/>
    <w:basedOn w:val="790"/>
    <w:next w:val="1028"/>
    <w:uiPriority w:val="0"/>
    <w:qFormat/>
    <w:pPr>
      <w:ind w:left="420"/>
      <w:spacing w:after="120"/>
    </w:pPr>
    <w:rPr>
      <w:sz w:val="28"/>
      <w:szCs w:val="20"/>
    </w:rPr>
  </w:style>
  <w:style w:type="paragraph" w:styleId="1028" w:customStyle="1">
    <w:name w:val="EnvelopeReturn"/>
    <w:basedOn w:val="707"/>
    <w:uiPriority w:val="0"/>
    <w:qFormat/>
    <w:rPr>
      <w:rFonts w:ascii="Arial" w:hAnsi="Arial"/>
    </w:rPr>
  </w:style>
  <w:style w:type="paragraph" w:styleId="1029"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table" w:styleId="1030" w:customStyle="1">
    <w:name w:val="网格型11"/>
    <w:basedOn w:val="946"/>
    <w:uiPriority w:val="0"/>
    <w:qFormat/>
    <w:pPr>
      <w:jc w:val="both"/>
      <w:widowControl w:val="off"/>
    </w:pPr>
    <w:tblPr/>
  </w:style>
  <w:style w:type="table" w:styleId="1031" w:customStyle="1">
    <w:name w:val="网格型1"/>
    <w:basedOn w:val="946"/>
    <w:uiPriority w:val="0"/>
    <w:qFormat/>
    <w:pPr>
      <w:jc w:val="both"/>
      <w:widowControl w:val="off"/>
    </w:pPr>
    <w:tblPr/>
  </w:style>
  <w:style w:type="paragraph" w:styleId="1032" w:customStyle="1">
    <w:name w:val="_HT_正文"/>
    <w:basedOn w:val="707"/>
    <w:uiPriority w:val="0"/>
    <w:qFormat/>
    <w:pPr>
      <w:ind w:firstLine="200"/>
      <w:jc w:val="both"/>
      <w:spacing w:line="360" w:lineRule="auto"/>
    </w:pPr>
    <w:rPr>
      <w:sz w:val="24"/>
    </w:rPr>
  </w:style>
  <w:style w:type="character" w:styleId="1033" w:customStyle="1">
    <w:name w:val="正文文本缩进 Char"/>
    <w:basedOn w:val="717"/>
    <w:link w:val="726"/>
    <w:uiPriority w:val="99"/>
    <w:semiHidden/>
    <w:qFormat/>
  </w:style>
  <w:style w:type="character" w:styleId="1034" w:customStyle="1">
    <w:name w:val="正文首行缩进 2 Char"/>
    <w:basedOn w:val="1033"/>
    <w:link w:val="746"/>
    <w:uiPriority w:val="99"/>
    <w:semiHidden/>
    <w:qFormat/>
  </w:style>
  <w:style w:type="paragraph" w:styleId="1035" w:customStyle="1">
    <w:name w:val="Char"/>
    <w:basedOn w:val="724"/>
    <w:uiPriority w:val="0"/>
    <w:qFormat/>
    <w:rPr>
      <w:rFonts w:ascii="楷体_GB2312" w:hAnsi="楷体_GB2312" w:cs="CG Times"/>
      <w:sz w:val="28"/>
      <w:szCs w:val="28"/>
    </w:rPr>
  </w:style>
  <w:style w:type="paragraph" w:styleId="1036" w:customStyle="1">
    <w:name w:val="正文_0"/>
    <w:uiPriority w:val="0"/>
    <w:qFormat/>
    <w:rPr>
      <w:rFonts w:ascii="Times New Roman" w:hAnsi="Times New Roman" w:eastAsia="宋体" w:cs="Times New Roman"/>
      <w:sz w:val="21"/>
      <w:szCs w:val="22"/>
      <w:lang w:val="en-US" w:eastAsia="zh-CN" w:bidi="ar-SA"/>
    </w:rPr>
  </w:style>
  <w:style w:type="paragraph" w:styleId="1037" w:customStyle="1">
    <w:name w:val="Table Paragraph"/>
    <w:basedOn w:val="800"/>
    <w:uiPriority w:val="0"/>
    <w:qFormat/>
    <w:pPr>
      <w:jc w:val="left"/>
    </w:pPr>
    <w:rPr>
      <w:rFonts w:ascii="宋体" w:hAnsi="宋体"/>
      <w:sz w:val="22"/>
      <w:lang w:val="zh-CN" w:bidi="zh-CN"/>
    </w:rPr>
  </w:style>
  <w:style w:type="paragraph" w:styleId="1038" w:customStyle="1">
    <w:name w:val="_Style 71"/>
    <w:basedOn w:val="707"/>
    <w:next w:val="820"/>
    <w:uiPriority w:val="34"/>
    <w:qFormat/>
    <w:pPr>
      <w:ind w:firstLine="420"/>
    </w:pPr>
    <w:rPr>
      <w:szCs w:val="24"/>
    </w:rPr>
  </w:style>
  <w:style w:type="paragraph" w:styleId="1039" w:customStyle="1">
    <w:name w:val="正文首行缩进11"/>
    <w:basedOn w:val="989"/>
    <w:next w:val="1040"/>
    <w:uiPriority w:val="0"/>
    <w:qFormat/>
    <w:pPr>
      <w:ind w:firstLine="420"/>
    </w:pPr>
    <w:rPr>
      <w:rFonts w:ascii="仿宋_GB2312" w:eastAsia="仿宋_GB2312"/>
      <w:sz w:val="30"/>
      <w:szCs w:val="30"/>
    </w:rPr>
  </w:style>
  <w:style w:type="paragraph" w:styleId="1040" w:customStyle="1">
    <w:name w:val="正文首行缩进 211"/>
    <w:basedOn w:val="1041"/>
    <w:uiPriority w:val="0"/>
    <w:qFormat/>
    <w:pPr>
      <w:ind w:firstLine="420"/>
    </w:pPr>
    <w:rPr>
      <w:rFonts w:ascii="Times New Roman" w:hAnsi="Times New Roman"/>
    </w:rPr>
  </w:style>
  <w:style w:type="paragraph" w:styleId="1041" w:customStyle="1">
    <w:name w:val="正文文本缩进11"/>
    <w:basedOn w:val="800"/>
    <w:next w:val="1042"/>
    <w:uiPriority w:val="0"/>
    <w:qFormat/>
    <w:pPr>
      <w:ind w:left="420"/>
      <w:spacing w:after="120"/>
    </w:pPr>
    <w:rPr>
      <w:rFonts w:ascii="Calibri" w:hAnsi="Calibri"/>
    </w:rPr>
  </w:style>
  <w:style w:type="paragraph" w:styleId="1042" w:customStyle="1">
    <w:name w:val="寄信人地址11"/>
    <w:basedOn w:val="800"/>
    <w:uiPriority w:val="0"/>
    <w:qFormat/>
    <w:rPr>
      <w:rFonts w:ascii="Arial" w:hAnsi="Arial"/>
    </w:rPr>
  </w:style>
  <w:style w:type="paragraph" w:styleId="1043" w:customStyle="1">
    <w:name w:val="列出段落2"/>
    <w:basedOn w:val="800"/>
    <w:uiPriority w:val="0"/>
    <w:qFormat/>
    <w:pPr>
      <w:ind w:firstLine="420"/>
    </w:pPr>
  </w:style>
  <w:style w:type="character" w:styleId="1044" w:customStyle="1">
    <w:name w:val="font61"/>
    <w:basedOn w:val="717"/>
    <w:uiPriority w:val="0"/>
    <w:qFormat/>
    <w:rPr>
      <w:rFonts w:hint="eastAsia" w:ascii="仿宋" w:hAnsi="仿宋" w:eastAsia="仿宋" w:cs="仿宋"/>
      <w:color w:val="000000"/>
      <w:sz w:val="21"/>
      <w:szCs w:val="21"/>
      <w:u w:val="none"/>
    </w:rPr>
  </w:style>
  <w:style w:type="character" w:styleId="1045" w:customStyle="1">
    <w:name w:val="font51"/>
    <w:basedOn w:val="717"/>
    <w:uiPriority w:val="0"/>
    <w:qFormat/>
    <w:rPr>
      <w:rFonts w:hint="eastAsia" w:ascii="宋体" w:hAnsi="宋体" w:eastAsia="宋体" w:cs="宋体"/>
      <w:b/>
      <w:color w:val="000000"/>
      <w:sz w:val="36"/>
      <w:szCs w:val="36"/>
      <w:u w:val="none"/>
    </w:rPr>
  </w:style>
  <w:style w:type="character" w:styleId="1046" w:customStyle="1">
    <w:name w:val="font81"/>
    <w:basedOn w:val="717"/>
    <w:uiPriority w:val="99"/>
    <w:qFormat/>
    <w:rPr>
      <w:rFonts w:ascii="仿宋_GB2312" w:eastAsia="仿宋_GB2312" w:cs="仿宋_GB2312"/>
      <w:b/>
      <w:color w:val="000000"/>
      <w:sz w:val="24"/>
      <w:szCs w:val="24"/>
      <w:u w:val="none"/>
    </w:rPr>
  </w:style>
  <w:style w:type="character" w:styleId="1047" w:customStyle="1">
    <w:name w:val="font21"/>
    <w:basedOn w:val="717"/>
    <w:uiPriority w:val="99"/>
    <w:qFormat/>
    <w:rPr>
      <w:rFonts w:ascii="仿宋_GB2312" w:eastAsia="仿宋_GB2312" w:cs="仿宋_GB2312"/>
      <w:b/>
      <w:color w:val="000000"/>
      <w:sz w:val="24"/>
      <w:szCs w:val="24"/>
      <w:u w:val="none"/>
    </w:r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 Id="rId15" Type="http://schemas.openxmlformats.org/officeDocument/2006/relationships/image" Target="media/image1.jp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E644FFD-966D-40D9-B427-714781C15F18}"/>
</file>

<file path=customXml/itemProps4.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九天1</cp:lastModifiedBy>
  <cp:revision>32</cp:revision>
  <dcterms:created xsi:type="dcterms:W3CDTF">2022-06-10T07:13:00Z</dcterms:created>
  <dcterms:modified xsi:type="dcterms:W3CDTF">2024-11-28T08:06:10Z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2052-11.1.0.15320</vt:lpwstr>
  </property>
  <property fmtid="{D5CDD505-2E9C-101B-9397-08002B2CF9AE}" pid="3" name="ICV">
    <vt:lpwstr>43CDF505881C4F0A8D546B711322E731_13</vt:lpwstr>
  </property>
</Properties>
</file>