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安家中学智能化改造提升项目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项目名称：安家中学智能化改造提升项目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JSZC-320411-SYZB-G2025-0035</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人：常州市新北区安家中学</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采购代理机构：江苏尚阳工程管理有限公司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8819" w:history="1">
        <w:r>
          <w:rPr>
            <w:rStyle w:val="1231"/>
            <w:rFonts w:ascii="SimSun" w:hAnsi="SimSun" w:eastAsia="SimSun" w:cs="SimSun"/>
            <w:b/>
            <w:color w:val="0000ee"/>
            <w:sz w:val="32"/>
            <w:u w:val="single"/>
          </w:rPr>
          <w:t xml:space="preserve">第一章投标邀请</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5570" w:history="1">
        <w:r>
          <w:rPr>
            <w:rStyle w:val="1231"/>
            <w:rFonts w:ascii="SimSun" w:hAnsi="SimSun" w:eastAsia="SimSun" w:cs="SimSun"/>
            <w:b/>
            <w:color w:val="0000ee"/>
            <w:sz w:val="32"/>
            <w:u w:val="single"/>
          </w:rPr>
          <w:t xml:space="preserve">第二章投标人须知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1989" w:history="1">
        <w:r>
          <w:rPr>
            <w:rStyle w:val="1231"/>
            <w:rFonts w:ascii="SimSun" w:hAnsi="SimSun" w:eastAsia="SimSun" w:cs="SimSun"/>
            <w:b/>
            <w:color w:val="0000ee"/>
            <w:sz w:val="32"/>
            <w:u w:val="single"/>
          </w:rPr>
          <w:t xml:space="preserve">第三章资格审查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3243" w:history="1">
        <w:r>
          <w:rPr>
            <w:rStyle w:val="1231"/>
            <w:rFonts w:ascii="SimSun" w:hAnsi="SimSun" w:eastAsia="SimSun" w:cs="SimSun"/>
            <w:b/>
            <w:color w:val="0000ee"/>
            <w:sz w:val="32"/>
            <w:u w:val="single"/>
          </w:rPr>
          <w:t xml:space="preserve">第四章评标程序、评标方法和评标标准</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4891" w:history="1">
        <w:r>
          <w:rPr>
            <w:rStyle w:val="1231"/>
            <w:rFonts w:ascii="SimSun" w:hAnsi="SimSun" w:eastAsia="SimSun" w:cs="SimSun"/>
            <w:b/>
            <w:color w:val="0000ee"/>
            <w:sz w:val="32"/>
            <w:u w:val="single"/>
          </w:rPr>
          <w:t xml:space="preserve">第五章采购需求</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874" w:history="1">
        <w:r>
          <w:rPr>
            <w:rStyle w:val="1231"/>
            <w:rFonts w:ascii="SimSun" w:hAnsi="SimSun" w:eastAsia="SimSun" w:cs="SimSun"/>
            <w:b/>
            <w:color w:val="0000ee"/>
            <w:sz w:val="32"/>
            <w:u w:val="single"/>
          </w:rPr>
          <w:t xml:space="preserve">第六章拟签订的合同文本</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37" w:history="1">
        <w:r>
          <w:rPr>
            <w:rStyle w:val="1231"/>
            <w:rFonts w:ascii="SimSun" w:hAnsi="SimSun" w:eastAsia="SimSun" w:cs="SimSun"/>
            <w:b/>
            <w:color w:val="0000ee"/>
            <w:sz w:val="32"/>
            <w:u w:val="single"/>
          </w:rPr>
          <w:t xml:space="preserve">第七章投标文件格式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 JSZC-320411-SYZB-G2025-0035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安家中学智能化改造提升项目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w:t>
      </w:r>
      <w:r>
        <w:rPr>
          <w:rFonts w:ascii="SimSun" w:hAnsi="SimSun" w:eastAsia="SimSun" w:cs="SimSun"/>
          <w:color w:val="000000"/>
          <w:sz w:val="24"/>
          <w:u w:val="single"/>
        </w:rPr>
        <w:t xml:space="preserve"> 90 </w:t>
      </w:r>
      <w:r>
        <w:rPr>
          <w:rFonts w:ascii="SimSun" w:hAnsi="SimSun" w:eastAsia="SimSun" w:cs="SimSun"/>
          <w:color w:val="000000"/>
          <w:sz w:val="24"/>
        </w:rPr>
        <w:t xml:space="preserve">万元、项目最高限价：</w:t>
      </w:r>
      <w:r>
        <w:rPr>
          <w:rFonts w:ascii="SimSun" w:hAnsi="SimSun" w:eastAsia="SimSun" w:cs="SimSun"/>
          <w:color w:val="000000"/>
          <w:sz w:val="24"/>
          <w:u w:val="single"/>
        </w:rPr>
        <w:t xml:space="preserve"> 90 </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0"/>
        <w:gridCol w:w="1701"/>
        <w:gridCol w:w="731"/>
        <w:gridCol w:w="470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 第五章 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0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内容包括但不限于设备的采购、运输、装卸、安装、调试、测试等。</w:t>
            </w:r>
            <w:r/>
          </w:p>
        </w:tc>
      </w:tr>
    </w:tbl>
    <w:p>
      <w:pPr>
        <w:ind w:left="0" w:right="0" w:firstLine="480"/>
        <w:jc w:val="both"/>
        <w:spacing w:before="23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w:t>
      </w:r>
      <w:r>
        <w:rPr>
          <w:rFonts w:ascii="SimSun" w:hAnsi="SimSun" w:eastAsia="SimSun" w:cs="SimSun"/>
          <w:color w:val="000000"/>
          <w:sz w:val="24"/>
          <w:u w:val="single"/>
        </w:rPr>
        <w:t xml:space="preserve"> 施工现场满足施工条件，中标人接到招标人入场通知后150天内完成安装调试工作。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6.本项目是否接受联合体投标：□是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7.本项目是否接受进口产品投标：□是  ■否。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   □中小 □小微企业  采购。即：提供的货物全部由符合政策要求的中小企业制造。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□本项目预留部分采购项目预算专门面向中小企业采购。对于预留份额，提供的货物由符合政策要求的中小企业制造。预留份额通过以下措施进行</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3.1本项目是否接受分支机构参与投标：□是   ■否；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投标截止时间、开标时间：</w:t>
      </w:r>
      <w:r>
        <w:rPr>
          <w:rFonts w:ascii="SimSun" w:hAnsi="SimSun" w:eastAsia="SimSun" w:cs="SimSun"/>
          <w:color w:val="000000"/>
          <w:sz w:val="24"/>
          <w:u w:val="single"/>
        </w:rPr>
        <w:t xml:space="preserve"> 2025 </w:t>
      </w:r>
      <w:r>
        <w:rPr>
          <w:rFonts w:ascii="SimSun" w:hAnsi="SimSun" w:eastAsia="SimSun" w:cs="SimSun"/>
          <w:color w:val="000000"/>
          <w:sz w:val="24"/>
        </w:rPr>
        <w:t xml:space="preserve">年</w:t>
      </w:r>
      <w:r>
        <w:rPr>
          <w:rFonts w:ascii="SimSun" w:hAnsi="SimSun" w:eastAsia="SimSun" w:cs="SimSun"/>
          <w:color w:val="000000"/>
          <w:sz w:val="24"/>
          <w:u w:val="single"/>
        </w:rPr>
        <w:t xml:space="preserve"> 6 </w:t>
      </w:r>
      <w:r>
        <w:rPr>
          <w:rFonts w:ascii="SimSun" w:hAnsi="SimSun" w:eastAsia="SimSun" w:cs="SimSun"/>
          <w:color w:val="000000"/>
          <w:sz w:val="24"/>
        </w:rPr>
        <w:t xml:space="preserve">月</w:t>
      </w:r>
      <w:r>
        <w:rPr>
          <w:rFonts w:ascii="SimSun" w:hAnsi="SimSun" w:eastAsia="SimSun" w:cs="SimSun"/>
          <w:color w:val="000000"/>
          <w:sz w:val="24"/>
          <w:u w:val="single"/>
        </w:rPr>
        <w:t xml:space="preserve"> 5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对小型和微型企业的价格给予20%的扣除，用扣除后的价格参与评审。监狱企业、残疾人福利性单位视同小微企业，给予价格扣除</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4.本项目采用远程“不见面”交易方式，无需到现场提交，请投标人在提交时间截止前提前登入“苏采云”，通过系统在线提交电子投标文件。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5.有关本次招标的事项若存在变动或修改，敬请及时关注“江苏政府采购网”、“常州市政府采购网”发布的更正公告。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10.如潜在投标供应商未按上述要求操作，将自行承担所产生的风险。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12.关于深入开展常州市政府采购线上合同信用融资：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常州市新北区安家中学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常州市新北区魏村街道安家希望路1号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王先生、0519-81591682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江苏尚阳工程管理有限公司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常州市新北区嵩山路1-301号（太湖明珠苑综合市场3楼）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0519-88818225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 嵇玲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0519-88818295（8000）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标记“■”的选项意为适用于本项目，标记“□”的选项意为不适用于本项目。</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3"/>
        <w:gridCol w:w="1370"/>
        <w:gridCol w:w="7051"/>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□关于核心产品本项目</w:t>
            </w:r>
            <w:r>
              <w:rPr>
                <w:rFonts w:ascii="SimSun" w:hAnsi="SimSun" w:eastAsia="SimSun" w:cs="SimSun"/>
                <w:color w:val="000000"/>
                <w:sz w:val="24"/>
                <w:u w:val="single"/>
              </w:rPr>
              <w:t xml:space="preserve">  </w:t>
            </w:r>
            <w:r>
              <w:rPr>
                <w:rFonts w:ascii="SimSun" w:hAnsi="SimSun" w:eastAsia="SimSun" w:cs="SimSun"/>
                <w:color w:val="000000"/>
                <w:sz w:val="24"/>
              </w:rPr>
              <w:t xml:space="preserve">包不适用。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w:t>
            </w:r>
            <w:r>
              <w:rPr>
                <w:rFonts w:ascii="SimSun" w:hAnsi="SimSun" w:eastAsia="SimSun" w:cs="SimSun"/>
                <w:color w:val="000000"/>
                <w:sz w:val="24"/>
              </w:rPr>
              <w:t xml:space="preserve">包为单一产品采购项目。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■本项目为非单一产品采购项目，核心产品为：</w:t>
            </w:r>
            <w:r>
              <w:rPr>
                <w:rFonts w:ascii="SimSun" w:hAnsi="SimSun" w:eastAsia="SimSun" w:cs="SimSun"/>
                <w:color w:val="000000"/>
                <w:sz w:val="24"/>
                <w:u w:val="single"/>
              </w:rPr>
              <w:t xml:space="preserve"> 枪式摄像机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投标样品递交：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■不需要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□需要，具体要求如下：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（1）样品制作的标准和要求：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（2）是否需要随样品提交相关检测报告：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（3）样品递交要求：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（4）未中标人样品退还：</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（5）中标人样品保管、封存及退还：</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（6）其他要求（如有）：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工业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 于2025年5月22日11:00（北京时间）前以书面形式递交至江苏尚阳工程管理有限公司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嵇玲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0519-88818295（8000）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常州市新北区嵩山路1-301号（太湖明珠苑综合市场3楼）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 中标人应在领取中标通知书时将中标服务费付至采购代理机构的账户并备注项目编号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收款单位：江苏尚阳工程管理有限公司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银行账号：406010100100626575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开户银行：兴业银行股份有限公司常州分行</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9"/>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1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1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1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联合体：指两个以上的自然人、法人或者其他组织组成一个联合体，以一个投标人的身份共同参加政府采购。</w:t>
      </w:r>
      <w:r/>
    </w:p>
    <w:p>
      <w:pPr>
        <w:numPr>
          <w:ilvl w:val="0"/>
          <w:numId w:val="19"/>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19"/>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样品（本项目不涉及）</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19"/>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0"/>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支持乡村产业振兴管理（本项目不涉及）</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正版软件（本项目不涉及）</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政府采购创新产品政策（本项目不涉及）</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numPr>
          <w:ilvl w:val="2"/>
          <w:numId w:val="19"/>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21"/>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9"/>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19"/>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19"/>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投标货物及标准附件、备品备件、耗材和运至最终目的地的运输费和保险费，检验、安装、调试、测试、技术服务、培训、质量保证、售后服务、税费等按照招标文件要求完成本项目的全部相关费用；</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按照招标文件要求完成本项目的全部相关费用。 </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采购人不得向投标人索要或者接受其给予的赠品、回扣或者与采购无关的其他商品、服务。</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投标文件的签署、加盖公章</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本项目使用</w:t>
      </w:r>
      <w:r>
        <w:rPr>
          <w:rFonts w:ascii="SimSun" w:hAnsi="SimSun" w:eastAsia="SimSun" w:cs="SimSun"/>
          <w:color w:val="000000"/>
          <w:sz w:val="24"/>
        </w:rPr>
        <w:t xml:space="preserve">“苏采云”政府采购一体化平台。投标人根据招标文件及“苏采云”政府采购一体化平台供应商操作手册要求编制、生成并提交电子投标文件。</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采购人及采购代理机构拒绝接受通过“苏采云”政府采购一体化平台以外任何形式提交的投标文件。</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投标人应在招标文件要求提交投标文件截止时间前，将电子投标文件提交至</w:t>
      </w:r>
      <w:r>
        <w:rPr>
          <w:rFonts w:ascii="SimSun" w:hAnsi="SimSun" w:eastAsia="SimSun" w:cs="SimSun"/>
          <w:color w:val="000000"/>
          <w:sz w:val="24"/>
        </w:rPr>
        <w:t xml:space="preserve">“苏采云”政府采购一体化平台。</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投标文件的修改与撤回</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投标截止时间前，投标人可以通过“苏采云”政府采购一体化平台对所提交的投标文件进行补充、修改或者撤回。</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投标人对投标文件的补充、修改的内容应当按照招标文件要求签署、加盖公章，作为投标文件的组成部分。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本项目开标采用不见面招投标模式，使用“苏采云”政府采购一体化平台在线进行开标。投标人应在规定的时间内对投标文件进行解密，因非系统原因导致的解密失败，视为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1134"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确定中标人</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采购人或采购代理机构自中标人确定之日起2个工作日内，在江苏政府采购网、常州市政府采购网和江苏尚阳工程管理有限公司网公告中标结果，同时向中标人发出中标通知书，中标公告期限为1个工作日。</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中标通知书对采购人和中标人均具有法律效力。中标通知书发出后，采购人改变中标结果的，或者中标人放弃中标项目的，应当依法承担法律责任。</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符合专业条件的投标人或者对招标文件作实质响应的投标人不足三家的；</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中标供应商拒绝与采购人签订合同的，采购人可以按照评标报告推荐的中标候选人名单排序，确定下一候选人为中标供应商，也可以重新开展政府采购活动。</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本项目的非主体、非关键性工作是否允许分包，见《投标人须知资料表》。</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采购人或采购代理机构对投标人依法提出的询问，在3个工作日内作出答复，但答复的内容不得涉及商业秘密。</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20" w:tooltip="http://gks.mof.gov.cn/ztztz/zhengfucaigouguanli/201802/t20180201_2804589.htm" w:history="1">
        <w:r>
          <w:rPr>
            <w:rStyle w:val="1231"/>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19"/>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1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收费对象、收费标准及缴纳时间见《投标人须知资料表》。由中标人支付的，中标供应商须一次性向采购代理机构缴纳代理费，投标报价应包含代理费用。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w:t>
      </w:r>
      <w:r>
        <w:rPr>
          <w:rFonts w:ascii="SimSun" w:hAnsi="SimSun" w:eastAsia="SimSun" w:cs="SimSun"/>
          <w:b/>
          <w:color w:val="000000"/>
          <w:sz w:val="36"/>
        </w:rPr>
        <w:t xml:space="preserve">资格审查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一、资格审查程序</w:t>
      </w:r>
      <w:r/>
    </w:p>
    <w:p>
      <w:pPr>
        <w:numPr>
          <w:ilvl w:val="0"/>
          <w:numId w:val="22"/>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22"/>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《资格审查要求》中对格式有要求的，除招标文件另有规定外，均为“实质性格式”文件。</w:t>
      </w:r>
      <w:r/>
    </w:p>
    <w:p>
      <w:pPr>
        <w:numPr>
          <w:ilvl w:val="0"/>
          <w:numId w:val="22"/>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22"/>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资格审查合格的投标人不足3家的，不进行评标。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二、资格审查要求</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982"/>
        <w:gridCol w:w="4822"/>
        <w:gridCol w:w="163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line="360"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line="360"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2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813"/>
        <w:gridCol w:w="6725"/>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按招标文件要求提供投标函、法定代表人资格证明书和政府采购供应商信用承诺书；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未将一个采购项目中的内容拆开投标；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投标报价未超过招标文件中规定的项目预算金额或者项目最高限价；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投标文件报价出现前后不一致时，投标人对修正后的报价予以确认；</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国家有关部门对投标人的投标产品有强制性规定或要求的（如相应技术、安全、节能和环保等），投标人的投标产品应符合相应规定或要求，提供证明文件电子件加盖投标人公章：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w:t>
            </w:r>
            <w:r>
              <w:rPr>
                <w:rFonts w:ascii="SimSun" w:hAnsi="SimSun" w:eastAsia="SimSun" w:cs="SimSun"/>
                <w:b/>
                <w:color w:val="000000"/>
                <w:sz w:val="24"/>
              </w:rPr>
              <w:t xml:space="preserve">若属于</w:t>
            </w:r>
            <w:r>
              <w:rPr>
                <w:rFonts w:ascii="SimSun" w:hAnsi="SimSun" w:eastAsia="SimSun" w:cs="SimSun"/>
                <w:color w:val="000000"/>
                <w:sz w:val="24"/>
              </w:rPr>
              <w:t xml:space="preserve">《节能产品政府采购品目清单》范围中政府强制采购产品，则投标人所报产品必须获得国家确定的认证机构出具的、处于有效期之内的节能产品认证证书；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w:t>
            </w:r>
            <w:r>
              <w:rPr>
                <w:rFonts w:ascii="SimSun" w:hAnsi="SimSun" w:eastAsia="SimSun" w:cs="SimSun"/>
                <w:b/>
                <w:color w:val="000000"/>
                <w:sz w:val="24"/>
              </w:rPr>
              <w:t xml:space="preserve">如涉及</w:t>
            </w:r>
            <w:r>
              <w:rPr>
                <w:rFonts w:ascii="SimSun" w:hAnsi="SimSun" w:eastAsia="SimSun" w:cs="SimSun"/>
                <w:color w:val="000000"/>
                <w:sz w:val="24"/>
              </w:rPr>
              <w:t xml:space="preserve">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）国家有特殊信息安全要求的项目，采购产品</w:t>
            </w:r>
            <w:r>
              <w:rPr>
                <w:rFonts w:ascii="SimSun" w:hAnsi="SimSun" w:eastAsia="SimSun" w:cs="SimSun"/>
                <w:b/>
                <w:color w:val="000000"/>
                <w:sz w:val="24"/>
              </w:rPr>
              <w:t xml:space="preserve">涉及</w:t>
            </w:r>
            <w:r>
              <w:rPr>
                <w:rFonts w:ascii="SimSun" w:hAnsi="SimSun" w:eastAsia="SimSun" w:cs="SimSun"/>
                <w:color w:val="000000"/>
                <w:sz w:val="24"/>
              </w:rPr>
              <w:t xml:space="preserve">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rPr>
          <w:rFonts w:ascii="SimSun" w:hAnsi="SimSun" w:eastAsia="SimSun" w:cs="SimSun"/>
          <w:color w:val="000000"/>
          <w:sz w:val="24"/>
        </w:rPr>
        <w:t xml:space="preserve">。</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23"/>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■无，按下述2.4.2-2.4.7项规定修正。</w:t>
      </w:r>
      <w:r/>
    </w:p>
    <w:p>
      <w:pPr>
        <w:numPr>
          <w:ilvl w:val="2"/>
          <w:numId w:val="2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2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2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2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23"/>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23"/>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报价给予20%的扣除，用扣除后的价格参加评审。</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2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2"/>
          <w:numId w:val="23"/>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2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评标委员会要对评分汇总情况进行复核，特别是对排名第一的、报价最低的、投标文件被认定为无效的情形进行重点复核。</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评标委员会将根据各投标人的评标排序，依次推荐本项目的中标候选人，起草并签署评标报告。本项目评标委员会共推荐不少于3名中标候选人。</w:t>
      </w:r>
      <w:r/>
    </w:p>
    <w:p>
      <w:pPr>
        <w:numPr>
          <w:ilvl w:val="0"/>
          <w:numId w:val="2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2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二、评标标准</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7"/>
        <w:gridCol w:w="1246"/>
        <w:gridCol w:w="6184"/>
        <w:gridCol w:w="5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一、报价（30分）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满足招标文件要求且投标价格最低的投标报价为评标基准价，其价格分为满分。其他投标人的价格分统一按照下列公式计算：投标报价得分＝（评标基准价/投标报价）×分值。</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注：此处投标报价指经过报价修正，及因落实政府采购政策进行价格调整后的报价。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二、主观分（18分）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评标委员会根据投标人提供的项目技术方案（包括：各个主要系统的架构阐述、功能设计、方案优势等）进行综合评审。</w:t>
            </w:r>
            <w:r/>
          </w:p>
          <w:p>
            <w:pPr>
              <w:numPr>
                <w:ilvl w:val="0"/>
                <w:numId w:val="24"/>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整体方案思路清晰、内容完整，针对性强的，得6分；</w:t>
            </w:r>
            <w:r/>
          </w:p>
          <w:p>
            <w:pPr>
              <w:numPr>
                <w:ilvl w:val="0"/>
                <w:numId w:val="24"/>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整体方案较为清晰，内容较为完整，描述较为合理的，得4分；</w:t>
            </w:r>
            <w:r/>
          </w:p>
          <w:p>
            <w:pPr>
              <w:numPr>
                <w:ilvl w:val="0"/>
                <w:numId w:val="24"/>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整体方案内容有缺失，描述较差的，得2分；</w:t>
            </w:r>
            <w:r/>
          </w:p>
          <w:p>
            <w:pPr>
              <w:numPr>
                <w:ilvl w:val="0"/>
                <w:numId w:val="24"/>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不符合招标文件要求或未提供的不得分。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评标委员会根据投标人提供的项目管理方案（包括：项目管理体系、人员团队配备、进度计划安排、项目实施风险控制、质量管理保障等）进行综合评审。</w:t>
            </w:r>
            <w:r/>
          </w:p>
          <w:p>
            <w:pPr>
              <w:numPr>
                <w:ilvl w:val="0"/>
                <w:numId w:val="25"/>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组织实施方案描述全面、涵盖上述全部内容、无缺漏、条理清晰的，得4分；</w:t>
            </w:r>
            <w:r/>
          </w:p>
          <w:p>
            <w:pPr>
              <w:numPr>
                <w:ilvl w:val="0"/>
                <w:numId w:val="25"/>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组织实施方案基本涵盖上述内容，方案措施描述较全的，得2分；</w:t>
            </w:r>
            <w:r/>
          </w:p>
          <w:p>
            <w:pPr>
              <w:numPr>
                <w:ilvl w:val="0"/>
                <w:numId w:val="25"/>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组织实施方案内容有缺失，有一定的方案措施描述的，得1分；</w:t>
            </w:r>
            <w:r/>
          </w:p>
          <w:p>
            <w:pPr>
              <w:numPr>
                <w:ilvl w:val="0"/>
                <w:numId w:val="25"/>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不符合招标文件要求或未提供的不得分。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评标委员会根据投标人提供的具体实施方案进行综合评审。</w:t>
            </w:r>
            <w:r/>
          </w:p>
          <w:p>
            <w:pPr>
              <w:numPr>
                <w:ilvl w:val="0"/>
                <w:numId w:val="26"/>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各个系统都能分析到位且方案措施针对性强的，得4分；</w:t>
            </w:r>
            <w:r/>
          </w:p>
          <w:p>
            <w:pPr>
              <w:numPr>
                <w:ilvl w:val="0"/>
                <w:numId w:val="26"/>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分析及相关措施较可行的，得2分；</w:t>
            </w:r>
            <w:r/>
          </w:p>
          <w:p>
            <w:pPr>
              <w:numPr>
                <w:ilvl w:val="0"/>
                <w:numId w:val="26"/>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分析不到位、措施一般的，得1分；</w:t>
            </w:r>
            <w:r/>
          </w:p>
          <w:p>
            <w:pPr>
              <w:numPr>
                <w:ilvl w:val="0"/>
                <w:numId w:val="26"/>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不符合招标文件要求或未提供的不得分。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评标委员会根据投标人提供的售后服务方案进行综合评审。</w:t>
            </w:r>
            <w:r/>
          </w:p>
          <w:p>
            <w:pPr>
              <w:numPr>
                <w:ilvl w:val="0"/>
                <w:numId w:val="19"/>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有全面完善的售后服务措施、场景化服务能力、售后服务网点分布、技术支持方案等，响应时间及方式合理且具操作性强的，得4分；</w:t>
            </w:r>
            <w:r/>
          </w:p>
          <w:p>
            <w:pPr>
              <w:numPr>
                <w:ilvl w:val="0"/>
                <w:numId w:val="19"/>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售后服务措施、场景化服务能力、售后服务网点分布、技术支持方案，响应时间及方式合理，可操作性一般的，得2分；</w:t>
            </w:r>
            <w:r/>
          </w:p>
          <w:p>
            <w:pPr>
              <w:numPr>
                <w:ilvl w:val="0"/>
                <w:numId w:val="19"/>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售后服务措施、售后服务网点分布、技术支持方案等较为简单，响应时间及方式不合理的，得1分；</w:t>
            </w:r>
            <w:r/>
          </w:p>
          <w:p>
            <w:pPr>
              <w:numPr>
                <w:ilvl w:val="0"/>
                <w:numId w:val="19"/>
              </w:numPr>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不符合招标文件要求或未提供的不得分。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三、客观分（52分）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投标人自2022年1月1日以来（以合同签订日期为准）承接过类似智能化项目（项目内容至少包含安防系统及会议系统）业绩的，有一个得1分，最高得2分。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注：投标文件中提供合同并加盖投标人公章，否则不得分。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1.投标人具有电子与智能化工程专业承包二级及以上资质的，得2分。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2.投标人具有CCRC信息安全服务资质认证-信息系统安全集成服务资质证书的，得2分。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3.投标人具有信息系统建设和服务能力基本级(CS2)及以上资质的，得2分。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注：投标文件中提供相关证书并加盖投标人公章，否则不得分。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1.拟投入本项目的</w:t>
            </w:r>
            <w:r>
              <w:rPr>
                <w:rFonts w:ascii="SimSun" w:hAnsi="SimSun" w:eastAsia="SimSun" w:cs="SimSun"/>
                <w:b/>
                <w:color w:val="000000"/>
                <w:sz w:val="24"/>
              </w:rPr>
              <w:t xml:space="preserve">项目负责人</w:t>
            </w:r>
            <w:r>
              <w:rPr>
                <w:rFonts w:ascii="SimSun" w:hAnsi="SimSun" w:eastAsia="SimSun" w:cs="SimSun"/>
                <w:color w:val="000000"/>
                <w:sz w:val="24"/>
              </w:rPr>
              <w:t xml:space="preserve">具有信息系统管理工程师证书的，得2分；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2.拟投入本项目的</w:t>
            </w:r>
            <w:r>
              <w:rPr>
                <w:rFonts w:ascii="SimSun" w:hAnsi="SimSun" w:eastAsia="SimSun" w:cs="SimSun"/>
                <w:b/>
                <w:color w:val="000000"/>
                <w:sz w:val="24"/>
              </w:rPr>
              <w:t xml:space="preserve">项目负责人</w:t>
            </w:r>
            <w:r>
              <w:rPr>
                <w:rFonts w:ascii="SimSun" w:hAnsi="SimSun" w:eastAsia="SimSun" w:cs="SimSun"/>
                <w:color w:val="000000"/>
                <w:sz w:val="24"/>
              </w:rPr>
              <w:t xml:space="preserve">具有ITSS-IT服务项目经理的，得2分；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3.拟投入本项目的</w:t>
            </w:r>
            <w:r>
              <w:rPr>
                <w:rFonts w:ascii="SimSun" w:hAnsi="SimSun" w:eastAsia="SimSun" w:cs="SimSun"/>
                <w:b/>
                <w:color w:val="000000"/>
                <w:sz w:val="24"/>
              </w:rPr>
              <w:t xml:space="preserve">项目负责人</w:t>
            </w:r>
            <w:r>
              <w:rPr>
                <w:rFonts w:ascii="SimSun" w:hAnsi="SimSun" w:eastAsia="SimSun" w:cs="SimSun"/>
                <w:color w:val="000000"/>
                <w:sz w:val="24"/>
              </w:rPr>
              <w:t xml:space="preserve">具有PMP证书的，得2分；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4.拟投入本项目的</w:t>
            </w:r>
            <w:r>
              <w:rPr>
                <w:rFonts w:ascii="SimSun" w:hAnsi="SimSun" w:eastAsia="SimSun" w:cs="SimSun"/>
                <w:b/>
                <w:color w:val="000000"/>
                <w:sz w:val="24"/>
              </w:rPr>
              <w:t xml:space="preserve">项目负责人</w:t>
            </w:r>
            <w:r>
              <w:rPr>
                <w:rFonts w:ascii="SimSun" w:hAnsi="SimSun" w:eastAsia="SimSun" w:cs="SimSun"/>
                <w:color w:val="000000"/>
                <w:sz w:val="24"/>
              </w:rPr>
              <w:t xml:space="preserve">具有网络安全能力认证CCSC证书的，得2分。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注：投标文件中提供相关证书及近三个月任意一个月投标人为项目负责人缴纳的社保证明材料，并加盖投标人公章，否则不得分。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1.拟投入本项目的</w:t>
            </w:r>
            <w:r>
              <w:rPr>
                <w:rFonts w:ascii="SimSun" w:hAnsi="SimSun" w:eastAsia="SimSun" w:cs="SimSun"/>
                <w:b/>
                <w:color w:val="000000"/>
                <w:sz w:val="24"/>
              </w:rPr>
              <w:t xml:space="preserve">技术负责人</w:t>
            </w:r>
            <w:r>
              <w:rPr>
                <w:rFonts w:ascii="SimSun" w:hAnsi="SimSun" w:eastAsia="SimSun" w:cs="SimSun"/>
                <w:color w:val="000000"/>
                <w:sz w:val="24"/>
              </w:rPr>
              <w:t xml:space="preserve">具有机电工程专业一级建造师证书的，得2分；具有机电工程专业二级建造师证书的，得1分，最高得2分。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2.拟投入本项目的</w:t>
            </w:r>
            <w:r>
              <w:rPr>
                <w:rFonts w:ascii="SimSun" w:hAnsi="SimSun" w:eastAsia="SimSun" w:cs="SimSun"/>
                <w:b/>
                <w:color w:val="000000"/>
                <w:sz w:val="24"/>
              </w:rPr>
              <w:t xml:space="preserve">技术负责人</w:t>
            </w:r>
            <w:r>
              <w:rPr>
                <w:rFonts w:ascii="SimSun" w:hAnsi="SimSun" w:eastAsia="SimSun" w:cs="SimSun"/>
                <w:color w:val="000000"/>
                <w:sz w:val="24"/>
              </w:rPr>
              <w:t xml:space="preserve">具有电子信息专业高级及以上工程师职称证书的，得2分；具有电子信息专业中级及以上工程师职称证书的，得1分，最高得2分。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3.拟投入本项目的</w:t>
            </w:r>
            <w:r>
              <w:rPr>
                <w:rFonts w:ascii="SimSun" w:hAnsi="SimSun" w:eastAsia="SimSun" w:cs="SimSun"/>
                <w:b/>
                <w:color w:val="000000"/>
                <w:sz w:val="24"/>
              </w:rPr>
              <w:t xml:space="preserve">技术负责人</w:t>
            </w:r>
            <w:r>
              <w:rPr>
                <w:rFonts w:ascii="SimSun" w:hAnsi="SimSun" w:eastAsia="SimSun" w:cs="SimSun"/>
                <w:color w:val="000000"/>
                <w:sz w:val="24"/>
              </w:rPr>
              <w:t xml:space="preserve">具有ITSS-IT服务项目经理证书的，得2分。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4.拟投入本项目的</w:t>
            </w:r>
            <w:r>
              <w:rPr>
                <w:rFonts w:ascii="SimSun" w:hAnsi="SimSun" w:eastAsia="SimSun" w:cs="SimSun"/>
                <w:b/>
                <w:color w:val="000000"/>
                <w:sz w:val="24"/>
              </w:rPr>
              <w:t xml:space="preserve">技术负责人</w:t>
            </w:r>
            <w:r>
              <w:rPr>
                <w:rFonts w:ascii="SimSun" w:hAnsi="SimSun" w:eastAsia="SimSun" w:cs="SimSun"/>
                <w:color w:val="000000"/>
                <w:sz w:val="24"/>
              </w:rPr>
              <w:t xml:space="preserve">具有CISAW信息安全保障人员证书的，得2分。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注：投标文件中提供相关证书及近三个月任意一个月投标人为技术负责人缴纳的社保证明材料，并加盖投标人公章，否则不得分。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售后负责人（1人）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1.拟投入本项目的</w:t>
            </w:r>
            <w:r>
              <w:rPr>
                <w:rFonts w:ascii="SimSun" w:hAnsi="SimSun" w:eastAsia="SimSun" w:cs="SimSun"/>
                <w:b/>
                <w:color w:val="000000"/>
                <w:sz w:val="24"/>
              </w:rPr>
              <w:t xml:space="preserve">售后负责人</w:t>
            </w:r>
            <w:r>
              <w:rPr>
                <w:rFonts w:ascii="SimSun" w:hAnsi="SimSun" w:eastAsia="SimSun" w:cs="SimSun"/>
                <w:color w:val="000000"/>
                <w:sz w:val="24"/>
              </w:rPr>
              <w:t xml:space="preserve">具有网络安全技术（I级）及以上CCSC证书的，得2分；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2.拟投入本项目的</w:t>
            </w:r>
            <w:r>
              <w:rPr>
                <w:rFonts w:ascii="SimSun" w:hAnsi="SimSun" w:eastAsia="SimSun" w:cs="SimSun"/>
                <w:b/>
                <w:color w:val="000000"/>
                <w:sz w:val="24"/>
              </w:rPr>
              <w:t xml:space="preserve">售后负责人</w:t>
            </w:r>
            <w:r>
              <w:rPr>
                <w:rFonts w:ascii="SimSun" w:hAnsi="SimSun" w:eastAsia="SimSun" w:cs="SimSun"/>
                <w:color w:val="000000"/>
                <w:sz w:val="24"/>
              </w:rPr>
              <w:t xml:space="preserve">具有特种作业操作证（低压电工）的，得2分。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3.拟投入本项目的</w:t>
            </w:r>
            <w:r>
              <w:rPr>
                <w:rFonts w:ascii="SimSun" w:hAnsi="SimSun" w:eastAsia="SimSun" w:cs="SimSun"/>
                <w:b/>
                <w:color w:val="000000"/>
                <w:sz w:val="24"/>
              </w:rPr>
              <w:t xml:space="preserve">售后负责人</w:t>
            </w:r>
            <w:r>
              <w:rPr>
                <w:rFonts w:ascii="SimSun" w:hAnsi="SimSun" w:eastAsia="SimSun" w:cs="SimSun"/>
                <w:color w:val="000000"/>
                <w:sz w:val="24"/>
              </w:rPr>
              <w:t xml:space="preserve">具有中级及以上工程师职称证书的，得1分。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注：投标文件中提供相关证书及近三个月任意一个月投标人为售后负责人缴纳的社保证明材料，并加盖投标人公章，否则不得分。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的符合性，即根据投标人所提供产品的综合性能、技术参数，产品的安全性、稳定性、操作性等方面进行评分。符合技术要求的得22分。标注“▲”项的为重要参数，有一项不满足扣2分，未标注“▲”项的为基本参数，有一项不满足扣1分，扣完为止。</w:t>
            </w:r>
            <w:r>
              <w:rPr>
                <w:rFonts w:ascii="SimSun" w:hAnsi="SimSun" w:eastAsia="SimSun" w:cs="SimSun"/>
                <w:b/>
                <w:color w:val="000000"/>
                <w:sz w:val="24"/>
              </w:rPr>
              <w:t xml:space="preserve">标注“★”项如有负偏离视为无效响应。</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注：投标文件中提供证明材料（不限于：国家认可的检测机构出具的产品检测报告或产品彩页或图册或技术参数说明书或功能截图等）并加盖投标人公章，并标出所在页码。有偏离的应逐条列在《偏离表》中。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政府采购政策功能性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认证证书的，有1个得0.5分，最多得0.5分。如投标产品均属于政府强制采购节能产品品目清单范围内，本项不得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2.投标产品属于财政部、生态环境部公布的“环境标志产品品目清单”范围内的，投标人提供国家确定的认证机构出具的、处于有效期内的该环境标志产品认证证书的，有1个得0.5分，最多得0.5分。</w:t>
            </w:r>
            <w:r/>
          </w:p>
          <w:p>
            <w:pPr>
              <w:ind w:left="0" w:right="0" w:firstLine="0"/>
              <w:jc w:val="both"/>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5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注:1.评分细则中要求提供的证明文件及资料等在投标文件中提供并加盖公章，否则不得分。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主要是对安家中学进行信息化改造，以满足智慧校园的建设需要，使得学校通过信息化手段提高教学效率和办公效率。本项目主要包括综合布线系统、网络系统、安防系统、广播及会议系统、LED显示系统、舞台灯光系统的建设，采购内容包括但不限于招标文件及其基本技术要求范围内相应货物的制造前的准备（包括现场踏勘、技术核对等）、采购、定制、加工制作、检验、包装、发货、运输、装卸至现场指定地点、安装、调试、技术服务、主管单位验收、质保期及维保服务和招标文件所要求的相关服务等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1.交付的时间和地点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施工现场满足施工条件，中标人接到招标人入场通知后150天内完成安装调试工作。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合同签订后15日内预付合同价款的30%，安装调试完毕并经相关部门验收合格能正常运行交付使用后付至合同价款的70%，经审计审定后付至审定价的100%。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三、采购清单及技术参数</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2282"/>
        <w:gridCol w:w="5039"/>
        <w:gridCol w:w="732"/>
        <w:gridCol w:w="650"/>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综合布线系统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六类非屏蔽信息模块插座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1.不需工具卡接，通用端接口尺寸。</w:t>
              <w:br/>
              <w:t xml:space="preserve">2.锁扣灵活，易于面板以及配线架的装卸，选择45°、90°安装，或高密度堆叠安装。</w:t>
              <w:br/>
              <w:t xml:space="preserve">3.卡接位双重固定，4线对之间设计物理隔离空间。</w:t>
              <w:br/>
              <w:t xml:space="preserve">4.支持110卡接方式，对绞线对的“退扭”及对绞的芯线“开绞”工序简易。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二位内斜口信息面板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1.结构及性能：内斜45°结构，保护跳接线弯曲半径，组合式前后双层互扣结构面板款型设计，防尘门内置高筋弹簧，弹起顺畅，不卡顿，防止灰尘堆积及液体滴渗。</w:t>
              <w:br/>
              <w:t xml:space="preserve">2.结构要求：边角柔性设计，隐蔽式螺丝孔位，螺丝内置。</w:t>
              <w:br/>
              <w:t xml:space="preserve">3.产品材质：整体选用阻燃聚碳酸酯材料（PC级工程塑料），工业无毒害添加剂，防老化、变色。</w:t>
              <w:br/>
              <w:t xml:space="preserve">4.适配信息插座模块2个。</w:t>
              <w:br/>
              <w:t xml:space="preserve">5.产品应用：可安装超五类、六类、增强六类非屏蔽及屏蔽数据模块，语音模块，光纤适配器等。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2米六类非屏蔽RJ45跳线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1.RJ45，Cat.6。</w:t>
              <w:br/>
              <w:t xml:space="preserve">2.非屏蔽RJ45跳接线组件基于PCB技术，抗干扰结构，提升优化跳接软线的性能。</w:t>
              <w:br/>
              <w:t xml:space="preserve">3.导体采用多股绞合软线结构，线对间十字隔离技术，易弯曲不易折断，具有较好的柔韧性。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六类四对非屏蔽双绞线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1.柔性绞合型十字骨架设计有效的分开每一组对绞电缆，稳定线对结构，带宽测试达到250MHz。</w:t>
              <w:br/>
              <w:t xml:space="preserve">2.主材选用4N级无氧纯铜线芯，每一组对绞线缆的工作阻抗达到100±15Ω。</w:t>
              <w:br/>
              <w:t xml:space="preserve">3.精确的不同对绞电缆扭绞节距匹配和平衡设计。</w:t>
              <w:br/>
              <w:t xml:space="preserve">4.电缆直径：6.5±0.2mm，最小弯曲半径为10倍电缆外径，紧护套结构。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广播线线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RVV2*1.5。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24口六类非屏蔽模块式配线架（含模块）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1.非屏蔽RJ45信息插座端口式设计，根据需要可以配合1~24个非屏蔽模块使用。</w:t>
              <w:br/>
              <w:t xml:space="preserve">2.1U高度，有效防止临近信息模块的信号干扰，能提高抗外部串扰性能（ANEXT）。</w:t>
              <w:br/>
              <w:t xml:space="preserve">3.模块安装支架采用高抗压及阻燃塑料材质，模块装卸方便。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1U机架式标准12芯LC光纤配线架（含耦合器）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1.箱体式结构，机柜/机架挂耳安装，留有理线和纤芯盘存的空间。</w:t>
              <w:br/>
              <w:t xml:space="preserve">2.结构紧凑，简洁设计，强度高，光纤耦合器卡装牢固，满载光纤耦合器。</w:t>
              <w:br/>
              <w:t xml:space="preserve">3.设计紧凑，可墙壁支架、机架挂耳、网格式桥架安装，用于光缆的接续。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2米LC-LC9/125单模双芯光纤跳线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1.选用抗微弯、不敏感纤芯以及陶瓷插芯，插入损耗低，耐久性好。</w:t>
              <w:br/>
              <w:t xml:space="preserve">2.连接器类型：LC-LC。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1U封闭滑槽式理线架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1.采用金属材质，坚固且不易被划伤。</w:t>
              <w:br/>
              <w:t xml:space="preserve">2.琴键式理线槽位，保证跳线良好的弯曲，保证传输性能。</w:t>
              <w:br/>
              <w:t xml:space="preserve">3.上下活扣设计，方便理线。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室外12芯单模光缆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室外12芯单模光缆。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系统相关辅助材料。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室内穿线管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JDG20。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外场管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200*100*1.2mm，含桥架安装配件。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网络系统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★1.交换容量≥2.4Tbps，包转发率≥660Mpps，以官网最小值为准；支持24个1000M SFP光口，8个复用的10/100/1000Mbps电口，8个1G/10G SFP+光口，支持2个扩展插槽，可用于扩展业务板卡和管理板卡，</w:t>
            </w:r>
            <w:r>
              <w:rPr>
                <w:rFonts w:ascii="SimSun" w:hAnsi="SimSun" w:eastAsia="SimSun" w:cs="SimSun"/>
                <w:b/>
                <w:color w:val="000000"/>
                <w:sz w:val="21"/>
              </w:rPr>
              <w:t xml:space="preserve">投标文件中提供承诺函（格式自拟）并加盖投标人公章</w:t>
            </w:r>
            <w:r>
              <w:rPr>
                <w:rFonts w:ascii="SimSun" w:hAnsi="SimSun" w:eastAsia="SimSun" w:cs="SimSun"/>
                <w:color w:val="000000"/>
                <w:sz w:val="21"/>
              </w:rPr>
              <w:t xml:space="preserve">。</w:t>
              <w:br/>
              <w:t xml:space="preserve">▲2.支持24个千兆口、8个万兆口在64Bytes-1518Bytes下线速转发，</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br/>
              <w:t xml:space="preserve">3.MAC地址≥196K，路由表项≥64K。</w:t>
              <w:br/>
              <w:t xml:space="preserve">4.支持RIPv2，OSPFv2/v3，BGP4/4+，IS-ISv4/v6，支持IGMP v1/v2/v3，PIM-SM等组播协议。</w:t>
              <w:br/>
              <w:t xml:space="preserve">5.支持硬件层级双boot，采用两个FLASH芯片存储boot软件（系统引导程序），实现硬件级boot冗余备份，避免因FLASH芯片故障导致交换机无法启动，</w:t>
            </w:r>
            <w:r>
              <w:rPr>
                <w:rFonts w:ascii="SimSun" w:hAnsi="SimSun" w:eastAsia="SimSun" w:cs="SimSun"/>
                <w:b/>
                <w:color w:val="000000"/>
                <w:sz w:val="21"/>
              </w:rPr>
              <w:t xml:space="preserve">投标文件中提供官网截图及链接并加盖投标人公章</w:t>
            </w:r>
            <w:r>
              <w:rPr>
                <w:rFonts w:ascii="SimSun" w:hAnsi="SimSun" w:eastAsia="SimSun" w:cs="SimSun"/>
                <w:color w:val="000000"/>
                <w:sz w:val="21"/>
              </w:rPr>
              <w:t xml:space="preserve">。</w:t>
              <w:br/>
              <w:t xml:space="preserve">6.支持基础网络保护策略，限制用户向网络中发送ARP报文、ICMP请求报文、DHCP请求报文的数率，对超过限速阈值的报文进行丢弃处理，能够识别攻击行为，对有攻击行为的用户进行隔离。</w:t>
              <w:br/>
              <w:t xml:space="preserve">7.支持虚拟化功能，可将多台物理设备虚拟化为一台逻辑设备统一管理，并且链路故障的收敛时间达到毫秒级。</w:t>
              <w:br/>
              <w:t xml:space="preserve">8.支持基于流的采样功能，对所选数据流包头中的源IP地址、目的IP地址、协议号、源端口号、包长等信息进行采样，并发送至网管主机，</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br/>
              <w:t xml:space="preserve">▲9.为保证设备在受到外界机械碰撞时能够正常运行，要求所投交换机IK防护测试级别至少达到IK05，</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br/>
              <w:t xml:space="preserve">10.配置模块化双电源，支持1+1冗余。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24口POE接入交换机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★1.支持10/100/1000M以太网端口≥24，支持1G SFP光接口≥4个；交换容量≥330Gbps，包转发率≥50Mpps，以官网最小值为准，</w:t>
            </w:r>
            <w:r>
              <w:rPr>
                <w:rFonts w:ascii="SimSun" w:hAnsi="SimSun" w:eastAsia="SimSun" w:cs="SimSun"/>
                <w:b/>
                <w:color w:val="000000"/>
                <w:sz w:val="21"/>
              </w:rPr>
              <w:t xml:space="preserve">投标人提供承诺函，并加盖投标人公章</w:t>
            </w:r>
            <w:r>
              <w:rPr>
                <w:rFonts w:ascii="SimSun" w:hAnsi="SimSun" w:eastAsia="SimSun" w:cs="SimSun"/>
                <w:color w:val="000000"/>
                <w:sz w:val="21"/>
              </w:rPr>
              <w:t xml:space="preserve">。</w:t>
              <w:br/>
              <w:t xml:space="preserve">2.要求设备MAC地址≥16K，支持POE和POE+，最大输出功率≥370W。</w:t>
              <w:br/>
              <w:t xml:space="preserve">3.支持静态路由、可扩展支持RIP、RIPng、OSPF、OSPFv3协议。</w:t>
              <w:br/>
              <w:t xml:space="preserve">4.设备支持手机组网、支持远程运维。</w:t>
              <w:br/>
              <w:t xml:space="preserve">5.设备支持查看设备状态和故障告警、支持云端认证。</w:t>
              <w:br/>
              <w:t xml:space="preserve">6.支持快速链路检测协议RLDP，可快速检测链路的通断和光纤链路的单向性，并支持端口下的环路检测功能，防止端口下因私接Hub等设备形成的环路而导致网络故障的现象，</w:t>
            </w:r>
            <w:r>
              <w:rPr>
                <w:rFonts w:ascii="SimSun" w:hAnsi="SimSun" w:eastAsia="SimSun" w:cs="SimSun"/>
                <w:b/>
                <w:color w:val="000000"/>
                <w:sz w:val="21"/>
              </w:rPr>
              <w:t xml:space="preserve">投标文件中提供官网截图及链接并加盖投标人公章</w:t>
            </w:r>
            <w:r>
              <w:rPr>
                <w:rFonts w:ascii="SimSun" w:hAnsi="SimSun" w:eastAsia="SimSun" w:cs="SimSun"/>
                <w:color w:val="000000"/>
                <w:sz w:val="21"/>
              </w:rPr>
              <w:t xml:space="preserve">。</w:t>
              <w:br/>
              <w:t xml:space="preserve">7.支持一键查看POE状态，轻按即可查看设备当前的通信状态和供电状态，</w:t>
            </w:r>
            <w:r>
              <w:rPr>
                <w:rFonts w:ascii="SimSun" w:hAnsi="SimSun" w:eastAsia="SimSun" w:cs="SimSun"/>
                <w:b/>
                <w:color w:val="000000"/>
                <w:sz w:val="21"/>
              </w:rPr>
              <w:t xml:space="preserve">投标文件中提供官网截图及链接并加盖投标人公章</w:t>
            </w:r>
            <w:r>
              <w:rPr>
                <w:rFonts w:ascii="SimSun" w:hAnsi="SimSun" w:eastAsia="SimSun" w:cs="SimSun"/>
                <w:color w:val="000000"/>
                <w:sz w:val="21"/>
              </w:rPr>
              <w:t xml:space="preserve">。</w:t>
              <w:br/>
              <w:t xml:space="preserve">8.支持CPU保护策略，对发往CPU的数据流，进行流区分和优先级队列分级处理，并根据需要实施带宽限速，充分保护CPU不被非法流量占用、恶意攻击和资源消耗。</w:t>
              <w:br/>
              <w:t xml:space="preserve">▲9.为保证设备在受到外界机械碰撞时能够正常运行，要求所投交换机IK防护测试级别至少达到IK05，</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8口POE接入交换机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★1.支持10/100/1000M以太网电口≥10，1000M/2.5G SFP千兆光接口≥2个；交换容量≥3360bps，包转发率≥30Mpps，以官网最小值为准，</w:t>
            </w:r>
            <w:r>
              <w:rPr>
                <w:rFonts w:ascii="SimSun" w:hAnsi="SimSun" w:eastAsia="SimSun" w:cs="SimSun"/>
                <w:b/>
                <w:color w:val="000000"/>
                <w:sz w:val="21"/>
              </w:rPr>
              <w:t xml:space="preserve">投标文件中提供承诺函（格式自拟）并加盖投标人公章</w:t>
            </w:r>
            <w:r>
              <w:rPr>
                <w:rFonts w:ascii="SimSun" w:hAnsi="SimSun" w:eastAsia="SimSun" w:cs="SimSun"/>
                <w:color w:val="000000"/>
                <w:sz w:val="21"/>
              </w:rPr>
              <w:t xml:space="preserve">。</w:t>
              <w:br/>
              <w:t xml:space="preserve">2.支持POE和POE+同时可POE供电端口≥8个，POE最大输出功率≥125W，PoE满载下整机最大功耗141W。</w:t>
              <w:br/>
              <w:t xml:space="preserve">3.支持静态路由协议。</w:t>
              <w:br/>
              <w:t xml:space="preserve">4.支持生成树协议STP(IEEE 802.1d)，RSTP(IEEE 802.1w)和MSTP(IEEE 802.1s)，完全保证快速收敛，提高容错能力，保证网络的稳定运行和链路的负载均衡，合理使用网络通道，提供冗余链路利用率。</w:t>
              <w:br/>
              <w:t xml:space="preserve">5.支持快速链路检测协议RLDP，可快速检测链路的通断和光纤链路的单向性，并支持端口下的环路检测功能，防止端口下因私接Hub等设备形成</w:t>
            </w:r>
            <w:r>
              <w:rPr>
                <w:rFonts w:ascii="SimSun" w:hAnsi="SimSun" w:eastAsia="SimSun" w:cs="SimSun"/>
                <w:color w:val="000000"/>
                <w:sz w:val="21"/>
              </w:rPr>
              <w:t xml:space="preserve">的环路而导致网络故障的现象，</w:t>
            </w:r>
            <w:r>
              <w:rPr>
                <w:rFonts w:ascii="SimSun" w:hAnsi="SimSun" w:eastAsia="SimSun" w:cs="SimSun"/>
                <w:b/>
                <w:color w:val="000000"/>
                <w:sz w:val="21"/>
              </w:rPr>
              <w:t xml:space="preserve">投标文件中提供官网截图及链接并加盖投标人公章</w:t>
            </w:r>
            <w:r>
              <w:rPr>
                <w:rFonts w:ascii="SimSun" w:hAnsi="SimSun" w:eastAsia="SimSun" w:cs="SimSun"/>
                <w:color w:val="000000"/>
                <w:sz w:val="21"/>
              </w:rPr>
              <w:t xml:space="preserve">。</w:t>
              <w:br/>
              <w:t xml:space="preserve">▲6.为保证设备在受到外界机械碰撞时能够正常运行，要求所投交换机IK防护测试级别至少达到IK05，</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br/>
              <w:t xml:space="preserve">7.支持SNMP、CLI(Telnet/Console)、Syslog、NTP、TFTP、Web。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放装AP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★1.支持802.11ax标准，采用双路双频设计，整机4条空间流，整机最大无线速率≥2.95Gbps，</w:t>
            </w:r>
            <w:r>
              <w:rPr>
                <w:rFonts w:ascii="SimSun" w:hAnsi="SimSun" w:eastAsia="SimSun" w:cs="SimSun"/>
                <w:b/>
                <w:color w:val="000000"/>
                <w:sz w:val="21"/>
              </w:rPr>
              <w:t xml:space="preserve">投标文件中提供承诺函（格式自拟）并加盖投标人公章</w:t>
            </w:r>
            <w:r>
              <w:rPr>
                <w:rFonts w:ascii="SimSun" w:hAnsi="SimSun" w:eastAsia="SimSun" w:cs="SimSun"/>
                <w:color w:val="000000"/>
                <w:sz w:val="21"/>
              </w:rPr>
              <w:t xml:space="preserve">。</w:t>
              <w:br/>
              <w:t xml:space="preserve">2.支持1个10/100/1000Base-T自适应以太网电口，1个2.5G SFP接口，</w:t>
            </w:r>
            <w:r>
              <w:rPr>
                <w:rFonts w:ascii="SimSun" w:hAnsi="SimSun" w:eastAsia="SimSun" w:cs="SimSun"/>
                <w:b/>
                <w:color w:val="000000"/>
                <w:sz w:val="21"/>
              </w:rPr>
              <w:t xml:space="preserve">投标文件中提供官网截图及链接并加盖投标人公章。</w:t>
              <w:br/>
            </w:r>
            <w:r>
              <w:rPr>
                <w:rFonts w:ascii="SimSun" w:hAnsi="SimSun" w:eastAsia="SimSun" w:cs="SimSun"/>
                <w:color w:val="000000"/>
                <w:sz w:val="21"/>
              </w:rPr>
              <w:t xml:space="preserve">3.内置蓝牙5.0及以上模块。</w:t>
              <w:br/>
              <w:t xml:space="preserve">4.支持WLAN自动网优功能，不借助任何网络优化软件，仅通过AP配置进行无线网络优化，降低无线网络中的频段干扰。</w:t>
              <w:br/>
              <w:t xml:space="preserve">▲5.AP部署在开放环境中，为保障设备受到外部机械碰撞仍可以保持结构完整、功能完备，要求所投室内无线接入点符合国标GB/T 20138-2006即《电器设备外壳对外界机械碰撞的防护等级（IK代码）》标准，至少达到防护等级IK09，</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br/>
              <w:t xml:space="preserve">▲6.由于AP部署在高空环境，难以时常清洁，为保障设备堆积灰尘仍可以正常运行，要求所投无线接入点符合国标GB/T 4208-2017即《外壳防护等级（IP代码）》，至少达到防护等级IP51，</w:t>
            </w:r>
            <w:r>
              <w:rPr>
                <w:rFonts w:ascii="SimSun" w:hAnsi="SimSun" w:eastAsia="SimSun" w:cs="SimSun"/>
                <w:b/>
                <w:color w:val="000000"/>
                <w:sz w:val="21"/>
              </w:rPr>
              <w:t xml:space="preserve">投标文件中提供国家认可的检测机构出具的测试报告并加盖投标人公章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面板AP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★1.支持802.11ax标准，采用双路双频设计，整机4条空间流，整机最大接入速率≥2.95Gbps，</w:t>
            </w:r>
            <w:r>
              <w:rPr>
                <w:rFonts w:ascii="SimSun" w:hAnsi="SimSun" w:eastAsia="SimSun" w:cs="SimSun"/>
                <w:b/>
                <w:color w:val="000000"/>
                <w:sz w:val="21"/>
              </w:rPr>
              <w:t xml:space="preserve">投标文件中提供承诺函（格式自拟）并加盖投标人公章</w:t>
            </w:r>
            <w:r>
              <w:rPr>
                <w:rFonts w:ascii="SimSun" w:hAnsi="SimSun" w:eastAsia="SimSun" w:cs="SimSun"/>
                <w:color w:val="000000"/>
                <w:sz w:val="21"/>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2.面板型AP，尺寸86*86，可嵌入86盒安装。</w:t>
              <w:br/>
              <w:t xml:space="preserve">3.至少支持1个1G以太网口上联，1个1G以太网口下联，1对RJ45透传口。</w:t>
              <w:br/>
              <w:t xml:space="preserve">▲4.整机功耗小于8W，考虑安装后的美观度，安装后突出墙面部分不得超过10mm（厚度），</w:t>
            </w:r>
            <w:r>
              <w:rPr>
                <w:rFonts w:ascii="SimSun" w:hAnsi="SimSun" w:eastAsia="SimSun" w:cs="SimSun"/>
                <w:b/>
                <w:color w:val="000000"/>
                <w:sz w:val="21"/>
              </w:rPr>
              <w:t xml:space="preserve">投标文件中提供官网截图及链接并加盖投标人公章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千兆单模模块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1.1000BASE-LX mini GBIC转换模块（1310nm），10km。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安防系统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64路硬盘录像机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不少于2个HDMI接口、2个VGA接口、2个RJ45千兆网络接口；2个USB2.0接口、2个USB3.0接口、1个RS232接口、1个RS485接口（可接入RS485键盘）；具有1路音频输入接口、2路音频输出接口、16路报警输入接口、9路报警输出接口（其中第9路支持受控直流12V输出）、具有1路直流12V输出接口（12V 1A）、可内置16块SATA接口硬盘，</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br/>
              <w:t xml:space="preserve">▲2.可接入1T、2T、3T、4T、6T、8T、10T、12TB、14TB、16TB、18TB、20TB容量的SATA接口硬盘；可接入AI硬盘；支持不同品牌、不同转速的监控级和企业级硬盘混合接入，</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br/>
              <w:t xml:space="preserve">3.支持最大接入带宽384Mbps，最大存储带宽384Mbps，最大转发带宽384Mbps。</w:t>
              <w:br/>
              <w:t xml:space="preserve">4.可同时显示输出24路2MP、H.265编码、25fps、1920×1080格式的视频图像。</w:t>
              <w:br/>
              <w:t xml:space="preserve">5.支持报警事件、异常事件计数提醒功能，以图标形式在监控界面上提醒用户，异常事件包括硬盘满、硬盘错误、网络断开、IP冲突、非法访问、视频信号丢失、录像/抓图异常、IP通道冲突、热备异常、子码流分辨率/码率超限、配件板异常、硬盘高温异常、硬盘低温异常、硬盘坏块异常、硬盘撞击异常、硬盘严重故障异常、无码流异常等。</w:t>
              <w:br/>
              <w:t xml:space="preserve">6.可</w:t>
            </w:r>
            <w:r>
              <w:rPr>
                <w:rFonts w:ascii="SimSun" w:hAnsi="SimSun" w:eastAsia="SimSun" w:cs="SimSun"/>
                <w:color w:val="000000"/>
                <w:sz w:val="21"/>
              </w:rPr>
              <w:t xml:space="preserve">接入带有温度报警、烟雾报警、障碍物遮挡报警、移动报警、防拆报警、紧急报警的智慧消防摄像机进行报警联动。</w:t>
              <w:br/>
              <w:t xml:space="preserve">▲7.支持接入具有专家模式的移动侦测的摄像机，移动侦测报警能够区分是人、车还是其它目标产生，可录像和记录报警信息，</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8T监控硬盘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8TB，SATA接口，监控专用硬盘。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1.支持3840×2160超高清显示。</w:t>
              <w:br/>
              <w:t xml:space="preserve">2.采用超宽视角屏幕（上下左右）178°。</w:t>
              <w:br/>
              <w:t xml:space="preserve">3.3D数字图象降噪处理技术，画质更真实更清晰；超窄边设计，超高屏占比。</w:t>
              <w:br/>
              <w:t xml:space="preserve">4.支持文本、图片、音频、视频等多种格式多媒体播放；</w:t>
              <w:br/>
              <w:t xml:space="preserve">5.显示尺寸：50inch。</w:t>
              <w:br/>
              <w:t xml:space="preserve">6.物理分辨率：3840×2160。</w:t>
              <w:br/>
              <w:t xml:space="preserve">7.背光源类型：D-LED；像素间距：0.2854mm(H)×0.2854mm(V)；亮度：300cd/m²；可视角：178°(H)/178°(V)；色深度：10bit，1.07G；对比度：5000:1；响应时间：9.5ms；刷新率</w:t>
            </w:r>
            <w:r>
              <w:rPr>
                <w:rFonts w:ascii="SimSun" w:hAnsi="SimSun" w:eastAsia="SimSun" w:cs="SimSun"/>
                <w:color w:val="000000"/>
                <w:sz w:val="21"/>
              </w:rPr>
              <w:t xml:space="preserve">：60Hz；表面处理：Haze25%，2H；连续使用时间：7×16H；色域：72%NTSC。</w:t>
              <w:br/>
              <w:t xml:space="preserve">8.音视频输入接口：HDMI2.0×3；音视频输出接口：LINE OUT×1，Speaker OUT×2(8Ω10W)；数据传输接口：USB2.0×1；控制接口：RS232 IN×1，RS232 OUT×1；电源：178~240 VAC，50/60Hz；功耗：≤120W；待机功耗：≤0.5W。</w:t>
              <w:br/>
              <w:t xml:space="preserve">9.工作温度：0℃~40℃；工作湿度：20%~80%RH(无冷凝水)；存储温度：-20℃~60℃；存储湿度：10%~80%</w:t>
            </w:r>
            <w:r>
              <w:rPr>
                <w:rFonts w:ascii="SimSun" w:hAnsi="SimSun" w:eastAsia="SimSun" w:cs="SimSun"/>
                <w:color w:val="000000"/>
                <w:sz w:val="21"/>
              </w:rPr>
              <w:t xml:space="preserve">RH(无冷凝水)。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NTP网络授时服务器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授时精度小于1ms;操作系统Linux OS；可用性指标MTBF可达80000小时；服务器同步精度小于1us;接口配置1个Console设置口；1个USB口；4个10/100/1000M自适应以太网接口；授时容量&gt;=10000次/秒，最高可达25000次/秒；保持功能内置高精度恒温晶振，老化率3x10-7；网络协议RFC 1119/1305 NTP v2/v3/v4;RFC 1769/2030 SNTP v2/v3/v4;10M/100M/1000M自适应以太网；TELNET，SSH，FTP，DHCP;高可</w:t>
            </w:r>
            <w:r>
              <w:rPr>
                <w:rFonts w:ascii="SimSun" w:hAnsi="SimSun" w:eastAsia="SimSun" w:cs="SimSun"/>
                <w:color w:val="000000"/>
                <w:sz w:val="21"/>
              </w:rPr>
              <w:t xml:space="preserve">靠性双路220V冗余电源；支持双机热备；支持网卡绑定；卫星接收机支持GPS、北斗二代双参考源。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CPU核心数不低于4核8线程，主频不低于3.3GHZ,内存不低于8G，固态硬盘不低于480G，需配有独显。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枪式摄像机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1.具有400万像素，传感器类型：1/2.7"Progressive Scan CMOS。</w:t>
              <w:br/>
              <w:t xml:space="preserve">2.最低照度：彩色：0.005Lux。</w:t>
              <w:br/>
              <w:t xml:space="preserve">3.宽动态：数字宽动态，焦距&amp;视场角：4mm，水平视场角：70°，垂直视场角：35°，对角视场角：85°；6mm，水平视场角：46°，垂直视场角：24°，对角视场角：54；8mm，水平视场角：43°，垂直视场角：24°，对角视场角：50°；12mm，水平视场角：27°，垂直视场角：15°，对角视场角：31°。</w:t>
              <w:br/>
              <w:t xml:space="preserve">4.红外波长范围：850nm。</w:t>
              <w:br/>
              <w:t xml:space="preserve">5.防补光过曝：支持。</w:t>
              <w:br/>
              <w:t xml:space="preserve">6.补光灯类</w:t>
            </w:r>
            <w:r>
              <w:rPr>
                <w:rFonts w:ascii="SimSun" w:hAnsi="SimSun" w:eastAsia="SimSun" w:cs="SimSun"/>
                <w:color w:val="000000"/>
                <w:sz w:val="21"/>
              </w:rPr>
              <w:t xml:space="preserve">型：智能补光，可切换白光灯、红外灯。</w:t>
              <w:br/>
              <w:t xml:space="preserve">7.补光距离：红外光最远可达50m，白光最远可达30m。</w:t>
              <w:br/>
              <w:t xml:space="preserve">8.最大分辨率：2560×1440。</w:t>
              <w:br/>
              <w:t xml:space="preserve">9.视频压缩标准：主码流：H.265/H.264。</w:t>
              <w:br/>
              <w:t xml:space="preserve">10.子码流：H.265/H.264。</w:t>
              <w:br/>
              <w:t xml:space="preserve">11.音频：1个内置麦克风。</w:t>
              <w:br/>
              <w:t xml:space="preserve">12.网络：1个RJ45 10M/100M自适应以太网口。</w:t>
              <w:br/>
              <w:t xml:space="preserve">13.启动及工作温湿度：-30℃~60℃，湿度小于95%（无凝结）。</w:t>
              <w:br/>
              <w:t xml:space="preserve">14.存储温湿度：-30℃~60℃，湿度小于95%（无凝结）。</w:t>
              <w:br/>
              <w:t xml:space="preserve">15.供电方式：DC：12V±25%，支持防反接保护。</w:t>
              <w:br/>
              <w:t xml:space="preserve">16.</w:t>
            </w:r>
            <w:r>
              <w:rPr>
                <w:rFonts w:ascii="SimSun" w:hAnsi="SimSun" w:eastAsia="SimSun" w:cs="SimSun"/>
                <w:color w:val="000000"/>
                <w:sz w:val="21"/>
              </w:rPr>
              <w:t xml:space="preserve">PoE：IEEE 802.3af，Class 3。</w:t>
              <w:br/>
              <w:t xml:space="preserve">17.防护：IP67。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材质:监控专用支架，铝合金材质。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防油污摄像机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★1.具有400万像素CMOS传感器，最大分辨率2560x1440，</w:t>
            </w:r>
            <w:r>
              <w:rPr>
                <w:rFonts w:ascii="SimSun" w:hAnsi="SimSun" w:eastAsia="SimSun" w:cs="SimSun"/>
                <w:b/>
                <w:color w:val="000000"/>
                <w:sz w:val="21"/>
              </w:rPr>
              <w:t xml:space="preserve">投标文件中提供承诺函（格式自拟）并加盖投标人公章</w:t>
            </w:r>
            <w:r>
              <w:rPr>
                <w:rFonts w:ascii="SimSun" w:hAnsi="SimSun" w:eastAsia="SimSun" w:cs="SimSun"/>
                <w:color w:val="000000"/>
                <w:sz w:val="21"/>
              </w:rPr>
              <w:t xml:space="preserve">。</w:t>
              <w:br/>
              <w:t xml:space="preserve">2.筒机镜头护罩无需任何工具即可实现快速拆卸及安装，方便镜头护罩的清洗、更换。</w:t>
              <w:br/>
              <w:t xml:space="preserve">3.存储接口：具备USB接口或者存储卡接口连接外部存储介质。</w:t>
              <w:br/>
              <w:t xml:space="preserve">4.具有视音频参数调节功能。</w:t>
              <w:br/>
              <w:t xml:space="preserve">5.需具大于110dB宽动态。</w:t>
              <w:br/>
              <w:t xml:space="preserve">▲6.具有断线自动重连、在线升级、配置保存获取、恢复出厂设置和重启、字符叠加、双（多）码流、主动注册、本机存储、web服务、报警、日志记录、语音、视音频编码码流的传输、存储封装格式等功能，</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br/>
              <w:t xml:space="preserve">7.多路访问功能：支持主码流同时输出20路2560x1440、25帧/s、2MBPS图像以供客户端浏览。</w:t>
              <w:br/>
              <w:t xml:space="preserve">8.具有抗丢包（10%）处理能力。</w:t>
              <w:br/>
              <w:t xml:space="preserve">9.网络协议：具有TCP/IP、IPv6、HTTP、HTTPS、FTP、DNS、DDNS、RTSP、PPPoE、SMTP、NTP、SNMP、组播设置选项。</w:t>
              <w:br/>
              <w:t xml:space="preserve">▲10.录像配置功能：具有定时、移动侦测、动测或报警、动测和报警、事件和报警6中录像触发方式配置设置选项，</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▲1.分辨力不小于1400线（分辨率设置为2560×1440，帧率设置为25fps、码率设置为6Mbps、RJ45输出），夜视距离：可识别距设备150m的人体轮廓，</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br/>
              <w:t xml:space="preserve">▲2.支持不低于20倍光学变焦，最大焦距110mm最低照度：彩色≤0.005Lux，黑白模式≤0.001Lux（AGC ON、RJ45输出、红外灯关闭、应能分辨反射式视频矩阵测试卡中的彩色色块，</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br/>
              <w:t xml:space="preserve">3.球机水平手控速度不小于120°/S，垂直手控最大旋转速度不小于80°/S，云台定位精度小于等于0.1°。</w:t>
              <w:br/>
              <w:t xml:space="preserve">4.水平旋转范围为360°连续旋转，垂直旋转范围为-15°~90°，自动翻转，图像始终保持正像。</w:t>
              <w:br/>
              <w:t xml:space="preserve">5.应具有300个预置位，可按照所设置的预置位完成8条巡航路径，可按照所设置轨迹完成4条模式路径；在控制云镜时，可实现RS485接口优先或RJ45网络接口优先控制功能。</w:t>
              <w:br/>
              <w:t xml:space="preserve">6.信噪比≥60dB。</w:t>
              <w:br/>
              <w:t xml:space="preserve">7.设备应符合IP66的规定，温度65℃、-30℃，持续时间24h，试验期间设备处于工作状态，过程中进行5</w:t>
            </w:r>
            <w:r>
              <w:rPr>
                <w:rFonts w:ascii="SimSun" w:hAnsi="SimSun" w:eastAsia="SimSun" w:cs="SimSun"/>
                <w:color w:val="000000"/>
                <w:sz w:val="21"/>
              </w:rPr>
              <w:t xml:space="preserve">次上下电，设备应能正常启动，试验后设备应能正常工作。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室外防水箱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500*600，不锈钢材质。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高度3.5米，含基础浇筑。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系统相关辅助材料。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广播系统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壁挂喇叭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1.输入电压：70/100V。</w:t>
              <w:br/>
              <w:t xml:space="preserve">2.额定功率：6/10W。</w:t>
              <w:br/>
              <w:t xml:space="preserve">3.频响：100～15KHZ。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合并式功放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1.内置蓝牙模块，MP3解码播放器与FM收音机播放器。</w:t>
              <w:br/>
              <w:t xml:space="preserve">2.设有2路话筒输入，3路线路输入，1路辅助输出，定压输出为70V/100V，定阻输出为4-16Ω，输出功率为240W。</w:t>
              <w:br/>
              <w:t xml:space="preserve">3.输出频响范围为100~16KHz。</w:t>
              <w:br/>
              <w:t xml:space="preserve">4.每路输入音量可独立控制，带有高低音音量调节。</w:t>
              <w:br/>
              <w:t xml:space="preserve">5.话筒1设为最高优先功能，自动抑制其他输入信号。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IP网络解码前置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1.标准1U机架式设计，适合安装于各类型机柜之中。</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2.终端主板采用工业级高速嵌入式CPU，定制LINUX操作系统内核。</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3.集成数字功放，功率≥20W*2，音频线性输入接口≥1路，3.5mm立体声音频线性输出≥1路，麦克风输入接口≥2路。</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4.集成TFT真彩液晶显示，可显示MP3当前播放内容，输入音频、麦克风、数字广播通道开启状态等内容。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会议系统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发言子系统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一拖四无线手持话筒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1.UHF频段传输信号，频率范围：500MHz-900MHz。</w:t>
              <w:br/>
              <w:t xml:space="preserve">2.四通道接收信号，每通道有100个信道可选，每个信道以250KHz步进；每通道用24.75MHz。</w:t>
              <w:br/>
              <w:t xml:space="preserve">3.各通道配备独有的ID号，增强抗干扰功能，支持20台同时使用（即20台接收机和80个发射器）。</w:t>
              <w:br/>
              <w:t xml:space="preserve">4.背面设有2个平衡输出和1个混合非平衡输出，适合连接各种外置设备。</w:t>
              <w:br/>
              <w:t xml:space="preserve">5.系统包括有一台主机+四个手持话筒。</w:t>
              <w:br/>
              <w:t xml:space="preserve">▲话筒具备抗电磁干扰、射频干扰功能，</w:t>
            </w:r>
            <w:r>
              <w:rPr>
                <w:rFonts w:ascii="SimSun" w:hAnsi="SimSun" w:eastAsia="SimSun" w:cs="SimSun"/>
                <w:b/>
                <w:color w:val="000000"/>
                <w:sz w:val="21"/>
              </w:rPr>
              <w:t xml:space="preserve">投标文件中提供软件著作权证书并加盖投标人公章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一拖八无线会议话筒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1.UHF频段传输信号，频率范围：500MHz-900MHz。</w:t>
              <w:br/>
              <w:t xml:space="preserve">2.八通道接收信号，每通道有50个信道可选，每个信道以250KHz步进；每通道用12.25MHz。</w:t>
              <w:br/>
              <w:t xml:space="preserve">3.各通道配备独有的ID号，增强抗干扰功能，支持10台同时使用（即10台接收机和80个发射器）。</w:t>
              <w:br/>
              <w:t xml:space="preserve">4.背面设有2个平衡输出和1个混合非平衡输出，适合连接各种外置设备。</w:t>
              <w:br/>
              <w:t xml:space="preserve">5.系统包括有一台主机+八个鹅颈（长杆）会议话筒。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话筒桌面支架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手持话筒桌面支架。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1.采用自适应环境啸叫抑制算法，采用高速浮点数字音频处理器和先进的子带（Sub-Band)回声消除(Echo Cancellation)技术。</w:t>
              <w:br/>
              <w:t xml:space="preserve">2.内置自适应动态噪声滤波器。</w:t>
              <w:br/>
              <w:t xml:space="preserve">3.内置24Bit A/D、D/A转换。</w:t>
              <w:br/>
              <w:t xml:space="preserve">4.内置AGC自动增益控制。</w:t>
              <w:br/>
              <w:t xml:space="preserve">5.内置数字高低通调节控制。</w:t>
              <w:br/>
              <w:t xml:space="preserve">6.内置数字压限器。</w:t>
              <w:br/>
              <w:t xml:space="preserve">7.内置10段图示均衡器。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无线信号放大器</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1.频率范围：500-950MHz。</w:t>
              <w:br/>
              <w:t xml:space="preserve">2.输入截断点：+22dBm。</w:t>
              <w:br/>
              <w:t xml:space="preserve">3.噪声比：4.0dB Type(Center Band)。</w:t>
              <w:br/>
              <w:t xml:space="preserve">4.增益：+6-9dB(Center Band)。</w:t>
              <w:br/>
              <w:t xml:space="preserve">5.输出阻抗：15dB min。</w:t>
              <w:br/>
              <w:t xml:space="preserve">6.阻抗：50Ω。</w:t>
              <w:br/>
              <w:t xml:space="preserve">7.频宽：450MHz。</w:t>
              <w:br/>
              <w:t xml:space="preserve">8.插座：BNC female。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无线信号放大器延长线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不低于40米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扩声子系统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1.≥16个输入通道，≥8个话筒输入，≥2组立体声线路输入。</w:t>
              <w:br/>
              <w:t xml:space="preserve">2.≥6通道带压缩功能，1-8通道设三段式中段扫频均衡。</w:t>
              <w:br/>
              <w:t xml:space="preserve">3.9/10-11/12通道设三段均衡器，13/14-15/16通道设两段均衡器。</w:t>
              <w:br/>
              <w:t xml:space="preserve">4.≥6组母线(立体声+4编组)，三个辅助发送，一个立体声回送。</w:t>
              <w:br/>
              <w:t xml:space="preserve">5.1辅助发送/立体声辅助返回。</w:t>
              <w:br/>
              <w:t xml:space="preserve">6.3段通道均衡（中频段扫频）和高通滤波器。</w:t>
              <w:br/>
              <w:t xml:space="preserve">7.3段立体声图示均衡器。</w:t>
              <w:br/>
              <w:t xml:space="preserve">8.内置数字效果。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1.2路平衡式信号输入，6路平衡式信号输出。</w:t>
              <w:br/>
              <w:t xml:space="preserve">2.32/64-bit高精度浮点专业音频DSP为数据处理核心。</w:t>
              <w:br/>
              <w:t xml:space="preserve">3.内置24-bit AD/DA发烧皇冠级转换芯片。</w:t>
              <w:br/>
              <w:t xml:space="preserve">5.每个输入和输出处理均有6段独立的全参量均衡。</w:t>
              <w:br/>
              <w:t xml:space="preserve">6.具有有延时和相位控制及哑音设置。</w:t>
              <w:br/>
              <w:t xml:space="preserve">7.每个输入通道可调噪声门，并且每个输入通道有两段全参数可调的动态均衡（DEQ），自动增益控制。</w:t>
              <w:br/>
              <w:t xml:space="preserve">8.输出通道还可独立控制压缩、限幅及自由选择输入信号通道。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1.低音：≥15寸，450W，≥75芯190磁。</w:t>
              <w:br/>
              <w:t xml:space="preserve">2.高音：≥50W，≥44芯。</w:t>
              <w:br/>
              <w:t xml:space="preserve">3.阻抗：8Ω。</w:t>
              <w:br/>
              <w:t xml:space="preserve">4.分频点：2.2K。</w:t>
              <w:br/>
              <w:t xml:space="preserve">5.频率响应：38Hz-19KHz。</w:t>
              <w:br/>
              <w:t xml:space="preserve">6.输入灵敏度：≥98dB/w/m。</w:t>
              <w:br/>
              <w:t xml:space="preserve">7.最大声压级：≥126dB。</w:t>
              <w:br/>
              <w:t xml:space="preserve">8.扩散角度：80°（H）×50°（V）。</w:t>
              <w:br/>
              <w:t xml:space="preserve">9.额定功率：≥500W。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主音箱功放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1.立体声输出功率8Ω：800W×2。</w:t>
              <w:br/>
              <w:t xml:space="preserve">2.立体声输出功率4Ω：1400W×2。</w:t>
              <w:br/>
              <w:t xml:space="preserve">3.输入灵敏度：0.775V/1.4V。</w:t>
              <w:br/>
              <w:t xml:space="preserve">4.频率响应：20-20000Hz(±0.3dB)。</w:t>
              <w:br/>
              <w:t xml:space="preserve">5.信噪比：﹥100dB。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补声音箱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1.低音：≥12寸，300W，≥65芯170磁。</w:t>
              <w:br/>
              <w:t xml:space="preserve">2.高音：≥40W，≥34芯。</w:t>
              <w:br/>
              <w:t xml:space="preserve">3.阻抗：8Ω。</w:t>
              <w:br/>
              <w:t xml:space="preserve">4.分频点：2.2K。</w:t>
              <w:br/>
              <w:t xml:space="preserve">5.频率响应：45Hz-20KHz。</w:t>
              <w:br/>
              <w:t xml:space="preserve">6.输入灵敏度：≥97dB/w/m。</w:t>
              <w:br/>
              <w:t xml:space="preserve">7.最大声压级：≥124dB。</w:t>
              <w:br/>
              <w:t xml:space="preserve">8.扩散角度：80°（H）×50°（V）。</w:t>
              <w:br/>
              <w:t xml:space="preserve">9.额定功率：≥350W。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补声功放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1.具有不小于2.5英寸TFT真彩屏，可详细显示功放工作状态。</w:t>
              <w:br/>
              <w:t xml:space="preserve">2.具有两通道独立温度显示。</w:t>
              <w:br/>
              <w:t xml:space="preserve">3.具有两声道独立音量数值显示。</w:t>
              <w:br/>
              <w:t xml:space="preserve">4.具有工作模式显示，输入灵敏度显示，保护状态显示。</w:t>
              <w:br/>
              <w:t xml:space="preserve">5.具有直流、过热、过载、限幅、过压、欠压、短路等多重保护功能。</w:t>
              <w:br/>
              <w:t xml:space="preserve">▲6.具有回路断开按钮，当功放过载时回路断开按钮自动弹起切断电源，从而起到过载保护功能，</w:t>
            </w:r>
            <w:r>
              <w:rPr>
                <w:rFonts w:ascii="SimSun" w:hAnsi="SimSun" w:eastAsia="SimSun" w:cs="SimSun"/>
                <w:b/>
                <w:color w:val="000000"/>
                <w:sz w:val="21"/>
              </w:rPr>
              <w:t xml:space="preserve">投标文件中提供国家认可的检测机构出具的检测报告并加盖投标人公章</w:t>
            </w:r>
            <w:r>
              <w:rPr>
                <w:rFonts w:ascii="SimSun" w:hAnsi="SimSun" w:eastAsia="SimSun" w:cs="SimSun"/>
                <w:color w:val="000000"/>
                <w:sz w:val="21"/>
              </w:rPr>
              <w:t xml:space="preserve">。</w:t>
              <w:br/>
              <w:t xml:space="preserve">7.具有立体声、单声道、桥接等工作模式选择。</w:t>
              <w:br/>
              <w:t xml:space="preserve">8.支持立体声8Ω输出，立体声4Ω输出，桥接8Ω输出。</w:t>
              <w:br/>
              <w:t xml:space="preserve">9.立体声输出功率8Ω：600W×2。</w:t>
              <w:br/>
              <w:t xml:space="preserve">10.立体声输出功率4Ω：1000W×2。</w:t>
              <w:br/>
              <w:t xml:space="preserve">11.桥接功率8Ω：1800W。</w:t>
              <w:br/>
              <w:t xml:space="preserve">12.输入灵敏度：0.775V/1.4V。</w:t>
              <w:br/>
              <w:t xml:space="preserve">13.频率响应：20-20000Hz(±0.3dB)。</w:t>
              <w:br/>
              <w:t xml:space="preserve">14.转换速率：≥10V/µs。</w:t>
              <w:br/>
              <w:t xml:space="preserve">15.阻尼系数：﹥200:1。</w:t>
              <w:br/>
              <w:t xml:space="preserve">16.串音：&gt;-75dB@1KHz。</w:t>
              <w:br/>
              <w:t xml:space="preserve">17.信噪比：﹥100dB。</w:t>
              <w:br/>
              <w:t xml:space="preserve">18.总谐波失真：＜0.5%，1KHz。</w:t>
              <w:br/>
              <w:t xml:space="preserve">19.互调失</w:t>
            </w:r>
            <w:r>
              <w:rPr>
                <w:rFonts w:ascii="SimSun" w:hAnsi="SimSun" w:eastAsia="SimSun" w:cs="SimSun"/>
                <w:color w:val="000000"/>
                <w:sz w:val="21"/>
              </w:rPr>
              <w:t xml:space="preserve">真：﹤0.35%8Ω，1KHz1W。</w:t>
              <w:br/>
              <w:t xml:space="preserve">▲20.</w:t>
            </w:r>
            <w:r>
              <w:rPr>
                <w:rFonts w:ascii="SimSun" w:hAnsi="SimSun" w:eastAsia="SimSun" w:cs="SimSun"/>
                <w:b/>
                <w:color w:val="000000"/>
                <w:sz w:val="21"/>
              </w:rPr>
              <w:t xml:space="preserve">投标文件中提供功率放大器限幅、短路、削峰保护系统相关软件著作权证书并加盖投标人公章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返听音箱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1.低音：≥12寸，300W，≥65芯170磁。</w:t>
              <w:br/>
              <w:t xml:space="preserve">2.高音：≥40W，≥34芯。</w:t>
              <w:br/>
              <w:t xml:space="preserve">3.阻抗：8Ω。</w:t>
              <w:br/>
              <w:t xml:space="preserve">4.分频点：2.2K。</w:t>
              <w:br/>
              <w:t xml:space="preserve">5.频率响应：45Hz-20KHz。</w:t>
              <w:br/>
              <w:t xml:space="preserve">6.输入灵敏度：≥97dB/w/m。</w:t>
              <w:br/>
              <w:t xml:space="preserve">7.最大声压级：≥124dB。</w:t>
              <w:br/>
              <w:t xml:space="preserve">8.扩散角度：80°（H）×50°（V）。</w:t>
              <w:br/>
              <w:t xml:space="preserve">9.额定功率：≥350W。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返听功放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1.具有不小于2.5英寸TFT真彩屏，可详细显示功放工作状态。</w:t>
              <w:br/>
              <w:t xml:space="preserve">2.具有两通道独立温度显示。</w:t>
              <w:br/>
              <w:t xml:space="preserve">3.具有两声道独立音量数值显示。</w:t>
              <w:br/>
              <w:t xml:space="preserve">4.具有工作模式显示，输入灵敏度显示，保护状态显示。</w:t>
              <w:br/>
              <w:t xml:space="preserve">5.具有直流、过热、过载、限幅、过压、欠压、短路等多重保护功能。</w:t>
              <w:br/>
              <w:t xml:space="preserve">6.具有回路断开按钮，当功放过载时回路断开按钮自动弹起切断电源，从而起到过载保护功能。</w:t>
              <w:br/>
              <w:t xml:space="preserve">7.具有立体声、单声道、桥接等工作模式选择。</w:t>
              <w:br/>
              <w:t xml:space="preserve">8.支持立体声8Ω输出，立体声4Ω输出，桥接8Ω输出。</w:t>
              <w:br/>
              <w:t xml:space="preserve">9.立体声输出功率8Ω：600W×2。</w:t>
              <w:br/>
              <w:t xml:space="preserve">10.立体声输出功率4Ω：1000</w:t>
            </w:r>
            <w:r>
              <w:rPr>
                <w:rFonts w:ascii="SimSun" w:hAnsi="SimSun" w:eastAsia="SimSun" w:cs="SimSun"/>
                <w:color w:val="000000"/>
                <w:sz w:val="21"/>
              </w:rPr>
              <w:t xml:space="preserve">W×2。</w:t>
              <w:br/>
              <w:t xml:space="preserve">11.桥接功率8Ω：1800W。</w:t>
              <w:br/>
              <w:t xml:space="preserve">12.输入灵敏度：0.775V/1.4V。</w:t>
              <w:br/>
              <w:t xml:space="preserve">13.频率响应：20-20000Hz(±0.3dB)。</w:t>
              <w:br/>
              <w:t xml:space="preserve">14.转换速率：≥10V/µs。</w:t>
              <w:br/>
              <w:t xml:space="preserve">15.阻尼系数：﹥200:1。</w:t>
              <w:br/>
              <w:t xml:space="preserve">16.串音：&gt;-75dB@1KHz。</w:t>
              <w:br/>
              <w:t xml:space="preserve">17.信噪比：﹥100dB。</w:t>
              <w:br/>
              <w:t xml:space="preserve">18.总谐波失真：＜0.5%，1KHz。</w:t>
              <w:br/>
              <w:t xml:space="preserve">19.互调失真：﹤0.35%8Ω，1KHz1W。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监听音箱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1.输出功率：2×60W。</w:t>
              <w:br/>
              <w:t xml:space="preserve">2.灵敏度：89dB。</w:t>
              <w:br/>
              <w:t xml:space="preserve">3.频率响应：20Hz-20KHz。</w:t>
              <w:br/>
              <w:t xml:space="preserve">4.信噪比：≥87dB。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1.单路额定输出电流≥10A，额定总输出电流≥30A，不少于10组开关场景数据保存、调用。</w:t>
              <w:br/>
              <w:t xml:space="preserve">2.彩色液晶显示屏≥2寸，可实时显示当前电压，日期时间，通道开关状态。</w:t>
              <w:br/>
              <w:t xml:space="preserve">3.内置时钟芯片，可根据日期时间定时设置自动开关机。</w:t>
              <w:br/>
              <w:t xml:space="preserve">4.设备自带设备编码ID检测和设置，可实现远程集中控制。</w:t>
              <w:br/>
              <w:t xml:space="preserve">5.具有欠压、超压检测及报警功能。</w:t>
              <w:br/>
              <w:t xml:space="preserve">▲6.具有独立电源滤波器，滤除外部杂波信号及设备间干扰信号，为每路设备提供干净而稳定的电源，</w:t>
            </w:r>
            <w:r>
              <w:rPr>
                <w:rFonts w:ascii="SimSun" w:hAnsi="SimSun" w:eastAsia="SimSun" w:cs="SimSun"/>
                <w:b/>
                <w:color w:val="000000"/>
                <w:sz w:val="21"/>
              </w:rPr>
              <w:t xml:space="preserve">投标文件中提供国家认可的检测机构出具的检测报告及报告编号在全国认证认可信息公共服务平台查询的截图并加盖投标人公章</w:t>
            </w:r>
            <w:r>
              <w:rPr>
                <w:rFonts w:ascii="SimSun" w:hAnsi="SimSun" w:eastAsia="SimSun" w:cs="SimSun"/>
                <w:color w:val="000000"/>
                <w:sz w:val="21"/>
              </w:rPr>
              <w:t xml:space="preserve">。</w:t>
              <w:br/>
              <w:t xml:space="preserve">▲7.为了避免对扩声系统干扰，具备30MHz~300MHz骚扰功率和1GHz以上辐射骚扰检测合格，</w:t>
            </w:r>
            <w:r>
              <w:rPr>
                <w:rFonts w:ascii="SimSun" w:hAnsi="SimSun" w:eastAsia="SimSun" w:cs="SimSun"/>
                <w:b/>
                <w:color w:val="000000"/>
                <w:sz w:val="21"/>
              </w:rPr>
              <w:t xml:space="preserve">投标文件中提供国家认可的检测机构出具的检测报告及报告编号在全国认证认可信息公共服务平台查询的截图并加盖投标人公章</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线材及其他设备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42U，600*800*2000mm(深*宽*高)。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音频隔离器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1.输入接口：XLR×2，1/4〞TRS×2，RCA×2，AUX 3.5mm×1</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2.输出接口：XLR×2，1/4〞TRS×2，RCA×2，AUX 3.5mm×1</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3.输入阻抗：600Ω/10KΩ（交流阻抗）</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4.输出阻抗：600Ω/10KΩ（交流阻抗）</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5.频率响应：20HZ—20KHZ （±＜0.5db ref 1khz）</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6.总谐波失真：＜0.01%（ref 1khz 1V rms）</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7.定损失：＜0.7db （ref 1khz 1V rms）</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8.绝缘电阻：DC1000V 100MΩ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音箱壁架 单只可承重不低于25公斤。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多媒体地插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具备网络/音频/HDMI/电源等接口，模块可选。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高清线、音频线、音响线、网线、音箱插件、其它安装辅材及安装配件。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LED显示系统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室内全彩显示屏（</w:t>
            </w:r>
            <w:r>
              <w:rPr>
                <w:rFonts w:ascii="SimSun" w:hAnsi="SimSun" w:eastAsia="SimSun" w:cs="SimSun"/>
                <w:b/>
                <w:color w:val="000000"/>
                <w:sz w:val="21"/>
              </w:rPr>
              <w:t xml:space="preserve">P2.5</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1.封装方式：表贴三合一SMD1515灯。</w:t>
              <w:br/>
              <w:t xml:space="preserve">★2.像素点间距：2.5mm，投标文件中提供承诺函（格式自拟）并加盖投标人公章。</w:t>
              <w:br/>
              <w:t xml:space="preserve">3.最佳视距（m）：≥2.5m。</w:t>
              <w:br/>
              <w:t xml:space="preserve">4.模组尺寸：长320mm高160mm。</w:t>
              <w:br/>
              <w:t xml:space="preserve">5.模组分辨率：128点×64点。</w:t>
              <w:br/>
              <w:t xml:space="preserve">6.像素密度：160000点/㎡。</w:t>
              <w:br/>
              <w:t xml:space="preserve">7.显示屏亮度：≥400cd/㎡。</w:t>
              <w:br/>
              <w:t xml:space="preserve">8.色温：3000-18000K可调。</w:t>
              <w:br/>
              <w:t xml:space="preserve">9.水平视角：≥160°，垂直视角≥140°。</w:t>
              <w:br/>
              <w:t xml:space="preserve">10.对比度：3000:1。</w:t>
              <w:br/>
              <w:t xml:space="preserve">11.亮度均匀性：≥97%。</w:t>
              <w:br/>
              <w:t xml:space="preserve">12.色度均匀性：±0.003Cx，Cy之内。</w:t>
              <w:br/>
              <w:t xml:space="preserve">13.</w:t>
            </w:r>
            <w:r>
              <w:rPr>
                <w:rFonts w:ascii="SimSun" w:hAnsi="SimSun" w:eastAsia="SimSun" w:cs="SimSun"/>
                <w:color w:val="000000"/>
                <w:sz w:val="21"/>
              </w:rPr>
              <w:t xml:space="preserve">峰值功耗（W/m2）：300W。</w:t>
              <w:br/>
              <w:t xml:space="preserve">14.平均功耗（W/m2）：150W。</w:t>
              <w:br/>
              <w:t xml:space="preserve">15.供电要求：AC220-240V。</w:t>
              <w:br/>
              <w:t xml:space="preserve">16.驱动方式：恒流驱动。</w:t>
              <w:br/>
              <w:t xml:space="preserve">17.换帧频率（Hz）：60。</w:t>
              <w:br/>
              <w:t xml:space="preserve">18.刷新率（Hz）：≥3840。</w:t>
              <w:br/>
              <w:t xml:space="preserve">19.工作温度范围（℃）：-10—40。</w:t>
              <w:br/>
              <w:t xml:space="preserve">20.存储温度范围（℃）：-20—60。</w:t>
              <w:br/>
              <w:t xml:space="preserve">21.工作湿度范围（RH）无结露：10-60%。</w:t>
              <w:br/>
              <w:t xml:space="preserve">22.存储湿度范围（RH）无结露：10-60%。</w:t>
              <w:br/>
              <w:t xml:space="preserve">23.信号接口：HUB75E接口。</w:t>
              <w:br/>
              <w:t xml:space="preserve">24.电源接口：VH4PIN。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二合一处理器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1.支持1路HDMI，4路DVI，1路3G-SDI输入。</w:t>
              <w:br/>
              <w:t xml:space="preserve">2.支持4K输入输出。</w:t>
              <w:br/>
              <w:t xml:space="preserve">3.支持HDR输出，增强显示效果。</w:t>
              <w:br/>
              <w:t xml:space="preserve">4.支持16网口，4路光纤输出，1040万像素带载。</w:t>
              <w:br/>
              <w:t xml:space="preserve">5.支持画面全屏缩放、点对点显示、自定义缩放三种缩放模式。</w:t>
              <w:br/>
              <w:t xml:space="preserve">6.支持5窗口任意布局。</w:t>
              <w:br/>
              <w:t xml:space="preserve">7.支持视频输出画面预监。</w:t>
              <w:br/>
              <w:t xml:space="preserve">8.支持EDID。</w:t>
              <w:br/>
              <w:t xml:space="preserve">9.支持10个预设场景。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1.可靠性高，负载能力强。</w:t>
              <w:br/>
              <w:t xml:space="preserve">2.100%满负载老化试验。</w:t>
              <w:br/>
              <w:t xml:space="preserve">3.空气自然对流冷却。</w:t>
              <w:br/>
              <w:t xml:space="preserve">4.保护功能具有：短路/过载。</w:t>
              <w:br/>
              <w:t xml:space="preserve">5.输出功率：200W。</w:t>
              <w:br/>
              <w:t xml:space="preserve">6.输入电压范围：200-240Vac。</w:t>
              <w:br/>
              <w:t xml:space="preserve">7.输出电压：5.0V。</w:t>
              <w:br/>
              <w:t xml:space="preserve">8.输出电流范围：0-40.0A。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全彩接收卡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1.集成12个标准HUB75接口。</w:t>
              <w:br/>
              <w:t xml:space="preserve">2.支持32扫。</w:t>
              <w:br/>
              <w:t xml:space="preserve">3.单卡输出RGB数据24组。</w:t>
              <w:br/>
              <w:t xml:space="preserve">4.单卡带载像素为256×226。</w:t>
              <w:br/>
              <w:t xml:space="preserve">5.支持配置文件回读。</w:t>
              <w:br/>
              <w:t xml:space="preserve">6.支持温度监控。</w:t>
              <w:br/>
              <w:t xml:space="preserve">7.支持网线通讯状态检测。</w:t>
              <w:br/>
              <w:t xml:space="preserve">8.支持供电电压检测。</w:t>
              <w:br/>
              <w:t xml:space="preserve">9.支持高灰度高刷新。</w:t>
              <w:br/>
              <w:t xml:space="preserve">10.支持逐点亮色度校正。</w:t>
              <w:br/>
              <w:t xml:space="preserve">11.支持接收卡预存画面设置。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显示屏钢架结构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镀锌钢管焊接，5cm常规黑拉丝不锈钢边框。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1.功能特性：</w:t>
              <w:br/>
              <w:t xml:space="preserve">（1）控制方式：手动+时控+选控三位一体；</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（2）手动状态：一键启停，分步上电、断电；</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（3）时控状态：设置；</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（4）组控制时间段；</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（5）选控控制：多功能卡、PLC、干接点；</w:t>
              <w:br/>
              <w:t xml:space="preserve">（6）空调控制：单独温度设定控制；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（7）级联控制：自动级联控制。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2.保护内容：</w:t>
              <w:br/>
              <w:t xml:space="preserve">（1）零线电缆高温保护；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（2）高温断电保护；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（3）短路保护。</w:t>
              <w:br/>
              <w:t xml:space="preserve">3.选控控制说明：</w:t>
              <w:br/>
              <w:t xml:space="preserve">配电箱可以由第三方系统控制，可以对接各种多功能卡、各种PLC（有485通讯协议）、干接点。配电箱有DC5V电源输出，供多功能卡使用另外，配电箱有控制信号接线排，分别连接多功能卡或PLC当选用多功能卡控制时，电脑需要安装对应演播室软件；当选用PLC控制时，电脑需要安装对应PLC专用软件，PLC控制界面可以显示配电箱温度、运行状态，也可以在PLC界面设置运行时间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相关辅助材料，如电源线、网线等。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CPU核心数不低于4核8线程，主频不低于3.3GHZ,内存不低于8G，固态硬盘不低于480G，需配有独显。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单色显示屏(P4.75)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点间距：4.75mm。</w:t>
              <w:br/>
              <w:t xml:space="preserve">物理密度：44321点/㎡。</w:t>
              <w:br/>
              <w:t xml:space="preserve">驱动方式：恒流驱动。</w:t>
              <w:br/>
              <w:t xml:space="preserve">结构：灯驱合一。</w:t>
              <w:br/>
              <w:t xml:space="preserve">模组尺寸：304*152。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异步控制卡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异步控制。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屏体钢结构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外框尺寸：长16.212米×高0.556米。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舞台机械、灯光系统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舞台面光吊杆机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舞台吊杆机滑轮组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舞台灯光杆体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25米，含灯光收线篮。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钢丝绳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Ф4.2。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舞台面光吊杆机控制箱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控制舞台面光灯杆的升降。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舞台机械钢结构葡萄架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机械钢结构，现场定制。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管线管材及辅材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系统所需相关管线管材。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 COB面光灯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额定电压：AC 100-240V，50/60HZ。</w:t>
              <w:br/>
              <w:t xml:space="preserve">额定功率：250W。</w:t>
              <w:br/>
              <w:t xml:space="preserve">光源灯珠：200W LED集成灯珠。</w:t>
              <w:br/>
              <w:t xml:space="preserve">寿命：约50000小时。</w:t>
              <w:br/>
              <w:t xml:space="preserve">光通量：8624lm。</w:t>
              <w:br/>
              <w:t xml:space="preserve">色温：6000K，照度:960lux(5m)。</w:t>
              <w:br/>
              <w:t xml:space="preserve">最佳投射距离：15-30m。</w:t>
              <w:br/>
              <w:t xml:space="preserve">调光：线性调光0-100%，频闪：0-25次/秒。</w:t>
              <w:br/>
              <w:t xml:space="preserve">操作模式：DMX模式，主从模式、手动模式。</w:t>
              <w:br/>
              <w:t xml:space="preserve">DMX通道：6/13，可DMX512控制。</w:t>
              <w:br/>
              <w:t xml:space="preserve">环境温度：-25℃～40℃。</w:t>
              <w:br/>
              <w:t xml:space="preserve">冷却：自然对流。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1024控台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numPr>
                <w:ilvl w:val="0"/>
                <w:numId w:val="19"/>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MX512/1990标准，最大1024个DMX控制通道，光电隔离信号输出。最大控制96台电脑灯或96路调光，使用珍珠灯库，内置图形轨迹发生器，有135个内置图形，方便用户对电脑进行图形轨迹控制，如画圆，螺旋，彩虹，追逐等多种效果，图形参数（如：振幅，速度，间隔，波浪，方向）均可独立设置60个重演场景，用语存储多步场景和单步场景，多步场景最多颗存储600步带背光LCD显示，中英文显示关机数据保存U盘备份和升级专业鹅颈工作灯，适合室内外演出使用（选配）。2.电源：AC90-240V/50-60HZ。</w:t>
              <w:br/>
              <w:t xml:space="preserve">3.可以</w:t>
            </w:r>
            <w:r>
              <w:rPr>
                <w:rFonts w:ascii="SimSun" w:hAnsi="SimSun" w:eastAsia="SimSun" w:cs="SimSun"/>
                <w:color w:val="000000"/>
                <w:sz w:val="21"/>
              </w:rPr>
              <w:t xml:space="preserve">同时控制很多产品，1024个通道。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8路信号放大器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1.供电：单相AC220V±10%，频率50Hz±5%。</w:t>
              <w:br/>
              <w:t xml:space="preserve">2. 8路信号输入，8路直径独立电气隔离的信号分配输出。</w:t>
              <w:br/>
              <w:t xml:space="preserve">3.数字信号：DMX512。</w:t>
              <w:br/>
              <w:t xml:space="preserve">4.接口类型：RS-485以及采用RS-485接口传输的各种数字信号。</w:t>
              <w:br/>
              <w:t xml:space="preserve">5.信号连接插座：三芯音频阳座阴座。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12路直通箱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1.供电：三相五线制AC380V±10%，频率50HZ±5%。</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2.信号接口:数字双DMX512(1990)。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3.额定功率:12路*4KW，每个回路最大输出功率可达4KW。</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说明：硅箱的核心器件可控硅芯片，性能稳定可靠，良好的散热装置和强制风冷与智能环保控制系统相结合，高效的抗干扰扼流圈抗干扰能力极强，噪音小，电流上升时间220us-450us每路输出4KW，一共12路，起始回路设定，预热值设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42U，600*800*2000mm(深*宽*高)。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保险绳及灯钩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信号线、电源线、其它安装辅材及安装配件。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注：1.上述检测报告等证明材料中标人需在中标公告发布之日起3个工作日内向招标人提供加盖生产厂家公章的原件，否则视为虚假响应，招标人不予签约，并追偿由此造成的损失。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★2.本项目广播系统需与原校园广播系统无缝对接，投标文件中提供承诺函（格式自拟）并加盖投标人公章，否则视为无效响应。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1.产品必须是全新、未使用过的原装合格正品，完全符合招标文件规定的质量、规格和性能的要求，达到国家或行业规定的标准。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2.投标人提供的产品必须能够满足规范及招标文件的要求，同时还必须满足使用要求；产品必须能通过招标人的质量验收等各类验收。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到达交货地点（招标人指定）后，招标人和中标人在2日内共同检验产品数量、质量等状况，由中标人负责并承担相关费用，招标人应积极配合。中标人进行安装调试并经过性能测试后，由招标人组织联合验收小组验收。验收合格后，双方在《验收报告》上签字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五、质保期及售后服务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1.质保期：产品的免费质保期为</w:t>
      </w:r>
      <w:r>
        <w:rPr>
          <w:rFonts w:ascii="SimSun" w:hAnsi="SimSun" w:eastAsia="SimSun" w:cs="SimSun"/>
          <w:b/>
          <w:color w:val="000000"/>
          <w:sz w:val="24"/>
        </w:rPr>
        <w:t xml:space="preserve">叁年</w:t>
      </w:r>
      <w:r>
        <w:rPr>
          <w:rFonts w:ascii="SimSun" w:hAnsi="SimSun" w:eastAsia="SimSun" w:cs="SimSun"/>
          <w:color w:val="000000"/>
          <w:sz w:val="24"/>
        </w:rPr>
        <w:t xml:space="preserve">，自产品验收合格之日起计算。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2.质保期内响应要求：在质保期内因中标人所供货物制造质量问题出现故障时，中标人在接到招标人通知后2小时内响应，8小时内赶到招标人项目现场，免费予以排除故障、修复或更换零部件。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3.在质保期内，因招标人使用不当原因出现故障时，中标人在接到招标人通知后，应在上述的时限内赶到招标人现场，帮助排除故障、修复或更换零部件。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0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情况说明:预留采购份额无法确保充分供应、充分竞争，存在可能影响政府采购目标实现的情形。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本项目投标报价为</w:t>
      </w:r>
      <w:r>
        <w:rPr>
          <w:rFonts w:ascii="SimSun" w:hAnsi="SimSun" w:eastAsia="SimSun" w:cs="SimSun"/>
          <w:b/>
          <w:color w:val="000000"/>
          <w:sz w:val="24"/>
        </w:rPr>
        <w:t xml:space="preserve">固定总价</w:t>
      </w:r>
      <w:r>
        <w:rPr>
          <w:rFonts w:ascii="SimSun" w:hAnsi="SimSun" w:eastAsia="SimSun" w:cs="SimSun"/>
          <w:color w:val="000000"/>
          <w:sz w:val="24"/>
        </w:rPr>
        <w:t xml:space="preserve">，报价应包括招标文件所确定的范围相应货物和服务的供货、包装、运输、安装调试、测试、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                         </w:t>
      </w:r>
      <w:r>
        <w:rPr>
          <w:rFonts w:ascii="SimSun" w:hAnsi="SimSun" w:eastAsia="SimSun" w:cs="SimSun"/>
          <w:color w:val="000000"/>
          <w:sz w:val="2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中标人（以下称乙方）:                         </w:t>
      </w:r>
      <w:r>
        <w:rPr>
          <w:rFonts w:ascii="SimSun" w:hAnsi="SimSun" w:eastAsia="SimSun" w:cs="SimSun"/>
          <w:color w:val="000000"/>
          <w:sz w:val="24"/>
        </w:rPr>
        <w:t xml:space="preserve">签订地点：</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w:t>
      </w:r>
      <w:r>
        <w:rPr>
          <w:rFonts w:ascii="SimSun" w:hAnsi="SimSun" w:eastAsia="SimSun" w:cs="SimSun"/>
          <w:color w:val="000000"/>
          <w:sz w:val="24"/>
          <w:u w:val="single"/>
        </w:rPr>
        <w:t xml:space="preserve">    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乙方根据甲方需求提供下列产品：</w:t>
      </w:r>
      <w:r>
        <w:rPr>
          <w:rFonts w:ascii="SimSun" w:hAnsi="SimSun" w:eastAsia="SimSun" w:cs="SimSun"/>
          <w:color w:val="000000"/>
          <w:sz w:val="24"/>
          <w:u w:val="single"/>
        </w:rPr>
        <w:t xml:space="preserve">         </w:t>
      </w:r>
      <w:r>
        <w:rPr>
          <w:rFonts w:ascii="SimSun" w:hAnsi="SimSun" w:eastAsia="SimSun" w:cs="SimSun"/>
          <w:color w:val="000000"/>
          <w:sz w:val="24"/>
        </w:rPr>
        <w:t xml:space="preserve">，产品名称、规格及数量详见乙方投标文件。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签约合同总价（人民币，下同）：</w:t>
      </w:r>
      <w:r>
        <w:rPr>
          <w:rFonts w:ascii="SimSun" w:hAnsi="SimSun" w:eastAsia="SimSun" w:cs="SimSun"/>
          <w:b/>
          <w:color w:val="000000"/>
          <w:sz w:val="24"/>
          <w:u w:val="single"/>
        </w:rPr>
        <w:t xml:space="preserve">             元（小写）</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是货物供货、包装、运输、安装调试、测试、备品备件、保险、管理、维护、劳务、培训、验收、办公设备、设备、工具、备品备件、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（1）招标文件（编号：JSZC-320411-SYZB-G2025-0035）；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（4）甲乙双方商定的其他文件等。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w:t>
      </w:r>
      <w:r>
        <w:rPr>
          <w:rFonts w:ascii="SimSun" w:hAnsi="SimSun" w:eastAsia="SimSun" w:cs="SimSun"/>
          <w:color w:val="000000"/>
          <w:sz w:val="24"/>
          <w:highlight w:val="white"/>
        </w:rPr>
        <w:t xml:space="preserve">、著作权、商标权等知识产权的起诉。</w:t>
      </w:r>
      <w:r>
        <w:rPr>
          <w:rFonts w:ascii="SimSun" w:hAnsi="SimSun" w:eastAsia="SimSun" w:cs="SimSun"/>
          <w:color w:val="000000"/>
          <w:sz w:val="24"/>
        </w:rPr>
        <w:t xml:space="preserve">一旦出现侵权、索赔或诉讼，乙方应承担全部责任，同时甲方有权解除本合同。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包装要求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2.每一包装单元内应附详细的装箱单和质量合格凭证。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3.乙方保证货物不存在危及人身及财产安全的产品缺陷，否则应承担全部法律责任。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交货和验收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1.乙方应当在施工现场满足施工条件，乙方接到甲方入场通知后</w:t>
      </w:r>
      <w:r>
        <w:rPr>
          <w:rFonts w:ascii="SimSun" w:hAnsi="SimSun" w:eastAsia="SimSun" w:cs="SimSun"/>
          <w:color w:val="000000"/>
          <w:sz w:val="24"/>
          <w:u w:val="single"/>
        </w:rPr>
        <w:t xml:space="preserve">     </w:t>
      </w:r>
      <w:r>
        <w:rPr>
          <w:rFonts w:ascii="SimSun" w:hAnsi="SimSun" w:eastAsia="SimSun" w:cs="SimSun"/>
          <w:color w:val="000000"/>
          <w:sz w:val="24"/>
        </w:rPr>
        <w:t xml:space="preserve">天内将货物交付甲方正常使用，地点由甲方指定。招标文件有约定的，从其约定。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3.货物的到货验收包括：生产厂家名称、品牌、型号、规格、数量、外观质量、配置及货物包装是否完好。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5.货物验收的标准：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5.1产品按国家、行业标准或甲方的技术要求进行验收，当发生矛盾时，以所有文件中最高性能指标为准。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5.2系统按合同规定的验收标准和招标文件要求进行验收，当两者发生矛盾时，以所有文件中最高性能指标为准。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合同款结算及支付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3.结算原则：固定总价。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4.如设计变更，增加的货物在清单中有的，按投标时的报价执行，若增加的货物在清单中没有的，结算时参照相似设备的投标报价，双方协商解决。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5.付款方式：合同签订后15日内预付合同价款的30%，安装调试完毕并经相关部门验收合格能正常运行交付使用后付至合同价款的70%，经审计审定后付至审定价的100%。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伴随服务／售后服务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1.乙方应按照国家有关法律法规规章和“三包”规定以及合同所附的“服务承诺”提供服务。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2.若招标文件中不包含有关伴随服务或售后服务的承诺，双方作如下约定：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2.2所购货物按乙方投标承诺提供免费维护和质量保证，保修费用计入总价。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2.3保修期内，乙方负责对其提供的货物整机进行维修和系统维护，不再收取任何费用，但不可抗力（如火灾、雷击等）造成的故障除外。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2.4货物故障报修的响应时间按乙方投标承诺执行。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2.5若货物故障在检修</w:t>
      </w:r>
      <w:r>
        <w:rPr>
          <w:rFonts w:ascii="SimSun" w:hAnsi="SimSun" w:eastAsia="SimSun" w:cs="SimSun"/>
          <w:color w:val="000000"/>
          <w:sz w:val="24"/>
          <w:u w:val="single"/>
        </w:rPr>
        <w:t xml:space="preserve">    </w:t>
      </w:r>
      <w:r>
        <w:rPr>
          <w:rFonts w:ascii="SimSun" w:hAnsi="SimSun" w:eastAsia="SimSun" w:cs="SimSun"/>
          <w:color w:val="000000"/>
          <w:sz w:val="24"/>
        </w:rPr>
        <w:t xml:space="preserve">工作小时后仍无法排除，乙方应在</w:t>
      </w:r>
      <w:r>
        <w:rPr>
          <w:rFonts w:ascii="SimSun" w:hAnsi="SimSun" w:eastAsia="SimSun" w:cs="SimSun"/>
          <w:color w:val="000000"/>
          <w:sz w:val="24"/>
          <w:u w:val="single"/>
        </w:rPr>
        <w:t xml:space="preserve">    </w:t>
      </w:r>
      <w:r>
        <w:rPr>
          <w:rFonts w:ascii="SimSun" w:hAnsi="SimSun" w:eastAsia="SimSun" w:cs="SimSun"/>
          <w:color w:val="000000"/>
          <w:sz w:val="24"/>
        </w:rPr>
        <w:t xml:space="preserve">小时内免费提供不低于故障货物规格型号档次的备用货物供甲方使用，直至故障货物修复。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2.6所有货物保修服务方式均为乙方上门保修，即由乙方派员到货物使用现场维修，由此产生的一切费用均由乙方承担。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2.7保修期后的货物维护由双方协商再定。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年。自产品验收合格之日起计算。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2.甲方未按合同规定的期限向乙方支付货款的，每逾期1天甲方向乙方偿付欠款总额的5‰滞纳金，但累计滞纳金总额不超过欠款总额的5%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3.乙方所交付的货物品种、型号、规格不符合合同规定的，甲方有权拒收，同时有权解除合同，解除合同的通知自发出之日生效。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5.乙方未按本合同的规定和“服务承诺”提供伴随服务/售后服务的，甲方有权提前解除本合同，同时乙方应按合同总价款的5 %向甲方承担违约责任。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8.其他未尽事宜，以《中华人民共和国民法典》等有关法律法规规定为准，无相关规定的，双方协商解决。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合同的变更和终止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质量问题或缺陷的索赔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w:t>
      </w:r>
      <w:r>
        <w:rPr>
          <w:rFonts w:ascii="SimSun" w:hAnsi="SimSun" w:eastAsia="SimSun" w:cs="SimSun"/>
          <w:color w:val="000000"/>
          <w:sz w:val="24"/>
        </w:rPr>
        <w:t xml:space="preserve">补甲方直接损失和间接损失，则乙方应赔偿甲方所有损失。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甲方因主张上述权利而支出的所有合理费用，包括但不限于律师费、诉讼费、鉴定费、差旅费、保函费等，均由乙方承担。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 ）种方式解决争议：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3、在法院审理和仲裁期间，除有争议部分外，本合同其他部分应继续履行。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诚实信用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2.本合同一式肆份，甲乙双方各执贰份。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rPr>
          <w:rFonts w:ascii="SimSun" w:hAnsi="SimSun" w:eastAsia="SimSun" w:cs="SimSun"/>
          <w:color w:val="000000"/>
          <w:sz w:val="24"/>
          <w:u w:val="single"/>
        </w:rPr>
        <w:t xml:space="preserve"> 常州市新北区安家中学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br w:type="page" w:clear="all"/>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 </w:t>
      </w:r>
      <w:r>
        <w:rPr>
          <w:rFonts w:ascii="SimSun" w:hAnsi="SimSun" w:eastAsia="SimSun" w:cs="SimSun"/>
          <w:b/>
          <w:color w:val="000000"/>
          <w:sz w:val="21"/>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致：江苏尚阳工程管理有限公司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人有效期内的身份证正反面电子件。</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政府采购供应商信用承诺书</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开标一览表</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3709"/>
        <w:gridCol w:w="1989"/>
        <w:gridCol w:w="199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8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投标报价（人民币：元）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注：此表的投标报价应和《投标分项报价表》中的总价相一致。</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投标分项报价表（实质性格式）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报价单位：人民币元</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1"/>
        <w:gridCol w:w="818"/>
        <w:gridCol w:w="725"/>
        <w:gridCol w:w="1242"/>
        <w:gridCol w:w="1671"/>
        <w:gridCol w:w="569"/>
        <w:gridCol w:w="574"/>
        <w:gridCol w:w="854"/>
        <w:gridCol w:w="1210"/>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品牌商标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如果不提供分项报价将视为没有实质性响应招标文件。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上述各项的详细规格、技术参数如表格中填写不下的，可以逐项另页描述。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156"/>
        <w:gridCol w:w="1774"/>
        <w:gridCol w:w="1775"/>
        <w:gridCol w:w="2171"/>
        <w:gridCol w:w="17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对合同条款中的所有要求，除本表所列明的所有偏离外，均视作投标人已对之理解和响应。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对招标文件中的所有商务、技术要求，除本表所列明的所有偏离外，均视作投标人已对之理解和响应。此表中若无任何文字说明，内容为空白，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“偏离情况”列应据实填写“正偏离”、“负偏离”，若不存在偏离情况，只需在此表中填写“无偏离”。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imes New Roman" w:hAnsi="Times New Roman" w:eastAsia="Times New Roman" w:cs="Times New Roman"/>
          <w:color w:val="000000"/>
          <w:sz w:val="24"/>
        </w:rPr>
        <w:t xml:space="preserve">https://baosong.miit.gov.cn/ScaleTest</w:t>
      </w:r>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在货物采购项目中，投标人提供的货物既有中型企业制造货物，也有小微企业制造货物的，不享受小微企业扶持政策，不予价格扣除。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小微企业未提供声明函的，价格分评审将不予价格扣除。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中小企业声明函格式</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本公司郑重声明，根据《政府采购促进中小企业发展管理办法》(财库[2020]46号)的规定，本公司参加江苏尚阳工程管理有限公司组织的</w:t>
      </w:r>
      <w:r>
        <w:rPr>
          <w:rFonts w:ascii="SimSun" w:hAnsi="SimSun" w:eastAsia="SimSun" w:cs="SimSun"/>
          <w:color w:val="000000"/>
          <w:sz w:val="24"/>
          <w:u w:val="single"/>
        </w:rPr>
        <w:t xml:space="preserve">（采购单位名称①）</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②</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（项目名称③）（分包号：④）</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2.（标的名称 ）</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2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1120" w:firstLine="0"/>
        <w:jc w:val="center"/>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1.（采购单位名称①）：填写本项目采购人单位名称，如常州市XXX局。</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2.采购编号为②：填写本项目编号，如JSZC-3204XX-SYZB-G20XX-XX。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3.（项目名称③）：填写本项目名称，如常州市XXX项目。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5.（标的名称⑤）：填写本项目标的名称，如有产品清单的请根据招标文件“第五章 采购需求”-“采购清单”中列出的名称进行填写，如：六类非屏蔽信息模块插座等；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6.（采购文件中明确的所属行业⑥）：填写本项目采购标的所属行业。须根据采购文件“第四章采购需求”表格中列明的所属行业进行填写。如：工业等。</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7.（企业名称⑦）：填写</w:t>
      </w:r>
      <w:r>
        <w:rPr>
          <w:rFonts w:ascii="SimSun" w:hAnsi="SimSun" w:eastAsia="SimSun" w:cs="SimSun"/>
          <w:b/>
          <w:color w:val="000000"/>
          <w:sz w:val="24"/>
        </w:rPr>
        <w:t xml:space="preserve">货物制造商的名称</w:t>
      </w:r>
      <w:r>
        <w:rPr>
          <w:rFonts w:ascii="SimSun" w:hAnsi="SimSun" w:eastAsia="SimSun" w:cs="SimSun"/>
          <w:color w:val="000000"/>
          <w:sz w:val="24"/>
        </w:rPr>
        <w:t xml:space="preserve">，如XXX企业。</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8.从业人员⑧人，营业收入为⑨万元，资产总额为⑩万元：填报</w:t>
      </w:r>
      <w:r>
        <w:rPr>
          <w:rFonts w:ascii="SimSun" w:hAnsi="SimSun" w:eastAsia="SimSun" w:cs="SimSun"/>
          <w:b/>
          <w:color w:val="000000"/>
          <w:sz w:val="24"/>
        </w:rPr>
        <w:t xml:space="preserve">货物制造商</w:t>
      </w:r>
      <w:r>
        <w:rPr>
          <w:rFonts w:ascii="SimSun" w:hAnsi="SimSun" w:eastAsia="SimSun" w:cs="SimSun"/>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9.（中型企业、小型企业、微型企业</w:t>
      </w:r>
      <w:r>
        <w:rPr>
          <w:rFonts w:ascii="SimSun" w:hAnsi="SimSun" w:eastAsia="SimSun" w:cs="SimSun"/>
          <w:color w:val="000000"/>
          <w:sz w:val="24"/>
          <w:u w:val="single"/>
        </w:rPr>
        <w:t xml:space="preserve">⑪</w:t>
      </w:r>
      <w:r>
        <w:rPr>
          <w:rFonts w:ascii="SimSun" w:hAnsi="SimSun" w:eastAsia="SimSun" w:cs="SimSun"/>
          <w:color w:val="000000"/>
          <w:sz w:val="24"/>
        </w:rPr>
        <w:t xml:space="preserve">）：须根据</w:t>
      </w:r>
      <w:r>
        <w:rPr>
          <w:rFonts w:ascii="SimSun" w:hAnsi="SimSun" w:eastAsia="SimSun" w:cs="SimSun"/>
          <w:b/>
          <w:color w:val="000000"/>
          <w:sz w:val="24"/>
        </w:rPr>
        <w:t xml:space="preserve">货物制造商</w:t>
      </w:r>
      <w:r>
        <w:rPr>
          <w:rFonts w:ascii="SimSun" w:hAnsi="SimSun" w:eastAsia="SimSun" w:cs="SimSun"/>
          <w:color w:val="000000"/>
          <w:sz w:val="24"/>
        </w:rPr>
        <w:t xml:space="preserve">的企业规模情况填写中型企业、小型企业或微型企业</w:t>
      </w:r>
      <w:r>
        <w:rPr>
          <w:rFonts w:ascii="SimSun" w:hAnsi="SimSun" w:eastAsia="SimSun" w:cs="SimSun"/>
          <w:b/>
          <w:color w:val="000000"/>
          <w:sz w:val="24"/>
        </w:rPr>
        <w:t xml:space="preserve">（只能填写三种其中的一种）</w:t>
      </w:r>
      <w:r>
        <w:rPr>
          <w:rFonts w:ascii="SimSun" w:hAnsi="SimSun" w:eastAsia="SimSun" w:cs="SimSun"/>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10.企业名称（盖章）⑫：加盖</w:t>
      </w:r>
      <w:r>
        <w:rPr>
          <w:rFonts w:ascii="SimSun" w:hAnsi="SimSun" w:eastAsia="SimSun" w:cs="SimSun"/>
          <w:b/>
          <w:color w:val="000000"/>
          <w:sz w:val="24"/>
        </w:rPr>
        <w:t xml:space="preserve">投标人</w:t>
      </w:r>
      <w:r>
        <w:rPr>
          <w:rFonts w:ascii="SimSun" w:hAnsi="SimSun" w:eastAsia="SimSun" w:cs="SimSun"/>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11.如是</w:t>
      </w:r>
      <w:r>
        <w:rPr>
          <w:rFonts w:ascii="SimSun" w:hAnsi="SimSun" w:eastAsia="SimSun" w:cs="SimSun"/>
          <w:b/>
          <w:color w:val="000000"/>
          <w:sz w:val="24"/>
        </w:rPr>
        <w:t xml:space="preserve">专门面向中小企业预留份额</w:t>
      </w:r>
      <w:r>
        <w:rPr>
          <w:rFonts w:ascii="SimSun" w:hAnsi="SimSun" w:eastAsia="SimSun" w:cs="SimSun"/>
          <w:color w:val="000000"/>
          <w:sz w:val="24"/>
        </w:rPr>
        <w:t xml:space="preserve">的采购项目，供应商未提供此声明函的，资格审查不予通过，作为</w:t>
      </w:r>
      <w:r>
        <w:rPr>
          <w:rFonts w:ascii="SimSun" w:hAnsi="SimSun" w:eastAsia="SimSun" w:cs="SimSun"/>
          <w:b/>
          <w:color w:val="000000"/>
          <w:sz w:val="24"/>
        </w:rPr>
        <w:t xml:space="preserve">无效投标（响应）</w:t>
      </w:r>
      <w:r>
        <w:rPr>
          <w:rFonts w:ascii="SimSun" w:hAnsi="SimSun" w:eastAsia="SimSun" w:cs="SimSun"/>
          <w:color w:val="000000"/>
          <w:sz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ascii="SimSun" w:hAnsi="SimSun" w:eastAsia="SimSun" w:cs="SimSun"/>
          <w:b/>
          <w:color w:val="000000"/>
          <w:sz w:val="24"/>
        </w:rPr>
        <w:t xml:space="preserve">货物制造商</w:t>
      </w:r>
      <w:r>
        <w:rPr>
          <w:rFonts w:ascii="SimSun" w:hAnsi="SimSun" w:eastAsia="SimSun" w:cs="SimSun"/>
          <w:color w:val="000000"/>
          <w:sz w:val="24"/>
        </w:rPr>
        <w:t xml:space="preserve">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（4）对于采购文件确实允许非独立法人参与采购活动的，应按其所属集团公司合并财务报表数据情况予以填报。</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SimSun" w:hAnsi="SimSun" w:eastAsia="SimSun" w:cs="SimSun"/>
          <w:b/>
          <w:color w:val="000000"/>
          <w:sz w:val="24"/>
        </w:rPr>
        <w:t xml:space="preserve">货物制造商</w:t>
      </w:r>
      <w:r>
        <w:rPr>
          <w:rFonts w:ascii="SimSun" w:hAnsi="SimSun" w:eastAsia="SimSun" w:cs="SimSun"/>
          <w:color w:val="000000"/>
          <w:sz w:val="24"/>
        </w:rPr>
        <w:t xml:space="preserve">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项目实施方案等，包括但不限于如下主题：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）项目技术方案；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）项目管理方案；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）具体实施方案；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）售后服务方案。</w:t>
        <w:br w:type="page" w:clear="all"/>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注：参加本项目人员须是投标人正式职工。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11  </w:t>
      </w:r>
      <w:r>
        <w:rPr>
          <w:rFonts w:ascii="SimSun" w:hAnsi="SimSun" w:eastAsia="SimSun" w:cs="SimSun"/>
          <w:color w:val="000000"/>
          <w:sz w:val="24"/>
          <w:u w:val="none"/>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10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r/>
    </w:p>
    <w:sectPr>
      <w:headerReference w:type="even" r:id="rId9"/>
      <w:headerReference w:type="first" r:id="rId10"/>
      <w:footerReference w:type="even" r:id="rId11"/>
      <w:footerReference w:type="first" r:id="rId1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Symbol">
    <w:panose1 w:val="020B0502040204020203"/>
  </w:font>
  <w:font w:name="SimSun">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tabs>
        <w:tab w:val="center" w:pos="4153" w:leader="none"/>
        <w:tab w:val="right" w:pos="8306" w:leader="none"/>
      </w:tabs>
      <w:rPr>
        <w:rStyle w:val="1228"/>
      </w:rPr>
      <w:framePr w:wrap="around" w:vAnchor="text" w:hAnchor="margin" w:xAlign="right" w:y="1"/>
    </w:pPr>
    <w:r>
      <w:rPr>
        <w:rStyle w:val="1228"/>
      </w:rPr>
      <w:fldChar w:fldCharType="begin"/>
    </w:r>
    <w:r>
      <w:rPr>
        <w:rStyle w:val="1228"/>
      </w:rPr>
      <w:instrText xml:space="preserve">PAGE  </w:instrText>
    </w:r>
    <w:r>
      <w:rPr>
        <w:rStyle w:val="1228"/>
      </w:rPr>
      <w:fldChar w:fldCharType="end"/>
    </w:r>
    <w:r>
      <w:rPr>
        <w:rStyle w:val="1228"/>
      </w:rPr>
    </w:r>
    <w:r/>
  </w:p>
  <w:p>
    <w:pPr>
      <w:pStyle w:val="1204"/>
      <w:ind w:right="360"/>
      <w:tabs>
        <w:tab w:val="center" w:pos="4153" w:leader="none"/>
        <w:tab w:val="right" w:pos="8306" w:leader="none"/>
      </w:tabs>
    </w:pPr>
    <w:r/>
    <w:r/>
  </w:p>
  <w:p>
    <w:pPr>
      <w:pStyle w:val="11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Pr>
    <w:r/>
    <w:r/>
  </w:p>
  <w:p>
    <w:pPr>
      <w:pStyle w:val="115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156"/>
        <w:ind w:left="4941" w:hanging="1140"/>
        <w:tabs>
          <w:tab w:val="num" w:pos="4941" w:leader="none"/>
        </w:tabs>
      </w:pPr>
      <w:rPr>
        <w:rFonts w:hint="eastAsia"/>
      </w:rPr>
    </w:lvl>
    <w:lvl w:ilvl="1">
      <w:start w:val="1"/>
      <w:numFmt w:val="lowerLetter"/>
      <w:isLgl w:val="false"/>
      <w:suff w:val="tab"/>
      <w:lvlText w:val="%2)"/>
      <w:lvlJc w:val="left"/>
      <w:pPr>
        <w:pStyle w:val="1156"/>
        <w:ind w:left="4641" w:hanging="420"/>
        <w:tabs>
          <w:tab w:val="num" w:pos="4641" w:leader="none"/>
        </w:tabs>
      </w:pPr>
    </w:lvl>
    <w:lvl w:ilvl="2">
      <w:start w:val="1"/>
      <w:numFmt w:val="lowerRoman"/>
      <w:isLgl w:val="false"/>
      <w:suff w:val="tab"/>
      <w:lvlText w:val="%3."/>
      <w:lvlJc w:val="right"/>
      <w:pPr>
        <w:pStyle w:val="1156"/>
        <w:ind w:left="5061" w:hanging="420"/>
        <w:tabs>
          <w:tab w:val="num" w:pos="5061" w:leader="none"/>
        </w:tabs>
      </w:pPr>
    </w:lvl>
    <w:lvl w:ilvl="3">
      <w:start w:val="1"/>
      <w:numFmt w:val="decimal"/>
      <w:isLgl w:val="false"/>
      <w:suff w:val="tab"/>
      <w:lvlText w:val="%4."/>
      <w:lvlJc w:val="left"/>
      <w:pPr>
        <w:pStyle w:val="1156"/>
        <w:ind w:left="5481" w:hanging="420"/>
        <w:tabs>
          <w:tab w:val="num" w:pos="5481" w:leader="none"/>
        </w:tabs>
      </w:pPr>
    </w:lvl>
    <w:lvl w:ilvl="4">
      <w:start w:val="1"/>
      <w:numFmt w:val="lowerLetter"/>
      <w:isLgl w:val="false"/>
      <w:suff w:val="tab"/>
      <w:lvlText w:val="%5)"/>
      <w:lvlJc w:val="left"/>
      <w:pPr>
        <w:pStyle w:val="1156"/>
        <w:ind w:left="5901" w:hanging="420"/>
        <w:tabs>
          <w:tab w:val="num" w:pos="5901" w:leader="none"/>
        </w:tabs>
      </w:pPr>
    </w:lvl>
    <w:lvl w:ilvl="5">
      <w:start w:val="1"/>
      <w:numFmt w:val="lowerRoman"/>
      <w:isLgl w:val="false"/>
      <w:suff w:val="tab"/>
      <w:lvlText w:val="%6."/>
      <w:lvlJc w:val="right"/>
      <w:pPr>
        <w:pStyle w:val="1156"/>
        <w:ind w:left="6321" w:hanging="420"/>
        <w:tabs>
          <w:tab w:val="num" w:pos="6321" w:leader="none"/>
        </w:tabs>
      </w:pPr>
    </w:lvl>
    <w:lvl w:ilvl="6">
      <w:start w:val="1"/>
      <w:numFmt w:val="decimal"/>
      <w:isLgl w:val="false"/>
      <w:suff w:val="tab"/>
      <w:lvlText w:val="%7."/>
      <w:lvlJc w:val="left"/>
      <w:pPr>
        <w:pStyle w:val="1156"/>
        <w:ind w:left="6741" w:hanging="420"/>
        <w:tabs>
          <w:tab w:val="num" w:pos="6741" w:leader="none"/>
        </w:tabs>
      </w:pPr>
    </w:lvl>
    <w:lvl w:ilvl="7">
      <w:start w:val="1"/>
      <w:numFmt w:val="lowerLetter"/>
      <w:isLgl w:val="false"/>
      <w:suff w:val="tab"/>
      <w:lvlText w:val="%8)"/>
      <w:lvlJc w:val="left"/>
      <w:pPr>
        <w:pStyle w:val="1156"/>
        <w:ind w:left="7161" w:hanging="420"/>
        <w:tabs>
          <w:tab w:val="num" w:pos="7161" w:leader="none"/>
        </w:tabs>
      </w:pPr>
    </w:lvl>
    <w:lvl w:ilvl="8">
      <w:start w:val="1"/>
      <w:numFmt w:val="lowerRoman"/>
      <w:isLgl w:val="false"/>
      <w:suff w:val="tab"/>
      <w:lvlText w:val="%9."/>
      <w:lvlJc w:val="right"/>
      <w:pPr>
        <w:pStyle w:val="1156"/>
        <w:ind w:left="7581" w:hanging="420"/>
        <w:tabs>
          <w:tab w:val="num" w:pos="7581" w:leader="none"/>
        </w:tabs>
      </w:pPr>
    </w:lvl>
  </w:abstractNum>
  <w:abstractNum w:abstractNumId="4">
    <w:multiLevelType w:val="hybridMultilevel"/>
    <w:lvl w:ilvl="0">
      <w:start w:val="1"/>
      <w:numFmt w:val="decimal"/>
      <w:pStyle w:val="1353"/>
      <w:isLgl w:val="false"/>
      <w:suff w:val="tab"/>
      <w:lvlText w:val="%1."/>
      <w:lvlJc w:val="left"/>
      <w:pPr>
        <w:pStyle w:val="1156"/>
        <w:ind w:left="420" w:hanging="420"/>
      </w:pPr>
    </w:lvl>
    <w:lvl w:ilvl="1">
      <w:start w:val="1"/>
      <w:numFmt w:val="decimal"/>
      <w:isLgl w:val="false"/>
      <w:suff w:val="tab"/>
      <w:lvlText w:val="（%2）"/>
      <w:lvlJc w:val="left"/>
      <w:pPr>
        <w:pStyle w:val="1156"/>
        <w:ind w:left="1140" w:hanging="720"/>
        <w:tabs>
          <w:tab w:val="num" w:pos="1140" w:leader="none"/>
        </w:tabs>
      </w:pPr>
      <w:rPr>
        <w:rFonts w:hint="eastAsia"/>
      </w:rPr>
    </w:lvl>
    <w:lvl w:ilvl="2">
      <w:start w:val="1"/>
      <w:numFmt w:val="lowerRoman"/>
      <w:isLgl w:val="false"/>
      <w:suff w:val="tab"/>
      <w:lvlText w:val="%3."/>
      <w:lvlJc w:val="right"/>
      <w:pPr>
        <w:pStyle w:val="1156"/>
        <w:ind w:left="1260" w:hanging="420"/>
      </w:pPr>
    </w:lvl>
    <w:lvl w:ilvl="3">
      <w:start w:val="1"/>
      <w:numFmt w:val="decimal"/>
      <w:isLgl w:val="false"/>
      <w:suff w:val="tab"/>
      <w:lvlText w:val="%4."/>
      <w:lvlJc w:val="left"/>
      <w:pPr>
        <w:pStyle w:val="1156"/>
        <w:ind w:left="1680" w:hanging="420"/>
      </w:pPr>
    </w:lvl>
    <w:lvl w:ilvl="4">
      <w:start w:val="1"/>
      <w:numFmt w:val="lowerLetter"/>
      <w:isLgl w:val="false"/>
      <w:suff w:val="tab"/>
      <w:lvlText w:val="%5)"/>
      <w:lvlJc w:val="left"/>
      <w:pPr>
        <w:pStyle w:val="1156"/>
        <w:ind w:left="2100" w:hanging="420"/>
      </w:pPr>
    </w:lvl>
    <w:lvl w:ilvl="5">
      <w:start w:val="1"/>
      <w:numFmt w:val="lowerRoman"/>
      <w:isLgl w:val="false"/>
      <w:suff w:val="tab"/>
      <w:lvlText w:val="%6."/>
      <w:lvlJc w:val="right"/>
      <w:pPr>
        <w:pStyle w:val="1156"/>
        <w:ind w:left="2520" w:hanging="420"/>
      </w:pPr>
    </w:lvl>
    <w:lvl w:ilvl="6">
      <w:start w:val="1"/>
      <w:numFmt w:val="decimal"/>
      <w:isLgl w:val="false"/>
      <w:suff w:val="tab"/>
      <w:lvlText w:val="%7."/>
      <w:lvlJc w:val="left"/>
      <w:pPr>
        <w:pStyle w:val="1156"/>
        <w:ind w:left="2940" w:hanging="420"/>
      </w:pPr>
    </w:lvl>
    <w:lvl w:ilvl="7">
      <w:start w:val="1"/>
      <w:numFmt w:val="lowerLetter"/>
      <w:isLgl w:val="false"/>
      <w:suff w:val="tab"/>
      <w:lvlText w:val="%8)"/>
      <w:lvlJc w:val="left"/>
      <w:pPr>
        <w:pStyle w:val="1156"/>
        <w:ind w:left="3360" w:hanging="420"/>
      </w:pPr>
    </w:lvl>
    <w:lvl w:ilvl="8">
      <w:start w:val="1"/>
      <w:numFmt w:val="lowerRoman"/>
      <w:isLgl w:val="false"/>
      <w:suff w:val="tab"/>
      <w:lvlText w:val="%9."/>
      <w:lvlJc w:val="right"/>
      <w:pPr>
        <w:pStyle w:val="1156"/>
        <w:ind w:left="3780" w:hanging="420"/>
      </w:pPr>
    </w:lvl>
  </w:abstractNum>
  <w:abstractNum w:abstractNumId="5">
    <w:multiLevelType w:val="hybridMultilevel"/>
    <w:lvl w:ilvl="0">
      <w:start w:val="1"/>
      <w:numFmt w:val="lowerLetter"/>
      <w:pStyle w:val="1337"/>
      <w:isLgl w:val="false"/>
      <w:suff w:val="tab"/>
      <w:lvlText w:val="%1)"/>
      <w:lvlJc w:val="left"/>
      <w:pPr>
        <w:pStyle w:val="1156"/>
        <w:ind w:left="902" w:hanging="420"/>
      </w:pPr>
      <w:rPr>
        <w:color w:val="000000"/>
      </w:rPr>
    </w:lvl>
    <w:lvl w:ilvl="1">
      <w:start w:val="1"/>
      <w:numFmt w:val="lowerLetter"/>
      <w:isLgl w:val="false"/>
      <w:suff w:val="tab"/>
      <w:lvlText w:val="%2)"/>
      <w:lvlJc w:val="left"/>
      <w:pPr>
        <w:pStyle w:val="1156"/>
        <w:ind w:left="1322" w:hanging="420"/>
      </w:pPr>
    </w:lvl>
    <w:lvl w:ilvl="2">
      <w:start w:val="1"/>
      <w:numFmt w:val="lowerRoman"/>
      <w:isLgl w:val="false"/>
      <w:suff w:val="tab"/>
      <w:lvlText w:val="%3."/>
      <w:lvlJc w:val="right"/>
      <w:pPr>
        <w:pStyle w:val="1156"/>
        <w:ind w:left="1742" w:hanging="420"/>
      </w:pPr>
    </w:lvl>
    <w:lvl w:ilvl="3">
      <w:start w:val="1"/>
      <w:numFmt w:val="decimal"/>
      <w:isLgl w:val="false"/>
      <w:suff w:val="tab"/>
      <w:lvlText w:val="%4."/>
      <w:lvlJc w:val="left"/>
      <w:pPr>
        <w:pStyle w:val="1156"/>
        <w:ind w:left="2162" w:hanging="420"/>
      </w:pPr>
    </w:lvl>
    <w:lvl w:ilvl="4">
      <w:start w:val="1"/>
      <w:numFmt w:val="lowerLetter"/>
      <w:isLgl w:val="false"/>
      <w:suff w:val="tab"/>
      <w:lvlText w:val="%5)"/>
      <w:lvlJc w:val="left"/>
      <w:pPr>
        <w:pStyle w:val="1156"/>
        <w:ind w:left="2582" w:hanging="420"/>
      </w:pPr>
    </w:lvl>
    <w:lvl w:ilvl="5">
      <w:start w:val="1"/>
      <w:numFmt w:val="lowerRoman"/>
      <w:isLgl w:val="false"/>
      <w:suff w:val="tab"/>
      <w:lvlText w:val="%6."/>
      <w:lvlJc w:val="right"/>
      <w:pPr>
        <w:pStyle w:val="1156"/>
        <w:ind w:left="3002" w:hanging="420"/>
      </w:pPr>
    </w:lvl>
    <w:lvl w:ilvl="6">
      <w:start w:val="1"/>
      <w:numFmt w:val="decimal"/>
      <w:isLgl w:val="false"/>
      <w:suff w:val="tab"/>
      <w:lvlText w:val="%7."/>
      <w:lvlJc w:val="left"/>
      <w:pPr>
        <w:pStyle w:val="1156"/>
        <w:ind w:left="3422" w:hanging="420"/>
      </w:pPr>
    </w:lvl>
    <w:lvl w:ilvl="7">
      <w:start w:val="1"/>
      <w:numFmt w:val="lowerLetter"/>
      <w:isLgl w:val="false"/>
      <w:suff w:val="tab"/>
      <w:lvlText w:val="%8)"/>
      <w:lvlJc w:val="left"/>
      <w:pPr>
        <w:pStyle w:val="1156"/>
        <w:ind w:left="3842" w:hanging="420"/>
      </w:pPr>
    </w:lvl>
    <w:lvl w:ilvl="8">
      <w:start w:val="1"/>
      <w:numFmt w:val="lowerRoman"/>
      <w:isLgl w:val="false"/>
      <w:suff w:val="tab"/>
      <w:lvlText w:val="%9."/>
      <w:lvlJc w:val="right"/>
      <w:pPr>
        <w:pStyle w:val="1156"/>
        <w:ind w:left="4262" w:hanging="420"/>
      </w:pPr>
    </w:lvl>
  </w:abstractNum>
  <w:abstractNum w:abstractNumId="6">
    <w:multiLevelType w:val="hybridMultilevel"/>
    <w:lvl w:ilvl="0">
      <w:start w:val="1"/>
      <w:numFmt w:val="decimal"/>
      <w:pStyle w:val="1403"/>
      <w:isLgl w:val="false"/>
      <w:suff w:val="tab"/>
      <w:lvlText w:val="%1."/>
      <w:lvlJc w:val="left"/>
      <w:pPr>
        <w:pStyle w:val="115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00"/>
      <w:isLgl w:val="false"/>
      <w:suff w:val="nothing"/>
      <w:lvlText w:val="%1　"/>
      <w:lvlJc w:val="left"/>
      <w:pPr>
        <w:pStyle w:val="115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5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56"/>
        <w:ind w:left="-25" w:firstLine="0"/>
      </w:pPr>
      <w:rPr>
        <w:rFonts w:ascii="Times New Roman" w:hAnsi="Times New Roman" w:eastAsia="黑体"/>
        <w:b/>
        <w:i w:val="0"/>
        <w:sz w:val="28"/>
      </w:rPr>
    </w:lvl>
    <w:lvl w:ilvl="3">
      <w:start w:val="1"/>
      <w:numFmt w:val="decimal"/>
      <w:pStyle w:val="1305"/>
      <w:isLgl w:val="false"/>
      <w:suff w:val="nothing"/>
      <w:lvlText w:val="%1.%2.%3.%4　"/>
      <w:lvlJc w:val="left"/>
      <w:pPr>
        <w:pStyle w:val="115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5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56"/>
        <w:ind w:left="-25" w:firstLine="0"/>
      </w:pPr>
      <w:rPr>
        <w:rFonts w:ascii="Times New Roman" w:hAnsi="Times New Roman" w:eastAsia="宋体"/>
        <w:b/>
        <w:i w:val="0"/>
        <w:sz w:val="28"/>
      </w:rPr>
    </w:lvl>
    <w:lvl w:ilvl="6">
      <w:start w:val="1"/>
      <w:numFmt w:val="lowerLetter"/>
      <w:pStyle w:val="1374"/>
      <w:isLgl w:val="false"/>
      <w:suff w:val="tab"/>
      <w:lvlText w:val="%7) "/>
      <w:lvlJc w:val="left"/>
      <w:pPr>
        <w:pStyle w:val="1156"/>
        <w:ind w:left="-125" w:firstLine="400"/>
        <w:tabs>
          <w:tab w:val="num" w:pos="635" w:leader="none"/>
        </w:tabs>
      </w:pPr>
      <w:rPr>
        <w:rFonts w:ascii="Times New Roman" w:hAnsi="Times New Roman" w:eastAsia="宋体"/>
        <w:b/>
        <w:i w:val="0"/>
        <w:color w:val="000000"/>
        <w:sz w:val="28"/>
        <w:u w:val="none"/>
      </w:rPr>
    </w:lvl>
    <w:lvl w:ilvl="7">
      <w:start w:val="1"/>
      <w:numFmt w:val="decimal"/>
      <w:pStyle w:val="1294"/>
      <w:isLgl w:val="false"/>
      <w:suff w:val="tab"/>
      <w:lvlText w:val="%8) "/>
      <w:lvlJc w:val="left"/>
      <w:pPr>
        <w:pStyle w:val="115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56"/>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156"/>
        <w:ind w:left="768" w:hanging="360"/>
        <w:tabs>
          <w:tab w:val="num" w:pos="768" w:leader="none"/>
        </w:tabs>
      </w:pPr>
      <w:rPr>
        <w:rFonts w:hint="eastAsia"/>
      </w:rPr>
    </w:lvl>
    <w:lvl w:ilvl="1">
      <w:start w:val="1"/>
      <w:numFmt w:val="decimal"/>
      <w:pStyle w:val="1380"/>
      <w:isLgl w:val="false"/>
      <w:suff w:val="tab"/>
      <w:lvlText w:val="%2、"/>
      <w:lvlJc w:val="left"/>
      <w:pPr>
        <w:pStyle w:val="1156"/>
        <w:ind w:left="1188" w:hanging="360"/>
        <w:tabs>
          <w:tab w:val="num" w:pos="1188" w:leader="none"/>
        </w:tabs>
      </w:pPr>
      <w:rPr>
        <w:rFonts w:hint="eastAsia"/>
      </w:rPr>
    </w:lvl>
    <w:lvl w:ilvl="2">
      <w:start w:val="1"/>
      <w:numFmt w:val="decimal"/>
      <w:isLgl w:val="false"/>
      <w:suff w:val="tab"/>
      <w:lvlText w:val="（%3）"/>
      <w:lvlJc w:val="left"/>
      <w:pPr>
        <w:pStyle w:val="1156"/>
        <w:ind w:left="1968" w:hanging="720"/>
        <w:tabs>
          <w:tab w:val="num" w:pos="1968" w:leader="none"/>
        </w:tabs>
      </w:pPr>
      <w:rPr>
        <w:rFonts w:hint="eastAsia"/>
        <w:u w:val="none"/>
      </w:rPr>
    </w:lvl>
    <w:lvl w:ilvl="3">
      <w:start w:val="1"/>
      <w:numFmt w:val="decimal"/>
      <w:isLgl w:val="false"/>
      <w:suff w:val="tab"/>
      <w:lvlText w:val="%4."/>
      <w:lvlJc w:val="left"/>
      <w:pPr>
        <w:pStyle w:val="1156"/>
        <w:ind w:left="2088" w:hanging="420"/>
        <w:tabs>
          <w:tab w:val="num" w:pos="2088" w:leader="none"/>
        </w:tabs>
      </w:pPr>
    </w:lvl>
    <w:lvl w:ilvl="4">
      <w:start w:val="1"/>
      <w:numFmt w:val="lowerLetter"/>
      <w:isLgl w:val="false"/>
      <w:suff w:val="tab"/>
      <w:lvlText w:val="%5)"/>
      <w:lvlJc w:val="left"/>
      <w:pPr>
        <w:pStyle w:val="1156"/>
        <w:ind w:left="2508" w:hanging="420"/>
        <w:tabs>
          <w:tab w:val="num" w:pos="2508" w:leader="none"/>
        </w:tabs>
      </w:pPr>
    </w:lvl>
    <w:lvl w:ilvl="5">
      <w:start w:val="1"/>
      <w:numFmt w:val="lowerRoman"/>
      <w:isLgl w:val="false"/>
      <w:suff w:val="tab"/>
      <w:lvlText w:val="%6."/>
      <w:lvlJc w:val="right"/>
      <w:pPr>
        <w:pStyle w:val="1156"/>
        <w:ind w:left="2928" w:hanging="420"/>
        <w:tabs>
          <w:tab w:val="num" w:pos="2928" w:leader="none"/>
        </w:tabs>
      </w:pPr>
    </w:lvl>
    <w:lvl w:ilvl="6">
      <w:start w:val="1"/>
      <w:numFmt w:val="decimal"/>
      <w:isLgl w:val="false"/>
      <w:suff w:val="tab"/>
      <w:lvlText w:val="%7."/>
      <w:lvlJc w:val="left"/>
      <w:pPr>
        <w:pStyle w:val="1156"/>
        <w:ind w:left="3348" w:hanging="420"/>
        <w:tabs>
          <w:tab w:val="num" w:pos="3348" w:leader="none"/>
        </w:tabs>
      </w:pPr>
    </w:lvl>
    <w:lvl w:ilvl="7">
      <w:start w:val="1"/>
      <w:numFmt w:val="lowerLetter"/>
      <w:isLgl w:val="false"/>
      <w:suff w:val="tab"/>
      <w:lvlText w:val="%8)"/>
      <w:lvlJc w:val="left"/>
      <w:pPr>
        <w:pStyle w:val="1156"/>
        <w:ind w:left="3768" w:hanging="420"/>
        <w:tabs>
          <w:tab w:val="num" w:pos="3768" w:leader="none"/>
        </w:tabs>
      </w:pPr>
    </w:lvl>
    <w:lvl w:ilvl="8">
      <w:start w:val="1"/>
      <w:numFmt w:val="lowerRoman"/>
      <w:isLgl w:val="false"/>
      <w:suff w:val="tab"/>
      <w:lvlText w:val="%9."/>
      <w:lvlJc w:val="right"/>
      <w:pPr>
        <w:pStyle w:val="1156"/>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156"/>
        <w:ind w:left="900" w:hanging="900"/>
        <w:tabs>
          <w:tab w:val="num" w:pos="900" w:leader="none"/>
        </w:tabs>
      </w:pPr>
      <w:rPr>
        <w:rFonts w:hint="eastAsia"/>
      </w:rPr>
    </w:lvl>
    <w:lvl w:ilvl="1">
      <w:start w:val="1"/>
      <w:numFmt w:val="decimal"/>
      <w:isLgl w:val="false"/>
      <w:suff w:val="tab"/>
      <w:lvlText w:val="%1.%2"/>
      <w:lvlJc w:val="left"/>
      <w:pPr>
        <w:pStyle w:val="11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56"/>
        <w:ind w:left="1980" w:hanging="900"/>
        <w:tabs>
          <w:tab w:val="num" w:pos="1980" w:leader="none"/>
        </w:tabs>
      </w:pPr>
      <w:rPr>
        <w:rFonts w:hint="eastAsia"/>
      </w:rPr>
    </w:lvl>
    <w:lvl w:ilvl="3">
      <w:start w:val="1"/>
      <w:numFmt w:val="decimal"/>
      <w:isLgl w:val="false"/>
      <w:suff w:val="tab"/>
      <w:lvlText w:val="%1.%2.%3.%4"/>
      <w:lvlJc w:val="left"/>
      <w:pPr>
        <w:pStyle w:val="1156"/>
        <w:ind w:left="900" w:hanging="900"/>
        <w:tabs>
          <w:tab w:val="num" w:pos="900" w:leader="none"/>
        </w:tabs>
      </w:pPr>
      <w:rPr>
        <w:rFonts w:hint="eastAsia"/>
      </w:rPr>
    </w:lvl>
    <w:lvl w:ilvl="4">
      <w:start w:val="1"/>
      <w:numFmt w:val="decimal"/>
      <w:isLgl w:val="false"/>
      <w:suff w:val="tab"/>
      <w:lvlText w:val="%1.%2.%3.%4.%5"/>
      <w:lvlJc w:val="left"/>
      <w:pPr>
        <w:pStyle w:val="1156"/>
        <w:ind w:left="900" w:hanging="900"/>
        <w:tabs>
          <w:tab w:val="num" w:pos="900" w:leader="none"/>
        </w:tabs>
      </w:pPr>
      <w:rPr>
        <w:rFonts w:hint="eastAsia"/>
      </w:rPr>
    </w:lvl>
    <w:lvl w:ilvl="5">
      <w:start w:val="1"/>
      <w:numFmt w:val="decimal"/>
      <w:isLgl w:val="false"/>
      <w:suff w:val="tab"/>
      <w:lvlText w:val="%1.%2.%3.%4.%5.%6"/>
      <w:lvlJc w:val="left"/>
      <w:pPr>
        <w:pStyle w:val="1156"/>
        <w:ind w:left="900" w:hanging="900"/>
        <w:tabs>
          <w:tab w:val="num" w:pos="900" w:leader="none"/>
        </w:tabs>
      </w:pPr>
      <w:rPr>
        <w:rFonts w:hint="eastAsia"/>
      </w:rPr>
    </w:lvl>
    <w:lvl w:ilvl="6">
      <w:start w:val="1"/>
      <w:numFmt w:val="decimal"/>
      <w:isLgl w:val="false"/>
      <w:suff w:val="tab"/>
      <w:lvlText w:val="%1.%2.%3.%4.%5.%6.%7"/>
      <w:lvlJc w:val="left"/>
      <w:pPr>
        <w:pStyle w:val="1156"/>
        <w:ind w:left="900" w:hanging="900"/>
        <w:tabs>
          <w:tab w:val="num" w:pos="900" w:leader="none"/>
        </w:tabs>
      </w:pPr>
      <w:rPr>
        <w:rFonts w:hint="eastAsia"/>
      </w:rPr>
    </w:lvl>
    <w:lvl w:ilvl="7">
      <w:start w:val="1"/>
      <w:numFmt w:val="decimal"/>
      <w:isLgl w:val="false"/>
      <w:suff w:val="tab"/>
      <w:lvlText w:val="%1.%2.%3.%4.%5.%6.%7.%8"/>
      <w:lvlJc w:val="left"/>
      <w:pPr>
        <w:pStyle w:val="1156"/>
        <w:ind w:left="900" w:hanging="900"/>
        <w:tabs>
          <w:tab w:val="num" w:pos="900" w:leader="none"/>
        </w:tabs>
      </w:pPr>
      <w:rPr>
        <w:rFonts w:hint="eastAsia"/>
      </w:rPr>
    </w:lvl>
    <w:lvl w:ilvl="8">
      <w:start w:val="1"/>
      <w:numFmt w:val="decimal"/>
      <w:isLgl w:val="false"/>
      <w:suff w:val="tab"/>
      <w:lvlText w:val="%1.%2.%3.%4.%5.%6.%7.%8.%9"/>
      <w:lvlJc w:val="left"/>
      <w:pPr>
        <w:pStyle w:val="1156"/>
        <w:ind w:left="900" w:hanging="900"/>
        <w:tabs>
          <w:tab w:val="num" w:pos="900" w:leader="none"/>
        </w:tabs>
      </w:pPr>
      <w:rPr>
        <w:rFonts w:hint="eastAsia"/>
      </w:rPr>
    </w:lvl>
  </w:abstractNum>
  <w:abstractNum w:abstractNumId="10">
    <w:multiLevelType w:val="hybridMultilevel"/>
    <w:lvl w:ilvl="0">
      <w:start w:val="1"/>
      <w:numFmt w:val="decimal"/>
      <w:pStyle w:val="1379"/>
      <w:isLgl w:val="false"/>
      <w:suff w:val="tab"/>
      <w:lvlText w:val="%1)"/>
      <w:lvlJc w:val="left"/>
      <w:pPr>
        <w:pStyle w:val="1156"/>
        <w:ind w:left="420" w:hanging="420"/>
      </w:pPr>
    </w:lvl>
    <w:lvl w:ilvl="1">
      <w:start w:val="1"/>
      <w:numFmt w:val="lowerLetter"/>
      <w:isLgl w:val="false"/>
      <w:suff w:val="tab"/>
      <w:lvlText w:val="%2)"/>
      <w:lvlJc w:val="left"/>
      <w:pPr>
        <w:pStyle w:val="1156"/>
        <w:ind w:left="840" w:hanging="420"/>
      </w:pPr>
    </w:lvl>
    <w:lvl w:ilvl="2">
      <w:start w:val="1"/>
      <w:numFmt w:val="lowerRoman"/>
      <w:isLgl w:val="false"/>
      <w:suff w:val="tab"/>
      <w:lvlText w:val="%3."/>
      <w:lvlJc w:val="right"/>
      <w:pPr>
        <w:pStyle w:val="1156"/>
        <w:ind w:left="1260" w:hanging="420"/>
      </w:pPr>
    </w:lvl>
    <w:lvl w:ilvl="3">
      <w:start w:val="1"/>
      <w:numFmt w:val="decimal"/>
      <w:isLgl w:val="false"/>
      <w:suff w:val="tab"/>
      <w:lvlText w:val="%4."/>
      <w:lvlJc w:val="left"/>
      <w:pPr>
        <w:pStyle w:val="1156"/>
        <w:ind w:left="1680" w:hanging="420"/>
      </w:pPr>
    </w:lvl>
    <w:lvl w:ilvl="4">
      <w:start w:val="1"/>
      <w:numFmt w:val="lowerLetter"/>
      <w:isLgl w:val="false"/>
      <w:suff w:val="tab"/>
      <w:lvlText w:val="%5)"/>
      <w:lvlJc w:val="left"/>
      <w:pPr>
        <w:pStyle w:val="1156"/>
        <w:ind w:left="2100" w:hanging="420"/>
      </w:pPr>
    </w:lvl>
    <w:lvl w:ilvl="5">
      <w:start w:val="1"/>
      <w:numFmt w:val="lowerRoman"/>
      <w:isLgl w:val="false"/>
      <w:suff w:val="tab"/>
      <w:lvlText w:val="%6."/>
      <w:lvlJc w:val="right"/>
      <w:pPr>
        <w:pStyle w:val="1156"/>
        <w:ind w:left="2520" w:hanging="420"/>
      </w:pPr>
    </w:lvl>
    <w:lvl w:ilvl="6">
      <w:start w:val="1"/>
      <w:numFmt w:val="decimal"/>
      <w:isLgl w:val="false"/>
      <w:suff w:val="tab"/>
      <w:lvlText w:val="%7."/>
      <w:lvlJc w:val="left"/>
      <w:pPr>
        <w:pStyle w:val="1156"/>
        <w:ind w:left="2940" w:hanging="420"/>
      </w:pPr>
    </w:lvl>
    <w:lvl w:ilvl="7">
      <w:start w:val="1"/>
      <w:numFmt w:val="lowerLetter"/>
      <w:isLgl w:val="false"/>
      <w:suff w:val="tab"/>
      <w:lvlText w:val="%8)"/>
      <w:lvlJc w:val="left"/>
      <w:pPr>
        <w:pStyle w:val="1156"/>
        <w:ind w:left="3360" w:hanging="420"/>
      </w:pPr>
    </w:lvl>
    <w:lvl w:ilvl="8">
      <w:start w:val="1"/>
      <w:numFmt w:val="lowerRoman"/>
      <w:isLgl w:val="false"/>
      <w:suff w:val="tab"/>
      <w:lvlText w:val="%9."/>
      <w:lvlJc w:val="right"/>
      <w:pPr>
        <w:pStyle w:val="1156"/>
        <w:ind w:left="3780" w:hanging="420"/>
      </w:pPr>
    </w:lvl>
  </w:abstractNum>
  <w:abstractNum w:abstractNumId="11">
    <w:multiLevelType w:val="hybridMultilevel"/>
    <w:lvl w:ilvl="0">
      <w:start w:val="1"/>
      <w:numFmt w:val="decimal"/>
      <w:pStyle w:val="1355"/>
      <w:isLgl w:val="false"/>
      <w:suff w:val="tab"/>
      <w:lvlText w:val="%1"/>
      <w:lvlJc w:val="left"/>
      <w:pPr>
        <w:pStyle w:val="1156"/>
        <w:ind w:left="680" w:hanging="680"/>
      </w:pPr>
      <w:rPr>
        <w:rFonts w:hint="eastAsia" w:ascii="宋体" w:hAnsi="宋体" w:eastAsia="宋体"/>
      </w:rPr>
    </w:lvl>
    <w:lvl w:ilvl="1">
      <w:start w:val="1"/>
      <w:numFmt w:val="decimal"/>
      <w:pStyle w:val="1348"/>
      <w:isLgl w:val="false"/>
      <w:suff w:val="tab"/>
      <w:lvlText w:val="%1.%2"/>
      <w:lvlJc w:val="left"/>
      <w:pPr>
        <w:pStyle w:val="1156"/>
        <w:ind w:left="851" w:hanging="851"/>
      </w:pPr>
      <w:rPr>
        <w:rFonts w:hint="eastAsia" w:ascii="宋体" w:hAnsi="宋体" w:eastAsia="宋体"/>
        <w:color w:val="000000"/>
      </w:rPr>
    </w:lvl>
    <w:lvl w:ilvl="2">
      <w:start w:val="1"/>
      <w:numFmt w:val="decimal"/>
      <w:pStyle w:val="1366"/>
      <w:isLgl w:val="false"/>
      <w:suff w:val="tab"/>
      <w:lvlText w:val="%1.%2.%3"/>
      <w:lvlJc w:val="left"/>
      <w:pPr>
        <w:pStyle w:val="1156"/>
        <w:ind w:left="851" w:hanging="851"/>
      </w:pPr>
      <w:rPr>
        <w:rFonts w:hint="eastAsia"/>
      </w:rPr>
    </w:lvl>
    <w:lvl w:ilvl="3">
      <w:start w:val="1"/>
      <w:numFmt w:val="decimal"/>
      <w:isLgl w:val="false"/>
      <w:suff w:val="tab"/>
      <w:lvlText w:val="%1.%2.%3.%4"/>
      <w:lvlJc w:val="left"/>
      <w:pPr>
        <w:pStyle w:val="1156"/>
        <w:ind w:left="680" w:hanging="680"/>
      </w:pPr>
      <w:rPr>
        <w:rFonts w:hint="eastAsia"/>
      </w:rPr>
    </w:lvl>
    <w:lvl w:ilvl="4">
      <w:start w:val="1"/>
      <w:numFmt w:val="decimal"/>
      <w:isLgl w:val="false"/>
      <w:suff w:val="tab"/>
      <w:lvlText w:val="%1.%2.%3.%4.%5"/>
      <w:lvlJc w:val="left"/>
      <w:pPr>
        <w:pStyle w:val="1156"/>
        <w:ind w:left="680" w:hanging="680"/>
      </w:pPr>
      <w:rPr>
        <w:rFonts w:hint="eastAsia"/>
      </w:rPr>
    </w:lvl>
    <w:lvl w:ilvl="5">
      <w:start w:val="1"/>
      <w:numFmt w:val="decimal"/>
      <w:isLgl w:val="false"/>
      <w:suff w:val="tab"/>
      <w:lvlText w:val="%1.%2.%3.%4.%5.%6"/>
      <w:lvlJc w:val="left"/>
      <w:pPr>
        <w:pStyle w:val="1156"/>
        <w:ind w:left="680" w:hanging="680"/>
      </w:pPr>
      <w:rPr>
        <w:rFonts w:hint="eastAsia"/>
      </w:rPr>
    </w:lvl>
    <w:lvl w:ilvl="6">
      <w:start w:val="1"/>
      <w:numFmt w:val="decimal"/>
      <w:isLgl w:val="false"/>
      <w:suff w:val="tab"/>
      <w:lvlText w:val="%1.%2.%3.%4.%5.%6.%7"/>
      <w:lvlJc w:val="left"/>
      <w:pPr>
        <w:pStyle w:val="1156"/>
        <w:ind w:left="680" w:hanging="680"/>
      </w:pPr>
      <w:rPr>
        <w:rFonts w:hint="eastAsia"/>
      </w:rPr>
    </w:lvl>
    <w:lvl w:ilvl="7">
      <w:start w:val="1"/>
      <w:numFmt w:val="decimal"/>
      <w:isLgl w:val="false"/>
      <w:suff w:val="tab"/>
      <w:lvlText w:val="%1.%2.%3.%4.%5.%6.%7.%8"/>
      <w:lvlJc w:val="left"/>
      <w:pPr>
        <w:pStyle w:val="1156"/>
        <w:ind w:left="680" w:hanging="680"/>
      </w:pPr>
      <w:rPr>
        <w:rFonts w:hint="eastAsia"/>
      </w:rPr>
    </w:lvl>
    <w:lvl w:ilvl="8">
      <w:start w:val="1"/>
      <w:numFmt w:val="decimal"/>
      <w:isLgl w:val="false"/>
      <w:suff w:val="tab"/>
      <w:lvlText w:val="%1.%2.%3.%4.%5.%6.%7.%8.%9"/>
      <w:lvlJc w:val="left"/>
      <w:pPr>
        <w:pStyle w:val="1156"/>
        <w:ind w:left="680" w:hanging="680"/>
      </w:pPr>
      <w:rPr>
        <w:rFonts w:hint="eastAsia"/>
      </w:rPr>
    </w:lvl>
  </w:abstractNum>
  <w:abstractNum w:abstractNumId="12">
    <w:multiLevelType w:val="hybridMultilevel"/>
    <w:lvl w:ilvl="0">
      <w:start w:val="1"/>
      <w:numFmt w:val="decimal"/>
      <w:isLgl w:val="false"/>
      <w:suff w:val="tab"/>
      <w:lvlText w:val="%1"/>
      <w:lvlJc w:val="left"/>
      <w:pPr>
        <w:pStyle w:val="1156"/>
        <w:ind w:left="900" w:hanging="900"/>
        <w:tabs>
          <w:tab w:val="num" w:pos="900" w:leader="none"/>
        </w:tabs>
      </w:pPr>
      <w:rPr>
        <w:rFonts w:hint="eastAsia"/>
      </w:rPr>
    </w:lvl>
    <w:lvl w:ilvl="1">
      <w:start w:val="1"/>
      <w:numFmt w:val="decimal"/>
      <w:isLgl w:val="false"/>
      <w:suff w:val="tab"/>
      <w:lvlText w:val="%1.%2"/>
      <w:lvlJc w:val="left"/>
      <w:pPr>
        <w:pStyle w:val="11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56"/>
        <w:ind w:left="1980" w:hanging="900"/>
        <w:tabs>
          <w:tab w:val="num" w:pos="1980" w:leader="none"/>
        </w:tabs>
      </w:pPr>
      <w:rPr>
        <w:rFonts w:hint="eastAsia"/>
      </w:rPr>
    </w:lvl>
    <w:lvl w:ilvl="3">
      <w:start w:val="1"/>
      <w:numFmt w:val="decimal"/>
      <w:isLgl w:val="false"/>
      <w:suff w:val="tab"/>
      <w:lvlText w:val="%1.%2.%3.%4"/>
      <w:lvlJc w:val="left"/>
      <w:pPr>
        <w:pStyle w:val="1156"/>
        <w:ind w:left="900" w:hanging="900"/>
        <w:tabs>
          <w:tab w:val="num" w:pos="900" w:leader="none"/>
        </w:tabs>
      </w:pPr>
      <w:rPr>
        <w:rFonts w:hint="eastAsia"/>
      </w:rPr>
    </w:lvl>
    <w:lvl w:ilvl="4">
      <w:start w:val="1"/>
      <w:numFmt w:val="decimal"/>
      <w:isLgl w:val="false"/>
      <w:suff w:val="tab"/>
      <w:lvlText w:val="%1.%2.%3.%4.%5"/>
      <w:lvlJc w:val="left"/>
      <w:pPr>
        <w:pStyle w:val="1156"/>
        <w:ind w:left="900" w:hanging="900"/>
        <w:tabs>
          <w:tab w:val="num" w:pos="900" w:leader="none"/>
        </w:tabs>
      </w:pPr>
      <w:rPr>
        <w:rFonts w:hint="eastAsia"/>
      </w:rPr>
    </w:lvl>
    <w:lvl w:ilvl="5">
      <w:start w:val="1"/>
      <w:numFmt w:val="decimal"/>
      <w:isLgl w:val="false"/>
      <w:suff w:val="tab"/>
      <w:lvlText w:val="%1.%2.%3.%4.%5.%6"/>
      <w:lvlJc w:val="left"/>
      <w:pPr>
        <w:pStyle w:val="1156"/>
        <w:ind w:left="900" w:hanging="900"/>
        <w:tabs>
          <w:tab w:val="num" w:pos="900" w:leader="none"/>
        </w:tabs>
      </w:pPr>
      <w:rPr>
        <w:rFonts w:hint="eastAsia"/>
      </w:rPr>
    </w:lvl>
    <w:lvl w:ilvl="6">
      <w:start w:val="1"/>
      <w:numFmt w:val="decimal"/>
      <w:isLgl w:val="false"/>
      <w:suff w:val="tab"/>
      <w:lvlText w:val="%1.%2.%3.%4.%5.%6.%7"/>
      <w:lvlJc w:val="left"/>
      <w:pPr>
        <w:pStyle w:val="1156"/>
        <w:ind w:left="900" w:hanging="900"/>
        <w:tabs>
          <w:tab w:val="num" w:pos="900" w:leader="none"/>
        </w:tabs>
      </w:pPr>
      <w:rPr>
        <w:rFonts w:hint="eastAsia"/>
      </w:rPr>
    </w:lvl>
    <w:lvl w:ilvl="7">
      <w:start w:val="1"/>
      <w:numFmt w:val="decimal"/>
      <w:isLgl w:val="false"/>
      <w:suff w:val="tab"/>
      <w:lvlText w:val="%1.%2.%3.%4.%5.%6.%7.%8"/>
      <w:lvlJc w:val="left"/>
      <w:pPr>
        <w:pStyle w:val="1156"/>
        <w:ind w:left="900" w:hanging="900"/>
        <w:tabs>
          <w:tab w:val="num" w:pos="900" w:leader="none"/>
        </w:tabs>
      </w:pPr>
      <w:rPr>
        <w:rFonts w:hint="eastAsia"/>
      </w:rPr>
    </w:lvl>
    <w:lvl w:ilvl="8">
      <w:start w:val="1"/>
      <w:numFmt w:val="decimal"/>
      <w:isLgl w:val="false"/>
      <w:suff w:val="tab"/>
      <w:lvlText w:val="%1.%2.%3.%4.%5.%6.%7.%8.%9"/>
      <w:lvlJc w:val="left"/>
      <w:pPr>
        <w:pStyle w:val="115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56"/>
        <w:ind w:left="900" w:hanging="900"/>
        <w:tabs>
          <w:tab w:val="num" w:pos="900" w:leader="none"/>
        </w:tabs>
      </w:pPr>
      <w:rPr>
        <w:rFonts w:hint="eastAsia"/>
      </w:rPr>
    </w:lvl>
    <w:lvl w:ilvl="1">
      <w:start w:val="1"/>
      <w:numFmt w:val="decimal"/>
      <w:isLgl w:val="false"/>
      <w:suff w:val="tab"/>
      <w:lvlText w:val="%1.%2"/>
      <w:lvlJc w:val="left"/>
      <w:pPr>
        <w:pStyle w:val="11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56"/>
        <w:ind w:left="1980" w:hanging="900"/>
        <w:tabs>
          <w:tab w:val="num" w:pos="1980" w:leader="none"/>
        </w:tabs>
      </w:pPr>
      <w:rPr>
        <w:rFonts w:hint="eastAsia"/>
      </w:rPr>
    </w:lvl>
    <w:lvl w:ilvl="3">
      <w:start w:val="1"/>
      <w:numFmt w:val="decimal"/>
      <w:isLgl w:val="false"/>
      <w:suff w:val="tab"/>
      <w:lvlText w:val="%1.%2.%3.%4"/>
      <w:lvlJc w:val="left"/>
      <w:pPr>
        <w:pStyle w:val="1156"/>
        <w:ind w:left="900" w:hanging="900"/>
        <w:tabs>
          <w:tab w:val="num" w:pos="900" w:leader="none"/>
        </w:tabs>
      </w:pPr>
      <w:rPr>
        <w:rFonts w:hint="eastAsia"/>
      </w:rPr>
    </w:lvl>
    <w:lvl w:ilvl="4">
      <w:start w:val="1"/>
      <w:numFmt w:val="decimal"/>
      <w:isLgl w:val="false"/>
      <w:suff w:val="tab"/>
      <w:lvlText w:val="%1.%2.%3.%4.%5"/>
      <w:lvlJc w:val="left"/>
      <w:pPr>
        <w:pStyle w:val="1156"/>
        <w:ind w:left="900" w:hanging="900"/>
        <w:tabs>
          <w:tab w:val="num" w:pos="900" w:leader="none"/>
        </w:tabs>
      </w:pPr>
      <w:rPr>
        <w:rFonts w:hint="eastAsia"/>
      </w:rPr>
    </w:lvl>
    <w:lvl w:ilvl="5">
      <w:start w:val="1"/>
      <w:numFmt w:val="decimal"/>
      <w:isLgl w:val="false"/>
      <w:suff w:val="tab"/>
      <w:lvlText w:val="%1.%2.%3.%4.%5.%6"/>
      <w:lvlJc w:val="left"/>
      <w:pPr>
        <w:pStyle w:val="1156"/>
        <w:ind w:left="900" w:hanging="900"/>
        <w:tabs>
          <w:tab w:val="num" w:pos="900" w:leader="none"/>
        </w:tabs>
      </w:pPr>
      <w:rPr>
        <w:rFonts w:hint="eastAsia"/>
      </w:rPr>
    </w:lvl>
    <w:lvl w:ilvl="6">
      <w:start w:val="1"/>
      <w:numFmt w:val="decimal"/>
      <w:isLgl w:val="false"/>
      <w:suff w:val="tab"/>
      <w:lvlText w:val="%1.%2.%3.%4.%5.%6.%7"/>
      <w:lvlJc w:val="left"/>
      <w:pPr>
        <w:pStyle w:val="1156"/>
        <w:ind w:left="900" w:hanging="900"/>
        <w:tabs>
          <w:tab w:val="num" w:pos="900" w:leader="none"/>
        </w:tabs>
      </w:pPr>
      <w:rPr>
        <w:rFonts w:hint="eastAsia"/>
      </w:rPr>
    </w:lvl>
    <w:lvl w:ilvl="7">
      <w:start w:val="1"/>
      <w:numFmt w:val="decimal"/>
      <w:isLgl w:val="false"/>
      <w:suff w:val="tab"/>
      <w:lvlText w:val="%1.%2.%3.%4.%5.%6.%7.%8"/>
      <w:lvlJc w:val="left"/>
      <w:pPr>
        <w:pStyle w:val="1156"/>
        <w:ind w:left="900" w:hanging="900"/>
        <w:tabs>
          <w:tab w:val="num" w:pos="900" w:leader="none"/>
        </w:tabs>
      </w:pPr>
      <w:rPr>
        <w:rFonts w:hint="eastAsia"/>
      </w:rPr>
    </w:lvl>
    <w:lvl w:ilvl="8">
      <w:start w:val="1"/>
      <w:numFmt w:val="decimal"/>
      <w:isLgl w:val="false"/>
      <w:suff w:val="tab"/>
      <w:lvlText w:val="%1.%2.%3.%4.%5.%6.%7.%8.%9"/>
      <w:lvlJc w:val="left"/>
      <w:pPr>
        <w:pStyle w:val="1156"/>
        <w:ind w:left="900" w:hanging="900"/>
        <w:tabs>
          <w:tab w:val="num" w:pos="900" w:leader="none"/>
        </w:tabs>
      </w:pPr>
      <w:rPr>
        <w:rFonts w:hint="eastAsia"/>
      </w:rPr>
    </w:lvl>
  </w:abstractNum>
  <w:abstractNum w:abstractNumId="14">
    <w:multiLevelType w:val="hybridMultilevel"/>
    <w:lvl w:ilvl="0">
      <w:start w:val="1"/>
      <w:numFmt w:val="decimal"/>
      <w:isLgl w:val="false"/>
      <w:suff w:val="nothing"/>
      <w:lvlText w:val="（%1）"/>
      <w:lvlJc w:val="left"/>
      <w:pPr>
        <w:pStyle w:val="11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156"/>
        <w:ind w:left="900" w:hanging="900"/>
        <w:tabs>
          <w:tab w:val="num" w:pos="900" w:leader="none"/>
        </w:tabs>
      </w:pPr>
      <w:rPr>
        <w:rFonts w:hint="eastAsia"/>
      </w:rPr>
    </w:lvl>
    <w:lvl w:ilvl="1">
      <w:start w:val="1"/>
      <w:numFmt w:val="decimal"/>
      <w:isLgl w:val="false"/>
      <w:suff w:val="tab"/>
      <w:lvlText w:val="%1.%2"/>
      <w:lvlJc w:val="left"/>
      <w:pPr>
        <w:pStyle w:val="11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56"/>
        <w:ind w:left="1980" w:hanging="900"/>
        <w:tabs>
          <w:tab w:val="num" w:pos="1980" w:leader="none"/>
        </w:tabs>
      </w:pPr>
      <w:rPr>
        <w:rFonts w:hint="eastAsia"/>
      </w:rPr>
    </w:lvl>
    <w:lvl w:ilvl="3">
      <w:start w:val="1"/>
      <w:numFmt w:val="decimal"/>
      <w:isLgl w:val="false"/>
      <w:suff w:val="tab"/>
      <w:lvlText w:val="%1.%2.%3.%4"/>
      <w:lvlJc w:val="left"/>
      <w:pPr>
        <w:pStyle w:val="1156"/>
        <w:ind w:left="900" w:hanging="900"/>
        <w:tabs>
          <w:tab w:val="num" w:pos="900" w:leader="none"/>
        </w:tabs>
      </w:pPr>
      <w:rPr>
        <w:rFonts w:hint="eastAsia"/>
      </w:rPr>
    </w:lvl>
    <w:lvl w:ilvl="4">
      <w:start w:val="1"/>
      <w:numFmt w:val="decimal"/>
      <w:isLgl w:val="false"/>
      <w:suff w:val="tab"/>
      <w:lvlText w:val="%1.%2.%3.%4.%5"/>
      <w:lvlJc w:val="left"/>
      <w:pPr>
        <w:pStyle w:val="1156"/>
        <w:ind w:left="900" w:hanging="900"/>
        <w:tabs>
          <w:tab w:val="num" w:pos="900" w:leader="none"/>
        </w:tabs>
      </w:pPr>
      <w:rPr>
        <w:rFonts w:hint="eastAsia"/>
      </w:rPr>
    </w:lvl>
    <w:lvl w:ilvl="5">
      <w:start w:val="1"/>
      <w:numFmt w:val="decimal"/>
      <w:isLgl w:val="false"/>
      <w:suff w:val="tab"/>
      <w:lvlText w:val="%1.%2.%3.%4.%5.%6"/>
      <w:lvlJc w:val="left"/>
      <w:pPr>
        <w:pStyle w:val="1156"/>
        <w:ind w:left="900" w:hanging="900"/>
        <w:tabs>
          <w:tab w:val="num" w:pos="900" w:leader="none"/>
        </w:tabs>
      </w:pPr>
      <w:rPr>
        <w:rFonts w:hint="eastAsia"/>
      </w:rPr>
    </w:lvl>
    <w:lvl w:ilvl="6">
      <w:start w:val="1"/>
      <w:numFmt w:val="decimal"/>
      <w:isLgl w:val="false"/>
      <w:suff w:val="tab"/>
      <w:lvlText w:val="%1.%2.%3.%4.%5.%6.%7"/>
      <w:lvlJc w:val="left"/>
      <w:pPr>
        <w:pStyle w:val="1156"/>
        <w:ind w:left="900" w:hanging="900"/>
        <w:tabs>
          <w:tab w:val="num" w:pos="900" w:leader="none"/>
        </w:tabs>
      </w:pPr>
      <w:rPr>
        <w:rFonts w:hint="eastAsia"/>
      </w:rPr>
    </w:lvl>
    <w:lvl w:ilvl="7">
      <w:start w:val="1"/>
      <w:numFmt w:val="decimal"/>
      <w:isLgl w:val="false"/>
      <w:suff w:val="tab"/>
      <w:lvlText w:val="%1.%2.%3.%4.%5.%6.%7.%8"/>
      <w:lvlJc w:val="left"/>
      <w:pPr>
        <w:pStyle w:val="1156"/>
        <w:ind w:left="900" w:hanging="900"/>
        <w:tabs>
          <w:tab w:val="num" w:pos="900" w:leader="none"/>
        </w:tabs>
      </w:pPr>
      <w:rPr>
        <w:rFonts w:hint="eastAsia"/>
      </w:rPr>
    </w:lvl>
    <w:lvl w:ilvl="8">
      <w:start w:val="1"/>
      <w:numFmt w:val="decimal"/>
      <w:isLgl w:val="false"/>
      <w:suff w:val="tab"/>
      <w:lvlText w:val="%1.%2.%3.%4.%5.%6.%7.%8.%9"/>
      <w:lvlJc w:val="left"/>
      <w:pPr>
        <w:pStyle w:val="1156"/>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1156"/>
        <w:ind w:left="900" w:hanging="900"/>
        <w:tabs>
          <w:tab w:val="num" w:pos="900" w:leader="none"/>
        </w:tabs>
      </w:pPr>
      <w:rPr>
        <w:rFonts w:hint="eastAsia"/>
      </w:rPr>
    </w:lvl>
    <w:lvl w:ilvl="1">
      <w:start w:val="1"/>
      <w:numFmt w:val="decimal"/>
      <w:isLgl w:val="false"/>
      <w:suff w:val="tab"/>
      <w:lvlText w:val="%1.%2"/>
      <w:lvlJc w:val="left"/>
      <w:pPr>
        <w:pStyle w:val="11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56"/>
        <w:ind w:left="1980" w:hanging="900"/>
        <w:tabs>
          <w:tab w:val="num" w:pos="1980" w:leader="none"/>
        </w:tabs>
      </w:pPr>
      <w:rPr>
        <w:rFonts w:hint="eastAsia"/>
      </w:rPr>
    </w:lvl>
    <w:lvl w:ilvl="3">
      <w:start w:val="1"/>
      <w:numFmt w:val="decimal"/>
      <w:isLgl w:val="false"/>
      <w:suff w:val="tab"/>
      <w:lvlText w:val="%1.%2.%3.%4"/>
      <w:lvlJc w:val="left"/>
      <w:pPr>
        <w:pStyle w:val="1156"/>
        <w:ind w:left="900" w:hanging="900"/>
        <w:tabs>
          <w:tab w:val="num" w:pos="900" w:leader="none"/>
        </w:tabs>
      </w:pPr>
      <w:rPr>
        <w:rFonts w:hint="eastAsia"/>
      </w:rPr>
    </w:lvl>
    <w:lvl w:ilvl="4">
      <w:start w:val="1"/>
      <w:numFmt w:val="decimal"/>
      <w:isLgl w:val="false"/>
      <w:suff w:val="tab"/>
      <w:lvlText w:val="%1.%2.%3.%4.%5"/>
      <w:lvlJc w:val="left"/>
      <w:pPr>
        <w:pStyle w:val="1156"/>
        <w:ind w:left="900" w:hanging="900"/>
        <w:tabs>
          <w:tab w:val="num" w:pos="900" w:leader="none"/>
        </w:tabs>
      </w:pPr>
      <w:rPr>
        <w:rFonts w:hint="eastAsia"/>
      </w:rPr>
    </w:lvl>
    <w:lvl w:ilvl="5">
      <w:start w:val="1"/>
      <w:numFmt w:val="decimal"/>
      <w:isLgl w:val="false"/>
      <w:suff w:val="tab"/>
      <w:lvlText w:val="%1.%2.%3.%4.%5.%6"/>
      <w:lvlJc w:val="left"/>
      <w:pPr>
        <w:pStyle w:val="1156"/>
        <w:ind w:left="900" w:hanging="900"/>
        <w:tabs>
          <w:tab w:val="num" w:pos="900" w:leader="none"/>
        </w:tabs>
      </w:pPr>
      <w:rPr>
        <w:rFonts w:hint="eastAsia"/>
      </w:rPr>
    </w:lvl>
    <w:lvl w:ilvl="6">
      <w:start w:val="1"/>
      <w:numFmt w:val="decimal"/>
      <w:isLgl w:val="false"/>
      <w:suff w:val="tab"/>
      <w:lvlText w:val="%1.%2.%3.%4.%5.%6.%7"/>
      <w:lvlJc w:val="left"/>
      <w:pPr>
        <w:pStyle w:val="1156"/>
        <w:ind w:left="900" w:hanging="900"/>
        <w:tabs>
          <w:tab w:val="num" w:pos="900" w:leader="none"/>
        </w:tabs>
      </w:pPr>
      <w:rPr>
        <w:rFonts w:hint="eastAsia"/>
      </w:rPr>
    </w:lvl>
    <w:lvl w:ilvl="7">
      <w:start w:val="1"/>
      <w:numFmt w:val="decimal"/>
      <w:isLgl w:val="false"/>
      <w:suff w:val="tab"/>
      <w:lvlText w:val="%1.%2.%3.%4.%5.%6.%7.%8"/>
      <w:lvlJc w:val="left"/>
      <w:pPr>
        <w:pStyle w:val="1156"/>
        <w:ind w:left="900" w:hanging="900"/>
        <w:tabs>
          <w:tab w:val="num" w:pos="900" w:leader="none"/>
        </w:tabs>
      </w:pPr>
      <w:rPr>
        <w:rFonts w:hint="eastAsia"/>
      </w:rPr>
    </w:lvl>
    <w:lvl w:ilvl="8">
      <w:start w:val="1"/>
      <w:numFmt w:val="decimal"/>
      <w:isLgl w:val="false"/>
      <w:suff w:val="tab"/>
      <w:lvlText w:val="%1.%2.%3.%4.%5.%6.%7.%8.%9"/>
      <w:lvlJc w:val="left"/>
      <w:pPr>
        <w:pStyle w:val="1156"/>
        <w:ind w:left="900" w:hanging="900"/>
        <w:tabs>
          <w:tab w:val="num" w:pos="900" w:leader="none"/>
        </w:tabs>
      </w:pPr>
      <w:rPr>
        <w:rFonts w:hint="eastAsia"/>
      </w:rPr>
    </w:lvl>
  </w:abstractNum>
  <w:abstractNum w:abstractNumId="17">
    <w:multiLevelType w:val="hybridMultilevel"/>
    <w:lvl w:ilvl="0">
      <w:start w:val="1"/>
      <w:numFmt w:val="decimal"/>
      <w:isLgl w:val="false"/>
      <w:suff w:val="nothing"/>
      <w:lvlText w:val="（%1）"/>
      <w:lvlJc w:val="left"/>
      <w:pPr>
        <w:pStyle w:val="11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0">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2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1"/>
  </w:num>
  <w:num w:numId="4">
    <w:abstractNumId w:val="4"/>
  </w:num>
  <w:num w:numId="5">
    <w:abstractNumId w:val="10"/>
  </w:num>
  <w:num w:numId="6">
    <w:abstractNumId w:val="8"/>
  </w:num>
  <w:num w:numId="7">
    <w:abstractNumId w:val="6"/>
  </w:num>
  <w:num w:numId="8">
    <w:abstractNumId w:val="9"/>
  </w:num>
  <w:num w:numId="9">
    <w:abstractNumId w:val="13"/>
  </w:num>
  <w:num w:numId="10">
    <w:abstractNumId w:val="3"/>
  </w:num>
  <w:num w:numId="11">
    <w:abstractNumId w:val="15"/>
  </w:num>
  <w:num w:numId="12">
    <w:abstractNumId w:val="12"/>
  </w:num>
  <w:num w:numId="13">
    <w:abstractNumId w:val="16"/>
  </w:num>
  <w:num w:numId="14">
    <w:abstractNumId w:val="14"/>
  </w:num>
  <w:num w:numId="15">
    <w:abstractNumId w:val="17"/>
  </w:num>
  <w:num w:numId="16">
    <w:abstractNumId w:val="0"/>
  </w:num>
  <w:num w:numId="17">
    <w:abstractNumId w:val="1"/>
  </w:num>
  <w:num w:numId="18">
    <w:abstractNumId w:val="2"/>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8">
    <w:name w:val="Heading 1"/>
    <w:basedOn w:val="1156"/>
    <w:next w:val="1156"/>
    <w:link w:val="979"/>
    <w:uiPriority w:val="9"/>
    <w:qFormat/>
    <w:pPr>
      <w:keepLines/>
      <w:keepNext/>
      <w:spacing w:before="480" w:after="200"/>
      <w:outlineLvl w:val="0"/>
    </w:pPr>
    <w:rPr>
      <w:rFonts w:ascii="Arial" w:hAnsi="Arial" w:eastAsia="Arial" w:cs="Arial"/>
      <w:sz w:val="40"/>
      <w:szCs w:val="40"/>
    </w:rPr>
  </w:style>
  <w:style w:type="character" w:styleId="979">
    <w:name w:val="Heading 1 Char"/>
    <w:link w:val="978"/>
    <w:uiPriority w:val="9"/>
    <w:rPr>
      <w:rFonts w:ascii="Arial" w:hAnsi="Arial" w:eastAsia="Arial" w:cs="Arial"/>
      <w:sz w:val="40"/>
      <w:szCs w:val="40"/>
    </w:rPr>
  </w:style>
  <w:style w:type="paragraph" w:styleId="980">
    <w:name w:val="Heading 2"/>
    <w:basedOn w:val="1156"/>
    <w:next w:val="1156"/>
    <w:link w:val="981"/>
    <w:uiPriority w:val="9"/>
    <w:unhideWhenUsed/>
    <w:qFormat/>
    <w:pPr>
      <w:keepLines/>
      <w:keepNext/>
      <w:spacing w:before="360" w:after="200"/>
      <w:outlineLvl w:val="1"/>
    </w:pPr>
    <w:rPr>
      <w:rFonts w:ascii="Arial" w:hAnsi="Arial" w:eastAsia="Arial" w:cs="Arial"/>
      <w:sz w:val="34"/>
    </w:rPr>
  </w:style>
  <w:style w:type="character" w:styleId="981">
    <w:name w:val="Heading 2 Char"/>
    <w:link w:val="980"/>
    <w:uiPriority w:val="9"/>
    <w:rPr>
      <w:rFonts w:ascii="Arial" w:hAnsi="Arial" w:eastAsia="Arial" w:cs="Arial"/>
      <w:sz w:val="34"/>
    </w:rPr>
  </w:style>
  <w:style w:type="paragraph" w:styleId="982">
    <w:name w:val="Heading 3"/>
    <w:basedOn w:val="1156"/>
    <w:next w:val="1156"/>
    <w:link w:val="983"/>
    <w:uiPriority w:val="9"/>
    <w:unhideWhenUsed/>
    <w:qFormat/>
    <w:pPr>
      <w:keepLines/>
      <w:keepNext/>
      <w:spacing w:before="320" w:after="200"/>
      <w:outlineLvl w:val="2"/>
    </w:pPr>
    <w:rPr>
      <w:rFonts w:ascii="Arial" w:hAnsi="Arial" w:eastAsia="Arial" w:cs="Arial"/>
      <w:sz w:val="30"/>
      <w:szCs w:val="30"/>
    </w:rPr>
  </w:style>
  <w:style w:type="character" w:styleId="983">
    <w:name w:val="Heading 3 Char"/>
    <w:link w:val="982"/>
    <w:uiPriority w:val="9"/>
    <w:rPr>
      <w:rFonts w:ascii="Arial" w:hAnsi="Arial" w:eastAsia="Arial" w:cs="Arial"/>
      <w:sz w:val="30"/>
      <w:szCs w:val="30"/>
    </w:rPr>
  </w:style>
  <w:style w:type="paragraph" w:styleId="984">
    <w:name w:val="Heading 4"/>
    <w:basedOn w:val="1156"/>
    <w:next w:val="1156"/>
    <w:link w:val="985"/>
    <w:uiPriority w:val="9"/>
    <w:unhideWhenUsed/>
    <w:qFormat/>
    <w:pPr>
      <w:keepLines/>
      <w:keepNext/>
      <w:spacing w:before="320" w:after="200"/>
      <w:outlineLvl w:val="3"/>
    </w:pPr>
    <w:rPr>
      <w:rFonts w:ascii="Arial" w:hAnsi="Arial" w:eastAsia="Arial" w:cs="Arial"/>
      <w:b/>
      <w:bCs/>
      <w:sz w:val="26"/>
      <w:szCs w:val="26"/>
    </w:rPr>
  </w:style>
  <w:style w:type="character" w:styleId="985">
    <w:name w:val="Heading 4 Char"/>
    <w:link w:val="984"/>
    <w:uiPriority w:val="9"/>
    <w:rPr>
      <w:rFonts w:ascii="Arial" w:hAnsi="Arial" w:eastAsia="Arial" w:cs="Arial"/>
      <w:b/>
      <w:bCs/>
      <w:sz w:val="26"/>
      <w:szCs w:val="26"/>
    </w:rPr>
  </w:style>
  <w:style w:type="paragraph" w:styleId="986">
    <w:name w:val="Heading 5"/>
    <w:basedOn w:val="1156"/>
    <w:next w:val="1156"/>
    <w:link w:val="987"/>
    <w:uiPriority w:val="9"/>
    <w:unhideWhenUsed/>
    <w:qFormat/>
    <w:pPr>
      <w:keepLines/>
      <w:keepNext/>
      <w:spacing w:before="320" w:after="200"/>
      <w:outlineLvl w:val="4"/>
    </w:pPr>
    <w:rPr>
      <w:rFonts w:ascii="Arial" w:hAnsi="Arial" w:eastAsia="Arial" w:cs="Arial"/>
      <w:b/>
      <w:bCs/>
      <w:sz w:val="24"/>
      <w:szCs w:val="24"/>
    </w:rPr>
  </w:style>
  <w:style w:type="character" w:styleId="987">
    <w:name w:val="Heading 5 Char"/>
    <w:link w:val="986"/>
    <w:uiPriority w:val="9"/>
    <w:rPr>
      <w:rFonts w:ascii="Arial" w:hAnsi="Arial" w:eastAsia="Arial" w:cs="Arial"/>
      <w:b/>
      <w:bCs/>
      <w:sz w:val="24"/>
      <w:szCs w:val="24"/>
    </w:rPr>
  </w:style>
  <w:style w:type="paragraph" w:styleId="988">
    <w:name w:val="Heading 6"/>
    <w:basedOn w:val="1156"/>
    <w:next w:val="1156"/>
    <w:link w:val="989"/>
    <w:uiPriority w:val="9"/>
    <w:unhideWhenUsed/>
    <w:qFormat/>
    <w:pPr>
      <w:keepLines/>
      <w:keepNext/>
      <w:spacing w:before="320" w:after="200"/>
      <w:outlineLvl w:val="5"/>
    </w:pPr>
    <w:rPr>
      <w:rFonts w:ascii="Arial" w:hAnsi="Arial" w:eastAsia="Arial" w:cs="Arial"/>
      <w:b/>
      <w:bCs/>
      <w:sz w:val="22"/>
      <w:szCs w:val="22"/>
    </w:rPr>
  </w:style>
  <w:style w:type="character" w:styleId="989">
    <w:name w:val="Heading 6 Char"/>
    <w:link w:val="988"/>
    <w:uiPriority w:val="9"/>
    <w:rPr>
      <w:rFonts w:ascii="Arial" w:hAnsi="Arial" w:eastAsia="Arial" w:cs="Arial"/>
      <w:b/>
      <w:bCs/>
      <w:sz w:val="22"/>
      <w:szCs w:val="22"/>
    </w:rPr>
  </w:style>
  <w:style w:type="paragraph" w:styleId="990">
    <w:name w:val="Heading 7"/>
    <w:basedOn w:val="1156"/>
    <w:next w:val="1156"/>
    <w:link w:val="991"/>
    <w:uiPriority w:val="9"/>
    <w:unhideWhenUsed/>
    <w:qFormat/>
    <w:pPr>
      <w:keepLines/>
      <w:keepNext/>
      <w:spacing w:before="320" w:after="200"/>
      <w:outlineLvl w:val="6"/>
    </w:pPr>
    <w:rPr>
      <w:rFonts w:ascii="Arial" w:hAnsi="Arial" w:eastAsia="Arial" w:cs="Arial"/>
      <w:b/>
      <w:bCs/>
      <w:i/>
      <w:iCs/>
      <w:sz w:val="22"/>
      <w:szCs w:val="22"/>
    </w:rPr>
  </w:style>
  <w:style w:type="character" w:styleId="991">
    <w:name w:val="Heading 7 Char"/>
    <w:link w:val="990"/>
    <w:uiPriority w:val="9"/>
    <w:rPr>
      <w:rFonts w:ascii="Arial" w:hAnsi="Arial" w:eastAsia="Arial" w:cs="Arial"/>
      <w:b/>
      <w:bCs/>
      <w:i/>
      <w:iCs/>
      <w:sz w:val="22"/>
      <w:szCs w:val="22"/>
    </w:rPr>
  </w:style>
  <w:style w:type="paragraph" w:styleId="992">
    <w:name w:val="Heading 8"/>
    <w:basedOn w:val="1156"/>
    <w:next w:val="1156"/>
    <w:link w:val="993"/>
    <w:uiPriority w:val="9"/>
    <w:unhideWhenUsed/>
    <w:qFormat/>
    <w:pPr>
      <w:keepLines/>
      <w:keepNext/>
      <w:spacing w:before="320" w:after="200"/>
      <w:outlineLvl w:val="7"/>
    </w:pPr>
    <w:rPr>
      <w:rFonts w:ascii="Arial" w:hAnsi="Arial" w:eastAsia="Arial" w:cs="Arial"/>
      <w:i/>
      <w:iCs/>
      <w:sz w:val="22"/>
      <w:szCs w:val="22"/>
    </w:rPr>
  </w:style>
  <w:style w:type="character" w:styleId="993">
    <w:name w:val="Heading 8 Char"/>
    <w:link w:val="992"/>
    <w:uiPriority w:val="9"/>
    <w:rPr>
      <w:rFonts w:ascii="Arial" w:hAnsi="Arial" w:eastAsia="Arial" w:cs="Arial"/>
      <w:i/>
      <w:iCs/>
      <w:sz w:val="22"/>
      <w:szCs w:val="22"/>
    </w:rPr>
  </w:style>
  <w:style w:type="paragraph" w:styleId="994">
    <w:name w:val="Heading 9"/>
    <w:basedOn w:val="1156"/>
    <w:next w:val="1156"/>
    <w:link w:val="995"/>
    <w:uiPriority w:val="9"/>
    <w:unhideWhenUsed/>
    <w:qFormat/>
    <w:pPr>
      <w:keepLines/>
      <w:keepNext/>
      <w:spacing w:before="320" w:after="200"/>
      <w:outlineLvl w:val="8"/>
    </w:pPr>
    <w:rPr>
      <w:rFonts w:ascii="Arial" w:hAnsi="Arial" w:eastAsia="Arial" w:cs="Arial"/>
      <w:i/>
      <w:iCs/>
      <w:sz w:val="21"/>
      <w:szCs w:val="21"/>
    </w:rPr>
  </w:style>
  <w:style w:type="character" w:styleId="995">
    <w:name w:val="Heading 9 Char"/>
    <w:link w:val="994"/>
    <w:uiPriority w:val="9"/>
    <w:rPr>
      <w:rFonts w:ascii="Arial" w:hAnsi="Arial" w:eastAsia="Arial" w:cs="Arial"/>
      <w:i/>
      <w:iCs/>
      <w:sz w:val="21"/>
      <w:szCs w:val="21"/>
    </w:rPr>
  </w:style>
  <w:style w:type="paragraph" w:styleId="996">
    <w:name w:val="List Paragraph"/>
    <w:basedOn w:val="1156"/>
    <w:uiPriority w:val="34"/>
    <w:qFormat/>
    <w:pPr>
      <w:contextualSpacing/>
      <w:ind w:left="720"/>
    </w:pPr>
  </w:style>
  <w:style w:type="paragraph" w:styleId="997">
    <w:name w:val="No Spacing"/>
    <w:uiPriority w:val="1"/>
    <w:qFormat/>
    <w:pPr>
      <w:spacing w:before="0" w:after="0" w:line="240" w:lineRule="auto"/>
    </w:pPr>
  </w:style>
  <w:style w:type="paragraph" w:styleId="998">
    <w:name w:val="Title"/>
    <w:basedOn w:val="1156"/>
    <w:next w:val="1156"/>
    <w:link w:val="999"/>
    <w:uiPriority w:val="10"/>
    <w:qFormat/>
    <w:pPr>
      <w:contextualSpacing/>
      <w:spacing w:before="300" w:after="200"/>
    </w:pPr>
    <w:rPr>
      <w:sz w:val="48"/>
      <w:szCs w:val="48"/>
    </w:rPr>
  </w:style>
  <w:style w:type="character" w:styleId="999">
    <w:name w:val="Title Char"/>
    <w:link w:val="998"/>
    <w:uiPriority w:val="10"/>
    <w:rPr>
      <w:sz w:val="48"/>
      <w:szCs w:val="48"/>
    </w:rPr>
  </w:style>
  <w:style w:type="paragraph" w:styleId="1000">
    <w:name w:val="Subtitle"/>
    <w:basedOn w:val="1156"/>
    <w:next w:val="1156"/>
    <w:link w:val="1001"/>
    <w:uiPriority w:val="11"/>
    <w:qFormat/>
    <w:pPr>
      <w:spacing w:before="200" w:after="200"/>
    </w:pPr>
    <w:rPr>
      <w:sz w:val="24"/>
      <w:szCs w:val="24"/>
    </w:rPr>
  </w:style>
  <w:style w:type="character" w:styleId="1001">
    <w:name w:val="Subtitle Char"/>
    <w:link w:val="1000"/>
    <w:uiPriority w:val="11"/>
    <w:rPr>
      <w:sz w:val="24"/>
      <w:szCs w:val="24"/>
    </w:rPr>
  </w:style>
  <w:style w:type="paragraph" w:styleId="1002">
    <w:name w:val="Quote"/>
    <w:basedOn w:val="1156"/>
    <w:next w:val="1156"/>
    <w:link w:val="1003"/>
    <w:uiPriority w:val="29"/>
    <w:qFormat/>
    <w:pPr>
      <w:ind w:left="720" w:right="720"/>
    </w:pPr>
    <w:rPr>
      <w:i/>
    </w:rPr>
  </w:style>
  <w:style w:type="character" w:styleId="1003">
    <w:name w:val="Quote Char"/>
    <w:link w:val="1002"/>
    <w:uiPriority w:val="29"/>
    <w:rPr>
      <w:i/>
    </w:rPr>
  </w:style>
  <w:style w:type="paragraph" w:styleId="1004">
    <w:name w:val="Intense Quote"/>
    <w:basedOn w:val="1156"/>
    <w:next w:val="1156"/>
    <w:link w:val="10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Intense Quote Char"/>
    <w:link w:val="1004"/>
    <w:uiPriority w:val="30"/>
    <w:rPr>
      <w:i/>
    </w:rPr>
  </w:style>
  <w:style w:type="paragraph" w:styleId="1006">
    <w:name w:val="Header"/>
    <w:basedOn w:val="1156"/>
    <w:link w:val="1007"/>
    <w:uiPriority w:val="99"/>
    <w:unhideWhenUsed/>
    <w:pPr>
      <w:spacing w:after="0" w:line="240" w:lineRule="auto"/>
      <w:tabs>
        <w:tab w:val="center" w:pos="7143" w:leader="none"/>
        <w:tab w:val="right" w:pos="14287" w:leader="none"/>
      </w:tabs>
    </w:pPr>
  </w:style>
  <w:style w:type="character" w:styleId="1007">
    <w:name w:val="Header Char"/>
    <w:link w:val="1006"/>
    <w:uiPriority w:val="99"/>
  </w:style>
  <w:style w:type="paragraph" w:styleId="1008">
    <w:name w:val="Footer"/>
    <w:basedOn w:val="1156"/>
    <w:link w:val="1011"/>
    <w:uiPriority w:val="99"/>
    <w:unhideWhenUsed/>
    <w:pPr>
      <w:spacing w:after="0" w:line="240" w:lineRule="auto"/>
      <w:tabs>
        <w:tab w:val="center" w:pos="7143" w:leader="none"/>
        <w:tab w:val="right" w:pos="14287" w:leader="none"/>
      </w:tabs>
    </w:pPr>
  </w:style>
  <w:style w:type="character" w:styleId="1009">
    <w:name w:val="Footer Char"/>
    <w:link w:val="1008"/>
    <w:uiPriority w:val="99"/>
  </w:style>
  <w:style w:type="paragraph" w:styleId="1010">
    <w:name w:val="Caption"/>
    <w:basedOn w:val="1156"/>
    <w:next w:val="1156"/>
    <w:uiPriority w:val="35"/>
    <w:semiHidden/>
    <w:unhideWhenUsed/>
    <w:qFormat/>
    <w:pPr>
      <w:spacing w:line="276" w:lineRule="auto"/>
    </w:pPr>
    <w:rPr>
      <w:b/>
      <w:bCs/>
      <w:color w:val="4f81bd" w:themeColor="accent1"/>
      <w:sz w:val="18"/>
      <w:szCs w:val="18"/>
    </w:rPr>
  </w:style>
  <w:style w:type="character" w:styleId="1011">
    <w:name w:val="Caption Char"/>
    <w:basedOn w:val="1010"/>
    <w:link w:val="1008"/>
    <w:uiPriority w:val="99"/>
  </w:style>
  <w:style w:type="table" w:styleId="10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8">
    <w:name w:val="Hyperlink"/>
    <w:uiPriority w:val="99"/>
    <w:unhideWhenUsed/>
    <w:rPr>
      <w:color w:val="0000ff" w:themeColor="hyperlink"/>
      <w:u w:val="single"/>
    </w:rPr>
  </w:style>
  <w:style w:type="paragraph" w:styleId="1139">
    <w:name w:val="footnote text"/>
    <w:basedOn w:val="1156"/>
    <w:link w:val="1140"/>
    <w:uiPriority w:val="99"/>
    <w:semiHidden/>
    <w:unhideWhenUsed/>
    <w:pPr>
      <w:spacing w:after="40" w:line="240" w:lineRule="auto"/>
    </w:pPr>
    <w:rPr>
      <w:sz w:val="18"/>
    </w:rPr>
  </w:style>
  <w:style w:type="character" w:styleId="1140">
    <w:name w:val="Footnote Text Char"/>
    <w:link w:val="1139"/>
    <w:uiPriority w:val="99"/>
    <w:rPr>
      <w:sz w:val="18"/>
    </w:rPr>
  </w:style>
  <w:style w:type="character" w:styleId="1141">
    <w:name w:val="footnote reference"/>
    <w:uiPriority w:val="99"/>
    <w:unhideWhenUsed/>
    <w:rPr>
      <w:vertAlign w:val="superscript"/>
    </w:rPr>
  </w:style>
  <w:style w:type="paragraph" w:styleId="1142">
    <w:name w:val="endnote text"/>
    <w:basedOn w:val="1156"/>
    <w:link w:val="1143"/>
    <w:uiPriority w:val="99"/>
    <w:semiHidden/>
    <w:unhideWhenUsed/>
    <w:pPr>
      <w:spacing w:after="0" w:line="240" w:lineRule="auto"/>
    </w:pPr>
    <w:rPr>
      <w:sz w:val="20"/>
    </w:rPr>
  </w:style>
  <w:style w:type="character" w:styleId="1143">
    <w:name w:val="Endnote Text Char"/>
    <w:link w:val="1142"/>
    <w:uiPriority w:val="99"/>
    <w:rPr>
      <w:sz w:val="20"/>
    </w:rPr>
  </w:style>
  <w:style w:type="character" w:styleId="1144">
    <w:name w:val="endnote reference"/>
    <w:uiPriority w:val="99"/>
    <w:semiHidden/>
    <w:unhideWhenUsed/>
    <w:rPr>
      <w:vertAlign w:val="superscript"/>
    </w:rPr>
  </w:style>
  <w:style w:type="paragraph" w:styleId="1145">
    <w:name w:val="toc 1"/>
    <w:basedOn w:val="1156"/>
    <w:next w:val="1156"/>
    <w:uiPriority w:val="39"/>
    <w:unhideWhenUsed/>
    <w:pPr>
      <w:ind w:left="0" w:right="0" w:firstLine="0"/>
      <w:spacing w:after="57"/>
    </w:pPr>
  </w:style>
  <w:style w:type="paragraph" w:styleId="1146">
    <w:name w:val="toc 2"/>
    <w:basedOn w:val="1156"/>
    <w:next w:val="1156"/>
    <w:uiPriority w:val="39"/>
    <w:unhideWhenUsed/>
    <w:pPr>
      <w:ind w:left="283" w:right="0" w:firstLine="0"/>
      <w:spacing w:after="57"/>
    </w:pPr>
  </w:style>
  <w:style w:type="paragraph" w:styleId="1147">
    <w:name w:val="toc 3"/>
    <w:basedOn w:val="1156"/>
    <w:next w:val="1156"/>
    <w:uiPriority w:val="39"/>
    <w:unhideWhenUsed/>
    <w:pPr>
      <w:ind w:left="567" w:right="0" w:firstLine="0"/>
      <w:spacing w:after="57"/>
    </w:pPr>
  </w:style>
  <w:style w:type="paragraph" w:styleId="1148">
    <w:name w:val="toc 4"/>
    <w:basedOn w:val="1156"/>
    <w:next w:val="1156"/>
    <w:uiPriority w:val="39"/>
    <w:unhideWhenUsed/>
    <w:pPr>
      <w:ind w:left="850" w:right="0" w:firstLine="0"/>
      <w:spacing w:after="57"/>
    </w:pPr>
  </w:style>
  <w:style w:type="paragraph" w:styleId="1149">
    <w:name w:val="toc 5"/>
    <w:basedOn w:val="1156"/>
    <w:next w:val="1156"/>
    <w:uiPriority w:val="39"/>
    <w:unhideWhenUsed/>
    <w:pPr>
      <w:ind w:left="1134" w:right="0" w:firstLine="0"/>
      <w:spacing w:after="57"/>
    </w:pPr>
  </w:style>
  <w:style w:type="paragraph" w:styleId="1150">
    <w:name w:val="toc 6"/>
    <w:basedOn w:val="1156"/>
    <w:next w:val="1156"/>
    <w:uiPriority w:val="39"/>
    <w:unhideWhenUsed/>
    <w:pPr>
      <w:ind w:left="1417" w:right="0" w:firstLine="0"/>
      <w:spacing w:after="57"/>
    </w:pPr>
  </w:style>
  <w:style w:type="paragraph" w:styleId="1151">
    <w:name w:val="toc 7"/>
    <w:basedOn w:val="1156"/>
    <w:next w:val="1156"/>
    <w:uiPriority w:val="39"/>
    <w:unhideWhenUsed/>
    <w:pPr>
      <w:ind w:left="1701" w:right="0" w:firstLine="0"/>
      <w:spacing w:after="57"/>
    </w:pPr>
  </w:style>
  <w:style w:type="paragraph" w:styleId="1152">
    <w:name w:val="toc 8"/>
    <w:basedOn w:val="1156"/>
    <w:next w:val="1156"/>
    <w:uiPriority w:val="39"/>
    <w:unhideWhenUsed/>
    <w:pPr>
      <w:ind w:left="1984" w:right="0" w:firstLine="0"/>
      <w:spacing w:after="57"/>
    </w:pPr>
  </w:style>
  <w:style w:type="paragraph" w:styleId="1153">
    <w:name w:val="toc 9"/>
    <w:basedOn w:val="1156"/>
    <w:next w:val="1156"/>
    <w:uiPriority w:val="39"/>
    <w:unhideWhenUsed/>
    <w:pPr>
      <w:ind w:left="2268" w:right="0" w:firstLine="0"/>
      <w:spacing w:after="57"/>
    </w:pPr>
  </w:style>
  <w:style w:type="paragraph" w:styleId="1154">
    <w:name w:val="TOC Heading"/>
    <w:uiPriority w:val="39"/>
    <w:unhideWhenUsed/>
  </w:style>
  <w:style w:type="paragraph" w:styleId="1155">
    <w:name w:val="table of figures"/>
    <w:basedOn w:val="1156"/>
    <w:next w:val="1156"/>
    <w:uiPriority w:val="99"/>
    <w:unhideWhenUsed/>
    <w:pPr>
      <w:spacing w:after="0" w:afterAutospacing="0"/>
    </w:pPr>
  </w:style>
  <w:style w:type="paragraph" w:styleId="1156" w:default="1">
    <w:name w:val="Normal"/>
    <w:next w:val="1156"/>
    <w:link w:val="1156"/>
    <w:qFormat/>
    <w:pPr>
      <w:jc w:val="both"/>
      <w:widowControl w:val="off"/>
    </w:pPr>
    <w:rPr>
      <w:sz w:val="21"/>
      <w:szCs w:val="24"/>
      <w:lang w:val="en-US" w:eastAsia="zh-CN" w:bidi="ar-SA"/>
    </w:rPr>
  </w:style>
  <w:style w:type="paragraph" w:styleId="1157">
    <w:name w:val="标题 1"/>
    <w:basedOn w:val="1156"/>
    <w:next w:val="1156"/>
    <w:link w:val="1168"/>
    <w:qFormat/>
    <w:pPr>
      <w:jc w:val="center"/>
      <w:keepLines/>
      <w:keepNext/>
      <w:spacing w:before="240" w:after="120" w:line="300" w:lineRule="auto"/>
      <w:outlineLvl w:val="0"/>
    </w:pPr>
    <w:rPr>
      <w:rFonts w:ascii="宋体"/>
      <w:b/>
      <w:sz w:val="32"/>
      <w:szCs w:val="20"/>
    </w:rPr>
  </w:style>
  <w:style w:type="paragraph" w:styleId="1158">
    <w:name w:val="标题 2"/>
    <w:basedOn w:val="1156"/>
    <w:next w:val="1170"/>
    <w:link w:val="1169"/>
    <w:qFormat/>
    <w:pPr>
      <w:jc w:val="center"/>
      <w:keepLines/>
      <w:keepNext/>
      <w:spacing w:before="120" w:line="300" w:lineRule="auto"/>
      <w:outlineLvl w:val="1"/>
    </w:pPr>
    <w:rPr>
      <w:rFonts w:ascii="Arial" w:hAnsi="Arial" w:eastAsia="黑体"/>
      <w:b/>
      <w:sz w:val="30"/>
      <w:szCs w:val="20"/>
    </w:rPr>
  </w:style>
  <w:style w:type="paragraph" w:styleId="1159">
    <w:name w:val="标题 3"/>
    <w:basedOn w:val="1156"/>
    <w:next w:val="1156"/>
    <w:link w:val="1172"/>
    <w:qFormat/>
    <w:pPr>
      <w:jc w:val="left"/>
      <w:keepLines/>
      <w:keepNext/>
      <w:spacing w:before="360" w:after="120"/>
      <w:outlineLvl w:val="2"/>
    </w:pPr>
    <w:rPr>
      <w:rFonts w:ascii="宋体"/>
      <w:b/>
      <w:sz w:val="24"/>
      <w:szCs w:val="20"/>
      <w:u w:val="single"/>
    </w:rPr>
  </w:style>
  <w:style w:type="paragraph" w:styleId="1160">
    <w:name w:val="标题 4"/>
    <w:basedOn w:val="1156"/>
    <w:next w:val="1170"/>
    <w:link w:val="1173"/>
    <w:qFormat/>
    <w:pPr>
      <w:keepLines/>
      <w:keepNext/>
      <w:spacing w:before="280" w:after="290" w:line="376" w:lineRule="atLeast"/>
      <w:outlineLvl w:val="3"/>
    </w:pPr>
    <w:rPr>
      <w:rFonts w:ascii="Arial" w:hAnsi="Arial" w:eastAsia="黑体"/>
      <w:b/>
      <w:sz w:val="28"/>
      <w:szCs w:val="20"/>
    </w:rPr>
  </w:style>
  <w:style w:type="paragraph" w:styleId="1161">
    <w:name w:val="标题 5"/>
    <w:basedOn w:val="1156"/>
    <w:next w:val="1156"/>
    <w:link w:val="1174"/>
    <w:qFormat/>
    <w:pPr>
      <w:keepLines/>
      <w:keepNext/>
      <w:spacing w:before="280" w:after="290" w:line="376" w:lineRule="atLeast"/>
      <w:outlineLvl w:val="4"/>
    </w:pPr>
    <w:rPr>
      <w:b/>
      <w:sz w:val="28"/>
      <w:szCs w:val="20"/>
    </w:rPr>
  </w:style>
  <w:style w:type="paragraph" w:styleId="1162">
    <w:name w:val="标题 6"/>
    <w:basedOn w:val="1156"/>
    <w:next w:val="1156"/>
    <w:link w:val="1175"/>
    <w:qFormat/>
    <w:pPr>
      <w:keepLines/>
      <w:keepNext/>
      <w:spacing w:before="240" w:after="64" w:line="320" w:lineRule="atLeast"/>
      <w:outlineLvl w:val="5"/>
    </w:pPr>
    <w:rPr>
      <w:rFonts w:ascii="Arial" w:hAnsi="Arial" w:eastAsia="黑体"/>
      <w:b/>
      <w:sz w:val="24"/>
      <w:szCs w:val="20"/>
    </w:rPr>
  </w:style>
  <w:style w:type="paragraph" w:styleId="1163">
    <w:name w:val="标题 7"/>
    <w:basedOn w:val="1156"/>
    <w:next w:val="1156"/>
    <w:link w:val="1176"/>
    <w:qFormat/>
    <w:pPr>
      <w:keepLines/>
      <w:keepNext/>
      <w:spacing w:before="240" w:after="64" w:line="320" w:lineRule="atLeast"/>
      <w:outlineLvl w:val="6"/>
    </w:pPr>
    <w:rPr>
      <w:b/>
      <w:sz w:val="24"/>
      <w:szCs w:val="20"/>
    </w:rPr>
  </w:style>
  <w:style w:type="paragraph" w:styleId="1164">
    <w:name w:val="标题 8"/>
    <w:basedOn w:val="1156"/>
    <w:next w:val="1156"/>
    <w:link w:val="1177"/>
    <w:qFormat/>
    <w:pPr>
      <w:keepLines/>
      <w:keepNext/>
      <w:spacing w:before="240" w:after="64" w:line="320" w:lineRule="atLeast"/>
      <w:outlineLvl w:val="7"/>
    </w:pPr>
    <w:rPr>
      <w:rFonts w:ascii="Arial" w:hAnsi="Arial" w:eastAsia="黑体"/>
      <w:sz w:val="24"/>
      <w:szCs w:val="20"/>
    </w:rPr>
  </w:style>
  <w:style w:type="paragraph" w:styleId="1165">
    <w:name w:val="标题 9"/>
    <w:basedOn w:val="1156"/>
    <w:next w:val="1156"/>
    <w:link w:val="1178"/>
    <w:qFormat/>
    <w:pPr>
      <w:keepLines/>
      <w:keepNext/>
      <w:spacing w:before="240" w:after="64" w:line="320" w:lineRule="atLeast"/>
      <w:outlineLvl w:val="8"/>
    </w:pPr>
    <w:rPr>
      <w:rFonts w:ascii="Arial" w:hAnsi="Arial" w:eastAsia="黑体"/>
      <w:szCs w:val="20"/>
    </w:rPr>
  </w:style>
  <w:style w:type="character" w:styleId="1166">
    <w:name w:val="默认段落字体"/>
    <w:next w:val="1166"/>
    <w:link w:val="1156"/>
    <w:uiPriority w:val="1"/>
    <w:unhideWhenUsed/>
    <w:qFormat/>
  </w:style>
  <w:style w:type="table" w:styleId="1167">
    <w:name w:val="普通表格"/>
    <w:next w:val="1167"/>
    <w:link w:val="1156"/>
    <w:uiPriority w:val="99"/>
    <w:unhideWhenUsed/>
    <w:qFormat/>
    <w:tblPr/>
  </w:style>
  <w:style w:type="character" w:styleId="1168">
    <w:name w:val="标题 1 Char"/>
    <w:next w:val="1168"/>
    <w:link w:val="1157"/>
    <w:qFormat/>
    <w:rPr>
      <w:rFonts w:ascii="宋体"/>
      <w:b/>
      <w:sz w:val="32"/>
    </w:rPr>
  </w:style>
  <w:style w:type="character" w:styleId="1169">
    <w:name w:val="标题 2 Char1"/>
    <w:next w:val="1169"/>
    <w:link w:val="1158"/>
    <w:qFormat/>
    <w:rPr>
      <w:rFonts w:ascii="Arial" w:hAnsi="Arial" w:eastAsia="黑体"/>
      <w:b/>
      <w:sz w:val="30"/>
      <w:lang w:val="en-US" w:eastAsia="zh-CN" w:bidi="ar-SA"/>
    </w:rPr>
  </w:style>
  <w:style w:type="paragraph" w:styleId="1170">
    <w:name w:val="正文缩进"/>
    <w:basedOn w:val="1156"/>
    <w:next w:val="1156"/>
    <w:link w:val="1171"/>
    <w:qFormat/>
    <w:pPr>
      <w:ind w:firstLine="420"/>
      <w:jc w:val="left"/>
    </w:pPr>
    <w:rPr>
      <w:rFonts w:ascii="宋体"/>
      <w:sz w:val="24"/>
    </w:rPr>
  </w:style>
  <w:style w:type="character" w:styleId="1171">
    <w:name w:val="正文缩进 Char1"/>
    <w:next w:val="1171"/>
    <w:link w:val="1170"/>
    <w:qFormat/>
    <w:rPr>
      <w:rFonts w:ascii="宋体" w:eastAsia="宋体"/>
      <w:sz w:val="24"/>
      <w:szCs w:val="24"/>
      <w:lang w:val="en-US" w:eastAsia="zh-CN" w:bidi="ar-SA"/>
    </w:rPr>
  </w:style>
  <w:style w:type="character" w:styleId="1172">
    <w:name w:val="标题 3 Char1"/>
    <w:next w:val="1172"/>
    <w:link w:val="1159"/>
    <w:qFormat/>
    <w:rPr>
      <w:rFonts w:ascii="宋体" w:eastAsia="宋体"/>
      <w:b/>
      <w:sz w:val="24"/>
      <w:u w:val="single"/>
      <w:lang w:val="en-US" w:eastAsia="zh-CN" w:bidi="ar-SA"/>
    </w:rPr>
  </w:style>
  <w:style w:type="character" w:styleId="1173">
    <w:name w:val="标题 4 Char"/>
    <w:next w:val="1173"/>
    <w:link w:val="1160"/>
    <w:qFormat/>
    <w:rPr>
      <w:rFonts w:ascii="Arial" w:hAnsi="Arial" w:eastAsia="黑体"/>
      <w:b/>
      <w:sz w:val="28"/>
    </w:rPr>
  </w:style>
  <w:style w:type="character" w:styleId="1174">
    <w:name w:val="标题 5 Char"/>
    <w:next w:val="1174"/>
    <w:link w:val="1161"/>
    <w:qFormat/>
    <w:rPr>
      <w:b/>
      <w:sz w:val="28"/>
    </w:rPr>
  </w:style>
  <w:style w:type="character" w:styleId="1175">
    <w:name w:val="标题 6 Char"/>
    <w:next w:val="1175"/>
    <w:link w:val="1162"/>
    <w:qFormat/>
    <w:rPr>
      <w:rFonts w:ascii="Arial" w:hAnsi="Arial" w:eastAsia="黑体"/>
      <w:b/>
      <w:sz w:val="24"/>
    </w:rPr>
  </w:style>
  <w:style w:type="character" w:styleId="1176">
    <w:name w:val="标题 7 Char"/>
    <w:next w:val="1176"/>
    <w:link w:val="1163"/>
    <w:qFormat/>
    <w:rPr>
      <w:b/>
      <w:sz w:val="24"/>
    </w:rPr>
  </w:style>
  <w:style w:type="character" w:styleId="1177">
    <w:name w:val="标题 8 Char"/>
    <w:next w:val="1177"/>
    <w:link w:val="1164"/>
    <w:qFormat/>
    <w:rPr>
      <w:rFonts w:ascii="Arial" w:hAnsi="Arial" w:eastAsia="黑体"/>
      <w:sz w:val="24"/>
    </w:rPr>
  </w:style>
  <w:style w:type="character" w:styleId="1178">
    <w:name w:val="标题 9 Char"/>
    <w:next w:val="1178"/>
    <w:link w:val="1165"/>
    <w:qFormat/>
    <w:rPr>
      <w:rFonts w:ascii="Arial" w:hAnsi="Arial" w:eastAsia="黑体"/>
      <w:sz w:val="21"/>
    </w:rPr>
  </w:style>
  <w:style w:type="paragraph" w:styleId="1179">
    <w:name w:val="目录 7"/>
    <w:basedOn w:val="1156"/>
    <w:next w:val="1156"/>
    <w:link w:val="1156"/>
    <w:qFormat/>
    <w:pPr>
      <w:ind w:left="2520"/>
    </w:pPr>
  </w:style>
  <w:style w:type="paragraph" w:styleId="1180">
    <w:name w:val="题注"/>
    <w:basedOn w:val="1156"/>
    <w:next w:val="1156"/>
    <w:link w:val="1156"/>
    <w:qFormat/>
    <w:pPr>
      <w:spacing w:line="480" w:lineRule="auto"/>
    </w:pPr>
    <w:rPr>
      <w:rFonts w:ascii="华文中宋" w:hAnsi="华文中宋" w:eastAsia="华文中宋"/>
      <w:sz w:val="36"/>
      <w:szCs w:val="20"/>
    </w:rPr>
  </w:style>
  <w:style w:type="paragraph" w:styleId="1181">
    <w:name w:val="文档结构图"/>
    <w:basedOn w:val="1156"/>
    <w:next w:val="1181"/>
    <w:link w:val="1182"/>
    <w:qFormat/>
    <w:pPr>
      <w:shd w:val="clear" w:color="auto" w:fill="000080"/>
    </w:pPr>
  </w:style>
  <w:style w:type="character" w:styleId="1182">
    <w:name w:val="文档结构图 Char"/>
    <w:next w:val="1182"/>
    <w:link w:val="1181"/>
    <w:qFormat/>
    <w:rPr>
      <w:sz w:val="21"/>
      <w:szCs w:val="24"/>
      <w:shd w:val="clear" w:color="auto" w:fill="000080"/>
    </w:rPr>
  </w:style>
  <w:style w:type="paragraph" w:styleId="1183">
    <w:name w:val="批注文字"/>
    <w:basedOn w:val="1156"/>
    <w:next w:val="1183"/>
    <w:link w:val="1184"/>
    <w:qFormat/>
    <w:pPr>
      <w:jc w:val="left"/>
    </w:pPr>
  </w:style>
  <w:style w:type="character" w:styleId="1184">
    <w:name w:val="批注文字 Char1"/>
    <w:next w:val="1184"/>
    <w:link w:val="1183"/>
    <w:uiPriority w:val="99"/>
    <w:qFormat/>
    <w:rPr>
      <w:sz w:val="21"/>
      <w:szCs w:val="24"/>
    </w:rPr>
  </w:style>
  <w:style w:type="paragraph" w:styleId="1185">
    <w:name w:val="正文文本 3"/>
    <w:basedOn w:val="1156"/>
    <w:next w:val="1185"/>
    <w:link w:val="1186"/>
    <w:qFormat/>
    <w:pPr>
      <w:spacing w:after="120"/>
    </w:pPr>
    <w:rPr>
      <w:sz w:val="16"/>
      <w:szCs w:val="16"/>
    </w:rPr>
  </w:style>
  <w:style w:type="character" w:styleId="1186">
    <w:name w:val="正文文本 3 Char"/>
    <w:next w:val="1186"/>
    <w:link w:val="1185"/>
    <w:qFormat/>
    <w:rPr>
      <w:sz w:val="16"/>
      <w:szCs w:val="16"/>
    </w:rPr>
  </w:style>
  <w:style w:type="paragraph" w:styleId="1187">
    <w:name w:val="正文文本"/>
    <w:basedOn w:val="1156"/>
    <w:next w:val="1156"/>
    <w:link w:val="1188"/>
    <w:qFormat/>
    <w:pPr>
      <w:spacing w:before="120" w:line="22" w:lineRule="atLeast"/>
      <w:tabs>
        <w:tab w:val="left" w:pos="567" w:leader="none"/>
      </w:tabs>
    </w:pPr>
    <w:rPr>
      <w:rFonts w:ascii="宋体" w:hAnsi="宋体"/>
      <w:sz w:val="24"/>
    </w:rPr>
  </w:style>
  <w:style w:type="character" w:styleId="1188">
    <w:name w:val="正文文本 Char"/>
    <w:next w:val="1188"/>
    <w:link w:val="1187"/>
    <w:qFormat/>
    <w:rPr>
      <w:rFonts w:ascii="宋体" w:hAnsi="宋体"/>
      <w:sz w:val="24"/>
      <w:szCs w:val="24"/>
    </w:rPr>
  </w:style>
  <w:style w:type="paragraph" w:styleId="1189">
    <w:name w:val="正文文本缩进"/>
    <w:basedOn w:val="1156"/>
    <w:next w:val="1156"/>
    <w:link w:val="1190"/>
    <w:qFormat/>
    <w:pPr>
      <w:ind w:firstLine="570"/>
      <w:spacing w:line="360" w:lineRule="auto"/>
    </w:pPr>
    <w:rPr>
      <w:sz w:val="24"/>
    </w:rPr>
  </w:style>
  <w:style w:type="character" w:styleId="1190">
    <w:name w:val="正文文本缩进 Char2"/>
    <w:next w:val="1190"/>
    <w:link w:val="1189"/>
    <w:qFormat/>
    <w:rPr>
      <w:rFonts w:eastAsia="宋体"/>
      <w:sz w:val="24"/>
      <w:szCs w:val="24"/>
      <w:lang w:val="en-US" w:eastAsia="zh-CN" w:bidi="ar-SA"/>
    </w:rPr>
  </w:style>
  <w:style w:type="paragraph" w:styleId="1191">
    <w:name w:val="列表 2"/>
    <w:basedOn w:val="1156"/>
    <w:next w:val="1191"/>
    <w:link w:val="1156"/>
    <w:qFormat/>
    <w:pPr>
      <w:ind w:left="100" w:hanging="200"/>
    </w:pPr>
  </w:style>
  <w:style w:type="paragraph" w:styleId="1192">
    <w:name w:val="文本块"/>
    <w:basedOn w:val="1156"/>
    <w:next w:val="1192"/>
    <w:link w:val="1156"/>
    <w:qFormat/>
    <w:pPr>
      <w:ind w:left="480" w:right="-341" w:firstLine="513"/>
      <w:widowControl/>
    </w:pPr>
    <w:rPr>
      <w:sz w:val="24"/>
      <w:szCs w:val="20"/>
    </w:rPr>
  </w:style>
  <w:style w:type="paragraph" w:styleId="1193">
    <w:name w:val="目录 5"/>
    <w:basedOn w:val="1156"/>
    <w:next w:val="1156"/>
    <w:link w:val="1156"/>
    <w:qFormat/>
    <w:pPr>
      <w:ind w:left="1680"/>
    </w:pPr>
  </w:style>
  <w:style w:type="paragraph" w:styleId="1194">
    <w:name w:val="目录 3"/>
    <w:basedOn w:val="1156"/>
    <w:next w:val="1156"/>
    <w:link w:val="1156"/>
    <w:uiPriority w:val="39"/>
    <w:qFormat/>
    <w:pPr>
      <w:ind w:left="840"/>
    </w:pPr>
  </w:style>
  <w:style w:type="paragraph" w:styleId="1195">
    <w:name w:val="纯文本"/>
    <w:basedOn w:val="1156"/>
    <w:next w:val="1170"/>
    <w:link w:val="1196"/>
    <w:qFormat/>
    <w:rPr>
      <w:rFonts w:hint="eastAsia" w:ascii="宋体" w:hAnsi="Courier New"/>
      <w:szCs w:val="20"/>
    </w:rPr>
  </w:style>
  <w:style w:type="character" w:styleId="1196">
    <w:name w:val="纯文本 Char"/>
    <w:next w:val="1196"/>
    <w:link w:val="1195"/>
    <w:qFormat/>
    <w:rPr>
      <w:rFonts w:hint="eastAsia" w:ascii="宋体" w:hAnsi="Courier New" w:eastAsia="宋体" w:cs="宋体"/>
      <w:sz w:val="21"/>
    </w:rPr>
  </w:style>
  <w:style w:type="paragraph" w:styleId="1197">
    <w:name w:val="目录 8"/>
    <w:basedOn w:val="1156"/>
    <w:next w:val="1156"/>
    <w:link w:val="1156"/>
    <w:qFormat/>
    <w:pPr>
      <w:ind w:left="2940"/>
    </w:pPr>
  </w:style>
  <w:style w:type="paragraph" w:styleId="1198">
    <w:name w:val="日期"/>
    <w:basedOn w:val="1156"/>
    <w:next w:val="1156"/>
    <w:link w:val="1199"/>
    <w:qFormat/>
    <w:pPr>
      <w:ind w:left="100"/>
    </w:pPr>
    <w:rPr>
      <w:rFonts w:ascii="仿宋_GB2312" w:hAnsi="宋体" w:eastAsia="仿宋_GB2312"/>
      <w:color w:val="000000"/>
      <w:sz w:val="24"/>
    </w:rPr>
  </w:style>
  <w:style w:type="character" w:styleId="1199">
    <w:name w:val="日期 Char"/>
    <w:next w:val="1199"/>
    <w:link w:val="1198"/>
    <w:qFormat/>
    <w:rPr>
      <w:rFonts w:ascii="仿宋_GB2312" w:hAnsi="宋体" w:eastAsia="仿宋_GB2312"/>
      <w:color w:val="000000"/>
      <w:sz w:val="24"/>
      <w:szCs w:val="24"/>
    </w:rPr>
  </w:style>
  <w:style w:type="paragraph" w:styleId="1200">
    <w:name w:val="正文文本缩进 2"/>
    <w:basedOn w:val="1156"/>
    <w:next w:val="1200"/>
    <w:link w:val="1201"/>
    <w:qFormat/>
    <w:pPr>
      <w:ind w:firstLine="480"/>
    </w:pPr>
    <w:rPr>
      <w:rFonts w:ascii="仿宋_GB2312" w:eastAsia="仿宋_GB2312"/>
      <w:sz w:val="24"/>
    </w:rPr>
  </w:style>
  <w:style w:type="character" w:styleId="1201">
    <w:name w:val="正文文本缩进 2 Char"/>
    <w:next w:val="1201"/>
    <w:link w:val="1200"/>
    <w:qFormat/>
    <w:rPr>
      <w:rFonts w:ascii="仿宋_GB2312" w:eastAsia="仿宋_GB2312"/>
      <w:sz w:val="24"/>
      <w:szCs w:val="24"/>
    </w:rPr>
  </w:style>
  <w:style w:type="paragraph" w:styleId="1202">
    <w:name w:val="批注框文本"/>
    <w:basedOn w:val="1156"/>
    <w:next w:val="1202"/>
    <w:link w:val="1203"/>
    <w:qFormat/>
    <w:rPr>
      <w:sz w:val="18"/>
      <w:szCs w:val="18"/>
    </w:rPr>
  </w:style>
  <w:style w:type="character" w:styleId="1203">
    <w:name w:val="批注框文本 Char"/>
    <w:next w:val="1203"/>
    <w:link w:val="1202"/>
    <w:qFormat/>
    <w:rPr>
      <w:sz w:val="18"/>
      <w:szCs w:val="18"/>
    </w:rPr>
  </w:style>
  <w:style w:type="paragraph" w:styleId="1204">
    <w:name w:val="页脚"/>
    <w:basedOn w:val="1156"/>
    <w:next w:val="1204"/>
    <w:link w:val="1205"/>
    <w:uiPriority w:val="99"/>
    <w:qFormat/>
    <w:pPr>
      <w:jc w:val="left"/>
      <w:tabs>
        <w:tab w:val="center" w:pos="4153" w:leader="none"/>
        <w:tab w:val="right" w:pos="8306" w:leader="none"/>
      </w:tabs>
    </w:pPr>
    <w:rPr>
      <w:rFonts w:ascii="宋体"/>
      <w:sz w:val="18"/>
      <w:szCs w:val="20"/>
    </w:rPr>
  </w:style>
  <w:style w:type="character" w:styleId="1205">
    <w:name w:val="页脚 Char1"/>
    <w:next w:val="1205"/>
    <w:link w:val="1204"/>
    <w:uiPriority w:val="99"/>
    <w:qFormat/>
    <w:rPr>
      <w:rFonts w:ascii="宋体" w:eastAsia="宋体"/>
      <w:sz w:val="18"/>
      <w:lang w:val="en-US" w:eastAsia="zh-CN" w:bidi="ar-SA"/>
    </w:rPr>
  </w:style>
  <w:style w:type="paragraph" w:styleId="1206">
    <w:name w:val="页眉"/>
    <w:basedOn w:val="1156"/>
    <w:next w:val="1206"/>
    <w:link w:val="1207"/>
    <w:qFormat/>
    <w:pPr>
      <w:jc w:val="center"/>
      <w:tabs>
        <w:tab w:val="center" w:pos="4153" w:leader="none"/>
        <w:tab w:val="right" w:pos="8306" w:leader="none"/>
      </w:tabs>
      <w:pBdr>
        <w:bottom w:val="single" w:color="000000" w:sz="6" w:space="1"/>
      </w:pBdr>
    </w:pPr>
    <w:rPr>
      <w:sz w:val="18"/>
      <w:szCs w:val="18"/>
    </w:rPr>
  </w:style>
  <w:style w:type="character" w:styleId="1207">
    <w:name w:val="页眉 Char1"/>
    <w:next w:val="1207"/>
    <w:link w:val="1206"/>
    <w:qFormat/>
    <w:rPr>
      <w:rFonts w:eastAsia="宋体"/>
      <w:sz w:val="18"/>
      <w:szCs w:val="18"/>
      <w:lang w:val="en-US" w:eastAsia="zh-CN" w:bidi="ar-SA"/>
    </w:rPr>
  </w:style>
  <w:style w:type="paragraph" w:styleId="1208">
    <w:name w:val="目录 1"/>
    <w:basedOn w:val="1156"/>
    <w:next w:val="1156"/>
    <w:link w:val="1156"/>
    <w:uiPriority w:val="39"/>
    <w:qFormat/>
    <w:pPr>
      <w:spacing w:line="300" w:lineRule="auto"/>
      <w:tabs>
        <w:tab w:val="left" w:pos="1050" w:leader="none"/>
        <w:tab w:val="right" w:pos="8937" w:leader="dot"/>
      </w:tabs>
    </w:pPr>
    <w:rPr>
      <w:rFonts w:ascii="宋体" w:hAnsi="宋体"/>
      <w:b/>
      <w:sz w:val="24"/>
    </w:rPr>
  </w:style>
  <w:style w:type="paragraph" w:styleId="1209">
    <w:name w:val="目录 4"/>
    <w:basedOn w:val="1156"/>
    <w:next w:val="1156"/>
    <w:link w:val="1156"/>
    <w:qFormat/>
    <w:pPr>
      <w:ind w:left="1260"/>
    </w:pPr>
  </w:style>
  <w:style w:type="paragraph" w:styleId="1210">
    <w:name w:val="目录 6"/>
    <w:basedOn w:val="1156"/>
    <w:next w:val="1156"/>
    <w:link w:val="1156"/>
    <w:qFormat/>
    <w:pPr>
      <w:ind w:left="2100"/>
    </w:pPr>
  </w:style>
  <w:style w:type="paragraph" w:styleId="1211">
    <w:name w:val="正文文本缩进 3"/>
    <w:basedOn w:val="1156"/>
    <w:next w:val="1211"/>
    <w:link w:val="1212"/>
    <w:qFormat/>
    <w:pPr>
      <w:ind w:left="720" w:firstLine="480"/>
      <w:jc w:val="left"/>
      <w:spacing w:before="120" w:line="22" w:lineRule="atLeast"/>
    </w:pPr>
    <w:rPr>
      <w:rFonts w:ascii="宋体"/>
      <w:sz w:val="24"/>
      <w:szCs w:val="20"/>
    </w:rPr>
  </w:style>
  <w:style w:type="character" w:styleId="1212">
    <w:name w:val="正文文本缩进 3 Char"/>
    <w:next w:val="1212"/>
    <w:link w:val="1211"/>
    <w:qFormat/>
    <w:rPr>
      <w:rFonts w:ascii="宋体"/>
      <w:sz w:val="24"/>
    </w:rPr>
  </w:style>
  <w:style w:type="paragraph" w:styleId="1213">
    <w:name w:val="目录 2"/>
    <w:basedOn w:val="1156"/>
    <w:next w:val="1156"/>
    <w:link w:val="1156"/>
    <w:uiPriority w:val="39"/>
    <w:qFormat/>
    <w:pPr>
      <w:ind w:left="420"/>
      <w:spacing w:line="312" w:lineRule="auto"/>
      <w:tabs>
        <w:tab w:val="right" w:pos="8937" w:leader="dot"/>
      </w:tabs>
    </w:pPr>
  </w:style>
  <w:style w:type="paragraph" w:styleId="1214">
    <w:name w:val="目录 9"/>
    <w:basedOn w:val="1156"/>
    <w:next w:val="1156"/>
    <w:link w:val="1156"/>
    <w:qFormat/>
    <w:pPr>
      <w:ind w:left="3360"/>
    </w:pPr>
  </w:style>
  <w:style w:type="paragraph" w:styleId="1215">
    <w:name w:val="HTML 预设格式"/>
    <w:basedOn w:val="1156"/>
    <w:next w:val="1215"/>
    <w:link w:val="12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16">
    <w:name w:val="HTML 预设格式 Char"/>
    <w:next w:val="1216"/>
    <w:link w:val="1215"/>
    <w:qFormat/>
    <w:rPr>
      <w:rFonts w:ascii="宋体" w:hAnsi="宋体" w:cs="宋体"/>
      <w:sz w:val="24"/>
      <w:szCs w:val="24"/>
    </w:rPr>
  </w:style>
  <w:style w:type="paragraph" w:styleId="1217">
    <w:name w:val="普通(网站)"/>
    <w:basedOn w:val="1156"/>
    <w:next w:val="1217"/>
    <w:link w:val="1156"/>
    <w:uiPriority w:val="99"/>
    <w:unhideWhenUsed/>
    <w:qFormat/>
    <w:pPr>
      <w:jc w:val="left"/>
      <w:spacing w:before="100" w:beforeAutospacing="1" w:after="100" w:afterAutospacing="1"/>
      <w:widowControl/>
    </w:pPr>
    <w:rPr>
      <w:rFonts w:ascii="宋体" w:hAnsi="宋体" w:cs="宋体"/>
      <w:sz w:val="24"/>
    </w:rPr>
  </w:style>
  <w:style w:type="paragraph" w:styleId="1218">
    <w:name w:val="索引 1"/>
    <w:basedOn w:val="1156"/>
    <w:next w:val="1156"/>
    <w:link w:val="1156"/>
    <w:qFormat/>
    <w:rPr>
      <w:szCs w:val="20"/>
    </w:rPr>
  </w:style>
  <w:style w:type="paragraph" w:styleId="1219">
    <w:name w:val="标题"/>
    <w:basedOn w:val="1156"/>
    <w:next w:val="1219"/>
    <w:link w:val="1220"/>
    <w:qFormat/>
    <w:pPr>
      <w:jc w:val="center"/>
      <w:outlineLvl w:val="0"/>
    </w:pPr>
    <w:rPr>
      <w:b/>
      <w:sz w:val="32"/>
      <w:szCs w:val="20"/>
    </w:rPr>
  </w:style>
  <w:style w:type="character" w:styleId="1220">
    <w:name w:val="标题 Char1"/>
    <w:next w:val="1220"/>
    <w:link w:val="1219"/>
    <w:qFormat/>
    <w:rPr>
      <w:b/>
      <w:sz w:val="32"/>
    </w:rPr>
  </w:style>
  <w:style w:type="paragraph" w:styleId="1221">
    <w:name w:val="批注主题"/>
    <w:basedOn w:val="1183"/>
    <w:next w:val="1183"/>
    <w:link w:val="1222"/>
    <w:qFormat/>
    <w:rPr>
      <w:b/>
      <w:bCs/>
    </w:rPr>
  </w:style>
  <w:style w:type="character" w:styleId="1222">
    <w:name w:val="批注主题 Char"/>
    <w:next w:val="1222"/>
    <w:link w:val="1221"/>
    <w:qFormat/>
    <w:rPr>
      <w:rFonts w:ascii="Times New Roman" w:hAnsi="Times New Roman" w:eastAsia="宋体" w:cs="Times New Roman"/>
      <w:b/>
      <w:bCs/>
      <w:sz w:val="21"/>
      <w:szCs w:val="24"/>
      <w:lang w:val="en-US" w:eastAsia="zh-CN" w:bidi="ar-SA"/>
    </w:rPr>
  </w:style>
  <w:style w:type="paragraph" w:styleId="1223">
    <w:name w:val="正文首行缩进 2"/>
    <w:basedOn w:val="1189"/>
    <w:next w:val="1156"/>
    <w:link w:val="1224"/>
    <w:qFormat/>
    <w:pPr>
      <w:ind w:left="420" w:firstLine="420"/>
      <w:spacing w:after="120" w:line="480" w:lineRule="exact"/>
    </w:pPr>
    <w:rPr>
      <w:szCs w:val="20"/>
    </w:rPr>
  </w:style>
  <w:style w:type="character" w:styleId="1224">
    <w:name w:val="正文首行缩进 2 Char"/>
    <w:next w:val="1224"/>
    <w:link w:val="1223"/>
    <w:qFormat/>
    <w:rPr>
      <w:rFonts w:eastAsia="宋体"/>
      <w:sz w:val="24"/>
      <w:szCs w:val="24"/>
      <w:lang w:val="en-US" w:eastAsia="zh-CN" w:bidi="ar-SA"/>
    </w:rPr>
  </w:style>
  <w:style w:type="table" w:styleId="1225">
    <w:name w:val="网格型"/>
    <w:basedOn w:val="1167"/>
    <w:next w:val="1225"/>
    <w:link w:val="1156"/>
    <w:uiPriority w:val="39"/>
    <w:qFormat/>
    <w:tblPr/>
  </w:style>
  <w:style w:type="table" w:styleId="1226">
    <w:name w:val="中等深浅网格 1 - 强调文字颜色 2"/>
    <w:basedOn w:val="1167"/>
    <w:next w:val="1226"/>
    <w:link w:val="1156"/>
    <w:qFormat/>
    <w:rPr>
      <w:sz w:val="21"/>
      <w:szCs w:val="24"/>
    </w:rPr>
    <w:tblPr/>
  </w:style>
  <w:style w:type="character" w:styleId="1227">
    <w:name w:val="要点"/>
    <w:next w:val="1227"/>
    <w:link w:val="1156"/>
    <w:qFormat/>
    <w:rPr>
      <w:b/>
      <w:bCs/>
    </w:rPr>
  </w:style>
  <w:style w:type="character" w:styleId="1228">
    <w:name w:val="页码"/>
    <w:next w:val="1228"/>
    <w:link w:val="1156"/>
    <w:qFormat/>
  </w:style>
  <w:style w:type="character" w:styleId="1229">
    <w:name w:val="已访问的超链接"/>
    <w:next w:val="1229"/>
    <w:link w:val="1156"/>
    <w:uiPriority w:val="99"/>
    <w:qFormat/>
    <w:rPr>
      <w:color w:val="800080"/>
      <w:u w:val="single"/>
    </w:rPr>
  </w:style>
  <w:style w:type="character" w:styleId="1230">
    <w:name w:val="强调"/>
    <w:next w:val="1230"/>
    <w:link w:val="1156"/>
    <w:qFormat/>
    <w:rPr>
      <w:color w:val="cc0033"/>
    </w:rPr>
  </w:style>
  <w:style w:type="character" w:styleId="1231">
    <w:name w:val="超链接"/>
    <w:next w:val="1231"/>
    <w:link w:val="1156"/>
    <w:uiPriority w:val="99"/>
    <w:qFormat/>
    <w:rPr>
      <w:color w:val="0000ff"/>
      <w:u w:val="single"/>
    </w:rPr>
  </w:style>
  <w:style w:type="character" w:styleId="1232">
    <w:name w:val="批注引用"/>
    <w:next w:val="1232"/>
    <w:link w:val="1156"/>
    <w:qFormat/>
    <w:rPr>
      <w:sz w:val="21"/>
      <w:szCs w:val="21"/>
    </w:rPr>
  </w:style>
  <w:style w:type="character" w:styleId="1233">
    <w:name w:val="HTML 引文"/>
    <w:next w:val="1233"/>
    <w:link w:val="1156"/>
    <w:qFormat/>
    <w:rPr>
      <w:i/>
      <w:iCs/>
    </w:rPr>
  </w:style>
  <w:style w:type="character" w:styleId="1234">
    <w:name w:val="批注文字 字符"/>
    <w:next w:val="1234"/>
    <w:link w:val="1156"/>
    <w:qFormat/>
    <w:rPr>
      <w:rFonts w:ascii="Times New Roman" w:hAnsi="Times New Roman" w:eastAsia="宋体" w:cs="Times New Roman"/>
      <w:sz w:val="24"/>
      <w:lang w:val="en-US" w:eastAsia="zh-CN" w:bidi="ar-SA"/>
    </w:rPr>
  </w:style>
  <w:style w:type="character" w:styleId="1235">
    <w:name w:val="中等深浅网格 1 - 强调文字颜色 2 Char"/>
    <w:next w:val="1235"/>
    <w:link w:val="1236"/>
    <w:qFormat/>
    <w:rPr>
      <w:sz w:val="21"/>
      <w:szCs w:val="24"/>
      <w:lang w:val="zh-CN" w:eastAsia="zh-CN" w:bidi="ar-SA"/>
    </w:rPr>
  </w:style>
  <w:style w:type="paragraph" w:styleId="1236">
    <w:name w:val="1"/>
    <w:next w:val="1236"/>
    <w:link w:val="1235"/>
    <w:qFormat/>
    <w:rPr>
      <w:sz w:val="21"/>
      <w:szCs w:val="24"/>
      <w:lang w:val="zh-CN" w:eastAsia="zh-CN" w:bidi="ar-SA"/>
    </w:rPr>
  </w:style>
  <w:style w:type="character" w:styleId="1237">
    <w:name w:val="正文文本缩进 Char1"/>
    <w:next w:val="1237"/>
    <w:link w:val="1238"/>
    <w:qFormat/>
    <w:rPr>
      <w:rFonts w:ascii="宋体" w:hAnsi="宋体" w:eastAsia="宋体"/>
      <w:sz w:val="24"/>
      <w:szCs w:val="24"/>
      <w:lang w:bidi="ar-SA"/>
    </w:rPr>
  </w:style>
  <w:style w:type="paragraph" w:styleId="1238">
    <w:name w:val="正文文本缩进1"/>
    <w:basedOn w:val="1156"/>
    <w:next w:val="1238"/>
    <w:link w:val="1237"/>
    <w:qFormat/>
    <w:pPr>
      <w:ind w:firstLine="480"/>
      <w:spacing w:line="480" w:lineRule="exact"/>
    </w:pPr>
    <w:rPr>
      <w:rFonts w:ascii="宋体" w:hAnsi="宋体"/>
      <w:sz w:val="24"/>
    </w:rPr>
  </w:style>
  <w:style w:type="character" w:styleId="1239">
    <w:name w:val="chanpin拷贝"/>
    <w:next w:val="1239"/>
    <w:link w:val="1156"/>
    <w:qFormat/>
  </w:style>
  <w:style w:type="character" w:styleId="1240">
    <w:name w:val="纯文本 字符1"/>
    <w:next w:val="1240"/>
    <w:link w:val="1156"/>
    <w:qFormat/>
    <w:rPr>
      <w:rFonts w:ascii="宋体" w:hAnsi="Courier New"/>
    </w:rPr>
  </w:style>
  <w:style w:type="character" w:styleId="1241">
    <w:name w:val="street-address"/>
    <w:next w:val="1241"/>
    <w:link w:val="1156"/>
    <w:qFormat/>
  </w:style>
  <w:style w:type="character" w:styleId="1242">
    <w:name w:val="正文格式 Char"/>
    <w:next w:val="1242"/>
    <w:link w:val="1243"/>
    <w:qFormat/>
    <w:rPr>
      <w:rFonts w:ascii="宋体" w:hAnsi="宋体"/>
      <w:sz w:val="24"/>
      <w:szCs w:val="24"/>
      <w:lang w:val="en-GB"/>
    </w:rPr>
  </w:style>
  <w:style w:type="paragraph" w:styleId="1243">
    <w:name w:val="正文格式"/>
    <w:basedOn w:val="1156"/>
    <w:next w:val="1243"/>
    <w:link w:val="1242"/>
    <w:qFormat/>
    <w:pPr>
      <w:ind w:firstLine="480"/>
      <w:spacing w:line="360" w:lineRule="auto"/>
    </w:pPr>
    <w:rPr>
      <w:rFonts w:ascii="宋体" w:hAnsi="宋体"/>
      <w:sz w:val="24"/>
      <w:lang w:val="en-GB"/>
    </w:rPr>
  </w:style>
  <w:style w:type="character" w:styleId="1244">
    <w:name w:val="成文日期 Char"/>
    <w:next w:val="1244"/>
    <w:link w:val="1245"/>
    <w:rPr>
      <w:rFonts w:ascii="仿宋_GB2312" w:eastAsia="仿宋_GB2312"/>
      <w:sz w:val="32"/>
    </w:rPr>
  </w:style>
  <w:style w:type="paragraph" w:styleId="1245">
    <w:name w:val="成文日期"/>
    <w:basedOn w:val="1156"/>
    <w:next w:val="1245"/>
    <w:link w:val="1244"/>
    <w:qFormat/>
    <w:pPr>
      <w:ind w:right="400" w:firstLine="200"/>
      <w:jc w:val="right"/>
      <w:spacing w:line="570" w:lineRule="exact"/>
    </w:pPr>
    <w:rPr>
      <w:rFonts w:ascii="仿宋_GB2312" w:eastAsia="仿宋_GB2312"/>
      <w:sz w:val="32"/>
      <w:szCs w:val="20"/>
    </w:rPr>
  </w:style>
  <w:style w:type="character" w:styleId="1246">
    <w:name w:val="正文表格 Char"/>
    <w:next w:val="1246"/>
    <w:link w:val="1247"/>
    <w:qFormat/>
    <w:rPr>
      <w:rFonts w:ascii="宋体" w:hAnsi="宋体"/>
      <w:color w:val="000000"/>
      <w:sz w:val="21"/>
      <w:szCs w:val="21"/>
    </w:rPr>
  </w:style>
  <w:style w:type="paragraph" w:styleId="1247">
    <w:name w:val="正文表格"/>
    <w:basedOn w:val="1156"/>
    <w:next w:val="1247"/>
    <w:link w:val="1246"/>
    <w:qFormat/>
    <w:pPr>
      <w:jc w:val="left"/>
    </w:pPr>
    <w:rPr>
      <w:rFonts w:ascii="宋体" w:hAnsi="宋体"/>
      <w:color w:val="000000"/>
      <w:szCs w:val="21"/>
    </w:rPr>
  </w:style>
  <w:style w:type="character" w:styleId="1248">
    <w:name w:val="正文大标题 Char"/>
    <w:next w:val="1248"/>
    <w:link w:val="1249"/>
    <w:qFormat/>
    <w:rPr>
      <w:rFonts w:ascii="宋体" w:hAnsi="宋体"/>
      <w:b/>
      <w:color w:val="000000"/>
      <w:sz w:val="28"/>
      <w:szCs w:val="21"/>
    </w:rPr>
  </w:style>
  <w:style w:type="paragraph" w:styleId="1249">
    <w:name w:val="正文大标题"/>
    <w:basedOn w:val="1250"/>
    <w:next w:val="1170"/>
    <w:link w:val="1248"/>
    <w:qFormat/>
    <w:pPr>
      <w:jc w:val="center"/>
    </w:pPr>
    <w:rPr>
      <w:i w:val="0"/>
      <w:color w:val="000000"/>
      <w:sz w:val="28"/>
      <w:szCs w:val="21"/>
    </w:rPr>
  </w:style>
  <w:style w:type="paragraph" w:styleId="1250">
    <w:name w:val="正文小标题"/>
    <w:basedOn w:val="1156"/>
    <w:next w:val="1170"/>
    <w:link w:val="1251"/>
    <w:qFormat/>
    <w:pPr>
      <w:ind w:firstLine="482"/>
      <w:jc w:val="left"/>
      <w:spacing w:before="312" w:after="312"/>
    </w:pPr>
    <w:rPr>
      <w:rFonts w:ascii="宋体" w:hAnsi="宋体"/>
      <w:b/>
      <w:i/>
      <w:color w:val="ff0000"/>
      <w:sz w:val="24"/>
      <w:szCs w:val="20"/>
    </w:rPr>
  </w:style>
  <w:style w:type="character" w:styleId="1251">
    <w:name w:val="正文小标题 Char"/>
    <w:next w:val="1251"/>
    <w:link w:val="1250"/>
    <w:qFormat/>
    <w:rPr>
      <w:rFonts w:ascii="宋体" w:hAnsi="宋体"/>
      <w:b/>
      <w:i/>
      <w:color w:val="ff0000"/>
      <w:sz w:val="24"/>
    </w:rPr>
  </w:style>
  <w:style w:type="character" w:styleId="1252">
    <w:name w:val="bjh-p"/>
    <w:next w:val="1252"/>
    <w:link w:val="1156"/>
    <w:qFormat/>
  </w:style>
  <w:style w:type="character" w:styleId="1253">
    <w:name w:val="正文缩进 Char Char"/>
    <w:next w:val="1253"/>
    <w:link w:val="1254"/>
    <w:qFormat/>
    <w:rPr>
      <w:rFonts w:ascii="宋体" w:eastAsia="宋体"/>
      <w:color w:val="000000"/>
      <w:sz w:val="28"/>
      <w:lang w:bidi="ar-SA"/>
    </w:rPr>
  </w:style>
  <w:style w:type="paragraph" w:styleId="1254">
    <w:name w:val="正文缩进1"/>
    <w:basedOn w:val="1156"/>
    <w:next w:val="1254"/>
    <w:link w:val="1253"/>
    <w:qFormat/>
    <w:pPr>
      <w:ind w:firstLine="567"/>
      <w:spacing w:line="480" w:lineRule="exact"/>
      <w:widowControl/>
    </w:pPr>
    <w:rPr>
      <w:rFonts w:ascii="宋体"/>
      <w:color w:val="000000"/>
      <w:sz w:val="28"/>
      <w:szCs w:val="20"/>
    </w:rPr>
  </w:style>
  <w:style w:type="character" w:styleId="1255">
    <w:name w:val="标题 Char"/>
    <w:next w:val="1255"/>
    <w:link w:val="1156"/>
    <w:qFormat/>
    <w:rPr>
      <w:b/>
      <w:sz w:val="32"/>
    </w:rPr>
  </w:style>
  <w:style w:type="character" w:styleId="1256">
    <w:name w:val="列出段落 Char"/>
    <w:next w:val="1256"/>
    <w:link w:val="1156"/>
    <w:qFormat/>
    <w:rPr>
      <w:rFonts w:ascii="Calibri" w:hAnsi="Calibri" w:eastAsia="宋体"/>
      <w:sz w:val="21"/>
      <w:szCs w:val="22"/>
      <w:lang w:val="en-US" w:eastAsia="zh-CN" w:bidi="ar-SA"/>
    </w:rPr>
  </w:style>
  <w:style w:type="character" w:styleId="1257">
    <w:name w:val="Char Char111"/>
    <w:next w:val="1257"/>
    <w:link w:val="1156"/>
    <w:qFormat/>
    <w:rPr>
      <w:rFonts w:ascii="宋体" w:eastAsia="宋体"/>
      <w:b/>
      <w:sz w:val="24"/>
      <w:u w:val="single"/>
      <w:lang w:val="en-US" w:eastAsia="zh-CN" w:bidi="ar-SA"/>
    </w:rPr>
  </w:style>
  <w:style w:type="character" w:styleId="1258">
    <w:name w:val="列出段落 Char1"/>
    <w:next w:val="1258"/>
    <w:link w:val="1259"/>
    <w:uiPriority w:val="34"/>
    <w:qFormat/>
    <w:rPr>
      <w:rFonts w:ascii="Calibri" w:hAnsi="Calibri" w:eastAsia="宋体"/>
      <w:sz w:val="21"/>
      <w:szCs w:val="22"/>
      <w:lang w:val="en-US" w:eastAsia="zh-CN" w:bidi="ar-SA"/>
    </w:rPr>
  </w:style>
  <w:style w:type="paragraph" w:styleId="1259">
    <w:name w:val="列出段落"/>
    <w:basedOn w:val="1156"/>
    <w:next w:val="1259"/>
    <w:link w:val="1258"/>
    <w:uiPriority w:val="34"/>
    <w:qFormat/>
    <w:pPr>
      <w:ind w:firstLine="420"/>
    </w:pPr>
    <w:rPr>
      <w:rFonts w:ascii="Calibri" w:hAnsi="Calibri"/>
      <w:szCs w:val="22"/>
    </w:rPr>
  </w:style>
  <w:style w:type="character" w:styleId="1260">
    <w:name w:val="注释 Char"/>
    <w:next w:val="1260"/>
    <w:link w:val="1261"/>
    <w:qFormat/>
    <w:rPr>
      <w:rFonts w:ascii="宋体" w:hAnsi="宋体"/>
      <w:sz w:val="21"/>
      <w:szCs w:val="21"/>
    </w:rPr>
  </w:style>
  <w:style w:type="paragraph" w:styleId="1261">
    <w:name w:val="注释"/>
    <w:basedOn w:val="1156"/>
    <w:next w:val="1261"/>
    <w:link w:val="1260"/>
    <w:qFormat/>
    <w:pPr>
      <w:ind w:left="420" w:hanging="420"/>
      <w:jc w:val="left"/>
    </w:pPr>
    <w:rPr>
      <w:rFonts w:ascii="宋体" w:hAnsi="宋体"/>
      <w:szCs w:val="21"/>
    </w:rPr>
  </w:style>
  <w:style w:type="character" w:styleId="1262">
    <w:name w:val="txt"/>
    <w:next w:val="1262"/>
    <w:link w:val="1156"/>
    <w:qFormat/>
  </w:style>
  <w:style w:type="character" w:styleId="1263">
    <w:name w:val="标题 2 Char Char"/>
    <w:next w:val="1263"/>
    <w:link w:val="1156"/>
    <w:qFormat/>
    <w:rPr>
      <w:rFonts w:ascii="Arial" w:hAnsi="Arial" w:eastAsia="黑体"/>
      <w:b/>
      <w:bCs/>
      <w:sz w:val="32"/>
      <w:szCs w:val="32"/>
      <w:lang w:val="en-US" w:eastAsia="zh-CN" w:bidi="ar-SA"/>
    </w:rPr>
  </w:style>
  <w:style w:type="character" w:styleId="1264">
    <w:name w:val="纯文本 Char1"/>
    <w:next w:val="1264"/>
    <w:link w:val="1156"/>
    <w:qFormat/>
    <w:rPr>
      <w:rFonts w:ascii="宋体" w:hAnsi="Courier New" w:eastAsia="宋体"/>
      <w:sz w:val="21"/>
      <w:lang w:val="en-US" w:eastAsia="zh-CN" w:bidi="ar-SA"/>
    </w:rPr>
  </w:style>
  <w:style w:type="character" w:styleId="1265">
    <w:name w:val="c21"/>
    <w:next w:val="1265"/>
    <w:link w:val="1156"/>
    <w:qFormat/>
    <w:rPr>
      <w:rFonts w:ascii="ˎ̥" w:hAnsi="ˎ̥"/>
      <w:color w:val="000000"/>
      <w:sz w:val="20"/>
      <w:szCs w:val="20"/>
      <w:u w:val="none"/>
    </w:rPr>
  </w:style>
  <w:style w:type="character" w:styleId="1266">
    <w:name w:val="title4"/>
    <w:next w:val="1266"/>
    <w:link w:val="1156"/>
    <w:qFormat/>
    <w:rPr>
      <w:b/>
      <w:bCs/>
      <w:color w:val="1d87b3"/>
      <w:sz w:val="15"/>
      <w:szCs w:val="15"/>
    </w:rPr>
  </w:style>
  <w:style w:type="character" w:styleId="1267">
    <w:name w:val="页脚 Char"/>
    <w:next w:val="1267"/>
    <w:link w:val="1156"/>
    <w:qFormat/>
    <w:rPr>
      <w:rFonts w:ascii="宋体" w:eastAsia="宋体"/>
      <w:sz w:val="18"/>
      <w:lang w:val="en-US" w:eastAsia="zh-CN" w:bidi="ar-SA"/>
    </w:rPr>
  </w:style>
  <w:style w:type="character" w:styleId="1268">
    <w:name w:val="locality"/>
    <w:next w:val="1268"/>
    <w:link w:val="1156"/>
    <w:qFormat/>
  </w:style>
  <w:style w:type="character" w:styleId="1269">
    <w:name w:val="black1"/>
    <w:next w:val="1269"/>
    <w:link w:val="1156"/>
    <w:qFormat/>
    <w:rPr>
      <w:color w:val="000000"/>
    </w:rPr>
  </w:style>
  <w:style w:type="character" w:styleId="1270">
    <w:name w:val="chanpin1"/>
    <w:next w:val="1270"/>
    <w:link w:val="1156"/>
    <w:qFormat/>
    <w:rPr>
      <w:rFonts w:ascii="ˎ̥" w:hAnsi="ˎ̥"/>
      <w:color w:val="000000"/>
      <w:sz w:val="20"/>
      <w:szCs w:val="20"/>
      <w:u w:val="none"/>
    </w:rPr>
  </w:style>
  <w:style w:type="character" w:styleId="1271">
    <w:name w:val="段1 Char"/>
    <w:next w:val="1271"/>
    <w:link w:val="1156"/>
    <w:qFormat/>
    <w:rPr>
      <w:rFonts w:ascii="宋体" w:eastAsia="宋体"/>
      <w:sz w:val="24"/>
      <w:lang w:val="en-US" w:eastAsia="zh-CN" w:bidi="ar-SA"/>
    </w:rPr>
  </w:style>
  <w:style w:type="character" w:styleId="1272">
    <w:name w:val="标题 3 Char"/>
    <w:next w:val="1272"/>
    <w:link w:val="1156"/>
    <w:qFormat/>
    <w:rPr>
      <w:rFonts w:ascii="宋体" w:eastAsia="宋体"/>
      <w:b/>
      <w:sz w:val="24"/>
      <w:u w:val="single"/>
      <w:lang w:val="en-US" w:eastAsia="zh-CN" w:bidi="ar-SA"/>
    </w:rPr>
  </w:style>
  <w:style w:type="character" w:styleId="1273">
    <w:name w:val="标题 2 Char"/>
    <w:next w:val="1273"/>
    <w:link w:val="1156"/>
    <w:qFormat/>
    <w:rPr>
      <w:rFonts w:ascii="Arial" w:hAnsi="Arial" w:eastAsia="黑体"/>
      <w:b/>
      <w:sz w:val="30"/>
      <w:lang w:val="en-US" w:eastAsia="zh-CN" w:bidi="ar-SA"/>
    </w:rPr>
  </w:style>
  <w:style w:type="character" w:styleId="1274">
    <w:name w:val="正文文本缩进 Char"/>
    <w:next w:val="1274"/>
    <w:link w:val="1156"/>
    <w:qFormat/>
    <w:rPr>
      <w:rFonts w:eastAsia="宋体"/>
      <w:sz w:val="24"/>
      <w:szCs w:val="24"/>
      <w:lang w:val="en-US" w:eastAsia="zh-CN" w:bidi="ar-SA"/>
    </w:rPr>
  </w:style>
  <w:style w:type="character" w:styleId="1275">
    <w:name w:val="Char Char11"/>
    <w:next w:val="1275"/>
    <w:link w:val="1156"/>
    <w:qFormat/>
    <w:rPr>
      <w:rFonts w:ascii="宋体" w:eastAsia="宋体"/>
      <w:b/>
      <w:sz w:val="24"/>
      <w:u w:val="single"/>
      <w:lang w:val="en-US" w:eastAsia="zh-CN" w:bidi="ar-SA"/>
    </w:rPr>
  </w:style>
  <w:style w:type="character" w:styleId="1276">
    <w:name w:val="页眉 Char"/>
    <w:next w:val="1276"/>
    <w:link w:val="1156"/>
    <w:qFormat/>
    <w:rPr>
      <w:rFonts w:eastAsia="宋体"/>
      <w:sz w:val="18"/>
      <w:szCs w:val="18"/>
      <w:lang w:val="en-US" w:eastAsia="zh-CN" w:bidi="ar-SA"/>
    </w:rPr>
  </w:style>
  <w:style w:type="character" w:styleId="1277">
    <w:name w:val="纯文本 字符"/>
    <w:next w:val="1277"/>
    <w:link w:val="1156"/>
    <w:uiPriority w:val="99"/>
    <w:qFormat/>
    <w:rPr>
      <w:rFonts w:ascii="宋体" w:hAnsi="Courier New" w:eastAsia="宋体" w:cs="Times New Roman"/>
      <w:sz w:val="21"/>
      <w:szCs w:val="21"/>
      <w:lang w:val="en-US" w:eastAsia="zh-CN" w:bidi="ar-SA"/>
    </w:rPr>
  </w:style>
  <w:style w:type="character" w:styleId="1278">
    <w:name w:val="正文重点 Char"/>
    <w:next w:val="1278"/>
    <w:link w:val="1279"/>
    <w:qFormat/>
    <w:rPr>
      <w:b/>
      <w:sz w:val="24"/>
    </w:rPr>
  </w:style>
  <w:style w:type="paragraph" w:styleId="1279">
    <w:name w:val="正文重点"/>
    <w:basedOn w:val="1156"/>
    <w:next w:val="1279"/>
    <w:link w:val="1278"/>
    <w:qFormat/>
    <w:pPr>
      <w:ind w:firstLine="482"/>
      <w:jc w:val="left"/>
      <w:spacing w:line="360" w:lineRule="auto"/>
    </w:pPr>
    <w:rPr>
      <w:b/>
      <w:sz w:val="24"/>
      <w:szCs w:val="20"/>
    </w:rPr>
  </w:style>
  <w:style w:type="character" w:styleId="1280">
    <w:name w:val="正文缩进 Char"/>
    <w:next w:val="1280"/>
    <w:link w:val="1156"/>
    <w:qFormat/>
    <w:rPr>
      <w:rFonts w:ascii="宋体" w:eastAsia="宋体"/>
      <w:sz w:val="24"/>
      <w:szCs w:val="24"/>
      <w:lang w:val="en-US" w:eastAsia="zh-CN" w:bidi="ar-SA"/>
    </w:rPr>
  </w:style>
  <w:style w:type="character" w:styleId="1281">
    <w:name w:val="普通文字1 Char1"/>
    <w:next w:val="1281"/>
    <w:link w:val="1156"/>
    <w:qFormat/>
    <w:rPr>
      <w:rFonts w:ascii="宋体" w:hAnsi="Courier New" w:eastAsia="宋体"/>
      <w:sz w:val="21"/>
      <w:lang w:val="en-US" w:eastAsia="zh-CN" w:bidi="ar-SA"/>
    </w:rPr>
  </w:style>
  <w:style w:type="character" w:styleId="1282">
    <w:name w:val="批注文字 Char"/>
    <w:next w:val="1282"/>
    <w:link w:val="1156"/>
    <w:uiPriority w:val="99"/>
    <w:qFormat/>
    <w:rPr>
      <w:sz w:val="21"/>
      <w:szCs w:val="24"/>
    </w:rPr>
  </w:style>
  <w:style w:type="character" w:styleId="1283">
    <w:name w:val="apple-style-span"/>
    <w:next w:val="1283"/>
    <w:link w:val="1156"/>
    <w:qFormat/>
    <w:rPr>
      <w:rFonts w:cs="Times New Roman"/>
    </w:rPr>
  </w:style>
  <w:style w:type="character" w:styleId="1284">
    <w:name w:val="标题 3 Char Char"/>
    <w:next w:val="1284"/>
    <w:link w:val="1156"/>
    <w:qFormat/>
    <w:rPr>
      <w:rFonts w:eastAsia="宋体"/>
      <w:b/>
      <w:bCs/>
      <w:sz w:val="32"/>
      <w:szCs w:val="32"/>
      <w:lang w:val="en-US" w:eastAsia="zh-CN" w:bidi="ar-SA"/>
    </w:rPr>
  </w:style>
  <w:style w:type="paragraph" w:styleId="1285">
    <w:name w:val="无间隔"/>
    <w:next w:val="1285"/>
    <w:link w:val="1156"/>
    <w:qFormat/>
    <w:pPr>
      <w:jc w:val="both"/>
      <w:widowControl w:val="off"/>
    </w:pPr>
    <w:rPr>
      <w:sz w:val="21"/>
      <w:szCs w:val="24"/>
      <w:lang w:val="en-US" w:eastAsia="zh-CN" w:bidi="ar-SA"/>
    </w:rPr>
  </w:style>
  <w:style w:type="paragraph" w:styleId="1286">
    <w:name w:val="xl38"/>
    <w:basedOn w:val="1156"/>
    <w:next w:val="1286"/>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7">
    <w:name w:val="Char"/>
    <w:basedOn w:val="1156"/>
    <w:next w:val="1287"/>
    <w:link w:val="1156"/>
    <w:qFormat/>
    <w:pPr>
      <w:tabs>
        <w:tab w:val="left" w:pos="360" w:leader="none"/>
      </w:tabs>
    </w:pPr>
    <w:rPr>
      <w:sz w:val="24"/>
    </w:rPr>
  </w:style>
  <w:style w:type="paragraph" w:styleId="1288">
    <w:name w:val="xl25"/>
    <w:basedOn w:val="1156"/>
    <w:next w:val="1288"/>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xl45"/>
    <w:basedOn w:val="1156"/>
    <w:next w:val="1289"/>
    <w:link w:val="115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0">
    <w:name w:val="列出段落1"/>
    <w:basedOn w:val="1156"/>
    <w:next w:val="1290"/>
    <w:link w:val="1156"/>
    <w:qFormat/>
    <w:pPr>
      <w:ind w:firstLine="420"/>
    </w:pPr>
    <w:rPr>
      <w:rFonts w:ascii="Calibri" w:hAnsi="Calibri"/>
      <w:szCs w:val="22"/>
    </w:rPr>
  </w:style>
  <w:style w:type="paragraph" w:styleId="1291">
    <w:name w:val="Char Char Char Char Char Char Char Char Char Char"/>
    <w:basedOn w:val="1156"/>
    <w:next w:val="1291"/>
    <w:link w:val="1156"/>
    <w:qFormat/>
  </w:style>
  <w:style w:type="paragraph" w:styleId="1292">
    <w:name w:val="xl40"/>
    <w:basedOn w:val="1156"/>
    <w:next w:val="1292"/>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3">
    <w:name w:val="Char3 Char Char Char1"/>
    <w:basedOn w:val="1156"/>
    <w:next w:val="1293"/>
    <w:link w:val="1156"/>
    <w:qFormat/>
    <w:rPr>
      <w:rFonts w:ascii="Tahoma" w:hAnsi="Tahoma"/>
      <w:sz w:val="24"/>
      <w:szCs w:val="20"/>
    </w:rPr>
  </w:style>
  <w:style w:type="paragraph" w:styleId="1294">
    <w:name w:val="正文列项_数字"/>
    <w:basedOn w:val="1156"/>
    <w:next w:val="1294"/>
    <w:link w:val="1156"/>
    <w:qFormat/>
    <w:pPr>
      <w:numPr>
        <w:ilvl w:val="7"/>
        <w:numId w:val="1"/>
      </w:numPr>
      <w:ind w:left="680" w:hanging="150"/>
      <w:spacing w:line="460" w:lineRule="exact"/>
      <w:tabs>
        <w:tab w:val="clear" w:pos="860" w:leader="none"/>
      </w:tabs>
      <w:outlineLvl w:val="7"/>
    </w:pPr>
    <w:rPr>
      <w:rFonts w:ascii="宋体"/>
      <w:sz w:val="28"/>
      <w:szCs w:val="20"/>
    </w:rPr>
  </w:style>
  <w:style w:type="paragraph" w:styleId="1295">
    <w:name w:val="Char1 Char Char Char1"/>
    <w:basedOn w:val="1156"/>
    <w:next w:val="1295"/>
    <w:link w:val="1156"/>
    <w:qFormat/>
    <w:rPr>
      <w:rFonts w:ascii="Tahoma" w:hAnsi="Tahoma" w:cs="仿宋_GB2312"/>
      <w:sz w:val="24"/>
      <w:szCs w:val="28"/>
    </w:rPr>
  </w:style>
  <w:style w:type="paragraph" w:styleId="1296">
    <w:name w:val="正文缩进2"/>
    <w:basedOn w:val="1156"/>
    <w:next w:val="1296"/>
    <w:link w:val="1156"/>
    <w:qFormat/>
    <w:pPr>
      <w:ind w:firstLine="567"/>
      <w:spacing w:line="480" w:lineRule="exact"/>
      <w:widowControl/>
    </w:pPr>
    <w:rPr>
      <w:rFonts w:ascii="宋体"/>
      <w:color w:val="000000"/>
      <w:sz w:val="28"/>
      <w:szCs w:val="20"/>
      <w:lang w:val="zh-CN" w:eastAsia="zh-CN"/>
    </w:rPr>
  </w:style>
  <w:style w:type="paragraph" w:styleId="1297">
    <w:name w:val="xl33"/>
    <w:basedOn w:val="1156"/>
    <w:next w:val="1297"/>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8">
    <w:name w:val="项目符号1"/>
    <w:basedOn w:val="1299"/>
    <w:next w:val="1298"/>
    <w:link w:val="1156"/>
    <w:qFormat/>
    <w:pPr>
      <w:ind w:left="-25" w:firstLine="0"/>
    </w:pPr>
  </w:style>
  <w:style w:type="paragraph" w:styleId="1299">
    <w:name w:val="正文文本样式"/>
    <w:basedOn w:val="1156"/>
    <w:next w:val="1299"/>
    <w:link w:val="1156"/>
    <w:qFormat/>
    <w:pPr>
      <w:ind w:firstLine="482"/>
      <w:spacing w:line="360" w:lineRule="auto"/>
    </w:pPr>
    <w:rPr>
      <w:rFonts w:cs="宋体"/>
      <w:sz w:val="24"/>
      <w:szCs w:val="20"/>
    </w:rPr>
  </w:style>
  <w:style w:type="paragraph" w:styleId="1300">
    <w:name w:val="章标题"/>
    <w:next w:val="1156"/>
    <w:link w:val="115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01">
    <w:name w:val="xl46"/>
    <w:basedOn w:val="1156"/>
    <w:next w:val="1301"/>
    <w:link w:val="115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2">
    <w:name w:val="默认段落字体 Para Char Char Char Char"/>
    <w:basedOn w:val="1156"/>
    <w:next w:val="1302"/>
    <w:link w:val="1156"/>
    <w:qFormat/>
    <w:rPr>
      <w:rFonts w:ascii="Arial" w:hAnsi="Arial" w:cs="Arial"/>
      <w:szCs w:val="21"/>
    </w:rPr>
  </w:style>
  <w:style w:type="paragraph" w:styleId="1303">
    <w:name w:val="图中文字"/>
    <w:basedOn w:val="1156"/>
    <w:next w:val="1303"/>
    <w:link w:val="1156"/>
    <w:qFormat/>
    <w:pPr>
      <w:jc w:val="center"/>
      <w:spacing w:line="0" w:lineRule="atLeast"/>
    </w:pPr>
    <w:rPr>
      <w:sz w:val="24"/>
      <w:szCs w:val="20"/>
    </w:rPr>
  </w:style>
  <w:style w:type="paragraph" w:styleId="1304">
    <w:name w:val="Char Char Char Char Char Char Char Char Char Char2"/>
    <w:basedOn w:val="1156"/>
    <w:next w:val="1304"/>
    <w:link w:val="1156"/>
    <w:qFormat/>
    <w:rPr>
      <w:rFonts w:ascii="宋体" w:hAnsi="宋体" w:cs="Courier New"/>
      <w:sz w:val="32"/>
      <w:szCs w:val="32"/>
    </w:rPr>
  </w:style>
  <w:style w:type="paragraph" w:styleId="1305">
    <w:name w:val="三级条标题"/>
    <w:basedOn w:val="1306"/>
    <w:next w:val="1156"/>
    <w:link w:val="1156"/>
    <w:qFormat/>
    <w:pPr>
      <w:numPr>
        <w:ilvl w:val="3"/>
        <w:numId w:val="1"/>
      </w:numPr>
      <w:ind w:left="0" w:hanging="840"/>
      <w:tabs>
        <w:tab w:val="left" w:pos="360" w:leader="none"/>
        <w:tab w:val="left" w:pos="840" w:leader="none"/>
      </w:tabs>
      <w:outlineLvl w:val="3"/>
    </w:pPr>
  </w:style>
  <w:style w:type="paragraph" w:styleId="1306">
    <w:name w:val="二级条标题"/>
    <w:basedOn w:val="1307"/>
    <w:next w:val="1156"/>
    <w:link w:val="1156"/>
    <w:qFormat/>
    <w:pPr>
      <w:numPr>
        <w:ilvl w:val="0"/>
        <w:numId w:val="0"/>
      </w:numPr>
      <w:ind w:hanging="840"/>
      <w:tabs>
        <w:tab w:val="left" w:pos="360" w:leader="none"/>
        <w:tab w:val="left" w:pos="840" w:leader="none"/>
      </w:tabs>
      <w:outlineLvl w:val="2"/>
    </w:pPr>
    <w:rPr>
      <w:rFonts w:ascii="宋体" w:eastAsia="宋体"/>
      <w:b w:val="0"/>
    </w:rPr>
  </w:style>
  <w:style w:type="paragraph" w:styleId="1307">
    <w:name w:val="一级条标题"/>
    <w:basedOn w:val="1300"/>
    <w:next w:val="1156"/>
    <w:link w:val="1156"/>
    <w:qFormat/>
    <w:pPr>
      <w:numPr>
        <w:ilvl w:val="1"/>
      </w:numPr>
      <w:ind w:left="0" w:hanging="840"/>
      <w:tabs>
        <w:tab w:val="left" w:pos="360" w:leader="none"/>
        <w:tab w:val="left" w:pos="840" w:leader="none"/>
      </w:tabs>
      <w:outlineLvl w:val="1"/>
    </w:pPr>
  </w:style>
  <w:style w:type="paragraph" w:styleId="1308">
    <w:name w:val="Char Char41"/>
    <w:basedOn w:val="1156"/>
    <w:next w:val="1308"/>
    <w:link w:val="1156"/>
    <w:qFormat/>
    <w:pPr>
      <w:jc w:val="center"/>
      <w:spacing w:line="400" w:lineRule="exact"/>
      <w:widowControl/>
    </w:pPr>
  </w:style>
  <w:style w:type="paragraph" w:styleId="1309">
    <w:name w:val="正文 A"/>
    <w:next w:val="1309"/>
    <w:link w:val="1156"/>
    <w:qFormat/>
    <w:pPr>
      <w:jc w:val="both"/>
      <w:widowControl w:val="off"/>
    </w:pPr>
    <w:rPr>
      <w:rFonts w:eastAsia="Times New Roman"/>
      <w:color w:val="000000"/>
      <w:sz w:val="21"/>
      <w:szCs w:val="21"/>
      <w:lang w:val="en-US" w:eastAsia="zh-CN" w:bidi="ar-SA"/>
    </w:rPr>
  </w:style>
  <w:style w:type="paragraph" w:styleId="1310">
    <w:name w:val="Char Char Char Char Char Char Char2"/>
    <w:basedOn w:val="1156"/>
    <w:next w:val="1310"/>
    <w:link w:val="1156"/>
    <w:qFormat/>
    <w:pPr>
      <w:ind w:firstLine="200"/>
      <w:spacing w:line="360" w:lineRule="auto"/>
    </w:pPr>
    <w:rPr>
      <w:rFonts w:eastAsia="仿宋_GB2312"/>
      <w:sz w:val="24"/>
    </w:rPr>
  </w:style>
  <w:style w:type="paragraph" w:styleId="1311">
    <w:name w:val="xl35"/>
    <w:basedOn w:val="1156"/>
    <w:next w:val="1311"/>
    <w:link w:val="115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2">
    <w:name w:val="Char Char Char2"/>
    <w:basedOn w:val="1156"/>
    <w:next w:val="1312"/>
    <w:link w:val="1156"/>
    <w:qFormat/>
    <w:rPr>
      <w:rFonts w:ascii="Tahoma" w:hAnsi="Tahoma"/>
      <w:sz w:val="24"/>
      <w:szCs w:val="20"/>
    </w:rPr>
  </w:style>
  <w:style w:type="paragraph" w:styleId="1313">
    <w:name w:val="Char2 Char Char Char Char Char Char1"/>
    <w:basedOn w:val="1156"/>
    <w:next w:val="1313"/>
    <w:link w:val="1156"/>
    <w:qFormat/>
    <w:pPr>
      <w:jc w:val="center"/>
      <w:spacing w:line="400" w:lineRule="exact"/>
      <w:widowControl/>
    </w:pPr>
  </w:style>
  <w:style w:type="paragraph" w:styleId="1314">
    <w:name w:val="缺省文本"/>
    <w:basedOn w:val="1156"/>
    <w:next w:val="1314"/>
    <w:link w:val="1156"/>
    <w:qFormat/>
    <w:pPr>
      <w:jc w:val="left"/>
    </w:pPr>
    <w:rPr>
      <w:sz w:val="24"/>
    </w:rPr>
  </w:style>
  <w:style w:type="paragraph" w:styleId="1315">
    <w:name w:val="Char1"/>
    <w:basedOn w:val="1156"/>
    <w:next w:val="1315"/>
    <w:link w:val="1156"/>
    <w:qFormat/>
    <w:pPr>
      <w:tabs>
        <w:tab w:val="left" w:pos="360" w:leader="none"/>
      </w:tabs>
    </w:pPr>
    <w:rPr>
      <w:sz w:val="24"/>
    </w:rPr>
  </w:style>
  <w:style w:type="paragraph" w:styleId="1316">
    <w:name w:val="Char Char Char Char Char Char Char"/>
    <w:basedOn w:val="1156"/>
    <w:next w:val="1316"/>
    <w:link w:val="1156"/>
    <w:qFormat/>
    <w:pPr>
      <w:ind w:firstLine="200"/>
      <w:spacing w:line="360" w:lineRule="auto"/>
    </w:pPr>
    <w:rPr>
      <w:rFonts w:eastAsia="仿宋_GB2312"/>
      <w:sz w:val="24"/>
    </w:rPr>
  </w:style>
  <w:style w:type="paragraph" w:styleId="1317">
    <w:name w:val="字元 字元2"/>
    <w:basedOn w:val="1156"/>
    <w:next w:val="1317"/>
    <w:link w:val="1156"/>
    <w:qFormat/>
    <w:rPr>
      <w:rFonts w:ascii="Tahoma" w:hAnsi="Tahoma"/>
      <w:sz w:val="24"/>
      <w:szCs w:val="20"/>
    </w:rPr>
  </w:style>
  <w:style w:type="paragraph" w:styleId="1318">
    <w:name w:val="Char Char Char Char Char Char Char1"/>
    <w:basedOn w:val="1156"/>
    <w:next w:val="1318"/>
    <w:link w:val="1156"/>
    <w:qFormat/>
    <w:pPr>
      <w:ind w:firstLine="200"/>
      <w:spacing w:line="360" w:lineRule="auto"/>
    </w:pPr>
    <w:rPr>
      <w:rFonts w:eastAsia="仿宋_GB2312"/>
      <w:sz w:val="24"/>
    </w:rPr>
  </w:style>
  <w:style w:type="paragraph" w:styleId="1319">
    <w:name w:val="xl41"/>
    <w:basedOn w:val="1156"/>
    <w:next w:val="1319"/>
    <w:link w:val="11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0">
    <w:name w:val="Char2"/>
    <w:basedOn w:val="1156"/>
    <w:next w:val="1320"/>
    <w:link w:val="1156"/>
    <w:qFormat/>
    <w:rPr>
      <w:rFonts w:ascii="Tahoma" w:hAnsi="Tahoma"/>
      <w:sz w:val="24"/>
      <w:szCs w:val="20"/>
    </w:rPr>
  </w:style>
  <w:style w:type="paragraph" w:styleId="1321">
    <w:name w:val="xl52"/>
    <w:basedOn w:val="1156"/>
    <w:next w:val="1321"/>
    <w:link w:val="11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2">
    <w:name w:val="字元 字元"/>
    <w:basedOn w:val="1156"/>
    <w:next w:val="1322"/>
    <w:link w:val="1156"/>
    <w:qFormat/>
    <w:rPr>
      <w:rFonts w:ascii="Tahoma" w:hAnsi="Tahoma"/>
      <w:sz w:val="24"/>
      <w:szCs w:val="20"/>
    </w:rPr>
  </w:style>
  <w:style w:type="paragraph" w:styleId="1323">
    <w:name w:val="Revision"/>
    <w:next w:val="1323"/>
    <w:link w:val="1156"/>
    <w:qFormat/>
    <w:rPr>
      <w:sz w:val="21"/>
      <w:szCs w:val="24"/>
      <w:lang w:val="en-US" w:eastAsia="zh-CN" w:bidi="ar-SA"/>
    </w:rPr>
  </w:style>
  <w:style w:type="paragraph" w:styleId="1324">
    <w:name w:val="font8"/>
    <w:basedOn w:val="1156"/>
    <w:next w:val="1324"/>
    <w:link w:val="1156"/>
    <w:qFormat/>
    <w:pPr>
      <w:jc w:val="left"/>
      <w:spacing w:before="100" w:beforeAutospacing="1" w:after="100" w:afterAutospacing="1"/>
      <w:widowControl/>
    </w:pPr>
    <w:rPr>
      <w:sz w:val="36"/>
      <w:szCs w:val="36"/>
    </w:rPr>
  </w:style>
  <w:style w:type="paragraph" w:styleId="1325">
    <w:name w:val="font5"/>
    <w:basedOn w:val="1156"/>
    <w:next w:val="1325"/>
    <w:link w:val="1156"/>
    <w:qFormat/>
    <w:pPr>
      <w:jc w:val="left"/>
      <w:spacing w:before="100" w:beforeAutospacing="1" w:after="100" w:afterAutospacing="1"/>
      <w:widowControl/>
    </w:pPr>
    <w:rPr>
      <w:rFonts w:ascii="宋体" w:hAnsi="宋体" w:cs="宋体"/>
      <w:sz w:val="18"/>
      <w:szCs w:val="18"/>
    </w:rPr>
  </w:style>
  <w:style w:type="paragraph" w:styleId="1326">
    <w:name w:val="xl49"/>
    <w:basedOn w:val="1156"/>
    <w:next w:val="1326"/>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7">
    <w:name w:val="Char Char4"/>
    <w:basedOn w:val="1156"/>
    <w:next w:val="1327"/>
    <w:link w:val="1156"/>
    <w:qFormat/>
    <w:pPr>
      <w:jc w:val="center"/>
      <w:spacing w:line="400" w:lineRule="exact"/>
      <w:widowControl/>
    </w:pPr>
  </w:style>
  <w:style w:type="paragraph" w:styleId="1328">
    <w:name w:val="xl28"/>
    <w:basedOn w:val="1156"/>
    <w:next w:val="1328"/>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9">
    <w:name w:val="xl53"/>
    <w:basedOn w:val="1156"/>
    <w:next w:val="1329"/>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name w:val="xl47"/>
    <w:basedOn w:val="1156"/>
    <w:next w:val="1330"/>
    <w:link w:val="11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name w:val="xl31"/>
    <w:basedOn w:val="1156"/>
    <w:next w:val="1331"/>
    <w:link w:val="11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2">
    <w:name w:val="Char Char Char1 Char1"/>
    <w:basedOn w:val="1156"/>
    <w:next w:val="1332"/>
    <w:link w:val="1156"/>
    <w:qFormat/>
    <w:rPr>
      <w:rFonts w:ascii="Tahoma" w:hAnsi="Tahoma"/>
      <w:sz w:val="24"/>
      <w:szCs w:val="20"/>
    </w:rPr>
  </w:style>
  <w:style w:type="paragraph" w:styleId="1333">
    <w:name w:val="Char Char Char1"/>
    <w:basedOn w:val="1156"/>
    <w:next w:val="1333"/>
    <w:link w:val="1156"/>
    <w:qFormat/>
    <w:rPr>
      <w:rFonts w:ascii="Tahoma" w:hAnsi="Tahoma"/>
      <w:sz w:val="24"/>
      <w:szCs w:val="20"/>
    </w:rPr>
  </w:style>
  <w:style w:type="paragraph" w:styleId="1334">
    <w:name w:val="xl42"/>
    <w:basedOn w:val="1156"/>
    <w:next w:val="1334"/>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5">
    <w:name w:val="无标题条"/>
    <w:next w:val="1156"/>
    <w:link w:val="1156"/>
    <w:qFormat/>
    <w:pPr>
      <w:jc w:val="both"/>
    </w:pPr>
    <w:rPr>
      <w:sz w:val="21"/>
      <w:lang w:val="en-US" w:eastAsia="zh-CN" w:bidi="ar-SA"/>
    </w:rPr>
  </w:style>
  <w:style w:type="paragraph" w:styleId="1336">
    <w:name w:val="Char Char1 Char Char Char Char Char Char Char Char"/>
    <w:basedOn w:val="1156"/>
    <w:next w:val="1336"/>
    <w:link w:val="1156"/>
    <w:qFormat/>
    <w:pPr>
      <w:jc w:val="left"/>
      <w:spacing w:after="160" w:line="240" w:lineRule="exact"/>
      <w:widowControl/>
    </w:pPr>
    <w:rPr>
      <w:rFonts w:ascii="Verdana" w:hAnsi="Verdana"/>
      <w:sz w:val="20"/>
      <w:szCs w:val="20"/>
      <w:lang w:eastAsia="en-US"/>
    </w:rPr>
  </w:style>
  <w:style w:type="paragraph" w:styleId="1337">
    <w:name w:val="项目编号3"/>
    <w:basedOn w:val="1299"/>
    <w:next w:val="1337"/>
    <w:link w:val="1156"/>
    <w:qFormat/>
    <w:pPr>
      <w:numPr>
        <w:ilvl w:val="0"/>
        <w:numId w:val="2"/>
      </w:numPr>
    </w:pPr>
  </w:style>
  <w:style w:type="paragraph" w:styleId="1338">
    <w:name w:val="字元 字元1"/>
    <w:basedOn w:val="1156"/>
    <w:next w:val="1338"/>
    <w:link w:val="1156"/>
    <w:qFormat/>
    <w:rPr>
      <w:rFonts w:ascii="Tahoma" w:hAnsi="Tahoma"/>
      <w:sz w:val="24"/>
      <w:szCs w:val="20"/>
    </w:rPr>
  </w:style>
  <w:style w:type="paragraph" w:styleId="1339">
    <w:name w:val="xl23"/>
    <w:basedOn w:val="1156"/>
    <w:next w:val="1339"/>
    <w:link w:val="1156"/>
    <w:qFormat/>
    <w:pPr>
      <w:spacing w:before="100" w:beforeAutospacing="1" w:after="100" w:afterAutospacing="1" w:line="360" w:lineRule="auto"/>
      <w:widowControl/>
    </w:pPr>
    <w:rPr>
      <w:sz w:val="24"/>
      <w:szCs w:val="20"/>
    </w:rPr>
  </w:style>
  <w:style w:type="paragraph" w:styleId="1340">
    <w:name w:val="xl34"/>
    <w:basedOn w:val="1156"/>
    <w:next w:val="1340"/>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1">
    <w:name w:val="Char Char Char Char Char Char Char Char Char Char1"/>
    <w:basedOn w:val="1156"/>
    <w:next w:val="1341"/>
    <w:link w:val="1156"/>
    <w:qFormat/>
    <w:rPr>
      <w:rFonts w:ascii="宋体" w:hAnsi="宋体" w:cs="Courier New"/>
      <w:sz w:val="32"/>
      <w:szCs w:val="32"/>
    </w:rPr>
  </w:style>
  <w:style w:type="paragraph" w:styleId="1342">
    <w:name w:val="Char2 Char Char Char Char Char Char"/>
    <w:basedOn w:val="1156"/>
    <w:next w:val="1342"/>
    <w:link w:val="1156"/>
    <w:qFormat/>
    <w:pPr>
      <w:jc w:val="center"/>
      <w:spacing w:line="400" w:lineRule="exact"/>
      <w:widowControl/>
    </w:pPr>
  </w:style>
  <w:style w:type="paragraph" w:styleId="1343">
    <w:name w:val="五级条标题"/>
    <w:basedOn w:val="1344"/>
    <w:next w:val="1156"/>
    <w:link w:val="1156"/>
    <w:qFormat/>
    <w:pPr>
      <w:numPr>
        <w:ilvl w:val="5"/>
      </w:numPr>
      <w:ind w:left="0" w:hanging="840"/>
      <w:tabs>
        <w:tab w:val="left" w:pos="360" w:leader="none"/>
        <w:tab w:val="left" w:pos="840" w:leader="none"/>
      </w:tabs>
      <w:outlineLvl w:val="5"/>
    </w:pPr>
  </w:style>
  <w:style w:type="paragraph" w:styleId="1344">
    <w:name w:val="四级条标题"/>
    <w:basedOn w:val="1305"/>
    <w:next w:val="1156"/>
    <w:link w:val="1156"/>
    <w:qFormat/>
    <w:pPr>
      <w:numPr>
        <w:ilvl w:val="4"/>
      </w:numPr>
      <w:ind w:left="0" w:hanging="840"/>
      <w:tabs>
        <w:tab w:val="left" w:pos="360" w:leader="none"/>
        <w:tab w:val="left" w:pos="840" w:leader="none"/>
      </w:tabs>
      <w:outlineLvl w:val="4"/>
    </w:pPr>
  </w:style>
  <w:style w:type="paragraph" w:styleId="1345">
    <w:name w:val="xl50"/>
    <w:basedOn w:val="1156"/>
    <w:next w:val="1345"/>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46">
    <w:name w:val="Char Char Char1 Char2"/>
    <w:basedOn w:val="1156"/>
    <w:next w:val="1346"/>
    <w:link w:val="1156"/>
    <w:qFormat/>
    <w:rPr>
      <w:rFonts w:ascii="Tahoma" w:hAnsi="Tahoma"/>
      <w:sz w:val="24"/>
      <w:szCs w:val="20"/>
    </w:rPr>
  </w:style>
  <w:style w:type="paragraph" w:styleId="1347">
    <w:name w:val="xl29"/>
    <w:basedOn w:val="1156"/>
    <w:next w:val="1347"/>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8">
    <w:name w:val="正文须知-2级"/>
    <w:basedOn w:val="1156"/>
    <w:next w:val="1348"/>
    <w:link w:val="1156"/>
    <w:qFormat/>
    <w:pPr>
      <w:numPr>
        <w:ilvl w:val="1"/>
        <w:numId w:val="3"/>
      </w:numPr>
      <w:spacing w:line="300" w:lineRule="auto"/>
    </w:pPr>
    <w:rPr>
      <w:rFonts w:ascii="宋体" w:hAnsi="Calibri"/>
      <w:sz w:val="24"/>
      <w:szCs w:val="21"/>
    </w:rPr>
  </w:style>
  <w:style w:type="paragraph" w:styleId="1349">
    <w:name w:val="Table Paragraph"/>
    <w:basedOn w:val="1156"/>
    <w:next w:val="1349"/>
    <w:link w:val="1156"/>
    <w:uiPriority w:val="1"/>
    <w:qFormat/>
    <w:pPr>
      <w:jc w:val="left"/>
    </w:pPr>
    <w:rPr>
      <w:rFonts w:ascii="宋体" w:hAnsi="宋体" w:cs="宋体"/>
      <w:sz w:val="22"/>
      <w:szCs w:val="22"/>
      <w:lang w:eastAsia="en-US"/>
    </w:rPr>
  </w:style>
  <w:style w:type="paragraph" w:styleId="1350">
    <w:name w:val="xl24"/>
    <w:basedOn w:val="1156"/>
    <w:next w:val="1350"/>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1">
    <w:name w:val="Default"/>
    <w:next w:val="1351"/>
    <w:link w:val="1156"/>
    <w:qFormat/>
    <w:pPr>
      <w:widowControl w:val="off"/>
    </w:pPr>
    <w:rPr>
      <w:rFonts w:ascii="Symbol" w:hAnsi="Symbol" w:cs="Symbol"/>
      <w:color w:val="000000"/>
      <w:sz w:val="24"/>
      <w:szCs w:val="24"/>
      <w:lang w:val="en-US" w:eastAsia="zh-CN" w:bidi="ar-SA"/>
    </w:rPr>
  </w:style>
  <w:style w:type="paragraph" w:styleId="1352">
    <w:name w:val="22222222222222"/>
    <w:basedOn w:val="1156"/>
    <w:next w:val="1352"/>
    <w:link w:val="1156"/>
    <w:qFormat/>
    <w:pPr>
      <w:ind w:firstLine="480"/>
      <w:jc w:val="left"/>
      <w:spacing w:line="360" w:lineRule="auto"/>
      <w:widowControl/>
    </w:pPr>
    <w:rPr>
      <w:color w:val="ff0000"/>
      <w:sz w:val="24"/>
      <w:szCs w:val="20"/>
    </w:rPr>
  </w:style>
  <w:style w:type="paragraph" w:styleId="1353">
    <w:name w:val="项目编号1"/>
    <w:basedOn w:val="1156"/>
    <w:next w:val="1353"/>
    <w:link w:val="1156"/>
    <w:qFormat/>
    <w:pPr>
      <w:numPr>
        <w:ilvl w:val="0"/>
        <w:numId w:val="4"/>
      </w:numPr>
      <w:spacing w:before="100" w:beforeAutospacing="1" w:after="100" w:afterAutospacing="1" w:line="360" w:lineRule="auto"/>
    </w:pPr>
    <w:rPr>
      <w:sz w:val="24"/>
    </w:rPr>
  </w:style>
  <w:style w:type="paragraph" w:styleId="1354">
    <w:name w:val="正文 + 楷体_GB2312"/>
    <w:basedOn w:val="1156"/>
    <w:next w:val="1354"/>
    <w:link w:val="1156"/>
    <w:qFormat/>
    <w:pPr>
      <w:jc w:val="left"/>
      <w:widowControl/>
    </w:pPr>
    <w:rPr>
      <w:rFonts w:ascii="楷体_GB2312" w:eastAsia="楷体_GB2312" w:cs="Arial"/>
      <w:sz w:val="24"/>
    </w:rPr>
  </w:style>
  <w:style w:type="paragraph" w:styleId="1355">
    <w:name w:val="正文须知-1级"/>
    <w:basedOn w:val="1156"/>
    <w:next w:val="1156"/>
    <w:link w:val="1156"/>
    <w:qFormat/>
    <w:pPr>
      <w:numPr>
        <w:ilvl w:val="0"/>
        <w:numId w:val="3"/>
      </w:numPr>
      <w:spacing w:line="300" w:lineRule="auto"/>
    </w:pPr>
    <w:rPr>
      <w:rFonts w:ascii="宋体" w:hAnsi="Calibri"/>
      <w:sz w:val="24"/>
      <w:szCs w:val="21"/>
    </w:rPr>
  </w:style>
  <w:style w:type="paragraph" w:styleId="1356">
    <w:name w:val="Char Char1 Char Char Char Char Char Char"/>
    <w:basedOn w:val="1156"/>
    <w:next w:val="1356"/>
    <w:link w:val="1156"/>
    <w:qFormat/>
    <w:pPr>
      <w:jc w:val="left"/>
      <w:spacing w:after="160" w:line="240" w:lineRule="exact"/>
      <w:widowControl/>
    </w:pPr>
    <w:rPr>
      <w:rFonts w:ascii="Verdana" w:hAnsi="Verdana" w:eastAsia="仿宋_GB2312"/>
      <w:sz w:val="24"/>
      <w:szCs w:val="20"/>
      <w:lang w:eastAsia="en-US"/>
    </w:rPr>
  </w:style>
  <w:style w:type="paragraph" w:styleId="1357">
    <w:name w:val="表格文字"/>
    <w:basedOn w:val="1189"/>
    <w:next w:val="1357"/>
    <w:link w:val="1156"/>
    <w:qFormat/>
    <w:pPr>
      <w:ind w:firstLine="0"/>
      <w:spacing w:before="20" w:after="20" w:line="240" w:lineRule="auto"/>
    </w:pPr>
    <w:rPr>
      <w:rFonts w:ascii="Century Gothic" w:hAnsi="Century Gothic"/>
      <w:sz w:val="20"/>
      <w:szCs w:val="20"/>
    </w:rPr>
  </w:style>
  <w:style w:type="paragraph" w:styleId="1358">
    <w:name w:val="xl30"/>
    <w:basedOn w:val="1156"/>
    <w:next w:val="1358"/>
    <w:link w:val="11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9">
    <w:name w:val="表格1"/>
    <w:basedOn w:val="1156"/>
    <w:next w:val="1359"/>
    <w:link w:val="1156"/>
    <w:qFormat/>
    <w:pPr>
      <w:ind w:firstLine="480"/>
      <w:jc w:val="center"/>
    </w:pPr>
    <w:rPr>
      <w:sz w:val="24"/>
      <w:szCs w:val="20"/>
    </w:rPr>
  </w:style>
  <w:style w:type="paragraph" w:styleId="1360">
    <w:name w:val="background1"/>
    <w:basedOn w:val="1156"/>
    <w:next w:val="1360"/>
    <w:link w:val="1156"/>
    <w:qFormat/>
    <w:pPr>
      <w:jc w:val="left"/>
      <w:spacing w:before="100" w:beforeAutospacing="1" w:after="100" w:afterAutospacing="1"/>
      <w:widowControl/>
    </w:pPr>
    <w:rPr>
      <w:rFonts w:ascii="宋体" w:hAnsi="宋体" w:cs="宋体"/>
      <w:sz w:val="24"/>
    </w:rPr>
  </w:style>
  <w:style w:type="paragraph" w:styleId="1361">
    <w:name w:val="纯文本1"/>
    <w:next w:val="1209"/>
    <w:link w:val="1156"/>
    <w:qFormat/>
    <w:pPr>
      <w:jc w:val="both"/>
      <w:widowControl w:val="off"/>
    </w:pPr>
    <w:rPr>
      <w:rFonts w:ascii="宋体" w:hAnsi="宋体"/>
      <w:sz w:val="26"/>
      <w:lang w:val="en-US" w:eastAsia="zh-CN" w:bidi="ar-SA"/>
    </w:rPr>
  </w:style>
  <w:style w:type="paragraph" w:styleId="1362">
    <w:name w:val="Char Char Char1 Char"/>
    <w:basedOn w:val="1156"/>
    <w:next w:val="1362"/>
    <w:link w:val="1156"/>
    <w:qFormat/>
    <w:rPr>
      <w:rFonts w:ascii="Tahoma" w:hAnsi="Tahoma"/>
      <w:sz w:val="24"/>
      <w:szCs w:val="20"/>
    </w:rPr>
  </w:style>
  <w:style w:type="paragraph" w:styleId="1363">
    <w:name w:val="font9"/>
    <w:basedOn w:val="1156"/>
    <w:next w:val="1363"/>
    <w:link w:val="1156"/>
    <w:qFormat/>
    <w:pPr>
      <w:jc w:val="left"/>
      <w:spacing w:before="100" w:beforeAutospacing="1" w:after="100" w:afterAutospacing="1"/>
      <w:widowControl/>
    </w:pPr>
    <w:rPr>
      <w:rFonts w:hint="eastAsia" w:ascii="宋体" w:hAnsi="宋体" w:cs="Arial Unicode MS"/>
      <w:color w:val="000000"/>
      <w:sz w:val="20"/>
      <w:szCs w:val="20"/>
    </w:rPr>
  </w:style>
  <w:style w:type="paragraph" w:styleId="1364">
    <w:name w:val="正文文本缩进2"/>
    <w:basedOn w:val="1156"/>
    <w:next w:val="1364"/>
    <w:link w:val="1156"/>
    <w:qFormat/>
    <w:pPr>
      <w:ind w:firstLine="480"/>
      <w:spacing w:line="480" w:lineRule="exact"/>
    </w:pPr>
    <w:rPr>
      <w:rFonts w:ascii="宋体" w:hAnsi="宋体"/>
      <w:sz w:val="24"/>
      <w:lang w:val="zh-CN" w:eastAsia="zh-CN"/>
    </w:rPr>
  </w:style>
  <w:style w:type="paragraph" w:styleId="1365">
    <w:name w:val="正文文本样式 加粗"/>
    <w:basedOn w:val="1299"/>
    <w:next w:val="1365"/>
    <w:link w:val="1156"/>
    <w:qFormat/>
    <w:rPr>
      <w:b/>
    </w:rPr>
  </w:style>
  <w:style w:type="paragraph" w:styleId="1366">
    <w:name w:val="正文须知-3级"/>
    <w:basedOn w:val="1156"/>
    <w:next w:val="1366"/>
    <w:link w:val="1156"/>
    <w:qFormat/>
    <w:pPr>
      <w:numPr>
        <w:ilvl w:val="2"/>
        <w:numId w:val="3"/>
      </w:numPr>
      <w:ind w:hanging="355"/>
      <w:spacing w:line="300" w:lineRule="auto"/>
    </w:pPr>
    <w:rPr>
      <w:rFonts w:ascii="宋体" w:hAnsi="Calibri"/>
      <w:sz w:val="24"/>
      <w:szCs w:val="21"/>
    </w:rPr>
  </w:style>
  <w:style w:type="paragraph" w:styleId="1367">
    <w:name w:val="Char3 Char Char Char"/>
    <w:basedOn w:val="1156"/>
    <w:next w:val="1367"/>
    <w:link w:val="1156"/>
    <w:qFormat/>
    <w:rPr>
      <w:rFonts w:ascii="Tahoma" w:hAnsi="Tahoma"/>
      <w:sz w:val="24"/>
      <w:szCs w:val="20"/>
    </w:rPr>
  </w:style>
  <w:style w:type="paragraph" w:styleId="1368">
    <w:name w:val="Char Char Char Char Char Char Char Char Char Char Char Char Char Char Char Char"/>
    <w:basedOn w:val="1156"/>
    <w:next w:val="1368"/>
    <w:link w:val="1156"/>
    <w:qFormat/>
    <w:pPr>
      <w:jc w:val="center"/>
      <w:spacing w:after="160" w:line="240" w:lineRule="exact"/>
      <w:widowControl/>
    </w:pPr>
    <w:rPr>
      <w:rFonts w:ascii="宋体" w:hAnsi="宋体"/>
      <w:b/>
      <w:sz w:val="30"/>
      <w:szCs w:val="30"/>
      <w:lang w:eastAsia="en-US"/>
    </w:rPr>
  </w:style>
  <w:style w:type="paragraph" w:styleId="1369">
    <w:name w:val="Char Char Char"/>
    <w:basedOn w:val="1156"/>
    <w:next w:val="1369"/>
    <w:link w:val="1156"/>
    <w:qFormat/>
    <w:rPr>
      <w:rFonts w:ascii="Tahoma" w:hAnsi="Tahoma"/>
      <w:sz w:val="24"/>
      <w:szCs w:val="20"/>
    </w:rPr>
  </w:style>
  <w:style w:type="paragraph" w:styleId="1370">
    <w:name w:val="_Style 160"/>
    <w:next w:val="1370"/>
    <w:link w:val="1156"/>
    <w:qFormat/>
    <w:rPr>
      <w:sz w:val="21"/>
      <w:szCs w:val="24"/>
      <w:lang w:val="en-US" w:eastAsia="zh-CN" w:bidi="ar-SA"/>
    </w:rPr>
  </w:style>
  <w:style w:type="paragraph" w:styleId="1371">
    <w:name w:val="xl36"/>
    <w:basedOn w:val="1156"/>
    <w:next w:val="1371"/>
    <w:link w:val="115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2">
    <w:name w:val="修订"/>
    <w:next w:val="1372"/>
    <w:link w:val="1156"/>
    <w:uiPriority w:val="99"/>
    <w:unhideWhenUsed/>
    <w:rPr>
      <w:sz w:val="21"/>
      <w:szCs w:val="24"/>
      <w:lang w:val="en-US" w:eastAsia="zh-CN" w:bidi="ar-SA"/>
    </w:rPr>
  </w:style>
  <w:style w:type="paragraph" w:styleId="1373">
    <w:name w:val="Char Char1"/>
    <w:basedOn w:val="1181"/>
    <w:next w:val="1373"/>
    <w:link w:val="1156"/>
    <w:qFormat/>
    <w:rPr>
      <w:rFonts w:ascii="Tahoma" w:hAnsi="Tahoma"/>
      <w:sz w:val="24"/>
    </w:rPr>
  </w:style>
  <w:style w:type="paragraph" w:styleId="1374">
    <w:name w:val="正文列项_字母"/>
    <w:basedOn w:val="1156"/>
    <w:next w:val="1374"/>
    <w:link w:val="1156"/>
    <w:qFormat/>
    <w:pPr>
      <w:numPr>
        <w:ilvl w:val="6"/>
        <w:numId w:val="1"/>
      </w:numPr>
      <w:ind w:left="480" w:hanging="180"/>
      <w:spacing w:line="460" w:lineRule="exact"/>
      <w:tabs>
        <w:tab w:val="clear" w:pos="635" w:leader="none"/>
      </w:tabs>
      <w:outlineLvl w:val="6"/>
    </w:pPr>
    <w:rPr>
      <w:rFonts w:ascii="宋体"/>
      <w:sz w:val="28"/>
      <w:szCs w:val="20"/>
    </w:rPr>
  </w:style>
  <w:style w:type="paragraph" w:styleId="1375">
    <w:name w:val="图例"/>
    <w:basedOn w:val="1156"/>
    <w:next w:val="1375"/>
    <w:link w:val="1156"/>
    <w:qFormat/>
    <w:pPr>
      <w:jc w:val="center"/>
      <w:spacing w:before="120" w:after="120" w:line="360" w:lineRule="auto"/>
    </w:pPr>
    <w:rPr>
      <w:rFonts w:eastAsia="仿宋_GB2312"/>
      <w:b/>
      <w:sz w:val="24"/>
      <w:szCs w:val="20"/>
    </w:rPr>
  </w:style>
  <w:style w:type="paragraph" w:styleId="1376">
    <w:name w:val="xl39"/>
    <w:basedOn w:val="1156"/>
    <w:next w:val="1376"/>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xl37"/>
    <w:basedOn w:val="1156"/>
    <w:next w:val="1377"/>
    <w:link w:val="115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8">
    <w:name w:val="xl48"/>
    <w:basedOn w:val="1156"/>
    <w:next w:val="1378"/>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9">
    <w:name w:val="项目编号2"/>
    <w:basedOn w:val="1353"/>
    <w:next w:val="1379"/>
    <w:link w:val="1156"/>
    <w:qFormat/>
    <w:pPr>
      <w:numPr>
        <w:numId w:val="5"/>
      </w:numPr>
    </w:pPr>
  </w:style>
  <w:style w:type="paragraph" w:styleId="1380">
    <w:name w:val="样式 标题 2 + 宋体 五号 行距: 单倍行距"/>
    <w:basedOn w:val="1158"/>
    <w:next w:val="1380"/>
    <w:link w:val="1156"/>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381">
    <w:name w:val="??"/>
    <w:next w:val="1381"/>
    <w:link w:val="1156"/>
    <w:qFormat/>
    <w:pPr>
      <w:jc w:val="both"/>
      <w:widowControl w:val="off"/>
    </w:pPr>
    <w:rPr>
      <w:sz w:val="21"/>
      <w:lang w:val="en-US" w:eastAsia="en-US" w:bidi="ar-SA"/>
    </w:rPr>
  </w:style>
  <w:style w:type="paragraph" w:styleId="1382">
    <w:name w:val="xl44"/>
    <w:basedOn w:val="1156"/>
    <w:next w:val="1382"/>
    <w:link w:val="11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3">
    <w:name w:val="样式2"/>
    <w:basedOn w:val="1218"/>
    <w:next w:val="1383"/>
    <w:link w:val="1156"/>
    <w:qFormat/>
    <w:pPr>
      <w:jc w:val="center"/>
      <w:spacing w:line="360" w:lineRule="auto"/>
    </w:pPr>
    <w:rPr>
      <w:sz w:val="24"/>
    </w:rPr>
  </w:style>
  <w:style w:type="paragraph" w:styleId="1384">
    <w:name w:val="xl51"/>
    <w:basedOn w:val="1156"/>
    <w:next w:val="1384"/>
    <w:link w:val="11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5">
    <w:name w:val="图文"/>
    <w:basedOn w:val="1156"/>
    <w:next w:val="1385"/>
    <w:link w:val="1156"/>
    <w:qFormat/>
    <w:pPr>
      <w:spacing w:after="50" w:line="360" w:lineRule="auto"/>
    </w:pPr>
    <w:rPr>
      <w:sz w:val="24"/>
    </w:rPr>
  </w:style>
  <w:style w:type="paragraph" w:styleId="1386">
    <w:name w:val="Char Char Char Char Char Char Char Char Char Char Char Char Char Char Char Char1"/>
    <w:basedOn w:val="1156"/>
    <w:next w:val="1386"/>
    <w:link w:val="1156"/>
    <w:qFormat/>
    <w:pPr>
      <w:jc w:val="center"/>
      <w:spacing w:after="160" w:line="240" w:lineRule="exact"/>
      <w:widowControl/>
    </w:pPr>
    <w:rPr>
      <w:rFonts w:ascii="宋体" w:hAnsi="宋体"/>
      <w:b/>
      <w:sz w:val="30"/>
      <w:szCs w:val="30"/>
      <w:lang w:eastAsia="en-US"/>
    </w:rPr>
  </w:style>
  <w:style w:type="paragraph" w:styleId="1387">
    <w:name w:val="正文 + 宋体"/>
    <w:basedOn w:val="1156"/>
    <w:next w:val="1387"/>
    <w:link w:val="1156"/>
    <w:qFormat/>
    <w:pPr>
      <w:ind w:left="360" w:hanging="360"/>
      <w:jc w:val="left"/>
      <w:widowControl/>
    </w:pPr>
    <w:rPr>
      <w:rFonts w:ascii="宋体" w:hAnsi="宋体" w:cs="宋体"/>
      <w:b/>
      <w:bCs/>
      <w:color w:val="000000"/>
      <w:sz w:val="18"/>
      <w:szCs w:val="18"/>
    </w:rPr>
  </w:style>
  <w:style w:type="paragraph" w:styleId="1388">
    <w:name w:val="Char3 Char Char Char2"/>
    <w:basedOn w:val="1156"/>
    <w:next w:val="1388"/>
    <w:link w:val="1156"/>
    <w:qFormat/>
    <w:rPr>
      <w:rFonts w:ascii="Tahoma" w:hAnsi="Tahoma"/>
      <w:sz w:val="24"/>
      <w:szCs w:val="20"/>
    </w:rPr>
  </w:style>
  <w:style w:type="paragraph" w:styleId="1389">
    <w:name w:val="xl27"/>
    <w:basedOn w:val="1156"/>
    <w:next w:val="1389"/>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0">
    <w:name w:val="Char Char1 Char Char Char Char Char Char1"/>
    <w:basedOn w:val="1156"/>
    <w:next w:val="1390"/>
    <w:link w:val="1156"/>
    <w:qFormat/>
    <w:pPr>
      <w:jc w:val="left"/>
      <w:spacing w:after="160" w:line="240" w:lineRule="exact"/>
      <w:widowControl/>
    </w:pPr>
    <w:rPr>
      <w:rFonts w:ascii="Verdana" w:hAnsi="Verdana" w:eastAsia="仿宋_GB2312"/>
      <w:sz w:val="24"/>
      <w:szCs w:val="20"/>
      <w:lang w:eastAsia="en-US"/>
    </w:rPr>
  </w:style>
  <w:style w:type="paragraph" w:styleId="1391">
    <w:name w:val="1 Char Char Char Char"/>
    <w:basedOn w:val="1156"/>
    <w:next w:val="1391"/>
    <w:link w:val="1156"/>
    <w:qFormat/>
    <w:rPr>
      <w:rFonts w:ascii="Tahoma" w:hAnsi="Tahoma"/>
      <w:sz w:val="24"/>
      <w:szCs w:val="20"/>
    </w:rPr>
  </w:style>
  <w:style w:type="paragraph" w:styleId="1392">
    <w:name w:val="List Paragraph1"/>
    <w:basedOn w:val="1156"/>
    <w:next w:val="1392"/>
    <w:link w:val="1156"/>
    <w:qFormat/>
    <w:pPr>
      <w:ind w:firstLine="420"/>
    </w:pPr>
    <w:rPr>
      <w:rFonts w:ascii="Calibri" w:hAnsi="Calibri"/>
      <w:szCs w:val="22"/>
    </w:rPr>
  </w:style>
  <w:style w:type="paragraph" w:styleId="1393">
    <w:name w:val="文档正文"/>
    <w:basedOn w:val="1156"/>
    <w:next w:val="1393"/>
    <w:link w:val="1156"/>
    <w:qFormat/>
    <w:pPr>
      <w:spacing w:before="120" w:after="120" w:line="180" w:lineRule="auto"/>
    </w:pPr>
    <w:rPr>
      <w:rFonts w:ascii="Arial" w:hAnsi="Arial"/>
      <w:szCs w:val="20"/>
    </w:rPr>
  </w:style>
  <w:style w:type="paragraph" w:styleId="1394">
    <w:name w:val="xl32"/>
    <w:basedOn w:val="1156"/>
    <w:next w:val="1394"/>
    <w:link w:val="11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5">
    <w:name w:val="列出段落2"/>
    <w:basedOn w:val="1156"/>
    <w:next w:val="1395"/>
    <w:link w:val="1156"/>
    <w:qFormat/>
    <w:pPr>
      <w:ind w:firstLine="420"/>
    </w:pPr>
    <w:rPr>
      <w:rFonts w:ascii="Calibri" w:hAnsi="Calibri"/>
      <w:szCs w:val="22"/>
    </w:rPr>
  </w:style>
  <w:style w:type="paragraph" w:styleId="1396">
    <w:name w:val="font6"/>
    <w:basedOn w:val="1156"/>
    <w:next w:val="1396"/>
    <w:link w:val="1156"/>
    <w:qFormat/>
    <w:pPr>
      <w:jc w:val="left"/>
      <w:spacing w:before="100" w:beforeAutospacing="1" w:after="100" w:afterAutospacing="1"/>
      <w:widowControl/>
    </w:pPr>
    <w:rPr>
      <w:rFonts w:ascii="宋体" w:hAnsi="宋体" w:cs="宋体"/>
      <w:sz w:val="20"/>
      <w:szCs w:val="20"/>
    </w:rPr>
  </w:style>
  <w:style w:type="paragraph" w:styleId="1397">
    <w:name w:val="xl43"/>
    <w:basedOn w:val="1156"/>
    <w:next w:val="1397"/>
    <w:link w:val="115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8">
    <w:name w:val="Char3"/>
    <w:basedOn w:val="1156"/>
    <w:next w:val="1398"/>
    <w:link w:val="1156"/>
    <w:qFormat/>
    <w:pPr>
      <w:tabs>
        <w:tab w:val="left" w:pos="360" w:leader="none"/>
      </w:tabs>
    </w:pPr>
    <w:rPr>
      <w:sz w:val="24"/>
    </w:rPr>
  </w:style>
  <w:style w:type="paragraph" w:styleId="1399">
    <w:name w:val="样式 宋体 五号 行距: 单倍行距"/>
    <w:basedOn w:val="1156"/>
    <w:next w:val="1399"/>
    <w:link w:val="1156"/>
    <w:qFormat/>
    <w:pPr>
      <w:jc w:val="left"/>
    </w:pPr>
    <w:rPr>
      <w:rFonts w:ascii="宋体" w:hAnsi="宋体"/>
      <w:szCs w:val="20"/>
    </w:rPr>
  </w:style>
  <w:style w:type="paragraph" w:styleId="1400">
    <w:name w:val="标题1-附件"/>
    <w:basedOn w:val="1157"/>
    <w:next w:val="1400"/>
    <w:link w:val="1156"/>
    <w:qFormat/>
    <w:pPr>
      <w:jc w:val="left"/>
    </w:pPr>
    <w:rPr>
      <w:sz w:val="24"/>
      <w:szCs w:val="24"/>
    </w:rPr>
  </w:style>
  <w:style w:type="paragraph" w:styleId="1401">
    <w:name w:val="default"/>
    <w:basedOn w:val="1156"/>
    <w:next w:val="1401"/>
    <w:link w:val="1156"/>
    <w:qFormat/>
    <w:pPr>
      <w:jc w:val="left"/>
      <w:spacing w:before="100" w:beforeAutospacing="1" w:after="100" w:afterAutospacing="1"/>
      <w:widowControl/>
    </w:pPr>
    <w:rPr>
      <w:rFonts w:ascii="宋体" w:hAnsi="宋体" w:cs="宋体"/>
      <w:sz w:val="24"/>
    </w:rPr>
  </w:style>
  <w:style w:type="paragraph" w:styleId="1402">
    <w:name w:val="font7"/>
    <w:basedOn w:val="1156"/>
    <w:next w:val="1402"/>
    <w:link w:val="1156"/>
    <w:qFormat/>
    <w:pPr>
      <w:jc w:val="left"/>
      <w:spacing w:before="100" w:beforeAutospacing="1" w:after="100" w:afterAutospacing="1"/>
      <w:widowControl/>
    </w:pPr>
    <w:rPr>
      <w:rFonts w:eastAsia="Arial Unicode MS"/>
      <w:b/>
      <w:bCs/>
      <w:color w:val="000000"/>
      <w:sz w:val="20"/>
      <w:szCs w:val="20"/>
    </w:rPr>
  </w:style>
  <w:style w:type="paragraph" w:styleId="1403">
    <w:name w:val="1名"/>
    <w:basedOn w:val="1156"/>
    <w:next w:val="1403"/>
    <w:link w:val="1156"/>
    <w:qFormat/>
    <w:pPr>
      <w:numPr>
        <w:ilvl w:val="0"/>
        <w:numId w:val="7"/>
      </w:numPr>
      <w:spacing w:before="120"/>
      <w:tabs>
        <w:tab w:val="left" w:pos="360" w:leader="none"/>
      </w:tabs>
    </w:pPr>
    <w:rPr>
      <w:rFonts w:ascii="宋体"/>
      <w:sz w:val="28"/>
      <w:szCs w:val="20"/>
    </w:rPr>
  </w:style>
  <w:style w:type="paragraph" w:styleId="1404">
    <w:name w:val="Char21"/>
    <w:basedOn w:val="1156"/>
    <w:next w:val="1404"/>
    <w:link w:val="1156"/>
    <w:qFormat/>
    <w:rPr>
      <w:rFonts w:ascii="Tahoma" w:hAnsi="Tahoma"/>
      <w:sz w:val="24"/>
      <w:szCs w:val="20"/>
    </w:rPr>
  </w:style>
  <w:style w:type="paragraph" w:styleId="1405">
    <w:name w:val="Char22"/>
    <w:basedOn w:val="1156"/>
    <w:next w:val="1405"/>
    <w:link w:val="1156"/>
    <w:qFormat/>
    <w:rPr>
      <w:rFonts w:ascii="Tahoma" w:hAnsi="Tahoma"/>
      <w:sz w:val="24"/>
      <w:szCs w:val="20"/>
    </w:rPr>
  </w:style>
  <w:style w:type="paragraph" w:styleId="1406">
    <w:name w:val="xl26"/>
    <w:basedOn w:val="1156"/>
    <w:next w:val="1406"/>
    <w:link w:val="11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407">
    <w:name w:val="Table Normal"/>
    <w:next w:val="1407"/>
    <w:link w:val="1156"/>
    <w:uiPriority w:val="2"/>
    <w:unhideWhenUsed/>
    <w:qFormat/>
    <w:pPr>
      <w:widowControl w:val="off"/>
    </w:pPr>
    <w:rPr>
      <w:rFonts w:ascii="Calibri" w:hAnsi="Calibri"/>
      <w:sz w:val="22"/>
      <w:szCs w:val="22"/>
      <w:lang w:val="en-US" w:eastAsia="en-US" w:bidi="ar-SA"/>
    </w:rPr>
    <w:tblPr/>
  </w:style>
  <w:style w:type="character" w:styleId="1408">
    <w:name w:val="font21"/>
    <w:next w:val="1408"/>
    <w:link w:val="1156"/>
    <w:rPr>
      <w:rFonts w:hint="eastAsia" w:ascii="宋体" w:hAnsi="宋体" w:eastAsia="宋体" w:cs="宋体"/>
      <w:i w:val="0"/>
      <w:iCs w:val="0"/>
      <w:color w:val="000000"/>
      <w:sz w:val="24"/>
      <w:szCs w:val="24"/>
      <w:u w:val="none"/>
    </w:rPr>
  </w:style>
  <w:style w:type="character" w:styleId="1409">
    <w:name w:val="font41"/>
    <w:basedOn w:val="1166"/>
    <w:next w:val="1409"/>
    <w:link w:val="1156"/>
    <w:rPr>
      <w:rFonts w:hint="eastAsia" w:ascii="宋体" w:hAnsi="宋体" w:eastAsia="宋体" w:cs="宋体"/>
      <w:i w:val="0"/>
      <w:iCs w:val="0"/>
      <w:color w:val="000000"/>
      <w:sz w:val="24"/>
      <w:szCs w:val="24"/>
      <w:u w:val="none"/>
      <w:vertAlign w:val="subscript"/>
    </w:rPr>
  </w:style>
  <w:style w:type="character" w:styleId="1410">
    <w:name w:val="font11"/>
    <w:next w:val="1410"/>
    <w:link w:val="1156"/>
    <w:rPr>
      <w:rFonts w:hint="eastAsia" w:ascii="宋体" w:hAnsi="宋体" w:eastAsia="宋体" w:cs="宋体"/>
      <w:i w:val="0"/>
      <w:iCs w:val="0"/>
      <w:color w:val="000000"/>
      <w:sz w:val="22"/>
      <w:szCs w:val="22"/>
      <w:u w:val="none"/>
    </w:rPr>
  </w:style>
  <w:style w:type="paragraph" w:styleId="1411">
    <w:name w:val="p0"/>
    <w:basedOn w:val="1156"/>
    <w:next w:val="1411"/>
    <w:link w:val="1156"/>
    <w:qFormat/>
    <w:pPr>
      <w:jc w:val="left"/>
      <w:spacing w:before="100" w:beforeAutospacing="1" w:after="100" w:afterAutospacing="1"/>
      <w:widowControl/>
    </w:pPr>
    <w:rPr>
      <w:rFonts w:ascii="宋体" w:hAnsi="宋体" w:cs="宋体"/>
      <w:sz w:val="24"/>
    </w:rPr>
  </w:style>
  <w:style w:type="character" w:styleId="1412">
    <w:name w:val="font141"/>
    <w:next w:val="1412"/>
    <w:link w:val="1156"/>
    <w:qFormat/>
    <w:rPr>
      <w:rFonts w:ascii="Calibri" w:hAnsi="Calibri" w:cs="Calibri"/>
      <w:color w:val="000000"/>
      <w:sz w:val="18"/>
      <w:szCs w:val="18"/>
      <w:u w:val="none"/>
    </w:rPr>
  </w:style>
  <w:style w:type="character" w:styleId="1413">
    <w:name w:val="font151"/>
    <w:next w:val="1413"/>
    <w:link w:val="1156"/>
    <w:qFormat/>
    <w:rPr>
      <w:rFonts w:hint="eastAsia" w:ascii="宋体" w:hAnsi="宋体" w:eastAsia="宋体" w:cs="宋体"/>
      <w:color w:val="ff0000"/>
      <w:sz w:val="18"/>
      <w:szCs w:val="18"/>
      <w:u w:val="none"/>
    </w:rPr>
  </w:style>
  <w:style w:type="character" w:styleId="1414">
    <w:name w:val="font51"/>
    <w:basedOn w:val="1166"/>
    <w:next w:val="1414"/>
    <w:link w:val="1156"/>
    <w:qFormat/>
    <w:rPr>
      <w:rFonts w:hint="eastAsia" w:ascii="宋体" w:hAnsi="宋体" w:eastAsia="宋体" w:cs="宋体"/>
      <w:color w:val="000000"/>
      <w:sz w:val="18"/>
      <w:szCs w:val="18"/>
      <w:u w:val="none"/>
    </w:rPr>
  </w:style>
  <w:style w:type="paragraph" w:styleId="1415">
    <w:name w:val="null3"/>
    <w:next w:val="1415"/>
    <w:link w:val="1156"/>
    <w:qFormat/>
    <w:rPr>
      <w:rFonts w:hint="eastAsia" w:ascii="Calibri" w:hAnsi="Calibri"/>
      <w:lang w:val="en-US" w:eastAsia="zh-CN" w:bidi="ar-SA"/>
    </w:rPr>
  </w:style>
  <w:style w:type="character" w:styleId="1416">
    <w:name w:val="font61"/>
    <w:basedOn w:val="1166"/>
    <w:next w:val="1416"/>
    <w:link w:val="1156"/>
    <w:qFormat/>
    <w:rPr>
      <w:rFonts w:hint="eastAsia" w:ascii="宋体" w:hAnsi="宋体" w:eastAsia="宋体" w:cs="宋体"/>
      <w:color w:val="ff0000"/>
      <w:sz w:val="18"/>
      <w:szCs w:val="18"/>
      <w:u w:val="none"/>
    </w:rPr>
  </w:style>
  <w:style w:type="character" w:styleId="1417">
    <w:name w:val="font71"/>
    <w:basedOn w:val="1166"/>
    <w:next w:val="1417"/>
    <w:link w:val="1156"/>
    <w:qFormat/>
    <w:rPr>
      <w:rFonts w:hint="eastAsia" w:ascii="宋体" w:hAnsi="宋体" w:eastAsia="宋体" w:cs="宋体"/>
      <w:color w:val="ff0000"/>
      <w:sz w:val="18"/>
      <w:szCs w:val="18"/>
      <w:u w:val="none"/>
    </w:rPr>
  </w:style>
  <w:style w:type="character" w:styleId="1418" w:default="1">
    <w:name w:val="Default Paragraph Font"/>
    <w:uiPriority w:val="1"/>
    <w:semiHidden/>
    <w:unhideWhenUsed/>
  </w:style>
  <w:style w:type="numbering" w:styleId="1419" w:default="1">
    <w:name w:val="No List"/>
    <w:uiPriority w:val="99"/>
    <w:semiHidden/>
    <w:unhideWhenUsed/>
  </w:style>
  <w:style w:type="table" w:styleId="14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7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98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24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9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74"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7" TargetMode="External"/><Relationship Id="rId20"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5</cp:revision>
  <dcterms:created xsi:type="dcterms:W3CDTF">2024-12-09T09:24:00Z</dcterms:created>
  <dcterms:modified xsi:type="dcterms:W3CDTF">2025-05-14T06:05:01Z</dcterms:modified>
</cp:coreProperties>
</file>