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38512D">
      <w:pPr>
        <w:ind w:firstLine="880"/>
        <w:rPr>
          <w:rFonts w:ascii="黑体" w:hAnsi="黑体" w:eastAsia="黑体"/>
          <w:sz w:val="44"/>
        </w:rPr>
      </w:pPr>
    </w:p>
    <w:p w14:paraId="636BABF5">
      <w:pPr>
        <w:ind w:firstLine="880"/>
        <w:rPr>
          <w:rFonts w:ascii="黑体" w:hAnsi="黑体" w:eastAsia="黑体"/>
          <w:sz w:val="44"/>
        </w:rPr>
      </w:pPr>
    </w:p>
    <w:p w14:paraId="234651EB">
      <w:pPr>
        <w:tabs>
          <w:tab w:val="left" w:pos="0"/>
          <w:tab w:val="center" w:pos="4404"/>
        </w:tabs>
        <w:ind w:left="0" w:leftChars="0" w:firstLine="0" w:firstLineChars="0"/>
        <w:jc w:val="center"/>
        <w:rPr>
          <w:rFonts w:ascii="黑体" w:hAnsi="黑体" w:eastAsia="黑体"/>
          <w:sz w:val="76"/>
          <w:szCs w:val="76"/>
        </w:rPr>
      </w:pPr>
      <w:r>
        <w:rPr>
          <w:rFonts w:hint="eastAsia" w:ascii="黑体" w:hAnsi="黑体" w:eastAsia="黑体"/>
          <w:sz w:val="76"/>
          <w:szCs w:val="76"/>
        </w:rPr>
        <w:t>公开招标文件</w:t>
      </w:r>
    </w:p>
    <w:p w14:paraId="5D3D53B9">
      <w:pPr>
        <w:ind w:firstLine="640"/>
        <w:rPr>
          <w:rFonts w:ascii="黑体" w:hAnsi="黑体" w:eastAsia="黑体"/>
          <w:sz w:val="32"/>
        </w:rPr>
      </w:pPr>
    </w:p>
    <w:p w14:paraId="1C79F068">
      <w:pPr>
        <w:ind w:firstLine="880"/>
        <w:rPr>
          <w:rFonts w:ascii="黑体" w:hAnsi="黑体" w:eastAsia="黑体"/>
          <w:sz w:val="44"/>
        </w:rPr>
      </w:pPr>
    </w:p>
    <w:p w14:paraId="3D0D6A74">
      <w:pPr>
        <w:widowControl w:val="0"/>
        <w:autoSpaceDE w:val="0"/>
        <w:autoSpaceDN w:val="0"/>
        <w:adjustRightInd/>
        <w:snapToGrid/>
        <w:spacing w:line="480" w:lineRule="auto"/>
        <w:ind w:left="960" w:leftChars="400" w:firstLine="600"/>
        <w:rPr>
          <w:rFonts w:ascii="黑体" w:hAnsi="宋体" w:eastAsia="黑体"/>
          <w:sz w:val="30"/>
          <w:szCs w:val="30"/>
          <w:lang w:bidi="zh-CN"/>
        </w:rPr>
      </w:pPr>
      <w:r>
        <w:rPr>
          <w:rFonts w:hint="eastAsia" w:ascii="黑体" w:hAnsi="宋体" w:eastAsia="黑体"/>
          <w:sz w:val="30"/>
          <w:szCs w:val="30"/>
          <w:lang w:val="zh-CN" w:bidi="zh-CN"/>
        </w:rPr>
        <w:t>项目编号：</w:t>
      </w:r>
      <w:r>
        <w:rPr>
          <w:rFonts w:hint="eastAsia" w:ascii="黑体" w:hAnsi="宋体" w:eastAsia="黑体"/>
          <w:sz w:val="30"/>
          <w:szCs w:val="30"/>
          <w:highlight w:val="none"/>
          <w:lang w:val="zh-CN" w:bidi="zh-CN"/>
        </w:rPr>
        <w:t>JSZC-320000-JSZC-G2025-0082</w:t>
      </w:r>
    </w:p>
    <w:p w14:paraId="1960F581">
      <w:pPr>
        <w:widowControl w:val="0"/>
        <w:autoSpaceDE w:val="0"/>
        <w:autoSpaceDN w:val="0"/>
        <w:adjustRightInd/>
        <w:snapToGrid/>
        <w:spacing w:line="480" w:lineRule="auto"/>
        <w:ind w:left="960" w:leftChars="400" w:firstLine="600"/>
        <w:rPr>
          <w:rFonts w:ascii="黑体" w:hAnsi="宋体" w:eastAsia="黑体"/>
          <w:sz w:val="30"/>
          <w:szCs w:val="30"/>
          <w:lang w:val="zh-CN" w:bidi="zh-CN"/>
        </w:rPr>
      </w:pPr>
      <w:r>
        <w:rPr>
          <w:rFonts w:hint="eastAsia" w:ascii="黑体" w:hAnsi="宋体" w:eastAsia="黑体"/>
          <w:sz w:val="30"/>
          <w:szCs w:val="30"/>
          <w:lang w:val="zh-CN" w:bidi="zh-CN"/>
        </w:rPr>
        <w:t>项目名称：总统府文化服务区1号楼（总统府景区游客服务中心）装修改造项目</w:t>
      </w:r>
    </w:p>
    <w:p w14:paraId="536921F5">
      <w:pPr>
        <w:widowControl w:val="0"/>
        <w:autoSpaceDE w:val="0"/>
        <w:autoSpaceDN w:val="0"/>
        <w:adjustRightInd/>
        <w:snapToGrid/>
        <w:spacing w:line="480" w:lineRule="auto"/>
        <w:ind w:left="960" w:leftChars="400" w:firstLine="600"/>
        <w:rPr>
          <w:rFonts w:ascii="黑体" w:hAnsi="宋体" w:eastAsia="黑体"/>
          <w:sz w:val="30"/>
          <w:szCs w:val="30"/>
          <w:lang w:val="zh-CN" w:bidi="zh-CN"/>
        </w:rPr>
      </w:pPr>
      <w:r>
        <w:rPr>
          <w:rFonts w:hint="eastAsia" w:ascii="黑体" w:hAnsi="宋体" w:eastAsia="黑体"/>
          <w:sz w:val="30"/>
          <w:szCs w:val="30"/>
          <w:lang w:val="zh-CN" w:bidi="zh-CN"/>
        </w:rPr>
        <w:t>采 购 人：南京中国近代史遗址博物馆管理建设办公室</w:t>
      </w:r>
    </w:p>
    <w:p w14:paraId="2ED35004">
      <w:pPr>
        <w:widowControl w:val="0"/>
        <w:autoSpaceDE w:val="0"/>
        <w:autoSpaceDN w:val="0"/>
        <w:adjustRightInd/>
        <w:snapToGrid/>
        <w:spacing w:line="480" w:lineRule="auto"/>
        <w:ind w:left="960" w:leftChars="400" w:firstLine="600"/>
        <w:rPr>
          <w:rFonts w:ascii="黑体" w:hAnsi="宋体" w:eastAsia="黑体"/>
          <w:sz w:val="30"/>
          <w:szCs w:val="30"/>
          <w:lang w:bidi="zh-CN"/>
        </w:rPr>
      </w:pPr>
      <w:r>
        <w:rPr>
          <w:rFonts w:hint="eastAsia" w:ascii="黑体" w:hAnsi="宋体" w:eastAsia="黑体"/>
          <w:sz w:val="30"/>
          <w:szCs w:val="30"/>
          <w:lang w:bidi="zh-CN"/>
        </w:rPr>
        <w:t>采购类别：工程类</w:t>
      </w:r>
    </w:p>
    <w:p w14:paraId="10E19E6F">
      <w:pPr>
        <w:ind w:firstLine="880"/>
        <w:rPr>
          <w:rFonts w:ascii="黑体" w:hAnsi="Times New Roman" w:eastAsia="黑体"/>
          <w:color w:val="000000"/>
          <w:kern w:val="2"/>
          <w:sz w:val="44"/>
          <w:szCs w:val="44"/>
          <w:lang w:val="zh-CN"/>
        </w:rPr>
      </w:pPr>
    </w:p>
    <w:p w14:paraId="7E2F2EFA">
      <w:pPr>
        <w:ind w:firstLine="640"/>
        <w:rPr>
          <w:rFonts w:ascii="黑体" w:hAnsi="黑体" w:eastAsia="黑体"/>
          <w:sz w:val="32"/>
        </w:rPr>
      </w:pPr>
    </w:p>
    <w:p w14:paraId="60935394">
      <w:pPr>
        <w:ind w:firstLine="640"/>
        <w:rPr>
          <w:rFonts w:ascii="黑体" w:hAnsi="黑体" w:eastAsia="黑体"/>
          <w:sz w:val="32"/>
        </w:rPr>
      </w:pPr>
    </w:p>
    <w:p w14:paraId="5A60E3C7">
      <w:pPr>
        <w:ind w:firstLine="640"/>
        <w:rPr>
          <w:rFonts w:ascii="黑体" w:hAnsi="黑体" w:eastAsia="黑体"/>
          <w:sz w:val="32"/>
        </w:rPr>
      </w:pPr>
    </w:p>
    <w:p w14:paraId="627F3F96">
      <w:pPr>
        <w:ind w:firstLine="640"/>
        <w:rPr>
          <w:rFonts w:ascii="黑体" w:hAnsi="黑体" w:eastAsia="黑体"/>
          <w:sz w:val="32"/>
        </w:rPr>
      </w:pPr>
    </w:p>
    <w:p w14:paraId="3F51B00C">
      <w:pPr>
        <w:ind w:firstLine="640"/>
        <w:jc w:val="center"/>
        <w:rPr>
          <w:rFonts w:ascii="黑体" w:hAnsi="黑体" w:eastAsia="黑体"/>
          <w:sz w:val="32"/>
        </w:rPr>
      </w:pPr>
    </w:p>
    <w:p w14:paraId="7D3AED80">
      <w:pPr>
        <w:ind w:firstLine="880"/>
        <w:jc w:val="center"/>
        <w:rPr>
          <w:rFonts w:ascii="黑体" w:hAnsi="黑体" w:eastAsia="黑体"/>
          <w:sz w:val="44"/>
          <w:szCs w:val="44"/>
        </w:rPr>
      </w:pPr>
      <w:r>
        <w:rPr>
          <w:rFonts w:hint="eastAsia" w:ascii="黑体" w:hAnsi="黑体" w:eastAsia="黑体"/>
          <w:sz w:val="44"/>
          <w:szCs w:val="44"/>
        </w:rPr>
        <w:t>江苏志诚工程咨询管理有限公司</w:t>
      </w:r>
    </w:p>
    <w:p w14:paraId="5C37F17F">
      <w:pPr>
        <w:ind w:firstLine="880"/>
        <w:jc w:val="center"/>
        <w:rPr>
          <w:rFonts w:ascii="黑体" w:hAnsi="黑体" w:eastAsia="黑体"/>
          <w:sz w:val="44"/>
          <w:highlight w:val="none"/>
        </w:rPr>
      </w:pPr>
      <w:r>
        <w:rPr>
          <w:rFonts w:hint="eastAsia" w:ascii="黑体" w:hAnsi="黑体" w:eastAsia="黑体"/>
          <w:sz w:val="44"/>
          <w:highlight w:val="none"/>
        </w:rPr>
        <w:t>二0二</w:t>
      </w:r>
      <w:r>
        <w:rPr>
          <w:rFonts w:hint="eastAsia" w:ascii="黑体" w:hAnsi="黑体" w:eastAsia="黑体"/>
          <w:sz w:val="44"/>
          <w:highlight w:val="none"/>
          <w:lang w:eastAsia="zh-CN"/>
        </w:rPr>
        <w:t>五</w:t>
      </w:r>
      <w:r>
        <w:rPr>
          <w:rFonts w:hint="eastAsia" w:ascii="黑体" w:hAnsi="黑体" w:eastAsia="黑体"/>
          <w:sz w:val="44"/>
          <w:highlight w:val="none"/>
        </w:rPr>
        <w:t>年</w:t>
      </w:r>
      <w:r>
        <w:rPr>
          <w:rFonts w:hint="eastAsia" w:ascii="黑体" w:hAnsi="黑体" w:eastAsia="黑体"/>
          <w:sz w:val="44"/>
          <w:highlight w:val="none"/>
          <w:lang w:eastAsia="zh-CN"/>
        </w:rPr>
        <w:t>九</w:t>
      </w:r>
      <w:r>
        <w:rPr>
          <w:rFonts w:hint="eastAsia" w:ascii="黑体" w:hAnsi="黑体" w:eastAsia="黑体"/>
          <w:sz w:val="44"/>
          <w:highlight w:val="none"/>
        </w:rPr>
        <w:t>月</w:t>
      </w:r>
    </w:p>
    <w:p w14:paraId="13633418">
      <w:pPr>
        <w:pStyle w:val="2"/>
        <w:tabs>
          <w:tab w:val="clear" w:pos="1440"/>
        </w:tabs>
        <w:ind w:left="0" w:leftChars="0" w:firstLine="0" w:firstLineChars="0"/>
      </w:pPr>
      <w:r>
        <w:rPr>
          <w:rFonts w:hint="eastAsia" w:ascii="宋体" w:hAnsi="宋体"/>
          <w:sz w:val="28"/>
        </w:rPr>
        <w:br w:type="page"/>
      </w:r>
      <w:bookmarkStart w:id="0" w:name="_Toc5787"/>
      <w:bookmarkStart w:id="1" w:name="_Toc28350"/>
      <w:bookmarkStart w:id="2" w:name="_Toc15802"/>
      <w:bookmarkStart w:id="3" w:name="_Toc15065"/>
      <w:bookmarkStart w:id="4" w:name="_Toc19414"/>
      <w:bookmarkStart w:id="5" w:name="_Toc22387"/>
      <w:bookmarkStart w:id="6" w:name="_Toc6900"/>
      <w:bookmarkStart w:id="7" w:name="_Toc5128"/>
      <w:bookmarkStart w:id="8" w:name="_Toc7811"/>
      <w:bookmarkStart w:id="9" w:name="_Toc965"/>
      <w:bookmarkStart w:id="10" w:name="_Toc21835"/>
      <w:bookmarkStart w:id="11" w:name="_Toc36797899"/>
      <w:bookmarkStart w:id="12" w:name="_Hlk18594522"/>
      <w:r>
        <w:rPr>
          <w:rFonts w:hint="eastAsia"/>
        </w:rPr>
        <w:t>第一章</w:t>
      </w:r>
      <w:bookmarkEnd w:id="0"/>
      <w:bookmarkEnd w:id="1"/>
      <w:bookmarkEnd w:id="2"/>
      <w:bookmarkEnd w:id="3"/>
      <w:bookmarkEnd w:id="4"/>
      <w:bookmarkEnd w:id="5"/>
      <w:bookmarkEnd w:id="6"/>
      <w:bookmarkEnd w:id="7"/>
      <w:bookmarkEnd w:id="8"/>
      <w:bookmarkEnd w:id="9"/>
      <w:bookmarkEnd w:id="10"/>
      <w:r>
        <w:rPr>
          <w:rFonts w:hint="eastAsia"/>
          <w:lang w:val="en-US" w:eastAsia="zh-CN"/>
        </w:rPr>
        <w:t xml:space="preserve"> </w:t>
      </w:r>
      <w:r>
        <w:rPr>
          <w:rFonts w:hint="eastAsia"/>
        </w:rPr>
        <w:t>招标公告</w:t>
      </w:r>
      <w:bookmarkEnd w:id="11"/>
    </w:p>
    <w:tbl>
      <w:tblPr>
        <w:tblStyle w:val="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6"/>
      </w:tblGrid>
      <w:tr w14:paraId="67F14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6" w:type="dxa"/>
          </w:tcPr>
          <w:p w14:paraId="4F1773D7">
            <w:pPr>
              <w:ind w:firstLine="480"/>
              <w:rPr>
                <w:rFonts w:ascii="宋体" w:hAnsi="宋体"/>
                <w:color w:val="000000"/>
                <w:kern w:val="2"/>
                <w:szCs w:val="24"/>
                <w:lang w:val="zh-CN"/>
              </w:rPr>
            </w:pPr>
            <w:r>
              <w:rPr>
                <w:rFonts w:hint="eastAsia" w:ascii="宋体" w:hAnsi="宋体"/>
                <w:color w:val="000000"/>
                <w:kern w:val="2"/>
                <w:szCs w:val="24"/>
                <w:lang w:val="zh-CN"/>
              </w:rPr>
              <w:t>项目概况</w:t>
            </w:r>
          </w:p>
          <w:p w14:paraId="0A07C8E6">
            <w:pPr>
              <w:ind w:firstLine="480"/>
              <w:rPr>
                <w:rFonts w:ascii="宋体" w:hAnsi="宋体"/>
                <w:b/>
                <w:bCs/>
                <w:color w:val="333333"/>
                <w:sz w:val="21"/>
                <w:szCs w:val="21"/>
              </w:rPr>
            </w:pPr>
            <w:r>
              <w:rPr>
                <w:rFonts w:hint="eastAsia" w:ascii="宋体" w:hAnsi="宋体"/>
                <w:color w:val="000000"/>
                <w:kern w:val="2"/>
                <w:szCs w:val="24"/>
                <w:u w:val="single"/>
                <w:lang w:val="zh-CN"/>
              </w:rPr>
              <w:t>总统府文化服务区1号楼（总统府景区游客服务中心）装修改造项目</w:t>
            </w:r>
            <w:r>
              <w:rPr>
                <w:rFonts w:hint="eastAsia" w:ascii="宋体" w:hAnsi="宋体"/>
                <w:color w:val="000000"/>
                <w:kern w:val="2"/>
                <w:szCs w:val="24"/>
                <w:lang w:val="zh-CN"/>
              </w:rPr>
              <w:t>的潜在投标人应在</w:t>
            </w:r>
            <w:r>
              <w:rPr>
                <w:rFonts w:hint="eastAsia" w:ascii="宋体" w:hAnsi="宋体"/>
                <w:color w:val="000000"/>
                <w:kern w:val="2"/>
                <w:szCs w:val="24"/>
                <w:u w:val="single"/>
                <w:lang w:eastAsia="zh-CN"/>
              </w:rPr>
              <w:t>线上</w:t>
            </w:r>
            <w:r>
              <w:rPr>
                <w:rFonts w:hint="eastAsia" w:ascii="宋体" w:hAnsi="宋体"/>
                <w:color w:val="000000"/>
                <w:kern w:val="2"/>
                <w:szCs w:val="24"/>
                <w:lang w:val="zh-CN"/>
              </w:rPr>
              <w:t>获取招标文件，并于</w:t>
            </w:r>
            <w:r>
              <w:rPr>
                <w:rFonts w:hint="eastAsia" w:ascii="宋体" w:hAnsi="宋体"/>
                <w:color w:val="000000"/>
                <w:kern w:val="2"/>
                <w:szCs w:val="24"/>
                <w:highlight w:val="none"/>
                <w:u w:val="single"/>
                <w:lang w:val="zh-CN"/>
              </w:rPr>
              <w:t>2025年</w:t>
            </w:r>
            <w:r>
              <w:rPr>
                <w:rFonts w:hint="eastAsia" w:ascii="宋体" w:hAnsi="宋体"/>
                <w:color w:val="000000"/>
                <w:kern w:val="2"/>
                <w:szCs w:val="24"/>
                <w:highlight w:val="none"/>
                <w:u w:val="single"/>
                <w:lang w:val="en-US" w:eastAsia="zh-CN"/>
              </w:rPr>
              <w:t>10</w:t>
            </w:r>
            <w:r>
              <w:rPr>
                <w:rFonts w:hint="eastAsia" w:ascii="宋体" w:hAnsi="宋体"/>
                <w:color w:val="000000"/>
                <w:kern w:val="2"/>
                <w:szCs w:val="24"/>
                <w:highlight w:val="none"/>
                <w:u w:val="single"/>
                <w:lang w:val="zh-CN"/>
              </w:rPr>
              <w:t>月</w:t>
            </w:r>
            <w:r>
              <w:rPr>
                <w:rFonts w:hint="eastAsia" w:ascii="宋体" w:hAnsi="宋体"/>
                <w:color w:val="000000"/>
                <w:kern w:val="2"/>
                <w:szCs w:val="24"/>
                <w:highlight w:val="none"/>
                <w:u w:val="single"/>
                <w:lang w:val="en-US" w:eastAsia="zh-CN"/>
              </w:rPr>
              <w:t>28</w:t>
            </w:r>
            <w:r>
              <w:rPr>
                <w:rFonts w:hint="eastAsia" w:ascii="宋体" w:hAnsi="宋体"/>
                <w:color w:val="000000"/>
                <w:kern w:val="2"/>
                <w:szCs w:val="24"/>
                <w:highlight w:val="none"/>
                <w:u w:val="single"/>
                <w:lang w:val="zh-CN"/>
              </w:rPr>
              <w:t>日</w:t>
            </w:r>
            <w:r>
              <w:rPr>
                <w:rFonts w:hint="eastAsia" w:ascii="宋体" w:hAnsi="宋体"/>
                <w:color w:val="000000"/>
                <w:kern w:val="2"/>
                <w:szCs w:val="24"/>
                <w:highlight w:val="none"/>
                <w:u w:val="single"/>
                <w:lang w:val="en-US" w:eastAsia="zh-CN"/>
              </w:rPr>
              <w:t>09</w:t>
            </w:r>
            <w:r>
              <w:rPr>
                <w:rFonts w:hint="eastAsia" w:ascii="宋体" w:hAnsi="宋体"/>
                <w:color w:val="000000"/>
                <w:kern w:val="2"/>
                <w:szCs w:val="24"/>
                <w:highlight w:val="none"/>
                <w:u w:val="single"/>
                <w:lang w:val="zh-CN"/>
              </w:rPr>
              <w:t>点30</w:t>
            </w:r>
            <w:bookmarkStart w:id="1187" w:name="_GoBack"/>
            <w:bookmarkEnd w:id="1187"/>
            <w:r>
              <w:rPr>
                <w:rFonts w:hint="eastAsia" w:ascii="宋体" w:hAnsi="宋体"/>
                <w:color w:val="000000"/>
                <w:kern w:val="2"/>
                <w:szCs w:val="24"/>
                <w:highlight w:val="none"/>
                <w:u w:val="single"/>
                <w:lang w:val="zh-CN"/>
              </w:rPr>
              <w:t>分</w:t>
            </w:r>
            <w:r>
              <w:rPr>
                <w:rFonts w:hint="eastAsia" w:ascii="宋体" w:hAnsi="宋体"/>
                <w:color w:val="000000"/>
                <w:kern w:val="2"/>
                <w:szCs w:val="24"/>
                <w:lang w:val="zh-CN"/>
              </w:rPr>
              <w:t>（北京时间）前递交投标文件。</w:t>
            </w:r>
          </w:p>
        </w:tc>
      </w:tr>
    </w:tbl>
    <w:p w14:paraId="5B5B4C6F">
      <w:pPr>
        <w:ind w:firstLine="482"/>
        <w:rPr>
          <w:rFonts w:ascii="宋体" w:hAnsi="宋体"/>
          <w:b/>
          <w:bCs/>
          <w:color w:val="000000"/>
          <w:kern w:val="2"/>
          <w:szCs w:val="24"/>
          <w:lang w:val="zh-CN"/>
        </w:rPr>
      </w:pPr>
      <w:bookmarkStart w:id="13" w:name="_Toc10945"/>
      <w:bookmarkStart w:id="14" w:name="_Toc15123"/>
      <w:r>
        <w:rPr>
          <w:rFonts w:hint="eastAsia" w:ascii="宋体" w:hAnsi="宋体"/>
          <w:b/>
          <w:bCs/>
          <w:color w:val="000000"/>
          <w:kern w:val="2"/>
          <w:szCs w:val="24"/>
          <w:lang w:val="zh-CN"/>
        </w:rPr>
        <w:t>一、项目概述</w:t>
      </w:r>
      <w:bookmarkEnd w:id="13"/>
      <w:bookmarkEnd w:id="14"/>
    </w:p>
    <w:p w14:paraId="3615F765">
      <w:pPr>
        <w:ind w:firstLine="480"/>
        <w:rPr>
          <w:rFonts w:ascii="宋体" w:hAnsi="宋体"/>
          <w:color w:val="000000"/>
          <w:kern w:val="2"/>
          <w:szCs w:val="24"/>
          <w:highlight w:val="yellow"/>
          <w:lang w:val="zh-CN"/>
        </w:rPr>
      </w:pPr>
      <w:r>
        <w:rPr>
          <w:rFonts w:hint="eastAsia" w:ascii="宋体" w:hAnsi="宋体"/>
          <w:color w:val="000000"/>
          <w:kern w:val="2"/>
          <w:szCs w:val="24"/>
          <w:lang w:val="zh-CN"/>
        </w:rPr>
        <w:t>1.1项目编号：</w:t>
      </w:r>
      <w:r>
        <w:rPr>
          <w:rFonts w:hint="eastAsia" w:ascii="宋体" w:hAnsi="宋体"/>
          <w:color w:val="000000"/>
          <w:kern w:val="2"/>
          <w:szCs w:val="24"/>
          <w:highlight w:val="none"/>
          <w:lang w:eastAsia="zh-CN"/>
        </w:rPr>
        <w:t>JSZC-320000-JSZC-G2025-0082</w:t>
      </w:r>
    </w:p>
    <w:p w14:paraId="13C967FD">
      <w:pPr>
        <w:ind w:firstLine="480"/>
        <w:rPr>
          <w:rFonts w:ascii="宋体" w:hAnsi="宋体"/>
          <w:color w:val="000000"/>
          <w:kern w:val="2"/>
          <w:szCs w:val="24"/>
          <w:lang w:val="zh-CN"/>
        </w:rPr>
      </w:pPr>
      <w:r>
        <w:rPr>
          <w:rFonts w:hint="eastAsia" w:ascii="宋体" w:hAnsi="宋体"/>
          <w:color w:val="000000"/>
          <w:kern w:val="2"/>
          <w:szCs w:val="24"/>
          <w:lang w:val="zh-CN"/>
        </w:rPr>
        <w:t>1.2项目名称：总统府文化服务区1号楼（总统府景区游客服务中心）装修改造项目</w:t>
      </w:r>
    </w:p>
    <w:p w14:paraId="1EDACFA9">
      <w:pPr>
        <w:ind w:firstLine="480"/>
        <w:rPr>
          <w:rFonts w:ascii="宋体" w:hAnsi="宋体"/>
          <w:color w:val="000000"/>
          <w:kern w:val="2"/>
          <w:szCs w:val="24"/>
          <w:lang w:val="zh-CN"/>
        </w:rPr>
      </w:pPr>
      <w:r>
        <w:rPr>
          <w:rFonts w:hint="eastAsia" w:ascii="宋体" w:hAnsi="宋体"/>
          <w:color w:val="000000"/>
          <w:kern w:val="2"/>
          <w:szCs w:val="24"/>
          <w:lang w:val="zh-CN"/>
        </w:rPr>
        <w:t>1.3采购方式：公开招标</w:t>
      </w:r>
    </w:p>
    <w:p w14:paraId="5833E920">
      <w:pPr>
        <w:ind w:firstLine="480"/>
        <w:rPr>
          <w:rFonts w:ascii="宋体" w:hAnsi="宋体"/>
          <w:color w:val="000000"/>
          <w:kern w:val="2"/>
          <w:szCs w:val="24"/>
          <w:highlight w:val="none"/>
          <w:lang w:val="zh-CN"/>
        </w:rPr>
      </w:pPr>
      <w:r>
        <w:rPr>
          <w:rFonts w:hint="eastAsia" w:ascii="宋体" w:hAnsi="宋体"/>
          <w:color w:val="000000"/>
          <w:kern w:val="2"/>
          <w:szCs w:val="24"/>
          <w:highlight w:val="none"/>
          <w:lang w:val="zh-CN"/>
        </w:rPr>
        <w:t>1.4预算金额：</w:t>
      </w:r>
      <w:r>
        <w:rPr>
          <w:rFonts w:hint="eastAsia" w:ascii="宋体" w:hAnsi="宋体"/>
          <w:highlight w:val="none"/>
          <w:lang w:eastAsia="zh-CN"/>
        </w:rPr>
        <w:t>399.81926</w:t>
      </w:r>
      <w:r>
        <w:rPr>
          <w:rFonts w:hint="eastAsia" w:ascii="宋体" w:hAnsi="宋体"/>
          <w:color w:val="000000"/>
          <w:kern w:val="2"/>
          <w:szCs w:val="24"/>
          <w:highlight w:val="none"/>
          <w:lang w:val="zh-CN"/>
        </w:rPr>
        <w:t>万元</w:t>
      </w:r>
    </w:p>
    <w:p w14:paraId="46098B44">
      <w:pPr>
        <w:ind w:firstLine="480"/>
        <w:rPr>
          <w:rFonts w:ascii="宋体" w:hAnsi="宋体"/>
          <w:color w:val="000000"/>
          <w:kern w:val="2"/>
          <w:szCs w:val="24"/>
          <w:highlight w:val="none"/>
          <w:lang w:val="zh-CN"/>
        </w:rPr>
      </w:pPr>
      <w:r>
        <w:rPr>
          <w:rFonts w:hint="eastAsia" w:ascii="宋体" w:hAnsi="宋体"/>
          <w:color w:val="000000"/>
          <w:kern w:val="2"/>
          <w:szCs w:val="24"/>
          <w:highlight w:val="none"/>
          <w:lang w:val="zh-CN"/>
        </w:rPr>
        <w:t>1.5最高限价：</w:t>
      </w:r>
      <w:r>
        <w:rPr>
          <w:rFonts w:hint="eastAsia" w:ascii="宋体" w:hAnsi="宋体"/>
          <w:highlight w:val="none"/>
          <w:lang w:eastAsia="zh-CN"/>
        </w:rPr>
        <w:t>399.81926</w:t>
      </w:r>
      <w:r>
        <w:rPr>
          <w:rFonts w:hint="eastAsia" w:ascii="宋体" w:hAnsi="宋体"/>
          <w:color w:val="000000"/>
          <w:kern w:val="2"/>
          <w:szCs w:val="24"/>
          <w:highlight w:val="none"/>
          <w:lang w:val="zh-CN"/>
        </w:rPr>
        <w:t>万元</w:t>
      </w:r>
    </w:p>
    <w:p w14:paraId="37AC06B6">
      <w:pPr>
        <w:ind w:firstLine="480"/>
        <w:rPr>
          <w:rFonts w:ascii="宋体" w:hAnsi="宋体"/>
          <w:color w:val="000000"/>
          <w:kern w:val="2"/>
          <w:szCs w:val="24"/>
          <w:highlight w:val="none"/>
          <w:lang w:val="zh-CN"/>
        </w:rPr>
      </w:pPr>
      <w:r>
        <w:rPr>
          <w:rFonts w:hint="eastAsia" w:ascii="宋体" w:hAnsi="宋体"/>
          <w:color w:val="000000"/>
          <w:kern w:val="2"/>
          <w:szCs w:val="24"/>
          <w:lang w:val="zh-CN"/>
        </w:rPr>
        <w:t>1.6 采购需求：总统府文化服务区1号楼（总统府景区游客服务中心）装修改造项目</w:t>
      </w:r>
      <w:r>
        <w:rPr>
          <w:rFonts w:hint="eastAsia" w:ascii="宋体" w:hAnsi="宋体"/>
        </w:rPr>
        <w:t>，具体详见</w:t>
      </w:r>
      <w:r>
        <w:rPr>
          <w:rFonts w:hint="eastAsia" w:ascii="宋体" w:hAnsi="宋体"/>
          <w:lang w:eastAsia="zh-CN"/>
        </w:rPr>
        <w:t>图</w:t>
      </w:r>
      <w:r>
        <w:rPr>
          <w:rFonts w:hint="eastAsia" w:ascii="宋体" w:hAnsi="宋体"/>
          <w:highlight w:val="none"/>
          <w:lang w:eastAsia="zh-CN"/>
        </w:rPr>
        <w:t>纸及</w:t>
      </w:r>
      <w:r>
        <w:rPr>
          <w:rFonts w:hint="eastAsia" w:ascii="宋体" w:hAnsi="宋体"/>
          <w:highlight w:val="none"/>
        </w:rPr>
        <w:t>工程量清单。</w:t>
      </w:r>
    </w:p>
    <w:p w14:paraId="3823F5D4">
      <w:pPr>
        <w:ind w:firstLine="480"/>
        <w:rPr>
          <w:rFonts w:ascii="宋体" w:hAnsi="宋体"/>
          <w:color w:val="000000"/>
          <w:kern w:val="2"/>
          <w:szCs w:val="24"/>
          <w:highlight w:val="none"/>
          <w:lang w:val="zh-CN"/>
        </w:rPr>
      </w:pPr>
      <w:r>
        <w:rPr>
          <w:rFonts w:hint="eastAsia" w:ascii="宋体" w:hAnsi="宋体"/>
          <w:color w:val="000000"/>
          <w:kern w:val="2"/>
          <w:szCs w:val="24"/>
          <w:highlight w:val="none"/>
          <w:lang w:val="zh-CN"/>
        </w:rPr>
        <w:t>1.7</w:t>
      </w:r>
      <w:r>
        <w:rPr>
          <w:rFonts w:hint="eastAsia"/>
          <w:bCs/>
          <w:szCs w:val="24"/>
          <w:highlight w:val="none"/>
        </w:rPr>
        <w:t>合同履行期限：</w:t>
      </w:r>
      <w:r>
        <w:rPr>
          <w:rFonts w:hint="eastAsia"/>
          <w:bCs/>
          <w:szCs w:val="24"/>
          <w:highlight w:val="none"/>
          <w:lang w:val="en-US" w:eastAsia="zh-CN"/>
        </w:rPr>
        <w:t>120</w:t>
      </w:r>
      <w:r>
        <w:rPr>
          <w:rFonts w:hint="eastAsia"/>
          <w:bCs/>
          <w:szCs w:val="24"/>
          <w:highlight w:val="none"/>
        </w:rPr>
        <w:t>日历天</w:t>
      </w:r>
    </w:p>
    <w:p w14:paraId="6D153F61">
      <w:pPr>
        <w:ind w:firstLine="480"/>
        <w:rPr>
          <w:rFonts w:ascii="宋体" w:hAnsi="宋体"/>
          <w:color w:val="000000"/>
          <w:kern w:val="2"/>
          <w:szCs w:val="24"/>
          <w:lang w:val="zh-CN"/>
        </w:rPr>
      </w:pPr>
      <w:r>
        <w:rPr>
          <w:rFonts w:hint="eastAsia" w:ascii="宋体" w:hAnsi="宋体"/>
          <w:color w:val="000000"/>
          <w:kern w:val="2"/>
          <w:szCs w:val="24"/>
          <w:lang w:val="zh-CN"/>
        </w:rPr>
        <w:t>1.8本项目（是/否）接受联合体：否</w:t>
      </w:r>
    </w:p>
    <w:p w14:paraId="247B903D">
      <w:pPr>
        <w:ind w:firstLine="482"/>
        <w:rPr>
          <w:rFonts w:ascii="宋体" w:hAnsi="宋体"/>
          <w:b/>
          <w:bCs/>
          <w:color w:val="000000"/>
          <w:kern w:val="2"/>
          <w:szCs w:val="24"/>
          <w:lang w:val="zh-CN"/>
        </w:rPr>
      </w:pPr>
      <w:bookmarkStart w:id="15" w:name="_Toc6870"/>
      <w:bookmarkStart w:id="16" w:name="_Toc28878"/>
      <w:r>
        <w:rPr>
          <w:rFonts w:hint="eastAsia" w:ascii="宋体" w:hAnsi="宋体"/>
          <w:b/>
          <w:bCs/>
          <w:color w:val="000000"/>
          <w:kern w:val="2"/>
          <w:szCs w:val="24"/>
          <w:lang w:val="zh-CN"/>
        </w:rPr>
        <w:t>二、</w:t>
      </w:r>
      <w:bookmarkEnd w:id="15"/>
      <w:bookmarkEnd w:id="16"/>
      <w:r>
        <w:rPr>
          <w:rFonts w:hint="eastAsia" w:ascii="宋体" w:hAnsi="宋体"/>
          <w:b/>
          <w:bCs/>
          <w:color w:val="000000"/>
          <w:kern w:val="2"/>
          <w:szCs w:val="24"/>
          <w:lang w:val="zh-CN"/>
        </w:rPr>
        <w:t>申请人的资格要求:</w:t>
      </w:r>
    </w:p>
    <w:p w14:paraId="552E9E5A">
      <w:pPr>
        <w:ind w:firstLine="482"/>
        <w:rPr>
          <w:rFonts w:ascii="宋体" w:hAnsi="宋体"/>
          <w:b/>
          <w:bCs/>
          <w:color w:val="000000"/>
          <w:kern w:val="2"/>
          <w:szCs w:val="24"/>
          <w:lang w:val="zh-CN"/>
        </w:rPr>
      </w:pPr>
      <w:r>
        <w:rPr>
          <w:rFonts w:hint="eastAsia" w:ascii="宋体" w:hAnsi="宋体"/>
          <w:b/>
          <w:bCs/>
          <w:color w:val="000000"/>
          <w:kern w:val="2"/>
          <w:szCs w:val="24"/>
          <w:lang w:val="zh-CN"/>
        </w:rPr>
        <w:t>2.1  满足《中华人民共和国政府采购法》第二十二条规定；</w:t>
      </w:r>
    </w:p>
    <w:p w14:paraId="534D1D7E">
      <w:pPr>
        <w:ind w:firstLine="480"/>
        <w:rPr>
          <w:rFonts w:ascii="宋体" w:hAnsi="宋体"/>
          <w:color w:val="000000"/>
          <w:kern w:val="2"/>
          <w:szCs w:val="24"/>
          <w:lang w:val="zh-CN"/>
        </w:rPr>
      </w:pPr>
      <w:bookmarkStart w:id="17" w:name="_Toc30667"/>
      <w:bookmarkStart w:id="18" w:name="_Toc6014"/>
      <w:r>
        <w:rPr>
          <w:rFonts w:hint="eastAsia" w:ascii="宋体" w:hAnsi="宋体"/>
          <w:color w:val="000000"/>
          <w:kern w:val="2"/>
          <w:szCs w:val="24"/>
          <w:lang w:val="zh-CN"/>
        </w:rPr>
        <w:t>（1）具有独立承担民事责任的能力（提供法人或者其他组织的营业执照并加盖公章；投标人为自然人的，提供其身份证并加盖公章）；</w:t>
      </w:r>
    </w:p>
    <w:p w14:paraId="67FFC665">
      <w:pPr>
        <w:ind w:firstLine="480"/>
        <w:rPr>
          <w:rFonts w:ascii="宋体" w:hAnsi="宋体"/>
          <w:color w:val="000000"/>
          <w:kern w:val="2"/>
          <w:szCs w:val="24"/>
          <w:lang w:val="zh-CN"/>
        </w:rPr>
      </w:pPr>
      <w:r>
        <w:rPr>
          <w:rFonts w:hint="eastAsia" w:ascii="宋体" w:hAnsi="宋体"/>
          <w:color w:val="000000"/>
          <w:kern w:val="2"/>
          <w:szCs w:val="24"/>
          <w:lang w:val="zh-CN"/>
        </w:rPr>
        <w:t>（2）具有良好的商业信誉和健全的财务会计制度；</w:t>
      </w:r>
    </w:p>
    <w:p w14:paraId="6BBDA48F">
      <w:pPr>
        <w:ind w:firstLine="480"/>
        <w:rPr>
          <w:rFonts w:ascii="宋体" w:hAnsi="宋体"/>
          <w:color w:val="000000"/>
          <w:kern w:val="2"/>
          <w:szCs w:val="24"/>
          <w:lang w:val="zh-CN"/>
        </w:rPr>
      </w:pPr>
      <w:r>
        <w:rPr>
          <w:rFonts w:hint="eastAsia" w:ascii="宋体" w:hAnsi="宋体"/>
          <w:color w:val="000000"/>
          <w:kern w:val="2"/>
          <w:szCs w:val="24"/>
          <w:lang w:val="zh-CN"/>
        </w:rPr>
        <w:t>（3）具有履行合同所必需的设备或专业技术能力；</w:t>
      </w:r>
    </w:p>
    <w:p w14:paraId="764A16D7">
      <w:pPr>
        <w:ind w:firstLine="480"/>
        <w:rPr>
          <w:rFonts w:ascii="宋体" w:hAnsi="宋体"/>
          <w:color w:val="000000"/>
          <w:kern w:val="2"/>
          <w:szCs w:val="24"/>
          <w:lang w:val="zh-CN"/>
        </w:rPr>
      </w:pPr>
      <w:r>
        <w:rPr>
          <w:rFonts w:hint="eastAsia" w:ascii="宋体" w:hAnsi="宋体"/>
          <w:color w:val="000000"/>
          <w:kern w:val="2"/>
          <w:szCs w:val="24"/>
          <w:lang w:val="zh-CN"/>
        </w:rPr>
        <w:t>（4）具有依法缴纳税收和社会保障资金的良好记录；</w:t>
      </w:r>
    </w:p>
    <w:p w14:paraId="55849E19">
      <w:pPr>
        <w:ind w:firstLine="480"/>
        <w:rPr>
          <w:rFonts w:ascii="宋体" w:hAnsi="宋体"/>
          <w:color w:val="000000"/>
          <w:kern w:val="2"/>
          <w:szCs w:val="24"/>
          <w:lang w:val="zh-CN"/>
        </w:rPr>
      </w:pPr>
      <w:r>
        <w:rPr>
          <w:rFonts w:hint="eastAsia" w:ascii="宋体" w:hAnsi="宋体"/>
          <w:color w:val="000000"/>
          <w:kern w:val="2"/>
          <w:szCs w:val="24"/>
          <w:lang w:val="zh-CN"/>
        </w:rPr>
        <w:t>（5）参加政府采购活动前三年内，在经营活动中没有重大违法记录；</w:t>
      </w:r>
    </w:p>
    <w:p w14:paraId="5C4817B3">
      <w:pPr>
        <w:ind w:firstLine="480"/>
        <w:rPr>
          <w:rFonts w:ascii="宋体" w:hAnsi="宋体"/>
          <w:color w:val="000000"/>
          <w:kern w:val="2"/>
          <w:szCs w:val="24"/>
          <w:lang w:val="zh-CN"/>
        </w:rPr>
      </w:pPr>
      <w:r>
        <w:rPr>
          <w:rFonts w:hint="eastAsia" w:ascii="宋体" w:hAnsi="宋体"/>
          <w:color w:val="000000"/>
          <w:kern w:val="2"/>
          <w:szCs w:val="24"/>
          <w:lang w:val="zh-CN"/>
        </w:rPr>
        <w:t>（6）法律、行政法规规定的其他条件：无</w:t>
      </w:r>
    </w:p>
    <w:p w14:paraId="373ED39F">
      <w:pPr>
        <w:ind w:firstLine="480"/>
        <w:rPr>
          <w:rFonts w:ascii="宋体" w:hAnsi="宋体"/>
          <w:color w:val="000000"/>
          <w:kern w:val="2"/>
          <w:szCs w:val="24"/>
          <w:lang w:val="zh-CN"/>
        </w:rPr>
      </w:pPr>
      <w:r>
        <w:rPr>
          <w:rFonts w:hint="eastAsia" w:ascii="宋体" w:hAnsi="宋体"/>
          <w:color w:val="000000"/>
          <w:kern w:val="2"/>
          <w:szCs w:val="24"/>
          <w:lang w:val="zh-CN"/>
        </w:rPr>
        <w:t>以上（2）~（6）根据《关于在政府采购活动中推行信用承诺制的通知》宁财购通〔2021〕5 号规定，在政府采购活动中，供应商只需在资格审查环节提供满足相应条件的书面承诺书（即《</w:t>
      </w:r>
      <w:r>
        <w:rPr>
          <w:rFonts w:hint="eastAsia" w:ascii="宋体" w:hAnsi="宋体"/>
          <w:color w:val="000000"/>
          <w:kern w:val="2"/>
          <w:szCs w:val="24"/>
        </w:rPr>
        <w:t>南京市政府采购供应商信用记录表暨信用承诺书</w:t>
      </w:r>
      <w:r>
        <w:rPr>
          <w:rFonts w:hint="eastAsia" w:ascii="宋体" w:hAnsi="宋体"/>
          <w:color w:val="000000"/>
          <w:kern w:val="2"/>
          <w:szCs w:val="24"/>
          <w:lang w:val="zh-CN"/>
        </w:rPr>
        <w:t>》）。（自身符合《政府采购法》第二十二条规定、按约定提交相关材料的承诺，以及违背承诺自愿承担相关责任的约定）。</w:t>
      </w:r>
    </w:p>
    <w:p w14:paraId="03BF1418">
      <w:pPr>
        <w:ind w:firstLine="480"/>
        <w:rPr>
          <w:rFonts w:ascii="宋体" w:hAnsi="宋体"/>
          <w:color w:val="000000"/>
          <w:kern w:val="2"/>
          <w:szCs w:val="24"/>
          <w:lang w:val="zh-CN"/>
        </w:rPr>
      </w:pPr>
      <w:r>
        <w:rPr>
          <w:rFonts w:hint="eastAsia" w:ascii="宋体" w:hAnsi="宋体"/>
          <w:color w:val="000000"/>
          <w:kern w:val="2"/>
          <w:szCs w:val="24"/>
          <w:lang w:val="zh-CN"/>
        </w:rPr>
        <w:t>不适用信用承诺的情形：</w:t>
      </w:r>
    </w:p>
    <w:p w14:paraId="416CD374">
      <w:pPr>
        <w:ind w:firstLine="480"/>
        <w:rPr>
          <w:rFonts w:ascii="宋体" w:hAnsi="宋体"/>
          <w:color w:val="000000"/>
          <w:kern w:val="2"/>
          <w:szCs w:val="24"/>
          <w:lang w:val="zh-CN"/>
        </w:rPr>
      </w:pPr>
      <w:r>
        <w:rPr>
          <w:rFonts w:hint="eastAsia" w:ascii="宋体" w:hAnsi="宋体"/>
          <w:color w:val="000000"/>
          <w:kern w:val="2"/>
          <w:szCs w:val="24"/>
          <w:lang w:val="zh-CN"/>
        </w:rPr>
        <w:t>（1）供应商被列入严重失信主体名单；</w:t>
      </w:r>
    </w:p>
    <w:p w14:paraId="4AE58727">
      <w:pPr>
        <w:ind w:firstLine="480"/>
        <w:rPr>
          <w:rFonts w:ascii="宋体" w:hAnsi="宋体"/>
          <w:color w:val="000000"/>
          <w:kern w:val="2"/>
          <w:szCs w:val="24"/>
          <w:lang w:val="zh-CN"/>
        </w:rPr>
      </w:pPr>
      <w:r>
        <w:rPr>
          <w:rFonts w:hint="eastAsia" w:ascii="宋体" w:hAnsi="宋体"/>
          <w:color w:val="000000"/>
          <w:kern w:val="2"/>
          <w:szCs w:val="24"/>
          <w:lang w:val="zh-CN"/>
        </w:rPr>
        <w:t>（2）被相关监管部门作出行政处罚且尚在处罚有效期内；</w:t>
      </w:r>
    </w:p>
    <w:p w14:paraId="6D14A370">
      <w:pPr>
        <w:ind w:firstLine="480"/>
        <w:rPr>
          <w:rFonts w:ascii="宋体" w:hAnsi="宋体"/>
          <w:color w:val="000000"/>
          <w:kern w:val="2"/>
          <w:szCs w:val="24"/>
          <w:lang w:val="zh-CN"/>
        </w:rPr>
      </w:pPr>
      <w:r>
        <w:rPr>
          <w:rFonts w:hint="eastAsia" w:ascii="宋体" w:hAnsi="宋体"/>
          <w:color w:val="000000"/>
          <w:kern w:val="2"/>
          <w:szCs w:val="24"/>
          <w:lang w:val="zh-CN"/>
        </w:rPr>
        <w:t>（3）其他法律、行政法规规定的不适用信用承诺的情形。</w:t>
      </w:r>
    </w:p>
    <w:p w14:paraId="15A6EC6E">
      <w:pPr>
        <w:ind w:firstLine="480"/>
        <w:rPr>
          <w:rFonts w:ascii="宋体" w:hAnsi="宋体"/>
          <w:color w:val="000000"/>
          <w:kern w:val="2"/>
          <w:szCs w:val="24"/>
          <w:lang w:val="zh-CN"/>
        </w:rPr>
      </w:pPr>
      <w:r>
        <w:rPr>
          <w:rFonts w:hint="eastAsia" w:ascii="宋体" w:hAnsi="宋体"/>
          <w:color w:val="000000"/>
          <w:kern w:val="2"/>
          <w:szCs w:val="24"/>
          <w:lang w:val="zh-CN"/>
        </w:rPr>
        <w:t>供应商在成交后，应按采购文件要求，将由信用承诺书替代的证明材料提交采购人或采购代理机构核验。经核验无误后，由采购人或采购代理机构发出中标通知书。</w:t>
      </w:r>
    </w:p>
    <w:p w14:paraId="48A4788D">
      <w:pPr>
        <w:ind w:firstLine="480"/>
        <w:rPr>
          <w:rFonts w:ascii="宋体" w:hAnsi="宋体"/>
          <w:b/>
          <w:bCs/>
          <w:color w:val="000000"/>
          <w:lang w:val="zh-CN"/>
        </w:rPr>
      </w:pPr>
      <w:r>
        <w:rPr>
          <w:rFonts w:hint="eastAsia" w:ascii="宋体" w:hAnsi="宋体"/>
          <w:b/>
          <w:bCs/>
          <w:color w:val="000000"/>
          <w:lang w:val="zh-CN"/>
        </w:rPr>
        <w:t>2.2 本项目的特定资格要求：</w:t>
      </w:r>
    </w:p>
    <w:p w14:paraId="3DF5F516">
      <w:pPr>
        <w:ind w:firstLine="480"/>
        <w:rPr>
          <w:rFonts w:ascii="宋体" w:hAnsi="宋体"/>
          <w:color w:val="000000"/>
          <w:kern w:val="2"/>
          <w:szCs w:val="24"/>
          <w:highlight w:val="none"/>
          <w:lang w:val="zh-CN"/>
        </w:rPr>
      </w:pPr>
      <w:r>
        <w:rPr>
          <w:rFonts w:hint="eastAsia" w:ascii="宋体" w:hAnsi="宋体"/>
          <w:color w:val="000000"/>
          <w:kern w:val="2"/>
          <w:szCs w:val="24"/>
          <w:highlight w:val="none"/>
          <w:lang w:val="zh-CN"/>
        </w:rPr>
        <w:t>（1）企业资质条件：具有有效的建筑工程施工总承包三级(含)以上资质并取得有效的安全生产许可证</w:t>
      </w:r>
      <w:r>
        <w:rPr>
          <w:rFonts w:hint="eastAsia" w:ascii="宋体" w:hAnsi="宋体"/>
          <w:color w:val="000000"/>
          <w:kern w:val="2"/>
          <w:szCs w:val="24"/>
          <w:highlight w:val="none"/>
          <w:lang w:val="en-US" w:eastAsia="zh-CN"/>
        </w:rPr>
        <w:t>（</w:t>
      </w:r>
      <w:r>
        <w:rPr>
          <w:rFonts w:hint="eastAsia" w:ascii="宋体" w:hAnsi="宋体" w:eastAsia="宋体" w:cs="宋体"/>
          <w:color w:val="000000"/>
          <w:kern w:val="0"/>
          <w:sz w:val="24"/>
          <w:szCs w:val="24"/>
          <w:highlight w:val="none"/>
          <w:lang w:val="en-US" w:eastAsia="zh-CN" w:bidi="ar"/>
        </w:rPr>
        <w:t>提供资质证书复印件并加盖公章）</w:t>
      </w:r>
      <w:r>
        <w:rPr>
          <w:rFonts w:hint="eastAsia" w:ascii="宋体" w:hAnsi="宋体"/>
          <w:color w:val="000000"/>
          <w:kern w:val="2"/>
          <w:szCs w:val="24"/>
          <w:highlight w:val="none"/>
          <w:lang w:val="zh-CN"/>
        </w:rPr>
        <w:t>。</w:t>
      </w:r>
    </w:p>
    <w:p w14:paraId="3817D77E">
      <w:pPr>
        <w:ind w:firstLine="480"/>
        <w:rPr>
          <w:rFonts w:ascii="宋体" w:hAnsi="宋体"/>
          <w:color w:val="000000"/>
          <w:kern w:val="2"/>
          <w:szCs w:val="24"/>
          <w:highlight w:val="none"/>
          <w:lang w:val="zh-CN"/>
        </w:rPr>
      </w:pPr>
      <w:r>
        <w:rPr>
          <w:rFonts w:hint="eastAsia" w:ascii="宋体" w:hAnsi="宋体"/>
          <w:color w:val="000000"/>
          <w:kern w:val="2"/>
          <w:szCs w:val="24"/>
          <w:highlight w:val="none"/>
          <w:lang w:val="zh-CN"/>
        </w:rPr>
        <w:t>（2）项目负责人资格：</w:t>
      </w:r>
      <w:r>
        <w:rPr>
          <w:rFonts w:hint="eastAsia" w:ascii="宋体" w:hAnsi="宋体" w:eastAsia="宋体" w:cs="宋体"/>
          <w:color w:val="000000"/>
          <w:kern w:val="0"/>
          <w:sz w:val="24"/>
          <w:szCs w:val="24"/>
          <w:highlight w:val="none"/>
          <w:lang w:val="en-US" w:eastAsia="zh-CN" w:bidi="ar"/>
        </w:rPr>
        <w:t>具</w:t>
      </w:r>
      <w:r>
        <w:rPr>
          <w:rFonts w:hint="eastAsia" w:ascii="宋体" w:hAnsi="宋体"/>
          <w:color w:val="000000"/>
          <w:kern w:val="2"/>
          <w:szCs w:val="24"/>
          <w:highlight w:val="none"/>
          <w:lang w:val="en-US" w:eastAsia="zh-CN"/>
        </w:rPr>
        <w:t>有</w:t>
      </w:r>
      <w:r>
        <w:rPr>
          <w:rFonts w:hint="eastAsia" w:ascii="宋体" w:hAnsi="宋体"/>
          <w:color w:val="000000"/>
          <w:kern w:val="2"/>
          <w:szCs w:val="24"/>
          <w:highlight w:val="none"/>
          <w:lang w:val="zh-CN"/>
        </w:rPr>
        <w:t>注册建造师证建筑工程二级（含）以上并具有有效的安全生产考核证书（B类证）（提供证书复印件并加盖公章）。</w:t>
      </w:r>
    </w:p>
    <w:p w14:paraId="3C48AB18">
      <w:pPr>
        <w:ind w:firstLine="482"/>
        <w:rPr>
          <w:rFonts w:ascii="宋体" w:hAnsi="宋体"/>
          <w:szCs w:val="24"/>
          <w:lang w:val="zh-CN"/>
        </w:rPr>
      </w:pPr>
      <w:r>
        <w:rPr>
          <w:rFonts w:hint="eastAsia" w:ascii="宋体" w:hAnsi="宋体"/>
          <w:b/>
          <w:bCs/>
          <w:color w:val="000000"/>
          <w:kern w:val="2"/>
          <w:szCs w:val="24"/>
          <w:lang w:val="zh-CN"/>
        </w:rPr>
        <w:t>2.</w:t>
      </w:r>
      <w:r>
        <w:rPr>
          <w:rFonts w:hint="eastAsia" w:ascii="宋体" w:hAnsi="宋体"/>
          <w:b/>
          <w:bCs/>
          <w:color w:val="000000"/>
          <w:kern w:val="2"/>
          <w:szCs w:val="24"/>
        </w:rPr>
        <w:t>3</w:t>
      </w:r>
      <w:r>
        <w:rPr>
          <w:rFonts w:hint="eastAsia" w:ascii="宋体" w:hAnsi="宋体"/>
          <w:b/>
          <w:bCs/>
          <w:color w:val="000000"/>
          <w:kern w:val="2"/>
          <w:szCs w:val="24"/>
          <w:lang w:val="zh-CN"/>
        </w:rPr>
        <w:t xml:space="preserve"> 落实政府采购政策需满足的资格要求：</w:t>
      </w:r>
      <w:r>
        <w:rPr>
          <w:rFonts w:hint="eastAsia" w:ascii="宋体" w:hAnsi="宋体"/>
          <w:szCs w:val="24"/>
          <w:lang w:val="zh-CN"/>
        </w:rPr>
        <w:t>（如属于专门面向中小企业采购的项目，供应商应为中小微企业、监狱企业、残疾人福利性单位）本项目按照采用以下第（</w:t>
      </w:r>
      <w:r>
        <w:rPr>
          <w:rFonts w:hint="eastAsia" w:ascii="宋体" w:hAnsi="宋体"/>
          <w:lang w:val="en-US" w:eastAsia="zh-CN"/>
        </w:rPr>
        <w:t>4</w:t>
      </w:r>
      <w:r>
        <w:rPr>
          <w:rFonts w:hint="eastAsia" w:ascii="宋体" w:hAnsi="宋体"/>
          <w:szCs w:val="24"/>
          <w:lang w:val="zh-CN"/>
        </w:rPr>
        <w:t>）种方式落实政府采购促进中小企业发展的要求：</w:t>
      </w:r>
    </w:p>
    <w:p w14:paraId="785E4BC1">
      <w:pPr>
        <w:ind w:firstLine="480"/>
        <w:rPr>
          <w:rFonts w:ascii="宋体" w:hAnsi="宋体"/>
          <w:szCs w:val="24"/>
          <w:lang w:val="zh-CN"/>
        </w:rPr>
      </w:pPr>
      <w:r>
        <w:rPr>
          <w:rFonts w:hint="eastAsia" w:ascii="宋体" w:hAnsi="宋体"/>
          <w:szCs w:val="24"/>
          <w:lang w:val="zh-CN"/>
        </w:rPr>
        <w:t>（1）本项目整体专门面向中小企业采购服务。</w:t>
      </w:r>
    </w:p>
    <w:p w14:paraId="355172F8">
      <w:pPr>
        <w:ind w:firstLine="480"/>
        <w:rPr>
          <w:rFonts w:ascii="宋体" w:hAnsi="宋体"/>
          <w:szCs w:val="24"/>
          <w:lang w:val="zh-CN"/>
        </w:rPr>
      </w:pPr>
      <w:r>
        <w:rPr>
          <w:rFonts w:hint="eastAsia" w:ascii="宋体" w:hAnsi="宋体"/>
          <w:szCs w:val="24"/>
          <w:lang w:val="zh-CN"/>
        </w:rPr>
        <w:t>（2）本项目整体专门面向小微企业采购服务。</w:t>
      </w:r>
    </w:p>
    <w:p w14:paraId="65CA109A">
      <w:pPr>
        <w:ind w:firstLine="480"/>
        <w:rPr>
          <w:rFonts w:ascii="宋体" w:hAnsi="宋体"/>
          <w:szCs w:val="24"/>
          <w:lang w:val="zh-CN"/>
        </w:rPr>
      </w:pPr>
      <w:r>
        <w:rPr>
          <w:rFonts w:hint="eastAsia" w:ascii="宋体" w:hAnsi="宋体"/>
          <w:szCs w:val="24"/>
          <w:lang w:val="zh-CN"/>
        </w:rPr>
        <w:t>（3）本项目通过以下第（）种方式预留部分采购份额采购中小企业服务：</w:t>
      </w:r>
    </w:p>
    <w:p w14:paraId="63E29116">
      <w:pPr>
        <w:ind w:firstLine="480"/>
        <w:rPr>
          <w:rFonts w:ascii="宋体" w:hAnsi="宋体"/>
          <w:szCs w:val="24"/>
          <w:lang w:val="zh-CN"/>
        </w:rPr>
      </w:pPr>
      <w:r>
        <w:rPr>
          <w:rFonts w:hint="eastAsia" w:ascii="宋体" w:hAnsi="宋体"/>
          <w:szCs w:val="24"/>
          <w:lang w:val="zh-CN"/>
        </w:rPr>
        <w:t>①本项目要求供应商以联合体形式参加，中小企业合同金额应当达到的比例为%。</w:t>
      </w:r>
    </w:p>
    <w:p w14:paraId="71B7EE55">
      <w:pPr>
        <w:ind w:firstLine="480"/>
        <w:rPr>
          <w:rFonts w:ascii="宋体" w:hAnsi="宋体"/>
          <w:szCs w:val="24"/>
          <w:lang w:val="zh-CN"/>
        </w:rPr>
      </w:pPr>
      <w:r>
        <w:rPr>
          <w:rFonts w:hint="eastAsia" w:ascii="宋体" w:hAnsi="宋体"/>
          <w:szCs w:val="24"/>
          <w:lang w:val="zh-CN"/>
        </w:rPr>
        <w:t>②本项目要求供应商进行合同分包，中小企业合同金额应当达到的比例为%。</w:t>
      </w:r>
    </w:p>
    <w:p w14:paraId="24BE043A">
      <w:pPr>
        <w:ind w:firstLine="480"/>
        <w:rPr>
          <w:rFonts w:ascii="宋体" w:hAnsi="宋体"/>
          <w:b/>
          <w:bCs/>
          <w:color w:val="000000"/>
          <w:kern w:val="2"/>
          <w:szCs w:val="24"/>
          <w:lang w:val="zh-CN"/>
        </w:rPr>
      </w:pPr>
      <w:r>
        <w:rPr>
          <w:rFonts w:hint="eastAsia" w:ascii="宋体" w:hAnsi="宋体"/>
          <w:szCs w:val="24"/>
          <w:lang w:val="zh-CN"/>
        </w:rPr>
        <w:t>（4）本项目为非预留份额的采购项目或采购包，执行价格扣除优惠政策，具体详见评标办法与标准。</w:t>
      </w:r>
    </w:p>
    <w:p w14:paraId="17369F09">
      <w:pPr>
        <w:ind w:firstLine="480"/>
        <w:rPr>
          <w:rFonts w:ascii="宋体" w:hAnsi="宋体"/>
          <w:b/>
          <w:bCs/>
          <w:color w:val="000000"/>
          <w:kern w:val="2"/>
          <w:szCs w:val="24"/>
          <w:lang w:val="zh-CN"/>
        </w:rPr>
      </w:pPr>
      <w:r>
        <w:rPr>
          <w:rFonts w:hint="eastAsia" w:ascii="宋体" w:hAnsi="宋体"/>
          <w:b/>
          <w:bCs/>
          <w:color w:val="000000"/>
          <w:kern w:val="2"/>
          <w:szCs w:val="24"/>
          <w:lang w:val="zh-CN"/>
        </w:rPr>
        <w:t>2.</w:t>
      </w:r>
      <w:r>
        <w:rPr>
          <w:rFonts w:hint="eastAsia" w:ascii="宋体" w:hAnsi="宋体"/>
          <w:b/>
          <w:bCs/>
          <w:color w:val="000000"/>
          <w:kern w:val="2"/>
          <w:szCs w:val="24"/>
        </w:rPr>
        <w:t>4</w:t>
      </w:r>
      <w:r>
        <w:rPr>
          <w:rFonts w:hint="eastAsia" w:ascii="宋体" w:hAnsi="宋体"/>
          <w:b/>
          <w:bCs/>
          <w:color w:val="000000"/>
          <w:kern w:val="2"/>
          <w:szCs w:val="24"/>
          <w:lang w:val="zh-CN"/>
        </w:rPr>
        <w:t xml:space="preserve"> 拒绝下述供应商参加本次采购活动：</w:t>
      </w:r>
    </w:p>
    <w:p w14:paraId="773AB379">
      <w:pPr>
        <w:ind w:firstLine="480"/>
        <w:rPr>
          <w:rFonts w:ascii="宋体" w:hAnsi="宋体"/>
          <w:color w:val="000000"/>
          <w:kern w:val="2"/>
          <w:szCs w:val="24"/>
          <w:lang w:val="zh-CN"/>
        </w:rPr>
      </w:pPr>
      <w:r>
        <w:rPr>
          <w:rFonts w:hint="eastAsia" w:ascii="宋体" w:hAnsi="宋体"/>
          <w:color w:val="000000"/>
          <w:kern w:val="2"/>
          <w:szCs w:val="24"/>
          <w:lang w:val="zh-CN"/>
        </w:rPr>
        <w:t>（1）第2.1（5）条所称重大违法记录，是指供应商因违法经营受到刑事处罚或者责令停产停业、吊销许可证或者执照、较大数额罚款等行政处罚。</w:t>
      </w:r>
    </w:p>
    <w:p w14:paraId="2AB09B3C">
      <w:pPr>
        <w:ind w:firstLine="480"/>
        <w:rPr>
          <w:rFonts w:ascii="宋体" w:hAnsi="宋体"/>
          <w:color w:val="000000"/>
          <w:kern w:val="2"/>
          <w:szCs w:val="24"/>
          <w:lang w:val="zh-CN"/>
        </w:rPr>
      </w:pPr>
      <w:r>
        <w:rPr>
          <w:rFonts w:hint="eastAsia" w:ascii="宋体" w:hAnsi="宋体"/>
          <w:color w:val="000000"/>
          <w:kern w:val="2"/>
          <w:szCs w:val="24"/>
          <w:lang w:val="zh-CN"/>
        </w:rPr>
        <w:t>（2）供应商在参加政府采购活动前3年内因违法经营被禁止在一定期限内参加政府采购活动，期限届满的，可以参加政府采购活动。</w:t>
      </w:r>
    </w:p>
    <w:p w14:paraId="70EA80B0">
      <w:pPr>
        <w:ind w:firstLine="480"/>
        <w:rPr>
          <w:rFonts w:ascii="宋体" w:hAnsi="宋体"/>
          <w:color w:val="000000"/>
          <w:kern w:val="2"/>
          <w:szCs w:val="24"/>
          <w:lang w:val="zh-CN"/>
        </w:rPr>
      </w:pPr>
      <w:r>
        <w:rPr>
          <w:rFonts w:hint="eastAsia" w:ascii="宋体" w:hAnsi="宋体"/>
          <w:color w:val="000000"/>
          <w:kern w:val="2"/>
          <w:szCs w:val="24"/>
          <w:lang w:val="zh-CN"/>
        </w:rPr>
        <w:t>（3）供应商单位负责人为同一人或者存在直接控股、管理关系的不同供应商，不得参加同一合同项下的政府采购活动。</w:t>
      </w:r>
    </w:p>
    <w:p w14:paraId="5CE3EAF1">
      <w:pPr>
        <w:ind w:firstLine="480"/>
        <w:rPr>
          <w:rFonts w:ascii="宋体" w:hAnsi="宋体"/>
          <w:color w:val="000000"/>
          <w:kern w:val="2"/>
          <w:szCs w:val="24"/>
          <w:lang w:val="zh-CN"/>
        </w:rPr>
      </w:pPr>
      <w:r>
        <w:rPr>
          <w:rFonts w:hint="eastAsia" w:ascii="宋体" w:hAnsi="宋体"/>
          <w:color w:val="000000"/>
          <w:kern w:val="2"/>
          <w:szCs w:val="24"/>
          <w:lang w:val="zh-CN"/>
        </w:rPr>
        <w:t>（4）凡为采购项目提供整体设计、规范编制或者项目管理、监理、检测等服务的供应商，不得再参加本项目的采购活动。</w:t>
      </w:r>
    </w:p>
    <w:p w14:paraId="1E099886">
      <w:pPr>
        <w:ind w:firstLine="480"/>
        <w:rPr>
          <w:rFonts w:ascii="宋体" w:hAnsi="宋体"/>
          <w:color w:val="000000"/>
          <w:kern w:val="2"/>
          <w:szCs w:val="24"/>
          <w:lang w:val="zh-CN"/>
        </w:rPr>
      </w:pPr>
      <w:r>
        <w:rPr>
          <w:rFonts w:hint="eastAsia" w:ascii="宋体" w:hAnsi="宋体"/>
          <w:color w:val="000000"/>
          <w:kern w:val="2"/>
          <w:szCs w:val="24"/>
          <w:lang w:val="zh-CN"/>
        </w:rPr>
        <w:t>（5）供应商被“信用中国”网站、“中国政府采购网"列入失信被执行人、重大税收违法案件当事人名单、政府采购严重违法失信行为记录名单。</w:t>
      </w:r>
    </w:p>
    <w:p w14:paraId="01BB964E">
      <w:pPr>
        <w:ind w:firstLine="480"/>
        <w:rPr>
          <w:rFonts w:ascii="宋体" w:hAnsi="宋体"/>
          <w:color w:val="000000"/>
          <w:kern w:val="2"/>
          <w:szCs w:val="24"/>
          <w:lang w:val="zh-CN"/>
        </w:rPr>
      </w:pPr>
      <w:r>
        <w:rPr>
          <w:rFonts w:hint="eastAsia" w:ascii="宋体" w:hAnsi="宋体"/>
          <w:color w:val="000000"/>
          <w:kern w:val="2"/>
          <w:szCs w:val="24"/>
          <w:lang w:val="zh-CN"/>
        </w:rPr>
        <w:t>2.</w:t>
      </w:r>
      <w:r>
        <w:rPr>
          <w:rFonts w:hint="eastAsia" w:ascii="宋体" w:hAnsi="宋体"/>
          <w:color w:val="000000"/>
          <w:kern w:val="2"/>
          <w:szCs w:val="24"/>
        </w:rPr>
        <w:t>5</w:t>
      </w:r>
      <w:r>
        <w:rPr>
          <w:rFonts w:hint="eastAsia" w:ascii="宋体" w:hAnsi="宋体"/>
          <w:color w:val="000000"/>
          <w:kern w:val="2"/>
          <w:szCs w:val="24"/>
          <w:lang w:val="zh-CN"/>
        </w:rPr>
        <w:t xml:space="preserve"> 勘察现场或答疑：本次采购不组织集中勘察现场。</w:t>
      </w:r>
    </w:p>
    <w:p w14:paraId="404CFDEE">
      <w:pPr>
        <w:ind w:firstLine="482"/>
        <w:rPr>
          <w:rFonts w:ascii="宋体" w:hAnsi="宋体"/>
          <w:b/>
          <w:bCs/>
          <w:color w:val="000000"/>
          <w:kern w:val="2"/>
          <w:szCs w:val="24"/>
        </w:rPr>
      </w:pPr>
      <w:r>
        <w:rPr>
          <w:rFonts w:hint="eastAsia" w:ascii="宋体" w:hAnsi="宋体"/>
          <w:b/>
          <w:bCs/>
          <w:color w:val="000000"/>
          <w:kern w:val="2"/>
          <w:szCs w:val="24"/>
        </w:rPr>
        <w:t>三、获取招标文件</w:t>
      </w:r>
    </w:p>
    <w:bookmarkEnd w:id="17"/>
    <w:bookmarkEnd w:id="18"/>
    <w:p w14:paraId="57CBC527">
      <w:pPr>
        <w:ind w:firstLine="480"/>
        <w:rPr>
          <w:rFonts w:ascii="宋体" w:hAnsi="宋体"/>
          <w:color w:val="000000"/>
          <w:kern w:val="2"/>
          <w:szCs w:val="24"/>
        </w:rPr>
      </w:pPr>
      <w:bookmarkStart w:id="19" w:name="_Toc28359015"/>
      <w:bookmarkStart w:id="20" w:name="_Toc35393801"/>
      <w:bookmarkStart w:id="21" w:name="_Toc35393632"/>
      <w:bookmarkStart w:id="22" w:name="_Toc28359092"/>
      <w:r>
        <w:rPr>
          <w:rFonts w:hint="eastAsia" w:ascii="宋体" w:hAnsi="宋体" w:eastAsia="宋体" w:cs="宋体"/>
          <w:color w:val="000000"/>
          <w:kern w:val="2"/>
          <w:szCs w:val="24"/>
          <w:lang w:val="en-US" w:eastAsia="zh-CN"/>
        </w:rPr>
        <w:t>3.1</w:t>
      </w:r>
      <w:r>
        <w:rPr>
          <w:rFonts w:hint="eastAsia" w:ascii="宋体" w:hAnsi="宋体" w:eastAsia="宋体" w:cs="宋体"/>
          <w:color w:val="000000"/>
          <w:kern w:val="2"/>
          <w:szCs w:val="24"/>
          <w:lang w:val="zh-CN"/>
        </w:rPr>
        <w:t>时间：</w:t>
      </w:r>
      <w:r>
        <w:rPr>
          <w:rFonts w:hint="eastAsia" w:ascii="宋体" w:hAnsi="宋体"/>
          <w:color w:val="000000"/>
          <w:kern w:val="2"/>
          <w:szCs w:val="24"/>
          <w:highlight w:val="none"/>
          <w:lang w:val="en-US" w:eastAsia="zh-CN"/>
        </w:rPr>
        <w:t>2025</w:t>
      </w:r>
      <w:r>
        <w:rPr>
          <w:rFonts w:hint="eastAsia" w:ascii="宋体" w:hAnsi="宋体"/>
          <w:color w:val="000000"/>
          <w:kern w:val="2"/>
          <w:szCs w:val="24"/>
          <w:highlight w:val="none"/>
        </w:rPr>
        <w:t>年</w:t>
      </w:r>
      <w:r>
        <w:rPr>
          <w:rFonts w:hint="eastAsia" w:ascii="宋体" w:hAnsi="宋体"/>
          <w:color w:val="000000"/>
          <w:kern w:val="2"/>
          <w:szCs w:val="24"/>
          <w:highlight w:val="none"/>
          <w:lang w:val="en-US" w:eastAsia="zh-CN"/>
        </w:rPr>
        <w:t>9</w:t>
      </w:r>
      <w:r>
        <w:rPr>
          <w:rFonts w:hint="eastAsia" w:ascii="宋体" w:hAnsi="宋体"/>
          <w:color w:val="000000"/>
          <w:kern w:val="2"/>
          <w:szCs w:val="24"/>
          <w:highlight w:val="none"/>
        </w:rPr>
        <w:t>月</w:t>
      </w:r>
      <w:r>
        <w:rPr>
          <w:rFonts w:hint="eastAsia" w:ascii="宋体" w:hAnsi="宋体"/>
          <w:color w:val="000000"/>
          <w:kern w:val="2"/>
          <w:szCs w:val="24"/>
          <w:highlight w:val="none"/>
          <w:lang w:val="en-US" w:eastAsia="zh-CN"/>
        </w:rPr>
        <w:t>28</w:t>
      </w:r>
      <w:r>
        <w:rPr>
          <w:rFonts w:hint="eastAsia" w:ascii="宋体" w:hAnsi="宋体"/>
          <w:color w:val="000000"/>
          <w:kern w:val="2"/>
          <w:szCs w:val="24"/>
          <w:highlight w:val="none"/>
        </w:rPr>
        <w:t>日至202</w:t>
      </w:r>
      <w:r>
        <w:rPr>
          <w:rFonts w:hint="eastAsia" w:ascii="宋体" w:hAnsi="宋体"/>
          <w:color w:val="000000"/>
          <w:kern w:val="2"/>
          <w:szCs w:val="24"/>
          <w:highlight w:val="none"/>
          <w:lang w:val="en-US" w:eastAsia="zh-CN"/>
        </w:rPr>
        <w:t>5</w:t>
      </w:r>
      <w:r>
        <w:rPr>
          <w:rFonts w:hint="eastAsia" w:ascii="宋体" w:hAnsi="宋体"/>
          <w:color w:val="000000"/>
          <w:kern w:val="2"/>
          <w:szCs w:val="24"/>
          <w:highlight w:val="none"/>
        </w:rPr>
        <w:t>年</w:t>
      </w:r>
      <w:r>
        <w:rPr>
          <w:rFonts w:hint="eastAsia" w:ascii="宋体" w:hAnsi="宋体"/>
          <w:color w:val="000000"/>
          <w:kern w:val="2"/>
          <w:szCs w:val="24"/>
          <w:highlight w:val="none"/>
          <w:lang w:val="en-US" w:eastAsia="zh-CN"/>
        </w:rPr>
        <w:t>10</w:t>
      </w:r>
      <w:r>
        <w:rPr>
          <w:rFonts w:hint="eastAsia" w:ascii="宋体" w:hAnsi="宋体"/>
          <w:color w:val="000000"/>
          <w:kern w:val="2"/>
          <w:szCs w:val="24"/>
          <w:highlight w:val="none"/>
        </w:rPr>
        <w:t>月</w:t>
      </w:r>
      <w:r>
        <w:rPr>
          <w:rFonts w:hint="eastAsia" w:ascii="宋体" w:hAnsi="宋体"/>
          <w:color w:val="000000"/>
          <w:kern w:val="2"/>
          <w:szCs w:val="24"/>
          <w:highlight w:val="none"/>
          <w:lang w:val="en-US" w:eastAsia="zh-CN"/>
        </w:rPr>
        <w:t>10</w:t>
      </w:r>
      <w:r>
        <w:rPr>
          <w:rFonts w:hint="eastAsia" w:ascii="宋体" w:hAnsi="宋体"/>
          <w:color w:val="000000"/>
          <w:kern w:val="2"/>
          <w:szCs w:val="24"/>
          <w:highlight w:val="none"/>
        </w:rPr>
        <w:t>日</w:t>
      </w:r>
      <w:r>
        <w:rPr>
          <w:rFonts w:hint="eastAsia" w:ascii="宋体" w:hAnsi="宋体"/>
          <w:color w:val="000000"/>
          <w:kern w:val="2"/>
          <w:szCs w:val="24"/>
        </w:rPr>
        <w:t>，每天上午09:00至11:30，下午14:00至17:00止（北京时间，法定节假日除外）</w:t>
      </w:r>
    </w:p>
    <w:p w14:paraId="27A79A3D">
      <w:pPr>
        <w:ind w:firstLine="480"/>
        <w:rPr>
          <w:rFonts w:hint="eastAsia" w:ascii="宋体" w:hAnsi="宋体"/>
          <w:color w:val="000000"/>
          <w:kern w:val="2"/>
          <w:szCs w:val="24"/>
          <w:lang w:eastAsia="zh-CN"/>
        </w:rPr>
      </w:pPr>
      <w:r>
        <w:rPr>
          <w:rFonts w:hint="eastAsia" w:ascii="宋体" w:hAnsi="宋体"/>
          <w:color w:val="000000"/>
          <w:kern w:val="2"/>
          <w:szCs w:val="24"/>
        </w:rPr>
        <w:t>3.2地点：</w:t>
      </w:r>
      <w:r>
        <w:rPr>
          <w:rFonts w:hint="eastAsia" w:ascii="宋体" w:hAnsi="宋体"/>
          <w:color w:val="000000"/>
          <w:kern w:val="2"/>
          <w:szCs w:val="24"/>
          <w:lang w:eastAsia="zh-CN"/>
        </w:rPr>
        <w:t>南京市建邺区黄山路2号绿溢国际广场B座509</w:t>
      </w:r>
    </w:p>
    <w:p w14:paraId="3FAE9D2B">
      <w:pPr>
        <w:ind w:firstLine="480"/>
        <w:rPr>
          <w:rFonts w:ascii="宋体" w:hAnsi="宋体"/>
          <w:color w:val="000000"/>
          <w:kern w:val="2"/>
          <w:szCs w:val="24"/>
          <w:lang w:val="zh-CN"/>
        </w:rPr>
      </w:pPr>
      <w:r>
        <w:rPr>
          <w:rFonts w:hint="eastAsia" w:ascii="宋体" w:hAnsi="宋体"/>
          <w:color w:val="000000"/>
          <w:kern w:val="2"/>
          <w:szCs w:val="24"/>
        </w:rPr>
        <w:t>3.3方式：网上获取，请供应商将企业营业执照复印件加盖公章、</w:t>
      </w:r>
      <w:r>
        <w:rPr>
          <w:rFonts w:hint="eastAsia" w:ascii="宋体" w:hAnsi="宋体"/>
          <w:color w:val="000000"/>
          <w:kern w:val="2"/>
          <w:szCs w:val="24"/>
          <w:lang w:eastAsia="zh-CN"/>
        </w:rPr>
        <w:t>资质证书复印件加盖公章、安全生产许可证复印件加盖公章、</w:t>
      </w:r>
      <w:r>
        <w:rPr>
          <w:rFonts w:hint="eastAsia" w:ascii="宋体" w:hAnsi="宋体"/>
          <w:color w:val="000000"/>
          <w:kern w:val="2"/>
          <w:szCs w:val="24"/>
        </w:rPr>
        <w:t>授权委托书原件、</w:t>
      </w:r>
      <w:r>
        <w:rPr>
          <w:rFonts w:hint="eastAsia" w:ascii="宋体" w:hAnsi="宋体"/>
          <w:color w:val="000000"/>
          <w:kern w:val="2"/>
          <w:szCs w:val="24"/>
          <w:lang w:eastAsia="zh-CN"/>
        </w:rPr>
        <w:t>法人身份证复印件及</w:t>
      </w:r>
      <w:r>
        <w:rPr>
          <w:rFonts w:hint="eastAsia" w:ascii="宋体" w:hAnsi="宋体"/>
          <w:color w:val="000000"/>
          <w:kern w:val="2"/>
          <w:szCs w:val="24"/>
        </w:rPr>
        <w:t>授权代表身份证复印件加盖公章扫描</w:t>
      </w:r>
      <w:r>
        <w:rPr>
          <w:rFonts w:hint="eastAsia" w:ascii="宋体" w:hAnsi="宋体"/>
          <w:color w:val="000000"/>
          <w:kern w:val="2"/>
          <w:szCs w:val="24"/>
          <w:lang w:eastAsia="zh-CN"/>
        </w:rPr>
        <w:t>成一个</w:t>
      </w:r>
      <w:r>
        <w:rPr>
          <w:rFonts w:hint="eastAsia" w:ascii="宋体" w:hAnsi="宋体"/>
          <w:color w:val="000000"/>
          <w:kern w:val="2"/>
          <w:szCs w:val="24"/>
          <w:lang w:val="en-US" w:eastAsia="zh-CN"/>
        </w:rPr>
        <w:t>PDF(文件命名为公司全称）</w:t>
      </w:r>
      <w:r>
        <w:rPr>
          <w:rFonts w:hint="eastAsia" w:ascii="宋体" w:hAnsi="宋体"/>
          <w:color w:val="000000"/>
          <w:kern w:val="2"/>
          <w:szCs w:val="24"/>
        </w:rPr>
        <w:t>发至451832089@qq.com。</w:t>
      </w:r>
    </w:p>
    <w:p w14:paraId="206E267A">
      <w:pPr>
        <w:ind w:firstLine="482"/>
        <w:rPr>
          <w:rFonts w:hint="eastAsia" w:ascii="宋体" w:hAnsi="宋体"/>
          <w:color w:val="000000"/>
          <w:kern w:val="2"/>
          <w:szCs w:val="24"/>
          <w:lang w:eastAsia="zh-CN"/>
        </w:rPr>
      </w:pPr>
      <w:r>
        <w:rPr>
          <w:rFonts w:hint="eastAsia" w:ascii="宋体" w:hAnsi="宋体"/>
          <w:color w:val="000000"/>
          <w:kern w:val="2"/>
          <w:szCs w:val="24"/>
        </w:rPr>
        <w:t>3.4售价：</w:t>
      </w:r>
      <w:r>
        <w:rPr>
          <w:rFonts w:hint="eastAsia" w:ascii="宋体" w:hAnsi="宋体"/>
          <w:color w:val="000000"/>
          <w:kern w:val="2"/>
          <w:szCs w:val="24"/>
          <w:lang w:eastAsia="zh-CN"/>
        </w:rPr>
        <w:t>免费。</w:t>
      </w:r>
    </w:p>
    <w:p w14:paraId="44225D63">
      <w:pPr>
        <w:ind w:firstLine="482"/>
        <w:rPr>
          <w:rFonts w:hint="eastAsia" w:ascii="宋体" w:hAnsi="宋体" w:eastAsia="宋体" w:cs="宋体"/>
          <w:b/>
          <w:bCs/>
          <w:color w:val="000000"/>
          <w:kern w:val="2"/>
          <w:szCs w:val="24"/>
          <w:lang w:val="zh-CN"/>
        </w:rPr>
      </w:pPr>
      <w:r>
        <w:rPr>
          <w:rFonts w:hint="eastAsia" w:ascii="宋体" w:hAnsi="宋体" w:eastAsia="宋体" w:cs="宋体"/>
          <w:b/>
          <w:bCs/>
          <w:color w:val="000000"/>
          <w:kern w:val="2"/>
          <w:szCs w:val="24"/>
          <w:lang w:val="zh-CN"/>
        </w:rPr>
        <w:t>四、</w:t>
      </w:r>
      <w:bookmarkEnd w:id="19"/>
      <w:bookmarkEnd w:id="20"/>
      <w:bookmarkEnd w:id="21"/>
      <w:bookmarkEnd w:id="22"/>
      <w:r>
        <w:rPr>
          <w:rFonts w:hint="eastAsia" w:ascii="宋体" w:hAnsi="宋体" w:eastAsia="宋体" w:cs="宋体"/>
          <w:b/>
          <w:bCs/>
          <w:color w:val="000000"/>
          <w:kern w:val="2"/>
          <w:szCs w:val="24"/>
          <w:lang w:val="zh-CN"/>
        </w:rPr>
        <w:t>提交投标文件截止时间、开标时间和地点</w:t>
      </w:r>
    </w:p>
    <w:p w14:paraId="5C0E11EE">
      <w:pPr>
        <w:ind w:firstLine="480"/>
        <w:rPr>
          <w:rFonts w:hint="eastAsia" w:ascii="宋体" w:hAnsi="宋体" w:eastAsia="宋体" w:cs="宋体"/>
          <w:color w:val="000000"/>
          <w:kern w:val="2"/>
          <w:szCs w:val="24"/>
          <w:lang w:val="zh-CN"/>
        </w:rPr>
      </w:pPr>
      <w:bookmarkStart w:id="23" w:name="_Toc35393802"/>
      <w:bookmarkStart w:id="24" w:name="_Toc35393633"/>
      <w:bookmarkStart w:id="25" w:name="_Toc28359093"/>
      <w:bookmarkStart w:id="26" w:name="_Toc28359016"/>
      <w:r>
        <w:rPr>
          <w:rFonts w:hint="eastAsia" w:ascii="宋体" w:hAnsi="宋体" w:eastAsia="宋体" w:cs="宋体"/>
          <w:color w:val="000000"/>
          <w:kern w:val="2"/>
          <w:szCs w:val="24"/>
          <w:lang w:val="en-US" w:eastAsia="zh-CN"/>
        </w:rPr>
        <w:t>4.1</w:t>
      </w:r>
      <w:r>
        <w:rPr>
          <w:rFonts w:hint="eastAsia" w:ascii="宋体" w:hAnsi="宋体" w:eastAsia="宋体" w:cs="宋体"/>
          <w:color w:val="000000"/>
          <w:kern w:val="2"/>
          <w:szCs w:val="24"/>
          <w:highlight w:val="none"/>
          <w:lang w:val="en-US" w:eastAsia="zh-CN"/>
        </w:rPr>
        <w:t>截止及开标时间：</w:t>
      </w:r>
      <w:r>
        <w:rPr>
          <w:rFonts w:hint="eastAsia" w:ascii="宋体" w:hAnsi="宋体" w:eastAsia="宋体" w:cs="宋体"/>
          <w:color w:val="000000"/>
          <w:kern w:val="2"/>
          <w:szCs w:val="24"/>
          <w:highlight w:val="none"/>
          <w:lang w:val="zh-CN"/>
        </w:rPr>
        <w:t>202</w:t>
      </w:r>
      <w:r>
        <w:rPr>
          <w:rFonts w:hint="eastAsia" w:ascii="宋体" w:hAnsi="宋体" w:eastAsia="宋体" w:cs="宋体"/>
          <w:color w:val="000000"/>
          <w:kern w:val="2"/>
          <w:szCs w:val="24"/>
          <w:highlight w:val="none"/>
          <w:lang w:val="en-US" w:eastAsia="zh-CN"/>
        </w:rPr>
        <w:t>5</w:t>
      </w:r>
      <w:r>
        <w:rPr>
          <w:rFonts w:hint="eastAsia" w:ascii="宋体" w:hAnsi="宋体" w:eastAsia="宋体" w:cs="宋体"/>
          <w:color w:val="000000"/>
          <w:kern w:val="2"/>
          <w:szCs w:val="24"/>
          <w:highlight w:val="none"/>
          <w:lang w:val="zh-CN"/>
        </w:rPr>
        <w:t>年</w:t>
      </w:r>
      <w:r>
        <w:rPr>
          <w:rFonts w:hint="eastAsia" w:ascii="宋体" w:hAnsi="宋体" w:cs="宋体"/>
          <w:color w:val="000000"/>
          <w:kern w:val="2"/>
          <w:szCs w:val="24"/>
          <w:highlight w:val="none"/>
          <w:lang w:val="en-US" w:eastAsia="zh-CN"/>
        </w:rPr>
        <w:t>10</w:t>
      </w:r>
      <w:r>
        <w:rPr>
          <w:rFonts w:hint="eastAsia" w:ascii="宋体" w:hAnsi="宋体" w:eastAsia="宋体" w:cs="宋体"/>
          <w:color w:val="000000"/>
          <w:kern w:val="2"/>
          <w:szCs w:val="24"/>
          <w:highlight w:val="none"/>
          <w:lang w:val="en-US" w:eastAsia="zh-CN"/>
        </w:rPr>
        <w:t>月</w:t>
      </w:r>
      <w:r>
        <w:rPr>
          <w:rFonts w:hint="eastAsia" w:ascii="宋体" w:hAnsi="宋体" w:cs="宋体"/>
          <w:color w:val="000000"/>
          <w:kern w:val="2"/>
          <w:szCs w:val="24"/>
          <w:highlight w:val="none"/>
          <w:lang w:val="en-US" w:eastAsia="zh-CN"/>
        </w:rPr>
        <w:t>28</w:t>
      </w:r>
      <w:r>
        <w:rPr>
          <w:rFonts w:hint="eastAsia" w:ascii="宋体" w:hAnsi="宋体" w:eastAsia="宋体" w:cs="宋体"/>
          <w:color w:val="000000"/>
          <w:kern w:val="2"/>
          <w:szCs w:val="24"/>
          <w:highlight w:val="none"/>
          <w:lang w:val="en-US" w:eastAsia="zh-CN"/>
        </w:rPr>
        <w:t>日</w:t>
      </w:r>
      <w:r>
        <w:rPr>
          <w:rFonts w:hint="eastAsia" w:ascii="宋体" w:hAnsi="宋体" w:cs="宋体"/>
          <w:color w:val="000000"/>
          <w:kern w:val="2"/>
          <w:szCs w:val="24"/>
          <w:highlight w:val="none"/>
          <w:lang w:val="en-US" w:eastAsia="zh-CN"/>
        </w:rPr>
        <w:t>09</w:t>
      </w:r>
      <w:r>
        <w:rPr>
          <w:rFonts w:hint="eastAsia" w:ascii="宋体" w:hAnsi="宋体" w:eastAsia="宋体" w:cs="宋体"/>
          <w:color w:val="000000"/>
          <w:kern w:val="2"/>
          <w:szCs w:val="24"/>
          <w:highlight w:val="none"/>
          <w:lang w:val="zh-CN"/>
        </w:rPr>
        <w:t>:</w:t>
      </w:r>
      <w:r>
        <w:rPr>
          <w:rFonts w:hint="eastAsia" w:ascii="宋体" w:hAnsi="宋体" w:eastAsia="宋体" w:cs="宋体"/>
          <w:color w:val="000000"/>
          <w:kern w:val="2"/>
          <w:szCs w:val="24"/>
          <w:highlight w:val="none"/>
          <w:lang w:val="en-US" w:eastAsia="zh-CN"/>
        </w:rPr>
        <w:t>3</w:t>
      </w:r>
      <w:r>
        <w:rPr>
          <w:rFonts w:hint="eastAsia" w:ascii="宋体" w:hAnsi="宋体" w:eastAsia="宋体" w:cs="宋体"/>
          <w:color w:val="000000"/>
          <w:kern w:val="2"/>
          <w:szCs w:val="24"/>
          <w:highlight w:val="none"/>
          <w:lang w:val="zh-CN"/>
        </w:rPr>
        <w:t>0（北京时间）</w:t>
      </w:r>
    </w:p>
    <w:p w14:paraId="242013BC">
      <w:pPr>
        <w:ind w:firstLine="480"/>
        <w:rPr>
          <w:rFonts w:hint="eastAsia" w:ascii="宋体" w:hAnsi="宋体"/>
          <w:color w:val="000000"/>
          <w:kern w:val="2"/>
          <w:szCs w:val="24"/>
          <w:highlight w:val="none"/>
        </w:rPr>
      </w:pPr>
      <w:r>
        <w:rPr>
          <w:rFonts w:hint="eastAsia" w:ascii="宋体" w:hAnsi="宋体" w:eastAsia="宋体" w:cs="宋体"/>
          <w:color w:val="000000"/>
          <w:kern w:val="2"/>
          <w:szCs w:val="24"/>
          <w:lang w:val="en-US" w:eastAsia="zh-CN"/>
        </w:rPr>
        <w:t>4.2</w:t>
      </w:r>
      <w:r>
        <w:rPr>
          <w:rFonts w:hint="eastAsia" w:ascii="宋体" w:hAnsi="宋体" w:eastAsia="宋体" w:cs="宋体"/>
          <w:color w:val="000000"/>
          <w:kern w:val="2"/>
          <w:szCs w:val="24"/>
          <w:lang w:val="zh-CN"/>
        </w:rPr>
        <w:t>地点：</w:t>
      </w:r>
      <w:bookmarkEnd w:id="23"/>
      <w:bookmarkEnd w:id="24"/>
      <w:bookmarkEnd w:id="25"/>
      <w:bookmarkEnd w:id="26"/>
      <w:r>
        <w:rPr>
          <w:rFonts w:hint="eastAsia" w:ascii="宋体" w:hAnsi="宋体"/>
          <w:color w:val="000000"/>
          <w:kern w:val="2"/>
          <w:szCs w:val="24"/>
          <w:highlight w:val="none"/>
        </w:rPr>
        <w:t>南京市建邺区黄山路2号绿溢广场B座509会议室</w:t>
      </w:r>
    </w:p>
    <w:p w14:paraId="4FB621B6">
      <w:pPr>
        <w:ind w:firstLine="480"/>
        <w:rPr>
          <w:rFonts w:hint="eastAsia" w:ascii="宋体" w:hAnsi="宋体"/>
          <w:color w:val="000000"/>
          <w:kern w:val="2"/>
          <w:szCs w:val="24"/>
        </w:rPr>
      </w:pPr>
      <w:r>
        <w:rPr>
          <w:rFonts w:hint="eastAsia" w:ascii="宋体" w:hAnsi="宋体"/>
          <w:color w:val="000000"/>
          <w:kern w:val="2"/>
          <w:szCs w:val="24"/>
        </w:rPr>
        <w:t>（届时请供应商法定代表人或其授权代表携带授权委托书原件、本人身份证原件出席开标会）</w:t>
      </w:r>
    </w:p>
    <w:p w14:paraId="4D94C90D">
      <w:pPr>
        <w:ind w:firstLine="480"/>
        <w:rPr>
          <w:rFonts w:ascii="宋体" w:hAnsi="宋体"/>
          <w:color w:val="000000"/>
          <w:kern w:val="2"/>
          <w:szCs w:val="24"/>
        </w:rPr>
      </w:pPr>
      <w:r>
        <w:rPr>
          <w:rFonts w:hint="eastAsia" w:ascii="宋体" w:hAnsi="宋体"/>
          <w:color w:val="000000"/>
          <w:kern w:val="2"/>
          <w:szCs w:val="24"/>
        </w:rPr>
        <w:t>4.3 响应文件份数：纸质版投标文件一式</w:t>
      </w:r>
      <w:r>
        <w:rPr>
          <w:rFonts w:hint="eastAsia" w:ascii="宋体" w:hAnsi="宋体"/>
          <w:color w:val="000000"/>
          <w:kern w:val="2"/>
          <w:szCs w:val="24"/>
          <w:lang w:eastAsia="zh-CN"/>
        </w:rPr>
        <w:t>伍</w:t>
      </w:r>
      <w:r>
        <w:rPr>
          <w:rFonts w:hint="eastAsia" w:ascii="宋体" w:hAnsi="宋体"/>
          <w:color w:val="000000"/>
          <w:kern w:val="2"/>
          <w:szCs w:val="24"/>
        </w:rPr>
        <w:t>份（壹份正本、</w:t>
      </w:r>
      <w:r>
        <w:rPr>
          <w:rFonts w:hint="eastAsia" w:ascii="宋体" w:hAnsi="宋体"/>
          <w:color w:val="000000"/>
          <w:kern w:val="2"/>
          <w:szCs w:val="24"/>
          <w:lang w:eastAsia="zh-CN"/>
        </w:rPr>
        <w:t>肆</w:t>
      </w:r>
      <w:r>
        <w:rPr>
          <w:rFonts w:hint="eastAsia" w:ascii="宋体" w:hAnsi="宋体"/>
          <w:color w:val="000000"/>
          <w:kern w:val="2"/>
          <w:szCs w:val="24"/>
        </w:rPr>
        <w:t>份副本），电子版投标文件壹份（投标文件格式要求为Word格式</w:t>
      </w:r>
      <w:r>
        <w:rPr>
          <w:rFonts w:hint="eastAsia" w:ascii="宋体" w:hAnsi="宋体"/>
          <w:color w:val="000000"/>
          <w:kern w:val="2"/>
          <w:szCs w:val="24"/>
          <w:lang w:eastAsia="zh-CN"/>
        </w:rPr>
        <w:t>或</w:t>
      </w:r>
      <w:r>
        <w:rPr>
          <w:rFonts w:hint="eastAsia" w:ascii="宋体" w:hAnsi="宋体"/>
          <w:color w:val="000000"/>
          <w:kern w:val="2"/>
          <w:szCs w:val="24"/>
          <w:lang w:val="en-US" w:eastAsia="zh-CN"/>
        </w:rPr>
        <w:t>PDF格式</w:t>
      </w:r>
      <w:r>
        <w:rPr>
          <w:rFonts w:hint="eastAsia" w:ascii="宋体" w:hAnsi="宋体"/>
          <w:color w:val="000000"/>
          <w:kern w:val="2"/>
          <w:szCs w:val="24"/>
        </w:rPr>
        <w:t>，随纸质正本文件一并提交）。当纸质正本文件与副本、电子版文件不一致时，以纸质正本文件为准。电子版文件用于存档，供应商须承担前述不一致造成的不利后果。每份纸质文件须清楚标明“正本”或“副本”字样。</w:t>
      </w:r>
    </w:p>
    <w:p w14:paraId="68DD24FA">
      <w:pPr>
        <w:ind w:firstLine="482"/>
        <w:rPr>
          <w:rFonts w:ascii="宋体" w:hAnsi="宋体"/>
          <w:b/>
          <w:bCs/>
          <w:color w:val="000000"/>
          <w:kern w:val="2"/>
          <w:szCs w:val="24"/>
        </w:rPr>
      </w:pPr>
      <w:r>
        <w:rPr>
          <w:rFonts w:hint="eastAsia" w:ascii="宋体" w:hAnsi="宋体"/>
          <w:b/>
          <w:bCs/>
          <w:color w:val="000000"/>
          <w:kern w:val="2"/>
          <w:szCs w:val="24"/>
        </w:rPr>
        <w:t>五、公告期限</w:t>
      </w:r>
    </w:p>
    <w:p w14:paraId="445D6E4E">
      <w:pPr>
        <w:ind w:firstLine="480"/>
        <w:rPr>
          <w:rFonts w:ascii="宋体" w:hAnsi="宋体"/>
          <w:color w:val="000000"/>
          <w:kern w:val="2"/>
          <w:szCs w:val="24"/>
        </w:rPr>
      </w:pPr>
      <w:r>
        <w:rPr>
          <w:rFonts w:hint="eastAsia" w:ascii="宋体" w:hAnsi="宋体"/>
          <w:color w:val="000000"/>
          <w:kern w:val="2"/>
          <w:szCs w:val="24"/>
        </w:rPr>
        <w:t>5.1 自本公告发布之日起5个工作日。</w:t>
      </w:r>
    </w:p>
    <w:p w14:paraId="710F3850">
      <w:pPr>
        <w:ind w:firstLine="482"/>
        <w:rPr>
          <w:rFonts w:ascii="宋体" w:hAnsi="宋体"/>
          <w:color w:val="000000"/>
          <w:kern w:val="2"/>
          <w:szCs w:val="24"/>
        </w:rPr>
      </w:pPr>
      <w:r>
        <w:rPr>
          <w:rFonts w:hint="eastAsia" w:ascii="宋体" w:hAnsi="宋体"/>
          <w:b/>
          <w:bCs/>
          <w:color w:val="000000"/>
          <w:kern w:val="2"/>
          <w:szCs w:val="24"/>
        </w:rPr>
        <w:t>六、其他补充事宜</w:t>
      </w:r>
    </w:p>
    <w:p w14:paraId="4A664A68">
      <w:pPr>
        <w:ind w:firstLine="480"/>
        <w:rPr>
          <w:rFonts w:ascii="宋体" w:hAnsi="宋体"/>
          <w:color w:val="000000"/>
          <w:kern w:val="2"/>
          <w:szCs w:val="24"/>
        </w:rPr>
      </w:pPr>
      <w:r>
        <w:rPr>
          <w:rFonts w:hint="eastAsia" w:ascii="宋体" w:hAnsi="宋体"/>
          <w:color w:val="000000"/>
          <w:kern w:val="2"/>
          <w:szCs w:val="24"/>
        </w:rPr>
        <w:t>6.1是否接收进口产品：否。</w:t>
      </w:r>
    </w:p>
    <w:p w14:paraId="4CD81ED4">
      <w:pPr>
        <w:ind w:firstLine="480"/>
        <w:rPr>
          <w:rFonts w:ascii="宋体" w:hAnsi="宋体"/>
          <w:color w:val="000000"/>
          <w:kern w:val="2"/>
          <w:szCs w:val="24"/>
        </w:rPr>
      </w:pPr>
      <w:r>
        <w:rPr>
          <w:rFonts w:hint="eastAsia" w:ascii="宋体" w:hAnsi="宋体"/>
          <w:color w:val="000000"/>
          <w:kern w:val="2"/>
          <w:szCs w:val="24"/>
        </w:rPr>
        <w:t>6.2 本项目在“江苏省政府采购网”网站发布公告。有关本次采购的事项若存在变动或修改，敬请及时关注“江苏省政府采购网”发布的信息更正公告，其责任由投标人自行承担。</w:t>
      </w:r>
    </w:p>
    <w:p w14:paraId="46BA2AC7">
      <w:pPr>
        <w:ind w:firstLine="480"/>
        <w:rPr>
          <w:rFonts w:ascii="宋体" w:hAnsi="宋体"/>
          <w:color w:val="000000"/>
          <w:kern w:val="2"/>
          <w:szCs w:val="24"/>
        </w:rPr>
      </w:pPr>
      <w:r>
        <w:rPr>
          <w:rFonts w:hint="eastAsia" w:ascii="宋体" w:hAnsi="宋体"/>
          <w:color w:val="000000"/>
          <w:kern w:val="2"/>
          <w:szCs w:val="24"/>
        </w:rPr>
        <w:t>6.3采购项目需要落实的政府采购政策：</w:t>
      </w:r>
    </w:p>
    <w:p w14:paraId="16390899">
      <w:pPr>
        <w:ind w:firstLine="480"/>
        <w:rPr>
          <w:rFonts w:ascii="宋体" w:hAnsi="宋体"/>
          <w:color w:val="000000"/>
          <w:kern w:val="2"/>
          <w:szCs w:val="24"/>
        </w:rPr>
      </w:pPr>
      <w:r>
        <w:rPr>
          <w:rFonts w:hint="eastAsia" w:ascii="宋体" w:hAnsi="宋体"/>
          <w:color w:val="000000"/>
          <w:kern w:val="2"/>
          <w:szCs w:val="24"/>
        </w:rPr>
        <w:t>（1）政府采购促进中小企业发展</w:t>
      </w:r>
    </w:p>
    <w:p w14:paraId="2FA5EB90">
      <w:pPr>
        <w:ind w:firstLine="480"/>
        <w:rPr>
          <w:rFonts w:ascii="宋体" w:hAnsi="宋体"/>
          <w:color w:val="000000"/>
          <w:kern w:val="2"/>
          <w:szCs w:val="24"/>
        </w:rPr>
      </w:pPr>
      <w:r>
        <w:rPr>
          <w:rFonts w:hint="eastAsia" w:ascii="宋体" w:hAnsi="宋体"/>
          <w:color w:val="000000"/>
          <w:kern w:val="2"/>
          <w:szCs w:val="24"/>
        </w:rPr>
        <w:t>（2）政府采购支持监狱企业发展</w:t>
      </w:r>
    </w:p>
    <w:p w14:paraId="1C4B6027">
      <w:pPr>
        <w:ind w:firstLine="480"/>
        <w:rPr>
          <w:rFonts w:ascii="宋体" w:hAnsi="宋体"/>
          <w:color w:val="000000"/>
          <w:kern w:val="2"/>
          <w:szCs w:val="24"/>
        </w:rPr>
      </w:pPr>
      <w:r>
        <w:rPr>
          <w:rFonts w:hint="eastAsia" w:ascii="宋体" w:hAnsi="宋体"/>
          <w:color w:val="000000"/>
          <w:kern w:val="2"/>
          <w:szCs w:val="24"/>
        </w:rPr>
        <w:t>（3）政府采购促进残疾人就业</w:t>
      </w:r>
    </w:p>
    <w:p w14:paraId="6654908A">
      <w:pPr>
        <w:ind w:firstLine="480"/>
        <w:rPr>
          <w:rFonts w:ascii="宋体" w:hAnsi="宋体"/>
          <w:color w:val="000000"/>
          <w:kern w:val="2"/>
          <w:szCs w:val="24"/>
        </w:rPr>
      </w:pPr>
      <w:r>
        <w:rPr>
          <w:rFonts w:hint="eastAsia" w:ascii="宋体" w:hAnsi="宋体"/>
          <w:color w:val="000000"/>
          <w:kern w:val="2"/>
          <w:szCs w:val="24"/>
        </w:rPr>
        <w:t>（4）政府采购鼓励采购节能环保产品</w:t>
      </w:r>
    </w:p>
    <w:p w14:paraId="6E52EA2A">
      <w:pPr>
        <w:ind w:firstLine="480"/>
        <w:rPr>
          <w:rFonts w:ascii="宋体" w:hAnsi="宋体"/>
          <w:color w:val="000000"/>
          <w:kern w:val="2"/>
          <w:szCs w:val="24"/>
        </w:rPr>
      </w:pPr>
      <w:r>
        <w:rPr>
          <w:rFonts w:hint="eastAsia" w:ascii="宋体" w:hAnsi="宋体"/>
          <w:color w:val="000000"/>
          <w:kern w:val="2"/>
          <w:szCs w:val="24"/>
        </w:rPr>
        <w:t>6.4 投标保证金：本项目无需缴纳投标保证金。</w:t>
      </w:r>
    </w:p>
    <w:p w14:paraId="3AC83622">
      <w:pPr>
        <w:ind w:firstLine="480"/>
        <w:rPr>
          <w:rFonts w:ascii="宋体" w:hAnsi="宋体"/>
          <w:color w:val="333333"/>
          <w:szCs w:val="24"/>
        </w:rPr>
      </w:pPr>
      <w:r>
        <w:rPr>
          <w:rFonts w:hint="eastAsia" w:ascii="宋体" w:hAnsi="宋体"/>
          <w:color w:val="333333"/>
          <w:szCs w:val="24"/>
        </w:rPr>
        <w:t xml:space="preserve">6.5 </w:t>
      </w:r>
      <w:r>
        <w:rPr>
          <w:rFonts w:hint="eastAsia" w:ascii="宋体" w:hAnsi="宋体"/>
          <w:color w:val="000000"/>
          <w:kern w:val="2"/>
          <w:szCs w:val="24"/>
        </w:rPr>
        <w:t>供应商诚信档案管理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响应）文件截止日2天前办理登记注册手续</w:t>
      </w:r>
      <w:r>
        <w:rPr>
          <w:rFonts w:hint="eastAsia" w:ascii="宋体" w:hAnsi="宋体"/>
          <w:color w:val="333333"/>
          <w:szCs w:val="24"/>
        </w:rPr>
        <w:t>。</w:t>
      </w:r>
    </w:p>
    <w:p w14:paraId="0A1C9181">
      <w:pPr>
        <w:ind w:firstLine="480"/>
        <w:rPr>
          <w:rFonts w:ascii="宋体" w:hAnsi="宋体"/>
          <w:color w:val="000000"/>
          <w:kern w:val="2"/>
          <w:szCs w:val="24"/>
        </w:rPr>
      </w:pPr>
      <w:r>
        <w:rPr>
          <w:rFonts w:hint="eastAsia" w:ascii="宋体" w:hAnsi="宋体"/>
          <w:color w:val="000000"/>
          <w:kern w:val="2"/>
          <w:szCs w:val="24"/>
        </w:rPr>
        <w:t>供应商申请网上注册的，应当按以下程序进行：</w:t>
      </w:r>
    </w:p>
    <w:p w14:paraId="6520DC28">
      <w:pPr>
        <w:ind w:firstLine="480"/>
        <w:rPr>
          <w:rFonts w:ascii="宋体" w:hAnsi="宋体"/>
          <w:color w:val="333333"/>
          <w:szCs w:val="24"/>
        </w:rPr>
      </w:pPr>
      <w:r>
        <w:rPr>
          <w:rFonts w:hint="eastAsia" w:ascii="宋体" w:hAnsi="宋体"/>
          <w:color w:val="000000"/>
          <w:kern w:val="2"/>
          <w:szCs w:val="24"/>
        </w:rPr>
        <w:t>登陆“信用南京”或“南京公共采购信息网”网站，点击“政府采购供应商诚信档案”图标，在弹出的用户登录界面，点击“新用户注册”</w:t>
      </w:r>
      <w:r>
        <w:rPr>
          <w:rFonts w:hint="eastAsia" w:ascii="宋体" w:hAnsi="宋体"/>
          <w:color w:val="333333"/>
          <w:szCs w:val="24"/>
        </w:rPr>
        <w:t>；</w:t>
      </w:r>
    </w:p>
    <w:p w14:paraId="17097E93">
      <w:pPr>
        <w:pStyle w:val="21"/>
        <w:kinsoku w:val="0"/>
        <w:overflowPunct w:val="0"/>
        <w:ind w:firstLine="480"/>
        <w:rPr>
          <w:rFonts w:ascii="宋体" w:hAnsi="宋体"/>
          <w:color w:val="333333"/>
          <w:szCs w:val="24"/>
        </w:rPr>
      </w:pPr>
      <w:r>
        <w:rPr>
          <w:rFonts w:hint="eastAsia" w:ascii="宋体" w:hAnsi="宋体"/>
          <w:color w:val="000000"/>
          <w:kern w:val="2"/>
          <w:szCs w:val="24"/>
        </w:rPr>
        <w:t>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注册成功后，供应商参加本次政府采购活动时，在采购文件发布之日起至递交投标文件截止日前，应先登录“信用南京”在线打印其“南京市政府采购供应商信用记录表暨信用承诺书”，经法定代表人签名盖章后作为投标文件的组成部分“南京市政府采购供应商信用记录表暨信用承诺书”是其参加本次政府采购活动的必备材料。南京市政府采购供应商诚信档案管理系统客服电话：025-52718366；供应商可就用户注册与打印“南京市政府采购供应商信用记录表暨信用承诺书”等事宜进行咨询</w:t>
      </w:r>
      <w:r>
        <w:rPr>
          <w:rFonts w:hint="eastAsia" w:ascii="宋体" w:hAnsi="宋体"/>
          <w:color w:val="333333"/>
          <w:szCs w:val="24"/>
        </w:rPr>
        <w:t>。</w:t>
      </w:r>
    </w:p>
    <w:p w14:paraId="5D932156">
      <w:pPr>
        <w:numPr>
          <w:ilvl w:val="0"/>
          <w:numId w:val="6"/>
        </w:numPr>
        <w:ind w:firstLine="482"/>
        <w:rPr>
          <w:rFonts w:ascii="宋体" w:hAnsi="宋体"/>
          <w:b/>
          <w:bCs/>
          <w:color w:val="333333"/>
          <w:szCs w:val="24"/>
        </w:rPr>
      </w:pPr>
      <w:r>
        <w:rPr>
          <w:rFonts w:hint="eastAsia" w:ascii="宋体" w:hAnsi="宋体"/>
          <w:b/>
          <w:bCs/>
          <w:color w:val="000000"/>
          <w:kern w:val="2"/>
          <w:szCs w:val="24"/>
        </w:rPr>
        <w:t>对本次招标提出询问，请按以下方式联系</w:t>
      </w:r>
    </w:p>
    <w:p w14:paraId="24763DCB">
      <w:pPr>
        <w:autoSpaceDE w:val="0"/>
        <w:autoSpaceDN w:val="0"/>
        <w:ind w:firstLine="482"/>
        <w:jc w:val="both"/>
        <w:rPr>
          <w:rFonts w:ascii="宋体" w:hAnsi="宋体"/>
          <w:b/>
          <w:bCs/>
          <w:color w:val="000000"/>
          <w:kern w:val="2"/>
          <w:szCs w:val="24"/>
        </w:rPr>
      </w:pPr>
      <w:r>
        <w:rPr>
          <w:rFonts w:hint="eastAsia" w:ascii="宋体" w:hAnsi="宋体"/>
          <w:b/>
          <w:bCs/>
          <w:color w:val="000000"/>
          <w:kern w:val="2"/>
          <w:szCs w:val="24"/>
        </w:rPr>
        <w:t>1. 采购人信息</w:t>
      </w:r>
    </w:p>
    <w:p w14:paraId="74491136">
      <w:pPr>
        <w:autoSpaceDE w:val="0"/>
        <w:autoSpaceDN w:val="0"/>
        <w:ind w:firstLine="480"/>
        <w:rPr>
          <w:rFonts w:ascii="宋体" w:hAnsi="宋体"/>
          <w:color w:val="000000"/>
          <w:kern w:val="2"/>
          <w:szCs w:val="24"/>
        </w:rPr>
      </w:pPr>
      <w:r>
        <w:rPr>
          <w:rFonts w:hint="eastAsia" w:ascii="宋体" w:hAnsi="宋体"/>
          <w:color w:val="000000"/>
          <w:kern w:val="2"/>
          <w:szCs w:val="24"/>
        </w:rPr>
        <w:t>名称：南京中国近代史遗址博物馆管理建设办公室</w:t>
      </w:r>
    </w:p>
    <w:p w14:paraId="039451E6">
      <w:pPr>
        <w:autoSpaceDE w:val="0"/>
        <w:autoSpaceDN w:val="0"/>
        <w:ind w:firstLine="480"/>
        <w:rPr>
          <w:rFonts w:ascii="宋体" w:hAnsi="宋体"/>
          <w:color w:val="000000"/>
          <w:kern w:val="2"/>
          <w:szCs w:val="24"/>
          <w:highlight w:val="none"/>
        </w:rPr>
      </w:pPr>
      <w:r>
        <w:rPr>
          <w:rFonts w:hint="eastAsia" w:ascii="宋体" w:hAnsi="宋体"/>
          <w:color w:val="000000"/>
          <w:kern w:val="2"/>
          <w:szCs w:val="24"/>
          <w:highlight w:val="none"/>
        </w:rPr>
        <w:t>地址：南京市玄武区长江路292号</w:t>
      </w:r>
    </w:p>
    <w:p w14:paraId="5EF8B62F">
      <w:pPr>
        <w:autoSpaceDE w:val="0"/>
        <w:autoSpaceDN w:val="0"/>
        <w:ind w:firstLine="480"/>
        <w:rPr>
          <w:rFonts w:hint="eastAsia" w:ascii="宋体" w:hAnsi="宋体" w:eastAsia="宋体"/>
          <w:color w:val="000000"/>
          <w:kern w:val="2"/>
          <w:szCs w:val="24"/>
          <w:highlight w:val="none"/>
          <w:lang w:eastAsia="zh-CN"/>
        </w:rPr>
      </w:pPr>
      <w:r>
        <w:rPr>
          <w:rFonts w:hint="eastAsia" w:ascii="宋体" w:hAnsi="宋体"/>
          <w:color w:val="000000"/>
          <w:kern w:val="2"/>
          <w:szCs w:val="24"/>
          <w:highlight w:val="none"/>
        </w:rPr>
        <w:t>联系人：</w:t>
      </w:r>
      <w:r>
        <w:rPr>
          <w:rFonts w:hint="eastAsia" w:ascii="宋体" w:hAnsi="宋体"/>
          <w:color w:val="000000"/>
          <w:kern w:val="2"/>
          <w:szCs w:val="24"/>
          <w:highlight w:val="none"/>
          <w:lang w:eastAsia="zh-CN"/>
        </w:rPr>
        <w:t>杨工</w:t>
      </w:r>
    </w:p>
    <w:p w14:paraId="59FB9524">
      <w:pPr>
        <w:autoSpaceDE w:val="0"/>
        <w:autoSpaceDN w:val="0"/>
        <w:ind w:firstLine="480"/>
        <w:rPr>
          <w:rFonts w:hint="default" w:ascii="宋体" w:hAnsi="宋体" w:eastAsia="宋体"/>
          <w:color w:val="000000"/>
          <w:kern w:val="2"/>
          <w:szCs w:val="24"/>
          <w:highlight w:val="none"/>
          <w:lang w:val="en-US" w:eastAsia="zh-CN"/>
        </w:rPr>
      </w:pPr>
      <w:r>
        <w:rPr>
          <w:rFonts w:hint="eastAsia" w:ascii="宋体" w:hAnsi="宋体"/>
          <w:color w:val="000000"/>
          <w:kern w:val="2"/>
          <w:szCs w:val="24"/>
          <w:highlight w:val="none"/>
        </w:rPr>
        <w:t>联系方式：</w:t>
      </w:r>
      <w:r>
        <w:rPr>
          <w:rFonts w:hint="eastAsia" w:ascii="宋体" w:hAnsi="宋体"/>
          <w:color w:val="000000"/>
          <w:kern w:val="2"/>
          <w:szCs w:val="24"/>
          <w:highlight w:val="none"/>
          <w:lang w:val="en-US" w:eastAsia="zh-CN"/>
        </w:rPr>
        <w:t>15195956491</w:t>
      </w:r>
    </w:p>
    <w:p w14:paraId="6A920BE6">
      <w:pPr>
        <w:autoSpaceDE w:val="0"/>
        <w:autoSpaceDN w:val="0"/>
        <w:ind w:firstLine="482"/>
        <w:jc w:val="both"/>
        <w:rPr>
          <w:rFonts w:ascii="宋体" w:hAnsi="宋体"/>
          <w:b/>
          <w:bCs/>
          <w:color w:val="000000"/>
          <w:kern w:val="2"/>
          <w:szCs w:val="24"/>
        </w:rPr>
      </w:pPr>
      <w:r>
        <w:rPr>
          <w:rFonts w:hint="eastAsia" w:ascii="宋体" w:hAnsi="宋体"/>
          <w:b/>
          <w:bCs/>
          <w:color w:val="000000"/>
          <w:kern w:val="2"/>
          <w:szCs w:val="24"/>
        </w:rPr>
        <w:t xml:space="preserve">2. 采购代理机构信息 </w:t>
      </w:r>
    </w:p>
    <w:p w14:paraId="798584C8">
      <w:pPr>
        <w:autoSpaceDE w:val="0"/>
        <w:autoSpaceDN w:val="0"/>
        <w:ind w:firstLine="480"/>
        <w:rPr>
          <w:rFonts w:ascii="宋体" w:hAnsi="宋体"/>
          <w:color w:val="000000"/>
          <w:kern w:val="2"/>
          <w:szCs w:val="24"/>
        </w:rPr>
      </w:pPr>
      <w:r>
        <w:rPr>
          <w:rFonts w:hint="eastAsia" w:ascii="宋体" w:hAnsi="宋体"/>
          <w:color w:val="000000"/>
          <w:kern w:val="2"/>
          <w:szCs w:val="24"/>
        </w:rPr>
        <w:t>名称：江苏志诚工程咨询管理有限公司</w:t>
      </w:r>
    </w:p>
    <w:p w14:paraId="317E8DEA">
      <w:pPr>
        <w:autoSpaceDE w:val="0"/>
        <w:autoSpaceDN w:val="0"/>
        <w:ind w:firstLine="480"/>
        <w:rPr>
          <w:rFonts w:hint="eastAsia" w:ascii="宋体" w:hAnsi="宋体" w:eastAsia="宋体"/>
          <w:color w:val="000000"/>
          <w:kern w:val="2"/>
          <w:szCs w:val="24"/>
          <w:lang w:eastAsia="zh-CN"/>
        </w:rPr>
      </w:pPr>
      <w:r>
        <w:rPr>
          <w:rFonts w:hint="eastAsia" w:ascii="宋体" w:hAnsi="宋体"/>
          <w:color w:val="000000"/>
          <w:kern w:val="2"/>
          <w:szCs w:val="24"/>
        </w:rPr>
        <w:t>地址：</w:t>
      </w:r>
      <w:r>
        <w:rPr>
          <w:rFonts w:hint="eastAsia" w:ascii="宋体" w:hAnsi="宋体"/>
          <w:color w:val="000000"/>
          <w:kern w:val="2"/>
          <w:szCs w:val="24"/>
          <w:lang w:eastAsia="zh-CN"/>
        </w:rPr>
        <w:t>南京市建邺区黄山路2号绿溢国际广场B座509</w:t>
      </w:r>
    </w:p>
    <w:p w14:paraId="3B07B301">
      <w:pPr>
        <w:autoSpaceDE w:val="0"/>
        <w:autoSpaceDN w:val="0"/>
        <w:ind w:firstLine="480"/>
        <w:rPr>
          <w:rFonts w:hint="eastAsia" w:ascii="宋体" w:hAnsi="宋体" w:eastAsia="宋体"/>
          <w:color w:val="000000"/>
          <w:kern w:val="2"/>
          <w:szCs w:val="24"/>
          <w:lang w:eastAsia="zh-CN"/>
        </w:rPr>
      </w:pPr>
      <w:r>
        <w:rPr>
          <w:rFonts w:hint="eastAsia" w:ascii="宋体" w:hAnsi="宋体"/>
          <w:color w:val="000000"/>
          <w:kern w:val="2"/>
          <w:szCs w:val="24"/>
        </w:rPr>
        <w:t>联系方式：</w:t>
      </w:r>
      <w:r>
        <w:rPr>
          <w:rFonts w:hint="eastAsia" w:ascii="宋体" w:hAnsi="宋体"/>
          <w:color w:val="000000"/>
          <w:kern w:val="2"/>
          <w:szCs w:val="24"/>
          <w:lang w:eastAsia="zh-CN"/>
        </w:rPr>
        <w:t>18005157770</w:t>
      </w:r>
    </w:p>
    <w:p w14:paraId="529A4E7A">
      <w:pPr>
        <w:autoSpaceDE w:val="0"/>
        <w:autoSpaceDN w:val="0"/>
        <w:ind w:firstLine="482"/>
        <w:jc w:val="both"/>
        <w:rPr>
          <w:rFonts w:ascii="宋体" w:hAnsi="宋体"/>
          <w:b/>
          <w:bCs/>
          <w:color w:val="000000"/>
          <w:kern w:val="2"/>
          <w:szCs w:val="24"/>
        </w:rPr>
      </w:pPr>
      <w:r>
        <w:rPr>
          <w:rFonts w:hint="eastAsia" w:ascii="宋体" w:hAnsi="宋体"/>
          <w:b/>
          <w:bCs/>
          <w:color w:val="000000"/>
          <w:kern w:val="2"/>
          <w:szCs w:val="24"/>
        </w:rPr>
        <w:t>3.项目联系方式</w:t>
      </w:r>
    </w:p>
    <w:p w14:paraId="7EEFF19F">
      <w:pPr>
        <w:autoSpaceDE w:val="0"/>
        <w:autoSpaceDN w:val="0"/>
        <w:ind w:firstLine="480"/>
        <w:jc w:val="both"/>
        <w:rPr>
          <w:rFonts w:hint="eastAsia" w:ascii="宋体" w:hAnsi="宋体" w:eastAsia="宋体"/>
          <w:color w:val="000000"/>
          <w:kern w:val="2"/>
          <w:szCs w:val="24"/>
          <w:lang w:eastAsia="zh-CN"/>
        </w:rPr>
      </w:pPr>
      <w:r>
        <w:rPr>
          <w:rFonts w:hint="eastAsia" w:ascii="宋体" w:hAnsi="宋体"/>
          <w:color w:val="000000"/>
          <w:kern w:val="2"/>
          <w:szCs w:val="24"/>
        </w:rPr>
        <w:t>项目联系人：</w:t>
      </w:r>
      <w:r>
        <w:rPr>
          <w:rFonts w:hint="eastAsia" w:ascii="宋体" w:hAnsi="宋体"/>
          <w:color w:val="000000"/>
          <w:kern w:val="2"/>
          <w:szCs w:val="24"/>
          <w:lang w:eastAsia="zh-CN"/>
        </w:rPr>
        <w:t>史晨炜</w:t>
      </w:r>
    </w:p>
    <w:p w14:paraId="60631209">
      <w:pPr>
        <w:autoSpaceDE w:val="0"/>
        <w:autoSpaceDN w:val="0"/>
        <w:ind w:firstLine="480"/>
        <w:rPr>
          <w:rFonts w:hint="eastAsia" w:ascii="宋体" w:hAnsi="宋体" w:eastAsia="宋体"/>
          <w:color w:val="000000"/>
          <w:kern w:val="2"/>
          <w:szCs w:val="24"/>
          <w:lang w:eastAsia="zh-CN"/>
        </w:rPr>
      </w:pPr>
      <w:r>
        <w:rPr>
          <w:rFonts w:hint="eastAsia" w:ascii="宋体" w:hAnsi="宋体"/>
          <w:color w:val="000000"/>
          <w:kern w:val="2"/>
          <w:szCs w:val="24"/>
        </w:rPr>
        <w:t>电 话：</w:t>
      </w:r>
      <w:r>
        <w:rPr>
          <w:rFonts w:hint="eastAsia" w:ascii="宋体" w:hAnsi="宋体"/>
          <w:color w:val="000000"/>
          <w:kern w:val="2"/>
          <w:szCs w:val="24"/>
          <w:lang w:eastAsia="zh-CN"/>
        </w:rPr>
        <w:t>18005157770</w:t>
      </w:r>
    </w:p>
    <w:p w14:paraId="39C4AF2C">
      <w:pPr>
        <w:ind w:firstLine="420"/>
        <w:rPr>
          <w:rFonts w:ascii="宋体" w:hAnsi="宋体"/>
          <w:color w:val="333333"/>
          <w:sz w:val="21"/>
          <w:szCs w:val="21"/>
        </w:rPr>
      </w:pPr>
    </w:p>
    <w:bookmarkEnd w:id="12"/>
    <w:p w14:paraId="6547467B">
      <w:pPr>
        <w:pStyle w:val="2"/>
        <w:keepNext/>
        <w:keepLines w:val="0"/>
        <w:pageBreakBefore w:val="0"/>
        <w:widowControl w:val="0"/>
        <w:tabs>
          <w:tab w:val="left" w:pos="0"/>
          <w:tab w:val="clear" w:pos="1440"/>
          <w:tab w:val="clear" w:pos="5670"/>
        </w:tabs>
        <w:kinsoku/>
        <w:wordWrap/>
        <w:overflowPunct/>
        <w:topLinePunct w:val="0"/>
        <w:autoSpaceDE/>
        <w:autoSpaceDN/>
        <w:bidi w:val="0"/>
        <w:adjustRightInd/>
        <w:snapToGrid/>
        <w:spacing w:line="240" w:lineRule="auto"/>
        <w:ind w:left="0" w:leftChars="0" w:firstLine="0" w:firstLineChars="0"/>
        <w:textAlignment w:val="auto"/>
      </w:pPr>
      <w:r>
        <w:rPr>
          <w:rFonts w:hint="eastAsia"/>
          <w:bCs/>
          <w:szCs w:val="24"/>
          <w:lang w:val="zh-CN"/>
        </w:rPr>
        <w:br w:type="page"/>
      </w:r>
      <w:bookmarkStart w:id="27" w:name="_Toc10162"/>
      <w:bookmarkStart w:id="28" w:name="_Toc17583"/>
      <w:bookmarkStart w:id="29" w:name="_Toc504141736"/>
      <w:bookmarkStart w:id="30" w:name="_Toc23812"/>
      <w:bookmarkStart w:id="31" w:name="_Toc36797900"/>
      <w:bookmarkStart w:id="32" w:name="_Toc6183"/>
      <w:bookmarkStart w:id="33" w:name="_Toc8580"/>
      <w:bookmarkStart w:id="34" w:name="_Toc9543"/>
      <w:bookmarkStart w:id="35" w:name="_Toc30049"/>
      <w:bookmarkStart w:id="36" w:name="_Toc31316"/>
      <w:bookmarkStart w:id="37" w:name="_Toc21657"/>
      <w:r>
        <w:rPr>
          <w:rFonts w:hint="eastAsia"/>
        </w:rPr>
        <w:t>第二章  供应商须知</w:t>
      </w:r>
      <w:bookmarkEnd w:id="27"/>
      <w:bookmarkEnd w:id="28"/>
      <w:bookmarkEnd w:id="29"/>
      <w:bookmarkEnd w:id="30"/>
      <w:bookmarkEnd w:id="31"/>
      <w:bookmarkEnd w:id="32"/>
      <w:bookmarkEnd w:id="33"/>
      <w:bookmarkEnd w:id="34"/>
      <w:bookmarkEnd w:id="35"/>
      <w:bookmarkEnd w:id="36"/>
      <w:bookmarkEnd w:id="37"/>
    </w:p>
    <w:p w14:paraId="0596E7E5">
      <w:pPr>
        <w:pStyle w:val="26"/>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黑体" w:eastAsia="黑体"/>
          <w:sz w:val="28"/>
          <w:szCs w:val="28"/>
        </w:rPr>
      </w:pPr>
      <w:bookmarkStart w:id="38" w:name="_Toc10641"/>
      <w:bookmarkStart w:id="39" w:name="_Toc15495"/>
      <w:bookmarkStart w:id="40" w:name="_Toc23765"/>
      <w:bookmarkStart w:id="41" w:name="_Toc9481"/>
      <w:bookmarkStart w:id="42" w:name="_Toc13013"/>
      <w:bookmarkStart w:id="43" w:name="_Toc24832"/>
      <w:bookmarkStart w:id="44" w:name="_Toc11423"/>
      <w:bookmarkStart w:id="45" w:name="_Toc16523"/>
      <w:bookmarkStart w:id="46" w:name="_Toc2837"/>
      <w:bookmarkStart w:id="47" w:name="_Toc28988"/>
      <w:bookmarkStart w:id="48" w:name="_Toc30036"/>
      <w:r>
        <w:rPr>
          <w:rFonts w:hint="eastAsia" w:ascii="黑体" w:eastAsia="黑体"/>
          <w:sz w:val="28"/>
          <w:szCs w:val="28"/>
        </w:rPr>
        <w:t>投标须知前附表</w:t>
      </w:r>
    </w:p>
    <w:tbl>
      <w:tblPr>
        <w:tblStyle w:val="59"/>
        <w:tblW w:w="954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39"/>
        <w:gridCol w:w="1556"/>
        <w:gridCol w:w="7251"/>
      </w:tblGrid>
      <w:tr w14:paraId="566830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739" w:type="dxa"/>
            <w:tcBorders>
              <w:top w:val="single" w:color="auto" w:sz="4" w:space="0"/>
              <w:bottom w:val="single" w:color="auto" w:sz="4" w:space="0"/>
              <w:right w:val="single" w:color="auto" w:sz="4" w:space="0"/>
            </w:tcBorders>
            <w:noWrap/>
            <w:vAlign w:val="center"/>
          </w:tcPr>
          <w:p w14:paraId="7F98755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宋体" w:hAnsi="宋体"/>
                <w:szCs w:val="24"/>
              </w:rPr>
            </w:pPr>
            <w:r>
              <w:rPr>
                <w:rFonts w:hint="eastAsia" w:ascii="宋体" w:hAnsi="宋体"/>
                <w:szCs w:val="24"/>
              </w:rPr>
              <w:t>序号</w:t>
            </w:r>
          </w:p>
        </w:tc>
        <w:tc>
          <w:tcPr>
            <w:tcW w:w="1556" w:type="dxa"/>
            <w:tcBorders>
              <w:top w:val="single" w:color="auto" w:sz="4" w:space="0"/>
              <w:left w:val="single" w:color="auto" w:sz="4" w:space="0"/>
              <w:bottom w:val="single" w:color="auto" w:sz="4" w:space="0"/>
              <w:right w:val="single" w:color="auto" w:sz="4" w:space="0"/>
            </w:tcBorders>
            <w:noWrap/>
            <w:vAlign w:val="center"/>
          </w:tcPr>
          <w:p w14:paraId="2384905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宋体" w:hAnsi="宋体"/>
                <w:szCs w:val="24"/>
              </w:rPr>
            </w:pPr>
            <w:r>
              <w:rPr>
                <w:rFonts w:hint="eastAsia" w:ascii="宋体" w:hAnsi="宋体"/>
                <w:szCs w:val="24"/>
              </w:rPr>
              <w:t>名称</w:t>
            </w:r>
          </w:p>
        </w:tc>
        <w:tc>
          <w:tcPr>
            <w:tcW w:w="7251" w:type="dxa"/>
            <w:tcBorders>
              <w:top w:val="single" w:color="auto" w:sz="4" w:space="0"/>
              <w:left w:val="single" w:color="auto" w:sz="4" w:space="0"/>
              <w:bottom w:val="single" w:color="auto" w:sz="4" w:space="0"/>
            </w:tcBorders>
            <w:noWrap/>
            <w:vAlign w:val="center"/>
          </w:tcPr>
          <w:p w14:paraId="65350652">
            <w:pPr>
              <w:keepNext w:val="0"/>
              <w:keepLines w:val="0"/>
              <w:pageBreakBefore w:val="0"/>
              <w:widowControl/>
              <w:kinsoku/>
              <w:wordWrap/>
              <w:overflowPunct/>
              <w:topLinePunct w:val="0"/>
              <w:autoSpaceDE/>
              <w:autoSpaceDN/>
              <w:bidi w:val="0"/>
              <w:adjustRightInd w:val="0"/>
              <w:snapToGrid w:val="0"/>
              <w:spacing w:line="240" w:lineRule="auto"/>
              <w:ind w:firstLine="482" w:firstLineChars="201"/>
              <w:jc w:val="center"/>
              <w:textAlignment w:val="auto"/>
              <w:rPr>
                <w:rFonts w:ascii="宋体" w:hAnsi="宋体"/>
                <w:szCs w:val="24"/>
              </w:rPr>
            </w:pPr>
            <w:r>
              <w:rPr>
                <w:rFonts w:hint="eastAsia" w:ascii="宋体" w:hAnsi="宋体"/>
                <w:szCs w:val="24"/>
              </w:rPr>
              <w:t>内容</w:t>
            </w:r>
          </w:p>
        </w:tc>
      </w:tr>
      <w:tr w14:paraId="473086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739" w:type="dxa"/>
            <w:tcBorders>
              <w:top w:val="single" w:color="auto" w:sz="4" w:space="0"/>
              <w:bottom w:val="single" w:color="auto" w:sz="4" w:space="0"/>
              <w:right w:val="single" w:color="auto" w:sz="4" w:space="0"/>
            </w:tcBorders>
            <w:noWrap/>
            <w:vAlign w:val="center"/>
          </w:tcPr>
          <w:p w14:paraId="435C1025">
            <w:pPr>
              <w:keepNext w:val="0"/>
              <w:keepLines w:val="0"/>
              <w:pageBreakBefore w:val="0"/>
              <w:widowControl/>
              <w:tabs>
                <w:tab w:val="left" w:pos="130"/>
              </w:tabs>
              <w:kinsoku/>
              <w:wordWrap/>
              <w:overflowPunct/>
              <w:topLinePunct w:val="0"/>
              <w:autoSpaceDE/>
              <w:autoSpaceDN/>
              <w:bidi w:val="0"/>
              <w:adjustRightInd w:val="0"/>
              <w:snapToGrid w:val="0"/>
              <w:spacing w:line="240" w:lineRule="auto"/>
              <w:ind w:firstLine="0" w:firstLineChars="0"/>
              <w:jc w:val="center"/>
              <w:textAlignment w:val="auto"/>
              <w:rPr>
                <w:rFonts w:ascii="宋体" w:hAnsi="宋体"/>
                <w:szCs w:val="24"/>
              </w:rPr>
            </w:pPr>
            <w:r>
              <w:rPr>
                <w:rFonts w:hint="eastAsia" w:ascii="宋体" w:hAnsi="宋体"/>
                <w:szCs w:val="24"/>
              </w:rPr>
              <w:t>1</w:t>
            </w:r>
          </w:p>
        </w:tc>
        <w:tc>
          <w:tcPr>
            <w:tcW w:w="1556" w:type="dxa"/>
            <w:tcBorders>
              <w:top w:val="single" w:color="auto" w:sz="4" w:space="0"/>
              <w:left w:val="single" w:color="auto" w:sz="4" w:space="0"/>
              <w:bottom w:val="single" w:color="auto" w:sz="4" w:space="0"/>
              <w:right w:val="single" w:color="auto" w:sz="4" w:space="0"/>
            </w:tcBorders>
            <w:noWrap/>
            <w:vAlign w:val="center"/>
          </w:tcPr>
          <w:p w14:paraId="19FB091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宋体" w:hAnsi="宋体"/>
                <w:szCs w:val="24"/>
              </w:rPr>
            </w:pPr>
            <w:r>
              <w:rPr>
                <w:rFonts w:hint="eastAsia" w:ascii="宋体" w:hAnsi="宋体"/>
                <w:szCs w:val="24"/>
              </w:rPr>
              <w:t>投标保证金</w:t>
            </w:r>
          </w:p>
        </w:tc>
        <w:tc>
          <w:tcPr>
            <w:tcW w:w="7251" w:type="dxa"/>
            <w:tcBorders>
              <w:top w:val="single" w:color="auto" w:sz="4" w:space="0"/>
              <w:left w:val="single" w:color="auto" w:sz="4" w:space="0"/>
              <w:bottom w:val="single" w:color="auto" w:sz="4" w:space="0"/>
            </w:tcBorders>
            <w:noWrap/>
            <w:vAlign w:val="center"/>
          </w:tcPr>
          <w:p w14:paraId="0B8C74E8">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ascii="宋体" w:hAnsi="宋体"/>
                <w:b/>
                <w:bCs/>
                <w:szCs w:val="24"/>
              </w:rPr>
            </w:pPr>
            <w:r>
              <w:rPr>
                <w:rFonts w:hint="eastAsia" w:ascii="宋体" w:hAnsi="宋体"/>
                <w:b/>
                <w:bCs/>
                <w:szCs w:val="24"/>
              </w:rPr>
              <w:t>本项目不设投标保证金</w:t>
            </w:r>
          </w:p>
        </w:tc>
      </w:tr>
      <w:tr w14:paraId="730342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739" w:type="dxa"/>
            <w:tcBorders>
              <w:top w:val="single" w:color="auto" w:sz="4" w:space="0"/>
              <w:bottom w:val="single" w:color="auto" w:sz="4" w:space="0"/>
              <w:right w:val="single" w:color="auto" w:sz="4" w:space="0"/>
            </w:tcBorders>
            <w:noWrap/>
            <w:vAlign w:val="center"/>
          </w:tcPr>
          <w:p w14:paraId="2F568236">
            <w:pPr>
              <w:keepNext w:val="0"/>
              <w:keepLines w:val="0"/>
              <w:pageBreakBefore w:val="0"/>
              <w:widowControl/>
              <w:tabs>
                <w:tab w:val="left" w:pos="130"/>
              </w:tabs>
              <w:kinsoku/>
              <w:wordWrap/>
              <w:overflowPunct/>
              <w:topLinePunct w:val="0"/>
              <w:autoSpaceDE/>
              <w:autoSpaceDN/>
              <w:bidi w:val="0"/>
              <w:adjustRightInd w:val="0"/>
              <w:snapToGrid w:val="0"/>
              <w:spacing w:line="240" w:lineRule="auto"/>
              <w:ind w:firstLine="0" w:firstLineChars="0"/>
              <w:jc w:val="center"/>
              <w:textAlignment w:val="auto"/>
              <w:rPr>
                <w:rFonts w:ascii="宋体" w:hAnsi="宋体"/>
                <w:szCs w:val="24"/>
              </w:rPr>
            </w:pPr>
            <w:r>
              <w:rPr>
                <w:rFonts w:hint="eastAsia" w:ascii="宋体" w:hAnsi="宋体"/>
                <w:szCs w:val="24"/>
              </w:rPr>
              <w:t>2</w:t>
            </w:r>
          </w:p>
        </w:tc>
        <w:tc>
          <w:tcPr>
            <w:tcW w:w="1556" w:type="dxa"/>
            <w:tcBorders>
              <w:top w:val="single" w:color="auto" w:sz="4" w:space="0"/>
              <w:left w:val="single" w:color="auto" w:sz="4" w:space="0"/>
              <w:bottom w:val="single" w:color="auto" w:sz="4" w:space="0"/>
              <w:right w:val="single" w:color="auto" w:sz="4" w:space="0"/>
            </w:tcBorders>
            <w:noWrap/>
            <w:vAlign w:val="center"/>
          </w:tcPr>
          <w:p w14:paraId="5DB37C8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宋体" w:hAnsi="宋体"/>
                <w:szCs w:val="24"/>
                <w:highlight w:val="none"/>
              </w:rPr>
            </w:pPr>
            <w:r>
              <w:rPr>
                <w:rFonts w:hint="eastAsia" w:ascii="宋体" w:hAnsi="宋体"/>
                <w:szCs w:val="24"/>
                <w:highlight w:val="none"/>
              </w:rPr>
              <w:t>最高限价</w:t>
            </w:r>
          </w:p>
        </w:tc>
        <w:tc>
          <w:tcPr>
            <w:tcW w:w="7251" w:type="dxa"/>
            <w:tcBorders>
              <w:top w:val="single" w:color="auto" w:sz="4" w:space="0"/>
              <w:left w:val="single" w:color="auto" w:sz="4" w:space="0"/>
              <w:bottom w:val="single" w:color="auto" w:sz="4" w:space="0"/>
            </w:tcBorders>
            <w:noWrap/>
            <w:vAlign w:val="center"/>
          </w:tcPr>
          <w:p w14:paraId="4B5AD66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ascii="宋体" w:hAnsi="宋体"/>
                <w:b/>
                <w:bCs/>
                <w:szCs w:val="24"/>
                <w:highlight w:val="none"/>
              </w:rPr>
            </w:pPr>
            <w:r>
              <w:rPr>
                <w:rFonts w:hint="eastAsia" w:ascii="宋体" w:hAnsi="宋体"/>
                <w:szCs w:val="24"/>
                <w:highlight w:val="none"/>
              </w:rPr>
              <w:t>大写：</w:t>
            </w:r>
            <w:r>
              <w:rPr>
                <w:rFonts w:hint="eastAsia" w:ascii="宋体" w:hAnsi="宋体"/>
                <w:szCs w:val="24"/>
                <w:highlight w:val="none"/>
                <w:lang w:eastAsia="zh-CN"/>
              </w:rPr>
              <w:t>叁佰玖拾玖万捌仟壹佰玖拾贰元陆角</w:t>
            </w:r>
            <w:r>
              <w:rPr>
                <w:rFonts w:hint="eastAsia" w:ascii="宋体" w:hAnsi="宋体"/>
                <w:szCs w:val="24"/>
                <w:highlight w:val="none"/>
              </w:rPr>
              <w:t>（</w:t>
            </w:r>
            <w:r>
              <w:rPr>
                <w:rFonts w:hint="eastAsia" w:ascii="宋体" w:hAnsi="宋体"/>
                <w:szCs w:val="24"/>
                <w:highlight w:val="none"/>
                <w:lang w:eastAsia="zh-CN"/>
              </w:rPr>
              <w:t>¥3998192.60元）</w:t>
            </w:r>
            <w:r>
              <w:rPr>
                <w:rFonts w:hint="eastAsia" w:ascii="宋体" w:hAnsi="宋体"/>
                <w:szCs w:val="24"/>
                <w:highlight w:val="none"/>
              </w:rPr>
              <w:t>。超过项目最高限价作无效标处理。</w:t>
            </w:r>
          </w:p>
        </w:tc>
      </w:tr>
      <w:tr w14:paraId="5757C8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739" w:type="dxa"/>
            <w:tcBorders>
              <w:top w:val="single" w:color="auto" w:sz="4" w:space="0"/>
              <w:bottom w:val="single" w:color="auto" w:sz="4" w:space="0"/>
              <w:right w:val="single" w:color="auto" w:sz="4" w:space="0"/>
            </w:tcBorders>
            <w:noWrap/>
            <w:vAlign w:val="center"/>
          </w:tcPr>
          <w:p w14:paraId="23512BA5">
            <w:pPr>
              <w:keepNext w:val="0"/>
              <w:keepLines w:val="0"/>
              <w:pageBreakBefore w:val="0"/>
              <w:widowControl/>
              <w:tabs>
                <w:tab w:val="left" w:pos="130"/>
              </w:tabs>
              <w:kinsoku/>
              <w:wordWrap/>
              <w:overflowPunct/>
              <w:topLinePunct w:val="0"/>
              <w:autoSpaceDE/>
              <w:autoSpaceDN/>
              <w:bidi w:val="0"/>
              <w:adjustRightInd w:val="0"/>
              <w:snapToGrid w:val="0"/>
              <w:spacing w:line="240" w:lineRule="auto"/>
              <w:ind w:firstLine="0" w:firstLineChars="0"/>
              <w:jc w:val="center"/>
              <w:textAlignment w:val="auto"/>
              <w:rPr>
                <w:rFonts w:ascii="宋体" w:hAnsi="宋体"/>
                <w:szCs w:val="24"/>
              </w:rPr>
            </w:pPr>
            <w:r>
              <w:rPr>
                <w:rFonts w:hint="eastAsia" w:ascii="宋体" w:hAnsi="宋体"/>
                <w:szCs w:val="24"/>
              </w:rPr>
              <w:t>3</w:t>
            </w:r>
          </w:p>
        </w:tc>
        <w:tc>
          <w:tcPr>
            <w:tcW w:w="1556" w:type="dxa"/>
            <w:tcBorders>
              <w:top w:val="single" w:color="auto" w:sz="4" w:space="0"/>
              <w:left w:val="single" w:color="auto" w:sz="4" w:space="0"/>
              <w:bottom w:val="single" w:color="auto" w:sz="4" w:space="0"/>
              <w:right w:val="single" w:color="auto" w:sz="4" w:space="0"/>
            </w:tcBorders>
            <w:noWrap/>
            <w:vAlign w:val="center"/>
          </w:tcPr>
          <w:p w14:paraId="3E86528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宋体" w:hAnsi="宋体"/>
                <w:szCs w:val="24"/>
                <w:highlight w:val="none"/>
              </w:rPr>
            </w:pPr>
            <w:r>
              <w:rPr>
                <w:rFonts w:hint="eastAsia" w:ascii="宋体" w:hAnsi="宋体"/>
                <w:szCs w:val="24"/>
                <w:highlight w:val="none"/>
              </w:rPr>
              <w:t>工期</w:t>
            </w:r>
          </w:p>
        </w:tc>
        <w:tc>
          <w:tcPr>
            <w:tcW w:w="7251" w:type="dxa"/>
            <w:tcBorders>
              <w:top w:val="single" w:color="auto" w:sz="4" w:space="0"/>
              <w:left w:val="single" w:color="auto" w:sz="4" w:space="0"/>
              <w:bottom w:val="single" w:color="auto" w:sz="4" w:space="0"/>
            </w:tcBorders>
            <w:noWrap/>
            <w:vAlign w:val="center"/>
          </w:tcPr>
          <w:p w14:paraId="76A879ED">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ascii="宋体" w:hAnsi="宋体"/>
                <w:szCs w:val="24"/>
                <w:highlight w:val="none"/>
              </w:rPr>
            </w:pPr>
            <w:r>
              <w:rPr>
                <w:rFonts w:hint="eastAsia" w:ascii="宋体" w:hAnsi="宋体"/>
                <w:szCs w:val="24"/>
                <w:highlight w:val="none"/>
                <w:lang w:val="en-US" w:eastAsia="zh-CN"/>
              </w:rPr>
              <w:t>120</w:t>
            </w:r>
            <w:r>
              <w:rPr>
                <w:rFonts w:hint="eastAsia" w:ascii="宋体" w:hAnsi="宋体"/>
                <w:szCs w:val="24"/>
                <w:highlight w:val="none"/>
              </w:rPr>
              <w:t>天</w:t>
            </w:r>
          </w:p>
        </w:tc>
      </w:tr>
      <w:tr w14:paraId="779A85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739" w:type="dxa"/>
            <w:tcBorders>
              <w:top w:val="single" w:color="auto" w:sz="4" w:space="0"/>
              <w:bottom w:val="single" w:color="auto" w:sz="4" w:space="0"/>
              <w:right w:val="single" w:color="auto" w:sz="4" w:space="0"/>
            </w:tcBorders>
            <w:noWrap/>
            <w:vAlign w:val="center"/>
          </w:tcPr>
          <w:p w14:paraId="2208E0A9">
            <w:pPr>
              <w:keepNext w:val="0"/>
              <w:keepLines w:val="0"/>
              <w:pageBreakBefore w:val="0"/>
              <w:widowControl/>
              <w:tabs>
                <w:tab w:val="left" w:pos="130"/>
              </w:tabs>
              <w:kinsoku/>
              <w:wordWrap/>
              <w:overflowPunct/>
              <w:topLinePunct w:val="0"/>
              <w:autoSpaceDE/>
              <w:autoSpaceDN/>
              <w:bidi w:val="0"/>
              <w:adjustRightInd w:val="0"/>
              <w:snapToGrid w:val="0"/>
              <w:spacing w:line="240" w:lineRule="auto"/>
              <w:ind w:firstLine="0" w:firstLineChars="0"/>
              <w:jc w:val="center"/>
              <w:textAlignment w:val="auto"/>
              <w:rPr>
                <w:rFonts w:ascii="宋体" w:hAnsi="宋体"/>
                <w:szCs w:val="24"/>
              </w:rPr>
            </w:pPr>
            <w:r>
              <w:rPr>
                <w:rFonts w:hint="eastAsia" w:ascii="宋体" w:hAnsi="宋体"/>
                <w:szCs w:val="24"/>
              </w:rPr>
              <w:t>4</w:t>
            </w:r>
          </w:p>
        </w:tc>
        <w:tc>
          <w:tcPr>
            <w:tcW w:w="1556" w:type="dxa"/>
            <w:tcBorders>
              <w:top w:val="single" w:color="auto" w:sz="4" w:space="0"/>
              <w:left w:val="single" w:color="auto" w:sz="4" w:space="0"/>
              <w:bottom w:val="single" w:color="auto" w:sz="4" w:space="0"/>
              <w:right w:val="single" w:color="auto" w:sz="4" w:space="0"/>
            </w:tcBorders>
            <w:noWrap/>
            <w:vAlign w:val="center"/>
          </w:tcPr>
          <w:p w14:paraId="1B4576F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宋体" w:hAnsi="宋体"/>
                <w:szCs w:val="24"/>
              </w:rPr>
            </w:pPr>
            <w:r>
              <w:rPr>
                <w:rFonts w:ascii="宋体" w:hAnsi="宋体"/>
                <w:szCs w:val="24"/>
              </w:rPr>
              <w:t>投标有效期</w:t>
            </w:r>
          </w:p>
        </w:tc>
        <w:tc>
          <w:tcPr>
            <w:tcW w:w="7251" w:type="dxa"/>
            <w:tcBorders>
              <w:top w:val="single" w:color="auto" w:sz="4" w:space="0"/>
              <w:left w:val="single" w:color="auto" w:sz="4" w:space="0"/>
              <w:bottom w:val="single" w:color="auto" w:sz="4" w:space="0"/>
            </w:tcBorders>
            <w:noWrap/>
            <w:vAlign w:val="center"/>
          </w:tcPr>
          <w:p w14:paraId="15018AB1">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ascii="宋体" w:hAnsi="宋体"/>
                <w:szCs w:val="24"/>
              </w:rPr>
            </w:pPr>
            <w:r>
              <w:rPr>
                <w:rFonts w:ascii="宋体" w:hAnsi="宋体"/>
                <w:szCs w:val="24"/>
              </w:rPr>
              <w:t>提交投标文件截止之日起 90 日（供应商应承诺投标有效期不少于 90 日）</w:t>
            </w:r>
          </w:p>
        </w:tc>
      </w:tr>
      <w:tr w14:paraId="126AD4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739" w:type="dxa"/>
            <w:tcBorders>
              <w:top w:val="single" w:color="auto" w:sz="4" w:space="0"/>
              <w:bottom w:val="single" w:color="auto" w:sz="4" w:space="0"/>
              <w:right w:val="single" w:color="auto" w:sz="4" w:space="0"/>
            </w:tcBorders>
            <w:noWrap/>
            <w:vAlign w:val="center"/>
          </w:tcPr>
          <w:p w14:paraId="70ACE16D">
            <w:pPr>
              <w:keepNext w:val="0"/>
              <w:keepLines w:val="0"/>
              <w:pageBreakBefore w:val="0"/>
              <w:widowControl/>
              <w:tabs>
                <w:tab w:val="left" w:pos="130"/>
              </w:tabs>
              <w:kinsoku/>
              <w:wordWrap/>
              <w:overflowPunct/>
              <w:topLinePunct w:val="0"/>
              <w:autoSpaceDE/>
              <w:autoSpaceDN/>
              <w:bidi w:val="0"/>
              <w:adjustRightInd w:val="0"/>
              <w:snapToGrid w:val="0"/>
              <w:spacing w:line="240" w:lineRule="auto"/>
              <w:ind w:firstLine="0" w:firstLineChars="0"/>
              <w:jc w:val="center"/>
              <w:textAlignment w:val="auto"/>
              <w:rPr>
                <w:rFonts w:ascii="宋体" w:hAnsi="宋体"/>
                <w:szCs w:val="24"/>
              </w:rPr>
            </w:pPr>
            <w:r>
              <w:rPr>
                <w:rFonts w:hint="eastAsia" w:ascii="宋体" w:hAnsi="宋体"/>
                <w:szCs w:val="24"/>
              </w:rPr>
              <w:t>5</w:t>
            </w:r>
          </w:p>
        </w:tc>
        <w:tc>
          <w:tcPr>
            <w:tcW w:w="155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46D17D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宋体" w:hAnsi="宋体" w:eastAsia="宋体" w:cs="宋体"/>
                <w:sz w:val="24"/>
                <w:szCs w:val="24"/>
                <w:lang w:val="en-US" w:eastAsia="zh-CN" w:bidi="ar-SA"/>
              </w:rPr>
            </w:pPr>
            <w:r>
              <w:rPr>
                <w:rFonts w:hint="eastAsia" w:ascii="宋体" w:hAnsi="宋体"/>
                <w:szCs w:val="24"/>
              </w:rPr>
              <w:t>投标无效情形</w:t>
            </w:r>
          </w:p>
        </w:tc>
        <w:tc>
          <w:tcPr>
            <w:tcW w:w="7251" w:type="dxa"/>
            <w:tcBorders>
              <w:top w:val="single" w:color="auto" w:sz="4" w:space="0"/>
              <w:left w:val="single" w:color="auto" w:sz="4" w:space="0"/>
              <w:bottom w:val="single" w:color="auto" w:sz="4" w:space="0"/>
            </w:tcBorders>
            <w:shd w:val="clear" w:color="auto" w:fill="auto"/>
            <w:noWrap/>
            <w:vAlign w:val="center"/>
          </w:tcPr>
          <w:p w14:paraId="686CDF8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ascii="宋体" w:hAnsi="宋体"/>
                <w:b/>
                <w:bCs/>
                <w:szCs w:val="24"/>
              </w:rPr>
            </w:pPr>
            <w:r>
              <w:rPr>
                <w:rFonts w:hint="eastAsia" w:ascii="宋体" w:hAnsi="宋体"/>
                <w:b/>
                <w:bCs/>
                <w:szCs w:val="24"/>
              </w:rPr>
              <w:t>(1)本章11.1、12.4加★项要求提供的证明材料缺失或无效的；</w:t>
            </w:r>
          </w:p>
          <w:p w14:paraId="713BA89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ascii="宋体" w:hAnsi="宋体"/>
                <w:szCs w:val="24"/>
              </w:rPr>
            </w:pPr>
            <w:r>
              <w:rPr>
                <w:rFonts w:hint="eastAsia" w:ascii="宋体" w:hAnsi="宋体"/>
                <w:szCs w:val="24"/>
              </w:rPr>
              <w:t>(2)投标文件未按照招标文件规定要求</w:t>
            </w:r>
            <w:r>
              <w:rPr>
                <w:rFonts w:hint="eastAsia" w:ascii="宋体" w:hAnsi="宋体"/>
                <w:b/>
                <w:bCs/>
                <w:szCs w:val="24"/>
              </w:rPr>
              <w:t>签署、盖章</w:t>
            </w:r>
            <w:r>
              <w:rPr>
                <w:rFonts w:hint="eastAsia" w:ascii="宋体" w:hAnsi="宋体"/>
                <w:szCs w:val="24"/>
              </w:rPr>
              <w:t>的，；</w:t>
            </w:r>
          </w:p>
          <w:p w14:paraId="46CB38B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ascii="宋体" w:hAnsi="宋体"/>
                <w:szCs w:val="24"/>
              </w:rPr>
            </w:pPr>
            <w:r>
              <w:rPr>
                <w:rFonts w:hint="eastAsia" w:ascii="宋体" w:hAnsi="宋体"/>
                <w:szCs w:val="24"/>
              </w:rPr>
              <w:t>(</w:t>
            </w:r>
            <w:r>
              <w:rPr>
                <w:rFonts w:hint="eastAsia" w:ascii="宋体" w:hAnsi="宋体"/>
                <w:szCs w:val="24"/>
                <w:lang w:val="en-US" w:eastAsia="zh-CN"/>
              </w:rPr>
              <w:t>3</w:t>
            </w:r>
            <w:r>
              <w:rPr>
                <w:rFonts w:hint="eastAsia" w:ascii="宋体" w:hAnsi="宋体"/>
                <w:szCs w:val="24"/>
              </w:rPr>
              <w:t>)不同投标人的投标文件由同一单位或者个人编制；</w:t>
            </w:r>
          </w:p>
          <w:p w14:paraId="1F47901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ascii="宋体" w:hAnsi="宋体"/>
                <w:szCs w:val="24"/>
              </w:rPr>
            </w:pPr>
            <w:r>
              <w:rPr>
                <w:rFonts w:hint="eastAsia" w:ascii="宋体" w:hAnsi="宋体"/>
                <w:szCs w:val="24"/>
              </w:rPr>
              <w:t>(</w:t>
            </w:r>
            <w:r>
              <w:rPr>
                <w:rFonts w:hint="eastAsia" w:ascii="宋体" w:hAnsi="宋体"/>
                <w:szCs w:val="24"/>
                <w:lang w:val="en-US" w:eastAsia="zh-CN"/>
              </w:rPr>
              <w:t>4</w:t>
            </w:r>
            <w:r>
              <w:rPr>
                <w:rFonts w:hint="eastAsia" w:ascii="宋体" w:hAnsi="宋体"/>
                <w:szCs w:val="24"/>
              </w:rPr>
              <w:t>)不同投标人委托同一单位或者个人办理投标事宜；</w:t>
            </w:r>
          </w:p>
          <w:p w14:paraId="3FD9029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ascii="宋体" w:hAnsi="宋体"/>
                <w:szCs w:val="24"/>
              </w:rPr>
            </w:pPr>
            <w:r>
              <w:rPr>
                <w:rFonts w:hint="eastAsia" w:ascii="宋体" w:hAnsi="宋体"/>
                <w:szCs w:val="24"/>
              </w:rPr>
              <w:t>(</w:t>
            </w:r>
            <w:r>
              <w:rPr>
                <w:rFonts w:hint="eastAsia" w:ascii="宋体" w:hAnsi="宋体"/>
                <w:szCs w:val="24"/>
                <w:lang w:val="en-US" w:eastAsia="zh-CN"/>
              </w:rPr>
              <w:t>5</w:t>
            </w:r>
            <w:r>
              <w:rPr>
                <w:rFonts w:hint="eastAsia" w:ascii="宋体" w:hAnsi="宋体"/>
                <w:szCs w:val="24"/>
              </w:rPr>
              <w:t>)不同投标人的投标文件载明的项目管理成员或联系人员为同一人；</w:t>
            </w:r>
          </w:p>
          <w:p w14:paraId="11FD730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ascii="宋体" w:hAnsi="宋体"/>
                <w:szCs w:val="24"/>
              </w:rPr>
            </w:pPr>
            <w:r>
              <w:rPr>
                <w:rFonts w:hint="eastAsia" w:ascii="宋体" w:hAnsi="宋体"/>
                <w:szCs w:val="24"/>
              </w:rPr>
              <w:t>(</w:t>
            </w:r>
            <w:r>
              <w:rPr>
                <w:rFonts w:hint="eastAsia" w:ascii="宋体" w:hAnsi="宋体"/>
                <w:szCs w:val="24"/>
                <w:lang w:val="en-US" w:eastAsia="zh-CN"/>
              </w:rPr>
              <w:t>6</w:t>
            </w:r>
            <w:r>
              <w:rPr>
                <w:rFonts w:hint="eastAsia" w:ascii="宋体" w:hAnsi="宋体"/>
                <w:szCs w:val="24"/>
              </w:rPr>
              <w:t>)不同投标人的投标文件异常一致或者投标报价呈规律性差异；</w:t>
            </w:r>
          </w:p>
          <w:p w14:paraId="245F4194">
            <w:pPr>
              <w:keepNext w:val="0"/>
              <w:keepLines w:val="0"/>
              <w:pageBreakBefore w:val="0"/>
              <w:widowControl/>
              <w:tabs>
                <w:tab w:val="left" w:pos="0"/>
              </w:tabs>
              <w:kinsoku/>
              <w:wordWrap/>
              <w:overflowPunct/>
              <w:topLinePunct w:val="0"/>
              <w:autoSpaceDE/>
              <w:autoSpaceDN/>
              <w:bidi w:val="0"/>
              <w:adjustRightInd w:val="0"/>
              <w:snapToGrid w:val="0"/>
              <w:spacing w:line="240" w:lineRule="auto"/>
              <w:ind w:firstLine="0" w:firstLineChars="0"/>
              <w:jc w:val="both"/>
              <w:textAlignment w:val="auto"/>
              <w:rPr>
                <w:rFonts w:ascii="宋体" w:hAnsi="宋体"/>
                <w:szCs w:val="24"/>
              </w:rPr>
            </w:pPr>
            <w:r>
              <w:rPr>
                <w:rFonts w:hint="eastAsia" w:ascii="宋体" w:hAnsi="宋体"/>
                <w:szCs w:val="24"/>
              </w:rPr>
              <w:t>(</w:t>
            </w:r>
            <w:r>
              <w:rPr>
                <w:rFonts w:hint="eastAsia" w:ascii="宋体" w:hAnsi="宋体"/>
                <w:szCs w:val="24"/>
                <w:lang w:val="en-US" w:eastAsia="zh-CN"/>
              </w:rPr>
              <w:t>7</w:t>
            </w:r>
            <w:r>
              <w:rPr>
                <w:rFonts w:hint="eastAsia" w:ascii="宋体" w:hAnsi="宋体"/>
                <w:szCs w:val="24"/>
              </w:rPr>
              <w:t>)报价超过招标文件中规定的项目预算或者最高限价的</w:t>
            </w:r>
          </w:p>
          <w:p w14:paraId="2B851052">
            <w:pPr>
              <w:keepNext w:val="0"/>
              <w:keepLines w:val="0"/>
              <w:pageBreakBefore w:val="0"/>
              <w:widowControl/>
              <w:tabs>
                <w:tab w:val="left" w:pos="0"/>
              </w:tabs>
              <w:kinsoku/>
              <w:wordWrap/>
              <w:overflowPunct/>
              <w:topLinePunct w:val="0"/>
              <w:autoSpaceDE/>
              <w:autoSpaceDN/>
              <w:bidi w:val="0"/>
              <w:adjustRightInd w:val="0"/>
              <w:snapToGrid w:val="0"/>
              <w:spacing w:line="240" w:lineRule="auto"/>
              <w:ind w:firstLine="0" w:firstLineChars="0"/>
              <w:jc w:val="both"/>
              <w:textAlignment w:val="auto"/>
              <w:rPr>
                <w:rFonts w:ascii="宋体" w:hAnsi="宋体"/>
                <w:szCs w:val="24"/>
              </w:rPr>
            </w:pPr>
            <w:r>
              <w:rPr>
                <w:rFonts w:hint="eastAsia" w:ascii="宋体" w:hAnsi="宋体"/>
                <w:szCs w:val="24"/>
              </w:rPr>
              <w:t>(</w:t>
            </w:r>
            <w:r>
              <w:rPr>
                <w:rFonts w:hint="eastAsia" w:ascii="宋体" w:hAnsi="宋体"/>
                <w:szCs w:val="24"/>
                <w:lang w:val="en-US" w:eastAsia="zh-CN"/>
              </w:rPr>
              <w:t>8</w:t>
            </w:r>
            <w:r>
              <w:rPr>
                <w:rFonts w:hint="eastAsia" w:ascii="宋体" w:hAnsi="宋体"/>
                <w:szCs w:val="24"/>
              </w:rPr>
              <w:t>)投标文件含有采购人不能接受的附加条件的；</w:t>
            </w:r>
          </w:p>
          <w:p w14:paraId="5D10180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ascii="宋体" w:hAnsi="宋体"/>
                <w:szCs w:val="24"/>
              </w:rPr>
            </w:pPr>
            <w:r>
              <w:rPr>
                <w:rFonts w:hint="eastAsia" w:ascii="宋体" w:hAnsi="宋体"/>
                <w:szCs w:val="24"/>
              </w:rPr>
              <w:t>(</w:t>
            </w:r>
            <w:r>
              <w:rPr>
                <w:rFonts w:hint="eastAsia" w:ascii="宋体" w:hAnsi="宋体"/>
                <w:szCs w:val="24"/>
                <w:lang w:val="en-US" w:eastAsia="zh-CN"/>
              </w:rPr>
              <w:t>9</w:t>
            </w:r>
            <w:r>
              <w:rPr>
                <w:rFonts w:hint="eastAsia" w:ascii="宋体" w:hAnsi="宋体"/>
                <w:szCs w:val="24"/>
              </w:rPr>
              <w:t>)不同投标人的法定代表人或委托代理人有夫妻、直系血亲关系；</w:t>
            </w:r>
          </w:p>
          <w:p w14:paraId="1CBB273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ascii="宋体" w:hAnsi="宋体"/>
                <w:szCs w:val="24"/>
              </w:rPr>
            </w:pPr>
            <w:r>
              <w:rPr>
                <w:rFonts w:hint="eastAsia" w:ascii="宋体" w:hAnsi="宋体"/>
                <w:szCs w:val="24"/>
              </w:rPr>
              <w:t>(</w:t>
            </w:r>
            <w:r>
              <w:rPr>
                <w:rFonts w:hint="eastAsia" w:ascii="宋体" w:hAnsi="宋体"/>
                <w:szCs w:val="24"/>
                <w:lang w:val="en-US" w:eastAsia="zh-CN"/>
              </w:rPr>
              <w:t>10</w:t>
            </w:r>
            <w:r>
              <w:rPr>
                <w:rFonts w:hint="eastAsia" w:ascii="宋体" w:hAnsi="宋体"/>
                <w:szCs w:val="24"/>
              </w:rPr>
              <w:t>)不同投标人的负责人为同一人或者存在控股、管理关系的；</w:t>
            </w:r>
          </w:p>
          <w:p w14:paraId="2A06E95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ascii="宋体" w:hAnsi="宋体"/>
                <w:szCs w:val="24"/>
              </w:rPr>
            </w:pPr>
            <w:r>
              <w:rPr>
                <w:rFonts w:hint="eastAsia" w:ascii="宋体" w:hAnsi="宋体"/>
                <w:szCs w:val="24"/>
              </w:rPr>
              <w:t>(1</w:t>
            </w:r>
            <w:r>
              <w:rPr>
                <w:rFonts w:hint="eastAsia" w:ascii="宋体" w:hAnsi="宋体"/>
                <w:szCs w:val="24"/>
                <w:lang w:val="en-US" w:eastAsia="zh-CN"/>
              </w:rPr>
              <w:t>1</w:t>
            </w:r>
            <w:r>
              <w:rPr>
                <w:rFonts w:hint="eastAsia" w:ascii="宋体" w:hAnsi="宋体"/>
                <w:szCs w:val="24"/>
              </w:rPr>
              <w:t>)不同投标人的委托代理人(或法定代表人、项目经理、项目总监、项目负责人等)在采购文件发布日上月至投标截止日当月在同一单位缴纳社会保险的；</w:t>
            </w:r>
          </w:p>
          <w:p w14:paraId="08EBA35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ascii="宋体" w:hAnsi="宋体"/>
                <w:szCs w:val="24"/>
              </w:rPr>
            </w:pPr>
            <w:r>
              <w:rPr>
                <w:rFonts w:hint="eastAsia" w:ascii="宋体" w:hAnsi="宋体"/>
                <w:szCs w:val="24"/>
              </w:rPr>
              <w:t>(1</w:t>
            </w:r>
            <w:r>
              <w:rPr>
                <w:rFonts w:hint="eastAsia" w:ascii="宋体" w:hAnsi="宋体"/>
                <w:szCs w:val="24"/>
                <w:lang w:val="en-US" w:eastAsia="zh-CN"/>
              </w:rPr>
              <w:t>2</w:t>
            </w:r>
            <w:r>
              <w:rPr>
                <w:rFonts w:hint="eastAsia" w:ascii="宋体" w:hAnsi="宋体"/>
                <w:szCs w:val="24"/>
              </w:rPr>
              <w:t>)投标人具有《南京市政府采购供应商信用管理工作暂行办法》宁财规[2018]10 号第十一条、十二条所列严重失信行为的；</w:t>
            </w:r>
          </w:p>
          <w:p w14:paraId="2631D4C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ascii="宋体" w:hAnsi="宋体"/>
                <w:szCs w:val="24"/>
              </w:rPr>
            </w:pPr>
            <w:r>
              <w:rPr>
                <w:rFonts w:hint="eastAsia" w:ascii="宋体" w:hAnsi="宋体"/>
                <w:szCs w:val="24"/>
              </w:rPr>
              <w:t>(1</w:t>
            </w:r>
            <w:r>
              <w:rPr>
                <w:rFonts w:hint="eastAsia" w:ascii="宋体" w:hAnsi="宋体"/>
                <w:szCs w:val="24"/>
                <w:lang w:val="en-US" w:eastAsia="zh-CN"/>
              </w:rPr>
              <w:t>3</w:t>
            </w:r>
            <w:r>
              <w:rPr>
                <w:rFonts w:hint="eastAsia" w:ascii="宋体" w:hAnsi="宋体"/>
                <w:szCs w:val="24"/>
              </w:rPr>
              <w:t>)公开招标文件中用</w:t>
            </w:r>
            <w:r>
              <w:rPr>
                <w:rFonts w:hint="eastAsia" w:ascii="宋体" w:hAnsi="宋体"/>
                <w:b/>
                <w:bCs/>
                <w:szCs w:val="24"/>
              </w:rPr>
              <w:t>“拒绝”“不接受”“无效”“不得”“必须”“拒收”</w:t>
            </w:r>
            <w:r>
              <w:rPr>
                <w:rFonts w:hint="eastAsia" w:ascii="宋体" w:hAnsi="宋体"/>
                <w:szCs w:val="24"/>
              </w:rPr>
              <w:t>等文字规定或标注“★”符号的条款为实质性要求条款(即重要条款)，投标人的投标文件对其中任何一条要求有负偏离的；</w:t>
            </w:r>
          </w:p>
          <w:p w14:paraId="2EEE9F0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ascii="宋体" w:hAnsi="宋体" w:eastAsia="宋体" w:cs="宋体"/>
                <w:sz w:val="24"/>
                <w:szCs w:val="24"/>
                <w:lang w:val="en-US" w:eastAsia="zh-CN" w:bidi="ar-SA"/>
              </w:rPr>
            </w:pPr>
            <w:r>
              <w:rPr>
                <w:rFonts w:hint="eastAsia" w:ascii="宋体" w:hAnsi="宋体"/>
                <w:szCs w:val="24"/>
              </w:rPr>
              <w:t>(1</w:t>
            </w:r>
            <w:r>
              <w:rPr>
                <w:rFonts w:hint="eastAsia" w:ascii="宋体" w:hAnsi="宋体"/>
                <w:szCs w:val="24"/>
                <w:lang w:val="en-US" w:eastAsia="zh-CN"/>
              </w:rPr>
              <w:t>4</w:t>
            </w:r>
            <w:r>
              <w:rPr>
                <w:rFonts w:hint="eastAsia" w:ascii="宋体" w:hAnsi="宋体"/>
                <w:szCs w:val="24"/>
              </w:rPr>
              <w:t>)法律、法规和招标文件规定的其他无效情形。</w:t>
            </w:r>
          </w:p>
        </w:tc>
      </w:tr>
      <w:tr w14:paraId="5B3854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739" w:type="dxa"/>
            <w:tcBorders>
              <w:top w:val="single" w:color="auto" w:sz="4" w:space="0"/>
              <w:bottom w:val="single" w:color="auto" w:sz="4" w:space="0"/>
              <w:right w:val="single" w:color="auto" w:sz="4" w:space="0"/>
            </w:tcBorders>
            <w:noWrap/>
            <w:vAlign w:val="center"/>
          </w:tcPr>
          <w:p w14:paraId="053BD415">
            <w:pPr>
              <w:keepNext w:val="0"/>
              <w:keepLines w:val="0"/>
              <w:pageBreakBefore w:val="0"/>
              <w:widowControl/>
              <w:tabs>
                <w:tab w:val="left" w:pos="130"/>
              </w:tabs>
              <w:kinsoku/>
              <w:wordWrap/>
              <w:overflowPunct/>
              <w:topLinePunct w:val="0"/>
              <w:autoSpaceDE/>
              <w:autoSpaceDN/>
              <w:bidi w:val="0"/>
              <w:adjustRightInd w:val="0"/>
              <w:snapToGrid w:val="0"/>
              <w:spacing w:line="240" w:lineRule="auto"/>
              <w:ind w:firstLine="0" w:firstLineChars="0"/>
              <w:jc w:val="center"/>
              <w:textAlignment w:val="auto"/>
              <w:rPr>
                <w:rFonts w:ascii="宋体" w:hAnsi="宋体"/>
                <w:szCs w:val="24"/>
              </w:rPr>
            </w:pPr>
            <w:r>
              <w:rPr>
                <w:rFonts w:hint="eastAsia" w:ascii="宋体" w:hAnsi="宋体"/>
                <w:szCs w:val="24"/>
              </w:rPr>
              <w:t>6</w:t>
            </w:r>
          </w:p>
        </w:tc>
        <w:tc>
          <w:tcPr>
            <w:tcW w:w="155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8D4E43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宋体" w:hAnsi="宋体" w:eastAsia="宋体" w:cs="宋体"/>
                <w:sz w:val="24"/>
                <w:szCs w:val="24"/>
                <w:lang w:val="en-US" w:eastAsia="zh-CN" w:bidi="ar-SA"/>
              </w:rPr>
            </w:pPr>
            <w:r>
              <w:rPr>
                <w:rFonts w:hint="eastAsia" w:ascii="宋体" w:hAnsi="宋体"/>
                <w:szCs w:val="24"/>
              </w:rPr>
              <w:t>废标情形</w:t>
            </w:r>
          </w:p>
        </w:tc>
        <w:tc>
          <w:tcPr>
            <w:tcW w:w="7251" w:type="dxa"/>
            <w:tcBorders>
              <w:top w:val="single" w:color="auto" w:sz="4" w:space="0"/>
              <w:left w:val="single" w:color="auto" w:sz="4" w:space="0"/>
              <w:bottom w:val="single" w:color="auto" w:sz="4" w:space="0"/>
            </w:tcBorders>
            <w:shd w:val="clear" w:color="auto" w:fill="auto"/>
            <w:noWrap/>
            <w:vAlign w:val="center"/>
          </w:tcPr>
          <w:p w14:paraId="6DF0B84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ascii="宋体" w:hAnsi="宋体"/>
                <w:szCs w:val="24"/>
              </w:rPr>
            </w:pPr>
            <w:r>
              <w:rPr>
                <w:rFonts w:hint="eastAsia" w:ascii="宋体" w:hAnsi="宋体"/>
                <w:szCs w:val="24"/>
              </w:rPr>
              <w:t>(1)符合专业条件的投标人或者对招标文件作实质响应的投标人不足三家的；</w:t>
            </w:r>
          </w:p>
          <w:p w14:paraId="3934E41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ascii="宋体" w:hAnsi="宋体"/>
                <w:szCs w:val="24"/>
              </w:rPr>
            </w:pPr>
            <w:r>
              <w:rPr>
                <w:rFonts w:hint="eastAsia" w:ascii="宋体" w:hAnsi="宋体"/>
                <w:szCs w:val="24"/>
              </w:rPr>
              <w:t>(2)出现影响采购公正的违法、违规行为的；</w:t>
            </w:r>
          </w:p>
          <w:p w14:paraId="30E46C9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ascii="宋体" w:hAnsi="宋体"/>
                <w:szCs w:val="24"/>
              </w:rPr>
            </w:pPr>
            <w:r>
              <w:rPr>
                <w:rFonts w:hint="eastAsia" w:ascii="宋体" w:hAnsi="宋体"/>
                <w:szCs w:val="24"/>
              </w:rPr>
              <w:t>(3)投标人的报价均超过了采购预算，采购人不能支付的；</w:t>
            </w:r>
          </w:p>
          <w:p w14:paraId="6B858CD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ascii="宋体" w:hAnsi="宋体" w:eastAsia="宋体" w:cs="宋体"/>
                <w:sz w:val="24"/>
                <w:szCs w:val="24"/>
                <w:lang w:val="en-US" w:eastAsia="zh-CN" w:bidi="ar-SA"/>
              </w:rPr>
            </w:pPr>
            <w:r>
              <w:rPr>
                <w:rFonts w:hint="eastAsia" w:ascii="宋体" w:hAnsi="宋体"/>
                <w:szCs w:val="24"/>
              </w:rPr>
              <w:t>(4)因重大变故，采购任务取消的。</w:t>
            </w:r>
          </w:p>
        </w:tc>
      </w:tr>
      <w:tr w14:paraId="5C5BA3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739" w:type="dxa"/>
            <w:tcBorders>
              <w:top w:val="single" w:color="auto" w:sz="4" w:space="0"/>
              <w:bottom w:val="single" w:color="auto" w:sz="4" w:space="0"/>
              <w:right w:val="single" w:color="auto" w:sz="4" w:space="0"/>
            </w:tcBorders>
            <w:noWrap/>
            <w:vAlign w:val="center"/>
          </w:tcPr>
          <w:p w14:paraId="7FFCE3AD">
            <w:pPr>
              <w:keepNext w:val="0"/>
              <w:keepLines w:val="0"/>
              <w:pageBreakBefore w:val="0"/>
              <w:widowControl/>
              <w:tabs>
                <w:tab w:val="left" w:pos="130"/>
              </w:tabs>
              <w:kinsoku/>
              <w:wordWrap/>
              <w:overflowPunct/>
              <w:topLinePunct w:val="0"/>
              <w:autoSpaceDE/>
              <w:autoSpaceDN/>
              <w:bidi w:val="0"/>
              <w:adjustRightInd w:val="0"/>
              <w:snapToGrid w:val="0"/>
              <w:spacing w:line="240" w:lineRule="auto"/>
              <w:ind w:firstLine="0" w:firstLineChars="0"/>
              <w:jc w:val="center"/>
              <w:textAlignment w:val="auto"/>
              <w:rPr>
                <w:rFonts w:ascii="宋体" w:hAnsi="宋体"/>
                <w:szCs w:val="24"/>
              </w:rPr>
            </w:pPr>
            <w:r>
              <w:rPr>
                <w:rFonts w:hint="eastAsia" w:ascii="宋体" w:hAnsi="宋体"/>
                <w:szCs w:val="24"/>
              </w:rPr>
              <w:t>7</w:t>
            </w:r>
          </w:p>
        </w:tc>
        <w:tc>
          <w:tcPr>
            <w:tcW w:w="155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DB2126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宋体" w:hAnsi="宋体" w:eastAsia="宋体" w:cs="宋体"/>
                <w:sz w:val="24"/>
                <w:szCs w:val="24"/>
                <w:lang w:val="en-US" w:eastAsia="zh-CN" w:bidi="ar-SA"/>
              </w:rPr>
            </w:pPr>
            <w:r>
              <w:rPr>
                <w:rFonts w:hint="eastAsia" w:ascii="宋体" w:hAnsi="宋体"/>
                <w:szCs w:val="24"/>
              </w:rPr>
              <w:t>盖章要求</w:t>
            </w:r>
          </w:p>
        </w:tc>
        <w:tc>
          <w:tcPr>
            <w:tcW w:w="7251" w:type="dxa"/>
            <w:tcBorders>
              <w:top w:val="single" w:color="auto" w:sz="4" w:space="0"/>
              <w:left w:val="single" w:color="auto" w:sz="4" w:space="0"/>
              <w:bottom w:val="single" w:color="auto" w:sz="4" w:space="0"/>
            </w:tcBorders>
            <w:shd w:val="clear" w:color="auto" w:fill="auto"/>
            <w:noWrap/>
            <w:vAlign w:val="center"/>
          </w:tcPr>
          <w:p w14:paraId="5AE11DC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ascii="宋体" w:hAnsi="宋体" w:eastAsia="宋体" w:cs="宋体"/>
                <w:sz w:val="24"/>
                <w:szCs w:val="24"/>
                <w:lang w:val="en-US" w:eastAsia="zh-CN" w:bidi="ar-SA"/>
              </w:rPr>
            </w:pPr>
            <w:r>
              <w:rPr>
                <w:rFonts w:hint="eastAsia" w:ascii="宋体" w:hAnsi="宋体"/>
                <w:b/>
                <w:bCs/>
                <w:szCs w:val="24"/>
              </w:rPr>
              <w:t>投标人投标文件中加盖的公章仅能使用与投标人名称一致的标准公章</w:t>
            </w:r>
            <w:r>
              <w:rPr>
                <w:rFonts w:hint="eastAsia" w:ascii="宋体" w:hAnsi="宋体"/>
                <w:szCs w:val="24"/>
              </w:rPr>
              <w:t>，不得使用其他形式（如带有“专用章”、“合同章”、“财务章”、“业务章”等字样）的印章；</w:t>
            </w:r>
            <w:r>
              <w:rPr>
                <w:rFonts w:hint="eastAsia" w:ascii="宋体" w:hAnsi="宋体"/>
                <w:b/>
                <w:bCs/>
                <w:szCs w:val="24"/>
              </w:rPr>
              <w:t>否则，按无效投标处理。</w:t>
            </w:r>
          </w:p>
        </w:tc>
      </w:tr>
      <w:tr w14:paraId="5DCA19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739" w:type="dxa"/>
            <w:tcBorders>
              <w:top w:val="single" w:color="auto" w:sz="4" w:space="0"/>
              <w:bottom w:val="single" w:color="auto" w:sz="4" w:space="0"/>
              <w:right w:val="single" w:color="auto" w:sz="4" w:space="0"/>
            </w:tcBorders>
            <w:noWrap/>
            <w:vAlign w:val="center"/>
          </w:tcPr>
          <w:p w14:paraId="36203741">
            <w:pPr>
              <w:keepNext w:val="0"/>
              <w:keepLines w:val="0"/>
              <w:pageBreakBefore w:val="0"/>
              <w:widowControl/>
              <w:tabs>
                <w:tab w:val="left" w:pos="130"/>
              </w:tabs>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szCs w:val="24"/>
                <w:lang w:val="en-US" w:eastAsia="zh-CN"/>
              </w:rPr>
            </w:pPr>
            <w:r>
              <w:rPr>
                <w:rFonts w:hint="eastAsia" w:ascii="宋体" w:hAnsi="宋体"/>
                <w:szCs w:val="24"/>
                <w:lang w:val="en-US" w:eastAsia="zh-CN"/>
              </w:rPr>
              <w:t>8</w:t>
            </w:r>
          </w:p>
        </w:tc>
        <w:tc>
          <w:tcPr>
            <w:tcW w:w="155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DA0C0B">
            <w:pPr>
              <w:topLinePunct/>
              <w:spacing w:line="400" w:lineRule="exact"/>
              <w:ind w:left="0" w:leftChars="0" w:firstLine="0" w:firstLineChars="0"/>
              <w:outlineLvl w:val="1"/>
              <w:rPr>
                <w:rFonts w:hint="eastAsia" w:ascii="宋体" w:hAnsi="宋体" w:cs="宋体"/>
                <w:sz w:val="24"/>
              </w:rPr>
            </w:pPr>
            <w:r>
              <w:rPr>
                <w:rFonts w:hint="eastAsia" w:ascii="宋体" w:hAnsi="宋体" w:cs="宋体"/>
                <w:sz w:val="24"/>
                <w:lang w:eastAsia="zh-CN"/>
              </w:rPr>
              <w:t>中标人</w:t>
            </w:r>
            <w:r>
              <w:rPr>
                <w:rFonts w:hint="eastAsia" w:ascii="宋体" w:hAnsi="宋体" w:cs="宋体"/>
                <w:sz w:val="24"/>
              </w:rPr>
              <w:t>将由承诺书替代的资格证明材料2份提交采购代理机构核验，经核验无误后到采购代理机构处领取《中标通知书》。</w:t>
            </w:r>
          </w:p>
          <w:p w14:paraId="0A109701">
            <w:pPr>
              <w:wordWrap w:val="0"/>
              <w:topLinePunct/>
              <w:spacing w:line="400" w:lineRule="exact"/>
              <w:ind w:firstLine="480" w:firstLineChars="200"/>
              <w:jc w:val="center"/>
              <w:outlineLvl w:val="1"/>
              <w:rPr>
                <w:rFonts w:hint="eastAsia" w:ascii="宋体" w:hAnsi="宋体"/>
                <w:szCs w:val="24"/>
              </w:rPr>
            </w:pPr>
          </w:p>
        </w:tc>
        <w:tc>
          <w:tcPr>
            <w:tcW w:w="7251" w:type="dxa"/>
            <w:tcBorders>
              <w:top w:val="single" w:color="auto" w:sz="4" w:space="0"/>
              <w:left w:val="single" w:color="auto" w:sz="4" w:space="0"/>
              <w:bottom w:val="single" w:color="auto" w:sz="4" w:space="0"/>
            </w:tcBorders>
            <w:shd w:val="clear" w:color="auto" w:fill="auto"/>
            <w:noWrap/>
            <w:vAlign w:val="top"/>
          </w:tcPr>
          <w:p w14:paraId="29EC044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eastAsia" w:ascii="宋体" w:hAnsi="宋体"/>
                <w:szCs w:val="24"/>
              </w:rPr>
            </w:pPr>
            <w:r>
              <w:rPr>
                <w:rFonts w:hint="eastAsia" w:ascii="宋体" w:hAnsi="宋体"/>
                <w:szCs w:val="24"/>
              </w:rPr>
              <w:t>（1）具有独立承担民事责任的能力（</w:t>
            </w:r>
            <w:r>
              <w:rPr>
                <w:rFonts w:hint="eastAsia" w:ascii="宋体" w:hAnsi="宋体"/>
                <w:szCs w:val="24"/>
                <w:lang w:val="zh-CN"/>
              </w:rPr>
              <w:t>提供法人或者其他组织的营业执照并加盖公章；投标人为自然人的，提供其身份证并加盖公章</w:t>
            </w:r>
            <w:r>
              <w:rPr>
                <w:rFonts w:hint="eastAsia" w:ascii="宋体" w:hAnsi="宋体"/>
                <w:szCs w:val="24"/>
              </w:rPr>
              <w:t>）；</w:t>
            </w:r>
          </w:p>
          <w:p w14:paraId="0389A35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eastAsia" w:ascii="宋体" w:hAnsi="宋体"/>
                <w:szCs w:val="24"/>
              </w:rPr>
            </w:pPr>
            <w:r>
              <w:rPr>
                <w:rFonts w:hint="eastAsia" w:ascii="宋体" w:hAnsi="宋体"/>
                <w:szCs w:val="24"/>
              </w:rPr>
              <w:t>（2）具有良好的商业信誉和健全的财务会计制度（</w:t>
            </w:r>
            <w:r>
              <w:rPr>
                <w:rFonts w:hint="eastAsia" w:ascii="宋体" w:hAnsi="宋体"/>
                <w:szCs w:val="24"/>
                <w:lang w:val="zh-CN"/>
              </w:rPr>
              <w:t>提供</w:t>
            </w:r>
            <w:r>
              <w:rPr>
                <w:rFonts w:hint="eastAsia" w:ascii="宋体" w:hAnsi="宋体"/>
                <w:szCs w:val="24"/>
                <w:lang w:val="en-US" w:eastAsia="zh-CN"/>
              </w:rPr>
              <w:t>2024年度</w:t>
            </w:r>
            <w:r>
              <w:rPr>
                <w:rFonts w:hint="eastAsia" w:ascii="宋体" w:hAnsi="宋体"/>
                <w:szCs w:val="24"/>
                <w:lang w:val="zh-CN"/>
              </w:rPr>
              <w:t>经审计的财务报告，或投标前一个月的其他会计报表等并加盖公章（其他会计报表至少包括资产负债表、利润表、现金流量表，但属于《中小企业划型标准规定》的小企业（含小型、微型）编制的会计报表可以不包括现金流量表，加盖公章）</w:t>
            </w:r>
            <w:r>
              <w:rPr>
                <w:rFonts w:hint="eastAsia" w:ascii="宋体" w:hAnsi="宋体"/>
                <w:szCs w:val="24"/>
              </w:rPr>
              <w:t>；</w:t>
            </w:r>
          </w:p>
          <w:p w14:paraId="7999B4E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eastAsia" w:ascii="宋体" w:hAnsi="宋体"/>
                <w:szCs w:val="24"/>
              </w:rPr>
            </w:pPr>
            <w:r>
              <w:rPr>
                <w:rFonts w:hint="eastAsia" w:ascii="宋体" w:hAnsi="宋体"/>
                <w:szCs w:val="24"/>
              </w:rPr>
              <w:t>（3）具有履行合同所必需的设备和专业技术能力（根据项目需求提供履行合同所必需的设备和专业技术能力的证明材料或相关加盖公章的承诺函）；</w:t>
            </w:r>
          </w:p>
          <w:p w14:paraId="37193A5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eastAsia" w:ascii="宋体" w:hAnsi="宋体"/>
                <w:szCs w:val="24"/>
              </w:rPr>
            </w:pPr>
            <w:r>
              <w:rPr>
                <w:rFonts w:hint="eastAsia" w:ascii="宋体" w:hAnsi="宋体"/>
                <w:szCs w:val="24"/>
              </w:rPr>
              <w:t>（4）有依法缴纳税收和社会保障资金的良好记录（提供参加本次政府采购活动前半年内至少一个月缴纳增值税，或营业税，或企业所得税的凭据；并提供缴纳社会保险的凭据（专用收据或社会保险缴纳清单）加盖公章）；</w:t>
            </w:r>
          </w:p>
          <w:p w14:paraId="72E96A7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eastAsia" w:ascii="宋体" w:hAnsi="宋体"/>
                <w:szCs w:val="24"/>
              </w:rPr>
            </w:pPr>
            <w:r>
              <w:rPr>
                <w:rFonts w:hint="eastAsia" w:ascii="宋体" w:hAnsi="宋体"/>
                <w:szCs w:val="24"/>
              </w:rPr>
              <w:t>（5）参加政府采购活动前三年内，在经营活动中没有重大违法记录（提供书面声明并加盖公章）；</w:t>
            </w:r>
          </w:p>
          <w:p w14:paraId="1544585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eastAsia" w:ascii="宋体" w:hAnsi="宋体"/>
                <w:b/>
                <w:bCs/>
                <w:szCs w:val="24"/>
              </w:rPr>
            </w:pPr>
            <w:r>
              <w:rPr>
                <w:rFonts w:hint="eastAsia" w:ascii="宋体" w:hAnsi="宋体"/>
                <w:szCs w:val="24"/>
                <w:lang w:val="en-US" w:eastAsia="zh-CN"/>
              </w:rPr>
              <w:t>（6）法律、行政法规规定的其他条件：无。</w:t>
            </w:r>
          </w:p>
        </w:tc>
      </w:tr>
      <w:tr w14:paraId="7ED986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739" w:type="dxa"/>
            <w:tcBorders>
              <w:top w:val="single" w:color="auto" w:sz="4" w:space="0"/>
              <w:bottom w:val="single" w:color="auto" w:sz="4" w:space="0"/>
              <w:right w:val="single" w:color="auto" w:sz="4" w:space="0"/>
            </w:tcBorders>
            <w:noWrap/>
            <w:vAlign w:val="center"/>
          </w:tcPr>
          <w:p w14:paraId="08F2263D">
            <w:pPr>
              <w:keepNext w:val="0"/>
              <w:keepLines w:val="0"/>
              <w:pageBreakBefore w:val="0"/>
              <w:widowControl/>
              <w:tabs>
                <w:tab w:val="left" w:pos="130"/>
              </w:tabs>
              <w:kinsoku/>
              <w:wordWrap/>
              <w:overflowPunct/>
              <w:topLinePunct w:val="0"/>
              <w:autoSpaceDE/>
              <w:autoSpaceDN/>
              <w:bidi w:val="0"/>
              <w:adjustRightInd w:val="0"/>
              <w:snapToGrid w:val="0"/>
              <w:spacing w:line="240" w:lineRule="auto"/>
              <w:ind w:firstLine="0" w:firstLineChars="0"/>
              <w:jc w:val="center"/>
              <w:textAlignment w:val="auto"/>
              <w:rPr>
                <w:rFonts w:hint="default" w:ascii="宋体" w:hAnsi="宋体" w:eastAsia="宋体"/>
                <w:szCs w:val="24"/>
                <w:lang w:val="en-US" w:eastAsia="zh-CN"/>
              </w:rPr>
            </w:pPr>
            <w:r>
              <w:rPr>
                <w:rFonts w:hint="eastAsia" w:ascii="宋体" w:hAnsi="宋体"/>
                <w:szCs w:val="24"/>
                <w:lang w:val="en-US" w:eastAsia="zh-CN"/>
              </w:rPr>
              <w:t>9</w:t>
            </w:r>
          </w:p>
        </w:tc>
        <w:tc>
          <w:tcPr>
            <w:tcW w:w="155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5E5514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宋体" w:hAnsi="宋体" w:eastAsia="宋体" w:cs="宋体"/>
                <w:sz w:val="24"/>
                <w:szCs w:val="24"/>
                <w:lang w:val="en-US" w:eastAsia="zh-CN" w:bidi="ar-SA"/>
              </w:rPr>
            </w:pPr>
            <w:r>
              <w:rPr>
                <w:rFonts w:hint="eastAsia" w:ascii="宋体" w:hAnsi="宋体" w:cs="宋体"/>
                <w:sz w:val="24"/>
                <w:szCs w:val="24"/>
                <w:lang w:val="en-US" w:eastAsia="zh-CN" w:bidi="ar-SA"/>
              </w:rPr>
              <w:t>其他</w:t>
            </w:r>
          </w:p>
        </w:tc>
        <w:tc>
          <w:tcPr>
            <w:tcW w:w="7251" w:type="dxa"/>
            <w:tcBorders>
              <w:top w:val="single" w:color="auto" w:sz="4" w:space="0"/>
              <w:left w:val="single" w:color="auto" w:sz="4" w:space="0"/>
              <w:bottom w:val="single" w:color="auto" w:sz="4" w:space="0"/>
            </w:tcBorders>
            <w:shd w:val="clear" w:color="auto" w:fill="auto"/>
            <w:noWrap/>
            <w:vAlign w:val="top"/>
          </w:tcPr>
          <w:p w14:paraId="277D7DE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eastAsia" w:ascii="宋体" w:hAnsi="宋体" w:eastAsia="宋体" w:cs="宋体"/>
                <w:szCs w:val="24"/>
              </w:rPr>
            </w:pPr>
            <w:r>
              <w:rPr>
                <w:rFonts w:hint="eastAsia" w:ascii="宋体" w:hAnsi="宋体" w:eastAsia="宋体" w:cs="宋体"/>
                <w:szCs w:val="24"/>
              </w:rPr>
              <w:t>1、投标人根据招标人提供的工程量清单以及现场情况进行报价。投标人不得修改清单的范围、数量及不可竞争费，否则按无效标处理。</w:t>
            </w:r>
          </w:p>
          <w:p w14:paraId="445A473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eastAsia" w:ascii="宋体" w:hAnsi="宋体" w:eastAsia="宋体" w:cs="宋体"/>
                <w:szCs w:val="24"/>
              </w:rPr>
            </w:pPr>
            <w:r>
              <w:rPr>
                <w:rFonts w:hint="eastAsia" w:ascii="宋体" w:hAnsi="宋体" w:eastAsia="宋体" w:cs="宋体"/>
                <w:szCs w:val="24"/>
              </w:rPr>
              <w:t>2、本工程不组织集体踏勘。投标人需自行前往施工现场进行勘察（勘察前与招标人联系），以充分了解工地及周边位置、环境、道路、储存空间、装卸限制及任何其他足以影响投标报价的情况。承包人如因此忽视或误解场地及周围情况而导致的成本增加或工期延长等</w:t>
            </w:r>
            <w:r>
              <w:rPr>
                <w:rFonts w:hint="eastAsia" w:ascii="宋体" w:hAnsi="宋体" w:eastAsia="宋体" w:cs="宋体"/>
                <w:szCs w:val="24"/>
                <w:lang w:eastAsia="zh-CN"/>
              </w:rPr>
              <w:t>采购人</w:t>
            </w:r>
            <w:r>
              <w:rPr>
                <w:rFonts w:hint="eastAsia" w:ascii="宋体" w:hAnsi="宋体" w:eastAsia="宋体" w:cs="宋体"/>
                <w:szCs w:val="24"/>
              </w:rPr>
              <w:t>一律不予认可。</w:t>
            </w:r>
            <w:r>
              <w:rPr>
                <w:rFonts w:hint="eastAsia" w:ascii="宋体" w:hAnsi="宋体" w:eastAsia="宋体" w:cs="宋体"/>
                <w:szCs w:val="24"/>
                <w:highlight w:val="none"/>
              </w:rPr>
              <w:t>对清单及图纸中缺少的必要施工工艺及步骤，投标人可根据现场的实际情况</w:t>
            </w:r>
            <w:r>
              <w:rPr>
                <w:rFonts w:hint="eastAsia" w:ascii="宋体" w:hAnsi="宋体" w:cs="宋体"/>
                <w:szCs w:val="24"/>
                <w:highlight w:val="none"/>
                <w:lang w:val="en-US" w:eastAsia="zh-CN"/>
              </w:rPr>
              <w:t>在投标前</w:t>
            </w:r>
            <w:r>
              <w:rPr>
                <w:rFonts w:hint="eastAsia" w:ascii="宋体" w:hAnsi="宋体" w:eastAsia="宋体" w:cs="宋体"/>
                <w:szCs w:val="24"/>
                <w:highlight w:val="none"/>
              </w:rPr>
              <w:t>提出异议的，</w:t>
            </w:r>
            <w:r>
              <w:rPr>
                <w:rFonts w:hint="eastAsia" w:ascii="宋体" w:hAnsi="宋体" w:cs="宋体"/>
                <w:szCs w:val="24"/>
                <w:highlight w:val="none"/>
                <w:lang w:val="en-US" w:eastAsia="zh-CN"/>
              </w:rPr>
              <w:t>未提出异议的，中标后</w:t>
            </w:r>
            <w:r>
              <w:rPr>
                <w:rFonts w:hint="eastAsia" w:ascii="宋体" w:hAnsi="宋体" w:eastAsia="宋体" w:cs="宋体"/>
                <w:szCs w:val="24"/>
                <w:highlight w:val="none"/>
              </w:rPr>
              <w:t>增补项作为默认包含项</w:t>
            </w:r>
            <w:r>
              <w:rPr>
                <w:rFonts w:hint="eastAsia" w:ascii="宋体" w:hAnsi="宋体" w:cs="宋体"/>
                <w:szCs w:val="24"/>
                <w:highlight w:val="none"/>
                <w:lang w:eastAsia="zh-CN"/>
              </w:rPr>
              <w:t>，</w:t>
            </w:r>
            <w:r>
              <w:rPr>
                <w:rFonts w:hint="eastAsia" w:ascii="宋体" w:hAnsi="宋体" w:eastAsia="宋体" w:cs="宋体"/>
                <w:szCs w:val="24"/>
                <w:highlight w:val="none"/>
              </w:rPr>
              <w:t>中标人不得以不完全了解施工现场</w:t>
            </w:r>
            <w:r>
              <w:rPr>
                <w:rFonts w:hint="eastAsia" w:ascii="宋体" w:hAnsi="宋体" w:cs="宋体"/>
                <w:szCs w:val="24"/>
                <w:highlight w:val="none"/>
                <w:lang w:eastAsia="zh-CN"/>
              </w:rPr>
              <w:t>、</w:t>
            </w:r>
            <w:r>
              <w:rPr>
                <w:rFonts w:hint="eastAsia" w:ascii="宋体" w:hAnsi="宋体" w:cs="宋体"/>
                <w:szCs w:val="24"/>
                <w:highlight w:val="none"/>
                <w:lang w:val="en-US" w:eastAsia="zh-CN"/>
              </w:rPr>
              <w:t>图纸或清单缺项</w:t>
            </w:r>
            <w:r>
              <w:rPr>
                <w:rFonts w:hint="eastAsia" w:ascii="宋体" w:hAnsi="宋体" w:eastAsia="宋体" w:cs="宋体"/>
                <w:szCs w:val="24"/>
                <w:highlight w:val="none"/>
              </w:rPr>
              <w:t>为由，而提出额外的赔偿、增加费用和延长工期等要求，对此招标人一概不予采纳。</w:t>
            </w:r>
          </w:p>
          <w:p w14:paraId="5293ACC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eastAsia" w:ascii="宋体" w:hAnsi="宋体" w:eastAsia="宋体" w:cs="宋体"/>
                <w:szCs w:val="24"/>
              </w:rPr>
            </w:pPr>
            <w:r>
              <w:rPr>
                <w:rFonts w:hint="eastAsia" w:ascii="宋体" w:hAnsi="宋体" w:cs="宋体"/>
                <w:szCs w:val="24"/>
                <w:lang w:val="en-US" w:eastAsia="zh-CN"/>
              </w:rPr>
              <w:t>3</w:t>
            </w:r>
            <w:r>
              <w:rPr>
                <w:rFonts w:hint="eastAsia" w:ascii="宋体" w:hAnsi="宋体" w:eastAsia="宋体" w:cs="宋体"/>
                <w:szCs w:val="24"/>
              </w:rPr>
              <w:t>、施工现场临时施工便道、通讯、交通、食宿等均由承包人自行解决并承担费用，投标人应根据现场情况在投标总价中予以考虑。</w:t>
            </w:r>
          </w:p>
          <w:p w14:paraId="6EDA1A8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宋体" w:hAnsi="宋体" w:eastAsia="宋体" w:cs="宋体"/>
                <w:szCs w:val="24"/>
                <w:lang w:val="en-US" w:eastAsia="zh-CN"/>
              </w:rPr>
            </w:pPr>
            <w:r>
              <w:rPr>
                <w:rFonts w:hint="eastAsia" w:ascii="宋体" w:hAnsi="宋体" w:cs="宋体"/>
                <w:szCs w:val="24"/>
                <w:lang w:val="en-US" w:eastAsia="zh-CN"/>
              </w:rPr>
              <w:t>4</w:t>
            </w:r>
            <w:r>
              <w:rPr>
                <w:rFonts w:hint="eastAsia" w:ascii="宋体" w:hAnsi="宋体" w:eastAsia="宋体" w:cs="宋体"/>
                <w:szCs w:val="24"/>
                <w:lang w:val="en-US" w:eastAsia="zh-CN"/>
              </w:rPr>
              <w:t>、</w:t>
            </w:r>
            <w:r>
              <w:rPr>
                <w:rFonts w:hint="eastAsia" w:ascii="宋体" w:hAnsi="宋体" w:eastAsia="宋体" w:cs="宋体"/>
                <w:szCs w:val="24"/>
              </w:rPr>
              <w:t>承包人在施工过程中不得对已有的绿化、绿植、古树名木等造成破坏，否则原样恢复或承担园林部门的处罚。</w:t>
            </w:r>
          </w:p>
          <w:p w14:paraId="083852E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eastAsia"/>
                <w:lang w:val="en-US" w:eastAsia="zh-CN"/>
              </w:rPr>
            </w:pPr>
            <w:r>
              <w:rPr>
                <w:rFonts w:hint="eastAsia" w:ascii="宋体" w:hAnsi="宋体" w:cs="宋体"/>
                <w:szCs w:val="24"/>
                <w:lang w:val="en-US" w:eastAsia="zh-CN"/>
              </w:rPr>
              <w:t>5</w:t>
            </w:r>
            <w:r>
              <w:rPr>
                <w:rFonts w:hint="eastAsia" w:ascii="宋体" w:hAnsi="宋体" w:eastAsia="宋体" w:cs="宋体"/>
                <w:szCs w:val="24"/>
                <w:lang w:val="en-US" w:eastAsia="zh-CN"/>
              </w:rPr>
              <w:t>、建设单位不提供停车位，景区内不提供电动车充电服务，施工现场严禁给电动车充电，项目人员通勤请自行考虑解决。</w:t>
            </w:r>
          </w:p>
        </w:tc>
      </w:tr>
    </w:tbl>
    <w:p w14:paraId="74D2B957">
      <w:pPr>
        <w:ind w:firstLine="723" w:firstLineChars="300"/>
        <w:rPr>
          <w:b/>
          <w:bCs/>
        </w:rPr>
      </w:pPr>
      <w:r>
        <w:rPr>
          <w:rFonts w:hint="eastAsia"/>
          <w:b/>
          <w:bCs/>
        </w:rPr>
        <w:t>注：如有投标人须知正文条款与投标须知前附表不一致，以投标须知前附表为准。</w:t>
      </w:r>
    </w:p>
    <w:p w14:paraId="04574817">
      <w:pPr>
        <w:pStyle w:val="79"/>
        <w:rPr>
          <w:lang w:val="zh-CN"/>
        </w:rPr>
        <w:sectPr>
          <w:headerReference r:id="rId7" w:type="first"/>
          <w:footerReference r:id="rId10" w:type="first"/>
          <w:headerReference r:id="rId5" w:type="default"/>
          <w:footerReference r:id="rId8" w:type="default"/>
          <w:headerReference r:id="rId6" w:type="even"/>
          <w:footerReference r:id="rId9" w:type="even"/>
          <w:pgSz w:w="11910" w:h="16840"/>
          <w:pgMar w:top="980" w:right="910" w:bottom="1180" w:left="1160" w:header="0" w:footer="967" w:gutter="0"/>
          <w:cols w:space="720" w:num="1"/>
        </w:sectPr>
      </w:pPr>
    </w:p>
    <w:bookmarkEnd w:id="38"/>
    <w:bookmarkEnd w:id="39"/>
    <w:bookmarkEnd w:id="40"/>
    <w:bookmarkEnd w:id="41"/>
    <w:bookmarkEnd w:id="42"/>
    <w:bookmarkEnd w:id="43"/>
    <w:bookmarkEnd w:id="44"/>
    <w:bookmarkEnd w:id="45"/>
    <w:bookmarkEnd w:id="46"/>
    <w:bookmarkEnd w:id="47"/>
    <w:bookmarkEnd w:id="48"/>
    <w:p w14:paraId="69526ACC">
      <w:pPr>
        <w:spacing w:line="600" w:lineRule="exact"/>
        <w:ind w:firstLine="480"/>
        <w:rPr>
          <w:rFonts w:eastAsia="宋体" w:cs="宋体"/>
        </w:rPr>
      </w:pPr>
      <w:bookmarkStart w:id="49" w:name="_Toc10403"/>
      <w:bookmarkStart w:id="50" w:name="_Toc20735"/>
      <w:bookmarkStart w:id="51" w:name="_Toc10884"/>
      <w:bookmarkStart w:id="52" w:name="_Toc13185"/>
      <w:bookmarkStart w:id="53" w:name="_Toc5399"/>
      <w:bookmarkStart w:id="54" w:name="_Toc10069"/>
      <w:bookmarkStart w:id="55" w:name="_Toc7357"/>
      <w:bookmarkStart w:id="56" w:name="_Toc102"/>
      <w:bookmarkStart w:id="57" w:name="_Toc30438"/>
      <w:bookmarkStart w:id="58" w:name="_Toc13561"/>
      <w:bookmarkStart w:id="59" w:name="_Toc15285"/>
      <w:r>
        <w:rPr>
          <w:rFonts w:hint="eastAsia" w:eastAsia="宋体" w:cs="宋体"/>
        </w:rPr>
        <w:t>一、总</w:t>
      </w:r>
      <w:r>
        <w:rPr>
          <w:rFonts w:hint="eastAsia" w:eastAsia="宋体" w:cs="宋体"/>
        </w:rPr>
        <w:tab/>
      </w:r>
      <w:r>
        <w:rPr>
          <w:rFonts w:hint="eastAsia" w:eastAsia="宋体" w:cs="宋体"/>
        </w:rPr>
        <w:t>则</w:t>
      </w:r>
    </w:p>
    <w:p w14:paraId="75C6C672">
      <w:pPr>
        <w:spacing w:line="600" w:lineRule="exact"/>
        <w:ind w:firstLine="480"/>
        <w:rPr>
          <w:rFonts w:eastAsia="宋体" w:cs="宋体"/>
        </w:rPr>
      </w:pPr>
      <w:r>
        <w:rPr>
          <w:rFonts w:hint="eastAsia" w:eastAsia="宋体" w:cs="宋体"/>
        </w:rPr>
        <w:t>1、适用法律</w:t>
      </w:r>
    </w:p>
    <w:p w14:paraId="25403626">
      <w:pPr>
        <w:spacing w:line="600" w:lineRule="exact"/>
        <w:ind w:firstLine="480"/>
        <w:rPr>
          <w:rFonts w:eastAsia="宋体" w:cs="宋体"/>
        </w:rPr>
      </w:pPr>
      <w:r>
        <w:rPr>
          <w:rFonts w:hint="eastAsia" w:eastAsia="宋体" w:cs="宋体"/>
        </w:rPr>
        <w:t>1.1《中华人民共和国政府采购法》、《中华人民共和国政府采购法实施条例》、《政府采购货物和服务招标投标管理办法》等有关法律、规章和规定。</w:t>
      </w:r>
    </w:p>
    <w:p w14:paraId="200E7231">
      <w:pPr>
        <w:spacing w:line="600" w:lineRule="exact"/>
        <w:ind w:firstLine="480"/>
        <w:rPr>
          <w:rFonts w:eastAsia="宋体" w:cs="宋体"/>
        </w:rPr>
      </w:pPr>
      <w:r>
        <w:rPr>
          <w:rFonts w:hint="eastAsia" w:eastAsia="宋体" w:cs="宋体"/>
        </w:rPr>
        <w:t>2、定义</w:t>
      </w:r>
    </w:p>
    <w:p w14:paraId="002F791B">
      <w:pPr>
        <w:spacing w:line="600" w:lineRule="exact"/>
        <w:ind w:firstLine="480"/>
        <w:rPr>
          <w:rFonts w:eastAsia="宋体" w:cs="宋体"/>
        </w:rPr>
      </w:pPr>
      <w:r>
        <w:rPr>
          <w:rFonts w:hint="eastAsia" w:eastAsia="宋体" w:cs="宋体"/>
        </w:rPr>
        <w:t>2.1“投标人”是指响应招标、参加投标竞争的法人、其他组织或者自然人。</w:t>
      </w:r>
    </w:p>
    <w:p w14:paraId="1AC9621A">
      <w:pPr>
        <w:spacing w:line="600" w:lineRule="exact"/>
        <w:ind w:firstLine="480"/>
        <w:rPr>
          <w:rFonts w:eastAsia="宋体" w:cs="宋体"/>
        </w:rPr>
      </w:pPr>
      <w:r>
        <w:rPr>
          <w:rFonts w:hint="eastAsia" w:eastAsia="宋体" w:cs="宋体"/>
        </w:rPr>
        <w:t>2.2</w:t>
      </w:r>
      <w:r>
        <w:rPr>
          <w:rFonts w:hint="eastAsia" w:ascii="宋体" w:hAnsi="宋体" w:eastAsia="宋体" w:cs="宋体"/>
          <w:szCs w:val="21"/>
          <w:lang w:val="zh-CN"/>
        </w:rPr>
        <w:t>“货物、服务和工程”指本采购文件中所述产品及相关货物、服务和工程</w:t>
      </w:r>
      <w:r>
        <w:rPr>
          <w:rFonts w:hint="eastAsia" w:eastAsia="宋体" w:cs="宋体"/>
        </w:rPr>
        <w:t>。</w:t>
      </w:r>
    </w:p>
    <w:p w14:paraId="1C5E8E61">
      <w:pPr>
        <w:spacing w:line="600" w:lineRule="exact"/>
        <w:ind w:firstLine="480"/>
        <w:rPr>
          <w:rFonts w:eastAsia="宋体" w:cs="宋体"/>
        </w:rPr>
      </w:pPr>
      <w:r>
        <w:rPr>
          <w:rFonts w:hint="eastAsia" w:eastAsia="宋体" w:cs="宋体"/>
        </w:rPr>
        <w:t>2.3“用户或使用单位”是指使用货物及接受服务的单位。</w:t>
      </w:r>
    </w:p>
    <w:p w14:paraId="0E8108F0">
      <w:pPr>
        <w:spacing w:line="600" w:lineRule="exact"/>
        <w:ind w:firstLine="480"/>
        <w:rPr>
          <w:rFonts w:eastAsia="宋体" w:cs="宋体"/>
        </w:rPr>
      </w:pPr>
      <w:r>
        <w:rPr>
          <w:rFonts w:hint="eastAsia" w:eastAsia="宋体" w:cs="宋体"/>
        </w:rPr>
        <w:t>3、政策功能</w:t>
      </w:r>
    </w:p>
    <w:p w14:paraId="48F5FEA4">
      <w:pPr>
        <w:spacing w:line="600" w:lineRule="exact"/>
        <w:ind w:firstLine="480"/>
        <w:rPr>
          <w:rFonts w:eastAsia="宋体" w:cs="宋体"/>
        </w:rPr>
      </w:pPr>
      <w:r>
        <w:rPr>
          <w:rFonts w:hint="eastAsia" w:eastAsia="宋体" w:cs="宋体"/>
        </w:rPr>
        <w:t>3.1中小企业政策</w:t>
      </w:r>
    </w:p>
    <w:p w14:paraId="383F992A">
      <w:pPr>
        <w:spacing w:line="600" w:lineRule="exact"/>
        <w:ind w:firstLine="480"/>
        <w:rPr>
          <w:rFonts w:eastAsia="宋体" w:cs="宋体"/>
        </w:rPr>
      </w:pPr>
      <w:r>
        <w:rPr>
          <w:rFonts w:hint="eastAsia" w:eastAsia="宋体" w:cs="宋体"/>
        </w:rPr>
        <w:t>（1）中小企业（含中型、小型、微型企业）应当符合《政府采购促进中小企业发展暂行办法》（财库〔20</w:t>
      </w:r>
      <w:r>
        <w:rPr>
          <w:rFonts w:hint="eastAsia" w:eastAsia="宋体" w:cs="宋体"/>
          <w:lang w:val="en-US" w:eastAsia="zh-CN"/>
        </w:rPr>
        <w:t>20</w:t>
      </w:r>
      <w:r>
        <w:rPr>
          <w:rFonts w:hint="eastAsia" w:eastAsia="宋体" w:cs="宋体"/>
        </w:rPr>
        <w:t>〕</w:t>
      </w:r>
      <w:r>
        <w:rPr>
          <w:rFonts w:hint="eastAsia" w:eastAsia="宋体" w:cs="宋体"/>
          <w:lang w:val="en-US" w:eastAsia="zh-CN"/>
        </w:rPr>
        <w:t>46</w:t>
      </w:r>
      <w:r>
        <w:rPr>
          <w:rFonts w:hint="eastAsia" w:eastAsia="宋体" w:cs="宋体"/>
        </w:rPr>
        <w:t xml:space="preserve"> 号）第二条、《关于政府采购支持监狱企业发展有关问题的通知》（财库〔2014〕68 号）第一条或《关于促进残疾人就业政府采购政策的通知》（财库〔2017〕141 号）第一条的规定。</w:t>
      </w:r>
    </w:p>
    <w:p w14:paraId="1A2C9413">
      <w:pPr>
        <w:spacing w:line="600" w:lineRule="exact"/>
        <w:ind w:firstLine="480"/>
        <w:rPr>
          <w:rFonts w:eastAsia="宋体" w:cs="宋体"/>
        </w:rPr>
      </w:pPr>
      <w:r>
        <w:rPr>
          <w:rFonts w:hint="eastAsia" w:eastAsia="宋体" w:cs="宋体"/>
        </w:rPr>
        <w:t>（2）对于专门面向中小微型企业的项目，只面向中小微型企业采购。对于非专门面向中小微企业采购的项目，采购人或采购代理机构应给予小微企业10%的价格扣除（根据财库〔20</w:t>
      </w:r>
      <w:r>
        <w:rPr>
          <w:rFonts w:hint="eastAsia" w:cs="宋体"/>
          <w:lang w:val="en-US" w:eastAsia="zh-CN"/>
        </w:rPr>
        <w:t>20</w:t>
      </w:r>
      <w:r>
        <w:rPr>
          <w:rFonts w:hint="eastAsia" w:eastAsia="宋体" w:cs="宋体"/>
        </w:rPr>
        <w:t>〕46号第九条工程类给予5%价格扣除），用扣除后的价格参与评审。</w:t>
      </w:r>
    </w:p>
    <w:p w14:paraId="00344E7A">
      <w:pPr>
        <w:spacing w:line="600" w:lineRule="exact"/>
        <w:ind w:firstLine="480"/>
        <w:rPr>
          <w:rFonts w:eastAsia="宋体" w:cs="宋体"/>
        </w:rPr>
      </w:pPr>
      <w:r>
        <w:rPr>
          <w:rFonts w:hint="eastAsia" w:eastAsia="宋体" w:cs="宋体"/>
        </w:rPr>
        <w:t>（3）参加政府采购活动的中小企业应当提供《中小企业声明函》、由省级以上监狱管理局戒毒管理局</w:t>
      </w:r>
      <w:r>
        <w:rPr>
          <w:rFonts w:hint="eastAsia" w:cs="宋体"/>
          <w:lang w:eastAsia="zh-CN"/>
        </w:rPr>
        <w:t>（</w:t>
      </w:r>
      <w:r>
        <w:rPr>
          <w:rFonts w:hint="eastAsia" w:eastAsia="宋体" w:cs="宋体"/>
        </w:rPr>
        <w:t>含新疆生产建设兵团</w:t>
      </w:r>
      <w:r>
        <w:rPr>
          <w:rFonts w:hint="eastAsia" w:cs="宋体"/>
          <w:lang w:eastAsia="zh-CN"/>
        </w:rPr>
        <w:t>）</w:t>
      </w:r>
      <w:r>
        <w:rPr>
          <w:rFonts w:hint="eastAsia" w:eastAsia="宋体" w:cs="宋体"/>
        </w:rPr>
        <w:t>出具的属于监狱企业的证明文件或《残疾人福利性单位声明函》。</w:t>
      </w:r>
    </w:p>
    <w:p w14:paraId="639E907C">
      <w:pPr>
        <w:spacing w:line="600" w:lineRule="exact"/>
        <w:ind w:firstLine="480"/>
        <w:rPr>
          <w:rFonts w:eastAsia="宋体" w:cs="宋体"/>
        </w:rPr>
      </w:pPr>
      <w:r>
        <w:rPr>
          <w:rFonts w:hint="eastAsia" w:eastAsia="宋体" w:cs="宋体"/>
        </w:rPr>
        <w:t>（4）对于接受投标人以联合体形式参加采购活动的项目，小微型企业联合体应当符合《政府采购促进中小企业发展暂行办法》（财库〔20</w:t>
      </w:r>
      <w:r>
        <w:rPr>
          <w:rFonts w:hint="eastAsia" w:eastAsia="宋体" w:cs="宋体"/>
          <w:lang w:val="en-US" w:eastAsia="zh-CN"/>
        </w:rPr>
        <w:t>20</w:t>
      </w:r>
      <w:r>
        <w:rPr>
          <w:rFonts w:hint="eastAsia" w:eastAsia="宋体" w:cs="宋体"/>
        </w:rPr>
        <w:t>〕</w:t>
      </w:r>
      <w:r>
        <w:rPr>
          <w:rFonts w:hint="eastAsia" w:eastAsia="宋体" w:cs="宋体"/>
          <w:lang w:val="en-US" w:eastAsia="zh-CN"/>
        </w:rPr>
        <w:t>46</w:t>
      </w:r>
      <w:r>
        <w:rPr>
          <w:rFonts w:hint="eastAsia" w:eastAsia="宋体" w:cs="宋体"/>
        </w:rPr>
        <w:t xml:space="preserve"> 号）第六条的规定。联合协议中约定，小微型企业的协议合同金额占到联合体协议合同总金额 30%以上的，给予联合体2%的价格扣除。</w:t>
      </w:r>
    </w:p>
    <w:p w14:paraId="11E8DF95">
      <w:pPr>
        <w:spacing w:line="600" w:lineRule="exact"/>
        <w:ind w:firstLine="480"/>
        <w:rPr>
          <w:rFonts w:eastAsia="宋体" w:cs="宋体"/>
        </w:rPr>
      </w:pPr>
      <w:r>
        <w:rPr>
          <w:rFonts w:hint="eastAsia" w:eastAsia="宋体" w:cs="宋体"/>
        </w:rPr>
        <w:t>（5）中小企业依据《政府采购促进中小企业发展暂行办法》（财库〔20</w:t>
      </w:r>
      <w:r>
        <w:rPr>
          <w:rFonts w:hint="eastAsia" w:eastAsia="宋体" w:cs="宋体"/>
          <w:lang w:val="en-US" w:eastAsia="zh-CN"/>
        </w:rPr>
        <w:t>20</w:t>
      </w:r>
      <w:r>
        <w:rPr>
          <w:rFonts w:hint="eastAsia" w:eastAsia="宋体" w:cs="宋体"/>
        </w:rPr>
        <w:t>〕</w:t>
      </w:r>
      <w:r>
        <w:rPr>
          <w:rFonts w:hint="eastAsia" w:eastAsia="宋体" w:cs="宋体"/>
          <w:lang w:val="en-US" w:eastAsia="zh-CN"/>
        </w:rPr>
        <w:t>46</w:t>
      </w:r>
      <w:r>
        <w:rPr>
          <w:rFonts w:hint="eastAsia" w:eastAsia="宋体" w:cs="宋体"/>
        </w:rPr>
        <w:t xml:space="preserve"> 号）规定的政策获取政府采购合同后，小型、微型企业不得分包或转包给大型、中型企业，中型企业不得分包或转包给大型企业。</w:t>
      </w:r>
    </w:p>
    <w:p w14:paraId="5DBE8996">
      <w:pPr>
        <w:spacing w:line="600" w:lineRule="exact"/>
        <w:ind w:firstLine="480"/>
        <w:rPr>
          <w:rFonts w:hint="eastAsia" w:eastAsia="宋体" w:cs="宋体"/>
        </w:rPr>
      </w:pPr>
      <w:r>
        <w:rPr>
          <w:rFonts w:hint="eastAsia" w:eastAsia="宋体" w:cs="宋体"/>
        </w:rPr>
        <w:t>（6）未按要求提供相关材料的，不享受相关政策。</w:t>
      </w:r>
    </w:p>
    <w:p w14:paraId="72E00CCA">
      <w:pPr>
        <w:spacing w:line="600" w:lineRule="exact"/>
        <w:ind w:firstLine="480"/>
        <w:rPr>
          <w:rFonts w:hint="eastAsia" w:eastAsia="宋体" w:cs="宋体"/>
          <w:lang w:eastAsia="zh-CN"/>
        </w:rPr>
      </w:pPr>
      <w:r>
        <w:rPr>
          <w:rFonts w:hint="eastAsia" w:cs="宋体"/>
          <w:lang w:eastAsia="zh-CN"/>
        </w:rPr>
        <w:t>（</w:t>
      </w:r>
      <w:r>
        <w:rPr>
          <w:rFonts w:hint="eastAsia" w:eastAsia="宋体" w:cs="宋体"/>
          <w:lang w:val="en-US" w:eastAsia="zh-CN"/>
        </w:rPr>
        <w:t>7</w:t>
      </w:r>
      <w:r>
        <w:rPr>
          <w:rFonts w:hint="eastAsia" w:eastAsia="宋体" w:cs="宋体"/>
          <w:lang w:eastAsia="zh-CN"/>
        </w:rPr>
        <w:t>）</w:t>
      </w:r>
      <w:r>
        <w:rPr>
          <w:rFonts w:hint="eastAsia" w:eastAsia="宋体" w:cs="宋体"/>
          <w:lang w:val="en-US"/>
        </w:rPr>
        <w:t>项目所属行业：根据《关于印发中小企业划型标准规定的通知》（工信部联企业〔2011〕300号）及《国家统计局关于印发〈统计上大中小微型企业划分办法（2017）〉的通知》（国统字〔2017〕213号）等文件规定，本项目所属行业为“</w:t>
      </w:r>
      <w:r>
        <w:rPr>
          <w:rFonts w:hint="eastAsia" w:cs="宋体"/>
          <w:lang w:val="en-US" w:eastAsia="zh-CN"/>
        </w:rPr>
        <w:t>建筑业</w:t>
      </w:r>
      <w:r>
        <w:rPr>
          <w:rFonts w:hint="eastAsia" w:eastAsia="宋体" w:cs="宋体"/>
          <w:lang w:val="en-US"/>
        </w:rPr>
        <w:t>”</w:t>
      </w:r>
      <w:r>
        <w:rPr>
          <w:rFonts w:hint="eastAsia" w:cs="宋体"/>
          <w:lang w:val="en-US" w:eastAsia="zh-CN"/>
        </w:rPr>
        <w:t>。</w:t>
      </w:r>
    </w:p>
    <w:p w14:paraId="218BCEA2">
      <w:pPr>
        <w:spacing w:line="600" w:lineRule="exact"/>
        <w:ind w:firstLine="480"/>
        <w:rPr>
          <w:rFonts w:eastAsia="宋体" w:cs="宋体"/>
        </w:rPr>
      </w:pPr>
      <w:r>
        <w:rPr>
          <w:rFonts w:hint="eastAsia" w:eastAsia="宋体" w:cs="宋体"/>
        </w:rPr>
        <w:t>3.2信息安全产品政策</w:t>
      </w:r>
    </w:p>
    <w:p w14:paraId="06F81639">
      <w:pPr>
        <w:spacing w:line="600" w:lineRule="exact"/>
        <w:ind w:firstLine="480"/>
        <w:rPr>
          <w:rFonts w:eastAsia="宋体" w:cs="宋体"/>
        </w:rPr>
      </w:pPr>
      <w:r>
        <w:rPr>
          <w:rFonts w:hint="eastAsia" w:eastAsia="宋体" w:cs="宋体"/>
        </w:rPr>
        <w:t>（1）信息安全产品是指列入国家质检总局、国家认监委《信息安全产品强制性认证目录》，并获得强制性产品认证证书的产品。</w:t>
      </w:r>
    </w:p>
    <w:p w14:paraId="0028D818">
      <w:pPr>
        <w:spacing w:line="600" w:lineRule="exact"/>
        <w:ind w:firstLine="480"/>
        <w:rPr>
          <w:rFonts w:eastAsia="宋体" w:cs="宋体"/>
        </w:rPr>
      </w:pPr>
      <w:r>
        <w:rPr>
          <w:rFonts w:hint="eastAsia" w:eastAsia="宋体" w:cs="宋体"/>
        </w:rPr>
        <w:t>（2）提供的产品属于信息安全产品的，投标人应当选择经国家认证的信息安全产品投标，并提供由中国信息安全认证中心按国家标准认证颁发的有效认证证书复印件。</w:t>
      </w:r>
    </w:p>
    <w:p w14:paraId="2FD00E69">
      <w:pPr>
        <w:spacing w:line="600" w:lineRule="exact"/>
        <w:ind w:firstLine="480"/>
        <w:rPr>
          <w:rFonts w:eastAsia="宋体" w:cs="宋体"/>
        </w:rPr>
      </w:pPr>
      <w:r>
        <w:rPr>
          <w:rFonts w:hint="eastAsia" w:eastAsia="宋体" w:cs="宋体"/>
        </w:rPr>
        <w:t>3.3节能产品政策</w:t>
      </w:r>
    </w:p>
    <w:p w14:paraId="16081DEA">
      <w:pPr>
        <w:spacing w:line="600" w:lineRule="exact"/>
        <w:ind w:firstLine="480"/>
        <w:rPr>
          <w:rFonts w:eastAsia="宋体" w:cs="宋体"/>
        </w:rPr>
      </w:pPr>
      <w:r>
        <w:rPr>
          <w:rFonts w:hint="eastAsia" w:eastAsia="宋体" w:cs="宋体"/>
        </w:rPr>
        <w:t>（1）节能产品是指列入财政部、国家发展和改革委员会制定的节能产品品目政府采购清单，且经过认证的节能产品；</w:t>
      </w:r>
    </w:p>
    <w:p w14:paraId="172AC2C8">
      <w:pPr>
        <w:spacing w:line="600" w:lineRule="exact"/>
        <w:ind w:firstLine="480"/>
        <w:rPr>
          <w:rFonts w:eastAsia="宋体" w:cs="宋体"/>
        </w:rPr>
      </w:pPr>
      <w:r>
        <w:rPr>
          <w:rFonts w:hint="eastAsia" w:eastAsia="宋体" w:cs="宋体"/>
        </w:rPr>
        <w:t>（2）拟采购产品属于节能产品政府采购清单规定必须强制采购的，实行强制采购。</w:t>
      </w:r>
    </w:p>
    <w:p w14:paraId="318E6A8B">
      <w:pPr>
        <w:spacing w:line="600" w:lineRule="exact"/>
        <w:ind w:firstLine="480"/>
        <w:rPr>
          <w:rFonts w:eastAsia="宋体" w:cs="宋体"/>
        </w:rPr>
      </w:pPr>
      <w:r>
        <w:rPr>
          <w:rFonts w:hint="eastAsia" w:eastAsia="宋体" w:cs="宋体"/>
        </w:rPr>
        <w:t>（3）拟采购产品属于节能产品政府采购清单规定优先采购的，在技术、服务等指标同等条件下，实行优先采购，优先采购的要求详见第</w:t>
      </w:r>
      <w:r>
        <w:rPr>
          <w:rFonts w:hint="eastAsia" w:cs="宋体"/>
          <w:lang w:eastAsia="zh-CN"/>
        </w:rPr>
        <w:t>三</w:t>
      </w:r>
      <w:r>
        <w:rPr>
          <w:rFonts w:hint="eastAsia" w:eastAsia="宋体" w:cs="宋体"/>
        </w:rPr>
        <w:t>章评标标准说明内容。</w:t>
      </w:r>
    </w:p>
    <w:p w14:paraId="01DEDA25">
      <w:pPr>
        <w:spacing w:line="600" w:lineRule="exact"/>
        <w:ind w:firstLine="480"/>
        <w:rPr>
          <w:rFonts w:eastAsia="宋体" w:cs="宋体"/>
        </w:rPr>
      </w:pPr>
      <w:r>
        <w:rPr>
          <w:rFonts w:hint="eastAsia" w:eastAsia="宋体" w:cs="宋体"/>
        </w:rPr>
        <w:t>（4）参加政府采购活动的节能产品投标人应当提供有效的节能产品认证证书复印件。</w:t>
      </w:r>
    </w:p>
    <w:p w14:paraId="6A77169E">
      <w:pPr>
        <w:spacing w:line="600" w:lineRule="exact"/>
        <w:ind w:firstLine="480"/>
        <w:rPr>
          <w:rFonts w:eastAsia="宋体" w:cs="宋体"/>
        </w:rPr>
      </w:pPr>
      <w:r>
        <w:rPr>
          <w:rFonts w:hint="eastAsia" w:eastAsia="宋体" w:cs="宋体"/>
        </w:rPr>
        <w:t>（5）未按要求提供相关材料的，不享受相关政策。</w:t>
      </w:r>
    </w:p>
    <w:p w14:paraId="1207B6CA">
      <w:pPr>
        <w:spacing w:line="600" w:lineRule="exact"/>
        <w:ind w:firstLine="480"/>
        <w:rPr>
          <w:rFonts w:eastAsia="宋体" w:cs="宋体"/>
        </w:rPr>
      </w:pPr>
      <w:r>
        <w:rPr>
          <w:rFonts w:hint="eastAsia" w:eastAsia="宋体" w:cs="宋体"/>
        </w:rPr>
        <w:t>3.4环境标志产品政策</w:t>
      </w:r>
    </w:p>
    <w:p w14:paraId="2A901D2D">
      <w:pPr>
        <w:spacing w:line="600" w:lineRule="exact"/>
        <w:ind w:firstLine="480"/>
        <w:rPr>
          <w:rFonts w:eastAsia="宋体" w:cs="宋体"/>
        </w:rPr>
      </w:pPr>
      <w:r>
        <w:rPr>
          <w:rFonts w:hint="eastAsia" w:eastAsia="宋体" w:cs="宋体"/>
        </w:rPr>
        <w:t>（1）环境标志产品是指列入财政部、生态环境部制定的环境标志产品品目政府采购清单，且经过认证的环境标志产品。</w:t>
      </w:r>
    </w:p>
    <w:p w14:paraId="547C92AE">
      <w:pPr>
        <w:spacing w:line="600" w:lineRule="exact"/>
        <w:ind w:firstLine="480"/>
        <w:rPr>
          <w:rFonts w:eastAsia="宋体" w:cs="宋体"/>
        </w:rPr>
      </w:pPr>
      <w:r>
        <w:rPr>
          <w:rFonts w:hint="eastAsia" w:eastAsia="宋体" w:cs="宋体"/>
        </w:rPr>
        <w:t>（2）拟采购产品属于环境标志产品政府采购清单规定优先采购的，在性能、技术、服务等指标同等条件下，实行优先采购。</w:t>
      </w:r>
    </w:p>
    <w:p w14:paraId="0F630402">
      <w:pPr>
        <w:spacing w:line="600" w:lineRule="exact"/>
        <w:ind w:firstLine="480"/>
        <w:rPr>
          <w:rFonts w:eastAsia="宋体" w:cs="宋体"/>
        </w:rPr>
      </w:pPr>
      <w:r>
        <w:rPr>
          <w:rFonts w:hint="eastAsia" w:eastAsia="宋体" w:cs="宋体"/>
        </w:rPr>
        <w:t>（3）参加政府采购活动的环境标志产品应当提供有效的环境标志产品认证证书复印件。</w:t>
      </w:r>
    </w:p>
    <w:p w14:paraId="02C780CE">
      <w:pPr>
        <w:spacing w:line="600" w:lineRule="exact"/>
        <w:ind w:firstLine="480"/>
        <w:rPr>
          <w:rFonts w:eastAsia="宋体" w:cs="宋体"/>
        </w:rPr>
      </w:pPr>
      <w:r>
        <w:rPr>
          <w:rFonts w:hint="eastAsia" w:eastAsia="宋体" w:cs="宋体"/>
        </w:rPr>
        <w:t>（4）未按要求提供相关材料的，不享受相关政策。</w:t>
      </w:r>
    </w:p>
    <w:p w14:paraId="42FE3814">
      <w:pPr>
        <w:spacing w:line="600" w:lineRule="exact"/>
        <w:ind w:firstLine="480"/>
        <w:rPr>
          <w:rFonts w:eastAsia="宋体" w:cs="宋体"/>
        </w:rPr>
      </w:pPr>
      <w:r>
        <w:rPr>
          <w:rFonts w:hint="eastAsia" w:eastAsia="宋体" w:cs="宋体"/>
        </w:rPr>
        <w:t>3.5进口产品政策</w:t>
      </w:r>
    </w:p>
    <w:p w14:paraId="52F93521">
      <w:pPr>
        <w:spacing w:line="600" w:lineRule="exact"/>
        <w:ind w:firstLine="480"/>
        <w:rPr>
          <w:rFonts w:eastAsia="宋体" w:cs="宋体"/>
        </w:rPr>
      </w:pPr>
      <w:r>
        <w:rPr>
          <w:rFonts w:hint="eastAsia" w:eastAsia="宋体" w:cs="宋体"/>
        </w:rPr>
        <w:t>（1）除第一章招标公告另有规定外，不允许进口产品参加。进口产品认定依照《财政部关于政府采购进口产品管理有关问题的通知》（财办库〔2008〕248 号）的规定。</w:t>
      </w:r>
    </w:p>
    <w:p w14:paraId="18EBCB70">
      <w:pPr>
        <w:spacing w:line="600" w:lineRule="exact"/>
        <w:ind w:firstLine="480"/>
        <w:rPr>
          <w:rFonts w:eastAsia="宋体" w:cs="宋体"/>
        </w:rPr>
      </w:pPr>
      <w:r>
        <w:rPr>
          <w:rFonts w:hint="eastAsia" w:eastAsia="宋体" w:cs="宋体"/>
        </w:rPr>
        <w:t>（2）允许进口产品参加的，满足需求的国内产品可以参加。</w:t>
      </w:r>
    </w:p>
    <w:p w14:paraId="1268CE53">
      <w:pPr>
        <w:spacing w:line="600" w:lineRule="exact"/>
        <w:ind w:firstLine="480"/>
        <w:rPr>
          <w:rFonts w:eastAsia="宋体" w:cs="宋体"/>
        </w:rPr>
      </w:pPr>
      <w:r>
        <w:rPr>
          <w:rFonts w:hint="eastAsia" w:eastAsia="宋体" w:cs="宋体"/>
        </w:rPr>
        <w:t>（3）允许进口产品参加的，优先采购向我国企业转让技术、与我国企业签订消化吸收再创新方案的投标人的进口产品。</w:t>
      </w:r>
    </w:p>
    <w:p w14:paraId="451EADB7">
      <w:pPr>
        <w:spacing w:line="600" w:lineRule="exact"/>
        <w:ind w:firstLine="480"/>
        <w:rPr>
          <w:rFonts w:eastAsia="宋体" w:cs="宋体"/>
        </w:rPr>
      </w:pPr>
      <w:r>
        <w:rPr>
          <w:rFonts w:hint="eastAsia" w:eastAsia="宋体" w:cs="宋体"/>
        </w:rPr>
        <w:t>（4）未按要求提供相关材料的，不享受相关政策。</w:t>
      </w:r>
    </w:p>
    <w:p w14:paraId="2BD4E4A7">
      <w:pPr>
        <w:spacing w:line="600" w:lineRule="exact"/>
        <w:ind w:firstLine="480"/>
        <w:rPr>
          <w:rFonts w:eastAsia="宋体" w:cs="宋体"/>
        </w:rPr>
      </w:pPr>
      <w:r>
        <w:rPr>
          <w:rFonts w:hint="eastAsia" w:eastAsia="宋体" w:cs="宋体"/>
        </w:rPr>
        <w:t>3.6投标人信用信息查询</w:t>
      </w:r>
    </w:p>
    <w:p w14:paraId="4AB62BF3">
      <w:pPr>
        <w:spacing w:line="600" w:lineRule="exact"/>
        <w:ind w:firstLine="480"/>
        <w:rPr>
          <w:rFonts w:eastAsia="宋体" w:cs="宋体"/>
        </w:rPr>
      </w:pPr>
      <w:r>
        <w:rPr>
          <w:rFonts w:hint="eastAsia" w:eastAsia="宋体" w:cs="宋体"/>
        </w:rPr>
        <w:t>（1）采购人或代理机构将在“信用中国”（www.creditchina.gov.cn）、“中国政府采购网”（www.ccgp.gov.cn）对投标人进行信用信息查询，并将网站查询有关记录留存（财库[2016]125 号）。</w:t>
      </w:r>
    </w:p>
    <w:p w14:paraId="1CC84C28">
      <w:pPr>
        <w:spacing w:line="600" w:lineRule="exact"/>
        <w:ind w:firstLine="480"/>
        <w:rPr>
          <w:rFonts w:eastAsia="宋体" w:cs="宋体"/>
        </w:rPr>
      </w:pPr>
      <w:r>
        <w:rPr>
          <w:rFonts w:hint="eastAsia" w:eastAsia="宋体" w:cs="宋体"/>
        </w:rPr>
        <w:t>（2）查询截止时间：投标截止时间前。</w:t>
      </w:r>
    </w:p>
    <w:p w14:paraId="64349CD4">
      <w:pPr>
        <w:spacing w:line="600" w:lineRule="exact"/>
        <w:ind w:firstLine="480"/>
        <w:rPr>
          <w:rFonts w:eastAsia="宋体" w:cs="宋体"/>
        </w:rPr>
      </w:pPr>
      <w:r>
        <w:rPr>
          <w:rFonts w:hint="eastAsia" w:eastAsia="宋体" w:cs="宋体"/>
        </w:rPr>
        <w:t>（3）投标人信用查询记录不符合要求的，采购人或代理机构将依法拒绝投标人参加本次采购活动。</w:t>
      </w:r>
    </w:p>
    <w:p w14:paraId="03176E34">
      <w:pPr>
        <w:spacing w:line="600" w:lineRule="exact"/>
        <w:ind w:firstLine="480"/>
        <w:rPr>
          <w:rFonts w:eastAsia="宋体" w:cs="宋体"/>
        </w:rPr>
      </w:pPr>
      <w:r>
        <w:rPr>
          <w:rFonts w:hint="eastAsia" w:eastAsia="宋体" w:cs="宋体"/>
        </w:rPr>
        <w:t>（4）投标人在提交投标文件时，须在投标文件中提供经法定代表人签名盖章后的《南京市政府采购供应商信用记录表暨信用承诺书》。</w:t>
      </w:r>
    </w:p>
    <w:p w14:paraId="6F5330C8">
      <w:pPr>
        <w:spacing w:line="600" w:lineRule="exact"/>
        <w:ind w:firstLine="480"/>
        <w:rPr>
          <w:rFonts w:eastAsia="宋体" w:cs="宋体"/>
        </w:rPr>
      </w:pPr>
      <w:r>
        <w:rPr>
          <w:rFonts w:hint="eastAsia" w:eastAsia="宋体" w:cs="宋体"/>
        </w:rPr>
        <w:t>（5）根据《南京市政府采购供应商信用管理工作暂行办法》对投标人诚信档案记录进行运用。</w:t>
      </w:r>
    </w:p>
    <w:p w14:paraId="0D49A409">
      <w:pPr>
        <w:spacing w:line="600" w:lineRule="exact"/>
        <w:ind w:firstLine="480"/>
        <w:rPr>
          <w:rFonts w:eastAsia="宋体" w:cs="宋体"/>
        </w:rPr>
      </w:pPr>
      <w:r>
        <w:rPr>
          <w:rFonts w:hint="eastAsia" w:eastAsia="宋体" w:cs="宋体"/>
        </w:rPr>
        <w:t>4、招标文件的约束力</w:t>
      </w:r>
    </w:p>
    <w:p w14:paraId="00C56816">
      <w:pPr>
        <w:spacing w:line="600" w:lineRule="exact"/>
        <w:ind w:firstLine="480"/>
        <w:rPr>
          <w:rFonts w:eastAsia="宋体" w:cs="宋体"/>
        </w:rPr>
      </w:pPr>
      <w:r>
        <w:rPr>
          <w:rFonts w:hint="eastAsia" w:eastAsia="宋体" w:cs="宋体"/>
        </w:rPr>
        <w:t>4.1 投标人一旦领取了本招标文件并参加投标，即被认为接受了本招标文件中的所有条件和规定。</w:t>
      </w:r>
    </w:p>
    <w:p w14:paraId="33A279CC">
      <w:pPr>
        <w:spacing w:line="600" w:lineRule="exact"/>
        <w:ind w:firstLine="480"/>
        <w:rPr>
          <w:rFonts w:eastAsia="宋体" w:cs="宋体"/>
        </w:rPr>
      </w:pPr>
      <w:r>
        <w:rPr>
          <w:rFonts w:hint="eastAsia" w:eastAsia="宋体" w:cs="宋体"/>
        </w:rPr>
        <w:t>二、招标文件构成</w:t>
      </w:r>
    </w:p>
    <w:p w14:paraId="24ACD981">
      <w:pPr>
        <w:spacing w:line="600" w:lineRule="exact"/>
        <w:ind w:firstLine="480"/>
        <w:rPr>
          <w:rFonts w:eastAsia="宋体" w:cs="宋体"/>
        </w:rPr>
      </w:pPr>
      <w:r>
        <w:rPr>
          <w:rFonts w:hint="eastAsia" w:eastAsia="宋体" w:cs="宋体"/>
        </w:rPr>
        <w:t>5、招标文件组成</w:t>
      </w:r>
    </w:p>
    <w:p w14:paraId="6852B804">
      <w:pPr>
        <w:spacing w:line="600" w:lineRule="exact"/>
        <w:ind w:firstLine="480"/>
        <w:rPr>
          <w:rFonts w:eastAsia="宋体" w:cs="宋体"/>
        </w:rPr>
      </w:pPr>
      <w:r>
        <w:rPr>
          <w:rFonts w:hint="eastAsia" w:eastAsia="宋体" w:cs="宋体"/>
        </w:rPr>
        <w:t>5.1招标公告</w:t>
      </w:r>
    </w:p>
    <w:p w14:paraId="651640BC">
      <w:pPr>
        <w:spacing w:line="600" w:lineRule="exact"/>
        <w:ind w:firstLine="480"/>
        <w:rPr>
          <w:rFonts w:eastAsia="宋体" w:cs="宋体"/>
        </w:rPr>
      </w:pPr>
      <w:r>
        <w:rPr>
          <w:rFonts w:hint="eastAsia" w:eastAsia="宋体" w:cs="宋体"/>
        </w:rPr>
        <w:t>5.2投标人须知</w:t>
      </w:r>
    </w:p>
    <w:p w14:paraId="24C9F523">
      <w:pPr>
        <w:spacing w:line="600" w:lineRule="exact"/>
        <w:ind w:firstLine="480"/>
        <w:rPr>
          <w:rFonts w:eastAsia="宋体" w:cs="宋体"/>
        </w:rPr>
      </w:pPr>
      <w:r>
        <w:rPr>
          <w:rFonts w:hint="eastAsia" w:eastAsia="宋体" w:cs="宋体"/>
        </w:rPr>
        <w:t>5.3评标标准</w:t>
      </w:r>
    </w:p>
    <w:p w14:paraId="489EDF6F">
      <w:pPr>
        <w:spacing w:line="600" w:lineRule="exact"/>
        <w:ind w:firstLine="480"/>
        <w:rPr>
          <w:rFonts w:eastAsia="宋体" w:cs="宋体"/>
        </w:rPr>
      </w:pPr>
      <w:r>
        <w:rPr>
          <w:rFonts w:hint="eastAsia" w:eastAsia="宋体" w:cs="宋体"/>
        </w:rPr>
        <w:t>5.4工程量清单</w:t>
      </w:r>
    </w:p>
    <w:p w14:paraId="57AC85E7">
      <w:pPr>
        <w:spacing w:line="600" w:lineRule="exact"/>
        <w:ind w:firstLine="480"/>
        <w:rPr>
          <w:rFonts w:eastAsia="宋体" w:cs="宋体"/>
        </w:rPr>
      </w:pPr>
      <w:r>
        <w:rPr>
          <w:rFonts w:hint="eastAsia" w:eastAsia="宋体" w:cs="宋体"/>
        </w:rPr>
        <w:t>5.5合同主要条款及格式</w:t>
      </w:r>
    </w:p>
    <w:p w14:paraId="5D18141C">
      <w:pPr>
        <w:spacing w:line="600" w:lineRule="exact"/>
        <w:ind w:firstLine="480"/>
        <w:rPr>
          <w:rFonts w:eastAsia="宋体" w:cs="宋体"/>
        </w:rPr>
      </w:pPr>
      <w:r>
        <w:rPr>
          <w:rFonts w:hint="eastAsia" w:eastAsia="宋体" w:cs="宋体"/>
        </w:rPr>
        <w:t>5.6投标文件格式</w:t>
      </w:r>
    </w:p>
    <w:p w14:paraId="02C6B045">
      <w:pPr>
        <w:spacing w:line="600" w:lineRule="exact"/>
        <w:ind w:firstLine="480"/>
        <w:rPr>
          <w:rFonts w:eastAsia="宋体" w:cs="宋体"/>
        </w:rPr>
      </w:pPr>
      <w:r>
        <w:rPr>
          <w:rFonts w:hint="eastAsia" w:eastAsia="宋体" w:cs="宋体"/>
        </w:rPr>
        <w:t>6、招标文件的澄清、补充或修改</w:t>
      </w:r>
    </w:p>
    <w:p w14:paraId="6863D426">
      <w:pPr>
        <w:spacing w:line="600" w:lineRule="exact"/>
        <w:ind w:firstLine="480"/>
        <w:rPr>
          <w:rFonts w:eastAsia="宋体" w:cs="宋体"/>
        </w:rPr>
      </w:pPr>
      <w:r>
        <w:rPr>
          <w:rFonts w:hint="eastAsia" w:eastAsia="宋体" w:cs="宋体"/>
        </w:rPr>
        <w:t>6.1对已发出的招标文件进行必要澄清、补充或者修改的，将在招标文件要求投标截止时间 15 日前，在原采购公告媒体发布更正公告；不足15日的，代理机构将顺延提交投标文件的截止时间。该澄清、补充或者修改的内容为招标文件的组成部分。</w:t>
      </w:r>
    </w:p>
    <w:p w14:paraId="7D8F708D">
      <w:pPr>
        <w:spacing w:line="600" w:lineRule="exact"/>
        <w:ind w:firstLine="480"/>
        <w:rPr>
          <w:rFonts w:eastAsia="宋体" w:cs="宋体"/>
        </w:rPr>
      </w:pPr>
      <w:r>
        <w:rPr>
          <w:rFonts w:hint="eastAsia" w:eastAsia="宋体" w:cs="宋体"/>
        </w:rPr>
        <w:t>6.2投标人应在投标截止时间前关注原采购信息发布媒体上有关本招标项目有无变更公告。</w:t>
      </w:r>
    </w:p>
    <w:p w14:paraId="6E03D475">
      <w:pPr>
        <w:spacing w:line="600" w:lineRule="exact"/>
        <w:ind w:firstLine="480"/>
        <w:rPr>
          <w:rFonts w:eastAsia="宋体" w:cs="宋体"/>
        </w:rPr>
      </w:pPr>
      <w:r>
        <w:rPr>
          <w:rFonts w:hint="eastAsia" w:eastAsia="宋体" w:cs="宋体"/>
        </w:rPr>
        <w:t>三、投标</w:t>
      </w:r>
    </w:p>
    <w:p w14:paraId="51C8FD3F">
      <w:pPr>
        <w:spacing w:line="600" w:lineRule="exact"/>
        <w:ind w:firstLine="480"/>
        <w:rPr>
          <w:rFonts w:eastAsia="宋体" w:cs="宋体"/>
        </w:rPr>
      </w:pPr>
      <w:r>
        <w:rPr>
          <w:rFonts w:hint="eastAsia" w:eastAsia="宋体" w:cs="宋体"/>
        </w:rPr>
        <w:t>7、投标文件的语言、计量单位、货币</w:t>
      </w:r>
    </w:p>
    <w:p w14:paraId="1ADFC463">
      <w:pPr>
        <w:spacing w:line="600" w:lineRule="exact"/>
        <w:ind w:firstLine="480"/>
        <w:rPr>
          <w:rFonts w:eastAsia="宋体" w:cs="宋体"/>
        </w:rPr>
      </w:pPr>
      <w:r>
        <w:rPr>
          <w:rFonts w:hint="eastAsia" w:eastAsia="宋体" w:cs="宋体"/>
        </w:rPr>
        <w:t>7.1投标人提交的投标文件、技术文件和资料，包括相关说明，以及投标人与代理机构就有关投标的所有来往函电均应使用中文。投标文件中若有英文或其他语言文字的资料，应提供相应的中文翻译资料。对不同文本投标文件的解释发生异议的，以中文文本为准。</w:t>
      </w:r>
    </w:p>
    <w:p w14:paraId="66BC4B4D">
      <w:pPr>
        <w:spacing w:line="600" w:lineRule="exact"/>
        <w:ind w:firstLine="480"/>
        <w:rPr>
          <w:rFonts w:eastAsia="宋体" w:cs="宋体"/>
        </w:rPr>
      </w:pPr>
      <w:r>
        <w:rPr>
          <w:rFonts w:hint="eastAsia" w:eastAsia="宋体" w:cs="宋体"/>
        </w:rPr>
        <w:t>7.2投标人所使用的计量单位应为国家法定计量单位。</w:t>
      </w:r>
    </w:p>
    <w:p w14:paraId="2527B613">
      <w:pPr>
        <w:spacing w:line="600" w:lineRule="exact"/>
        <w:ind w:firstLine="480"/>
        <w:rPr>
          <w:rFonts w:eastAsia="宋体" w:cs="宋体"/>
        </w:rPr>
      </w:pPr>
      <w:r>
        <w:rPr>
          <w:rFonts w:hint="eastAsia" w:eastAsia="宋体" w:cs="宋体"/>
        </w:rPr>
        <w:t>7.3投标人应用人民币报价。</w:t>
      </w:r>
    </w:p>
    <w:p w14:paraId="1C605887">
      <w:pPr>
        <w:spacing w:line="600" w:lineRule="exact"/>
        <w:ind w:firstLine="480"/>
        <w:rPr>
          <w:rFonts w:eastAsia="宋体" w:cs="宋体"/>
        </w:rPr>
      </w:pPr>
      <w:r>
        <w:rPr>
          <w:rFonts w:hint="eastAsia" w:eastAsia="宋体" w:cs="宋体"/>
        </w:rPr>
        <w:t>8、联合投标（本项目不接受联合体投标）</w:t>
      </w:r>
    </w:p>
    <w:p w14:paraId="7ABBBCB0">
      <w:pPr>
        <w:spacing w:line="600" w:lineRule="exact"/>
        <w:ind w:firstLine="480"/>
        <w:rPr>
          <w:rFonts w:eastAsia="宋体" w:cs="宋体"/>
        </w:rPr>
      </w:pPr>
      <w:r>
        <w:rPr>
          <w:rFonts w:hint="eastAsia" w:eastAsia="宋体" w:cs="宋体"/>
        </w:rPr>
        <w:t>9、投标费用</w:t>
      </w:r>
    </w:p>
    <w:p w14:paraId="1F3AE9EA">
      <w:pPr>
        <w:spacing w:line="600" w:lineRule="exact"/>
        <w:ind w:firstLine="480"/>
        <w:rPr>
          <w:rFonts w:eastAsia="宋体" w:cs="宋体"/>
        </w:rPr>
      </w:pPr>
      <w:r>
        <w:rPr>
          <w:rFonts w:hint="eastAsia" w:eastAsia="宋体" w:cs="宋体"/>
        </w:rPr>
        <w:t>9.1投标人应承担所有与准备和参加投标有关的费用，无论采购结果如何，采购人在任何情况下均无义务和责任承担这些费用。</w:t>
      </w:r>
    </w:p>
    <w:p w14:paraId="3EBCDA51">
      <w:pPr>
        <w:spacing w:line="600" w:lineRule="exact"/>
        <w:ind w:firstLine="480"/>
        <w:rPr>
          <w:rFonts w:eastAsia="宋体" w:cs="宋体"/>
        </w:rPr>
      </w:pPr>
      <w:r>
        <w:rPr>
          <w:rFonts w:hint="eastAsia" w:eastAsia="宋体" w:cs="宋体"/>
        </w:rPr>
        <w:t>9.2</w:t>
      </w:r>
      <w:r>
        <w:rPr>
          <w:rFonts w:hint="eastAsia" w:ascii="宋体" w:hAnsi="宋体" w:eastAsia="宋体" w:cs="宋体"/>
        </w:rPr>
        <w:t>供应</w:t>
      </w:r>
      <w:r>
        <w:rPr>
          <w:rFonts w:hint="eastAsia" w:ascii="宋体" w:hAnsi="宋体" w:eastAsia="宋体" w:cs="宋体"/>
          <w:lang w:val="zh-CN"/>
        </w:rPr>
        <w:t>商在领取中标通知书的同时需一次性缴纳招标代理服务费用。代理费以中标价为基数（</w:t>
      </w:r>
      <w:r>
        <w:rPr>
          <w:rFonts w:hint="eastAsia" w:ascii="宋体" w:hAnsi="宋体"/>
          <w:lang w:val="zh-CN"/>
        </w:rPr>
        <w:t>按国家计委《招标代理服务收费管理暂行办法》的通知【计价格【</w:t>
      </w:r>
      <w:r>
        <w:rPr>
          <w:rFonts w:ascii="宋体" w:hAnsi="宋体"/>
          <w:lang w:val="zh-CN"/>
        </w:rPr>
        <w:t>2002</w:t>
      </w:r>
      <w:r>
        <w:rPr>
          <w:rFonts w:hint="eastAsia" w:ascii="宋体" w:hAnsi="宋体"/>
          <w:lang w:val="zh-CN"/>
        </w:rPr>
        <w:t>】</w:t>
      </w:r>
      <w:r>
        <w:rPr>
          <w:rFonts w:ascii="宋体" w:hAnsi="宋体"/>
          <w:lang w:val="zh-CN"/>
        </w:rPr>
        <w:t>1980</w:t>
      </w:r>
      <w:r>
        <w:rPr>
          <w:rFonts w:hint="eastAsia" w:ascii="宋体" w:hAnsi="宋体"/>
          <w:lang w:val="zh-CN"/>
        </w:rPr>
        <w:t>号】文件、</w:t>
      </w:r>
      <w:r>
        <w:rPr>
          <w:rFonts w:hint="eastAsia" w:ascii="宋体" w:hAnsi="宋体" w:eastAsia="宋体" w:cs="宋体"/>
          <w:lang w:val="zh-CN"/>
        </w:rPr>
        <w:t>工程量清单和工程招标控制价按苏价服【2014】383号文件</w:t>
      </w:r>
      <w:r>
        <w:rPr>
          <w:rFonts w:hint="eastAsia" w:ascii="宋体" w:hAnsi="宋体"/>
        </w:rPr>
        <w:t>收费</w:t>
      </w:r>
      <w:r>
        <w:rPr>
          <w:rFonts w:hint="eastAsia" w:ascii="宋体" w:hAnsi="宋体"/>
          <w:lang w:val="zh-CN"/>
        </w:rPr>
        <w:t>标准的5</w:t>
      </w:r>
      <w:r>
        <w:rPr>
          <w:rFonts w:hint="eastAsia" w:ascii="宋体" w:hAnsi="宋体" w:eastAsia="宋体" w:cs="宋体"/>
          <w:lang w:val="zh-CN"/>
        </w:rPr>
        <w:t>0%执行）；专家评审费（按实际招标标段发生金额计算，无票）。投标人在投标时应充分考虑以上费用，包含在投标报价中并不单独立项，无论投标人是否将该费用在包含报价中，均视为已含在投标价格中</w:t>
      </w:r>
      <w:r>
        <w:rPr>
          <w:rFonts w:hint="eastAsia" w:eastAsia="宋体" w:cs="宋体"/>
        </w:rPr>
        <w:t>。</w:t>
      </w:r>
    </w:p>
    <w:p w14:paraId="0539F2A8">
      <w:pPr>
        <w:spacing w:line="600" w:lineRule="exact"/>
        <w:ind w:firstLine="480"/>
        <w:rPr>
          <w:rFonts w:eastAsia="宋体" w:cs="宋体"/>
        </w:rPr>
      </w:pPr>
      <w:r>
        <w:rPr>
          <w:rFonts w:hint="eastAsia" w:eastAsia="宋体" w:cs="宋体"/>
        </w:rPr>
        <w:t>10、投标文件组成</w:t>
      </w:r>
    </w:p>
    <w:p w14:paraId="4DCE26BE">
      <w:pPr>
        <w:spacing w:line="600" w:lineRule="exact"/>
        <w:ind w:firstLine="480"/>
        <w:rPr>
          <w:rFonts w:eastAsia="宋体" w:cs="宋体"/>
        </w:rPr>
      </w:pPr>
      <w:r>
        <w:rPr>
          <w:rFonts w:hint="eastAsia" w:eastAsia="宋体" w:cs="宋体"/>
        </w:rPr>
        <w:t>10.1投标人应当根据招标文件要求编制投标文件，投标文件应对招标文件提出的要求和条件作出实质性响应，并在《商务条款偏离表》和《技术条款偏离表》等处逐条标明满足与否。</w:t>
      </w:r>
    </w:p>
    <w:p w14:paraId="73ED6FC4">
      <w:pPr>
        <w:spacing w:line="600" w:lineRule="exact"/>
        <w:ind w:firstLine="480"/>
        <w:rPr>
          <w:rFonts w:eastAsia="宋体" w:cs="宋体"/>
        </w:rPr>
      </w:pPr>
      <w:r>
        <w:rPr>
          <w:rFonts w:hint="eastAsia" w:eastAsia="宋体" w:cs="宋体"/>
        </w:rPr>
        <w:t>10.2投标人根据招标文件的规定和项目名称的实际情况，拟在中标后将中标项目的非主体、非关键性工作分包的，应当在投标文件中载明分包承担主体，分包承担主体应当具备相应资质条件且不得再次分包。</w:t>
      </w:r>
    </w:p>
    <w:p w14:paraId="374FD71A">
      <w:pPr>
        <w:spacing w:line="600" w:lineRule="exact"/>
        <w:ind w:firstLine="480"/>
        <w:rPr>
          <w:rFonts w:eastAsia="宋体" w:cs="宋体"/>
        </w:rPr>
      </w:pPr>
      <w:r>
        <w:rPr>
          <w:rFonts w:hint="eastAsia" w:eastAsia="宋体" w:cs="宋体"/>
        </w:rPr>
        <w:t>10.3投标文件由商务部分、技术部分、价格部分，以及其他部分组成。</w:t>
      </w:r>
    </w:p>
    <w:p w14:paraId="0856C897">
      <w:pPr>
        <w:spacing w:line="600" w:lineRule="exact"/>
        <w:ind w:firstLine="480"/>
        <w:rPr>
          <w:rFonts w:eastAsia="宋体" w:cs="宋体"/>
        </w:rPr>
      </w:pPr>
      <w:r>
        <w:rPr>
          <w:rFonts w:hint="eastAsia" w:eastAsia="宋体" w:cs="宋体"/>
        </w:rPr>
        <w:t>11、投标文件的商务部分</w:t>
      </w:r>
    </w:p>
    <w:p w14:paraId="19B1F5E9">
      <w:pPr>
        <w:spacing w:line="600" w:lineRule="exact"/>
        <w:ind w:firstLine="480"/>
        <w:rPr>
          <w:rFonts w:eastAsia="宋体" w:cs="宋体"/>
        </w:rPr>
      </w:pPr>
      <w:r>
        <w:rPr>
          <w:rFonts w:hint="eastAsia" w:eastAsia="宋体" w:cs="宋体"/>
        </w:rPr>
        <w:t>11.1商务部分是证明投标人有资格参加投标和中标后有能力履行合同的文件，这些文件应能满足招标的要求，包括但不限于下列文件，其中加★项目不得有缺失或无效：</w:t>
      </w:r>
    </w:p>
    <w:p w14:paraId="718C01E9">
      <w:pPr>
        <w:spacing w:line="600" w:lineRule="exact"/>
        <w:ind w:firstLine="480"/>
        <w:rPr>
          <w:rFonts w:eastAsia="宋体" w:cs="宋体"/>
        </w:rPr>
      </w:pPr>
      <w:r>
        <w:rPr>
          <w:rFonts w:hint="eastAsia" w:eastAsia="宋体" w:cs="宋体"/>
        </w:rPr>
        <w:t>（1）★投标函（投标申请及声明）；</w:t>
      </w:r>
    </w:p>
    <w:p w14:paraId="65F04C50">
      <w:pPr>
        <w:spacing w:line="600" w:lineRule="exact"/>
        <w:ind w:firstLine="480"/>
        <w:rPr>
          <w:rFonts w:eastAsia="宋体" w:cs="宋体"/>
        </w:rPr>
      </w:pPr>
      <w:r>
        <w:rPr>
          <w:rFonts w:hint="eastAsia" w:eastAsia="宋体" w:cs="宋体"/>
        </w:rPr>
        <w:t>（2）★法定代表人授权委托书及委托代理人的身份证明文件的复印件；</w:t>
      </w:r>
    </w:p>
    <w:p w14:paraId="5F0A1308">
      <w:pPr>
        <w:spacing w:line="600" w:lineRule="exact"/>
        <w:ind w:firstLine="480"/>
        <w:rPr>
          <w:rFonts w:eastAsia="宋体" w:cs="宋体"/>
        </w:rPr>
      </w:pPr>
      <w:r>
        <w:rPr>
          <w:rFonts w:hint="eastAsia" w:eastAsia="宋体" w:cs="宋体"/>
        </w:rPr>
        <w:t>（3）★符合第一章2.1 条款《中华人民共和国政府采购法》规定的条件（并根据《中华人民共和国政府采购法实施条例》提供相关证明材料）；</w:t>
      </w:r>
    </w:p>
    <w:p w14:paraId="5048C81E">
      <w:pPr>
        <w:spacing w:line="600" w:lineRule="exact"/>
        <w:ind w:firstLine="480"/>
        <w:rPr>
          <w:rFonts w:eastAsia="宋体" w:cs="宋体"/>
        </w:rPr>
      </w:pPr>
      <w:r>
        <w:rPr>
          <w:rFonts w:hint="eastAsia" w:eastAsia="宋体" w:cs="宋体"/>
        </w:rPr>
        <w:t>（4）★符合第一章 2.2 条款采购人根据采购项目的特殊要求规定的特定条件（如有）的相关证明文件；</w:t>
      </w:r>
    </w:p>
    <w:p w14:paraId="1A3BEFE0">
      <w:pPr>
        <w:spacing w:line="600" w:lineRule="exact"/>
        <w:ind w:firstLine="480"/>
        <w:rPr>
          <w:rFonts w:eastAsia="宋体" w:cs="宋体"/>
        </w:rPr>
      </w:pPr>
      <w:r>
        <w:rPr>
          <w:rFonts w:hint="eastAsia" w:eastAsia="宋体" w:cs="宋体"/>
        </w:rPr>
        <w:t>（5）★《</w:t>
      </w:r>
      <w:r>
        <w:rPr>
          <w:rFonts w:hint="eastAsia" w:ascii="宋体" w:hAnsi="宋体" w:eastAsia="宋体" w:cs="宋体"/>
          <w:color w:val="000000"/>
          <w:kern w:val="2"/>
          <w:szCs w:val="24"/>
        </w:rPr>
        <w:t>南京市政府采购供应商信用记录表暨信用承诺书</w:t>
      </w:r>
      <w:r>
        <w:rPr>
          <w:rFonts w:hint="eastAsia" w:eastAsia="宋体" w:cs="宋体"/>
        </w:rPr>
        <w:t>》；</w:t>
      </w:r>
    </w:p>
    <w:p w14:paraId="42879E72">
      <w:pPr>
        <w:spacing w:line="600" w:lineRule="exact"/>
        <w:ind w:firstLine="480"/>
        <w:rPr>
          <w:rFonts w:eastAsia="宋体" w:cs="宋体"/>
        </w:rPr>
      </w:pPr>
      <w:r>
        <w:rPr>
          <w:rFonts w:hint="eastAsia" w:eastAsia="宋体" w:cs="宋体"/>
        </w:rPr>
        <w:t>（6）★《商务条款偏离表》；</w:t>
      </w:r>
    </w:p>
    <w:p w14:paraId="676DB036">
      <w:pPr>
        <w:spacing w:line="600" w:lineRule="exact"/>
        <w:ind w:firstLine="480"/>
        <w:rPr>
          <w:rFonts w:eastAsia="宋体" w:cs="宋体"/>
        </w:rPr>
      </w:pPr>
      <w:r>
        <w:rPr>
          <w:rFonts w:hint="eastAsia" w:eastAsia="宋体" w:cs="宋体"/>
        </w:rPr>
        <w:t>（7）第一章招标公告中“落实政府采购政策需满足的资格要求”的证明文件；</w:t>
      </w:r>
    </w:p>
    <w:p w14:paraId="79DBDC4C">
      <w:pPr>
        <w:spacing w:line="600" w:lineRule="exact"/>
        <w:ind w:firstLine="480"/>
        <w:rPr>
          <w:rFonts w:eastAsia="宋体" w:cs="宋体"/>
        </w:rPr>
      </w:pPr>
      <w:r>
        <w:rPr>
          <w:rFonts w:hint="eastAsia" w:eastAsia="宋体" w:cs="宋体"/>
        </w:rPr>
        <w:t>（8）投标人认为需要提供的其他资格证明文件和商务资料。</w:t>
      </w:r>
    </w:p>
    <w:p w14:paraId="5D897824">
      <w:pPr>
        <w:spacing w:line="600" w:lineRule="exact"/>
        <w:ind w:firstLine="480"/>
        <w:rPr>
          <w:rFonts w:eastAsia="宋体" w:cs="宋体"/>
        </w:rPr>
      </w:pPr>
      <w:r>
        <w:rPr>
          <w:rFonts w:hint="eastAsia" w:eastAsia="宋体" w:cs="宋体"/>
        </w:rPr>
        <w:t>12、投标文件的技术部分</w:t>
      </w:r>
    </w:p>
    <w:p w14:paraId="7DE724B5">
      <w:pPr>
        <w:spacing w:line="600" w:lineRule="exact"/>
        <w:ind w:firstLine="480"/>
        <w:rPr>
          <w:rFonts w:eastAsia="宋体" w:cs="宋体"/>
        </w:rPr>
      </w:pPr>
      <w:r>
        <w:rPr>
          <w:rFonts w:hint="eastAsia" w:eastAsia="宋体" w:cs="宋体"/>
        </w:rPr>
        <w:t>12.1技术部分是证明投标人提供的货物是合格的、并符合招标文件要求的证明文件，以及对投标报价表中的货物的详细说明，这些文件可以是文字资料、图纸（表）和数据等。</w:t>
      </w:r>
    </w:p>
    <w:p w14:paraId="32F38DC9">
      <w:pPr>
        <w:spacing w:line="600" w:lineRule="exact"/>
        <w:ind w:firstLine="480"/>
        <w:rPr>
          <w:rFonts w:eastAsia="宋体" w:cs="宋体"/>
        </w:rPr>
      </w:pPr>
      <w:r>
        <w:rPr>
          <w:rFonts w:hint="eastAsia" w:eastAsia="宋体" w:cs="宋体"/>
        </w:rPr>
        <w:t>12.2若技术性能无特殊说明，则按国家有关部门最新颁布的标准及规范为准。</w:t>
      </w:r>
    </w:p>
    <w:p w14:paraId="05DBCE5A">
      <w:pPr>
        <w:spacing w:line="600" w:lineRule="exact"/>
        <w:ind w:firstLine="480"/>
        <w:rPr>
          <w:rFonts w:eastAsia="宋体" w:cs="宋体"/>
        </w:rPr>
      </w:pPr>
      <w:r>
        <w:rPr>
          <w:rFonts w:hint="eastAsia" w:eastAsia="宋体" w:cs="宋体"/>
        </w:rPr>
        <w:t>12.3提供的货物如与招标文件要求有不符之处，应说明其差别之所在，并在《技术条款偏离表》中逐条予以说明。</w:t>
      </w:r>
    </w:p>
    <w:p w14:paraId="0F2049B2">
      <w:pPr>
        <w:spacing w:line="600" w:lineRule="exact"/>
        <w:ind w:firstLine="480"/>
        <w:rPr>
          <w:rFonts w:eastAsia="宋体" w:cs="宋体"/>
        </w:rPr>
      </w:pPr>
      <w:r>
        <w:rPr>
          <w:rFonts w:hint="eastAsia" w:eastAsia="宋体" w:cs="宋体"/>
        </w:rPr>
        <w:t>12.4投标文件应按照招标文件要求提供技术资料、文件和有关证明，包括但不限于下列文件，其中加★项目不得有缺失或无效：</w:t>
      </w:r>
    </w:p>
    <w:p w14:paraId="2FB18FC3">
      <w:pPr>
        <w:spacing w:line="600" w:lineRule="exact"/>
        <w:ind w:firstLine="480"/>
        <w:rPr>
          <w:rFonts w:eastAsia="宋体" w:cs="宋体"/>
        </w:rPr>
      </w:pPr>
      <w:r>
        <w:rPr>
          <w:rFonts w:hint="eastAsia" w:eastAsia="宋体" w:cs="宋体"/>
        </w:rPr>
        <w:t>（1）★《技术条款偏离表》；</w:t>
      </w:r>
    </w:p>
    <w:p w14:paraId="53560D79">
      <w:pPr>
        <w:spacing w:line="600" w:lineRule="exact"/>
        <w:ind w:firstLine="480"/>
        <w:rPr>
          <w:rFonts w:eastAsia="宋体" w:cs="宋体"/>
        </w:rPr>
      </w:pPr>
      <w:r>
        <w:rPr>
          <w:rFonts w:hint="eastAsia" w:eastAsia="宋体" w:cs="宋体"/>
        </w:rPr>
        <w:t>（2）★按工程量清单计价规范要求报价；</w:t>
      </w:r>
    </w:p>
    <w:p w14:paraId="0B355850">
      <w:pPr>
        <w:spacing w:line="600" w:lineRule="exact"/>
        <w:ind w:firstLine="480"/>
        <w:rPr>
          <w:rFonts w:eastAsia="宋体" w:cs="宋体"/>
        </w:rPr>
      </w:pPr>
      <w:r>
        <w:rPr>
          <w:rFonts w:hint="eastAsia" w:eastAsia="宋体" w:cs="宋体"/>
        </w:rPr>
        <w:t>（3）技术团队配置表；</w:t>
      </w:r>
    </w:p>
    <w:p w14:paraId="5BDB74B2">
      <w:pPr>
        <w:spacing w:line="600" w:lineRule="exact"/>
        <w:ind w:firstLine="480"/>
        <w:rPr>
          <w:rFonts w:eastAsia="宋体" w:cs="宋体"/>
        </w:rPr>
      </w:pPr>
      <w:r>
        <w:rPr>
          <w:rFonts w:hint="eastAsia" w:eastAsia="宋体" w:cs="宋体"/>
        </w:rPr>
        <w:t>（4）服务承诺；</w:t>
      </w:r>
    </w:p>
    <w:p w14:paraId="27E7EADD">
      <w:pPr>
        <w:spacing w:line="600" w:lineRule="exact"/>
        <w:ind w:firstLine="480"/>
        <w:rPr>
          <w:rFonts w:eastAsia="宋体" w:cs="宋体"/>
        </w:rPr>
      </w:pPr>
      <w:r>
        <w:rPr>
          <w:rFonts w:hint="eastAsia" w:eastAsia="宋体" w:cs="宋体"/>
        </w:rPr>
        <w:t>（5）投标人认为需要提供的其他技术资料等；</w:t>
      </w:r>
    </w:p>
    <w:p w14:paraId="2E45C752">
      <w:pPr>
        <w:spacing w:line="600" w:lineRule="exact"/>
        <w:ind w:firstLine="480"/>
        <w:rPr>
          <w:rFonts w:eastAsia="宋体" w:cs="宋体"/>
        </w:rPr>
      </w:pPr>
      <w:r>
        <w:rPr>
          <w:rFonts w:hint="eastAsia" w:eastAsia="宋体" w:cs="宋体"/>
        </w:rPr>
        <w:t>13、投标文件的价格部分</w:t>
      </w:r>
    </w:p>
    <w:p w14:paraId="7EAA1AF0">
      <w:pPr>
        <w:spacing w:line="600" w:lineRule="exact"/>
        <w:ind w:firstLine="480"/>
        <w:rPr>
          <w:rFonts w:eastAsia="宋体" w:cs="宋体"/>
        </w:rPr>
      </w:pPr>
      <w:r>
        <w:rPr>
          <w:rFonts w:hint="eastAsia" w:eastAsia="宋体" w:cs="宋体"/>
        </w:rPr>
        <w:t>13.1价格部分是对投标货物和服务价格构成的说明，每一项货物仅接受一个价格。</w:t>
      </w:r>
    </w:p>
    <w:p w14:paraId="7BBBE3A3">
      <w:pPr>
        <w:spacing w:line="600" w:lineRule="exact"/>
        <w:ind w:firstLine="480"/>
        <w:rPr>
          <w:rFonts w:eastAsia="宋体" w:cs="宋体"/>
        </w:rPr>
      </w:pPr>
      <w:r>
        <w:rPr>
          <w:rFonts w:hint="eastAsia" w:eastAsia="宋体" w:cs="宋体"/>
        </w:rPr>
        <w:t>13.2报价应包含但不限于人员劳资、交通费、风险评估费、技术图纸资料、人员培训发生的所有含税费用、国家强制缴纳的各种社会保障资金、利润、税金、政策性文件规定及合同包含内的所有风险、责任等各项应有费用。</w:t>
      </w:r>
    </w:p>
    <w:p w14:paraId="2E8FF82E">
      <w:pPr>
        <w:spacing w:line="600" w:lineRule="exact"/>
        <w:ind w:firstLine="480"/>
        <w:rPr>
          <w:rFonts w:eastAsia="宋体" w:cs="宋体"/>
        </w:rPr>
      </w:pPr>
      <w:r>
        <w:rPr>
          <w:rFonts w:hint="eastAsia" w:eastAsia="宋体" w:cs="宋体"/>
        </w:rPr>
        <w:t>13.3投标人应充分考虑到市场价格变动，以及项目实施过程中的不可预见因素，一旦成交，总价不变。如果有漏项，视同让利。</w:t>
      </w:r>
    </w:p>
    <w:p w14:paraId="162D33EB">
      <w:pPr>
        <w:spacing w:line="600" w:lineRule="exact"/>
        <w:ind w:firstLine="480"/>
        <w:rPr>
          <w:rFonts w:eastAsia="宋体" w:cs="宋体"/>
        </w:rPr>
      </w:pPr>
      <w:r>
        <w:rPr>
          <w:rFonts w:hint="eastAsia" w:eastAsia="宋体" w:cs="宋体"/>
        </w:rPr>
        <w:t>13.4投标人的任何错漏、优惠、竞争性报价不得作为减轻责任、减少服务、增加收费、降低质量的理由。</w:t>
      </w:r>
    </w:p>
    <w:p w14:paraId="5A87D020">
      <w:pPr>
        <w:spacing w:line="600" w:lineRule="exact"/>
        <w:ind w:firstLine="480"/>
        <w:rPr>
          <w:rFonts w:eastAsia="宋体" w:cs="宋体"/>
        </w:rPr>
      </w:pPr>
      <w:r>
        <w:rPr>
          <w:rFonts w:hint="eastAsia" w:eastAsia="宋体" w:cs="宋体"/>
        </w:rPr>
        <w:t>13.5投标人应在《开标一览表》、《投标分项报价》等标明提供货物的总价以及分项报价。投标人系小企业（含小型、微型企业），须在《开标一览表》中注明，如无法划分计算的，将不予认可。</w:t>
      </w:r>
    </w:p>
    <w:p w14:paraId="473FCAA3">
      <w:pPr>
        <w:spacing w:line="600" w:lineRule="exact"/>
        <w:ind w:firstLine="480"/>
        <w:rPr>
          <w:rFonts w:eastAsia="宋体" w:cs="宋体"/>
        </w:rPr>
      </w:pPr>
      <w:r>
        <w:rPr>
          <w:rFonts w:hint="eastAsia" w:eastAsia="宋体" w:cs="宋体"/>
        </w:rPr>
        <w:t>14、投标文件的其他部分</w:t>
      </w:r>
    </w:p>
    <w:p w14:paraId="6A1A29A1">
      <w:pPr>
        <w:spacing w:line="600" w:lineRule="exact"/>
        <w:ind w:firstLine="480"/>
        <w:rPr>
          <w:rFonts w:eastAsia="宋体" w:cs="宋体"/>
        </w:rPr>
      </w:pPr>
      <w:r>
        <w:rPr>
          <w:rFonts w:hint="eastAsia" w:eastAsia="宋体" w:cs="宋体"/>
        </w:rPr>
        <w:t>14.1其他部分由投标人根据编制投标文件需要提供的其他相关文件。</w:t>
      </w:r>
    </w:p>
    <w:p w14:paraId="12129D9A">
      <w:pPr>
        <w:spacing w:line="600" w:lineRule="exact"/>
        <w:ind w:firstLine="480"/>
        <w:rPr>
          <w:rFonts w:eastAsia="宋体" w:cs="宋体"/>
        </w:rPr>
      </w:pPr>
      <w:r>
        <w:rPr>
          <w:rFonts w:hint="eastAsia" w:eastAsia="宋体" w:cs="宋体"/>
        </w:rPr>
        <w:t>15、投标保证金：本项目不设投标保证金。</w:t>
      </w:r>
    </w:p>
    <w:p w14:paraId="4E51D2B9">
      <w:pPr>
        <w:spacing w:line="600" w:lineRule="exact"/>
        <w:ind w:firstLine="480"/>
        <w:rPr>
          <w:rFonts w:eastAsia="宋体" w:cs="宋体"/>
        </w:rPr>
      </w:pPr>
      <w:r>
        <w:rPr>
          <w:rFonts w:hint="eastAsia" w:eastAsia="宋体" w:cs="宋体"/>
        </w:rPr>
        <w:t>16、投标有效期</w:t>
      </w:r>
    </w:p>
    <w:p w14:paraId="6A804534">
      <w:pPr>
        <w:spacing w:line="600" w:lineRule="exact"/>
        <w:ind w:firstLine="480"/>
        <w:rPr>
          <w:rFonts w:eastAsia="宋体" w:cs="宋体"/>
        </w:rPr>
      </w:pPr>
      <w:r>
        <w:rPr>
          <w:rFonts w:hint="eastAsia" w:eastAsia="宋体" w:cs="宋体"/>
        </w:rPr>
        <w:t>16.1自提交投标文件截止之日起90日。</w:t>
      </w:r>
    </w:p>
    <w:p w14:paraId="739DF9F1">
      <w:pPr>
        <w:spacing w:line="600" w:lineRule="exact"/>
        <w:ind w:firstLine="480"/>
        <w:rPr>
          <w:rFonts w:eastAsia="宋体" w:cs="宋体"/>
        </w:rPr>
      </w:pPr>
      <w:r>
        <w:rPr>
          <w:rFonts w:hint="eastAsia" w:eastAsia="宋体" w:cs="宋体"/>
        </w:rPr>
        <w:t>16.2在特殊情况下，在原投标有效期截止之前，代理机构可要求投标人同意延长投标有效期，这种要求与答复均以书面形式提交，投标人可拒绝这种要求。</w:t>
      </w:r>
    </w:p>
    <w:p w14:paraId="73654F13">
      <w:pPr>
        <w:spacing w:line="600" w:lineRule="exact"/>
        <w:ind w:firstLine="480"/>
        <w:rPr>
          <w:rFonts w:eastAsia="宋体" w:cs="宋体"/>
        </w:rPr>
      </w:pPr>
      <w:r>
        <w:rPr>
          <w:rFonts w:hint="eastAsia" w:eastAsia="宋体" w:cs="宋体"/>
        </w:rPr>
        <w:t>17、投标文件签署</w:t>
      </w:r>
    </w:p>
    <w:p w14:paraId="2CAFD3C1">
      <w:pPr>
        <w:spacing w:line="600" w:lineRule="exact"/>
        <w:ind w:firstLine="480"/>
        <w:rPr>
          <w:rFonts w:eastAsia="宋体" w:cs="宋体"/>
        </w:rPr>
      </w:pPr>
      <w:r>
        <w:rPr>
          <w:rFonts w:hint="eastAsia" w:eastAsia="宋体" w:cs="宋体"/>
        </w:rPr>
        <w:t>17.1投标文件的正本和副本均由投标人法定代表人或经正式授权并对投标人有约束力的委托代理人用不褪色墨水书写签署。</w:t>
      </w:r>
    </w:p>
    <w:p w14:paraId="677BF12C">
      <w:pPr>
        <w:spacing w:line="600" w:lineRule="exact"/>
        <w:ind w:firstLine="480"/>
        <w:rPr>
          <w:rFonts w:eastAsia="宋体" w:cs="宋体"/>
        </w:rPr>
      </w:pPr>
      <w:r>
        <w:rPr>
          <w:rFonts w:hint="eastAsia" w:eastAsia="宋体" w:cs="宋体"/>
        </w:rPr>
        <w:t>18、投标文件的编制、密封、递交</w:t>
      </w:r>
    </w:p>
    <w:p w14:paraId="13B205C0">
      <w:pPr>
        <w:spacing w:line="600" w:lineRule="exact"/>
        <w:ind w:firstLine="480"/>
        <w:rPr>
          <w:rFonts w:eastAsia="宋体" w:cs="宋体"/>
        </w:rPr>
      </w:pPr>
      <w:r>
        <w:rPr>
          <w:rFonts w:hint="eastAsia" w:eastAsia="宋体" w:cs="宋体"/>
        </w:rPr>
        <w:t>18.1投标文件的编制应按照招标文件统一规定的格式（规定格式中要求盖章或签字的，则必须盖章或签字），投标人可根据自身实际情况进行添加调整。投标文件统一用A4规格幅面打印、胶装成册并编制目录，由于编排混乱导致投标文件被误读或查找不到，责任由投标人承担。</w:t>
      </w:r>
    </w:p>
    <w:p w14:paraId="73D70CA9">
      <w:pPr>
        <w:spacing w:line="600" w:lineRule="exact"/>
        <w:ind w:firstLine="480"/>
        <w:rPr>
          <w:rFonts w:eastAsia="宋体" w:cs="宋体"/>
        </w:rPr>
      </w:pPr>
      <w:r>
        <w:rPr>
          <w:rFonts w:hint="eastAsia" w:eastAsia="宋体" w:cs="宋体"/>
        </w:rPr>
        <w:t>18.2投标人应在投标文件中写清相应的项目编号、项目名称、投标人全称、地址、电话等，如有必要，可以增加附页，作为投标文件的组成部分。</w:t>
      </w:r>
    </w:p>
    <w:p w14:paraId="05EA6276">
      <w:pPr>
        <w:spacing w:line="600" w:lineRule="exact"/>
        <w:ind w:firstLine="480"/>
        <w:rPr>
          <w:rFonts w:eastAsia="宋体" w:cs="宋体"/>
        </w:rPr>
      </w:pPr>
      <w:r>
        <w:rPr>
          <w:rFonts w:hint="eastAsia" w:eastAsia="宋体" w:cs="宋体"/>
        </w:rPr>
        <w:t>18.3投标人应将投标文件用档案袋或封套密封，封面并注明项目项目编号、项目名称、投标人地址、投标人全称等。</w:t>
      </w:r>
    </w:p>
    <w:p w14:paraId="381E4318">
      <w:pPr>
        <w:spacing w:line="600" w:lineRule="exact"/>
        <w:ind w:firstLine="480"/>
        <w:rPr>
          <w:rFonts w:eastAsia="宋体" w:cs="宋体"/>
        </w:rPr>
      </w:pPr>
      <w:r>
        <w:rPr>
          <w:rFonts w:hint="eastAsia" w:eastAsia="宋体" w:cs="宋体"/>
        </w:rPr>
        <w:t>18.4</w:t>
      </w:r>
      <w:r>
        <w:rPr>
          <w:rFonts w:eastAsia="宋体" w:cs="宋体"/>
        </w:rPr>
        <w:t>档案袋或封套内</w:t>
      </w:r>
      <w:r>
        <w:rPr>
          <w:rFonts w:hint="eastAsia" w:eastAsia="宋体" w:cs="宋体"/>
          <w:szCs w:val="24"/>
        </w:rPr>
        <w:t>纸质正本</w:t>
      </w:r>
      <w:r>
        <w:rPr>
          <w:rFonts w:hint="eastAsia" w:eastAsia="宋体" w:cs="宋体"/>
          <w:b/>
          <w:szCs w:val="24"/>
          <w:u w:val="single"/>
        </w:rPr>
        <w:t>壹</w:t>
      </w:r>
      <w:r>
        <w:rPr>
          <w:rFonts w:hint="eastAsia" w:eastAsia="宋体" w:cs="宋体"/>
          <w:szCs w:val="24"/>
        </w:rPr>
        <w:t>份、纸质副本</w:t>
      </w:r>
      <w:r>
        <w:rPr>
          <w:rFonts w:hint="eastAsia" w:cs="宋体"/>
          <w:b/>
          <w:szCs w:val="24"/>
          <w:u w:val="single"/>
          <w:lang w:eastAsia="zh-CN"/>
        </w:rPr>
        <w:t>肆</w:t>
      </w:r>
      <w:r>
        <w:rPr>
          <w:rFonts w:hint="eastAsia" w:eastAsia="宋体" w:cs="宋体"/>
          <w:szCs w:val="24"/>
        </w:rPr>
        <w:t>份，纸质投标文件须清楚标明“正本”或“副本”</w:t>
      </w:r>
      <w:r>
        <w:rPr>
          <w:rFonts w:hint="eastAsia" w:eastAsia="宋体" w:cs="宋体"/>
          <w:bCs/>
          <w:szCs w:val="24"/>
        </w:rPr>
        <w:t>，电子版投标文件</w:t>
      </w:r>
      <w:r>
        <w:rPr>
          <w:rFonts w:hint="eastAsia" w:eastAsia="宋体" w:cs="宋体"/>
          <w:b/>
          <w:bCs/>
          <w:szCs w:val="24"/>
        </w:rPr>
        <w:t>壹</w:t>
      </w:r>
      <w:r>
        <w:rPr>
          <w:rFonts w:hint="eastAsia" w:eastAsia="宋体" w:cs="宋体"/>
          <w:bCs/>
          <w:szCs w:val="24"/>
        </w:rPr>
        <w:t>份（投标文件格式要求Word格式</w:t>
      </w:r>
      <w:r>
        <w:rPr>
          <w:rFonts w:hint="eastAsia" w:eastAsia="宋体" w:cs="宋体"/>
          <w:bCs/>
          <w:szCs w:val="24"/>
          <w:lang w:eastAsia="zh-CN"/>
        </w:rPr>
        <w:t>或</w:t>
      </w:r>
      <w:r>
        <w:rPr>
          <w:rFonts w:hint="eastAsia" w:eastAsia="宋体" w:cs="宋体"/>
          <w:bCs/>
          <w:szCs w:val="24"/>
          <w:lang w:val="en-US" w:eastAsia="zh-CN"/>
        </w:rPr>
        <w:t>PDF格式</w:t>
      </w:r>
      <w:r>
        <w:rPr>
          <w:rFonts w:hint="eastAsia" w:eastAsia="宋体" w:cs="宋体"/>
          <w:bCs/>
          <w:szCs w:val="24"/>
        </w:rPr>
        <w:t>，随纸质正本文件一并提交）。当纸质正本文件与副本、电子版文件不一致时，以纸质正本文件为准。电子版文件用于存档，供应商须承担前述不一致造成的不利后果。每份纸质文件须清楚标明“正本”或“副本”字样。</w:t>
      </w:r>
    </w:p>
    <w:p w14:paraId="0379FC65">
      <w:pPr>
        <w:spacing w:line="600" w:lineRule="exact"/>
        <w:ind w:firstLine="480"/>
        <w:rPr>
          <w:rFonts w:eastAsia="宋体" w:cs="宋体"/>
        </w:rPr>
      </w:pPr>
      <w:r>
        <w:rPr>
          <w:rFonts w:hint="eastAsia" w:eastAsia="宋体" w:cs="宋体"/>
        </w:rPr>
        <w:t>18.5投标文件不应有涂改、增删之处，如必须修改时，修改处必须有投标人公章或投标人法定代表人或授权代表签字。</w:t>
      </w:r>
    </w:p>
    <w:p w14:paraId="3F0A79C5">
      <w:pPr>
        <w:spacing w:line="600" w:lineRule="exact"/>
        <w:ind w:firstLine="480"/>
        <w:rPr>
          <w:rFonts w:eastAsia="宋体" w:cs="宋体"/>
        </w:rPr>
      </w:pPr>
      <w:r>
        <w:rPr>
          <w:rFonts w:hint="eastAsia" w:eastAsia="宋体" w:cs="宋体"/>
        </w:rPr>
        <w:t>18.6投标人应当在招标文件要求提交投标文件的截止时间前，将密封的投标文件送达指定投标地点。</w:t>
      </w:r>
    </w:p>
    <w:p w14:paraId="3F6754CE">
      <w:pPr>
        <w:numPr>
          <w:ilvl w:val="0"/>
          <w:numId w:val="7"/>
        </w:numPr>
        <w:spacing w:line="600" w:lineRule="exact"/>
        <w:ind w:firstLine="480"/>
        <w:rPr>
          <w:rFonts w:eastAsia="宋体" w:cs="宋体"/>
        </w:rPr>
      </w:pPr>
      <w:r>
        <w:rPr>
          <w:rFonts w:hint="eastAsia" w:eastAsia="宋体" w:cs="宋体"/>
        </w:rPr>
        <w:t>有下列情形之一的投标文件将拒收：</w:t>
      </w:r>
    </w:p>
    <w:p w14:paraId="6ACDBBC8">
      <w:pPr>
        <w:spacing w:line="600" w:lineRule="exact"/>
        <w:ind w:firstLine="480"/>
        <w:rPr>
          <w:rFonts w:eastAsia="宋体" w:cs="宋体"/>
        </w:rPr>
      </w:pPr>
      <w:r>
        <w:rPr>
          <w:rFonts w:hint="eastAsia" w:eastAsia="宋体" w:cs="宋体"/>
        </w:rPr>
        <w:t>1</w:t>
      </w:r>
      <w:r>
        <w:rPr>
          <w:rFonts w:hint="eastAsia" w:cs="宋体"/>
          <w:lang w:eastAsia="zh-CN"/>
        </w:rPr>
        <w:t>）</w:t>
      </w:r>
      <w:r>
        <w:rPr>
          <w:rFonts w:hint="eastAsia" w:eastAsia="宋体" w:cs="宋体"/>
        </w:rPr>
        <w:t>逾期送达或者未按照招标文件编制要求递交的投标文件：</w:t>
      </w:r>
    </w:p>
    <w:p w14:paraId="2E090296">
      <w:pPr>
        <w:spacing w:line="600" w:lineRule="exact"/>
        <w:ind w:firstLine="480"/>
        <w:rPr>
          <w:rFonts w:eastAsia="宋体" w:cs="宋体"/>
        </w:rPr>
      </w:pPr>
      <w:r>
        <w:rPr>
          <w:rFonts w:hint="eastAsia" w:eastAsia="宋体" w:cs="宋体"/>
        </w:rPr>
        <w:t>2）纸质投标文件逾期送达；</w:t>
      </w:r>
    </w:p>
    <w:p w14:paraId="29E30D9D">
      <w:pPr>
        <w:spacing w:line="600" w:lineRule="exact"/>
        <w:ind w:firstLine="480"/>
        <w:rPr>
          <w:rFonts w:eastAsia="宋体" w:cs="宋体"/>
        </w:rPr>
      </w:pPr>
      <w:r>
        <w:rPr>
          <w:rFonts w:hint="eastAsia" w:eastAsia="宋体" w:cs="宋体"/>
        </w:rPr>
        <w:t>3）纸质投标文件未按要求密封；</w:t>
      </w:r>
    </w:p>
    <w:p w14:paraId="0E251E38">
      <w:pPr>
        <w:spacing w:line="600" w:lineRule="exact"/>
        <w:ind w:firstLine="480"/>
        <w:rPr>
          <w:rFonts w:eastAsia="宋体" w:cs="宋体"/>
        </w:rPr>
      </w:pPr>
      <w:r>
        <w:rPr>
          <w:rFonts w:hint="eastAsia" w:eastAsia="宋体" w:cs="宋体"/>
        </w:rPr>
        <w:t>4</w:t>
      </w:r>
      <w:r>
        <w:rPr>
          <w:rFonts w:hint="eastAsia" w:cs="宋体"/>
          <w:lang w:eastAsia="zh-CN"/>
        </w:rPr>
        <w:t>）</w:t>
      </w:r>
      <w:r>
        <w:rPr>
          <w:rFonts w:hint="eastAsia" w:eastAsia="宋体" w:cs="宋体"/>
        </w:rPr>
        <w:t>纸质投标文件未按要求递交的；</w:t>
      </w:r>
    </w:p>
    <w:p w14:paraId="1CCF7DA5">
      <w:pPr>
        <w:spacing w:line="600" w:lineRule="exact"/>
        <w:ind w:firstLine="480"/>
        <w:rPr>
          <w:rFonts w:eastAsia="宋体" w:cs="宋体"/>
        </w:rPr>
      </w:pPr>
      <w:r>
        <w:rPr>
          <w:rFonts w:hint="eastAsia" w:eastAsia="宋体" w:cs="宋体"/>
        </w:rPr>
        <w:t>5）</w:t>
      </w:r>
      <w:r>
        <w:rPr>
          <w:rFonts w:hint="eastAsia" w:eastAsia="宋体" w:cs="宋体"/>
          <w:lang w:val="zh-CN"/>
        </w:rPr>
        <w:t>未按招标文件要求参加开标会的。</w:t>
      </w:r>
    </w:p>
    <w:p w14:paraId="1C09DF8B">
      <w:pPr>
        <w:spacing w:line="600" w:lineRule="exact"/>
        <w:ind w:firstLine="480"/>
        <w:rPr>
          <w:rFonts w:eastAsia="宋体" w:cs="宋体"/>
        </w:rPr>
      </w:pPr>
      <w:r>
        <w:rPr>
          <w:rFonts w:hint="eastAsia" w:eastAsia="宋体" w:cs="宋体"/>
        </w:rPr>
        <w:t>19.1逾期送达或者未按照招标文件编制要求递交的投标文件。</w:t>
      </w:r>
    </w:p>
    <w:p w14:paraId="3A09275D">
      <w:pPr>
        <w:spacing w:line="600" w:lineRule="exact"/>
        <w:ind w:firstLine="480"/>
        <w:rPr>
          <w:rFonts w:eastAsia="宋体" w:cs="宋体"/>
        </w:rPr>
      </w:pPr>
      <w:r>
        <w:rPr>
          <w:rFonts w:hint="eastAsia" w:eastAsia="宋体" w:cs="宋体"/>
        </w:rPr>
        <w:t>20、投标文件的修改和撤回</w:t>
      </w:r>
    </w:p>
    <w:p w14:paraId="749C5A4D">
      <w:pPr>
        <w:spacing w:line="600" w:lineRule="exact"/>
        <w:ind w:firstLine="480"/>
        <w:rPr>
          <w:rFonts w:eastAsia="宋体" w:cs="宋体"/>
        </w:rPr>
      </w:pPr>
      <w:r>
        <w:rPr>
          <w:rFonts w:hint="eastAsia" w:eastAsia="宋体" w:cs="宋体"/>
        </w:rPr>
        <w:t>20.1投标人在投标截止时间前，可以对所递交的投标文件进行补充、修改或者撤回，并书面通知代理机构。补充、修改的内容应当按照招标文件要求签署、盖章、密封后，作为投标文件的组成部分。</w:t>
      </w:r>
    </w:p>
    <w:p w14:paraId="22383EAF">
      <w:pPr>
        <w:spacing w:line="600" w:lineRule="exact"/>
        <w:ind w:firstLine="480"/>
        <w:rPr>
          <w:rFonts w:eastAsia="宋体" w:cs="宋体"/>
        </w:rPr>
      </w:pPr>
      <w:r>
        <w:rPr>
          <w:rFonts w:hint="eastAsia" w:eastAsia="宋体" w:cs="宋体"/>
        </w:rPr>
        <w:t>20.2投标截止时间之后且在投标有效期内，投标文件不得撤回；如果撤回的，一年内不得参加江苏志诚工程咨询管理有限公司组织的政府采购活动。</w:t>
      </w:r>
    </w:p>
    <w:p w14:paraId="3C019185">
      <w:pPr>
        <w:spacing w:line="600" w:lineRule="exact"/>
        <w:ind w:firstLine="480"/>
        <w:rPr>
          <w:rFonts w:eastAsia="宋体" w:cs="宋体"/>
        </w:rPr>
      </w:pPr>
      <w:r>
        <w:rPr>
          <w:rFonts w:hint="eastAsia" w:eastAsia="宋体" w:cs="宋体"/>
        </w:rPr>
        <w:t>四、投标文件的接收、开标、评标与确定中标人</w:t>
      </w:r>
    </w:p>
    <w:p w14:paraId="25788DDE">
      <w:pPr>
        <w:spacing w:line="600" w:lineRule="exact"/>
        <w:ind w:firstLine="480"/>
        <w:rPr>
          <w:rFonts w:eastAsia="宋体" w:cs="宋体"/>
        </w:rPr>
      </w:pPr>
      <w:r>
        <w:rPr>
          <w:rFonts w:hint="eastAsia" w:eastAsia="宋体" w:cs="宋体"/>
        </w:rPr>
        <w:t>21、投标文件的接收</w:t>
      </w:r>
    </w:p>
    <w:p w14:paraId="721D5F5C">
      <w:pPr>
        <w:spacing w:line="600" w:lineRule="exact"/>
        <w:ind w:firstLine="480"/>
        <w:rPr>
          <w:rFonts w:eastAsia="宋体" w:cs="宋体"/>
        </w:rPr>
      </w:pPr>
      <w:r>
        <w:rPr>
          <w:rFonts w:hint="eastAsia" w:eastAsia="宋体" w:cs="宋体"/>
        </w:rPr>
        <w:t>21.1代理机构收到投标文件后，将现场如实记载投标文件的送达时间和密封情况，签收保存。</w:t>
      </w:r>
    </w:p>
    <w:p w14:paraId="04D15CF1">
      <w:pPr>
        <w:spacing w:line="600" w:lineRule="exact"/>
        <w:ind w:firstLine="480"/>
        <w:rPr>
          <w:rFonts w:eastAsia="宋体" w:cs="宋体"/>
        </w:rPr>
      </w:pPr>
      <w:r>
        <w:rPr>
          <w:rFonts w:hint="eastAsia" w:eastAsia="宋体" w:cs="宋体"/>
        </w:rPr>
        <w:t>21.2任何单位和个人不得在开标前开启投标文件。</w:t>
      </w:r>
    </w:p>
    <w:p w14:paraId="499FEEE3">
      <w:pPr>
        <w:spacing w:line="600" w:lineRule="exact"/>
        <w:ind w:firstLine="480"/>
        <w:rPr>
          <w:rFonts w:eastAsia="宋体" w:cs="宋体"/>
        </w:rPr>
      </w:pPr>
      <w:r>
        <w:rPr>
          <w:rFonts w:hint="eastAsia" w:eastAsia="宋体" w:cs="宋体"/>
        </w:rPr>
        <w:t>22、开标</w:t>
      </w:r>
    </w:p>
    <w:p w14:paraId="0616876E">
      <w:pPr>
        <w:spacing w:line="600" w:lineRule="exact"/>
        <w:ind w:firstLine="480"/>
        <w:rPr>
          <w:rFonts w:eastAsia="宋体" w:cs="宋体"/>
        </w:rPr>
      </w:pPr>
      <w:r>
        <w:rPr>
          <w:rFonts w:hint="eastAsia" w:eastAsia="宋体" w:cs="宋体"/>
        </w:rPr>
        <w:t>22.1 代理机构将在招标文件确定的时间和地点进行公开开标。投标人应委派代表准时参加，参加开标的代表须签名报到以证明其出席。</w:t>
      </w:r>
    </w:p>
    <w:p w14:paraId="53B2A4D7">
      <w:pPr>
        <w:spacing w:line="600" w:lineRule="exact"/>
        <w:ind w:firstLine="480"/>
        <w:rPr>
          <w:rFonts w:eastAsia="宋体" w:cs="宋体"/>
        </w:rPr>
      </w:pPr>
      <w:r>
        <w:rPr>
          <w:rFonts w:hint="eastAsia" w:eastAsia="宋体" w:cs="宋体"/>
        </w:rPr>
        <w:t>22.2代理机构将对开标、评标现场活动进行全程录音录像，音像资料将作为采购文件一并存档。</w:t>
      </w:r>
    </w:p>
    <w:p w14:paraId="073560A0">
      <w:pPr>
        <w:spacing w:line="600" w:lineRule="exact"/>
        <w:ind w:firstLine="480"/>
        <w:rPr>
          <w:rFonts w:eastAsia="宋体" w:cs="宋体"/>
        </w:rPr>
      </w:pPr>
      <w:r>
        <w:rPr>
          <w:rFonts w:hint="eastAsia" w:eastAsia="宋体" w:cs="宋体"/>
        </w:rPr>
        <w:t>22.3开标活动由代理机构主持并邀请各签到投标人参加。</w:t>
      </w:r>
    </w:p>
    <w:p w14:paraId="4ED297FE">
      <w:pPr>
        <w:spacing w:line="600" w:lineRule="exact"/>
        <w:ind w:firstLine="480"/>
        <w:rPr>
          <w:rFonts w:eastAsia="宋体" w:cs="宋体"/>
        </w:rPr>
      </w:pPr>
      <w:r>
        <w:rPr>
          <w:rFonts w:hint="eastAsia" w:eastAsia="宋体" w:cs="宋体"/>
        </w:rPr>
        <w:t>22.4 开标时，代理机构将邀请投标人或者其推选的代表检查投标文件的密封情况；经确认无误后，由代理机构工作人员当众拆封，宣布投标人名称、开标一览表以及招标文件规定的需要宣布的其他内容。</w:t>
      </w:r>
    </w:p>
    <w:p w14:paraId="460E25C4">
      <w:pPr>
        <w:spacing w:line="600" w:lineRule="exact"/>
        <w:ind w:firstLine="480"/>
        <w:rPr>
          <w:rFonts w:eastAsia="宋体" w:cs="宋体"/>
        </w:rPr>
      </w:pPr>
      <w:r>
        <w:rPr>
          <w:rFonts w:hint="eastAsia" w:eastAsia="宋体" w:cs="宋体"/>
        </w:rPr>
        <w:t>22.5投标文件报价出现前后不一致的，按照下列规定修正：</w:t>
      </w:r>
    </w:p>
    <w:p w14:paraId="763FD9E6">
      <w:pPr>
        <w:spacing w:line="600" w:lineRule="exact"/>
        <w:ind w:firstLine="480"/>
        <w:rPr>
          <w:rFonts w:eastAsia="宋体" w:cs="宋体"/>
        </w:rPr>
      </w:pPr>
      <w:r>
        <w:rPr>
          <w:rFonts w:hint="eastAsia" w:eastAsia="宋体" w:cs="宋体"/>
        </w:rPr>
        <w:t>（1）开标一览表内容与投标文件中相应内容不一致的，以开标一览表为准；</w:t>
      </w:r>
    </w:p>
    <w:p w14:paraId="4A3DBBE0">
      <w:pPr>
        <w:spacing w:line="600" w:lineRule="exact"/>
        <w:ind w:firstLine="480"/>
        <w:rPr>
          <w:rFonts w:eastAsia="宋体" w:cs="宋体"/>
        </w:rPr>
      </w:pPr>
      <w:r>
        <w:rPr>
          <w:rFonts w:hint="eastAsia" w:eastAsia="宋体" w:cs="宋体"/>
        </w:rPr>
        <w:t>（2）大写金额和小写金额不一致的，以大写金额为准；</w:t>
      </w:r>
    </w:p>
    <w:p w14:paraId="17159294">
      <w:pPr>
        <w:spacing w:line="600" w:lineRule="exact"/>
        <w:ind w:firstLine="480"/>
        <w:rPr>
          <w:rFonts w:eastAsia="宋体" w:cs="宋体"/>
        </w:rPr>
      </w:pPr>
      <w:r>
        <w:rPr>
          <w:rFonts w:hint="eastAsia" w:eastAsia="宋体" w:cs="宋体"/>
        </w:rPr>
        <w:t>（3）单价金额小数点或者百分比有明显错位的，以开标一览表的总价为准，并修改单价；</w:t>
      </w:r>
    </w:p>
    <w:p w14:paraId="6F829DD4">
      <w:pPr>
        <w:spacing w:line="600" w:lineRule="exact"/>
        <w:ind w:firstLine="480"/>
        <w:rPr>
          <w:rFonts w:eastAsia="宋体" w:cs="宋体"/>
        </w:rPr>
      </w:pPr>
      <w:r>
        <w:rPr>
          <w:rFonts w:hint="eastAsia" w:eastAsia="宋体" w:cs="宋体"/>
        </w:rPr>
        <w:t>（4）总价金额与按单价汇总金额不一致的，以单价金额计算结果为准。</w:t>
      </w:r>
    </w:p>
    <w:p w14:paraId="1F3F6C2B">
      <w:pPr>
        <w:spacing w:line="600" w:lineRule="exact"/>
        <w:ind w:firstLine="480"/>
        <w:rPr>
          <w:rFonts w:eastAsia="宋体" w:cs="宋体"/>
        </w:rPr>
      </w:pPr>
      <w:r>
        <w:rPr>
          <w:rFonts w:hint="eastAsia" w:eastAsia="宋体" w:cs="宋体"/>
        </w:rPr>
        <w:t>（5）同时出现两种以上不一致的，按照前款规定的顺序修正。修正后的报价按照本章要求的规定经投标人确认后产生约束力，投标人不确认的，其投标无效。</w:t>
      </w:r>
    </w:p>
    <w:p w14:paraId="684D7A97">
      <w:pPr>
        <w:spacing w:line="600" w:lineRule="exact"/>
        <w:ind w:firstLine="480"/>
        <w:rPr>
          <w:rFonts w:eastAsia="宋体" w:cs="宋体"/>
        </w:rPr>
      </w:pPr>
      <w:r>
        <w:rPr>
          <w:rFonts w:hint="eastAsia" w:eastAsia="宋体" w:cs="宋体"/>
        </w:rPr>
        <w:t>22.6未宣读开标一览表等实质性内容，评标时不予承认。</w:t>
      </w:r>
    </w:p>
    <w:p w14:paraId="50233FA5">
      <w:pPr>
        <w:spacing w:line="600" w:lineRule="exact"/>
        <w:ind w:firstLine="480"/>
        <w:rPr>
          <w:rFonts w:eastAsia="宋体" w:cs="宋体"/>
        </w:rPr>
      </w:pPr>
      <w:r>
        <w:rPr>
          <w:rFonts w:hint="eastAsia" w:eastAsia="宋体" w:cs="宋体"/>
        </w:rPr>
        <w:t>22.7开标过程由代理机构负责记录，由参加开标的各投标人代表和相关工作人员签字确认后随采购文件一并存档。投标人代表对开标过程和开标记录有疑义，以及认为采购人、代理机构相关工作人员有需要回避的情形的，应当场提出询问或者回避申请。采购人、代理机构会对投标人代表提出的询问或者回避申请及时处理。</w:t>
      </w:r>
    </w:p>
    <w:p w14:paraId="055CC057">
      <w:pPr>
        <w:spacing w:line="600" w:lineRule="exact"/>
        <w:ind w:firstLine="480"/>
        <w:rPr>
          <w:rFonts w:eastAsia="宋体" w:cs="宋体"/>
        </w:rPr>
      </w:pPr>
      <w:r>
        <w:rPr>
          <w:rFonts w:hint="eastAsia" w:eastAsia="宋体" w:cs="宋体"/>
        </w:rPr>
        <w:t>22.8投标人未参加开标的，视同认可开标结果。</w:t>
      </w:r>
    </w:p>
    <w:p w14:paraId="518D875D">
      <w:pPr>
        <w:spacing w:line="600" w:lineRule="exact"/>
        <w:ind w:firstLine="480"/>
        <w:rPr>
          <w:rFonts w:eastAsia="宋体" w:cs="宋体"/>
        </w:rPr>
      </w:pPr>
      <w:r>
        <w:rPr>
          <w:rFonts w:hint="eastAsia" w:eastAsia="宋体" w:cs="宋体"/>
        </w:rPr>
        <w:t>22.</w:t>
      </w:r>
      <w:r>
        <w:rPr>
          <w:rFonts w:hint="eastAsia" w:cs="宋体"/>
          <w:lang w:val="en-US" w:eastAsia="zh-CN"/>
        </w:rPr>
        <w:t>9</w:t>
      </w:r>
      <w:r>
        <w:rPr>
          <w:rFonts w:hint="eastAsia" w:eastAsia="宋体" w:cs="宋体"/>
        </w:rPr>
        <w:t>投标截止时间结束后参加投标的投标人不足三家或者通过资格审查或符合性审查的投标人不足三家的，除采购任务取消情形外，采购人报经监管部门批准后，可变更为竞争性谈判或者单一来源方式采购。本次招标文件中对投标人资格条件要求、技术要求和商务等要求，将作为竞争性谈判或者单一来源方式采购的基本要求和谈判依据。原评标委员会改为谈判小组，并根据政府采购法等法律法规进行谈判。参加投标的投标人，根据自愿原则，选择参加竞争性谈判或单一来源方式采购。</w:t>
      </w:r>
    </w:p>
    <w:p w14:paraId="30A7DBBC">
      <w:pPr>
        <w:spacing w:line="600" w:lineRule="exact"/>
        <w:ind w:firstLine="480"/>
        <w:rPr>
          <w:rFonts w:eastAsia="宋体" w:cs="宋体"/>
        </w:rPr>
      </w:pPr>
      <w:r>
        <w:rPr>
          <w:rFonts w:hint="eastAsia" w:eastAsia="宋体" w:cs="宋体"/>
        </w:rPr>
        <w:t>23、评标</w:t>
      </w:r>
    </w:p>
    <w:p w14:paraId="35B2C54A">
      <w:pPr>
        <w:spacing w:line="600" w:lineRule="exact"/>
        <w:ind w:firstLine="480"/>
        <w:rPr>
          <w:rFonts w:eastAsia="宋体" w:cs="宋体"/>
        </w:rPr>
      </w:pPr>
      <w:r>
        <w:rPr>
          <w:rFonts w:hint="eastAsia" w:eastAsia="宋体" w:cs="宋体"/>
        </w:rPr>
        <w:t>23.1评标组织</w:t>
      </w:r>
    </w:p>
    <w:p w14:paraId="55D785BA">
      <w:pPr>
        <w:spacing w:line="600" w:lineRule="exact"/>
        <w:ind w:firstLine="480"/>
        <w:rPr>
          <w:rFonts w:eastAsia="宋体" w:cs="宋体"/>
        </w:rPr>
      </w:pPr>
      <w:r>
        <w:rPr>
          <w:rFonts w:hint="eastAsia" w:eastAsia="宋体" w:cs="宋体"/>
        </w:rPr>
        <w:t>23.1.1评标工作由代理机构负责组织，具体评标事务由依法组建的评标委员会负责，并独立履行下列职责：</w:t>
      </w:r>
    </w:p>
    <w:p w14:paraId="48254B38">
      <w:pPr>
        <w:spacing w:line="600" w:lineRule="exact"/>
        <w:ind w:firstLine="480"/>
        <w:rPr>
          <w:rFonts w:eastAsia="宋体" w:cs="宋体"/>
        </w:rPr>
      </w:pPr>
      <w:r>
        <w:rPr>
          <w:rFonts w:hint="eastAsia" w:eastAsia="宋体" w:cs="宋体"/>
        </w:rPr>
        <w:t>（1）审查、评价投标文件是否符合招标文件的商务、技术等实质性要求；</w:t>
      </w:r>
    </w:p>
    <w:p w14:paraId="7325665B">
      <w:pPr>
        <w:spacing w:line="600" w:lineRule="exact"/>
        <w:ind w:firstLine="480"/>
        <w:rPr>
          <w:rFonts w:eastAsia="宋体" w:cs="宋体"/>
        </w:rPr>
      </w:pPr>
      <w:r>
        <w:rPr>
          <w:rFonts w:hint="eastAsia" w:eastAsia="宋体" w:cs="宋体"/>
        </w:rPr>
        <w:t>（2）要求投标人对投标文件有关事项作出澄清或者说明；</w:t>
      </w:r>
    </w:p>
    <w:p w14:paraId="4CF0876A">
      <w:pPr>
        <w:spacing w:line="600" w:lineRule="exact"/>
        <w:ind w:firstLine="480"/>
        <w:rPr>
          <w:rFonts w:eastAsia="宋体" w:cs="宋体"/>
        </w:rPr>
      </w:pPr>
      <w:r>
        <w:rPr>
          <w:rFonts w:hint="eastAsia" w:eastAsia="宋体" w:cs="宋体"/>
        </w:rPr>
        <w:t>（3）对投标文件进行比较和评价；</w:t>
      </w:r>
    </w:p>
    <w:p w14:paraId="1BD3C7D4">
      <w:pPr>
        <w:spacing w:line="600" w:lineRule="exact"/>
        <w:ind w:firstLine="480"/>
        <w:rPr>
          <w:rFonts w:eastAsia="宋体" w:cs="宋体"/>
        </w:rPr>
      </w:pPr>
      <w:r>
        <w:rPr>
          <w:rFonts w:hint="eastAsia" w:eastAsia="宋体" w:cs="宋体"/>
        </w:rPr>
        <w:t>（4）确定中标候选人名单，以及根据采购人委托直接确定中标人；</w:t>
      </w:r>
    </w:p>
    <w:p w14:paraId="3282DDEB">
      <w:pPr>
        <w:spacing w:line="600" w:lineRule="exact"/>
        <w:ind w:firstLine="480"/>
        <w:rPr>
          <w:rFonts w:eastAsia="宋体" w:cs="宋体"/>
        </w:rPr>
      </w:pPr>
      <w:r>
        <w:rPr>
          <w:rFonts w:hint="eastAsia" w:eastAsia="宋体" w:cs="宋体"/>
        </w:rPr>
        <w:t>（5）向采购人、代理机构或者有关部门报告评标中发现的违法行为。</w:t>
      </w:r>
    </w:p>
    <w:p w14:paraId="57A206AB">
      <w:pPr>
        <w:spacing w:line="600" w:lineRule="exact"/>
        <w:ind w:firstLine="480"/>
        <w:rPr>
          <w:rFonts w:eastAsia="宋体" w:cs="宋体"/>
        </w:rPr>
      </w:pPr>
      <w:r>
        <w:rPr>
          <w:rFonts w:hint="eastAsia" w:eastAsia="宋体" w:cs="宋体"/>
        </w:rPr>
        <w:t>23.1.2评标委员会由财政部门设立的政府采购评审专家库中随机方式抽取的评审专家及采购人代表组成，独立开展评审工作。</w:t>
      </w:r>
    </w:p>
    <w:p w14:paraId="56AC9B68">
      <w:pPr>
        <w:spacing w:line="600" w:lineRule="exact"/>
        <w:ind w:firstLine="480"/>
        <w:rPr>
          <w:rFonts w:eastAsia="宋体" w:cs="宋体"/>
        </w:rPr>
      </w:pPr>
      <w:r>
        <w:rPr>
          <w:rFonts w:hint="eastAsia" w:eastAsia="宋体" w:cs="宋体"/>
        </w:rPr>
        <w:t>23.2评标程序</w:t>
      </w:r>
    </w:p>
    <w:p w14:paraId="40AB3DC7">
      <w:pPr>
        <w:spacing w:line="600" w:lineRule="exact"/>
        <w:ind w:firstLine="480"/>
        <w:rPr>
          <w:rFonts w:eastAsia="宋体" w:cs="宋体"/>
        </w:rPr>
      </w:pPr>
      <w:r>
        <w:rPr>
          <w:rFonts w:hint="eastAsia" w:eastAsia="宋体" w:cs="宋体"/>
        </w:rPr>
        <w:t>23.2.1投标文件的资格性检查。开标结束后，由采购人或者代理机构根据法律法规和招标文件的规定依法对投标人的资格进行审查，以确定投标人是否具备投标资格。投标文件有下列情况之一的，在资格性检查时按照投标无效处理：</w:t>
      </w:r>
    </w:p>
    <w:p w14:paraId="18E7BA50">
      <w:pPr>
        <w:spacing w:line="600" w:lineRule="exact"/>
        <w:ind w:firstLine="480"/>
        <w:rPr>
          <w:rFonts w:eastAsia="宋体" w:cs="宋体"/>
        </w:rPr>
      </w:pPr>
      <w:r>
        <w:rPr>
          <w:rFonts w:hint="eastAsia" w:eastAsia="宋体" w:cs="宋体"/>
        </w:rPr>
        <w:t>（1）本章 11.1 加★项要求提供的证明材料缺失或无效的；</w:t>
      </w:r>
    </w:p>
    <w:p w14:paraId="604F515D">
      <w:pPr>
        <w:spacing w:line="600" w:lineRule="exact"/>
        <w:ind w:firstLine="480"/>
        <w:rPr>
          <w:rFonts w:eastAsia="宋体" w:cs="宋体"/>
        </w:rPr>
      </w:pPr>
      <w:r>
        <w:rPr>
          <w:rFonts w:hint="eastAsia" w:eastAsia="宋体" w:cs="宋体"/>
        </w:rPr>
        <w:t>（2）投标文件未按照招标文件规定要求签署、盖章的。</w:t>
      </w:r>
    </w:p>
    <w:p w14:paraId="64F11D76">
      <w:pPr>
        <w:spacing w:line="600" w:lineRule="exact"/>
        <w:ind w:firstLine="480"/>
        <w:rPr>
          <w:rFonts w:eastAsia="宋体" w:cs="宋体"/>
        </w:rPr>
      </w:pPr>
      <w:r>
        <w:rPr>
          <w:rFonts w:hint="eastAsia" w:eastAsia="宋体" w:cs="宋体"/>
        </w:rPr>
        <w:t>23.2.2投标文件的符合性检查。评标委员会应当对符合资格的投标人的投标文件进行符合性审查，以确定其是否满足招标文件的实质性要求，实质性要求是指本招标文件</w:t>
      </w:r>
      <w:r>
        <w:rPr>
          <w:rFonts w:hint="eastAsia" w:cs="宋体"/>
          <w:lang w:eastAsia="zh-CN"/>
        </w:rPr>
        <w:t>商务部分要求</w:t>
      </w:r>
      <w:r>
        <w:rPr>
          <w:rFonts w:hint="eastAsia" w:eastAsia="宋体" w:cs="宋体"/>
        </w:rPr>
        <w:t>。投标文件有下列情况之一的，在符合性检查时按照投标无效处理：</w:t>
      </w:r>
    </w:p>
    <w:p w14:paraId="644CEDAC">
      <w:pPr>
        <w:spacing w:line="600" w:lineRule="exact"/>
        <w:ind w:firstLine="480"/>
        <w:rPr>
          <w:rFonts w:eastAsia="宋体" w:cs="宋体"/>
        </w:rPr>
      </w:pPr>
      <w:r>
        <w:rPr>
          <w:rFonts w:hint="eastAsia" w:eastAsia="宋体" w:cs="宋体"/>
        </w:rPr>
        <w:t>（1）本章12.4加★项要求提供的证明材料缺失或无效的；</w:t>
      </w:r>
    </w:p>
    <w:p w14:paraId="0FF124AB">
      <w:pPr>
        <w:spacing w:line="600" w:lineRule="exact"/>
        <w:ind w:firstLine="480"/>
        <w:rPr>
          <w:rFonts w:eastAsia="宋体" w:cs="宋体"/>
        </w:rPr>
      </w:pPr>
      <w:r>
        <w:rPr>
          <w:rFonts w:hint="eastAsia" w:eastAsia="宋体" w:cs="宋体"/>
        </w:rPr>
        <w:t>（2）投标文件中未逐一说明投标产品名称、品牌、规格型号、产地、技术参数和服务响应，而是直接拷贝招标文件技术要求的；</w:t>
      </w:r>
    </w:p>
    <w:p w14:paraId="4749F086">
      <w:pPr>
        <w:spacing w:line="600" w:lineRule="exact"/>
        <w:ind w:firstLine="480"/>
        <w:rPr>
          <w:rFonts w:eastAsia="宋体" w:cs="宋体"/>
        </w:rPr>
      </w:pPr>
      <w:r>
        <w:rPr>
          <w:rFonts w:hint="eastAsia" w:eastAsia="宋体" w:cs="宋体"/>
        </w:rPr>
        <w:t>（3）不同投标人的投标文件由同一单位或者个人编制；</w:t>
      </w:r>
    </w:p>
    <w:p w14:paraId="71101512">
      <w:pPr>
        <w:spacing w:line="600" w:lineRule="exact"/>
        <w:ind w:firstLine="480"/>
        <w:rPr>
          <w:rFonts w:eastAsia="宋体" w:cs="宋体"/>
        </w:rPr>
      </w:pPr>
      <w:r>
        <w:rPr>
          <w:rFonts w:hint="eastAsia" w:eastAsia="宋体" w:cs="宋体"/>
        </w:rPr>
        <w:t>（4）不同投标人委托同一单位或者个人办理投标事宜；</w:t>
      </w:r>
    </w:p>
    <w:p w14:paraId="0E8963BC">
      <w:pPr>
        <w:spacing w:line="600" w:lineRule="exact"/>
        <w:ind w:firstLine="480"/>
        <w:rPr>
          <w:rFonts w:eastAsia="宋体" w:cs="宋体"/>
        </w:rPr>
      </w:pPr>
      <w:r>
        <w:rPr>
          <w:rFonts w:hint="eastAsia" w:eastAsia="宋体" w:cs="宋体"/>
        </w:rPr>
        <w:t>（5）不同投标人的投标文件载明的项目管理成员或者联系人员为同一人；</w:t>
      </w:r>
    </w:p>
    <w:p w14:paraId="40C3B887">
      <w:pPr>
        <w:spacing w:line="600" w:lineRule="exact"/>
        <w:ind w:firstLine="480"/>
        <w:rPr>
          <w:rFonts w:eastAsia="宋体" w:cs="宋体"/>
        </w:rPr>
      </w:pPr>
      <w:r>
        <w:rPr>
          <w:rFonts w:hint="eastAsia" w:eastAsia="宋体" w:cs="宋体"/>
        </w:rPr>
        <w:t>（6）不同投标人的投标文件异常一致或者投标报价呈规律性差异；</w:t>
      </w:r>
    </w:p>
    <w:p w14:paraId="030D5B9F">
      <w:pPr>
        <w:spacing w:line="600" w:lineRule="exact"/>
        <w:ind w:firstLine="480"/>
        <w:rPr>
          <w:rFonts w:eastAsia="宋体" w:cs="宋体"/>
        </w:rPr>
      </w:pPr>
      <w:r>
        <w:rPr>
          <w:rFonts w:hint="eastAsia" w:eastAsia="宋体" w:cs="宋体"/>
        </w:rPr>
        <w:t>（7）不同投标人的投标文件相互混装；</w:t>
      </w:r>
    </w:p>
    <w:p w14:paraId="6D849A90">
      <w:pPr>
        <w:spacing w:line="600" w:lineRule="exact"/>
        <w:ind w:firstLine="480"/>
        <w:rPr>
          <w:rFonts w:eastAsia="宋体" w:cs="宋体"/>
        </w:rPr>
      </w:pPr>
      <w:r>
        <w:rPr>
          <w:rFonts w:hint="eastAsia" w:eastAsia="宋体" w:cs="宋体"/>
        </w:rPr>
        <w:t>（8）报价超过招标文件中规定的项目预算或者最高限价的；</w:t>
      </w:r>
    </w:p>
    <w:p w14:paraId="4BC4DD84">
      <w:pPr>
        <w:spacing w:line="600" w:lineRule="exact"/>
        <w:ind w:firstLine="480"/>
        <w:rPr>
          <w:rFonts w:eastAsia="宋体" w:cs="宋体"/>
        </w:rPr>
      </w:pPr>
      <w:r>
        <w:rPr>
          <w:rFonts w:hint="eastAsia" w:eastAsia="宋体" w:cs="宋体"/>
        </w:rPr>
        <w:t>（9）投标文件含有采购人不能接受的附加条件的；</w:t>
      </w:r>
    </w:p>
    <w:p w14:paraId="429B9B82">
      <w:pPr>
        <w:spacing w:line="600" w:lineRule="exact"/>
        <w:ind w:firstLine="480"/>
        <w:rPr>
          <w:rFonts w:eastAsia="宋体" w:cs="宋体"/>
        </w:rPr>
      </w:pPr>
      <w:r>
        <w:rPr>
          <w:rFonts w:hint="eastAsia" w:eastAsia="宋体" w:cs="宋体"/>
        </w:rPr>
        <w:t>（10）不同投标人的法定代表人或委托代理人有夫妻、直系血亲关系的；</w:t>
      </w:r>
    </w:p>
    <w:p w14:paraId="0C353B73">
      <w:pPr>
        <w:spacing w:line="600" w:lineRule="exact"/>
        <w:ind w:firstLine="480"/>
        <w:rPr>
          <w:rFonts w:eastAsia="宋体" w:cs="宋体"/>
        </w:rPr>
      </w:pPr>
      <w:r>
        <w:rPr>
          <w:rFonts w:hint="eastAsia" w:eastAsia="宋体" w:cs="宋体"/>
        </w:rPr>
        <w:t>（11）不同投标人的负责人为同一人或者存在控股、管理关系的；</w:t>
      </w:r>
    </w:p>
    <w:p w14:paraId="544EA6D1">
      <w:pPr>
        <w:spacing w:line="600" w:lineRule="exact"/>
        <w:ind w:firstLine="480"/>
        <w:rPr>
          <w:rFonts w:eastAsia="宋体" w:cs="宋体"/>
        </w:rPr>
      </w:pPr>
      <w:r>
        <w:rPr>
          <w:rFonts w:hint="eastAsia" w:eastAsia="宋体" w:cs="宋体"/>
        </w:rPr>
        <w:t>（12）不同投标人的委托代理人</w:t>
      </w:r>
      <w:r>
        <w:rPr>
          <w:rFonts w:hint="eastAsia" w:cs="宋体"/>
          <w:lang w:eastAsia="zh-CN"/>
        </w:rPr>
        <w:t>（</w:t>
      </w:r>
      <w:r>
        <w:rPr>
          <w:rFonts w:hint="eastAsia" w:eastAsia="宋体" w:cs="宋体"/>
        </w:rPr>
        <w:t>或法定代表人、项目经理、项目总监、项目负责人等</w:t>
      </w:r>
      <w:r>
        <w:rPr>
          <w:rFonts w:hint="eastAsia" w:cs="宋体"/>
          <w:lang w:eastAsia="zh-CN"/>
        </w:rPr>
        <w:t>）</w:t>
      </w:r>
      <w:r>
        <w:rPr>
          <w:rFonts w:hint="eastAsia" w:eastAsia="宋体" w:cs="宋体"/>
        </w:rPr>
        <w:t>在采购文件发布日上月至投标截止日当月在同一单位缴纳社会保险的；</w:t>
      </w:r>
    </w:p>
    <w:p w14:paraId="185C595A">
      <w:pPr>
        <w:spacing w:line="600" w:lineRule="exact"/>
        <w:ind w:firstLine="480"/>
        <w:rPr>
          <w:rFonts w:eastAsia="宋体" w:cs="宋体"/>
        </w:rPr>
      </w:pPr>
      <w:r>
        <w:rPr>
          <w:rFonts w:hint="eastAsia" w:eastAsia="宋体" w:cs="宋体"/>
        </w:rPr>
        <w:t>（13）法律、法规和招标文件规定的其他无效情形。</w:t>
      </w:r>
    </w:p>
    <w:p w14:paraId="2895D030">
      <w:pPr>
        <w:spacing w:line="600" w:lineRule="exact"/>
        <w:ind w:firstLine="480"/>
        <w:rPr>
          <w:rFonts w:eastAsia="宋体" w:cs="宋体"/>
        </w:rPr>
      </w:pPr>
      <w:r>
        <w:rPr>
          <w:rFonts w:hint="eastAsia" w:eastAsia="宋体" w:cs="宋体"/>
        </w:rPr>
        <w:t>23.2.2.2 在评标期间，出现符合专业条件的投标人或者对招标文件作出实质性响应的投标人不足三家情形的，比照本章 22.9 规定要求执行。</w:t>
      </w:r>
    </w:p>
    <w:p w14:paraId="6B2ABCCC">
      <w:pPr>
        <w:spacing w:line="600" w:lineRule="exact"/>
        <w:ind w:firstLine="480"/>
        <w:rPr>
          <w:rFonts w:eastAsia="宋体" w:cs="宋体"/>
        </w:rPr>
      </w:pPr>
      <w:r>
        <w:rPr>
          <w:rFonts w:hint="eastAsia" w:eastAsia="宋体" w:cs="宋体"/>
        </w:rPr>
        <w:t>23.2.3澄清有关问题。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14:paraId="5A65FBE3">
      <w:pPr>
        <w:spacing w:line="600" w:lineRule="exact"/>
        <w:ind w:firstLine="480"/>
        <w:rPr>
          <w:rFonts w:eastAsia="宋体" w:cs="宋体"/>
        </w:rPr>
      </w:pPr>
      <w:r>
        <w:rPr>
          <w:rFonts w:hint="eastAsia" w:eastAsia="宋体" w:cs="宋体"/>
        </w:rPr>
        <w:t>23.2.4比较与评价。评标委员会应当按照招标文件中规定的评标方法和标准，对符合性审查合格的投标文件进行商务和技术评估，综合比较与评价。</w:t>
      </w:r>
    </w:p>
    <w:p w14:paraId="2A64D162">
      <w:pPr>
        <w:spacing w:line="600" w:lineRule="exact"/>
        <w:ind w:firstLine="480"/>
        <w:rPr>
          <w:rFonts w:eastAsia="宋体" w:cs="宋体"/>
        </w:rPr>
      </w:pPr>
      <w:r>
        <w:rPr>
          <w:rFonts w:hint="eastAsia" w:eastAsia="宋体" w:cs="宋体"/>
        </w:rPr>
        <w:t>23.3评标方法和标准</w:t>
      </w:r>
    </w:p>
    <w:p w14:paraId="26BC7D99">
      <w:pPr>
        <w:spacing w:line="600" w:lineRule="exact"/>
        <w:ind w:firstLine="480"/>
        <w:rPr>
          <w:rFonts w:eastAsia="宋体" w:cs="宋体"/>
        </w:rPr>
      </w:pPr>
      <w:r>
        <w:rPr>
          <w:rFonts w:hint="eastAsia" w:eastAsia="宋体" w:cs="宋体"/>
        </w:rPr>
        <w:t>23.3.1采用综合评分法。即投标文件满足招标文件全部实质性要求，且按照评审因素的量化指标评审得分最高的投标人为中标候选人的评标方法。</w:t>
      </w:r>
    </w:p>
    <w:p w14:paraId="1F731949">
      <w:pPr>
        <w:spacing w:line="600" w:lineRule="exact"/>
        <w:ind w:firstLine="480"/>
        <w:rPr>
          <w:rFonts w:eastAsia="宋体" w:cs="宋体"/>
        </w:rPr>
      </w:pPr>
      <w:r>
        <w:rPr>
          <w:rFonts w:hint="eastAsia" w:eastAsia="宋体" w:cs="宋体"/>
        </w:rPr>
        <w:t>23.3.2评标标准及评审因素详见采购文件第</w:t>
      </w:r>
      <w:r>
        <w:rPr>
          <w:rFonts w:hint="eastAsia" w:cs="宋体"/>
          <w:lang w:eastAsia="zh-CN"/>
        </w:rPr>
        <w:t>三</w:t>
      </w:r>
      <w:r>
        <w:rPr>
          <w:rFonts w:hint="eastAsia" w:eastAsia="宋体" w:cs="宋体"/>
        </w:rPr>
        <w:t>章。</w:t>
      </w:r>
    </w:p>
    <w:p w14:paraId="4570645B">
      <w:pPr>
        <w:spacing w:line="600" w:lineRule="exact"/>
        <w:ind w:firstLine="480"/>
        <w:rPr>
          <w:rFonts w:eastAsia="宋体" w:cs="宋体"/>
        </w:rPr>
      </w:pPr>
      <w:r>
        <w:rPr>
          <w:rFonts w:hint="eastAsia" w:eastAsia="宋体" w:cs="宋体"/>
        </w:rPr>
        <w:t>23.4特别说明</w:t>
      </w:r>
    </w:p>
    <w:p w14:paraId="1B3D9378">
      <w:pPr>
        <w:spacing w:line="600" w:lineRule="exact"/>
        <w:ind w:firstLine="480"/>
        <w:rPr>
          <w:rFonts w:eastAsia="宋体" w:cs="宋体"/>
        </w:rPr>
      </w:pPr>
      <w:r>
        <w:rPr>
          <w:rFonts w:hint="eastAsia" w:eastAsia="宋体" w:cs="宋体"/>
        </w:rPr>
        <w:t>23.4.1评标委员会认为投标人的报价明显低于其他通过符合性审查投标人的报价，有可能影响服务质量或者不能诚信履约的，投标人应在评标现场合理的时间内提供书面说明，必要时提交相关证明材料；投标人不能证明其报价合理性的，评标委员会将其作为无效投标处理。</w:t>
      </w:r>
    </w:p>
    <w:p w14:paraId="6D581214">
      <w:pPr>
        <w:spacing w:line="600" w:lineRule="exact"/>
        <w:ind w:firstLine="480"/>
        <w:rPr>
          <w:rFonts w:eastAsia="宋体" w:cs="宋体"/>
        </w:rPr>
      </w:pPr>
      <w:r>
        <w:rPr>
          <w:rFonts w:hint="eastAsia" w:eastAsia="宋体" w:cs="宋体"/>
        </w:rPr>
        <w:t>23.4.2如发生上述情形的，投标人应保持其投标文件上联系方式的通讯畅通；投标人法定代表人或授权代表也可以直接在开标大厅等候。如代理机构或评标委员会联系未果（在十分钟内联系五次）或者投标人在二十分钟内未按时提交书面说明，则视为投标人放弃上述权利，评标委员会将其作为无效投标处理。</w:t>
      </w:r>
    </w:p>
    <w:p w14:paraId="2C8579D1">
      <w:pPr>
        <w:spacing w:line="600" w:lineRule="exact"/>
        <w:ind w:firstLine="480"/>
        <w:rPr>
          <w:rFonts w:eastAsia="宋体" w:cs="宋体"/>
        </w:rPr>
      </w:pPr>
      <w:r>
        <w:rPr>
          <w:rFonts w:hint="eastAsia" w:eastAsia="宋体" w:cs="宋体"/>
        </w:rPr>
        <w:t>24、确定中标候选人</w:t>
      </w:r>
    </w:p>
    <w:p w14:paraId="11B4D1CE">
      <w:pPr>
        <w:spacing w:line="600" w:lineRule="exact"/>
        <w:ind w:firstLine="480"/>
        <w:rPr>
          <w:rFonts w:eastAsia="宋体" w:cs="宋体"/>
        </w:rPr>
      </w:pPr>
      <w:r>
        <w:rPr>
          <w:rFonts w:hint="eastAsia" w:eastAsia="宋体" w:cs="宋体"/>
        </w:rPr>
        <w:t>24.1评标时，评标委员会各成员将独立对每个投标人的投标文件进行评价，并汇总每个投标人的得分。</w:t>
      </w:r>
    </w:p>
    <w:p w14:paraId="00DD22FB">
      <w:pPr>
        <w:spacing w:line="600" w:lineRule="exact"/>
        <w:ind w:firstLine="480"/>
        <w:rPr>
          <w:rFonts w:eastAsia="宋体" w:cs="宋体"/>
        </w:rPr>
      </w:pPr>
      <w:r>
        <w:rPr>
          <w:rFonts w:hint="eastAsia" w:eastAsia="宋体" w:cs="宋体"/>
        </w:rPr>
        <w:t>24.2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810590E">
      <w:pPr>
        <w:spacing w:line="600" w:lineRule="exact"/>
        <w:ind w:firstLine="480"/>
        <w:rPr>
          <w:rFonts w:eastAsia="宋体" w:cs="宋体"/>
        </w:rPr>
      </w:pPr>
      <w:r>
        <w:rPr>
          <w:rFonts w:hint="eastAsia" w:eastAsia="宋体" w:cs="宋体"/>
        </w:rPr>
        <w:t>24.3评标委员会根据全体评标成员签字的原始评标记录和评标结果编写评标报告。</w:t>
      </w:r>
    </w:p>
    <w:p w14:paraId="38901D95">
      <w:pPr>
        <w:spacing w:line="600" w:lineRule="exact"/>
        <w:ind w:firstLine="480"/>
        <w:rPr>
          <w:rFonts w:eastAsia="宋体" w:cs="宋体"/>
        </w:rPr>
      </w:pPr>
      <w:r>
        <w:rPr>
          <w:rFonts w:hint="eastAsia" w:eastAsia="宋体" w:cs="宋体"/>
        </w:rPr>
        <w:t>25、确定中标人</w:t>
      </w:r>
    </w:p>
    <w:p w14:paraId="605D4D89">
      <w:pPr>
        <w:spacing w:line="600" w:lineRule="exact"/>
        <w:ind w:firstLine="480"/>
        <w:rPr>
          <w:rFonts w:eastAsia="宋体" w:cs="宋体"/>
        </w:rPr>
      </w:pPr>
      <w:r>
        <w:rPr>
          <w:rFonts w:hint="eastAsia" w:eastAsia="宋体" w:cs="宋体"/>
        </w:rPr>
        <w:t>25.1评标结果确定后，采购人在评标现场可根据中标候选人名单委托直接确定中标人。</w:t>
      </w:r>
    </w:p>
    <w:p w14:paraId="576A86F7">
      <w:pPr>
        <w:spacing w:line="600" w:lineRule="exact"/>
        <w:ind w:firstLine="480"/>
        <w:rPr>
          <w:rFonts w:eastAsia="宋体" w:cs="宋体"/>
        </w:rPr>
      </w:pPr>
      <w:r>
        <w:rPr>
          <w:rFonts w:hint="eastAsia" w:eastAsia="宋体" w:cs="宋体"/>
        </w:rPr>
        <w:t>25.2采购人如未委托直接确定中标人的，代理机构在评标结束后 2 个工作日内将评标报告送采购人。采购人在收到评标报告 5 个工作日内，在评标报告确定的中标候选人名单中按顺序确定中标人。中标候选人并列的，由采购人或者采购人委托评标委员会按照随机抽取的方式确定。</w:t>
      </w:r>
    </w:p>
    <w:p w14:paraId="28D38459">
      <w:pPr>
        <w:spacing w:line="600" w:lineRule="exact"/>
        <w:ind w:firstLine="480"/>
        <w:rPr>
          <w:rFonts w:eastAsia="宋体" w:cs="宋体"/>
        </w:rPr>
      </w:pPr>
      <w:r>
        <w:rPr>
          <w:rFonts w:hint="eastAsia" w:eastAsia="宋体" w:cs="宋体"/>
        </w:rPr>
        <w:t>25.3代理机构自中标人确定之日起 2 个工作日内，将中标结果在原采购公告发布媒体进行公示，公告期限为1个工作日，公告的同时向中标人发出中标通知书。</w:t>
      </w:r>
    </w:p>
    <w:p w14:paraId="05FB035D">
      <w:pPr>
        <w:widowControl w:val="0"/>
        <w:adjustRightInd/>
        <w:snapToGrid/>
        <w:spacing w:line="600" w:lineRule="exact"/>
        <w:ind w:firstLine="482"/>
        <w:jc w:val="both"/>
        <w:rPr>
          <w:rFonts w:ascii="宋体" w:hAnsi="宋体" w:eastAsia="宋体" w:cs="Times New Roman"/>
          <w:b/>
          <w:bCs/>
          <w:kern w:val="2"/>
          <w:szCs w:val="24"/>
        </w:rPr>
      </w:pPr>
      <w:r>
        <w:rPr>
          <w:rFonts w:hint="eastAsia" w:ascii="宋体" w:hAnsi="宋体" w:eastAsia="宋体" w:cs="Times New Roman"/>
          <w:b/>
          <w:bCs/>
          <w:kern w:val="2"/>
          <w:szCs w:val="24"/>
        </w:rPr>
        <w:t>25.4中标人将以下由承诺书替代的资格证明材料2份提交采购代理机构核验，经核验无误后</w:t>
      </w:r>
      <w:r>
        <w:rPr>
          <w:rFonts w:ascii="宋体" w:hAnsi="宋体" w:eastAsia="宋体" w:cs="Times New Roman"/>
          <w:b/>
          <w:bCs/>
          <w:kern w:val="2"/>
          <w:szCs w:val="24"/>
        </w:rPr>
        <w:t>到采购</w:t>
      </w:r>
      <w:r>
        <w:rPr>
          <w:rFonts w:hint="eastAsia" w:ascii="宋体" w:hAnsi="宋体" w:eastAsia="宋体" w:cs="Times New Roman"/>
          <w:b/>
          <w:bCs/>
          <w:kern w:val="2"/>
          <w:szCs w:val="24"/>
        </w:rPr>
        <w:t>代理机构</w:t>
      </w:r>
      <w:r>
        <w:rPr>
          <w:rFonts w:ascii="宋体" w:hAnsi="宋体" w:eastAsia="宋体" w:cs="Times New Roman"/>
          <w:b/>
          <w:bCs/>
          <w:kern w:val="2"/>
          <w:szCs w:val="24"/>
        </w:rPr>
        <w:t>处领取《中标通知书》。</w:t>
      </w:r>
    </w:p>
    <w:p w14:paraId="25776AC9">
      <w:pPr>
        <w:spacing w:line="600" w:lineRule="exact"/>
        <w:ind w:firstLine="482"/>
        <w:rPr>
          <w:rFonts w:ascii="宋体" w:hAnsi="宋体" w:eastAsia="宋体" w:cs="Times New Roman"/>
          <w:b/>
          <w:bCs/>
          <w:szCs w:val="24"/>
        </w:rPr>
      </w:pPr>
      <w:r>
        <w:rPr>
          <w:rFonts w:hint="eastAsia" w:ascii="宋体" w:hAnsi="宋体" w:eastAsia="宋体" w:cs="Times New Roman"/>
          <w:b/>
          <w:bCs/>
          <w:szCs w:val="24"/>
        </w:rPr>
        <w:t>（1）具有独立承担民事责任的能力（</w:t>
      </w:r>
      <w:r>
        <w:rPr>
          <w:rFonts w:hint="eastAsia" w:ascii="宋体" w:hAnsi="宋体" w:eastAsia="宋体" w:cs="Times New Roman"/>
          <w:b/>
          <w:bCs/>
          <w:szCs w:val="24"/>
          <w:lang w:val="zh-CN"/>
        </w:rPr>
        <w:t>提供法人或者其他组织的营业执照并加盖公章；投标人为自然人的，提供其身份证并加盖公章</w:t>
      </w:r>
      <w:r>
        <w:rPr>
          <w:rFonts w:hint="eastAsia" w:ascii="宋体" w:hAnsi="宋体" w:eastAsia="宋体" w:cs="Times New Roman"/>
          <w:b/>
          <w:bCs/>
          <w:szCs w:val="24"/>
        </w:rPr>
        <w:t>）；</w:t>
      </w:r>
    </w:p>
    <w:p w14:paraId="07A53D8C">
      <w:pPr>
        <w:spacing w:line="600" w:lineRule="exact"/>
        <w:ind w:firstLine="482"/>
        <w:rPr>
          <w:rFonts w:ascii="宋体" w:hAnsi="宋体" w:eastAsia="宋体" w:cs="Times New Roman"/>
          <w:b/>
          <w:bCs/>
          <w:szCs w:val="24"/>
        </w:rPr>
      </w:pPr>
      <w:r>
        <w:rPr>
          <w:rFonts w:hint="eastAsia" w:ascii="宋体" w:hAnsi="宋体" w:eastAsia="宋体" w:cs="Times New Roman"/>
          <w:b/>
          <w:bCs/>
          <w:szCs w:val="24"/>
        </w:rPr>
        <w:t>（2）具有良好的商业信誉和健全的财务会计制度（</w:t>
      </w:r>
      <w:r>
        <w:rPr>
          <w:rFonts w:hint="eastAsia" w:ascii="宋体" w:hAnsi="宋体" w:eastAsia="宋体" w:cs="Times New Roman"/>
          <w:b/>
          <w:bCs/>
          <w:szCs w:val="24"/>
          <w:lang w:val="zh-CN"/>
        </w:rPr>
        <w:t>提供</w:t>
      </w:r>
      <w:r>
        <w:rPr>
          <w:rFonts w:hint="eastAsia" w:ascii="宋体" w:hAnsi="宋体" w:cs="Times New Roman"/>
          <w:b/>
          <w:bCs/>
          <w:szCs w:val="24"/>
          <w:lang w:val="en-US" w:eastAsia="zh-CN"/>
        </w:rPr>
        <w:t>2024年度</w:t>
      </w:r>
      <w:r>
        <w:rPr>
          <w:rFonts w:hint="eastAsia" w:ascii="宋体" w:hAnsi="宋体" w:eastAsia="宋体" w:cs="Times New Roman"/>
          <w:b/>
          <w:bCs/>
          <w:szCs w:val="24"/>
          <w:lang w:val="zh-CN"/>
        </w:rPr>
        <w:t>经审计的财务报告，或投标前一个月的其他会计报表等并加盖公章（其他会计报表至少包括资产负债表、利润表、现金流量表，但属于《中小企业划型标准规定》的小企业（含小型、微型）编制的会计报表可以不包括现金流量表，加盖公章）</w:t>
      </w:r>
      <w:r>
        <w:rPr>
          <w:rFonts w:hint="eastAsia" w:ascii="宋体" w:hAnsi="宋体" w:eastAsia="宋体" w:cs="Times New Roman"/>
          <w:b/>
          <w:bCs/>
          <w:szCs w:val="24"/>
        </w:rPr>
        <w:t>；</w:t>
      </w:r>
    </w:p>
    <w:p w14:paraId="36095768">
      <w:pPr>
        <w:spacing w:line="600" w:lineRule="exact"/>
        <w:ind w:firstLine="482"/>
        <w:rPr>
          <w:rFonts w:ascii="宋体" w:hAnsi="宋体" w:eastAsia="宋体" w:cs="Times New Roman"/>
          <w:b/>
          <w:bCs/>
          <w:szCs w:val="24"/>
        </w:rPr>
      </w:pPr>
      <w:r>
        <w:rPr>
          <w:rFonts w:hint="eastAsia" w:ascii="宋体" w:hAnsi="宋体" w:eastAsia="宋体" w:cs="Times New Roman"/>
          <w:b/>
          <w:bCs/>
          <w:szCs w:val="24"/>
        </w:rPr>
        <w:t>（3）具有履行合同所必需的设备和专业技术能力（根据项目需求提供履行合同所必需的设备和专业技术能力的证明材料或相关加盖公章的承诺函）；</w:t>
      </w:r>
    </w:p>
    <w:p w14:paraId="1479725B">
      <w:pPr>
        <w:spacing w:line="600" w:lineRule="exact"/>
        <w:ind w:firstLine="482"/>
        <w:rPr>
          <w:rFonts w:ascii="宋体" w:hAnsi="宋体" w:eastAsia="宋体" w:cs="Times New Roman"/>
          <w:b/>
          <w:bCs/>
          <w:szCs w:val="24"/>
        </w:rPr>
      </w:pPr>
      <w:r>
        <w:rPr>
          <w:rFonts w:hint="eastAsia" w:ascii="宋体" w:hAnsi="宋体" w:eastAsia="宋体" w:cs="Times New Roman"/>
          <w:b/>
          <w:bCs/>
          <w:szCs w:val="24"/>
        </w:rPr>
        <w:t>（4）有依法缴纳税收和社会保障资金的良好记录（提供参加本次政府采购活动前半年内至少一个月缴纳增值税，或营业税，或企业所得税的凭据；并提供缴纳社会保险的凭据（专用收据或社会保险缴纳清单）加盖公章）；</w:t>
      </w:r>
    </w:p>
    <w:p w14:paraId="096F53B6">
      <w:pPr>
        <w:spacing w:line="600" w:lineRule="exact"/>
        <w:ind w:firstLine="482"/>
        <w:rPr>
          <w:rFonts w:ascii="宋体" w:hAnsi="宋体" w:eastAsia="宋体" w:cs="Times New Roman"/>
          <w:b/>
          <w:bCs/>
          <w:szCs w:val="24"/>
        </w:rPr>
      </w:pPr>
      <w:r>
        <w:rPr>
          <w:rFonts w:hint="eastAsia" w:ascii="宋体" w:hAnsi="宋体" w:eastAsia="宋体" w:cs="Times New Roman"/>
          <w:b/>
          <w:bCs/>
          <w:szCs w:val="24"/>
        </w:rPr>
        <w:t>（5）参加政府采购活动前三年内，在经营活动中没有重大违法记录（提供书面声明并加盖公章）；</w:t>
      </w:r>
    </w:p>
    <w:p w14:paraId="2251CA5E">
      <w:pPr>
        <w:widowControl w:val="0"/>
        <w:autoSpaceDE w:val="0"/>
        <w:autoSpaceDN w:val="0"/>
        <w:adjustRightInd w:val="0"/>
        <w:spacing w:line="600" w:lineRule="exact"/>
        <w:ind w:firstLine="482" w:firstLineChars="200"/>
        <w:rPr>
          <w:rFonts w:ascii="宋体" w:hAnsi="宋体" w:eastAsia="宋体" w:cs="宋体"/>
          <w:color w:val="000000"/>
          <w:sz w:val="24"/>
          <w:szCs w:val="24"/>
          <w:lang w:val="en-US" w:eastAsia="zh-CN" w:bidi="ar-SA"/>
        </w:rPr>
      </w:pPr>
      <w:r>
        <w:rPr>
          <w:rFonts w:hint="eastAsia" w:ascii="宋体" w:hAnsi="宋体" w:eastAsia="宋体" w:cs="Times New Roman"/>
          <w:b/>
          <w:bCs/>
          <w:color w:val="000000"/>
          <w:sz w:val="24"/>
          <w:szCs w:val="24"/>
          <w:lang w:val="en-US" w:eastAsia="zh-CN" w:bidi="ar-SA"/>
        </w:rPr>
        <w:t>（6）法律、行政法规规定的其他条件：无。</w:t>
      </w:r>
    </w:p>
    <w:p w14:paraId="5BF0135B">
      <w:pPr>
        <w:spacing w:line="600" w:lineRule="exact"/>
        <w:ind w:firstLine="480"/>
        <w:rPr>
          <w:rFonts w:eastAsia="宋体" w:cs="宋体"/>
        </w:rPr>
      </w:pPr>
      <w:r>
        <w:rPr>
          <w:rFonts w:hint="eastAsia" w:eastAsia="宋体" w:cs="宋体"/>
        </w:rPr>
        <w:t>25.5所有投标文件都将作为档案保存，不论中标与否，代理机构均不退回。</w:t>
      </w:r>
    </w:p>
    <w:p w14:paraId="484E4C2C">
      <w:pPr>
        <w:spacing w:line="600" w:lineRule="exact"/>
        <w:ind w:firstLine="480"/>
        <w:rPr>
          <w:rFonts w:eastAsia="宋体" w:cs="宋体"/>
        </w:rPr>
      </w:pPr>
      <w:r>
        <w:rPr>
          <w:rFonts w:hint="eastAsia" w:eastAsia="宋体" w:cs="宋体"/>
        </w:rPr>
        <w:t>26、评标过程的保密性</w:t>
      </w:r>
    </w:p>
    <w:p w14:paraId="1F73B053">
      <w:pPr>
        <w:spacing w:line="600" w:lineRule="exact"/>
        <w:ind w:firstLine="480"/>
        <w:rPr>
          <w:rFonts w:eastAsia="宋体" w:cs="宋体"/>
        </w:rPr>
      </w:pPr>
      <w:r>
        <w:rPr>
          <w:rFonts w:hint="eastAsia" w:eastAsia="宋体" w:cs="宋体"/>
        </w:rPr>
        <w:t>26.1代理机构将采取必要措施，保证评标在严格保密的情况下进行。</w:t>
      </w:r>
    </w:p>
    <w:p w14:paraId="52B25583">
      <w:pPr>
        <w:spacing w:line="600" w:lineRule="exact"/>
        <w:ind w:firstLine="480"/>
        <w:rPr>
          <w:rFonts w:eastAsia="宋体" w:cs="宋体"/>
        </w:rPr>
      </w:pPr>
      <w:r>
        <w:rPr>
          <w:rFonts w:hint="eastAsia" w:eastAsia="宋体" w:cs="宋体"/>
        </w:rPr>
        <w:t>26.2除采购人代表、评标现场组织人员外，采购人的其他工作人员以及与评标工作无关的人员不得进入评标现场。</w:t>
      </w:r>
    </w:p>
    <w:p w14:paraId="252DC09C">
      <w:pPr>
        <w:spacing w:line="600" w:lineRule="exact"/>
        <w:ind w:firstLine="480"/>
        <w:rPr>
          <w:rFonts w:eastAsia="宋体" w:cs="宋体"/>
        </w:rPr>
      </w:pPr>
      <w:r>
        <w:rPr>
          <w:rFonts w:hint="eastAsia" w:eastAsia="宋体" w:cs="宋体"/>
        </w:rPr>
        <w:t>26.3有关人员对评标情况以及在评标过程中获悉的国家秘密、商业秘密负有保密责任。</w:t>
      </w:r>
    </w:p>
    <w:p w14:paraId="3632361C">
      <w:pPr>
        <w:spacing w:line="600" w:lineRule="exact"/>
        <w:ind w:firstLine="480"/>
        <w:rPr>
          <w:rFonts w:eastAsia="宋体" w:cs="宋体"/>
        </w:rPr>
      </w:pPr>
      <w:r>
        <w:rPr>
          <w:rFonts w:hint="eastAsia" w:eastAsia="宋体" w:cs="宋体"/>
        </w:rPr>
        <w:t>五、签订合同</w:t>
      </w:r>
    </w:p>
    <w:p w14:paraId="3F28B2EE">
      <w:pPr>
        <w:spacing w:line="600" w:lineRule="exact"/>
        <w:ind w:firstLine="480"/>
        <w:rPr>
          <w:rFonts w:eastAsia="宋体" w:cs="宋体"/>
        </w:rPr>
      </w:pPr>
      <w:r>
        <w:rPr>
          <w:rFonts w:hint="eastAsia" w:eastAsia="宋体" w:cs="宋体"/>
        </w:rPr>
        <w:t>27、签订合同</w:t>
      </w:r>
    </w:p>
    <w:p w14:paraId="3D4BB6A5">
      <w:pPr>
        <w:spacing w:line="600" w:lineRule="exact"/>
        <w:ind w:firstLine="480"/>
        <w:rPr>
          <w:rFonts w:eastAsia="宋体" w:cs="宋体"/>
        </w:rPr>
      </w:pPr>
      <w:r>
        <w:rPr>
          <w:rFonts w:hint="eastAsia" w:eastAsia="宋体" w:cs="宋体"/>
        </w:rPr>
        <w:t>27.1中标人应当自中标通知书发出之日起30日内，按照招标文件和其投标文件的规定，与采购人签订政府采购合同。所签订的合同不得对招标文件确定的事项和中标人投标文件作实质性修改。</w:t>
      </w:r>
    </w:p>
    <w:p w14:paraId="352B2CD4">
      <w:pPr>
        <w:spacing w:line="600" w:lineRule="exact"/>
        <w:ind w:firstLine="480"/>
        <w:rPr>
          <w:rFonts w:eastAsia="宋体" w:cs="宋体"/>
        </w:rPr>
      </w:pPr>
      <w:r>
        <w:rPr>
          <w:rFonts w:hint="eastAsia" w:eastAsia="宋体" w:cs="宋体"/>
        </w:rPr>
        <w:t>27.2中标通知书对采购人和中标人均具有法律效力。</w:t>
      </w:r>
    </w:p>
    <w:p w14:paraId="4E479E5C">
      <w:pPr>
        <w:spacing w:line="600" w:lineRule="exact"/>
        <w:ind w:firstLine="480"/>
        <w:rPr>
          <w:rFonts w:eastAsia="宋体" w:cs="宋体"/>
        </w:rPr>
      </w:pPr>
      <w:r>
        <w:rPr>
          <w:rFonts w:hint="eastAsia" w:eastAsia="宋体" w:cs="宋体"/>
        </w:rPr>
        <w:t>27.3采购人不得向中标人提出任何不合理的要求作为签订合同的条件。</w:t>
      </w:r>
    </w:p>
    <w:p w14:paraId="3CF3AEAF">
      <w:pPr>
        <w:spacing w:line="600" w:lineRule="exact"/>
        <w:ind w:firstLine="480"/>
        <w:rPr>
          <w:rFonts w:eastAsia="宋体" w:cs="宋体"/>
        </w:rPr>
      </w:pPr>
      <w:r>
        <w:rPr>
          <w:rFonts w:hint="eastAsia" w:eastAsia="宋体" w:cs="宋体"/>
        </w:rPr>
        <w:t>27.4中标人拒绝与采购人签订合同的，采购人可以按照评审报告推荐的中标候选人名单排序，确定下一候选人为中标人，也可以重新开展政府采购活动。</w:t>
      </w:r>
    </w:p>
    <w:p w14:paraId="312A813E">
      <w:pPr>
        <w:spacing w:line="600" w:lineRule="exact"/>
        <w:ind w:firstLine="480"/>
        <w:rPr>
          <w:rFonts w:eastAsia="宋体" w:cs="宋体"/>
        </w:rPr>
      </w:pPr>
      <w:r>
        <w:rPr>
          <w:rFonts w:hint="eastAsia" w:eastAsia="宋体" w:cs="宋体"/>
        </w:rPr>
        <w:t>27.5中标通知书发出后，中标人无正当理由拒绝与采购人签订合同的，情节严重的，财政部门将其列入不良行为记录名单，在一至三年内不得参加南京市政府采购活动，并予以通报。</w:t>
      </w:r>
    </w:p>
    <w:p w14:paraId="452BA71E">
      <w:pPr>
        <w:spacing w:line="600" w:lineRule="exact"/>
        <w:ind w:firstLine="480"/>
        <w:rPr>
          <w:rFonts w:eastAsia="宋体" w:cs="宋体"/>
        </w:rPr>
      </w:pPr>
      <w:r>
        <w:rPr>
          <w:rFonts w:hint="eastAsia" w:eastAsia="宋体" w:cs="宋体"/>
        </w:rPr>
        <w:t>27.6政府采购合同履行中，采购人需追加与合同标的相同的货物的，在不改变合同其他条款的前提下，可以与投标人协商签订补充合同，但所有补充合同的采购金额不得超过原合同采购金额的百分之十。</w:t>
      </w:r>
    </w:p>
    <w:p w14:paraId="686CF534">
      <w:pPr>
        <w:spacing w:line="600" w:lineRule="exact"/>
        <w:ind w:firstLine="480"/>
        <w:rPr>
          <w:rFonts w:eastAsia="宋体" w:cs="宋体"/>
        </w:rPr>
      </w:pPr>
      <w:r>
        <w:rPr>
          <w:rFonts w:hint="eastAsia" w:eastAsia="宋体" w:cs="宋体"/>
        </w:rPr>
        <w:t>六、询问、质疑、投诉和诚实信用</w:t>
      </w:r>
    </w:p>
    <w:p w14:paraId="6FFACB50">
      <w:pPr>
        <w:spacing w:line="600" w:lineRule="exact"/>
        <w:ind w:firstLine="480"/>
        <w:rPr>
          <w:rFonts w:eastAsia="宋体" w:cs="宋体"/>
        </w:rPr>
      </w:pPr>
      <w:r>
        <w:rPr>
          <w:rFonts w:hint="eastAsia" w:eastAsia="宋体" w:cs="宋体"/>
        </w:rPr>
        <w:t>28.询问</w:t>
      </w:r>
    </w:p>
    <w:p w14:paraId="5ADC9230">
      <w:pPr>
        <w:spacing w:line="600" w:lineRule="exact"/>
        <w:ind w:firstLine="480"/>
        <w:rPr>
          <w:rFonts w:eastAsia="宋体" w:cs="宋体"/>
        </w:rPr>
      </w:pPr>
      <w:r>
        <w:rPr>
          <w:rFonts w:hint="eastAsia" w:eastAsia="宋体" w:cs="宋体"/>
        </w:rPr>
        <w:t>28.1投标人对招标活动事项有疑问的，可以依法向代理机构、采购人提出询问，采购人、代理机构在三个工作日内对投标人依法提出的询问作出答复，但答复的内容不涉及商业秘密。</w:t>
      </w:r>
    </w:p>
    <w:p w14:paraId="0EDB0792">
      <w:pPr>
        <w:spacing w:line="600" w:lineRule="exact"/>
        <w:ind w:firstLine="480"/>
        <w:rPr>
          <w:rFonts w:eastAsia="宋体" w:cs="宋体"/>
        </w:rPr>
      </w:pPr>
      <w:r>
        <w:rPr>
          <w:rFonts w:hint="eastAsia" w:eastAsia="宋体" w:cs="宋体"/>
        </w:rPr>
        <w:t>29、质疑</w:t>
      </w:r>
    </w:p>
    <w:p w14:paraId="06C696DA">
      <w:pPr>
        <w:spacing w:line="600" w:lineRule="exact"/>
        <w:ind w:firstLine="480"/>
        <w:rPr>
          <w:rFonts w:eastAsia="宋体" w:cs="宋体"/>
        </w:rPr>
      </w:pPr>
      <w:r>
        <w:rPr>
          <w:rFonts w:hint="eastAsia" w:eastAsia="宋体" w:cs="宋体"/>
        </w:rPr>
        <w:t>29.1投标人认为采购文件、采购过程、中标结果使自己的权益受到损害的，可以在知道或者应知其权益受到损害之日起七个工作日内，以书面形式向采购人、代理机构提出质疑。投标人应在法定质疑期内一次性提出针对同一采购程序环节的质疑。</w:t>
      </w:r>
    </w:p>
    <w:p w14:paraId="299CC186">
      <w:pPr>
        <w:spacing w:line="600" w:lineRule="exact"/>
        <w:ind w:firstLine="480"/>
        <w:rPr>
          <w:rFonts w:eastAsia="宋体" w:cs="宋体"/>
        </w:rPr>
      </w:pPr>
      <w:r>
        <w:rPr>
          <w:rFonts w:hint="eastAsia" w:eastAsia="宋体" w:cs="宋体"/>
        </w:rPr>
        <w:t>29.2质疑文件应包括以下主要内容，并按照“谁主张、谁举证”的原则，附上相关证明材料。否则，代理机构不予受理：</w:t>
      </w:r>
    </w:p>
    <w:p w14:paraId="6F31647D">
      <w:pPr>
        <w:spacing w:line="600" w:lineRule="exact"/>
        <w:ind w:firstLine="480"/>
        <w:rPr>
          <w:rFonts w:eastAsia="宋体" w:cs="宋体"/>
        </w:rPr>
      </w:pPr>
      <w:r>
        <w:rPr>
          <w:rFonts w:hint="eastAsia" w:eastAsia="宋体" w:cs="宋体"/>
        </w:rPr>
        <w:t>（1）质疑投标人的姓名或者名称、地址、邮编、联系人及联系电话；</w:t>
      </w:r>
    </w:p>
    <w:p w14:paraId="4F1E80D1">
      <w:pPr>
        <w:spacing w:line="600" w:lineRule="exact"/>
        <w:ind w:firstLine="480"/>
        <w:rPr>
          <w:rFonts w:eastAsia="宋体" w:cs="宋体"/>
        </w:rPr>
      </w:pPr>
      <w:r>
        <w:rPr>
          <w:rFonts w:hint="eastAsia" w:eastAsia="宋体" w:cs="宋体"/>
        </w:rPr>
        <w:t>（2）质疑项目的名称、编号、公告发布时间、开标时间；</w:t>
      </w:r>
    </w:p>
    <w:p w14:paraId="01333D92">
      <w:pPr>
        <w:spacing w:line="600" w:lineRule="exact"/>
        <w:ind w:firstLine="480"/>
        <w:rPr>
          <w:rFonts w:eastAsia="宋体" w:cs="宋体"/>
        </w:rPr>
      </w:pPr>
      <w:r>
        <w:rPr>
          <w:rFonts w:hint="eastAsia" w:eastAsia="宋体" w:cs="宋体"/>
        </w:rPr>
        <w:t>（3）具体、明确的质疑事项和与质疑事项相关的请求；</w:t>
      </w:r>
    </w:p>
    <w:p w14:paraId="03D232B4">
      <w:pPr>
        <w:spacing w:line="600" w:lineRule="exact"/>
        <w:ind w:firstLine="480"/>
        <w:rPr>
          <w:rFonts w:eastAsia="宋体" w:cs="宋体"/>
        </w:rPr>
      </w:pPr>
      <w:r>
        <w:rPr>
          <w:rFonts w:hint="eastAsia" w:eastAsia="宋体" w:cs="宋体"/>
        </w:rPr>
        <w:t>（4）事实依据；</w:t>
      </w:r>
    </w:p>
    <w:p w14:paraId="18D0FCB8">
      <w:pPr>
        <w:spacing w:line="600" w:lineRule="exact"/>
        <w:ind w:firstLine="480"/>
        <w:rPr>
          <w:rFonts w:eastAsia="宋体" w:cs="宋体"/>
        </w:rPr>
      </w:pPr>
      <w:r>
        <w:rPr>
          <w:rFonts w:hint="eastAsia" w:eastAsia="宋体" w:cs="宋体"/>
        </w:rPr>
        <w:t>（5）必要的法律依据；</w:t>
      </w:r>
    </w:p>
    <w:p w14:paraId="55A3C4F9">
      <w:pPr>
        <w:spacing w:line="600" w:lineRule="exact"/>
        <w:ind w:firstLine="480"/>
        <w:rPr>
          <w:rFonts w:eastAsia="宋体" w:cs="宋体"/>
        </w:rPr>
      </w:pPr>
      <w:r>
        <w:rPr>
          <w:rFonts w:hint="eastAsia" w:eastAsia="宋体" w:cs="宋体"/>
        </w:rPr>
        <w:t>（6）提出质疑的日期。</w:t>
      </w:r>
    </w:p>
    <w:p w14:paraId="279ECA7E">
      <w:pPr>
        <w:spacing w:line="600" w:lineRule="exact"/>
        <w:ind w:firstLine="480"/>
        <w:rPr>
          <w:rFonts w:eastAsia="宋体" w:cs="宋体"/>
        </w:rPr>
      </w:pPr>
      <w:r>
        <w:rPr>
          <w:rFonts w:hint="eastAsia" w:eastAsia="宋体" w:cs="宋体"/>
        </w:rPr>
        <w:t>（7）质疑投标人可以委托代理人进行质疑和投诉。其授权委托书应当载明代理人的姓名或者名称、代理事项、具体权限、期限和相关事项，代理人提出质疑和投诉，应当提交质疑投标人签署的授权委托书。</w:t>
      </w:r>
    </w:p>
    <w:p w14:paraId="58B7B4BE">
      <w:pPr>
        <w:spacing w:line="600" w:lineRule="exact"/>
        <w:ind w:firstLine="480"/>
        <w:rPr>
          <w:rFonts w:eastAsia="宋体" w:cs="宋体"/>
        </w:rPr>
      </w:pPr>
      <w:r>
        <w:rPr>
          <w:rFonts w:hint="eastAsia" w:eastAsia="宋体" w:cs="宋体"/>
        </w:rPr>
        <w:t>（8）质疑投标人为自然人的，应当由本人签字；投标人为法人或者其他组织的，应当由法定代表人、主要负责人，或者其授权代表签字或者盖章，并加盖公章。</w:t>
      </w:r>
    </w:p>
    <w:p w14:paraId="738DD94D">
      <w:pPr>
        <w:spacing w:line="600" w:lineRule="exact"/>
        <w:ind w:firstLine="480"/>
        <w:rPr>
          <w:rFonts w:eastAsia="宋体" w:cs="宋体"/>
        </w:rPr>
      </w:pPr>
      <w:r>
        <w:rPr>
          <w:rFonts w:hint="eastAsia" w:eastAsia="宋体" w:cs="宋体"/>
        </w:rPr>
        <w:t>29.3质疑的投标人是参与所质疑项目采购活动的投标人；对采购文件提出质疑的，应自投标人获得采购文件之日起计算，且应当在投标截止之日前提出；对采购过程提出质疑的，自采购程序环节结束之日起计算；对中标结果提出质疑的，自中标结果公告期限届满之日起计算。</w:t>
      </w:r>
    </w:p>
    <w:p w14:paraId="3D7B7FED">
      <w:pPr>
        <w:spacing w:line="600" w:lineRule="exact"/>
        <w:ind w:firstLine="480"/>
        <w:rPr>
          <w:rFonts w:eastAsia="宋体" w:cs="宋体"/>
        </w:rPr>
      </w:pPr>
      <w:r>
        <w:rPr>
          <w:rFonts w:hint="eastAsia" w:eastAsia="宋体" w:cs="宋体"/>
        </w:rPr>
        <w:t>29.4投标人提出的询问或者质疑超出采购人对代理机构委托授权范围的，投标人应向采购人提出。</w:t>
      </w:r>
    </w:p>
    <w:p w14:paraId="52CF309F">
      <w:pPr>
        <w:spacing w:line="600" w:lineRule="exact"/>
        <w:ind w:firstLine="480"/>
        <w:rPr>
          <w:rFonts w:eastAsia="宋体" w:cs="宋体"/>
        </w:rPr>
      </w:pPr>
      <w:r>
        <w:rPr>
          <w:rFonts w:hint="eastAsia" w:eastAsia="宋体" w:cs="宋体"/>
        </w:rPr>
        <w:t>29.5投标人不得虚假质疑和恶意质疑，并对质疑内容的真实性承担责任。投标人或者其他利害关系人通过捏造事实、伪造证明材料等方式提出异议或投诉，阻碍政府采购活动正常进行的，属于严重不良行为，代理机构将提请财政部门将其列入不良行为记录名单，并依法予以处罚。</w:t>
      </w:r>
    </w:p>
    <w:p w14:paraId="686667E6">
      <w:pPr>
        <w:spacing w:line="600" w:lineRule="exact"/>
        <w:ind w:firstLine="480"/>
        <w:rPr>
          <w:rFonts w:eastAsia="宋体" w:cs="宋体"/>
        </w:rPr>
      </w:pPr>
      <w:r>
        <w:rPr>
          <w:rFonts w:hint="eastAsia" w:eastAsia="宋体" w:cs="宋体"/>
        </w:rPr>
        <w:t>29.6代理机构在收到投标人的书面质疑后将及时组织调查核实，在七个工作日内作出答复，并以书面或电子邮件形式通知质疑投标人和其他有关投标人，答复的内容不涉及商业秘密。代理机构遵循“谁过错谁负担”的原则，有过错的一方承担调查论证费用。</w:t>
      </w:r>
    </w:p>
    <w:p w14:paraId="6DA5E929">
      <w:pPr>
        <w:spacing w:line="600" w:lineRule="exact"/>
        <w:ind w:firstLine="480"/>
        <w:rPr>
          <w:rFonts w:eastAsia="宋体" w:cs="宋体"/>
        </w:rPr>
      </w:pPr>
      <w:r>
        <w:rPr>
          <w:rFonts w:hint="eastAsia" w:eastAsia="宋体" w:cs="宋体"/>
        </w:rPr>
        <w:t>30、投诉</w:t>
      </w:r>
    </w:p>
    <w:p w14:paraId="62EE128E">
      <w:pPr>
        <w:spacing w:line="600" w:lineRule="exact"/>
        <w:ind w:firstLine="480"/>
        <w:rPr>
          <w:rFonts w:eastAsia="宋体" w:cs="宋体"/>
        </w:rPr>
      </w:pPr>
      <w:r>
        <w:rPr>
          <w:rFonts w:hint="eastAsia" w:eastAsia="宋体" w:cs="宋体"/>
        </w:rPr>
        <w:t>30.1质疑投标人对采购人、代理机构的答复不满意或者采购人、代理机构未在规定的时间内作出答复的，可以在答复期满后十五个工作日内向同级政府采购监督管理部门投诉。</w:t>
      </w:r>
    </w:p>
    <w:p w14:paraId="1CE28620">
      <w:pPr>
        <w:spacing w:line="600" w:lineRule="exact"/>
        <w:ind w:firstLine="480"/>
        <w:rPr>
          <w:rFonts w:eastAsia="宋体" w:cs="宋体"/>
        </w:rPr>
      </w:pPr>
      <w:r>
        <w:rPr>
          <w:rFonts w:hint="eastAsia" w:eastAsia="宋体" w:cs="宋体"/>
        </w:rPr>
        <w:t>31、诚实信用</w:t>
      </w:r>
    </w:p>
    <w:p w14:paraId="59C4D675">
      <w:pPr>
        <w:spacing w:line="600" w:lineRule="exact"/>
        <w:ind w:firstLine="480"/>
        <w:rPr>
          <w:rFonts w:eastAsia="宋体" w:cs="宋体"/>
        </w:rPr>
      </w:pPr>
      <w:r>
        <w:rPr>
          <w:rFonts w:hint="eastAsia" w:eastAsia="宋体" w:cs="宋体"/>
        </w:rPr>
        <w:t>31.1投标人之间不得相互串通投标报价，不得妨碍其他投标人的公平竞争，不得损害采购人和其他投标人的合法权益。</w:t>
      </w:r>
    </w:p>
    <w:p w14:paraId="1CC3B58D">
      <w:pPr>
        <w:spacing w:line="600" w:lineRule="exact"/>
        <w:ind w:firstLine="480"/>
        <w:rPr>
          <w:rFonts w:eastAsia="宋体" w:cs="宋体"/>
        </w:rPr>
      </w:pPr>
      <w:r>
        <w:rPr>
          <w:rFonts w:hint="eastAsia" w:eastAsia="宋体" w:cs="宋体"/>
        </w:rPr>
        <w:t>31.2投标人不得以向代理机构工作人员、评标委员会成员行贿或者采取其他不正当手段谋取中标。经查实投标人有此行为的，将提请政府采购监督管理部门将投标人列入不良行为记录名单，按照政府采购法有关规定处理。</w:t>
      </w:r>
    </w:p>
    <w:p w14:paraId="13F0E718">
      <w:pPr>
        <w:spacing w:line="600" w:lineRule="exact"/>
        <w:ind w:firstLine="480"/>
        <w:rPr>
          <w:rFonts w:eastAsia="宋体" w:cs="宋体"/>
        </w:rPr>
      </w:pPr>
      <w:r>
        <w:rPr>
          <w:rFonts w:hint="eastAsia" w:eastAsia="宋体" w:cs="宋体"/>
        </w:rPr>
        <w:t>31.3投标人不得虚假承诺，否则，按照提供虚假材料谋取中标成交处理。</w:t>
      </w:r>
    </w:p>
    <w:p w14:paraId="57650E98">
      <w:pPr>
        <w:spacing w:line="600" w:lineRule="exact"/>
        <w:ind w:firstLine="480"/>
        <w:rPr>
          <w:rFonts w:hint="eastAsia" w:eastAsia="宋体" w:cs="宋体"/>
        </w:rPr>
      </w:pPr>
      <w:r>
        <w:rPr>
          <w:rFonts w:hint="eastAsia" w:eastAsia="宋体" w:cs="宋体"/>
        </w:rPr>
        <w:t>投标人应自觉遵守开标、评标纪律，扰乱开标评标现场秩序的，属于失信行为，根据《南京市政府采购供应商信用管理工作暂行办法》，失信行为将被记入投标人诚信档案。</w:t>
      </w:r>
    </w:p>
    <w:p w14:paraId="09D1FC6A">
      <w:pPr>
        <w:spacing w:line="600" w:lineRule="exact"/>
        <w:ind w:firstLine="480"/>
        <w:rPr>
          <w:rFonts w:hint="eastAsia" w:eastAsia="宋体" w:cs="宋体"/>
        </w:rPr>
        <w:sectPr>
          <w:headerReference r:id="rId11" w:type="default"/>
          <w:pgSz w:w="11910" w:h="16840"/>
          <w:pgMar w:top="1080" w:right="1080" w:bottom="920" w:left="1100" w:header="880" w:footer="726" w:gutter="0"/>
          <w:cols w:space="720" w:num="1"/>
        </w:sectPr>
      </w:pPr>
    </w:p>
    <w:p w14:paraId="010679CE">
      <w:pPr>
        <w:pStyle w:val="2"/>
        <w:ind w:firstLine="723"/>
        <w:rPr>
          <w:rFonts w:eastAsia="宋体"/>
        </w:rPr>
      </w:pPr>
      <w:r>
        <w:rPr>
          <w:rFonts w:hint="eastAsia"/>
        </w:rPr>
        <w:t>第三章</w:t>
      </w:r>
      <w:r>
        <w:rPr>
          <w:rFonts w:hint="eastAsia"/>
          <w:lang w:val="en-US" w:eastAsia="zh-CN"/>
        </w:rPr>
        <w:t xml:space="preserve">  </w:t>
      </w:r>
      <w:r>
        <w:rPr>
          <w:rFonts w:hint="eastAsia"/>
        </w:rPr>
        <w:t>评分标准</w:t>
      </w:r>
    </w:p>
    <w:p w14:paraId="45C2FE02">
      <w:pPr>
        <w:pStyle w:val="422"/>
        <w:wordWrap w:val="0"/>
        <w:topLinePunct/>
        <w:snapToGrid w:val="0"/>
        <w:spacing w:line="240" w:lineRule="auto"/>
        <w:ind w:firstLine="480"/>
        <w:rPr>
          <w:rFonts w:ascii="宋体" w:hAnsi="宋体"/>
          <w:lang w:eastAsia="zh-CN"/>
        </w:rPr>
      </w:pPr>
      <w:r>
        <w:rPr>
          <w:rFonts w:hint="eastAsia" w:ascii="宋体" w:hAnsi="宋体"/>
          <w:lang w:eastAsia="zh-CN"/>
        </w:rPr>
        <w:t>采用综合评分法。综合评分法是指投标文件满足招标文件全部实质性要求，且按照评审因素的量化指标评审得分最高得投标人为中标供应商的评标方法。本次采购得分最高者为中标供应商，第二名为备选供应商，当中标供应商不能履行其义务时，由备选供应商顶替，成为新的中标供应商，也可重新组织采购。</w:t>
      </w:r>
    </w:p>
    <w:tbl>
      <w:tblPr>
        <w:tblStyle w:val="59"/>
        <w:tblpPr w:leftFromText="180" w:rightFromText="180" w:vertAnchor="text" w:horzAnchor="page" w:tblpX="1125" w:tblpY="271"/>
        <w:tblOverlap w:val="never"/>
        <w:tblW w:w="9724" w:type="dxa"/>
        <w:tblInd w:w="0" w:type="dxa"/>
        <w:tblLayout w:type="fixed"/>
        <w:tblCellMar>
          <w:top w:w="0" w:type="dxa"/>
          <w:left w:w="0" w:type="dxa"/>
          <w:bottom w:w="0" w:type="dxa"/>
          <w:right w:w="0" w:type="dxa"/>
        </w:tblCellMar>
      </w:tblPr>
      <w:tblGrid>
        <w:gridCol w:w="574"/>
        <w:gridCol w:w="565"/>
        <w:gridCol w:w="7969"/>
        <w:gridCol w:w="616"/>
      </w:tblGrid>
      <w:tr w14:paraId="2995CF80">
        <w:tblPrEx>
          <w:tblCellMar>
            <w:top w:w="0" w:type="dxa"/>
            <w:left w:w="0" w:type="dxa"/>
            <w:bottom w:w="0" w:type="dxa"/>
            <w:right w:w="0" w:type="dxa"/>
          </w:tblCellMar>
        </w:tblPrEx>
        <w:trPr>
          <w:trHeight w:val="720" w:hRule="exact"/>
        </w:trPr>
        <w:tc>
          <w:tcPr>
            <w:tcW w:w="574" w:type="dxa"/>
            <w:tcBorders>
              <w:top w:val="single" w:color="000000" w:sz="4" w:space="0"/>
              <w:left w:val="single" w:color="000000" w:sz="4" w:space="0"/>
              <w:bottom w:val="single" w:color="000000" w:sz="4" w:space="0"/>
              <w:right w:val="single" w:color="000000" w:sz="4" w:space="0"/>
            </w:tcBorders>
            <w:vAlign w:val="center"/>
          </w:tcPr>
          <w:p w14:paraId="4A1AD116">
            <w:pPr>
              <w:pStyle w:val="422"/>
              <w:kinsoku w:val="0"/>
              <w:overflowPunct w:val="0"/>
              <w:spacing w:line="240" w:lineRule="exact"/>
              <w:ind w:firstLine="0" w:firstLineChars="0"/>
              <w:jc w:val="center"/>
              <w:rPr>
                <w:rFonts w:ascii="宋体" w:hAnsi="宋体"/>
                <w:sz w:val="21"/>
                <w:szCs w:val="21"/>
              </w:rPr>
            </w:pPr>
            <w:r>
              <w:rPr>
                <w:rFonts w:hint="eastAsia" w:ascii="宋体" w:hAnsi="宋体"/>
                <w:spacing w:val="-1"/>
                <w:sz w:val="21"/>
                <w:szCs w:val="21"/>
              </w:rPr>
              <w:t>序号</w:t>
            </w:r>
          </w:p>
        </w:tc>
        <w:tc>
          <w:tcPr>
            <w:tcW w:w="565" w:type="dxa"/>
            <w:tcBorders>
              <w:top w:val="single" w:color="000000" w:sz="4" w:space="0"/>
              <w:left w:val="single" w:color="000000" w:sz="4" w:space="0"/>
              <w:bottom w:val="single" w:color="000000" w:sz="4" w:space="0"/>
              <w:right w:val="single" w:color="000000" w:sz="4" w:space="0"/>
            </w:tcBorders>
            <w:vAlign w:val="center"/>
          </w:tcPr>
          <w:p w14:paraId="65CB8F8D">
            <w:pPr>
              <w:pStyle w:val="422"/>
              <w:kinsoku w:val="0"/>
              <w:overflowPunct w:val="0"/>
              <w:spacing w:line="240" w:lineRule="exact"/>
              <w:ind w:firstLine="0" w:firstLineChars="0"/>
              <w:jc w:val="center"/>
              <w:rPr>
                <w:rFonts w:ascii="宋体" w:hAnsi="宋体"/>
                <w:sz w:val="21"/>
                <w:szCs w:val="21"/>
              </w:rPr>
            </w:pPr>
            <w:r>
              <w:rPr>
                <w:rFonts w:hint="eastAsia" w:ascii="宋体" w:hAnsi="宋体"/>
                <w:sz w:val="21"/>
                <w:szCs w:val="21"/>
              </w:rPr>
              <w:t>评分因素</w:t>
            </w:r>
          </w:p>
        </w:tc>
        <w:tc>
          <w:tcPr>
            <w:tcW w:w="7969" w:type="dxa"/>
            <w:tcBorders>
              <w:top w:val="single" w:color="000000" w:sz="4" w:space="0"/>
              <w:left w:val="single" w:color="000000" w:sz="4" w:space="0"/>
              <w:bottom w:val="single" w:color="000000" w:sz="4" w:space="0"/>
              <w:right w:val="single" w:color="000000" w:sz="4" w:space="0"/>
            </w:tcBorders>
            <w:vAlign w:val="center"/>
          </w:tcPr>
          <w:p w14:paraId="54693F5F">
            <w:pPr>
              <w:pStyle w:val="422"/>
              <w:kinsoku w:val="0"/>
              <w:overflowPunct w:val="0"/>
              <w:spacing w:line="240" w:lineRule="auto"/>
              <w:ind w:firstLine="0" w:firstLineChars="0"/>
              <w:jc w:val="center"/>
              <w:rPr>
                <w:rFonts w:ascii="宋体" w:hAnsi="宋体"/>
                <w:sz w:val="21"/>
                <w:szCs w:val="21"/>
              </w:rPr>
            </w:pPr>
            <w:r>
              <w:rPr>
                <w:rFonts w:hint="eastAsia" w:ascii="宋体" w:hAnsi="宋体"/>
                <w:sz w:val="21"/>
                <w:szCs w:val="21"/>
              </w:rPr>
              <w:t>评审标准</w:t>
            </w:r>
          </w:p>
        </w:tc>
        <w:tc>
          <w:tcPr>
            <w:tcW w:w="616" w:type="dxa"/>
            <w:tcBorders>
              <w:top w:val="single" w:color="000000" w:sz="4" w:space="0"/>
              <w:left w:val="single" w:color="000000" w:sz="4" w:space="0"/>
              <w:bottom w:val="single" w:color="000000" w:sz="4" w:space="0"/>
              <w:right w:val="single" w:color="000000" w:sz="4" w:space="0"/>
            </w:tcBorders>
            <w:vAlign w:val="center"/>
          </w:tcPr>
          <w:p w14:paraId="55357F52">
            <w:pPr>
              <w:pStyle w:val="422"/>
              <w:kinsoku w:val="0"/>
              <w:overflowPunct w:val="0"/>
              <w:spacing w:line="240" w:lineRule="auto"/>
              <w:ind w:firstLine="0" w:firstLineChars="0"/>
              <w:jc w:val="center"/>
              <w:rPr>
                <w:rFonts w:ascii="宋体" w:hAnsi="宋体"/>
                <w:sz w:val="21"/>
                <w:szCs w:val="21"/>
              </w:rPr>
            </w:pPr>
            <w:r>
              <w:rPr>
                <w:rFonts w:hint="eastAsia" w:ascii="宋体" w:hAnsi="宋体"/>
                <w:spacing w:val="-1"/>
                <w:sz w:val="21"/>
                <w:szCs w:val="21"/>
              </w:rPr>
              <w:t>分值</w:t>
            </w:r>
          </w:p>
        </w:tc>
      </w:tr>
      <w:tr w14:paraId="5BBFB674">
        <w:tblPrEx>
          <w:tblCellMar>
            <w:top w:w="0" w:type="dxa"/>
            <w:left w:w="0" w:type="dxa"/>
            <w:bottom w:w="0" w:type="dxa"/>
            <w:right w:w="0" w:type="dxa"/>
          </w:tblCellMar>
        </w:tblPrEx>
        <w:trPr>
          <w:trHeight w:val="2063" w:hRule="exact"/>
        </w:trPr>
        <w:tc>
          <w:tcPr>
            <w:tcW w:w="574" w:type="dxa"/>
            <w:tcBorders>
              <w:top w:val="single" w:color="000000" w:sz="4" w:space="0"/>
              <w:left w:val="single" w:color="000000" w:sz="4" w:space="0"/>
              <w:bottom w:val="single" w:color="000000" w:sz="4" w:space="0"/>
              <w:right w:val="single" w:color="000000" w:sz="4" w:space="0"/>
            </w:tcBorders>
            <w:vAlign w:val="center"/>
          </w:tcPr>
          <w:p w14:paraId="4917E7E8">
            <w:pPr>
              <w:pStyle w:val="422"/>
              <w:kinsoku w:val="0"/>
              <w:overflowPunct w:val="0"/>
              <w:spacing w:line="240" w:lineRule="auto"/>
              <w:ind w:firstLine="0" w:firstLineChars="0"/>
              <w:jc w:val="center"/>
              <w:rPr>
                <w:rFonts w:ascii="宋体" w:hAnsi="宋体"/>
                <w:sz w:val="21"/>
                <w:szCs w:val="21"/>
              </w:rPr>
            </w:pPr>
            <w:r>
              <w:rPr>
                <w:rFonts w:ascii="宋体" w:hAnsi="宋体"/>
                <w:sz w:val="21"/>
                <w:szCs w:val="21"/>
              </w:rPr>
              <w:t>1</w:t>
            </w:r>
          </w:p>
        </w:tc>
        <w:tc>
          <w:tcPr>
            <w:tcW w:w="565" w:type="dxa"/>
            <w:tcBorders>
              <w:top w:val="single" w:color="000000" w:sz="4" w:space="0"/>
              <w:left w:val="single" w:color="000000" w:sz="4" w:space="0"/>
              <w:bottom w:val="single" w:color="000000" w:sz="4" w:space="0"/>
              <w:right w:val="single" w:color="000000" w:sz="4" w:space="0"/>
            </w:tcBorders>
            <w:vAlign w:val="center"/>
          </w:tcPr>
          <w:p w14:paraId="3EE4700C">
            <w:pPr>
              <w:pStyle w:val="422"/>
              <w:kinsoku w:val="0"/>
              <w:overflowPunct w:val="0"/>
              <w:spacing w:line="240" w:lineRule="auto"/>
              <w:ind w:firstLine="0" w:firstLineChars="0"/>
              <w:jc w:val="center"/>
              <w:rPr>
                <w:rFonts w:ascii="宋体" w:hAnsi="宋体"/>
                <w:sz w:val="21"/>
                <w:szCs w:val="21"/>
              </w:rPr>
            </w:pPr>
            <w:r>
              <w:rPr>
                <w:rFonts w:hint="eastAsia" w:ascii="宋体" w:hAnsi="宋体"/>
                <w:spacing w:val="-1"/>
                <w:sz w:val="21"/>
                <w:szCs w:val="21"/>
              </w:rPr>
              <w:t>价格</w:t>
            </w:r>
          </w:p>
        </w:tc>
        <w:tc>
          <w:tcPr>
            <w:tcW w:w="7969" w:type="dxa"/>
            <w:tcBorders>
              <w:top w:val="single" w:color="000000" w:sz="4" w:space="0"/>
              <w:left w:val="single" w:color="000000" w:sz="4" w:space="0"/>
              <w:bottom w:val="single" w:color="000000" w:sz="4" w:space="0"/>
              <w:right w:val="single" w:color="000000" w:sz="4" w:space="0"/>
            </w:tcBorders>
            <w:vAlign w:val="center"/>
          </w:tcPr>
          <w:p w14:paraId="3FD85FCA">
            <w:pPr>
              <w:pStyle w:val="422"/>
              <w:kinsoku w:val="0"/>
              <w:overflowPunct w:val="0"/>
              <w:snapToGrid w:val="0"/>
              <w:spacing w:line="240" w:lineRule="auto"/>
              <w:ind w:firstLine="0" w:firstLineChars="0"/>
              <w:rPr>
                <w:rFonts w:hint="eastAsia" w:ascii="宋体" w:hAnsi="宋体"/>
                <w:sz w:val="21"/>
                <w:szCs w:val="21"/>
                <w:lang w:eastAsia="zh-CN"/>
              </w:rPr>
            </w:pPr>
            <w:r>
              <w:rPr>
                <w:rFonts w:hint="eastAsia" w:ascii="宋体" w:hAnsi="宋体"/>
                <w:spacing w:val="-1"/>
                <w:sz w:val="21"/>
                <w:szCs w:val="21"/>
                <w:lang w:eastAsia="zh-CN"/>
              </w:rPr>
              <w:t>采</w:t>
            </w:r>
            <w:r>
              <w:rPr>
                <w:rFonts w:hint="eastAsia" w:ascii="宋体" w:hAnsi="宋体"/>
                <w:spacing w:val="2"/>
                <w:sz w:val="21"/>
                <w:szCs w:val="21"/>
                <w:lang w:eastAsia="zh-CN"/>
              </w:rPr>
              <w:t>用</w:t>
            </w:r>
            <w:r>
              <w:rPr>
                <w:rFonts w:hint="eastAsia" w:ascii="宋体" w:hAnsi="宋体"/>
                <w:spacing w:val="-1"/>
                <w:sz w:val="21"/>
                <w:szCs w:val="21"/>
                <w:lang w:eastAsia="zh-CN"/>
              </w:rPr>
              <w:t>低</w:t>
            </w:r>
            <w:r>
              <w:rPr>
                <w:rFonts w:hint="eastAsia" w:ascii="宋体" w:hAnsi="宋体"/>
                <w:spacing w:val="2"/>
                <w:sz w:val="21"/>
                <w:szCs w:val="21"/>
                <w:lang w:eastAsia="zh-CN"/>
              </w:rPr>
              <w:t>价</w:t>
            </w:r>
            <w:r>
              <w:rPr>
                <w:rFonts w:hint="eastAsia" w:ascii="宋体" w:hAnsi="宋体"/>
                <w:spacing w:val="-1"/>
                <w:sz w:val="21"/>
                <w:szCs w:val="21"/>
                <w:lang w:eastAsia="zh-CN"/>
              </w:rPr>
              <w:t>优</w:t>
            </w:r>
            <w:r>
              <w:rPr>
                <w:rFonts w:hint="eastAsia" w:ascii="宋体" w:hAnsi="宋体"/>
                <w:spacing w:val="2"/>
                <w:sz w:val="21"/>
                <w:szCs w:val="21"/>
                <w:lang w:eastAsia="zh-CN"/>
              </w:rPr>
              <w:t>先</w:t>
            </w:r>
            <w:r>
              <w:rPr>
                <w:rFonts w:hint="eastAsia" w:ascii="宋体" w:hAnsi="宋体"/>
                <w:spacing w:val="-1"/>
                <w:sz w:val="21"/>
                <w:szCs w:val="21"/>
                <w:lang w:eastAsia="zh-CN"/>
              </w:rPr>
              <w:t>法</w:t>
            </w:r>
            <w:r>
              <w:rPr>
                <w:rFonts w:hint="eastAsia" w:ascii="宋体" w:hAnsi="宋体"/>
                <w:spacing w:val="2"/>
                <w:sz w:val="21"/>
                <w:szCs w:val="21"/>
                <w:lang w:eastAsia="zh-CN"/>
              </w:rPr>
              <w:t>计</w:t>
            </w:r>
            <w:r>
              <w:rPr>
                <w:rFonts w:hint="eastAsia" w:ascii="宋体" w:hAnsi="宋体"/>
                <w:spacing w:val="-1"/>
                <w:sz w:val="21"/>
                <w:szCs w:val="21"/>
                <w:lang w:eastAsia="zh-CN"/>
              </w:rPr>
              <w:t>算</w:t>
            </w:r>
            <w:r>
              <w:rPr>
                <w:rFonts w:hint="eastAsia" w:ascii="宋体" w:hAnsi="宋体"/>
                <w:spacing w:val="-50"/>
                <w:sz w:val="21"/>
                <w:szCs w:val="21"/>
                <w:lang w:eastAsia="zh-CN"/>
              </w:rPr>
              <w:t>，</w:t>
            </w:r>
            <w:r>
              <w:rPr>
                <w:rFonts w:hint="eastAsia" w:ascii="宋体" w:hAnsi="宋体"/>
                <w:spacing w:val="-1"/>
                <w:sz w:val="21"/>
                <w:szCs w:val="21"/>
                <w:lang w:eastAsia="zh-CN"/>
              </w:rPr>
              <w:t>即</w:t>
            </w:r>
            <w:r>
              <w:rPr>
                <w:rFonts w:hint="eastAsia" w:ascii="宋体" w:hAnsi="宋体"/>
                <w:spacing w:val="2"/>
                <w:sz w:val="21"/>
                <w:szCs w:val="21"/>
                <w:lang w:eastAsia="zh-CN"/>
              </w:rPr>
              <w:t>满</w:t>
            </w:r>
            <w:r>
              <w:rPr>
                <w:rFonts w:hint="eastAsia" w:ascii="宋体" w:hAnsi="宋体"/>
                <w:spacing w:val="-1"/>
                <w:sz w:val="21"/>
                <w:szCs w:val="21"/>
                <w:lang w:eastAsia="zh-CN"/>
              </w:rPr>
              <w:t>足文</w:t>
            </w:r>
            <w:r>
              <w:rPr>
                <w:rFonts w:hint="eastAsia" w:ascii="宋体" w:hAnsi="宋体"/>
                <w:spacing w:val="2"/>
                <w:sz w:val="21"/>
                <w:szCs w:val="21"/>
                <w:lang w:eastAsia="zh-CN"/>
              </w:rPr>
              <w:t>件</w:t>
            </w:r>
            <w:r>
              <w:rPr>
                <w:rFonts w:hint="eastAsia" w:ascii="宋体" w:hAnsi="宋体"/>
                <w:spacing w:val="-1"/>
                <w:sz w:val="21"/>
                <w:szCs w:val="21"/>
                <w:lang w:eastAsia="zh-CN"/>
              </w:rPr>
              <w:t>要</w:t>
            </w:r>
            <w:r>
              <w:rPr>
                <w:rFonts w:hint="eastAsia" w:ascii="宋体" w:hAnsi="宋体"/>
                <w:spacing w:val="2"/>
                <w:sz w:val="21"/>
                <w:szCs w:val="21"/>
                <w:lang w:eastAsia="zh-CN"/>
              </w:rPr>
              <w:t>求</w:t>
            </w:r>
            <w:r>
              <w:rPr>
                <w:rFonts w:hint="eastAsia" w:ascii="宋体" w:hAnsi="宋体"/>
                <w:spacing w:val="-1"/>
                <w:sz w:val="21"/>
                <w:szCs w:val="21"/>
                <w:lang w:eastAsia="zh-CN"/>
              </w:rPr>
              <w:t>且</w:t>
            </w:r>
            <w:r>
              <w:rPr>
                <w:rFonts w:hint="eastAsia" w:ascii="宋体" w:hAnsi="宋体"/>
                <w:spacing w:val="2"/>
                <w:sz w:val="21"/>
                <w:szCs w:val="21"/>
                <w:lang w:eastAsia="zh-CN"/>
              </w:rPr>
              <w:t>价</w:t>
            </w:r>
            <w:r>
              <w:rPr>
                <w:rFonts w:hint="eastAsia" w:ascii="宋体" w:hAnsi="宋体"/>
                <w:spacing w:val="-1"/>
                <w:sz w:val="21"/>
                <w:szCs w:val="21"/>
                <w:lang w:eastAsia="zh-CN"/>
              </w:rPr>
              <w:t>格</w:t>
            </w:r>
            <w:r>
              <w:rPr>
                <w:rFonts w:hint="eastAsia" w:ascii="宋体" w:hAnsi="宋体"/>
                <w:spacing w:val="2"/>
                <w:sz w:val="21"/>
                <w:szCs w:val="21"/>
                <w:lang w:eastAsia="zh-CN"/>
              </w:rPr>
              <w:t>最</w:t>
            </w:r>
            <w:r>
              <w:rPr>
                <w:rFonts w:hint="eastAsia" w:ascii="宋体" w:hAnsi="宋体"/>
                <w:spacing w:val="-1"/>
                <w:sz w:val="21"/>
                <w:szCs w:val="21"/>
                <w:lang w:eastAsia="zh-CN"/>
              </w:rPr>
              <w:t>低</w:t>
            </w:r>
            <w:r>
              <w:rPr>
                <w:rFonts w:hint="eastAsia" w:ascii="宋体" w:hAnsi="宋体"/>
                <w:spacing w:val="2"/>
                <w:sz w:val="21"/>
                <w:szCs w:val="21"/>
                <w:lang w:eastAsia="zh-CN"/>
              </w:rPr>
              <w:t>的</w:t>
            </w:r>
            <w:r>
              <w:rPr>
                <w:rFonts w:hint="eastAsia" w:ascii="宋体" w:hAnsi="宋体"/>
                <w:spacing w:val="-1"/>
                <w:sz w:val="21"/>
                <w:szCs w:val="21"/>
                <w:lang w:eastAsia="zh-CN"/>
              </w:rPr>
              <w:t>报</w:t>
            </w:r>
            <w:r>
              <w:rPr>
                <w:rFonts w:hint="eastAsia" w:ascii="宋体" w:hAnsi="宋体"/>
                <w:spacing w:val="2"/>
                <w:sz w:val="21"/>
                <w:szCs w:val="21"/>
                <w:lang w:eastAsia="zh-CN"/>
              </w:rPr>
              <w:t>价</w:t>
            </w:r>
            <w:r>
              <w:rPr>
                <w:rFonts w:hint="eastAsia" w:ascii="宋体" w:hAnsi="宋体"/>
                <w:spacing w:val="-1"/>
                <w:sz w:val="21"/>
                <w:szCs w:val="21"/>
                <w:lang w:eastAsia="zh-CN"/>
              </w:rPr>
              <w:t>为</w:t>
            </w:r>
            <w:r>
              <w:rPr>
                <w:rFonts w:hint="eastAsia" w:ascii="宋体" w:hAnsi="宋体"/>
                <w:sz w:val="21"/>
                <w:szCs w:val="21"/>
                <w:lang w:eastAsia="zh-CN"/>
              </w:rPr>
              <w:t>评审基准价，其价格分为满分。其他供应商的价格分统一按照下列公式计算</w:t>
            </w:r>
            <w:r>
              <w:rPr>
                <w:rFonts w:ascii="宋体" w:hAnsi="宋体"/>
                <w:sz w:val="21"/>
                <w:szCs w:val="21"/>
                <w:lang w:eastAsia="zh-CN"/>
              </w:rPr>
              <w:t xml:space="preserve">: </w:t>
            </w:r>
            <w:r>
              <w:rPr>
                <w:rFonts w:hint="eastAsia" w:ascii="宋体" w:hAnsi="宋体"/>
                <w:sz w:val="21"/>
                <w:szCs w:val="21"/>
                <w:lang w:eastAsia="zh-CN"/>
              </w:rPr>
              <w:t>报价得分</w:t>
            </w:r>
            <w:r>
              <w:rPr>
                <w:rFonts w:ascii="宋体" w:hAnsi="宋体"/>
                <w:sz w:val="21"/>
                <w:szCs w:val="21"/>
                <w:lang w:eastAsia="zh-CN"/>
              </w:rPr>
              <w:t>=(</w:t>
            </w:r>
            <w:r>
              <w:rPr>
                <w:rFonts w:hint="eastAsia" w:ascii="宋体" w:hAnsi="宋体"/>
                <w:sz w:val="21"/>
                <w:szCs w:val="21"/>
                <w:lang w:eastAsia="zh-CN"/>
              </w:rPr>
              <w:t>评审基准价</w:t>
            </w:r>
            <w:r>
              <w:rPr>
                <w:rFonts w:ascii="宋体" w:hAnsi="宋体"/>
                <w:sz w:val="21"/>
                <w:szCs w:val="21"/>
                <w:lang w:eastAsia="zh-CN"/>
              </w:rPr>
              <w:t>/</w:t>
            </w:r>
            <w:r>
              <w:rPr>
                <w:rFonts w:hint="eastAsia" w:ascii="宋体" w:hAnsi="宋体"/>
                <w:sz w:val="21"/>
                <w:szCs w:val="21"/>
                <w:lang w:eastAsia="zh-CN"/>
              </w:rPr>
              <w:t>报价</w:t>
            </w:r>
            <w:r>
              <w:rPr>
                <w:rFonts w:ascii="宋体" w:hAnsi="宋体"/>
                <w:sz w:val="21"/>
                <w:szCs w:val="21"/>
                <w:lang w:eastAsia="zh-CN"/>
              </w:rPr>
              <w:t>)</w:t>
            </w:r>
            <w:r>
              <w:rPr>
                <w:rFonts w:hint="eastAsia" w:ascii="宋体" w:hAnsi="宋体"/>
                <w:sz w:val="21"/>
                <w:szCs w:val="21"/>
                <w:lang w:eastAsia="zh-CN"/>
              </w:rPr>
              <w:t>×30（小数点保留二位）</w:t>
            </w:r>
          </w:p>
          <w:p w14:paraId="082B2D52">
            <w:pPr>
              <w:pStyle w:val="422"/>
              <w:kinsoku w:val="0"/>
              <w:overflowPunct w:val="0"/>
              <w:snapToGrid w:val="0"/>
              <w:spacing w:line="240" w:lineRule="auto"/>
              <w:ind w:firstLine="0" w:firstLineChars="0"/>
              <w:rPr>
                <w:rFonts w:hint="eastAsia" w:ascii="宋体" w:hAnsi="宋体"/>
                <w:sz w:val="21"/>
                <w:szCs w:val="21"/>
                <w:lang w:eastAsia="zh-CN"/>
              </w:rPr>
            </w:pPr>
            <w:r>
              <w:rPr>
                <w:rFonts w:hint="eastAsia" w:ascii="宋体" w:hAnsi="宋体"/>
                <w:b/>
                <w:bCs/>
                <w:sz w:val="21"/>
                <w:szCs w:val="21"/>
                <w:lang w:eastAsia="zh-CN"/>
              </w:rPr>
              <w:t>注:供应商的报价须能符合市场行情，不得恶意竞争。评委认为供应商的报价明显低于其他通过符合性审查供应商的报价，有可能影响产品质量或者不能诚信履约的，供应商应在评标现场合理的时间内提供书面说明，必要时提交相关证明材料;供应商不能证明其报价合理性的，评委将其作为无效投标处理。</w:t>
            </w:r>
          </w:p>
        </w:tc>
        <w:tc>
          <w:tcPr>
            <w:tcW w:w="616" w:type="dxa"/>
            <w:tcBorders>
              <w:top w:val="single" w:color="000000" w:sz="4" w:space="0"/>
              <w:left w:val="single" w:color="000000" w:sz="4" w:space="0"/>
              <w:bottom w:val="single" w:color="000000" w:sz="4" w:space="0"/>
              <w:right w:val="single" w:color="000000" w:sz="4" w:space="0"/>
            </w:tcBorders>
            <w:vAlign w:val="center"/>
          </w:tcPr>
          <w:p w14:paraId="2A3874CB">
            <w:pPr>
              <w:pStyle w:val="422"/>
              <w:kinsoku w:val="0"/>
              <w:overflowPunct w:val="0"/>
              <w:spacing w:line="240" w:lineRule="auto"/>
              <w:ind w:firstLine="0" w:firstLineChars="0"/>
              <w:jc w:val="center"/>
              <w:rPr>
                <w:rFonts w:ascii="宋体" w:hAnsi="宋体"/>
                <w:sz w:val="21"/>
                <w:szCs w:val="21"/>
              </w:rPr>
            </w:pPr>
            <w:r>
              <w:rPr>
                <w:rFonts w:hint="eastAsia" w:ascii="宋体" w:hAnsi="宋体"/>
                <w:sz w:val="21"/>
                <w:szCs w:val="21"/>
              </w:rPr>
              <w:t>30</w:t>
            </w:r>
          </w:p>
        </w:tc>
      </w:tr>
      <w:tr w14:paraId="4F3EA405">
        <w:tblPrEx>
          <w:tblCellMar>
            <w:top w:w="0" w:type="dxa"/>
            <w:left w:w="0" w:type="dxa"/>
            <w:bottom w:w="0" w:type="dxa"/>
            <w:right w:w="0" w:type="dxa"/>
          </w:tblCellMar>
        </w:tblPrEx>
        <w:trPr>
          <w:trHeight w:val="604" w:hRule="exact"/>
        </w:trPr>
        <w:tc>
          <w:tcPr>
            <w:tcW w:w="574" w:type="dxa"/>
            <w:vMerge w:val="restart"/>
            <w:tcBorders>
              <w:top w:val="single" w:color="000000" w:sz="4" w:space="0"/>
              <w:left w:val="single" w:color="000000" w:sz="4" w:space="0"/>
              <w:right w:val="single" w:color="000000" w:sz="4" w:space="0"/>
            </w:tcBorders>
            <w:vAlign w:val="center"/>
          </w:tcPr>
          <w:p w14:paraId="1E62A274">
            <w:pPr>
              <w:pStyle w:val="422"/>
              <w:kinsoku w:val="0"/>
              <w:overflowPunct w:val="0"/>
              <w:spacing w:line="240" w:lineRule="auto"/>
              <w:ind w:firstLine="0" w:firstLineChars="0"/>
              <w:jc w:val="center"/>
              <w:rPr>
                <w:rFonts w:ascii="宋体" w:hAnsi="宋体"/>
                <w:sz w:val="21"/>
                <w:szCs w:val="21"/>
              </w:rPr>
            </w:pPr>
            <w:r>
              <w:rPr>
                <w:rFonts w:hint="eastAsia" w:ascii="宋体" w:hAnsi="宋体"/>
                <w:sz w:val="21"/>
                <w:szCs w:val="21"/>
              </w:rPr>
              <w:t>2</w:t>
            </w:r>
          </w:p>
        </w:tc>
        <w:tc>
          <w:tcPr>
            <w:tcW w:w="565" w:type="dxa"/>
            <w:vMerge w:val="restart"/>
            <w:tcBorders>
              <w:top w:val="single" w:color="000000" w:sz="4" w:space="0"/>
              <w:left w:val="single" w:color="000000" w:sz="4" w:space="0"/>
              <w:right w:val="single" w:color="000000" w:sz="4" w:space="0"/>
            </w:tcBorders>
            <w:vAlign w:val="center"/>
          </w:tcPr>
          <w:p w14:paraId="3F857735">
            <w:pPr>
              <w:pStyle w:val="422"/>
              <w:kinsoku w:val="0"/>
              <w:overflowPunct w:val="0"/>
              <w:spacing w:line="240" w:lineRule="auto"/>
              <w:ind w:firstLine="0" w:firstLineChars="0"/>
              <w:jc w:val="center"/>
              <w:rPr>
                <w:rFonts w:ascii="宋体" w:hAnsi="宋体"/>
                <w:sz w:val="21"/>
                <w:szCs w:val="21"/>
              </w:rPr>
            </w:pPr>
            <w:r>
              <w:rPr>
                <w:rFonts w:hint="eastAsia" w:ascii="宋体" w:hAnsi="宋体"/>
                <w:sz w:val="21"/>
                <w:szCs w:val="21"/>
              </w:rPr>
              <w:t>技术部分</w:t>
            </w:r>
          </w:p>
        </w:tc>
        <w:tc>
          <w:tcPr>
            <w:tcW w:w="7969" w:type="dxa"/>
            <w:tcBorders>
              <w:top w:val="single" w:color="000000" w:sz="4" w:space="0"/>
              <w:left w:val="single" w:color="000000" w:sz="4" w:space="0"/>
              <w:bottom w:val="single" w:color="000000" w:sz="4" w:space="0"/>
              <w:right w:val="single" w:color="000000" w:sz="4" w:space="0"/>
            </w:tcBorders>
            <w:vAlign w:val="center"/>
          </w:tcPr>
          <w:p w14:paraId="2E636435">
            <w:pPr>
              <w:pStyle w:val="422"/>
              <w:kinsoku w:val="0"/>
              <w:overflowPunct w:val="0"/>
              <w:snapToGrid w:val="0"/>
              <w:spacing w:line="240" w:lineRule="auto"/>
              <w:ind w:firstLine="0" w:firstLineChars="0"/>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施工现场平面布置和临时设施、临时道路布置：是否满足现场施工需要。 (方案合理完 整 </w:t>
            </w:r>
            <w:r>
              <w:rPr>
                <w:rFonts w:hint="eastAsia" w:ascii="宋体" w:hAnsi="宋体" w:cs="宋体"/>
                <w:sz w:val="21"/>
                <w:szCs w:val="21"/>
                <w:lang w:val="en-US" w:eastAsia="zh-CN"/>
              </w:rPr>
              <w:t>8</w:t>
            </w:r>
            <w:r>
              <w:rPr>
                <w:rFonts w:hint="eastAsia" w:ascii="宋体" w:hAnsi="宋体" w:eastAsia="宋体" w:cs="宋体"/>
                <w:sz w:val="21"/>
                <w:szCs w:val="21"/>
                <w:lang w:eastAsia="zh-CN"/>
              </w:rPr>
              <w:t xml:space="preserve"> 分；方案基本完整 </w:t>
            </w:r>
            <w:r>
              <w:rPr>
                <w:rFonts w:hint="eastAsia" w:ascii="宋体" w:hAnsi="宋体" w:cs="宋体"/>
                <w:sz w:val="21"/>
                <w:szCs w:val="21"/>
                <w:lang w:val="en-US" w:eastAsia="zh-CN"/>
              </w:rPr>
              <w:t>5</w:t>
            </w:r>
            <w:r>
              <w:rPr>
                <w:rFonts w:hint="eastAsia" w:ascii="宋体" w:hAnsi="宋体" w:eastAsia="宋体" w:cs="宋体"/>
                <w:sz w:val="21"/>
                <w:szCs w:val="21"/>
                <w:lang w:eastAsia="zh-CN"/>
              </w:rPr>
              <w:t>分；方案一般 2 分；方案差 1 分；无此项得 0 分。)</w:t>
            </w:r>
          </w:p>
        </w:tc>
        <w:tc>
          <w:tcPr>
            <w:tcW w:w="616" w:type="dxa"/>
            <w:tcBorders>
              <w:top w:val="single" w:color="000000" w:sz="4" w:space="0"/>
              <w:left w:val="single" w:color="000000" w:sz="4" w:space="0"/>
              <w:bottom w:val="single" w:color="000000" w:sz="4" w:space="0"/>
              <w:right w:val="single" w:color="000000" w:sz="4" w:space="0"/>
            </w:tcBorders>
            <w:vAlign w:val="center"/>
          </w:tcPr>
          <w:p w14:paraId="0996C0E1">
            <w:pPr>
              <w:pStyle w:val="422"/>
              <w:kinsoku w:val="0"/>
              <w:overflowPunct w:val="0"/>
              <w:spacing w:line="240" w:lineRule="auto"/>
              <w:ind w:firstLine="0" w:firstLineChars="0"/>
              <w:jc w:val="center"/>
              <w:rPr>
                <w:rFonts w:hint="eastAsia" w:ascii="宋体" w:hAnsi="宋体" w:eastAsia="宋体"/>
                <w:sz w:val="21"/>
                <w:szCs w:val="21"/>
                <w:lang w:eastAsia="zh-CN"/>
              </w:rPr>
            </w:pPr>
            <w:r>
              <w:rPr>
                <w:rFonts w:hint="eastAsia" w:ascii="宋体" w:hAnsi="宋体"/>
                <w:sz w:val="21"/>
                <w:szCs w:val="21"/>
                <w:lang w:val="en-US" w:eastAsia="zh-CN"/>
              </w:rPr>
              <w:t>8</w:t>
            </w:r>
          </w:p>
        </w:tc>
      </w:tr>
      <w:tr w14:paraId="650EE2FE">
        <w:tblPrEx>
          <w:tblCellMar>
            <w:top w:w="0" w:type="dxa"/>
            <w:left w:w="0" w:type="dxa"/>
            <w:bottom w:w="0" w:type="dxa"/>
            <w:right w:w="0" w:type="dxa"/>
          </w:tblCellMar>
        </w:tblPrEx>
        <w:trPr>
          <w:trHeight w:val="870" w:hRule="exact"/>
        </w:trPr>
        <w:tc>
          <w:tcPr>
            <w:tcW w:w="574" w:type="dxa"/>
            <w:vMerge w:val="continue"/>
            <w:tcBorders>
              <w:left w:val="single" w:color="000000" w:sz="4" w:space="0"/>
              <w:right w:val="single" w:color="000000" w:sz="4" w:space="0"/>
            </w:tcBorders>
            <w:vAlign w:val="center"/>
          </w:tcPr>
          <w:p w14:paraId="1992FD66">
            <w:pPr>
              <w:pStyle w:val="422"/>
              <w:kinsoku w:val="0"/>
              <w:overflowPunct w:val="0"/>
              <w:spacing w:line="240" w:lineRule="auto"/>
              <w:ind w:firstLine="0" w:firstLineChars="0"/>
              <w:jc w:val="center"/>
              <w:rPr>
                <w:rFonts w:ascii="宋体" w:hAnsi="宋体"/>
                <w:sz w:val="21"/>
                <w:szCs w:val="21"/>
              </w:rPr>
            </w:pPr>
          </w:p>
        </w:tc>
        <w:tc>
          <w:tcPr>
            <w:tcW w:w="565" w:type="dxa"/>
            <w:vMerge w:val="continue"/>
            <w:tcBorders>
              <w:left w:val="single" w:color="000000" w:sz="4" w:space="0"/>
              <w:right w:val="single" w:color="000000" w:sz="4" w:space="0"/>
            </w:tcBorders>
            <w:vAlign w:val="center"/>
          </w:tcPr>
          <w:p w14:paraId="53FEAF71">
            <w:pPr>
              <w:pStyle w:val="422"/>
              <w:kinsoku w:val="0"/>
              <w:overflowPunct w:val="0"/>
              <w:spacing w:line="240" w:lineRule="auto"/>
              <w:ind w:firstLine="0" w:firstLineChars="0"/>
              <w:jc w:val="center"/>
              <w:rPr>
                <w:rFonts w:ascii="宋体" w:hAnsi="宋体"/>
                <w:sz w:val="21"/>
                <w:szCs w:val="21"/>
              </w:rPr>
            </w:pPr>
          </w:p>
        </w:tc>
        <w:tc>
          <w:tcPr>
            <w:tcW w:w="7969" w:type="dxa"/>
            <w:tcBorders>
              <w:top w:val="single" w:color="000000" w:sz="4" w:space="0"/>
              <w:left w:val="single" w:color="000000" w:sz="4" w:space="0"/>
              <w:bottom w:val="single" w:color="000000" w:sz="4" w:space="0"/>
              <w:right w:val="single" w:color="000000" w:sz="4" w:space="0"/>
            </w:tcBorders>
            <w:vAlign w:val="center"/>
          </w:tcPr>
          <w:p w14:paraId="2AD24BD4">
            <w:pPr>
              <w:pStyle w:val="422"/>
              <w:kinsoku w:val="0"/>
              <w:overflowPunct w:val="0"/>
              <w:snapToGrid w:val="0"/>
              <w:spacing w:line="240" w:lineRule="auto"/>
              <w:ind w:firstLine="0" w:firstLineChars="0"/>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施工进度计划和各阶段进度的保证措施：是否科学、完善、可行，进度保证措施是否 得力(方案合理完整 </w:t>
            </w:r>
            <w:r>
              <w:rPr>
                <w:rFonts w:hint="eastAsia" w:ascii="宋体" w:hAnsi="宋体" w:cs="宋体"/>
                <w:sz w:val="21"/>
                <w:szCs w:val="21"/>
                <w:lang w:val="en-US" w:eastAsia="zh-CN"/>
              </w:rPr>
              <w:t>8</w:t>
            </w:r>
            <w:r>
              <w:rPr>
                <w:rFonts w:hint="eastAsia" w:ascii="宋体" w:hAnsi="宋体" w:eastAsia="宋体" w:cs="宋体"/>
                <w:sz w:val="21"/>
                <w:szCs w:val="21"/>
                <w:lang w:eastAsia="zh-CN"/>
              </w:rPr>
              <w:t xml:space="preserve"> 分；方案基本完整 </w:t>
            </w:r>
            <w:r>
              <w:rPr>
                <w:rFonts w:hint="eastAsia" w:ascii="宋体" w:hAnsi="宋体" w:cs="宋体"/>
                <w:sz w:val="21"/>
                <w:szCs w:val="21"/>
                <w:lang w:val="en-US" w:eastAsia="zh-CN"/>
              </w:rPr>
              <w:t xml:space="preserve">5 </w:t>
            </w:r>
            <w:r>
              <w:rPr>
                <w:rFonts w:hint="eastAsia" w:ascii="宋体" w:hAnsi="宋体" w:eastAsia="宋体" w:cs="宋体"/>
                <w:sz w:val="21"/>
                <w:szCs w:val="21"/>
                <w:lang w:eastAsia="zh-CN"/>
              </w:rPr>
              <w:t>分；方案一般 2 分；方案差 1 分；无此项 得 0 分。)</w:t>
            </w:r>
          </w:p>
        </w:tc>
        <w:tc>
          <w:tcPr>
            <w:tcW w:w="616" w:type="dxa"/>
            <w:tcBorders>
              <w:top w:val="single" w:color="000000" w:sz="4" w:space="0"/>
              <w:left w:val="single" w:color="000000" w:sz="4" w:space="0"/>
              <w:bottom w:val="single" w:color="000000" w:sz="4" w:space="0"/>
              <w:right w:val="single" w:color="000000" w:sz="4" w:space="0"/>
            </w:tcBorders>
            <w:vAlign w:val="center"/>
          </w:tcPr>
          <w:p w14:paraId="2F1CC82C">
            <w:pPr>
              <w:pStyle w:val="422"/>
              <w:kinsoku w:val="0"/>
              <w:overflowPunct w:val="0"/>
              <w:spacing w:line="240" w:lineRule="auto"/>
              <w:ind w:firstLine="0" w:firstLineChars="0"/>
              <w:jc w:val="center"/>
              <w:rPr>
                <w:rFonts w:hint="eastAsia" w:ascii="宋体" w:hAnsi="宋体" w:eastAsia="宋体"/>
                <w:sz w:val="21"/>
                <w:szCs w:val="21"/>
                <w:lang w:eastAsia="zh-CN"/>
              </w:rPr>
            </w:pPr>
            <w:r>
              <w:rPr>
                <w:rFonts w:hint="eastAsia" w:ascii="宋体" w:hAnsi="宋体"/>
                <w:sz w:val="21"/>
                <w:szCs w:val="21"/>
                <w:lang w:val="en-US" w:eastAsia="zh-CN"/>
              </w:rPr>
              <w:t>8</w:t>
            </w:r>
          </w:p>
        </w:tc>
      </w:tr>
      <w:tr w14:paraId="642F2CD1">
        <w:tblPrEx>
          <w:tblCellMar>
            <w:top w:w="0" w:type="dxa"/>
            <w:left w:w="0" w:type="dxa"/>
            <w:bottom w:w="0" w:type="dxa"/>
            <w:right w:w="0" w:type="dxa"/>
          </w:tblCellMar>
        </w:tblPrEx>
        <w:trPr>
          <w:trHeight w:val="674" w:hRule="exact"/>
        </w:trPr>
        <w:tc>
          <w:tcPr>
            <w:tcW w:w="574" w:type="dxa"/>
            <w:vMerge w:val="continue"/>
            <w:tcBorders>
              <w:left w:val="single" w:color="000000" w:sz="4" w:space="0"/>
              <w:right w:val="single" w:color="000000" w:sz="4" w:space="0"/>
            </w:tcBorders>
            <w:vAlign w:val="center"/>
          </w:tcPr>
          <w:p w14:paraId="0ED857EE">
            <w:pPr>
              <w:pStyle w:val="422"/>
              <w:kinsoku w:val="0"/>
              <w:overflowPunct w:val="0"/>
              <w:spacing w:line="240" w:lineRule="auto"/>
              <w:ind w:firstLine="0" w:firstLineChars="0"/>
              <w:jc w:val="center"/>
              <w:rPr>
                <w:rFonts w:ascii="宋体" w:hAnsi="宋体"/>
                <w:sz w:val="21"/>
                <w:szCs w:val="21"/>
              </w:rPr>
            </w:pPr>
          </w:p>
        </w:tc>
        <w:tc>
          <w:tcPr>
            <w:tcW w:w="565" w:type="dxa"/>
            <w:vMerge w:val="continue"/>
            <w:tcBorders>
              <w:left w:val="single" w:color="000000" w:sz="4" w:space="0"/>
              <w:right w:val="single" w:color="000000" w:sz="4" w:space="0"/>
            </w:tcBorders>
            <w:vAlign w:val="center"/>
          </w:tcPr>
          <w:p w14:paraId="1F1DE77A">
            <w:pPr>
              <w:pStyle w:val="422"/>
              <w:kinsoku w:val="0"/>
              <w:overflowPunct w:val="0"/>
              <w:spacing w:line="240" w:lineRule="auto"/>
              <w:ind w:firstLine="0" w:firstLineChars="0"/>
              <w:jc w:val="center"/>
              <w:rPr>
                <w:rFonts w:ascii="宋体" w:hAnsi="宋体"/>
                <w:sz w:val="21"/>
                <w:szCs w:val="21"/>
              </w:rPr>
            </w:pPr>
          </w:p>
        </w:tc>
        <w:tc>
          <w:tcPr>
            <w:tcW w:w="7969" w:type="dxa"/>
            <w:tcBorders>
              <w:top w:val="single" w:color="000000" w:sz="4" w:space="0"/>
              <w:left w:val="single" w:color="000000" w:sz="4" w:space="0"/>
              <w:bottom w:val="single" w:color="000000" w:sz="4" w:space="0"/>
              <w:right w:val="single" w:color="000000" w:sz="4" w:space="0"/>
            </w:tcBorders>
            <w:vAlign w:val="center"/>
          </w:tcPr>
          <w:p w14:paraId="1884F632">
            <w:pPr>
              <w:pStyle w:val="422"/>
              <w:kinsoku w:val="0"/>
              <w:overflowPunct w:val="0"/>
              <w:snapToGrid w:val="0"/>
              <w:spacing w:line="240" w:lineRule="auto"/>
              <w:ind w:firstLine="0" w:firstLineChars="0"/>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各分部分项工程的施工方案及质量保证措施：是否完善，措施是否得力(方案合理完整</w:t>
            </w:r>
          </w:p>
          <w:p w14:paraId="0BA3F661">
            <w:pPr>
              <w:pStyle w:val="422"/>
              <w:kinsoku w:val="0"/>
              <w:overflowPunct w:val="0"/>
              <w:snapToGrid w:val="0"/>
              <w:spacing w:line="240" w:lineRule="auto"/>
              <w:ind w:firstLine="0" w:firstLineChars="0"/>
              <w:jc w:val="both"/>
              <w:rPr>
                <w:rFonts w:hint="eastAsia" w:ascii="宋体" w:hAnsi="宋体" w:eastAsia="宋体" w:cs="宋体"/>
                <w:sz w:val="21"/>
                <w:szCs w:val="21"/>
                <w:lang w:eastAsia="zh-CN"/>
              </w:rPr>
            </w:pPr>
            <w:r>
              <w:rPr>
                <w:rFonts w:hint="eastAsia" w:ascii="宋体" w:hAnsi="宋体" w:cs="宋体"/>
                <w:sz w:val="21"/>
                <w:szCs w:val="21"/>
                <w:lang w:val="en-US" w:eastAsia="zh-CN"/>
              </w:rPr>
              <w:t>7</w:t>
            </w:r>
            <w:r>
              <w:rPr>
                <w:rFonts w:hint="eastAsia" w:ascii="宋体" w:hAnsi="宋体" w:eastAsia="宋体" w:cs="宋体"/>
                <w:sz w:val="21"/>
                <w:szCs w:val="21"/>
                <w:lang w:eastAsia="zh-CN"/>
              </w:rPr>
              <w:t xml:space="preserve"> 分；方案基本完整 </w:t>
            </w:r>
            <w:r>
              <w:rPr>
                <w:rFonts w:hint="eastAsia" w:ascii="宋体" w:hAnsi="宋体" w:cs="宋体"/>
                <w:sz w:val="21"/>
                <w:szCs w:val="21"/>
                <w:lang w:val="en-US" w:eastAsia="zh-CN"/>
              </w:rPr>
              <w:t xml:space="preserve">4 </w:t>
            </w:r>
            <w:r>
              <w:rPr>
                <w:rFonts w:hint="eastAsia" w:ascii="宋体" w:hAnsi="宋体" w:eastAsia="宋体" w:cs="宋体"/>
                <w:sz w:val="21"/>
                <w:szCs w:val="21"/>
                <w:lang w:eastAsia="zh-CN"/>
              </w:rPr>
              <w:t>分；方案一般 2 分；方案差 1 分；无此项得 0 分)</w:t>
            </w:r>
          </w:p>
        </w:tc>
        <w:tc>
          <w:tcPr>
            <w:tcW w:w="616" w:type="dxa"/>
            <w:tcBorders>
              <w:top w:val="single" w:color="000000" w:sz="4" w:space="0"/>
              <w:left w:val="single" w:color="000000" w:sz="4" w:space="0"/>
              <w:bottom w:val="single" w:color="000000" w:sz="4" w:space="0"/>
              <w:right w:val="single" w:color="000000" w:sz="4" w:space="0"/>
            </w:tcBorders>
            <w:vAlign w:val="center"/>
          </w:tcPr>
          <w:p w14:paraId="0CFE07FA">
            <w:pPr>
              <w:pStyle w:val="422"/>
              <w:kinsoku w:val="0"/>
              <w:overflowPunct w:val="0"/>
              <w:spacing w:line="240" w:lineRule="auto"/>
              <w:ind w:firstLine="0" w:firstLineChars="0"/>
              <w:jc w:val="center"/>
              <w:rPr>
                <w:rFonts w:hint="default" w:ascii="宋体" w:hAnsi="宋体"/>
                <w:sz w:val="21"/>
                <w:szCs w:val="21"/>
                <w:lang w:val="en-US" w:eastAsia="zh-CN"/>
              </w:rPr>
            </w:pPr>
            <w:r>
              <w:rPr>
                <w:rFonts w:hint="eastAsia" w:ascii="宋体" w:hAnsi="宋体"/>
                <w:sz w:val="21"/>
                <w:szCs w:val="21"/>
                <w:lang w:val="en-US" w:eastAsia="zh-CN"/>
              </w:rPr>
              <w:t>7</w:t>
            </w:r>
          </w:p>
        </w:tc>
      </w:tr>
      <w:tr w14:paraId="540F2D0B">
        <w:tblPrEx>
          <w:tblCellMar>
            <w:top w:w="0" w:type="dxa"/>
            <w:left w:w="0" w:type="dxa"/>
            <w:bottom w:w="0" w:type="dxa"/>
            <w:right w:w="0" w:type="dxa"/>
          </w:tblCellMar>
        </w:tblPrEx>
        <w:trPr>
          <w:trHeight w:val="678" w:hRule="exact"/>
        </w:trPr>
        <w:tc>
          <w:tcPr>
            <w:tcW w:w="574" w:type="dxa"/>
            <w:vMerge w:val="continue"/>
            <w:tcBorders>
              <w:left w:val="single" w:color="000000" w:sz="4" w:space="0"/>
              <w:right w:val="single" w:color="000000" w:sz="4" w:space="0"/>
            </w:tcBorders>
            <w:vAlign w:val="center"/>
          </w:tcPr>
          <w:p w14:paraId="66EC3710">
            <w:pPr>
              <w:pStyle w:val="422"/>
              <w:kinsoku w:val="0"/>
              <w:overflowPunct w:val="0"/>
              <w:spacing w:line="240" w:lineRule="auto"/>
              <w:ind w:firstLine="0" w:firstLineChars="0"/>
              <w:jc w:val="center"/>
              <w:rPr>
                <w:rFonts w:ascii="宋体" w:hAnsi="宋体"/>
                <w:sz w:val="21"/>
                <w:szCs w:val="21"/>
              </w:rPr>
            </w:pPr>
          </w:p>
        </w:tc>
        <w:tc>
          <w:tcPr>
            <w:tcW w:w="565" w:type="dxa"/>
            <w:vMerge w:val="continue"/>
            <w:tcBorders>
              <w:left w:val="single" w:color="000000" w:sz="4" w:space="0"/>
              <w:right w:val="single" w:color="000000" w:sz="4" w:space="0"/>
            </w:tcBorders>
            <w:vAlign w:val="center"/>
          </w:tcPr>
          <w:p w14:paraId="34A0B345">
            <w:pPr>
              <w:pStyle w:val="422"/>
              <w:kinsoku w:val="0"/>
              <w:overflowPunct w:val="0"/>
              <w:spacing w:line="240" w:lineRule="auto"/>
              <w:ind w:firstLine="0" w:firstLineChars="0"/>
              <w:jc w:val="center"/>
              <w:rPr>
                <w:rFonts w:ascii="宋体" w:hAnsi="宋体"/>
                <w:sz w:val="21"/>
                <w:szCs w:val="21"/>
              </w:rPr>
            </w:pPr>
          </w:p>
        </w:tc>
        <w:tc>
          <w:tcPr>
            <w:tcW w:w="7969" w:type="dxa"/>
            <w:tcBorders>
              <w:top w:val="single" w:color="000000" w:sz="4" w:space="0"/>
              <w:left w:val="single" w:color="000000" w:sz="4" w:space="0"/>
              <w:bottom w:val="single" w:color="000000" w:sz="4" w:space="0"/>
              <w:right w:val="single" w:color="000000" w:sz="4" w:space="0"/>
            </w:tcBorders>
            <w:vAlign w:val="center"/>
          </w:tcPr>
          <w:p w14:paraId="13E4520F">
            <w:pPr>
              <w:pStyle w:val="422"/>
              <w:kinsoku w:val="0"/>
              <w:overflowPunct w:val="0"/>
              <w:snapToGrid w:val="0"/>
              <w:spacing w:line="240" w:lineRule="auto"/>
              <w:ind w:firstLine="0" w:firstLineChars="0"/>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安全文明施工及环境保护措施：是否完善，措施是否可靠、合理(方案合理完整 </w:t>
            </w:r>
            <w:r>
              <w:rPr>
                <w:rFonts w:hint="eastAsia" w:ascii="宋体" w:hAnsi="宋体" w:cs="宋体"/>
                <w:sz w:val="21"/>
                <w:szCs w:val="21"/>
                <w:lang w:val="en-US" w:eastAsia="zh-CN"/>
              </w:rPr>
              <w:t>7</w:t>
            </w:r>
            <w:r>
              <w:rPr>
                <w:rFonts w:hint="eastAsia" w:ascii="宋体" w:hAnsi="宋体" w:eastAsia="宋体" w:cs="宋体"/>
                <w:sz w:val="21"/>
                <w:szCs w:val="21"/>
                <w:lang w:eastAsia="zh-CN"/>
              </w:rPr>
              <w:t xml:space="preserve"> 分；方案基本完整 </w:t>
            </w:r>
            <w:r>
              <w:rPr>
                <w:rFonts w:hint="eastAsia" w:ascii="宋体" w:hAnsi="宋体" w:cs="宋体"/>
                <w:sz w:val="21"/>
                <w:szCs w:val="21"/>
                <w:lang w:val="en-US" w:eastAsia="zh-CN"/>
              </w:rPr>
              <w:t>4</w:t>
            </w:r>
            <w:r>
              <w:rPr>
                <w:rFonts w:hint="eastAsia" w:ascii="宋体" w:hAnsi="宋体" w:eastAsia="宋体" w:cs="宋体"/>
                <w:sz w:val="21"/>
                <w:szCs w:val="21"/>
                <w:lang w:eastAsia="zh-CN"/>
              </w:rPr>
              <w:t xml:space="preserve"> 分；方案一般 2 分；方案差 1 分；无此项得 0 分)</w:t>
            </w:r>
          </w:p>
        </w:tc>
        <w:tc>
          <w:tcPr>
            <w:tcW w:w="616" w:type="dxa"/>
            <w:tcBorders>
              <w:top w:val="single" w:color="000000" w:sz="4" w:space="0"/>
              <w:left w:val="single" w:color="000000" w:sz="4" w:space="0"/>
              <w:bottom w:val="single" w:color="000000" w:sz="4" w:space="0"/>
              <w:right w:val="single" w:color="000000" w:sz="4" w:space="0"/>
            </w:tcBorders>
            <w:vAlign w:val="center"/>
          </w:tcPr>
          <w:p w14:paraId="1D35F332">
            <w:pPr>
              <w:pStyle w:val="422"/>
              <w:kinsoku w:val="0"/>
              <w:overflowPunct w:val="0"/>
              <w:spacing w:line="240" w:lineRule="auto"/>
              <w:ind w:firstLine="0" w:firstLineChars="0"/>
              <w:jc w:val="center"/>
              <w:rPr>
                <w:rFonts w:ascii="宋体" w:hAnsi="宋体"/>
                <w:sz w:val="21"/>
                <w:szCs w:val="21"/>
                <w:lang w:eastAsia="zh-CN"/>
              </w:rPr>
            </w:pPr>
            <w:r>
              <w:rPr>
                <w:rFonts w:hint="eastAsia" w:ascii="宋体" w:hAnsi="宋体"/>
                <w:sz w:val="21"/>
                <w:szCs w:val="21"/>
                <w:lang w:val="en-US" w:eastAsia="zh-CN"/>
              </w:rPr>
              <w:t>7</w:t>
            </w:r>
          </w:p>
        </w:tc>
      </w:tr>
      <w:tr w14:paraId="7143DE24">
        <w:tblPrEx>
          <w:tblCellMar>
            <w:top w:w="0" w:type="dxa"/>
            <w:left w:w="0" w:type="dxa"/>
            <w:bottom w:w="0" w:type="dxa"/>
            <w:right w:w="0" w:type="dxa"/>
          </w:tblCellMar>
        </w:tblPrEx>
        <w:trPr>
          <w:trHeight w:val="707" w:hRule="exact"/>
        </w:trPr>
        <w:tc>
          <w:tcPr>
            <w:tcW w:w="574" w:type="dxa"/>
            <w:vMerge w:val="continue"/>
            <w:tcBorders>
              <w:left w:val="single" w:color="000000" w:sz="4" w:space="0"/>
              <w:right w:val="single" w:color="000000" w:sz="4" w:space="0"/>
            </w:tcBorders>
            <w:vAlign w:val="center"/>
          </w:tcPr>
          <w:p w14:paraId="209BC980">
            <w:pPr>
              <w:pStyle w:val="422"/>
              <w:kinsoku w:val="0"/>
              <w:overflowPunct w:val="0"/>
              <w:spacing w:line="240" w:lineRule="auto"/>
              <w:ind w:firstLine="0" w:firstLineChars="0"/>
              <w:jc w:val="center"/>
              <w:rPr>
                <w:rFonts w:ascii="宋体" w:hAnsi="宋体"/>
                <w:sz w:val="21"/>
                <w:szCs w:val="21"/>
              </w:rPr>
            </w:pPr>
          </w:p>
        </w:tc>
        <w:tc>
          <w:tcPr>
            <w:tcW w:w="565" w:type="dxa"/>
            <w:vMerge w:val="continue"/>
            <w:tcBorders>
              <w:left w:val="single" w:color="000000" w:sz="4" w:space="0"/>
              <w:right w:val="single" w:color="000000" w:sz="4" w:space="0"/>
            </w:tcBorders>
            <w:vAlign w:val="center"/>
          </w:tcPr>
          <w:p w14:paraId="11C58D2E">
            <w:pPr>
              <w:pStyle w:val="422"/>
              <w:kinsoku w:val="0"/>
              <w:overflowPunct w:val="0"/>
              <w:spacing w:line="240" w:lineRule="auto"/>
              <w:ind w:firstLine="0" w:firstLineChars="0"/>
              <w:jc w:val="center"/>
              <w:rPr>
                <w:rFonts w:ascii="宋体" w:hAnsi="宋体"/>
                <w:sz w:val="21"/>
                <w:szCs w:val="21"/>
              </w:rPr>
            </w:pPr>
          </w:p>
        </w:tc>
        <w:tc>
          <w:tcPr>
            <w:tcW w:w="7969" w:type="dxa"/>
            <w:tcBorders>
              <w:top w:val="single" w:color="000000" w:sz="4" w:space="0"/>
              <w:left w:val="single" w:color="000000" w:sz="4" w:space="0"/>
              <w:bottom w:val="single" w:color="000000" w:sz="4" w:space="0"/>
              <w:right w:val="single" w:color="000000" w:sz="4" w:space="0"/>
            </w:tcBorders>
            <w:vAlign w:val="center"/>
          </w:tcPr>
          <w:p w14:paraId="295D45F2">
            <w:pPr>
              <w:pStyle w:val="422"/>
              <w:kinsoku w:val="0"/>
              <w:overflowPunct w:val="0"/>
              <w:snapToGrid w:val="0"/>
              <w:spacing w:line="240" w:lineRule="auto"/>
              <w:ind w:firstLine="0" w:firstLineChars="0"/>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项目组的人员配备、素质及管理经验：是否齐全、合理(方案合理完整 </w:t>
            </w:r>
            <w:r>
              <w:rPr>
                <w:rFonts w:hint="eastAsia" w:ascii="宋体" w:hAnsi="宋体" w:cs="宋体"/>
                <w:sz w:val="21"/>
                <w:szCs w:val="21"/>
                <w:lang w:val="en-US" w:eastAsia="zh-CN"/>
              </w:rPr>
              <w:t>7</w:t>
            </w:r>
            <w:r>
              <w:rPr>
                <w:rFonts w:hint="eastAsia" w:ascii="宋体" w:hAnsi="宋体" w:eastAsia="宋体" w:cs="宋体"/>
                <w:sz w:val="21"/>
                <w:szCs w:val="21"/>
                <w:lang w:eastAsia="zh-CN"/>
              </w:rPr>
              <w:t xml:space="preserve"> 分；方案基本完整 </w:t>
            </w:r>
            <w:r>
              <w:rPr>
                <w:rFonts w:hint="eastAsia" w:ascii="宋体" w:hAnsi="宋体" w:cs="宋体"/>
                <w:sz w:val="21"/>
                <w:szCs w:val="21"/>
                <w:lang w:val="en-US" w:eastAsia="zh-CN"/>
              </w:rPr>
              <w:t>4</w:t>
            </w:r>
            <w:r>
              <w:rPr>
                <w:rFonts w:hint="eastAsia" w:ascii="宋体" w:hAnsi="宋体" w:eastAsia="宋体" w:cs="宋体"/>
                <w:sz w:val="21"/>
                <w:szCs w:val="21"/>
                <w:lang w:eastAsia="zh-CN"/>
              </w:rPr>
              <w:t xml:space="preserve"> 分；方案一般 2 分；方案差 1 分；无此项得 0 分)</w:t>
            </w:r>
          </w:p>
        </w:tc>
        <w:tc>
          <w:tcPr>
            <w:tcW w:w="616" w:type="dxa"/>
            <w:tcBorders>
              <w:top w:val="single" w:color="000000" w:sz="4" w:space="0"/>
              <w:left w:val="single" w:color="000000" w:sz="4" w:space="0"/>
              <w:bottom w:val="single" w:color="000000" w:sz="4" w:space="0"/>
              <w:right w:val="single" w:color="000000" w:sz="4" w:space="0"/>
            </w:tcBorders>
            <w:vAlign w:val="center"/>
          </w:tcPr>
          <w:p w14:paraId="4048CFBE">
            <w:pPr>
              <w:pStyle w:val="422"/>
              <w:kinsoku w:val="0"/>
              <w:overflowPunct w:val="0"/>
              <w:spacing w:line="240" w:lineRule="auto"/>
              <w:ind w:firstLine="0" w:firstLineChars="0"/>
              <w:jc w:val="center"/>
              <w:rPr>
                <w:rFonts w:hint="eastAsia" w:ascii="宋体" w:hAnsi="宋体" w:eastAsia="宋体"/>
                <w:sz w:val="21"/>
                <w:szCs w:val="21"/>
                <w:lang w:eastAsia="zh-CN"/>
              </w:rPr>
            </w:pPr>
            <w:r>
              <w:rPr>
                <w:rFonts w:hint="eastAsia" w:ascii="宋体" w:hAnsi="宋体"/>
                <w:sz w:val="21"/>
                <w:szCs w:val="21"/>
                <w:lang w:val="en-US" w:eastAsia="zh-CN"/>
              </w:rPr>
              <w:t>7</w:t>
            </w:r>
          </w:p>
        </w:tc>
      </w:tr>
      <w:tr w14:paraId="4A465335">
        <w:tblPrEx>
          <w:tblCellMar>
            <w:top w:w="0" w:type="dxa"/>
            <w:left w:w="0" w:type="dxa"/>
            <w:bottom w:w="0" w:type="dxa"/>
            <w:right w:w="0" w:type="dxa"/>
          </w:tblCellMar>
        </w:tblPrEx>
        <w:trPr>
          <w:trHeight w:val="885" w:hRule="exact"/>
        </w:trPr>
        <w:tc>
          <w:tcPr>
            <w:tcW w:w="574" w:type="dxa"/>
            <w:vMerge w:val="continue"/>
            <w:tcBorders>
              <w:left w:val="single" w:color="000000" w:sz="4" w:space="0"/>
              <w:right w:val="single" w:color="000000" w:sz="4" w:space="0"/>
            </w:tcBorders>
            <w:vAlign w:val="center"/>
          </w:tcPr>
          <w:p w14:paraId="4FA34322">
            <w:pPr>
              <w:pStyle w:val="422"/>
              <w:kinsoku w:val="0"/>
              <w:overflowPunct w:val="0"/>
              <w:spacing w:line="240" w:lineRule="auto"/>
              <w:ind w:firstLine="0" w:firstLineChars="0"/>
              <w:jc w:val="center"/>
              <w:rPr>
                <w:rFonts w:ascii="宋体" w:hAnsi="宋体"/>
                <w:sz w:val="21"/>
                <w:szCs w:val="21"/>
              </w:rPr>
            </w:pPr>
          </w:p>
        </w:tc>
        <w:tc>
          <w:tcPr>
            <w:tcW w:w="565" w:type="dxa"/>
            <w:vMerge w:val="continue"/>
            <w:tcBorders>
              <w:left w:val="single" w:color="000000" w:sz="4" w:space="0"/>
              <w:right w:val="single" w:color="000000" w:sz="4" w:space="0"/>
            </w:tcBorders>
            <w:vAlign w:val="center"/>
          </w:tcPr>
          <w:p w14:paraId="2AB4859D">
            <w:pPr>
              <w:pStyle w:val="422"/>
              <w:kinsoku w:val="0"/>
              <w:overflowPunct w:val="0"/>
              <w:spacing w:line="240" w:lineRule="auto"/>
              <w:ind w:firstLine="0" w:firstLineChars="0"/>
              <w:jc w:val="center"/>
              <w:rPr>
                <w:rFonts w:ascii="宋体" w:hAnsi="宋体"/>
                <w:sz w:val="21"/>
                <w:szCs w:val="21"/>
              </w:rPr>
            </w:pPr>
          </w:p>
        </w:tc>
        <w:tc>
          <w:tcPr>
            <w:tcW w:w="7969" w:type="dxa"/>
            <w:tcBorders>
              <w:top w:val="single" w:color="000000" w:sz="4" w:space="0"/>
              <w:left w:val="single" w:color="000000" w:sz="4" w:space="0"/>
              <w:bottom w:val="single" w:color="000000" w:sz="4" w:space="0"/>
              <w:right w:val="single" w:color="000000" w:sz="4" w:space="0"/>
            </w:tcBorders>
            <w:vAlign w:val="center"/>
          </w:tcPr>
          <w:p w14:paraId="35AB4FBD">
            <w:pPr>
              <w:pStyle w:val="422"/>
              <w:kinsoku w:val="0"/>
              <w:overflowPunct w:val="0"/>
              <w:snapToGrid w:val="0"/>
              <w:spacing w:line="240" w:lineRule="auto"/>
              <w:ind w:firstLine="0" w:firstLineChars="0"/>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质量保证：评委根据投标人对本项目质量保证体系是否完善，科学合理，确保本项目 质量的具体措施进行打分。(方案合理完整 </w:t>
            </w:r>
            <w:r>
              <w:rPr>
                <w:rFonts w:hint="eastAsia" w:ascii="宋体" w:hAnsi="宋体" w:cs="宋体"/>
                <w:sz w:val="21"/>
                <w:szCs w:val="21"/>
                <w:lang w:val="en-US" w:eastAsia="zh-CN"/>
              </w:rPr>
              <w:t>7</w:t>
            </w:r>
            <w:r>
              <w:rPr>
                <w:rFonts w:hint="eastAsia" w:ascii="宋体" w:hAnsi="宋体" w:eastAsia="宋体" w:cs="宋体"/>
                <w:sz w:val="21"/>
                <w:szCs w:val="21"/>
                <w:lang w:eastAsia="zh-CN"/>
              </w:rPr>
              <w:t xml:space="preserve"> 分；方案基本完整 </w:t>
            </w:r>
            <w:r>
              <w:rPr>
                <w:rFonts w:hint="eastAsia" w:ascii="宋体" w:hAnsi="宋体" w:cs="宋体"/>
                <w:sz w:val="21"/>
                <w:szCs w:val="21"/>
                <w:lang w:val="en-US" w:eastAsia="zh-CN"/>
              </w:rPr>
              <w:t xml:space="preserve">4 </w:t>
            </w:r>
            <w:r>
              <w:rPr>
                <w:rFonts w:hint="eastAsia" w:ascii="宋体" w:hAnsi="宋体" w:eastAsia="宋体" w:cs="宋体"/>
                <w:sz w:val="21"/>
                <w:szCs w:val="21"/>
                <w:lang w:eastAsia="zh-CN"/>
              </w:rPr>
              <w:t>分；方案一般 2 分； 方案差 1 分；无此项得 0 分)</w:t>
            </w:r>
          </w:p>
        </w:tc>
        <w:tc>
          <w:tcPr>
            <w:tcW w:w="616" w:type="dxa"/>
            <w:tcBorders>
              <w:top w:val="single" w:color="000000" w:sz="4" w:space="0"/>
              <w:left w:val="single" w:color="000000" w:sz="4" w:space="0"/>
              <w:bottom w:val="single" w:color="000000" w:sz="4" w:space="0"/>
              <w:right w:val="single" w:color="000000" w:sz="4" w:space="0"/>
            </w:tcBorders>
            <w:vAlign w:val="center"/>
          </w:tcPr>
          <w:p w14:paraId="76DDC5D3">
            <w:pPr>
              <w:pStyle w:val="422"/>
              <w:kinsoku w:val="0"/>
              <w:overflowPunct w:val="0"/>
              <w:spacing w:line="240" w:lineRule="auto"/>
              <w:ind w:firstLine="0" w:firstLineChars="0"/>
              <w:jc w:val="center"/>
              <w:rPr>
                <w:rFonts w:hint="eastAsia" w:ascii="宋体" w:hAnsi="宋体" w:eastAsia="宋体"/>
                <w:sz w:val="21"/>
                <w:szCs w:val="21"/>
                <w:lang w:eastAsia="zh-CN"/>
              </w:rPr>
            </w:pPr>
            <w:r>
              <w:rPr>
                <w:rFonts w:hint="eastAsia" w:ascii="宋体" w:hAnsi="宋体"/>
                <w:sz w:val="21"/>
                <w:szCs w:val="21"/>
                <w:lang w:val="en-US" w:eastAsia="zh-CN"/>
              </w:rPr>
              <w:t>7</w:t>
            </w:r>
          </w:p>
        </w:tc>
      </w:tr>
      <w:tr w14:paraId="03E7D658">
        <w:tblPrEx>
          <w:tblCellMar>
            <w:top w:w="0" w:type="dxa"/>
            <w:left w:w="0" w:type="dxa"/>
            <w:bottom w:w="0" w:type="dxa"/>
            <w:right w:w="0" w:type="dxa"/>
          </w:tblCellMar>
        </w:tblPrEx>
        <w:trPr>
          <w:trHeight w:val="879" w:hRule="exact"/>
        </w:trPr>
        <w:tc>
          <w:tcPr>
            <w:tcW w:w="574" w:type="dxa"/>
            <w:vMerge w:val="continue"/>
            <w:tcBorders>
              <w:left w:val="single" w:color="000000" w:sz="4" w:space="0"/>
              <w:right w:val="single" w:color="000000" w:sz="4" w:space="0"/>
            </w:tcBorders>
            <w:vAlign w:val="center"/>
          </w:tcPr>
          <w:p w14:paraId="737081A1">
            <w:pPr>
              <w:pStyle w:val="422"/>
              <w:kinsoku w:val="0"/>
              <w:overflowPunct w:val="0"/>
              <w:spacing w:line="240" w:lineRule="auto"/>
              <w:ind w:firstLine="0" w:firstLineChars="0"/>
              <w:jc w:val="center"/>
              <w:rPr>
                <w:rFonts w:ascii="宋体" w:hAnsi="宋体"/>
                <w:sz w:val="21"/>
                <w:szCs w:val="21"/>
              </w:rPr>
            </w:pPr>
          </w:p>
        </w:tc>
        <w:tc>
          <w:tcPr>
            <w:tcW w:w="565" w:type="dxa"/>
            <w:vMerge w:val="continue"/>
            <w:tcBorders>
              <w:left w:val="single" w:color="000000" w:sz="4" w:space="0"/>
              <w:right w:val="single" w:color="000000" w:sz="4" w:space="0"/>
            </w:tcBorders>
            <w:vAlign w:val="center"/>
          </w:tcPr>
          <w:p w14:paraId="5F302EF9">
            <w:pPr>
              <w:pStyle w:val="422"/>
              <w:kinsoku w:val="0"/>
              <w:overflowPunct w:val="0"/>
              <w:spacing w:line="240" w:lineRule="auto"/>
              <w:ind w:firstLine="0" w:firstLineChars="0"/>
              <w:jc w:val="center"/>
              <w:rPr>
                <w:rFonts w:ascii="宋体" w:hAnsi="宋体"/>
                <w:sz w:val="21"/>
                <w:szCs w:val="21"/>
              </w:rPr>
            </w:pPr>
          </w:p>
        </w:tc>
        <w:tc>
          <w:tcPr>
            <w:tcW w:w="7969" w:type="dxa"/>
            <w:tcBorders>
              <w:top w:val="single" w:color="000000" w:sz="4" w:space="0"/>
              <w:left w:val="single" w:color="000000" w:sz="4" w:space="0"/>
              <w:bottom w:val="single" w:color="000000" w:sz="4" w:space="0"/>
              <w:right w:val="single" w:color="000000" w:sz="4" w:space="0"/>
            </w:tcBorders>
            <w:vAlign w:val="center"/>
          </w:tcPr>
          <w:p w14:paraId="02EE86FC">
            <w:pPr>
              <w:pStyle w:val="422"/>
              <w:kinsoku w:val="0"/>
              <w:overflowPunct w:val="0"/>
              <w:snapToGrid w:val="0"/>
              <w:spacing w:line="240" w:lineRule="auto"/>
              <w:ind w:firstLine="0" w:firstLineChars="0"/>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服务承诺：相关承诺内容应全面、可行。承诺应包括工作质量、工作成果等方面，比 较各投标人承诺内容的实质性及含金量进行打分(方案合理完整 </w:t>
            </w:r>
            <w:r>
              <w:rPr>
                <w:rFonts w:hint="eastAsia" w:ascii="宋体" w:hAnsi="宋体" w:cs="宋体"/>
                <w:sz w:val="21"/>
                <w:szCs w:val="21"/>
                <w:lang w:val="en-US" w:eastAsia="zh-CN"/>
              </w:rPr>
              <w:t>7</w:t>
            </w:r>
            <w:r>
              <w:rPr>
                <w:rFonts w:hint="eastAsia" w:ascii="宋体" w:hAnsi="宋体" w:eastAsia="宋体" w:cs="宋体"/>
                <w:sz w:val="21"/>
                <w:szCs w:val="21"/>
                <w:lang w:eastAsia="zh-CN"/>
              </w:rPr>
              <w:t xml:space="preserve">分；方案基本完整 </w:t>
            </w:r>
            <w:r>
              <w:rPr>
                <w:rFonts w:hint="eastAsia" w:ascii="宋体" w:hAnsi="宋体" w:cs="宋体"/>
                <w:sz w:val="21"/>
                <w:szCs w:val="21"/>
                <w:lang w:val="en-US" w:eastAsia="zh-CN"/>
              </w:rPr>
              <w:t>4</w:t>
            </w:r>
            <w:r>
              <w:rPr>
                <w:rFonts w:hint="eastAsia" w:ascii="宋体" w:hAnsi="宋体" w:eastAsia="宋体" w:cs="宋体"/>
                <w:sz w:val="21"/>
                <w:szCs w:val="21"/>
                <w:lang w:eastAsia="zh-CN"/>
              </w:rPr>
              <w:t>分；方案一般 2 分；方案差 1 分；无此项得 0 分)</w:t>
            </w:r>
          </w:p>
        </w:tc>
        <w:tc>
          <w:tcPr>
            <w:tcW w:w="616" w:type="dxa"/>
            <w:tcBorders>
              <w:top w:val="single" w:color="000000" w:sz="4" w:space="0"/>
              <w:left w:val="single" w:color="000000" w:sz="4" w:space="0"/>
              <w:bottom w:val="single" w:color="000000" w:sz="4" w:space="0"/>
              <w:right w:val="single" w:color="000000" w:sz="4" w:space="0"/>
            </w:tcBorders>
            <w:vAlign w:val="center"/>
          </w:tcPr>
          <w:p w14:paraId="328B0D5B">
            <w:pPr>
              <w:pStyle w:val="422"/>
              <w:kinsoku w:val="0"/>
              <w:overflowPunct w:val="0"/>
              <w:spacing w:line="240" w:lineRule="auto"/>
              <w:ind w:firstLine="0" w:firstLineChars="0"/>
              <w:jc w:val="center"/>
              <w:rPr>
                <w:rFonts w:hint="eastAsia" w:ascii="宋体" w:hAnsi="宋体" w:eastAsia="宋体"/>
                <w:sz w:val="21"/>
                <w:szCs w:val="21"/>
                <w:lang w:eastAsia="zh-CN"/>
              </w:rPr>
            </w:pPr>
            <w:r>
              <w:rPr>
                <w:rFonts w:hint="eastAsia" w:ascii="宋体" w:hAnsi="宋体"/>
                <w:sz w:val="21"/>
                <w:szCs w:val="21"/>
                <w:lang w:val="en-US" w:eastAsia="zh-CN"/>
              </w:rPr>
              <w:t>7</w:t>
            </w:r>
          </w:p>
        </w:tc>
      </w:tr>
      <w:tr w14:paraId="50AB4AA6">
        <w:tblPrEx>
          <w:tblCellMar>
            <w:top w:w="0" w:type="dxa"/>
            <w:left w:w="0" w:type="dxa"/>
            <w:bottom w:w="0" w:type="dxa"/>
            <w:right w:w="0" w:type="dxa"/>
          </w:tblCellMar>
        </w:tblPrEx>
        <w:trPr>
          <w:trHeight w:val="926" w:hRule="exact"/>
        </w:trPr>
        <w:tc>
          <w:tcPr>
            <w:tcW w:w="574" w:type="dxa"/>
            <w:vMerge w:val="continue"/>
            <w:tcBorders>
              <w:left w:val="single" w:color="000000" w:sz="4" w:space="0"/>
              <w:bottom w:val="single" w:color="000000" w:sz="4" w:space="0"/>
              <w:right w:val="single" w:color="000000" w:sz="4" w:space="0"/>
            </w:tcBorders>
            <w:vAlign w:val="center"/>
          </w:tcPr>
          <w:p w14:paraId="38AD781D">
            <w:pPr>
              <w:pStyle w:val="422"/>
              <w:kinsoku w:val="0"/>
              <w:overflowPunct w:val="0"/>
              <w:spacing w:line="240" w:lineRule="auto"/>
              <w:ind w:firstLine="0" w:firstLineChars="0"/>
              <w:jc w:val="center"/>
              <w:rPr>
                <w:rFonts w:ascii="宋体" w:hAnsi="宋体"/>
                <w:sz w:val="21"/>
                <w:szCs w:val="21"/>
              </w:rPr>
            </w:pPr>
          </w:p>
        </w:tc>
        <w:tc>
          <w:tcPr>
            <w:tcW w:w="565" w:type="dxa"/>
            <w:vMerge w:val="continue"/>
            <w:tcBorders>
              <w:left w:val="single" w:color="000000" w:sz="4" w:space="0"/>
              <w:bottom w:val="single" w:color="000000" w:sz="4" w:space="0"/>
              <w:right w:val="single" w:color="000000" w:sz="4" w:space="0"/>
            </w:tcBorders>
            <w:vAlign w:val="center"/>
          </w:tcPr>
          <w:p w14:paraId="6FDDA197">
            <w:pPr>
              <w:pStyle w:val="422"/>
              <w:kinsoku w:val="0"/>
              <w:overflowPunct w:val="0"/>
              <w:spacing w:line="240" w:lineRule="auto"/>
              <w:ind w:firstLine="0" w:firstLineChars="0"/>
              <w:jc w:val="center"/>
              <w:rPr>
                <w:rFonts w:ascii="宋体" w:hAnsi="宋体"/>
                <w:sz w:val="21"/>
                <w:szCs w:val="21"/>
              </w:rPr>
            </w:pPr>
          </w:p>
        </w:tc>
        <w:tc>
          <w:tcPr>
            <w:tcW w:w="7969" w:type="dxa"/>
            <w:tcBorders>
              <w:top w:val="single" w:color="000000" w:sz="4" w:space="0"/>
              <w:left w:val="single" w:color="000000" w:sz="4" w:space="0"/>
              <w:bottom w:val="single" w:color="000000" w:sz="4" w:space="0"/>
              <w:right w:val="single" w:color="000000" w:sz="4" w:space="0"/>
            </w:tcBorders>
            <w:vAlign w:val="center"/>
          </w:tcPr>
          <w:p w14:paraId="0FB16717">
            <w:pPr>
              <w:pStyle w:val="422"/>
              <w:kinsoku w:val="0"/>
              <w:overflowPunct w:val="0"/>
              <w:snapToGrid w:val="0"/>
              <w:spacing w:line="240" w:lineRule="auto"/>
              <w:ind w:firstLine="0" w:firstLineChars="0"/>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针对本项目特点、难点和重点制定的措施针对性强，提出的合理化建议具体可行；( 方案合理完整：</w:t>
            </w:r>
            <w:r>
              <w:rPr>
                <w:rFonts w:hint="eastAsia" w:ascii="宋体" w:hAnsi="宋体" w:cs="宋体"/>
                <w:sz w:val="21"/>
                <w:szCs w:val="21"/>
                <w:lang w:val="en-US" w:eastAsia="zh-CN"/>
              </w:rPr>
              <w:t>7</w:t>
            </w:r>
            <w:r>
              <w:rPr>
                <w:rFonts w:hint="eastAsia" w:ascii="宋体" w:hAnsi="宋体" w:eastAsia="宋体" w:cs="宋体"/>
                <w:sz w:val="21"/>
                <w:szCs w:val="21"/>
                <w:lang w:eastAsia="zh-CN"/>
              </w:rPr>
              <w:t xml:space="preserve"> 分；方案基本完整：</w:t>
            </w:r>
            <w:r>
              <w:rPr>
                <w:rFonts w:hint="eastAsia" w:ascii="宋体" w:hAnsi="宋体" w:cs="宋体"/>
                <w:sz w:val="21"/>
                <w:szCs w:val="21"/>
                <w:lang w:val="en-US" w:eastAsia="zh-CN"/>
              </w:rPr>
              <w:t>4</w:t>
            </w:r>
            <w:r>
              <w:rPr>
                <w:rFonts w:hint="eastAsia" w:ascii="宋体" w:hAnsi="宋体" w:eastAsia="宋体" w:cs="宋体"/>
                <w:sz w:val="21"/>
                <w:szCs w:val="21"/>
                <w:lang w:eastAsia="zh-CN"/>
              </w:rPr>
              <w:t xml:space="preserve"> 分；方案一般：2 分；方案差：1 分；无此 项得 0 分）</w:t>
            </w:r>
          </w:p>
        </w:tc>
        <w:tc>
          <w:tcPr>
            <w:tcW w:w="616" w:type="dxa"/>
            <w:tcBorders>
              <w:top w:val="single" w:color="000000" w:sz="4" w:space="0"/>
              <w:left w:val="single" w:color="000000" w:sz="4" w:space="0"/>
              <w:bottom w:val="single" w:color="auto" w:sz="4" w:space="0"/>
              <w:right w:val="single" w:color="000000" w:sz="4" w:space="0"/>
            </w:tcBorders>
            <w:vAlign w:val="center"/>
          </w:tcPr>
          <w:p w14:paraId="4D9891B4">
            <w:pPr>
              <w:pStyle w:val="422"/>
              <w:kinsoku w:val="0"/>
              <w:overflowPunct w:val="0"/>
              <w:spacing w:line="240" w:lineRule="auto"/>
              <w:ind w:firstLine="0" w:firstLineChars="0"/>
              <w:jc w:val="center"/>
              <w:rPr>
                <w:rFonts w:hint="eastAsia" w:ascii="宋体" w:hAnsi="宋体" w:eastAsia="宋体"/>
                <w:sz w:val="21"/>
                <w:szCs w:val="21"/>
                <w:lang w:eastAsia="zh-CN"/>
              </w:rPr>
            </w:pPr>
            <w:r>
              <w:rPr>
                <w:rFonts w:hint="eastAsia" w:ascii="宋体" w:hAnsi="宋体"/>
                <w:sz w:val="21"/>
                <w:szCs w:val="21"/>
                <w:lang w:val="en-US" w:eastAsia="zh-CN"/>
              </w:rPr>
              <w:t>7</w:t>
            </w:r>
          </w:p>
        </w:tc>
      </w:tr>
      <w:tr w14:paraId="2FD1D5FC">
        <w:tblPrEx>
          <w:tblCellMar>
            <w:top w:w="0" w:type="dxa"/>
            <w:left w:w="0" w:type="dxa"/>
            <w:bottom w:w="0" w:type="dxa"/>
            <w:right w:w="0" w:type="dxa"/>
          </w:tblCellMar>
        </w:tblPrEx>
        <w:trPr>
          <w:trHeight w:val="962" w:hRule="atLeast"/>
        </w:trPr>
        <w:tc>
          <w:tcPr>
            <w:tcW w:w="574" w:type="dxa"/>
            <w:vMerge w:val="restart"/>
            <w:tcBorders>
              <w:top w:val="single" w:color="000000" w:sz="4" w:space="0"/>
              <w:left w:val="single" w:color="000000" w:sz="4" w:space="0"/>
              <w:right w:val="single" w:color="000000" w:sz="4" w:space="0"/>
            </w:tcBorders>
            <w:vAlign w:val="center"/>
          </w:tcPr>
          <w:p w14:paraId="3A32A2E0">
            <w:pPr>
              <w:pStyle w:val="422"/>
              <w:kinsoku w:val="0"/>
              <w:overflowPunct w:val="0"/>
              <w:spacing w:line="240" w:lineRule="auto"/>
              <w:ind w:firstLine="0" w:firstLineChars="0"/>
              <w:jc w:val="center"/>
              <w:rPr>
                <w:rFonts w:ascii="宋体" w:hAnsi="宋体"/>
                <w:sz w:val="21"/>
                <w:szCs w:val="21"/>
              </w:rPr>
            </w:pPr>
            <w:r>
              <w:rPr>
                <w:rFonts w:hint="eastAsia" w:ascii="宋体" w:hAnsi="宋体"/>
                <w:sz w:val="21"/>
                <w:szCs w:val="21"/>
              </w:rPr>
              <w:t>3</w:t>
            </w:r>
          </w:p>
        </w:tc>
        <w:tc>
          <w:tcPr>
            <w:tcW w:w="565" w:type="dxa"/>
            <w:vMerge w:val="restart"/>
            <w:tcBorders>
              <w:top w:val="single" w:color="000000" w:sz="4" w:space="0"/>
              <w:left w:val="single" w:color="000000" w:sz="4" w:space="0"/>
              <w:right w:val="single" w:color="000000" w:sz="4" w:space="0"/>
            </w:tcBorders>
            <w:vAlign w:val="center"/>
          </w:tcPr>
          <w:p w14:paraId="5314B8DE">
            <w:pPr>
              <w:pStyle w:val="422"/>
              <w:kinsoku w:val="0"/>
              <w:overflowPunct w:val="0"/>
              <w:spacing w:line="240" w:lineRule="auto"/>
              <w:ind w:firstLine="0" w:firstLineChars="0"/>
              <w:jc w:val="center"/>
              <w:rPr>
                <w:rFonts w:hint="eastAsia" w:ascii="宋体" w:hAnsi="宋体" w:eastAsia="宋体" w:cs="宋体"/>
                <w:sz w:val="21"/>
                <w:szCs w:val="21"/>
                <w:lang w:eastAsia="zh-CN"/>
              </w:rPr>
            </w:pPr>
            <w:r>
              <w:rPr>
                <w:rFonts w:hint="eastAsia" w:ascii="宋体" w:hAnsi="宋体" w:cs="宋体"/>
                <w:sz w:val="21"/>
                <w:szCs w:val="21"/>
                <w:lang w:eastAsia="zh-CN"/>
              </w:rPr>
              <w:t>业绩</w:t>
            </w:r>
          </w:p>
        </w:tc>
        <w:tc>
          <w:tcPr>
            <w:tcW w:w="7969" w:type="dxa"/>
            <w:tcBorders>
              <w:top w:val="single" w:color="000000" w:sz="4" w:space="0"/>
              <w:left w:val="single" w:color="000000" w:sz="4" w:space="0"/>
              <w:bottom w:val="single" w:color="000000" w:sz="4" w:space="0"/>
              <w:right w:val="single" w:color="auto" w:sz="4" w:space="0"/>
            </w:tcBorders>
            <w:vAlign w:val="center"/>
          </w:tcPr>
          <w:p w14:paraId="5565CBFD">
            <w:pPr>
              <w:pStyle w:val="422"/>
              <w:kinsoku w:val="0"/>
              <w:overflowPunct w:val="0"/>
              <w:snapToGrid w:val="0"/>
              <w:spacing w:line="240" w:lineRule="auto"/>
              <w:ind w:firstLine="0" w:firstLineChars="0"/>
              <w:rPr>
                <w:rFonts w:hint="default" w:ascii="宋体" w:hAnsi="宋体" w:eastAsia="宋体" w:cs="宋体"/>
                <w:sz w:val="21"/>
                <w:szCs w:val="21"/>
                <w:lang w:val="en-US" w:eastAsia="zh-CN"/>
              </w:rPr>
            </w:pPr>
            <w:r>
              <w:rPr>
                <w:rFonts w:hint="eastAsia" w:ascii="宋体" w:hAnsi="宋体"/>
                <w:sz w:val="21"/>
                <w:szCs w:val="21"/>
                <w:lang w:eastAsia="zh-CN"/>
              </w:rPr>
              <w:t>企业自202</w:t>
            </w:r>
            <w:r>
              <w:rPr>
                <w:rFonts w:hint="eastAsia" w:ascii="宋体" w:hAnsi="宋体"/>
                <w:sz w:val="21"/>
                <w:szCs w:val="21"/>
                <w:lang w:val="en-US" w:eastAsia="zh-CN"/>
              </w:rPr>
              <w:t>2</w:t>
            </w:r>
            <w:r>
              <w:rPr>
                <w:rFonts w:hint="eastAsia" w:ascii="宋体" w:hAnsi="宋体"/>
                <w:sz w:val="21"/>
                <w:szCs w:val="21"/>
                <w:lang w:eastAsia="zh-CN"/>
              </w:rPr>
              <w:t>年</w:t>
            </w:r>
            <w:r>
              <w:rPr>
                <w:rFonts w:hint="eastAsia" w:ascii="宋体" w:hAnsi="宋体"/>
                <w:sz w:val="21"/>
                <w:szCs w:val="21"/>
                <w:lang w:val="en-US" w:eastAsia="zh-CN"/>
              </w:rPr>
              <w:t>5</w:t>
            </w:r>
            <w:r>
              <w:rPr>
                <w:rFonts w:hint="eastAsia" w:ascii="宋体" w:hAnsi="宋体"/>
                <w:sz w:val="21"/>
                <w:szCs w:val="21"/>
                <w:lang w:eastAsia="zh-CN"/>
              </w:rPr>
              <w:t>月1日以来承接过类似工程业绩，每有1个业绩得</w:t>
            </w:r>
            <w:r>
              <w:rPr>
                <w:rFonts w:hint="eastAsia" w:ascii="宋体" w:hAnsi="宋体"/>
                <w:sz w:val="21"/>
                <w:szCs w:val="21"/>
                <w:lang w:val="en-US" w:eastAsia="zh-CN"/>
              </w:rPr>
              <w:t>1</w:t>
            </w:r>
            <w:r>
              <w:rPr>
                <w:rFonts w:hint="eastAsia" w:ascii="宋体" w:hAnsi="宋体"/>
                <w:sz w:val="21"/>
                <w:szCs w:val="21"/>
                <w:lang w:eastAsia="zh-CN"/>
              </w:rPr>
              <w:t>分，本项最高得</w:t>
            </w:r>
            <w:r>
              <w:rPr>
                <w:rFonts w:hint="eastAsia" w:ascii="宋体" w:hAnsi="宋体"/>
                <w:sz w:val="21"/>
                <w:szCs w:val="21"/>
                <w:lang w:val="en-US" w:eastAsia="zh-CN"/>
              </w:rPr>
              <w:t>4</w:t>
            </w:r>
            <w:r>
              <w:rPr>
                <w:rFonts w:hint="eastAsia" w:ascii="宋体" w:hAnsi="宋体"/>
                <w:sz w:val="21"/>
                <w:szCs w:val="21"/>
                <w:lang w:eastAsia="zh-CN"/>
              </w:rPr>
              <w:t>分。（提供合同及竣工验收证明复印件加盖公章，时间以竣工验收时间为准。企业业绩与项目负责人业绩不可兼得。）</w:t>
            </w:r>
          </w:p>
        </w:tc>
        <w:tc>
          <w:tcPr>
            <w:tcW w:w="616" w:type="dxa"/>
            <w:tcBorders>
              <w:top w:val="single" w:color="auto" w:sz="4" w:space="0"/>
              <w:left w:val="single" w:color="auto" w:sz="4" w:space="0"/>
              <w:bottom w:val="single" w:color="auto" w:sz="4" w:space="0"/>
              <w:right w:val="single" w:color="auto" w:sz="4" w:space="0"/>
            </w:tcBorders>
            <w:vAlign w:val="center"/>
          </w:tcPr>
          <w:p w14:paraId="146B3582">
            <w:pPr>
              <w:pStyle w:val="422"/>
              <w:kinsoku w:val="0"/>
              <w:overflowPunct w:val="0"/>
              <w:spacing w:line="240" w:lineRule="auto"/>
              <w:ind w:firstLine="0" w:firstLineChars="0"/>
              <w:jc w:val="center"/>
              <w:rPr>
                <w:rFonts w:hint="default" w:ascii="宋体" w:hAnsi="宋体"/>
                <w:sz w:val="21"/>
                <w:szCs w:val="21"/>
                <w:lang w:val="en-US" w:eastAsia="zh-CN"/>
              </w:rPr>
            </w:pPr>
            <w:r>
              <w:rPr>
                <w:rFonts w:hint="eastAsia" w:ascii="宋体" w:hAnsi="宋体"/>
                <w:sz w:val="21"/>
                <w:szCs w:val="21"/>
                <w:lang w:val="en-US" w:eastAsia="zh-CN"/>
              </w:rPr>
              <w:t>4</w:t>
            </w:r>
          </w:p>
        </w:tc>
      </w:tr>
      <w:tr w14:paraId="7AE14049">
        <w:tblPrEx>
          <w:tblCellMar>
            <w:top w:w="0" w:type="dxa"/>
            <w:left w:w="0" w:type="dxa"/>
            <w:bottom w:w="0" w:type="dxa"/>
            <w:right w:w="0" w:type="dxa"/>
          </w:tblCellMar>
        </w:tblPrEx>
        <w:trPr>
          <w:trHeight w:val="868" w:hRule="atLeast"/>
        </w:trPr>
        <w:tc>
          <w:tcPr>
            <w:tcW w:w="574" w:type="dxa"/>
            <w:vMerge w:val="continue"/>
            <w:tcBorders>
              <w:left w:val="single" w:color="000000" w:sz="4" w:space="0"/>
              <w:bottom w:val="single" w:color="auto" w:sz="4" w:space="0"/>
              <w:right w:val="single" w:color="000000" w:sz="4" w:space="0"/>
            </w:tcBorders>
            <w:vAlign w:val="center"/>
          </w:tcPr>
          <w:p w14:paraId="044C449C">
            <w:pPr>
              <w:pStyle w:val="422"/>
              <w:kinsoku w:val="0"/>
              <w:overflowPunct w:val="0"/>
              <w:snapToGrid w:val="0"/>
              <w:spacing w:line="240" w:lineRule="auto"/>
              <w:ind w:firstLine="0" w:firstLineChars="0"/>
            </w:pPr>
          </w:p>
        </w:tc>
        <w:tc>
          <w:tcPr>
            <w:tcW w:w="565" w:type="dxa"/>
            <w:vMerge w:val="continue"/>
            <w:tcBorders>
              <w:left w:val="single" w:color="000000" w:sz="4" w:space="0"/>
              <w:bottom w:val="single" w:color="auto" w:sz="4" w:space="0"/>
              <w:right w:val="single" w:color="000000" w:sz="4" w:space="0"/>
            </w:tcBorders>
            <w:vAlign w:val="center"/>
          </w:tcPr>
          <w:p w14:paraId="70075944">
            <w:pPr>
              <w:pStyle w:val="422"/>
              <w:kinsoku w:val="0"/>
              <w:overflowPunct w:val="0"/>
              <w:snapToGrid w:val="0"/>
              <w:spacing w:line="240" w:lineRule="auto"/>
              <w:ind w:firstLine="0" w:firstLineChars="0"/>
            </w:pPr>
          </w:p>
        </w:tc>
        <w:tc>
          <w:tcPr>
            <w:tcW w:w="7969" w:type="dxa"/>
            <w:tcBorders>
              <w:top w:val="single" w:color="000000" w:sz="4" w:space="0"/>
              <w:left w:val="single" w:color="000000" w:sz="4" w:space="0"/>
              <w:bottom w:val="single" w:color="auto" w:sz="4" w:space="0"/>
              <w:right w:val="single" w:color="auto" w:sz="4" w:space="0"/>
            </w:tcBorders>
            <w:vAlign w:val="center"/>
          </w:tcPr>
          <w:p w14:paraId="3C27BADF">
            <w:pPr>
              <w:pStyle w:val="422"/>
              <w:kinsoku w:val="0"/>
              <w:overflowPunct w:val="0"/>
              <w:snapToGrid w:val="0"/>
              <w:spacing w:line="240" w:lineRule="auto"/>
              <w:ind w:firstLine="0" w:firstLineChars="0"/>
              <w:rPr>
                <w:rFonts w:hint="eastAsia" w:ascii="宋体" w:hAnsi="宋体" w:cs="宋体"/>
                <w:color w:val="FF0000"/>
                <w:sz w:val="21"/>
                <w:szCs w:val="21"/>
                <w:lang w:val="en-US" w:eastAsia="zh-CN"/>
              </w:rPr>
            </w:pPr>
            <w:r>
              <w:rPr>
                <w:rFonts w:hint="eastAsia" w:ascii="宋体" w:hAnsi="宋体"/>
                <w:sz w:val="21"/>
                <w:szCs w:val="21"/>
                <w:lang w:eastAsia="zh-CN"/>
              </w:rPr>
              <w:t>项目负责人自20</w:t>
            </w:r>
            <w:r>
              <w:rPr>
                <w:rFonts w:hint="eastAsia" w:ascii="宋体" w:hAnsi="宋体"/>
                <w:sz w:val="21"/>
                <w:szCs w:val="21"/>
                <w:lang w:val="en-US" w:eastAsia="zh-CN"/>
              </w:rPr>
              <w:t>22</w:t>
            </w:r>
            <w:r>
              <w:rPr>
                <w:rFonts w:hint="eastAsia" w:ascii="宋体" w:hAnsi="宋体"/>
                <w:sz w:val="21"/>
                <w:szCs w:val="21"/>
                <w:lang w:eastAsia="zh-CN"/>
              </w:rPr>
              <w:t>年</w:t>
            </w:r>
            <w:r>
              <w:rPr>
                <w:rFonts w:hint="eastAsia" w:ascii="宋体" w:hAnsi="宋体"/>
                <w:sz w:val="21"/>
                <w:szCs w:val="21"/>
                <w:lang w:val="en-US" w:eastAsia="zh-CN"/>
              </w:rPr>
              <w:t>5</w:t>
            </w:r>
            <w:r>
              <w:rPr>
                <w:rFonts w:hint="eastAsia" w:ascii="宋体" w:hAnsi="宋体"/>
                <w:sz w:val="21"/>
                <w:szCs w:val="21"/>
                <w:lang w:eastAsia="zh-CN"/>
              </w:rPr>
              <w:t>月1日以来承接过类似工程业绩，每有1个业绩得</w:t>
            </w:r>
            <w:r>
              <w:rPr>
                <w:rFonts w:hint="eastAsia" w:ascii="宋体" w:hAnsi="宋体"/>
                <w:sz w:val="21"/>
                <w:szCs w:val="21"/>
                <w:lang w:val="en-US" w:eastAsia="zh-CN"/>
              </w:rPr>
              <w:t>1</w:t>
            </w:r>
            <w:r>
              <w:rPr>
                <w:rFonts w:hint="eastAsia" w:ascii="宋体" w:hAnsi="宋体"/>
                <w:sz w:val="21"/>
                <w:szCs w:val="21"/>
                <w:lang w:eastAsia="zh-CN"/>
              </w:rPr>
              <w:t>分，本项最高得</w:t>
            </w:r>
            <w:r>
              <w:rPr>
                <w:rFonts w:hint="eastAsia" w:ascii="宋体" w:hAnsi="宋体"/>
                <w:sz w:val="21"/>
                <w:szCs w:val="21"/>
                <w:lang w:val="en-US" w:eastAsia="zh-CN"/>
              </w:rPr>
              <w:t>2</w:t>
            </w:r>
            <w:r>
              <w:rPr>
                <w:rFonts w:hint="eastAsia" w:ascii="宋体" w:hAnsi="宋体"/>
                <w:sz w:val="21"/>
                <w:szCs w:val="21"/>
                <w:lang w:eastAsia="zh-CN"/>
              </w:rPr>
              <w:t>分。（提供合同及竣工验收证明复印件加盖公章，时间以竣工验收时间为准。企业业绩与项目负责人业绩不可兼得。）</w:t>
            </w:r>
          </w:p>
        </w:tc>
        <w:tc>
          <w:tcPr>
            <w:tcW w:w="616" w:type="dxa"/>
            <w:tcBorders>
              <w:top w:val="single" w:color="auto" w:sz="4" w:space="0"/>
              <w:left w:val="single" w:color="auto" w:sz="4" w:space="0"/>
              <w:bottom w:val="single" w:color="auto" w:sz="4" w:space="0"/>
              <w:right w:val="single" w:color="auto" w:sz="4" w:space="0"/>
            </w:tcBorders>
            <w:vAlign w:val="center"/>
          </w:tcPr>
          <w:p w14:paraId="4200109D">
            <w:pPr>
              <w:pStyle w:val="422"/>
              <w:kinsoku w:val="0"/>
              <w:overflowPunct w:val="0"/>
              <w:spacing w:line="240" w:lineRule="auto"/>
              <w:ind w:firstLine="0" w:firstLineChars="0"/>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2</w:t>
            </w:r>
          </w:p>
        </w:tc>
      </w:tr>
      <w:tr w14:paraId="55773610">
        <w:tblPrEx>
          <w:tblCellMar>
            <w:top w:w="0" w:type="dxa"/>
            <w:left w:w="0" w:type="dxa"/>
            <w:bottom w:w="0" w:type="dxa"/>
            <w:right w:w="0" w:type="dxa"/>
          </w:tblCellMar>
        </w:tblPrEx>
        <w:trPr>
          <w:trHeight w:val="1733" w:hRule="atLeast"/>
        </w:trPr>
        <w:tc>
          <w:tcPr>
            <w:tcW w:w="574" w:type="dxa"/>
            <w:tcBorders>
              <w:top w:val="single" w:color="auto" w:sz="4" w:space="0"/>
              <w:left w:val="single" w:color="auto" w:sz="4" w:space="0"/>
              <w:bottom w:val="single" w:color="auto" w:sz="4" w:space="0"/>
              <w:right w:val="single" w:color="000000" w:sz="4" w:space="0"/>
            </w:tcBorders>
            <w:vAlign w:val="center"/>
          </w:tcPr>
          <w:p w14:paraId="203ACC14">
            <w:pPr>
              <w:pStyle w:val="422"/>
              <w:kinsoku w:val="0"/>
              <w:overflowPunct w:val="0"/>
              <w:spacing w:line="240" w:lineRule="auto"/>
              <w:ind w:firstLine="0" w:firstLineChars="0"/>
              <w:jc w:val="center"/>
              <w:rPr>
                <w:rFonts w:hint="eastAsia" w:eastAsia="宋体"/>
                <w:lang w:val="en-US" w:eastAsia="zh-CN"/>
              </w:rPr>
            </w:pPr>
            <w:r>
              <w:rPr>
                <w:rFonts w:hint="eastAsia" w:ascii="宋体" w:hAnsi="宋体"/>
                <w:sz w:val="21"/>
                <w:szCs w:val="21"/>
                <w:lang w:val="en-US" w:eastAsia="zh-CN"/>
              </w:rPr>
              <w:t>4</w:t>
            </w:r>
          </w:p>
        </w:tc>
        <w:tc>
          <w:tcPr>
            <w:tcW w:w="565" w:type="dxa"/>
            <w:tcBorders>
              <w:top w:val="single" w:color="auto" w:sz="4" w:space="0"/>
              <w:left w:val="single" w:color="000000" w:sz="4" w:space="0"/>
              <w:bottom w:val="single" w:color="auto" w:sz="4" w:space="0"/>
              <w:right w:val="single" w:color="000000" w:sz="4" w:space="0"/>
            </w:tcBorders>
            <w:vAlign w:val="center"/>
          </w:tcPr>
          <w:p w14:paraId="2346511B">
            <w:pPr>
              <w:pStyle w:val="422"/>
              <w:kinsoku w:val="0"/>
              <w:overflowPunct w:val="0"/>
              <w:spacing w:line="240" w:lineRule="auto"/>
              <w:ind w:firstLine="0" w:firstLineChars="0"/>
              <w:jc w:val="center"/>
              <w:rPr>
                <w:rFonts w:hint="eastAsia" w:ascii="宋体" w:hAnsi="宋体"/>
                <w:sz w:val="21"/>
                <w:szCs w:val="21"/>
                <w:lang w:eastAsia="zh-CN"/>
              </w:rPr>
            </w:pPr>
            <w:r>
              <w:rPr>
                <w:rFonts w:hint="eastAsia" w:ascii="宋体" w:hAnsi="宋体" w:cs="宋体"/>
                <w:sz w:val="21"/>
                <w:szCs w:val="21"/>
                <w:lang w:eastAsia="zh-CN"/>
              </w:rPr>
              <w:t>项目组成员</w:t>
            </w:r>
          </w:p>
        </w:tc>
        <w:tc>
          <w:tcPr>
            <w:tcW w:w="7969" w:type="dxa"/>
            <w:tcBorders>
              <w:top w:val="single" w:color="auto" w:sz="4" w:space="0"/>
              <w:left w:val="single" w:color="000000" w:sz="4" w:space="0"/>
              <w:bottom w:val="single" w:color="auto" w:sz="4" w:space="0"/>
              <w:right w:val="single" w:color="auto" w:sz="4" w:space="0"/>
            </w:tcBorders>
            <w:vAlign w:val="center"/>
          </w:tcPr>
          <w:p w14:paraId="4D9796F5">
            <w:pPr>
              <w:pStyle w:val="422"/>
              <w:kinsoku w:val="0"/>
              <w:overflowPunct w:val="0"/>
              <w:snapToGrid w:val="0"/>
              <w:spacing w:line="240" w:lineRule="auto"/>
              <w:ind w:firstLine="0" w:firstLineChars="0"/>
              <w:rPr>
                <w:rFonts w:hint="eastAsia" w:ascii="宋体" w:hAnsi="宋体"/>
                <w:sz w:val="21"/>
                <w:szCs w:val="21"/>
                <w:lang w:eastAsia="zh-CN"/>
              </w:rPr>
            </w:pPr>
            <w:r>
              <w:rPr>
                <w:rFonts w:hint="eastAsia" w:ascii="宋体" w:hAnsi="宋体"/>
                <w:sz w:val="21"/>
                <w:szCs w:val="21"/>
                <w:lang w:val="en-US" w:eastAsia="zh-CN"/>
              </w:rPr>
              <w:t>1、</w:t>
            </w:r>
            <w:r>
              <w:rPr>
                <w:rFonts w:hint="eastAsia" w:ascii="宋体" w:hAnsi="宋体"/>
                <w:sz w:val="21"/>
                <w:szCs w:val="21"/>
                <w:lang w:eastAsia="zh-CN"/>
              </w:rPr>
              <w:t>拟派项目负责人具有建筑工程类中级及以上技术职称得</w:t>
            </w:r>
            <w:r>
              <w:rPr>
                <w:rFonts w:hint="eastAsia" w:ascii="宋体" w:hAnsi="宋体"/>
                <w:sz w:val="21"/>
                <w:szCs w:val="21"/>
                <w:lang w:val="en-US" w:eastAsia="zh-CN"/>
              </w:rPr>
              <w:t>2</w:t>
            </w:r>
            <w:r>
              <w:rPr>
                <w:rFonts w:hint="eastAsia" w:ascii="宋体" w:hAnsi="宋体"/>
                <w:sz w:val="21"/>
                <w:szCs w:val="21"/>
                <w:lang w:eastAsia="zh-CN"/>
              </w:rPr>
              <w:t>分。</w:t>
            </w:r>
          </w:p>
          <w:p w14:paraId="605522BB">
            <w:pPr>
              <w:pStyle w:val="422"/>
              <w:kinsoku w:val="0"/>
              <w:overflowPunct w:val="0"/>
              <w:snapToGrid w:val="0"/>
              <w:spacing w:line="240" w:lineRule="auto"/>
              <w:ind w:firstLine="0" w:firstLineChars="0"/>
              <w:rPr>
                <w:rFonts w:hint="eastAsia" w:ascii="宋体" w:hAnsi="宋体"/>
                <w:sz w:val="21"/>
                <w:szCs w:val="21"/>
                <w:lang w:eastAsia="zh-CN"/>
              </w:rPr>
            </w:pPr>
            <w:r>
              <w:rPr>
                <w:rFonts w:hint="eastAsia" w:ascii="宋体" w:hAnsi="宋体"/>
                <w:sz w:val="21"/>
                <w:szCs w:val="21"/>
                <w:lang w:val="en-US" w:eastAsia="zh-CN"/>
              </w:rPr>
              <w:t>2、具备完整的项目组成员包含：</w:t>
            </w:r>
            <w:r>
              <w:rPr>
                <w:rFonts w:hint="eastAsia" w:ascii="宋体" w:hAnsi="宋体"/>
                <w:sz w:val="21"/>
                <w:szCs w:val="21"/>
                <w:lang w:eastAsia="zh-CN"/>
              </w:rPr>
              <w:t>项目技术负责人具有</w:t>
            </w:r>
            <w:r>
              <w:rPr>
                <w:rFonts w:hint="eastAsia" w:ascii="宋体" w:hAnsi="宋体"/>
                <w:sz w:val="21"/>
                <w:szCs w:val="21"/>
                <w:lang w:val="zh-CN" w:eastAsia="zh-CN"/>
              </w:rPr>
              <w:t>注册建造师证建筑工程二级（含）以上资质证书</w:t>
            </w:r>
            <w:r>
              <w:rPr>
                <w:rFonts w:hint="eastAsia" w:ascii="宋体" w:hAnsi="宋体"/>
                <w:sz w:val="21"/>
                <w:szCs w:val="21"/>
                <w:lang w:eastAsia="zh-CN"/>
              </w:rPr>
              <w:t>、施工员、质量员、安全员、资料员、造价员（一级造价师或二级造价师）、材料员、机械员、劳务员，项目组成员均须具有建筑工程类中级及以上技术职称，配备齐全得</w:t>
            </w:r>
            <w:r>
              <w:rPr>
                <w:rFonts w:hint="eastAsia" w:ascii="宋体" w:hAnsi="宋体"/>
                <w:sz w:val="21"/>
                <w:szCs w:val="21"/>
                <w:lang w:val="en-US" w:eastAsia="zh-CN"/>
              </w:rPr>
              <w:t>4分，缺少一人不得分</w:t>
            </w:r>
            <w:r>
              <w:rPr>
                <w:rFonts w:hint="eastAsia" w:ascii="宋体" w:hAnsi="宋体"/>
                <w:sz w:val="21"/>
                <w:szCs w:val="21"/>
                <w:lang w:eastAsia="zh-CN"/>
              </w:rPr>
              <w:t>。</w:t>
            </w:r>
          </w:p>
          <w:p w14:paraId="479CDABF">
            <w:pPr>
              <w:pStyle w:val="422"/>
              <w:kinsoku w:val="0"/>
              <w:overflowPunct w:val="0"/>
              <w:snapToGrid w:val="0"/>
              <w:spacing w:line="240" w:lineRule="auto"/>
              <w:ind w:firstLine="0" w:firstLineChars="0"/>
              <w:rPr>
                <w:rFonts w:hint="eastAsia" w:ascii="宋体" w:hAnsi="宋体"/>
                <w:sz w:val="21"/>
                <w:szCs w:val="21"/>
                <w:lang w:eastAsia="zh-CN"/>
              </w:rPr>
            </w:pPr>
            <w:r>
              <w:rPr>
                <w:rFonts w:hint="eastAsia" w:ascii="宋体" w:hAnsi="宋体"/>
                <w:sz w:val="21"/>
                <w:szCs w:val="21"/>
                <w:lang w:eastAsia="zh-CN"/>
              </w:rPr>
              <w:t>(以上人员均不可兼得，提供以上人员岗位证书、中级及以上职称证书复印件加盖公章及投标单位为其缴纳近半年</w:t>
            </w:r>
            <w:r>
              <w:rPr>
                <w:rFonts w:hint="eastAsia" w:ascii="宋体" w:hAnsi="宋体"/>
                <w:sz w:val="21"/>
                <w:szCs w:val="21"/>
                <w:highlight w:val="none"/>
                <w:lang w:eastAsia="zh-CN"/>
              </w:rPr>
              <w:t>（</w:t>
            </w:r>
            <w:r>
              <w:rPr>
                <w:rFonts w:hint="eastAsia" w:ascii="宋体" w:hAnsi="宋体"/>
                <w:sz w:val="21"/>
                <w:szCs w:val="21"/>
                <w:highlight w:val="none"/>
                <w:lang w:val="en-US" w:eastAsia="zh-CN"/>
              </w:rPr>
              <w:t>2025年4月-9月</w:t>
            </w:r>
            <w:r>
              <w:rPr>
                <w:rFonts w:hint="eastAsia" w:ascii="宋体" w:hAnsi="宋体"/>
                <w:sz w:val="21"/>
                <w:szCs w:val="21"/>
                <w:highlight w:val="none"/>
                <w:lang w:eastAsia="zh-CN"/>
              </w:rPr>
              <w:t>）</w:t>
            </w:r>
            <w:r>
              <w:rPr>
                <w:rFonts w:hint="eastAsia" w:ascii="宋体" w:hAnsi="宋体"/>
                <w:sz w:val="21"/>
                <w:szCs w:val="21"/>
                <w:lang w:eastAsia="zh-CN"/>
              </w:rPr>
              <w:t>的社保证明材料。职称证书须具有在线验证二维码，无二维码须提供职称通过的批文评审通过的证明材料。)</w:t>
            </w:r>
          </w:p>
        </w:tc>
        <w:tc>
          <w:tcPr>
            <w:tcW w:w="616" w:type="dxa"/>
            <w:tcBorders>
              <w:top w:val="single" w:color="auto" w:sz="4" w:space="0"/>
              <w:left w:val="single" w:color="auto" w:sz="4" w:space="0"/>
              <w:bottom w:val="single" w:color="auto" w:sz="4" w:space="0"/>
              <w:right w:val="single" w:color="auto" w:sz="4" w:space="0"/>
            </w:tcBorders>
            <w:vAlign w:val="center"/>
          </w:tcPr>
          <w:p w14:paraId="3E7FD520">
            <w:pPr>
              <w:pStyle w:val="422"/>
              <w:kinsoku w:val="0"/>
              <w:overflowPunct w:val="0"/>
              <w:spacing w:line="240" w:lineRule="auto"/>
              <w:ind w:firstLine="0" w:firstLineChars="0"/>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6</w:t>
            </w:r>
          </w:p>
        </w:tc>
      </w:tr>
    </w:tbl>
    <w:p w14:paraId="607380B2">
      <w:pPr>
        <w:pStyle w:val="422"/>
        <w:wordWrap w:val="0"/>
        <w:topLinePunct/>
        <w:snapToGrid w:val="0"/>
        <w:spacing w:line="240" w:lineRule="auto"/>
        <w:ind w:firstLine="420"/>
        <w:rPr>
          <w:rFonts w:ascii="宋体" w:hAnsi="宋体"/>
          <w:sz w:val="21"/>
          <w:szCs w:val="21"/>
          <w:lang w:eastAsia="zh-CN"/>
        </w:rPr>
      </w:pPr>
    </w:p>
    <w:bookmarkEnd w:id="49"/>
    <w:bookmarkEnd w:id="50"/>
    <w:bookmarkEnd w:id="51"/>
    <w:bookmarkEnd w:id="52"/>
    <w:bookmarkEnd w:id="53"/>
    <w:bookmarkEnd w:id="54"/>
    <w:bookmarkEnd w:id="55"/>
    <w:bookmarkEnd w:id="56"/>
    <w:bookmarkEnd w:id="57"/>
    <w:bookmarkEnd w:id="58"/>
    <w:bookmarkEnd w:id="59"/>
    <w:p w14:paraId="02769F08">
      <w:pPr>
        <w:spacing w:before="34"/>
        <w:ind w:left="318" w:right="53" w:firstLine="422"/>
        <w:rPr>
          <w:rFonts w:ascii="宋体" w:hAnsi="宋体"/>
          <w:sz w:val="21"/>
          <w:szCs w:val="21"/>
        </w:rPr>
      </w:pPr>
      <w:bookmarkStart w:id="60" w:name="_Toc18679272"/>
      <w:bookmarkStart w:id="61" w:name="_Toc22043"/>
      <w:bookmarkStart w:id="62" w:name="_Toc18878"/>
      <w:bookmarkStart w:id="63" w:name="_Toc25854"/>
      <w:bookmarkStart w:id="64" w:name="_Toc1403"/>
      <w:bookmarkStart w:id="65" w:name="_Toc17582"/>
      <w:bookmarkStart w:id="66" w:name="_Toc12554"/>
      <w:bookmarkStart w:id="67" w:name="_Toc18948"/>
      <w:bookmarkStart w:id="68" w:name="_Toc20555"/>
      <w:bookmarkStart w:id="69" w:name="_Toc31744"/>
      <w:bookmarkStart w:id="70" w:name="_Toc17981"/>
      <w:bookmarkStart w:id="71" w:name="_Toc31184"/>
      <w:bookmarkStart w:id="72" w:name="_Toc36797908"/>
      <w:r>
        <w:rPr>
          <w:rFonts w:ascii="宋体" w:hAnsi="宋体"/>
          <w:b/>
          <w:bCs/>
          <w:sz w:val="21"/>
          <w:szCs w:val="21"/>
        </w:rPr>
        <w:t>说明：</w:t>
      </w:r>
    </w:p>
    <w:p w14:paraId="5FCC656E">
      <w:pPr>
        <w:ind w:firstLine="480"/>
        <w:rPr>
          <w:rFonts w:ascii="宋体"/>
          <w:szCs w:val="21"/>
        </w:rPr>
      </w:pPr>
      <w:r>
        <w:rPr>
          <w:rFonts w:hint="eastAsia" w:ascii="宋体"/>
          <w:szCs w:val="21"/>
        </w:rPr>
        <w:t>1. 对小微企业提供的服务给予投标价的10%价格扣除（根据财库【2020】46号第九条工程类给予5%价格扣除），用扣除后的价格参与评审。</w:t>
      </w:r>
    </w:p>
    <w:p w14:paraId="045F64F1">
      <w:pPr>
        <w:ind w:firstLine="480"/>
        <w:rPr>
          <w:rFonts w:ascii="宋体"/>
          <w:szCs w:val="21"/>
        </w:rPr>
      </w:pPr>
      <w:r>
        <w:rPr>
          <w:rFonts w:hint="eastAsia" w:ascii="宋体"/>
          <w:szCs w:val="21"/>
        </w:rPr>
        <w:t xml:space="preserve"> 2. 大中型企业和其他自然人、法人或者其他组织与小型、微型企业组成联合体共同参加投标，如果联合协议中约定，小型、微型企业的协议合同金额占到联合体协议合同总金额30%以上的，给予联合体2%的价格扣除。联合体各方均为中小型、微型企业的，联合体视同为小型、微型企业享受10%价格扣除，用扣除后的价格参与评审。</w:t>
      </w:r>
    </w:p>
    <w:p w14:paraId="0E6A8F09">
      <w:pPr>
        <w:ind w:firstLine="480"/>
        <w:rPr>
          <w:rFonts w:ascii="宋体"/>
          <w:szCs w:val="21"/>
        </w:rPr>
      </w:pPr>
      <w:r>
        <w:rPr>
          <w:rFonts w:hint="eastAsia" w:ascii="宋体"/>
          <w:szCs w:val="21"/>
        </w:rPr>
        <w:t>小企业（含小型、微型企业）应当同时符合以下条件：</w:t>
      </w:r>
    </w:p>
    <w:p w14:paraId="60E2AB99">
      <w:pPr>
        <w:ind w:firstLine="480"/>
        <w:rPr>
          <w:rFonts w:ascii="宋体"/>
          <w:szCs w:val="21"/>
        </w:rPr>
      </w:pPr>
      <w:r>
        <w:rPr>
          <w:rFonts w:hint="eastAsia" w:ascii="宋体"/>
          <w:szCs w:val="21"/>
        </w:rPr>
        <w:t>（1）供应商为小企业，且符合中小企业划分标准；</w:t>
      </w:r>
    </w:p>
    <w:p w14:paraId="0E20DF40">
      <w:pPr>
        <w:ind w:firstLine="480"/>
        <w:rPr>
          <w:rFonts w:ascii="宋体" w:hAnsi="宋体"/>
          <w:b/>
          <w:szCs w:val="21"/>
        </w:rPr>
      </w:pPr>
      <w:r>
        <w:rPr>
          <w:rFonts w:hint="eastAsia" w:ascii="宋体" w:hAnsi="宋体"/>
          <w:szCs w:val="21"/>
        </w:rPr>
        <w:t>（2）提供本企业制造的货物、承担的工程或者服务，或者提供其他小企业制造的货物。如果提供的货物为大中型企业注册商标的货物，视同大中型企业。</w:t>
      </w:r>
    </w:p>
    <w:p w14:paraId="2B3F2B1F">
      <w:pPr>
        <w:ind w:firstLine="472" w:firstLineChars="196"/>
        <w:rPr>
          <w:rFonts w:ascii="宋体"/>
          <w:b/>
        </w:rPr>
      </w:pPr>
      <w:r>
        <w:rPr>
          <w:rFonts w:hint="eastAsia" w:ascii="宋体"/>
          <w:b/>
        </w:rPr>
        <w:t>3、所有认证、证明和业绩均以有效的证明文件的复印件（加盖公章）为依据。</w:t>
      </w:r>
    </w:p>
    <w:p w14:paraId="70AA9E4B">
      <w:pPr>
        <w:ind w:firstLine="472" w:firstLineChars="196"/>
        <w:rPr>
          <w:rFonts w:ascii="宋体"/>
          <w:b/>
        </w:rPr>
      </w:pPr>
      <w:r>
        <w:rPr>
          <w:rFonts w:hint="eastAsia" w:ascii="宋体"/>
          <w:b/>
        </w:rPr>
        <w:t>注：经核实如供应商提供虚假业绩将取消评标资格。</w:t>
      </w:r>
    </w:p>
    <w:p w14:paraId="1DB0FA88">
      <w:pPr>
        <w:pStyle w:val="430"/>
        <w:rPr>
          <w:lang w:eastAsia="zh-CN"/>
        </w:rPr>
        <w:sectPr>
          <w:pgSz w:w="11910" w:h="16840"/>
          <w:pgMar w:top="1080" w:right="1080" w:bottom="920" w:left="1100" w:header="880" w:footer="726" w:gutter="0"/>
          <w:cols w:space="720" w:num="1"/>
        </w:sectPr>
      </w:pPr>
    </w:p>
    <w:p w14:paraId="12A06703">
      <w:pPr>
        <w:tabs>
          <w:tab w:val="left" w:pos="1080"/>
          <w:tab w:val="left" w:pos="4500"/>
        </w:tabs>
        <w:autoSpaceDE w:val="0"/>
        <w:autoSpaceDN w:val="0"/>
        <w:ind w:firstLine="720"/>
        <w:jc w:val="center"/>
        <w:rPr>
          <w:rFonts w:ascii="黑体" w:eastAsia="黑体"/>
          <w:color w:val="000000"/>
          <w:sz w:val="36"/>
          <w:szCs w:val="36"/>
          <w:lang w:val="zh-CN"/>
        </w:rPr>
      </w:pPr>
      <w:bookmarkStart w:id="73" w:name="_bookmark8"/>
      <w:bookmarkEnd w:id="73"/>
      <w:bookmarkStart w:id="74" w:name="第四章__采购项目需求"/>
      <w:bookmarkEnd w:id="74"/>
      <w:bookmarkStart w:id="75" w:name="_Toc290546932"/>
      <w:r>
        <w:rPr>
          <w:rFonts w:hint="eastAsia" w:ascii="黑体" w:eastAsia="黑体"/>
          <w:color w:val="000000"/>
          <w:sz w:val="36"/>
          <w:szCs w:val="36"/>
          <w:lang w:val="zh-CN"/>
        </w:rPr>
        <w:t>第四章  编制说明</w:t>
      </w:r>
    </w:p>
    <w:bookmarkEnd w:id="75"/>
    <w:p w14:paraId="0F0A4F6B">
      <w:pPr>
        <w:ind w:left="326" w:leftChars="86" w:hanging="120" w:hangingChars="50"/>
        <w:rPr>
          <w:rFonts w:hint="eastAsia" w:ascii="宋体" w:hAnsi="宋体" w:eastAsia="宋体" w:cs="仿宋"/>
          <w:b/>
          <w:bCs/>
          <w:lang w:val="en-US" w:eastAsia="zh-CN"/>
        </w:rPr>
      </w:pPr>
      <w:r>
        <w:rPr>
          <w:rFonts w:hint="eastAsia" w:ascii="宋体" w:hAnsi="宋体" w:cs="仿宋"/>
          <w:b w:val="0"/>
          <w:bCs w:val="0"/>
          <w:lang w:val="en-US" w:eastAsia="zh-CN"/>
        </w:rPr>
        <w:t>1、</w:t>
      </w:r>
      <w:r>
        <w:rPr>
          <w:rFonts w:hint="eastAsia" w:ascii="宋体" w:hAnsi="宋体" w:cs="仿宋"/>
          <w:b w:val="0"/>
          <w:bCs w:val="0"/>
          <w:lang w:eastAsia="zh-CN"/>
        </w:rPr>
        <w:t>清单编制说明</w:t>
      </w:r>
    </w:p>
    <w:p w14:paraId="1FE5CF2B">
      <w:pPr>
        <w:keepNext w:val="0"/>
        <w:keepLines w:val="0"/>
        <w:pageBreakBefore w:val="0"/>
        <w:widowControl/>
        <w:kinsoku/>
        <w:wordWrap/>
        <w:overflowPunct/>
        <w:topLinePunct w:val="0"/>
        <w:autoSpaceDE/>
        <w:autoSpaceDN/>
        <w:bidi w:val="0"/>
        <w:adjustRightInd w:val="0"/>
        <w:snapToGrid w:val="0"/>
        <w:spacing w:line="360" w:lineRule="auto"/>
        <w:ind w:left="326" w:leftChars="86" w:hanging="120" w:hangingChars="50"/>
        <w:textAlignment w:val="auto"/>
        <w:rPr>
          <w:rFonts w:hint="eastAsia" w:ascii="宋体" w:hAnsi="宋体" w:eastAsia="宋体" w:cs="仿宋"/>
          <w:b w:val="0"/>
          <w:bCs w:val="0"/>
          <w:lang w:eastAsia="zh-CN"/>
        </w:rPr>
      </w:pPr>
      <w:r>
        <w:rPr>
          <w:rFonts w:hint="eastAsia" w:ascii="宋体" w:hAnsi="宋体" w:cs="仿宋"/>
          <w:b w:val="0"/>
          <w:bCs w:val="0"/>
        </w:rPr>
        <w:t>工程名称：</w:t>
      </w:r>
      <w:r>
        <w:rPr>
          <w:rFonts w:hint="eastAsia" w:ascii="宋体" w:hAnsi="宋体" w:cs="仿宋"/>
          <w:b w:val="0"/>
          <w:bCs w:val="0"/>
          <w:lang w:eastAsia="zh-CN"/>
        </w:rPr>
        <w:t>总统府文化服务区1号楼（总统府景区游客服务中心）装修改造项目</w:t>
      </w:r>
    </w:p>
    <w:tbl>
      <w:tblPr>
        <w:tblStyle w:val="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20"/>
      </w:tblGrid>
      <w:tr w14:paraId="39840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9" w:hRule="atLeast"/>
          <w:jc w:val="center"/>
        </w:trPr>
        <w:tc>
          <w:tcPr>
            <w:tcW w:w="9720" w:type="dxa"/>
            <w:tcBorders>
              <w:top w:val="single" w:color="auto" w:sz="4" w:space="0"/>
              <w:left w:val="single" w:color="auto" w:sz="4" w:space="0"/>
              <w:bottom w:val="single" w:color="auto" w:sz="4" w:space="0"/>
              <w:right w:val="single" w:color="auto" w:sz="4" w:space="0"/>
            </w:tcBorders>
            <w:noWrap w:val="0"/>
            <w:vAlign w:val="top"/>
          </w:tcPr>
          <w:p w14:paraId="3074951F">
            <w:pPr>
              <w:widowControl/>
              <w:adjustRightInd w:val="0"/>
              <w:snapToGrid w:val="0"/>
              <w:spacing w:line="360" w:lineRule="auto"/>
              <w:ind w:left="0" w:lef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一、工程概况：本工程为《总统府文化服务区1号楼(总统府景区游客服务中心)装修改造项目》，工程做法详见工程量清单及说明。</w:t>
            </w:r>
          </w:p>
          <w:p w14:paraId="06D8804B">
            <w:pPr>
              <w:widowControl/>
              <w:adjustRightInd w:val="0"/>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二、工程招标范围和工期：</w:t>
            </w:r>
          </w:p>
          <w:p w14:paraId="2C018DCC">
            <w:pPr>
              <w:widowControl/>
              <w:adjustRightInd w:val="0"/>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工程招标范围：详见工程量清单、招标设计图纸、施工现场。工期：</w:t>
            </w:r>
            <w:r>
              <w:rPr>
                <w:rFonts w:hint="eastAsia" w:ascii="宋体" w:hAnsi="宋体" w:cs="宋体"/>
                <w:kern w:val="0"/>
                <w:sz w:val="24"/>
                <w:szCs w:val="24"/>
                <w:lang w:val="en-US" w:eastAsia="zh-CN"/>
              </w:rPr>
              <w:t>120</w:t>
            </w:r>
            <w:r>
              <w:rPr>
                <w:rFonts w:hint="eastAsia" w:ascii="宋体" w:hAnsi="宋体" w:eastAsia="宋体" w:cs="宋体"/>
                <w:kern w:val="0"/>
                <w:sz w:val="24"/>
                <w:szCs w:val="24"/>
              </w:rPr>
              <w:t>天</w:t>
            </w:r>
          </w:p>
          <w:p w14:paraId="2C0A24BD">
            <w:pPr>
              <w:widowControl/>
              <w:adjustRightInd w:val="0"/>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三、清单编制依据：</w:t>
            </w:r>
          </w:p>
          <w:p w14:paraId="5F77E495">
            <w:pPr>
              <w:widowControl/>
              <w:adjustRightInd w:val="0"/>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1、《建设工程工程量清单计价规范》（GB50500-2013）、《房屋建筑与装饰工程工程量计算规范》GB 50854-2013及解释和勘误。</w:t>
            </w:r>
          </w:p>
          <w:p w14:paraId="29615588">
            <w:pPr>
              <w:widowControl/>
              <w:adjustRightInd w:val="0"/>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2、由业主提供南通华荣建设集团有限公司设计的《总统府文化服务区1号楼(总统府景区游客服务中心)装修改造项目》招标设计图纸。</w:t>
            </w:r>
          </w:p>
          <w:p w14:paraId="6BF6E87A">
            <w:pPr>
              <w:widowControl/>
              <w:adjustRightInd w:val="0"/>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3、总统府文化服务区1号楼(总统府景区游客服务中心)装修改造项目现场。</w:t>
            </w:r>
          </w:p>
          <w:p w14:paraId="41EAF26E">
            <w:pPr>
              <w:widowControl/>
              <w:adjustRightInd w:val="0"/>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4、与本工程有关的标准（包括标准图集）、规范、技术资料。</w:t>
            </w:r>
          </w:p>
          <w:p w14:paraId="256407A3">
            <w:pPr>
              <w:widowControl/>
              <w:adjustRightInd w:val="0"/>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5、其他有关文件、资料。</w:t>
            </w:r>
          </w:p>
          <w:p w14:paraId="295246D9">
            <w:pPr>
              <w:widowControl/>
              <w:adjustRightInd w:val="0"/>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四、其他说明事项</w:t>
            </w:r>
          </w:p>
          <w:p w14:paraId="64C14F9F">
            <w:pPr>
              <w:widowControl/>
              <w:adjustRightInd w:val="0"/>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1、一般说明</w:t>
            </w:r>
          </w:p>
          <w:p w14:paraId="6F3EDA38">
            <w:pPr>
              <w:widowControl/>
              <w:adjustRightInd w:val="0"/>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（1）施工现场情况：以现场踏勘情况为准。</w:t>
            </w:r>
          </w:p>
          <w:p w14:paraId="0E529196">
            <w:pPr>
              <w:widowControl/>
              <w:adjustRightInd w:val="0"/>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（2）交通运输情况：以现场踏勘情况为准。</w:t>
            </w:r>
          </w:p>
          <w:p w14:paraId="69E6B3AB">
            <w:pPr>
              <w:widowControl/>
              <w:adjustRightInd w:val="0"/>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（3）自然地理条件：本工程位于南京市招标玄武区。</w:t>
            </w:r>
          </w:p>
          <w:p w14:paraId="1E506A10">
            <w:pPr>
              <w:widowControl/>
              <w:adjustRightInd w:val="0"/>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（4）环境保护要求：满足省、市及工程项目地政府对环境保护的相关要求和规定。</w:t>
            </w:r>
          </w:p>
          <w:p w14:paraId="7F92A4F9">
            <w:pPr>
              <w:widowControl/>
              <w:adjustRightInd w:val="0"/>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（5）本工程投标报价按《建设工程工程量清单计价规范》GB 50500-2013、《房屋建筑与装饰工程工程量计算规范》GB 50854-2013的规定要求，使用表格及格式按《建设工程工程量清单计价规范》GB 50500-2013要求执行。有更正的以解释和勘误为准。</w:t>
            </w:r>
          </w:p>
          <w:p w14:paraId="2EFAEDA0">
            <w:pPr>
              <w:widowControl/>
              <w:adjustRightInd w:val="0"/>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6）工程量清单中每一项目，都需填入综合单价及合价。对于没有填入综合单价及合价的项目，不同单项及单位工程中的分部分项工程量清单中相同项目（项目特征及工作内容相同）的报价应统一，如有差异，按最低一个报价进行结算。</w:t>
            </w:r>
          </w:p>
          <w:p w14:paraId="5A556E1E">
            <w:pPr>
              <w:widowControl/>
              <w:adjustRightInd w:val="0"/>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（7）《承包人提供材料和工程设备一览表》的材料价格应与综合单价及《综合单价分析表》中的材料价格一致。</w:t>
            </w:r>
          </w:p>
          <w:p w14:paraId="1CB69D65">
            <w:pPr>
              <w:widowControl/>
              <w:adjustRightInd w:val="0"/>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（8）本工程量清单中的分部分项工程量及措施项目工程量均是根据本工程施工图，按照《房屋建筑与装饰工程工程量计算规范》GB 50854-2013的规定进行计算的，仅作为施工企业投标报价的共同基础，不能作为最终结算与支付价款的依据，工程量的变化调整以业主与承包商签字的合同约定为准。</w:t>
            </w:r>
          </w:p>
          <w:p w14:paraId="1453D834">
            <w:pPr>
              <w:widowControl/>
              <w:adjustRightInd w:val="0"/>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（9）工程量清单及其计价格式中的任何内容不得随意删除或涂改，若有错误，在招标答疑时及时提出，以“补遗”资料为准。</w:t>
            </w:r>
          </w:p>
          <w:p w14:paraId="7F293FF0">
            <w:pPr>
              <w:widowControl/>
              <w:adjustRightInd w:val="0"/>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（10）分部分项工程量清单中对工程项目的项目特征及具体做法只作重点描述，详细情况见施工图设计、技术说明及相关标准图集。组价时应综合投标人现场勘察情况包括完成所有工序工作内容的全部费用。</w:t>
            </w:r>
          </w:p>
          <w:p w14:paraId="088F862A">
            <w:pPr>
              <w:widowControl/>
              <w:adjustRightInd w:val="0"/>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（11）投标人应充分考虑施工现场周边的实际情况对施工的影响，编制施工方案，并作出报价。</w:t>
            </w:r>
          </w:p>
          <w:p w14:paraId="470AB76E">
            <w:pPr>
              <w:widowControl/>
              <w:adjustRightInd w:val="0"/>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（12）本说明末尽事项，以计价规范、工程量计算规范、计价管理办法、招标文件以及有关的法律、法规、建设行政主管部门颁发的文件为准。</w:t>
            </w:r>
          </w:p>
          <w:p w14:paraId="12EC7205">
            <w:pPr>
              <w:widowControl/>
              <w:adjustRightInd w:val="0"/>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（13）由于《总统府文化服务区1号楼(总统府景区游客服务中心)装修改造项目》招标设计图纸设计深度不够，投标单位根据现场具体情况作深化后，进行投标报价。</w:t>
            </w:r>
          </w:p>
          <w:p w14:paraId="575574FE">
            <w:pPr>
              <w:widowControl/>
              <w:adjustRightInd w:val="0"/>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五、其他说明</w:t>
            </w:r>
          </w:p>
          <w:p w14:paraId="7E0A4DA0">
            <w:pPr>
              <w:widowControl/>
              <w:adjustRightInd w:val="0"/>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1、暂列金额：</w:t>
            </w:r>
          </w:p>
          <w:p w14:paraId="7ACB319F">
            <w:pPr>
              <w:widowControl/>
              <w:adjustRightInd w:val="0"/>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A、工程量偏差和设计变更、政策性调整和材料价格波动。按固定价279000元计入暂列金额。</w:t>
            </w:r>
          </w:p>
          <w:p w14:paraId="07A70893">
            <w:pPr>
              <w:widowControl/>
              <w:adjustRightInd w:val="0"/>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2、如投标单位因主动放弃现场踏勘造成响应不准确、报价不合理的，后果自行承担。</w:t>
            </w:r>
            <w:r>
              <w:rPr>
                <w:rFonts w:hint="eastAsia" w:ascii="宋体" w:hAnsi="宋体" w:eastAsia="宋体" w:cs="宋体"/>
                <w:kern w:val="0"/>
                <w:sz w:val="24"/>
                <w:szCs w:val="24"/>
                <w:highlight w:val="none"/>
              </w:rPr>
              <w:t>对清单及图纸中缺少的必要施工工艺及步骤，投标人可根据现场的实际情况</w:t>
            </w:r>
            <w:r>
              <w:rPr>
                <w:rFonts w:hint="eastAsia" w:ascii="宋体" w:hAnsi="宋体" w:eastAsia="宋体" w:cs="宋体"/>
                <w:kern w:val="0"/>
                <w:sz w:val="24"/>
                <w:szCs w:val="24"/>
                <w:highlight w:val="none"/>
                <w:lang w:val="en-US" w:eastAsia="zh-CN"/>
              </w:rPr>
              <w:t>在投标前</w:t>
            </w:r>
            <w:r>
              <w:rPr>
                <w:rFonts w:hint="eastAsia" w:ascii="宋体" w:hAnsi="宋体" w:eastAsia="宋体" w:cs="宋体"/>
                <w:kern w:val="0"/>
                <w:sz w:val="24"/>
                <w:szCs w:val="24"/>
                <w:highlight w:val="none"/>
              </w:rPr>
              <w:t>提出异议的，</w:t>
            </w:r>
            <w:r>
              <w:rPr>
                <w:rFonts w:hint="eastAsia" w:ascii="宋体" w:hAnsi="宋体" w:eastAsia="宋体" w:cs="宋体"/>
                <w:kern w:val="0"/>
                <w:sz w:val="24"/>
                <w:szCs w:val="24"/>
                <w:highlight w:val="none"/>
                <w:lang w:val="en-US" w:eastAsia="zh-CN"/>
              </w:rPr>
              <w:t>未提出异议的，中标后</w:t>
            </w:r>
            <w:r>
              <w:rPr>
                <w:rFonts w:hint="eastAsia" w:ascii="宋体" w:hAnsi="宋体" w:eastAsia="宋体" w:cs="宋体"/>
                <w:kern w:val="0"/>
                <w:sz w:val="24"/>
                <w:szCs w:val="24"/>
                <w:highlight w:val="none"/>
              </w:rPr>
              <w:t>增补项作为默认包含项</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中标人不得以不完全了解施工现场</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图纸或清单缺项</w:t>
            </w:r>
            <w:r>
              <w:rPr>
                <w:rFonts w:hint="eastAsia" w:ascii="宋体" w:hAnsi="宋体" w:eastAsia="宋体" w:cs="宋体"/>
                <w:kern w:val="0"/>
                <w:sz w:val="24"/>
                <w:szCs w:val="24"/>
                <w:highlight w:val="none"/>
              </w:rPr>
              <w:t>为由，而提出额外的赔偿、增加费用和延长工期等要求，对此招标人一概不予采纳。</w:t>
            </w:r>
          </w:p>
          <w:p w14:paraId="3855CAB8">
            <w:pPr>
              <w:widowControl/>
              <w:adjustRightInd w:val="0"/>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3、主要材料品牌表</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1"/>
              <w:gridCol w:w="3216"/>
              <w:gridCol w:w="4992"/>
            </w:tblGrid>
            <w:tr w14:paraId="181C1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1" w:type="dxa"/>
                  <w:noWrap w:val="0"/>
                  <w:vAlign w:val="top"/>
                </w:tcPr>
                <w:p w14:paraId="5A45BF13">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序号</w:t>
                  </w:r>
                </w:p>
              </w:tc>
              <w:tc>
                <w:tcPr>
                  <w:tcW w:w="3216" w:type="dxa"/>
                  <w:noWrap w:val="0"/>
                  <w:vAlign w:val="top"/>
                </w:tcPr>
                <w:p w14:paraId="5832345F">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材料设备名称</w:t>
                  </w:r>
                </w:p>
              </w:tc>
              <w:tc>
                <w:tcPr>
                  <w:tcW w:w="4992" w:type="dxa"/>
                  <w:noWrap w:val="0"/>
                  <w:vAlign w:val="top"/>
                </w:tcPr>
                <w:p w14:paraId="03010107">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品牌</w:t>
                  </w:r>
                </w:p>
              </w:tc>
            </w:tr>
            <w:tr w14:paraId="5A276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1" w:type="dxa"/>
                  <w:noWrap w:val="0"/>
                  <w:vAlign w:val="top"/>
                </w:tcPr>
                <w:p w14:paraId="3FFC0578">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1</w:t>
                  </w:r>
                </w:p>
              </w:tc>
              <w:tc>
                <w:tcPr>
                  <w:tcW w:w="3216" w:type="dxa"/>
                  <w:noWrap w:val="0"/>
                  <w:vAlign w:val="center"/>
                </w:tcPr>
                <w:p w14:paraId="403BD929">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水泥</w:t>
                  </w:r>
                </w:p>
              </w:tc>
              <w:tc>
                <w:tcPr>
                  <w:tcW w:w="4992" w:type="dxa"/>
                  <w:noWrap w:val="0"/>
                  <w:vAlign w:val="center"/>
                </w:tcPr>
                <w:p w14:paraId="3950F3DF">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海螺、江南、天龙</w:t>
                  </w:r>
                </w:p>
              </w:tc>
            </w:tr>
            <w:tr w14:paraId="3A22B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1" w:type="dxa"/>
                  <w:noWrap w:val="0"/>
                  <w:vAlign w:val="top"/>
                </w:tcPr>
                <w:p w14:paraId="10D7137E">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2</w:t>
                  </w:r>
                </w:p>
              </w:tc>
              <w:tc>
                <w:tcPr>
                  <w:tcW w:w="3216" w:type="dxa"/>
                  <w:noWrap w:val="0"/>
                  <w:vAlign w:val="center"/>
                </w:tcPr>
                <w:p w14:paraId="01F888CA">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钢材</w:t>
                  </w:r>
                </w:p>
              </w:tc>
              <w:tc>
                <w:tcPr>
                  <w:tcW w:w="4992" w:type="dxa"/>
                  <w:noWrap w:val="0"/>
                  <w:vAlign w:val="center"/>
                </w:tcPr>
                <w:p w14:paraId="0C16D416">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沙钢、南钢、永刚、马钢、邯钢、杭钢、萍钢、马长江（马钢控股、新兴主管）、中天</w:t>
                  </w:r>
                </w:p>
              </w:tc>
            </w:tr>
            <w:tr w14:paraId="3609D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1" w:type="dxa"/>
                  <w:noWrap w:val="0"/>
                  <w:vAlign w:val="top"/>
                </w:tcPr>
                <w:p w14:paraId="02F82AA9">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3</w:t>
                  </w:r>
                </w:p>
              </w:tc>
              <w:tc>
                <w:tcPr>
                  <w:tcW w:w="3216" w:type="dxa"/>
                  <w:noWrap w:val="0"/>
                  <w:vAlign w:val="center"/>
                </w:tcPr>
                <w:p w14:paraId="581AB6E9">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玻璃</w:t>
                  </w:r>
                </w:p>
              </w:tc>
              <w:tc>
                <w:tcPr>
                  <w:tcW w:w="4992" w:type="dxa"/>
                  <w:noWrap w:val="0"/>
                  <w:vAlign w:val="center"/>
                </w:tcPr>
                <w:p w14:paraId="2DD23437">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南玻、台玻、信义</w:t>
                  </w:r>
                </w:p>
              </w:tc>
            </w:tr>
            <w:tr w14:paraId="76FB3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1" w:type="dxa"/>
                  <w:noWrap w:val="0"/>
                  <w:vAlign w:val="top"/>
                </w:tcPr>
                <w:p w14:paraId="3E2890D4">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4</w:t>
                  </w:r>
                </w:p>
              </w:tc>
              <w:tc>
                <w:tcPr>
                  <w:tcW w:w="3216" w:type="dxa"/>
                  <w:noWrap w:val="0"/>
                  <w:vAlign w:val="center"/>
                </w:tcPr>
                <w:p w14:paraId="08AB824A">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外墙涂料</w:t>
                  </w:r>
                </w:p>
              </w:tc>
              <w:tc>
                <w:tcPr>
                  <w:tcW w:w="4992" w:type="dxa"/>
                  <w:noWrap w:val="0"/>
                  <w:vAlign w:val="center"/>
                </w:tcPr>
                <w:p w14:paraId="0285D2A6">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立邦、多乐士、三棵树、嘉宝莉</w:t>
                  </w:r>
                </w:p>
              </w:tc>
            </w:tr>
            <w:tr w14:paraId="00FFE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1" w:type="dxa"/>
                  <w:noWrap w:val="0"/>
                  <w:vAlign w:val="top"/>
                </w:tcPr>
                <w:p w14:paraId="7123AEE4">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5</w:t>
                  </w:r>
                </w:p>
              </w:tc>
              <w:tc>
                <w:tcPr>
                  <w:tcW w:w="3216" w:type="dxa"/>
                  <w:noWrap w:val="0"/>
                  <w:vAlign w:val="center"/>
                </w:tcPr>
                <w:p w14:paraId="494909E8">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墙地砖</w:t>
                  </w:r>
                </w:p>
              </w:tc>
              <w:tc>
                <w:tcPr>
                  <w:tcW w:w="4992" w:type="dxa"/>
                  <w:noWrap w:val="0"/>
                  <w:vAlign w:val="center"/>
                </w:tcPr>
                <w:p w14:paraId="67D61622">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东鹏、蒙娜丽莎、马可波罗、萨米特</w:t>
                  </w:r>
                </w:p>
              </w:tc>
            </w:tr>
            <w:tr w14:paraId="72070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1" w:type="dxa"/>
                  <w:noWrap w:val="0"/>
                  <w:vAlign w:val="top"/>
                </w:tcPr>
                <w:p w14:paraId="3BC6C5C3">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6</w:t>
                  </w:r>
                </w:p>
              </w:tc>
              <w:tc>
                <w:tcPr>
                  <w:tcW w:w="3216" w:type="dxa"/>
                  <w:noWrap w:val="0"/>
                  <w:vAlign w:val="center"/>
                </w:tcPr>
                <w:p w14:paraId="54D03A21">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不燃板、抗倍特板</w:t>
                  </w:r>
                </w:p>
              </w:tc>
              <w:tc>
                <w:tcPr>
                  <w:tcW w:w="4992" w:type="dxa"/>
                  <w:noWrap w:val="0"/>
                  <w:vAlign w:val="center"/>
                </w:tcPr>
                <w:p w14:paraId="0F648952">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正航（常州）、格林雅（深圳）、美人蕉（深圳）、嘉润美佳（广州市）</w:t>
                  </w:r>
                </w:p>
              </w:tc>
            </w:tr>
            <w:tr w14:paraId="1EFC5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1" w:type="dxa"/>
                  <w:noWrap w:val="0"/>
                  <w:vAlign w:val="top"/>
                </w:tcPr>
                <w:p w14:paraId="5FC300D5">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7</w:t>
                  </w:r>
                </w:p>
              </w:tc>
              <w:tc>
                <w:tcPr>
                  <w:tcW w:w="3216" w:type="dxa"/>
                  <w:noWrap w:val="0"/>
                  <w:vAlign w:val="center"/>
                </w:tcPr>
                <w:p w14:paraId="4AEF4B1A">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乳胶漆/防水乳胶漆</w:t>
                  </w:r>
                </w:p>
              </w:tc>
              <w:tc>
                <w:tcPr>
                  <w:tcW w:w="4992" w:type="dxa"/>
                  <w:noWrap w:val="0"/>
                  <w:vAlign w:val="center"/>
                </w:tcPr>
                <w:p w14:paraId="3544C232">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立邦、多乐士、三棵树、嘉宝莉</w:t>
                  </w:r>
                </w:p>
              </w:tc>
            </w:tr>
            <w:tr w14:paraId="72C00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1" w:type="dxa"/>
                  <w:noWrap w:val="0"/>
                  <w:vAlign w:val="top"/>
                </w:tcPr>
                <w:p w14:paraId="2F367133">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8</w:t>
                  </w:r>
                </w:p>
              </w:tc>
              <w:tc>
                <w:tcPr>
                  <w:tcW w:w="3216" w:type="dxa"/>
                  <w:noWrap w:val="0"/>
                  <w:vAlign w:val="center"/>
                </w:tcPr>
                <w:p w14:paraId="1D9AD87F">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石膏板/防水石膏板</w:t>
                  </w:r>
                </w:p>
              </w:tc>
              <w:tc>
                <w:tcPr>
                  <w:tcW w:w="4992" w:type="dxa"/>
                  <w:noWrap w:val="0"/>
                  <w:vAlign w:val="center"/>
                </w:tcPr>
                <w:p w14:paraId="519FB24C">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龙牌、圣戈班、可耐福</w:t>
                  </w:r>
                </w:p>
              </w:tc>
            </w:tr>
            <w:tr w14:paraId="7A284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1" w:type="dxa"/>
                  <w:noWrap w:val="0"/>
                  <w:vAlign w:val="top"/>
                </w:tcPr>
                <w:p w14:paraId="71AA172B">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9</w:t>
                  </w:r>
                </w:p>
              </w:tc>
              <w:tc>
                <w:tcPr>
                  <w:tcW w:w="3216" w:type="dxa"/>
                  <w:noWrap w:val="0"/>
                  <w:vAlign w:val="center"/>
                </w:tcPr>
                <w:p w14:paraId="6FF3F77D">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木工板、多层板、阻燃夹板</w:t>
                  </w:r>
                </w:p>
              </w:tc>
              <w:tc>
                <w:tcPr>
                  <w:tcW w:w="4992" w:type="dxa"/>
                  <w:noWrap w:val="0"/>
                  <w:vAlign w:val="center"/>
                </w:tcPr>
                <w:p w14:paraId="16319234">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莫干山、兔宝宝、千年舟、大王椰</w:t>
                  </w:r>
                </w:p>
              </w:tc>
            </w:tr>
            <w:tr w14:paraId="0C679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1" w:type="dxa"/>
                  <w:noWrap w:val="0"/>
                  <w:vAlign w:val="top"/>
                </w:tcPr>
                <w:p w14:paraId="70C42502">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10</w:t>
                  </w:r>
                </w:p>
              </w:tc>
              <w:tc>
                <w:tcPr>
                  <w:tcW w:w="3216" w:type="dxa"/>
                  <w:noWrap w:val="0"/>
                  <w:vAlign w:val="center"/>
                </w:tcPr>
                <w:p w14:paraId="1369405C">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轻钢龙骨</w:t>
                  </w:r>
                </w:p>
              </w:tc>
              <w:tc>
                <w:tcPr>
                  <w:tcW w:w="4992" w:type="dxa"/>
                  <w:noWrap w:val="0"/>
                  <w:vAlign w:val="center"/>
                </w:tcPr>
                <w:p w14:paraId="553C8625">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阿姆斯壮、龙牌、圣戈班、可耐福</w:t>
                  </w:r>
                </w:p>
              </w:tc>
            </w:tr>
            <w:tr w14:paraId="0E5AE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1" w:type="dxa"/>
                  <w:noWrap w:val="0"/>
                  <w:vAlign w:val="top"/>
                </w:tcPr>
                <w:p w14:paraId="1CE17818">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11</w:t>
                  </w:r>
                </w:p>
              </w:tc>
              <w:tc>
                <w:tcPr>
                  <w:tcW w:w="3216" w:type="dxa"/>
                  <w:noWrap w:val="0"/>
                  <w:vAlign w:val="center"/>
                </w:tcPr>
                <w:p w14:paraId="1F7D2A7C">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卫生洁具及卫浴五金（含全套配件）</w:t>
                  </w:r>
                </w:p>
              </w:tc>
              <w:tc>
                <w:tcPr>
                  <w:tcW w:w="4992" w:type="dxa"/>
                  <w:noWrap w:val="0"/>
                  <w:vAlign w:val="center"/>
                </w:tcPr>
                <w:p w14:paraId="1963F8BB">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TOTO、科勒、美标</w:t>
                  </w:r>
                </w:p>
              </w:tc>
            </w:tr>
            <w:tr w14:paraId="1193A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1" w:type="dxa"/>
                  <w:noWrap w:val="0"/>
                  <w:vAlign w:val="top"/>
                </w:tcPr>
                <w:p w14:paraId="19B273FA">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12</w:t>
                  </w:r>
                </w:p>
              </w:tc>
              <w:tc>
                <w:tcPr>
                  <w:tcW w:w="3216" w:type="dxa"/>
                  <w:noWrap w:val="0"/>
                  <w:vAlign w:val="center"/>
                </w:tcPr>
                <w:p w14:paraId="2A8484FC">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color w:val="000000"/>
                      <w:sz w:val="28"/>
                      <w:szCs w:val="28"/>
                      <w:lang w:bidi="ar"/>
                    </w:rPr>
                    <w:t>室内照明灯具</w:t>
                  </w:r>
                </w:p>
              </w:tc>
              <w:tc>
                <w:tcPr>
                  <w:tcW w:w="4992" w:type="dxa"/>
                  <w:noWrap w:val="0"/>
                  <w:vAlign w:val="center"/>
                </w:tcPr>
                <w:p w14:paraId="1E4313DB">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color w:val="000000"/>
                      <w:sz w:val="28"/>
                      <w:szCs w:val="28"/>
                      <w:lang w:bidi="ar"/>
                    </w:rPr>
                    <w:t>雷士、三雄极光、飞利浦、欧普</w:t>
                  </w:r>
                </w:p>
              </w:tc>
            </w:tr>
            <w:tr w14:paraId="79618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1" w:type="dxa"/>
                  <w:noWrap w:val="0"/>
                  <w:vAlign w:val="top"/>
                </w:tcPr>
                <w:p w14:paraId="59253A71">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13</w:t>
                  </w:r>
                </w:p>
              </w:tc>
              <w:tc>
                <w:tcPr>
                  <w:tcW w:w="3216" w:type="dxa"/>
                  <w:noWrap w:val="0"/>
                  <w:vAlign w:val="center"/>
                </w:tcPr>
                <w:p w14:paraId="3F8D6663">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color w:val="000000"/>
                      <w:sz w:val="28"/>
                      <w:szCs w:val="28"/>
                      <w:lang w:bidi="ar"/>
                    </w:rPr>
                    <w:t>电线电缆</w:t>
                  </w:r>
                </w:p>
              </w:tc>
              <w:tc>
                <w:tcPr>
                  <w:tcW w:w="4992" w:type="dxa"/>
                  <w:noWrap w:val="0"/>
                  <w:vAlign w:val="center"/>
                </w:tcPr>
                <w:p w14:paraId="39B66FB4">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color w:val="000000"/>
                      <w:sz w:val="28"/>
                      <w:szCs w:val="28"/>
                      <w:lang w:bidi="ar"/>
                    </w:rPr>
                    <w:t>宝胜、远东、上上、江南</w:t>
                  </w:r>
                </w:p>
              </w:tc>
            </w:tr>
            <w:tr w14:paraId="77116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1" w:type="dxa"/>
                  <w:noWrap w:val="0"/>
                  <w:vAlign w:val="top"/>
                </w:tcPr>
                <w:p w14:paraId="01AD6E2D">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14</w:t>
                  </w:r>
                </w:p>
              </w:tc>
              <w:tc>
                <w:tcPr>
                  <w:tcW w:w="3216" w:type="dxa"/>
                  <w:noWrap w:val="0"/>
                  <w:vAlign w:val="center"/>
                </w:tcPr>
                <w:p w14:paraId="0FEBB1E4">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color w:val="000000"/>
                      <w:sz w:val="28"/>
                      <w:szCs w:val="28"/>
                      <w:lang w:bidi="ar"/>
                    </w:rPr>
                    <w:t>配线管PVC</w:t>
                  </w:r>
                </w:p>
              </w:tc>
              <w:tc>
                <w:tcPr>
                  <w:tcW w:w="4992" w:type="dxa"/>
                  <w:noWrap w:val="0"/>
                  <w:vAlign w:val="center"/>
                </w:tcPr>
                <w:p w14:paraId="4D831936">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color w:val="000000"/>
                      <w:sz w:val="28"/>
                      <w:szCs w:val="28"/>
                      <w:lang w:bidi="ar"/>
                    </w:rPr>
                    <w:t>联塑、中财、伟星、金牛</w:t>
                  </w:r>
                </w:p>
              </w:tc>
            </w:tr>
            <w:tr w14:paraId="48CAB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1" w:type="dxa"/>
                  <w:noWrap w:val="0"/>
                  <w:vAlign w:val="top"/>
                </w:tcPr>
                <w:p w14:paraId="153754DF">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15</w:t>
                  </w:r>
                </w:p>
              </w:tc>
              <w:tc>
                <w:tcPr>
                  <w:tcW w:w="3216" w:type="dxa"/>
                  <w:noWrap w:val="0"/>
                  <w:vAlign w:val="center"/>
                </w:tcPr>
                <w:p w14:paraId="493C585A">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color w:val="000000"/>
                      <w:sz w:val="28"/>
                      <w:szCs w:val="28"/>
                      <w:lang w:bidi="ar"/>
                    </w:rPr>
                    <w:t>不锈钢管及管件</w:t>
                  </w:r>
                </w:p>
              </w:tc>
              <w:tc>
                <w:tcPr>
                  <w:tcW w:w="4992" w:type="dxa"/>
                  <w:noWrap w:val="0"/>
                  <w:vAlign w:val="center"/>
                </w:tcPr>
                <w:p w14:paraId="636432CA">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color w:val="000000"/>
                      <w:sz w:val="28"/>
                      <w:szCs w:val="28"/>
                      <w:lang w:bidi="ar"/>
                    </w:rPr>
                    <w:t xml:space="preserve">友发、共同、金羊、联塑                                </w:t>
                  </w:r>
                </w:p>
              </w:tc>
            </w:tr>
            <w:tr w14:paraId="2886F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1" w:type="dxa"/>
                  <w:noWrap w:val="0"/>
                  <w:vAlign w:val="top"/>
                </w:tcPr>
                <w:p w14:paraId="50CE7318">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16</w:t>
                  </w:r>
                </w:p>
              </w:tc>
              <w:tc>
                <w:tcPr>
                  <w:tcW w:w="3216" w:type="dxa"/>
                  <w:noWrap w:val="0"/>
                  <w:vAlign w:val="center"/>
                </w:tcPr>
                <w:p w14:paraId="01E3A67E">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color w:val="000000"/>
                      <w:sz w:val="28"/>
                      <w:szCs w:val="28"/>
                      <w:lang w:bidi="ar"/>
                    </w:rPr>
                    <w:t>阀门</w:t>
                  </w:r>
                </w:p>
              </w:tc>
              <w:tc>
                <w:tcPr>
                  <w:tcW w:w="4992" w:type="dxa"/>
                  <w:noWrap w:val="0"/>
                  <w:vAlign w:val="center"/>
                </w:tcPr>
                <w:p w14:paraId="05D0D8E9">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color w:val="000000"/>
                      <w:sz w:val="28"/>
                      <w:szCs w:val="28"/>
                      <w:lang w:bidi="ar"/>
                    </w:rPr>
                    <w:t>上海冠龙、上海标一、上海欧特莱、上海沪航、苏州纽威、中核苏阀、江苏竹箦、山东伟隆</w:t>
                  </w:r>
                </w:p>
              </w:tc>
            </w:tr>
            <w:tr w14:paraId="24DC6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1" w:type="dxa"/>
                  <w:noWrap w:val="0"/>
                  <w:vAlign w:val="top"/>
                </w:tcPr>
                <w:p w14:paraId="4F6B94B8">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17</w:t>
                  </w:r>
                </w:p>
              </w:tc>
              <w:tc>
                <w:tcPr>
                  <w:tcW w:w="3216" w:type="dxa"/>
                  <w:noWrap w:val="0"/>
                  <w:vAlign w:val="center"/>
                </w:tcPr>
                <w:p w14:paraId="26558B02">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color w:val="000000"/>
                      <w:sz w:val="28"/>
                      <w:szCs w:val="28"/>
                      <w:lang w:bidi="ar"/>
                    </w:rPr>
                    <w:t>橡塑保温材料</w:t>
                  </w:r>
                </w:p>
              </w:tc>
              <w:tc>
                <w:tcPr>
                  <w:tcW w:w="4992" w:type="dxa"/>
                  <w:noWrap w:val="0"/>
                  <w:vAlign w:val="center"/>
                </w:tcPr>
                <w:p w14:paraId="2F2E5F93">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color w:val="000000"/>
                      <w:sz w:val="28"/>
                      <w:szCs w:val="28"/>
                      <w:lang w:bidi="ar"/>
                    </w:rPr>
                    <w:t xml:space="preserve">赢胜、华美、金威、神州、金星  </w:t>
                  </w:r>
                </w:p>
              </w:tc>
            </w:tr>
            <w:tr w14:paraId="7F80D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1" w:type="dxa"/>
                  <w:noWrap w:val="0"/>
                  <w:vAlign w:val="top"/>
                </w:tcPr>
                <w:p w14:paraId="72D25079">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18</w:t>
                  </w:r>
                </w:p>
              </w:tc>
              <w:tc>
                <w:tcPr>
                  <w:tcW w:w="3216" w:type="dxa"/>
                  <w:noWrap w:val="0"/>
                  <w:vAlign w:val="center"/>
                </w:tcPr>
                <w:p w14:paraId="42DEA54A">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color w:val="000000"/>
                      <w:sz w:val="28"/>
                      <w:szCs w:val="28"/>
                      <w:lang w:bidi="ar"/>
                    </w:rPr>
                  </w:pPr>
                  <w:r>
                    <w:rPr>
                      <w:rFonts w:hint="eastAsia" w:ascii="宋体" w:hAnsi="宋体"/>
                      <w:color w:val="000000"/>
                      <w:sz w:val="28"/>
                      <w:szCs w:val="28"/>
                      <w:lang w:bidi="ar"/>
                    </w:rPr>
                    <w:t>火灾消防报警器材</w:t>
                  </w:r>
                </w:p>
              </w:tc>
              <w:tc>
                <w:tcPr>
                  <w:tcW w:w="4992" w:type="dxa"/>
                  <w:noWrap w:val="0"/>
                  <w:vAlign w:val="center"/>
                </w:tcPr>
                <w:p w14:paraId="4DA8638E">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color w:val="000000"/>
                      <w:sz w:val="28"/>
                      <w:szCs w:val="28"/>
                      <w:lang w:bidi="ar"/>
                    </w:rPr>
                  </w:pPr>
                  <w:bookmarkStart w:id="76" w:name="OLE_LINK4"/>
                  <w:r>
                    <w:rPr>
                      <w:rFonts w:hint="eastAsia" w:ascii="宋体" w:hAnsi="宋体"/>
                      <w:color w:val="000000"/>
                      <w:sz w:val="28"/>
                      <w:szCs w:val="28"/>
                      <w:lang w:bidi="ar"/>
                    </w:rPr>
                    <w:t>海湾、青鸟、</w:t>
                  </w:r>
                  <w:bookmarkEnd w:id="76"/>
                  <w:r>
                    <w:rPr>
                      <w:rFonts w:hint="eastAsia" w:ascii="宋体" w:hAnsi="宋体"/>
                      <w:color w:val="000000"/>
                      <w:sz w:val="28"/>
                      <w:szCs w:val="28"/>
                      <w:lang w:bidi="ar"/>
                    </w:rPr>
                    <w:t>西门子</w:t>
                  </w:r>
                </w:p>
              </w:tc>
            </w:tr>
            <w:tr w14:paraId="3897D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1" w:type="dxa"/>
                  <w:noWrap w:val="0"/>
                  <w:vAlign w:val="top"/>
                </w:tcPr>
                <w:p w14:paraId="4F3DAC0C">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19</w:t>
                  </w:r>
                </w:p>
              </w:tc>
              <w:tc>
                <w:tcPr>
                  <w:tcW w:w="3216" w:type="dxa"/>
                  <w:noWrap w:val="0"/>
                  <w:vAlign w:val="center"/>
                </w:tcPr>
                <w:p w14:paraId="135F975D">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color w:val="000000"/>
                      <w:sz w:val="28"/>
                      <w:szCs w:val="28"/>
                      <w:lang w:bidi="ar"/>
                    </w:rPr>
                  </w:pPr>
                  <w:r>
                    <w:rPr>
                      <w:rFonts w:hint="eastAsia" w:ascii="宋体" w:hAnsi="宋体"/>
                      <w:color w:val="000000"/>
                      <w:sz w:val="28"/>
                      <w:szCs w:val="28"/>
                      <w:lang w:bidi="ar"/>
                    </w:rPr>
                    <w:t>镀锌钢管卡箍</w:t>
                  </w:r>
                </w:p>
              </w:tc>
              <w:tc>
                <w:tcPr>
                  <w:tcW w:w="4992" w:type="dxa"/>
                  <w:noWrap w:val="0"/>
                  <w:vAlign w:val="center"/>
                </w:tcPr>
                <w:p w14:paraId="4A65C4D1">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color w:val="000000"/>
                      <w:sz w:val="28"/>
                      <w:szCs w:val="28"/>
                      <w:lang w:bidi="ar"/>
                    </w:rPr>
                  </w:pPr>
                  <w:r>
                    <w:rPr>
                      <w:rFonts w:ascii="宋体" w:hAnsi="宋体"/>
                      <w:color w:val="000000"/>
                      <w:sz w:val="28"/>
                      <w:szCs w:val="28"/>
                      <w:lang w:bidi="ar"/>
                    </w:rPr>
                    <w:t>亿佳</w:t>
                  </w:r>
                  <w:r>
                    <w:rPr>
                      <w:rFonts w:hint="eastAsia" w:ascii="宋体" w:hAnsi="宋体"/>
                      <w:color w:val="000000"/>
                      <w:sz w:val="28"/>
                      <w:szCs w:val="28"/>
                      <w:lang w:bidi="ar"/>
                    </w:rPr>
                    <w:t>、</w:t>
                  </w:r>
                  <w:r>
                    <w:rPr>
                      <w:rFonts w:ascii="宋体" w:hAnsi="宋体"/>
                      <w:color w:val="000000"/>
                      <w:sz w:val="28"/>
                      <w:szCs w:val="28"/>
                      <w:lang w:bidi="ar"/>
                    </w:rPr>
                    <w:t>金超</w:t>
                  </w:r>
                  <w:r>
                    <w:rPr>
                      <w:rFonts w:hint="eastAsia" w:ascii="宋体" w:hAnsi="宋体"/>
                      <w:color w:val="000000"/>
                      <w:sz w:val="28"/>
                      <w:szCs w:val="28"/>
                      <w:lang w:bidi="ar"/>
                    </w:rPr>
                    <w:t>、</w:t>
                  </w:r>
                  <w:r>
                    <w:rPr>
                      <w:rFonts w:ascii="宋体" w:hAnsi="宋体"/>
                      <w:color w:val="000000"/>
                      <w:sz w:val="28"/>
                      <w:szCs w:val="28"/>
                      <w:lang w:bidi="ar"/>
                    </w:rPr>
                    <w:t>天诚五金</w:t>
                  </w:r>
                </w:p>
              </w:tc>
            </w:tr>
            <w:tr w14:paraId="381AF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1" w:type="dxa"/>
                  <w:noWrap w:val="0"/>
                  <w:vAlign w:val="top"/>
                </w:tcPr>
                <w:p w14:paraId="4E2CC280">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20</w:t>
                  </w:r>
                </w:p>
              </w:tc>
              <w:tc>
                <w:tcPr>
                  <w:tcW w:w="3216" w:type="dxa"/>
                  <w:noWrap w:val="0"/>
                  <w:vAlign w:val="center"/>
                </w:tcPr>
                <w:p w14:paraId="040BE55F">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color w:val="000000"/>
                      <w:sz w:val="28"/>
                      <w:szCs w:val="28"/>
                      <w:lang w:bidi="ar"/>
                    </w:rPr>
                  </w:pPr>
                  <w:r>
                    <w:rPr>
                      <w:rFonts w:hint="eastAsia" w:ascii="宋体" w:hAnsi="宋体"/>
                      <w:color w:val="000000"/>
                      <w:sz w:val="28"/>
                      <w:szCs w:val="28"/>
                      <w:lang w:bidi="ar"/>
                    </w:rPr>
                    <w:t>点型探测器</w:t>
                  </w:r>
                </w:p>
              </w:tc>
              <w:tc>
                <w:tcPr>
                  <w:tcW w:w="4992" w:type="dxa"/>
                  <w:noWrap w:val="0"/>
                  <w:vAlign w:val="center"/>
                </w:tcPr>
                <w:p w14:paraId="28F05F35">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ascii="宋体" w:hAnsi="宋体"/>
                      <w:color w:val="000000"/>
                      <w:sz w:val="28"/>
                      <w:szCs w:val="28"/>
                      <w:lang w:bidi="ar"/>
                    </w:rPr>
                  </w:pPr>
                  <w:r>
                    <w:rPr>
                      <w:rFonts w:hint="eastAsia" w:ascii="宋体" w:hAnsi="宋体"/>
                      <w:color w:val="000000"/>
                      <w:sz w:val="28"/>
                      <w:szCs w:val="28"/>
                      <w:lang w:bidi="ar"/>
                    </w:rPr>
                    <w:t>海湾、青鸟、</w:t>
                  </w:r>
                  <w:r>
                    <w:rPr>
                      <w:rFonts w:ascii="宋体" w:hAnsi="宋体"/>
                      <w:color w:val="000000"/>
                      <w:sz w:val="28"/>
                      <w:szCs w:val="28"/>
                      <w:lang w:bidi="ar"/>
                    </w:rPr>
                    <w:t>利达</w:t>
                  </w:r>
                </w:p>
              </w:tc>
            </w:tr>
            <w:tr w14:paraId="79D43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1" w:type="dxa"/>
                  <w:noWrap w:val="0"/>
                  <w:vAlign w:val="top"/>
                </w:tcPr>
                <w:p w14:paraId="5E0276C5">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21</w:t>
                  </w:r>
                </w:p>
              </w:tc>
              <w:tc>
                <w:tcPr>
                  <w:tcW w:w="3216" w:type="dxa"/>
                  <w:noWrap w:val="0"/>
                  <w:vAlign w:val="center"/>
                </w:tcPr>
                <w:p w14:paraId="6BAE4483">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color w:val="000000"/>
                      <w:sz w:val="28"/>
                      <w:szCs w:val="28"/>
                      <w:lang w:bidi="ar"/>
                    </w:rPr>
                  </w:pPr>
                  <w:r>
                    <w:rPr>
                      <w:rFonts w:hint="eastAsia" w:ascii="宋体" w:hAnsi="宋体"/>
                      <w:color w:val="000000"/>
                      <w:sz w:val="28"/>
                      <w:szCs w:val="28"/>
                      <w:lang w:bidi="ar"/>
                    </w:rPr>
                    <w:t>应急照明灯具</w:t>
                  </w:r>
                </w:p>
              </w:tc>
              <w:tc>
                <w:tcPr>
                  <w:tcW w:w="4992" w:type="dxa"/>
                  <w:noWrap w:val="0"/>
                  <w:vAlign w:val="center"/>
                </w:tcPr>
                <w:p w14:paraId="76864471">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color w:val="000000"/>
                      <w:sz w:val="28"/>
                      <w:szCs w:val="28"/>
                      <w:lang w:bidi="ar"/>
                    </w:rPr>
                  </w:pPr>
                  <w:r>
                    <w:rPr>
                      <w:rFonts w:hint="eastAsia" w:ascii="宋体" w:hAnsi="宋体"/>
                      <w:color w:val="000000"/>
                      <w:sz w:val="28"/>
                      <w:szCs w:val="28"/>
                      <w:lang w:bidi="ar"/>
                    </w:rPr>
                    <w:t>广东敏华、佛山欣久、佛山嘉美</w:t>
                  </w:r>
                </w:p>
              </w:tc>
            </w:tr>
            <w:tr w14:paraId="56983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1" w:type="dxa"/>
                  <w:noWrap w:val="0"/>
                  <w:vAlign w:val="top"/>
                </w:tcPr>
                <w:p w14:paraId="5541583C">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22</w:t>
                  </w:r>
                </w:p>
              </w:tc>
              <w:tc>
                <w:tcPr>
                  <w:tcW w:w="3216" w:type="dxa"/>
                  <w:noWrap w:val="0"/>
                  <w:vAlign w:val="center"/>
                </w:tcPr>
                <w:p w14:paraId="7FD552E4">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color w:val="000000"/>
                      <w:sz w:val="28"/>
                      <w:szCs w:val="28"/>
                      <w:lang w:bidi="ar"/>
                    </w:rPr>
                  </w:pPr>
                  <w:r>
                    <w:rPr>
                      <w:rFonts w:hint="eastAsia" w:ascii="宋体" w:hAnsi="宋体"/>
                      <w:color w:val="000000"/>
                      <w:sz w:val="28"/>
                      <w:szCs w:val="28"/>
                      <w:lang w:bidi="ar"/>
                    </w:rPr>
                    <w:t>消火栓箱及设备</w:t>
                  </w:r>
                </w:p>
              </w:tc>
              <w:tc>
                <w:tcPr>
                  <w:tcW w:w="4992" w:type="dxa"/>
                  <w:noWrap w:val="0"/>
                  <w:vAlign w:val="center"/>
                </w:tcPr>
                <w:p w14:paraId="45961703">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color w:val="000000"/>
                      <w:sz w:val="28"/>
                      <w:szCs w:val="28"/>
                      <w:lang w:bidi="ar"/>
                    </w:rPr>
                  </w:pPr>
                  <w:r>
                    <w:rPr>
                      <w:rFonts w:hint="eastAsia" w:ascii="宋体" w:hAnsi="宋体"/>
                      <w:color w:val="000000"/>
                      <w:sz w:val="28"/>
                      <w:szCs w:val="28"/>
                      <w:lang w:bidi="ar"/>
                    </w:rPr>
                    <w:t>百安、国泰（南京）、扬子（扬州）展拓（南京）</w:t>
                  </w:r>
                </w:p>
              </w:tc>
            </w:tr>
            <w:tr w14:paraId="02BFC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1" w:type="dxa"/>
                  <w:noWrap w:val="0"/>
                  <w:vAlign w:val="top"/>
                </w:tcPr>
                <w:p w14:paraId="0681AA3B">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23</w:t>
                  </w:r>
                </w:p>
              </w:tc>
              <w:tc>
                <w:tcPr>
                  <w:tcW w:w="3216" w:type="dxa"/>
                  <w:noWrap w:val="0"/>
                  <w:vAlign w:val="center"/>
                </w:tcPr>
                <w:p w14:paraId="1EB993C1">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color w:val="000000"/>
                      <w:sz w:val="28"/>
                      <w:szCs w:val="28"/>
                      <w:lang w:bidi="ar"/>
                    </w:rPr>
                  </w:pPr>
                  <w:r>
                    <w:rPr>
                      <w:rFonts w:hint="eastAsia" w:ascii="宋体" w:hAnsi="宋体"/>
                      <w:color w:val="000000"/>
                      <w:sz w:val="28"/>
                      <w:szCs w:val="28"/>
                      <w:lang w:bidi="ar"/>
                    </w:rPr>
                    <w:t>通风设备</w:t>
                  </w:r>
                </w:p>
              </w:tc>
              <w:tc>
                <w:tcPr>
                  <w:tcW w:w="4992" w:type="dxa"/>
                  <w:noWrap w:val="0"/>
                  <w:vAlign w:val="center"/>
                </w:tcPr>
                <w:p w14:paraId="741EB964">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color w:val="000000"/>
                      <w:sz w:val="28"/>
                      <w:szCs w:val="28"/>
                      <w:lang w:bidi="ar"/>
                    </w:rPr>
                  </w:pPr>
                  <w:r>
                    <w:rPr>
                      <w:rFonts w:hint="eastAsia" w:ascii="宋体" w:hAnsi="宋体"/>
                      <w:color w:val="000000"/>
                      <w:sz w:val="28"/>
                      <w:szCs w:val="28"/>
                      <w:lang w:bidi="ar"/>
                    </w:rPr>
                    <w:t>上风高科（浙江）、育才（绍兴上虞）、双阳（浙江）、宝信（江苏）、志江（浙江）</w:t>
                  </w:r>
                </w:p>
              </w:tc>
            </w:tr>
            <w:tr w14:paraId="41EDF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1" w:type="dxa"/>
                  <w:noWrap w:val="0"/>
                  <w:vAlign w:val="top"/>
                </w:tcPr>
                <w:p w14:paraId="260D33C2">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sz w:val="28"/>
                      <w:szCs w:val="28"/>
                    </w:rPr>
                  </w:pPr>
                  <w:r>
                    <w:rPr>
                      <w:rFonts w:hint="eastAsia" w:ascii="宋体" w:hAnsi="宋体"/>
                      <w:sz w:val="28"/>
                      <w:szCs w:val="28"/>
                    </w:rPr>
                    <w:t>24</w:t>
                  </w:r>
                </w:p>
              </w:tc>
              <w:tc>
                <w:tcPr>
                  <w:tcW w:w="3216" w:type="dxa"/>
                  <w:noWrap w:val="0"/>
                  <w:vAlign w:val="center"/>
                </w:tcPr>
                <w:p w14:paraId="14F202A0">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color w:val="000000"/>
                      <w:sz w:val="28"/>
                      <w:szCs w:val="28"/>
                      <w:lang w:bidi="ar"/>
                    </w:rPr>
                  </w:pPr>
                  <w:r>
                    <w:rPr>
                      <w:rFonts w:hint="eastAsia" w:ascii="宋体" w:hAnsi="宋体"/>
                      <w:color w:val="000000"/>
                      <w:sz w:val="28"/>
                      <w:szCs w:val="28"/>
                      <w:lang w:bidi="ar"/>
                    </w:rPr>
                    <w:t>电梯</w:t>
                  </w:r>
                </w:p>
              </w:tc>
              <w:tc>
                <w:tcPr>
                  <w:tcW w:w="4992" w:type="dxa"/>
                  <w:noWrap w:val="0"/>
                  <w:vAlign w:val="center"/>
                </w:tcPr>
                <w:p w14:paraId="340A56B0">
                  <w:pPr>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ascii="宋体" w:hAnsi="宋体"/>
                      <w:color w:val="000000"/>
                      <w:sz w:val="28"/>
                      <w:szCs w:val="28"/>
                      <w:lang w:bidi="ar"/>
                    </w:rPr>
                  </w:pPr>
                  <w:r>
                    <w:rPr>
                      <w:rFonts w:hint="eastAsia" w:ascii="宋体" w:hAnsi="宋体"/>
                      <w:color w:val="000000"/>
                      <w:sz w:val="28"/>
                      <w:szCs w:val="28"/>
                      <w:lang w:bidi="ar"/>
                    </w:rPr>
                    <w:t>通力、上海三菱、迅达、蒂森克虏伯、日立</w:t>
                  </w:r>
                </w:p>
              </w:tc>
            </w:tr>
          </w:tbl>
          <w:p w14:paraId="0871927E">
            <w:pPr>
              <w:ind w:firstLine="570"/>
              <w:rPr>
                <w:rFonts w:hint="eastAsia" w:ascii="宋体" w:hAnsi="宋体"/>
                <w:sz w:val="28"/>
                <w:szCs w:val="28"/>
              </w:rPr>
            </w:pPr>
          </w:p>
        </w:tc>
      </w:tr>
    </w:tbl>
    <w:p w14:paraId="7B37AC58">
      <w:pPr>
        <w:pStyle w:val="2"/>
        <w:ind w:firstLine="720"/>
        <w:jc w:val="left"/>
        <w:rPr>
          <w:sz w:val="24"/>
          <w:szCs w:val="24"/>
        </w:rPr>
        <w:sectPr>
          <w:headerReference r:id="rId12" w:type="default"/>
          <w:footerReference r:id="rId13" w:type="default"/>
          <w:pgSz w:w="11906" w:h="16838"/>
          <w:pgMar w:top="1418" w:right="1128" w:bottom="1418" w:left="1178" w:header="851" w:footer="680" w:gutter="0"/>
          <w:cols w:space="720" w:num="1"/>
          <w:docGrid w:linePitch="290" w:charSpace="0"/>
        </w:sectPr>
      </w:pPr>
      <w:r>
        <w:rPr>
          <w:rFonts w:ascii="宋体" w:hAnsi="宋体"/>
          <w:b w:val="0"/>
          <w:bCs/>
          <w:szCs w:val="21"/>
        </w:rPr>
        <w:br w:type="page"/>
      </w:r>
    </w:p>
    <w:p w14:paraId="7BF29D21">
      <w:pPr>
        <w:widowControl w:val="0"/>
        <w:shd w:val="clear" w:color="auto" w:fill="FFFFFF"/>
        <w:adjustRightInd/>
        <w:snapToGrid/>
        <w:ind w:firstLine="492" w:firstLineChars="0"/>
        <w:jc w:val="left"/>
        <w:rPr>
          <w:rFonts w:hint="eastAsia" w:ascii="宋体" w:hAnsi="宋体" w:eastAsia="宋体" w:cs="仿宋"/>
          <w:bCs/>
          <w:lang w:val="en-US" w:eastAsia="zh-CN"/>
        </w:rPr>
      </w:pPr>
      <w:r>
        <w:rPr>
          <w:rFonts w:hint="eastAsia" w:ascii="宋体" w:hAnsi="宋体"/>
          <w:b/>
          <w:bCs/>
          <w:szCs w:val="24"/>
          <w:lang w:val="en-US" w:eastAsia="zh-CN"/>
        </w:rPr>
        <w:t>2、</w:t>
      </w:r>
      <w:r>
        <w:rPr>
          <w:rFonts w:hint="eastAsia" w:ascii="宋体" w:hAnsi="宋体"/>
          <w:b/>
          <w:bCs/>
          <w:szCs w:val="24"/>
        </w:rPr>
        <w:t>控制价编制说明</w:t>
      </w:r>
    </w:p>
    <w:p w14:paraId="5BF9D0DE">
      <w:pPr>
        <w:ind w:left="326" w:leftChars="86" w:hanging="120" w:hangingChars="50"/>
        <w:rPr>
          <w:rFonts w:hint="eastAsia" w:ascii="宋体" w:hAnsi="宋体" w:eastAsia="宋体" w:cs="仿宋"/>
          <w:b/>
          <w:bCs/>
          <w:lang w:eastAsia="zh-CN"/>
        </w:rPr>
      </w:pPr>
      <w:r>
        <w:rPr>
          <w:rFonts w:hint="eastAsia" w:ascii="宋体" w:hAnsi="宋体" w:cs="仿宋"/>
          <w:bCs/>
        </w:rPr>
        <w:t>工程名称：</w:t>
      </w:r>
      <w:r>
        <w:rPr>
          <w:rFonts w:hint="eastAsia" w:ascii="宋体" w:hAnsi="宋体" w:cs="仿宋"/>
          <w:lang w:eastAsia="zh-CN"/>
        </w:rPr>
        <w:t>总统府文化服务区1号楼（总统府景区游客服务中心）装修改造项目</w:t>
      </w:r>
    </w:p>
    <w:tbl>
      <w:tblPr>
        <w:tblStyle w:val="59"/>
        <w:tblpPr w:leftFromText="180" w:rightFromText="180" w:vertAnchor="text" w:tblpXSpec="center" w:tblpY="1"/>
        <w:tblOverlap w:val="never"/>
        <w:tblW w:w="9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20"/>
      </w:tblGrid>
      <w:tr w14:paraId="2DBA7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4" w:hRule="atLeast"/>
        </w:trPr>
        <w:tc>
          <w:tcPr>
            <w:tcW w:w="9720" w:type="dxa"/>
            <w:noWrap w:val="0"/>
            <w:vAlign w:val="top"/>
          </w:tcPr>
          <w:p w14:paraId="59C6F9A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一、工程概况：</w:t>
            </w:r>
          </w:p>
          <w:p w14:paraId="2E81523B">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1、本工程为：总统府文化服务区1号楼(总统府景区游客服务中心)装修改造项目。</w:t>
            </w:r>
          </w:p>
          <w:p w14:paraId="67A01C38">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2、工程做法详见招标设计图及说明。</w:t>
            </w:r>
          </w:p>
          <w:p w14:paraId="399DE46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二、工程招标控制价和分包范围：</w:t>
            </w:r>
          </w:p>
          <w:p w14:paraId="359C48DE">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工程招标控制价范围：详见工程量清单、招标设计图。</w:t>
            </w:r>
          </w:p>
          <w:p w14:paraId="31F9D690">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三、控制价编制依据：</w:t>
            </w:r>
          </w:p>
          <w:p w14:paraId="5F4E0801">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1、《建设工程工程量清单计价规范》（GB50500-2013）、《房屋建筑与装饰工程工程量计算规范》GB 50854-2013及解释和勘误。</w:t>
            </w:r>
          </w:p>
          <w:p w14:paraId="3538737F">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2、由业主提供南通华荣建设集团有限公司设计的《总统府旅游景区厕所改造工程》招标设计图纸。业主对工程项目修改意见、造价要求。</w:t>
            </w:r>
          </w:p>
          <w:p w14:paraId="37D4337F">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3、与本工程有关的标准（包括标准图集）、规范、技术资料。</w:t>
            </w:r>
          </w:p>
          <w:p w14:paraId="6755D3BC">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4、《江苏省建筑与装饰工程计价表》（2014版）</w:t>
            </w:r>
          </w:p>
          <w:p w14:paraId="0E299981">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5、《江苏省安装工程计价表》（2014版）</w:t>
            </w:r>
          </w:p>
          <w:p w14:paraId="09851DC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6、《江苏省修缮建筑工程计价表》（2009版）</w:t>
            </w:r>
          </w:p>
          <w:p w14:paraId="3463D5A0">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7、《江苏省抗震加固工程计价表》（2009版）</w:t>
            </w:r>
          </w:p>
          <w:p w14:paraId="5EBC2A38">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7、人工工资按（苏建函价﹝2025﹞273号）文件指导价调整。</w:t>
            </w:r>
          </w:p>
          <w:p w14:paraId="4FFB7F7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8、材料价格按南京市2025年第8期指导价、市场价调整。</w:t>
            </w:r>
          </w:p>
          <w:p w14:paraId="1EF4BF83">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9、江苏省、南京市发布的有关造价计算文件。</w:t>
            </w:r>
          </w:p>
          <w:p w14:paraId="6B0C3049">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10、苏建价[2019]178号及附件1：《江苏省建设工程费用定额》（2014年）营改增后调整内容、附件2：江苏省现行专业计价定额材料含税价与除税价表、附件3：江苏省机械台班计价定额含税价与除税价表。</w:t>
            </w:r>
          </w:p>
          <w:p w14:paraId="2C5C5A0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11、由于《总统府文化服务区1号楼(总统府景区游客服务中心)装修改造项目。》招标设计图纸设计深度不够，故根据需要和可能的作法进行部分修正。</w:t>
            </w:r>
          </w:p>
          <w:p w14:paraId="684B42B9">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四、其他说明事项</w:t>
            </w:r>
          </w:p>
          <w:p w14:paraId="12EA31BE">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1、暂列金额：</w:t>
            </w:r>
          </w:p>
          <w:p w14:paraId="49EDEB71">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A、工程量偏差和设计变更、政策性调整和材料价格波动。按固定价279000元计入暂列金额。</w:t>
            </w:r>
          </w:p>
          <w:p w14:paraId="0492BFA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sz w:val="28"/>
                <w:szCs w:val="28"/>
              </w:rPr>
            </w:pPr>
            <w:r>
              <w:rPr>
                <w:rFonts w:hint="eastAsia" w:ascii="宋体" w:hAnsi="宋体" w:eastAsia="宋体" w:cs="宋体"/>
                <w:kern w:val="0"/>
                <w:sz w:val="24"/>
                <w:szCs w:val="24"/>
                <w:lang w:val="en-US" w:eastAsia="zh-CN"/>
              </w:rPr>
              <w:t>B</w:t>
            </w:r>
            <w:r>
              <w:rPr>
                <w:rFonts w:hint="eastAsia" w:ascii="宋体" w:hAnsi="宋体" w:eastAsia="宋体" w:cs="宋体"/>
                <w:kern w:val="0"/>
                <w:sz w:val="24"/>
                <w:szCs w:val="24"/>
              </w:rPr>
              <w:t>、如投标单位因主动放弃现场踏勘造成响应不准确、报价不合理的，后果自行承担。</w:t>
            </w:r>
            <w:r>
              <w:rPr>
                <w:rFonts w:hint="eastAsia" w:ascii="宋体" w:hAnsi="宋体" w:eastAsia="宋体" w:cs="宋体"/>
                <w:kern w:val="0"/>
                <w:sz w:val="24"/>
                <w:szCs w:val="24"/>
                <w:highlight w:val="none"/>
              </w:rPr>
              <w:t>对清单及图纸中缺少的必要施工工艺及步骤，投标人可根据现场的实际情况</w:t>
            </w:r>
            <w:r>
              <w:rPr>
                <w:rFonts w:hint="eastAsia" w:ascii="宋体" w:hAnsi="宋体" w:eastAsia="宋体" w:cs="宋体"/>
                <w:kern w:val="0"/>
                <w:sz w:val="24"/>
                <w:szCs w:val="24"/>
                <w:highlight w:val="none"/>
                <w:lang w:val="en-US" w:eastAsia="zh-CN"/>
              </w:rPr>
              <w:t>在投标前</w:t>
            </w:r>
            <w:r>
              <w:rPr>
                <w:rFonts w:hint="eastAsia" w:ascii="宋体" w:hAnsi="宋体" w:eastAsia="宋体" w:cs="宋体"/>
                <w:kern w:val="0"/>
                <w:sz w:val="24"/>
                <w:szCs w:val="24"/>
                <w:highlight w:val="none"/>
              </w:rPr>
              <w:t>提出异议的，</w:t>
            </w:r>
            <w:r>
              <w:rPr>
                <w:rFonts w:hint="eastAsia" w:ascii="宋体" w:hAnsi="宋体" w:eastAsia="宋体" w:cs="宋体"/>
                <w:kern w:val="0"/>
                <w:sz w:val="24"/>
                <w:szCs w:val="24"/>
                <w:highlight w:val="none"/>
                <w:lang w:val="en-US" w:eastAsia="zh-CN"/>
              </w:rPr>
              <w:t>未提出异议的，中标后</w:t>
            </w:r>
            <w:r>
              <w:rPr>
                <w:rFonts w:hint="eastAsia" w:ascii="宋体" w:hAnsi="宋体" w:eastAsia="宋体" w:cs="宋体"/>
                <w:kern w:val="0"/>
                <w:sz w:val="24"/>
                <w:szCs w:val="24"/>
                <w:highlight w:val="none"/>
              </w:rPr>
              <w:t>增补项作为默认包含项</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中标人不得以不完全了解施工现场</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图纸或清单缺项</w:t>
            </w:r>
            <w:r>
              <w:rPr>
                <w:rFonts w:hint="eastAsia" w:ascii="宋体" w:hAnsi="宋体" w:eastAsia="宋体" w:cs="宋体"/>
                <w:kern w:val="0"/>
                <w:sz w:val="24"/>
                <w:szCs w:val="24"/>
                <w:highlight w:val="none"/>
              </w:rPr>
              <w:t>为由，而提出额外的赔偿、增加费用和延长工期等要求，对此招标人一概不予采纳。</w:t>
            </w:r>
          </w:p>
        </w:tc>
      </w:tr>
    </w:tbl>
    <w:p w14:paraId="6E541D2A">
      <w:pPr>
        <w:pStyle w:val="2"/>
        <w:tabs>
          <w:tab w:val="left" w:pos="0"/>
          <w:tab w:val="clear" w:pos="1440"/>
          <w:tab w:val="clear" w:pos="5670"/>
        </w:tabs>
        <w:ind w:left="0" w:leftChars="0" w:firstLine="0" w:firstLineChars="0"/>
        <w:rPr>
          <w:rFonts w:hint="eastAsia"/>
        </w:rPr>
        <w:sectPr>
          <w:footerReference r:id="rId14" w:type="default"/>
          <w:pgSz w:w="11906" w:h="16838"/>
          <w:pgMar w:top="1440" w:right="991" w:bottom="1440" w:left="1418" w:header="851" w:footer="992" w:gutter="0"/>
          <w:cols w:space="720" w:num="1"/>
          <w:docGrid w:type="lines" w:linePitch="312" w:charSpace="0"/>
        </w:sectPr>
      </w:pPr>
    </w:p>
    <w:p w14:paraId="1B652795">
      <w:pPr>
        <w:pStyle w:val="2"/>
        <w:tabs>
          <w:tab w:val="left" w:pos="0"/>
          <w:tab w:val="clear" w:pos="1440"/>
          <w:tab w:val="clear" w:pos="5670"/>
        </w:tabs>
        <w:ind w:left="0" w:leftChars="0" w:firstLine="0" w:firstLineChars="0"/>
      </w:pPr>
      <w:r>
        <w:rPr>
          <w:rFonts w:hint="eastAsia"/>
        </w:rPr>
        <w:t>第五章</w:t>
      </w:r>
      <w:r>
        <w:rPr>
          <w:rFonts w:hint="eastAsia"/>
          <w:lang w:val="en-US" w:eastAsia="zh-CN"/>
        </w:rPr>
        <w:t xml:space="preserve">  </w:t>
      </w:r>
      <w:r>
        <w:rPr>
          <w:rFonts w:hint="eastAsia"/>
        </w:rPr>
        <w:t>合同主要条款及格式</w:t>
      </w:r>
      <w:bookmarkEnd w:id="60"/>
    </w:p>
    <w:bookmarkEnd w:id="61"/>
    <w:bookmarkEnd w:id="62"/>
    <w:bookmarkEnd w:id="63"/>
    <w:bookmarkEnd w:id="64"/>
    <w:bookmarkEnd w:id="65"/>
    <w:bookmarkEnd w:id="66"/>
    <w:bookmarkEnd w:id="67"/>
    <w:bookmarkEnd w:id="68"/>
    <w:bookmarkEnd w:id="69"/>
    <w:bookmarkEnd w:id="70"/>
    <w:bookmarkEnd w:id="71"/>
    <w:bookmarkEnd w:id="72"/>
    <w:p w14:paraId="0E54BA85">
      <w:pPr>
        <w:ind w:left="0" w:leftChars="0" w:right="-101" w:rightChars="-42" w:firstLine="0" w:firstLineChars="0"/>
        <w:jc w:val="center"/>
        <w:rPr>
          <w:rFonts w:ascii="Calibri" w:hAnsi="Calibri" w:eastAsia="仿宋_GB2312"/>
          <w:bCs/>
          <w:color w:val="000000"/>
          <w:sz w:val="32"/>
          <w:szCs w:val="32"/>
        </w:rPr>
      </w:pPr>
      <w:bookmarkStart w:id="77" w:name="_Toc27490"/>
      <w:bookmarkStart w:id="78" w:name="_Toc22021"/>
      <w:bookmarkStart w:id="79" w:name="_Toc5665"/>
      <w:bookmarkStart w:id="80" w:name="_Toc36797968"/>
      <w:bookmarkStart w:id="81" w:name="_Toc3708"/>
      <w:bookmarkStart w:id="82" w:name="_Toc28757"/>
      <w:bookmarkStart w:id="83" w:name="_Toc27788"/>
      <w:bookmarkStart w:id="84" w:name="_Toc1801"/>
      <w:bookmarkStart w:id="85" w:name="_Toc30849"/>
      <w:bookmarkStart w:id="86" w:name="_Toc15631"/>
      <w:bookmarkStart w:id="87" w:name="_Toc32284"/>
      <w:bookmarkStart w:id="88" w:name="_Toc27960"/>
      <w:r>
        <w:rPr>
          <w:rFonts w:ascii="Calibri" w:hAnsi="Calibri" w:eastAsia="华文中宋"/>
          <w:b/>
          <w:color w:val="000000"/>
          <w:sz w:val="72"/>
          <w:szCs w:val="52"/>
        </w:rPr>
        <w:t>建设工程施工合同</w:t>
      </w:r>
      <w:r>
        <w:rPr>
          <w:rFonts w:ascii="Calibri" w:hAnsi="Calibri" w:eastAsia="华文中宋"/>
          <w:b/>
          <w:color w:val="000000"/>
          <w:sz w:val="52"/>
          <w:szCs w:val="52"/>
        </w:rPr>
        <w:br w:type="textWrapping"/>
      </w:r>
    </w:p>
    <w:p w14:paraId="0C16EE4E">
      <w:pPr>
        <w:ind w:left="0" w:leftChars="0" w:right="-432" w:rightChars="-180" w:firstLine="0" w:firstLineChars="0"/>
        <w:jc w:val="center"/>
        <w:rPr>
          <w:rFonts w:ascii="Calibri" w:hAnsi="Calibri"/>
          <w:highlight w:val="white"/>
        </w:rPr>
      </w:pPr>
      <w:r>
        <w:rPr>
          <w:rFonts w:ascii="Calibri" w:hAnsi="Calibri" w:eastAsia="仿宋_GB2312"/>
          <w:bCs/>
          <w:color w:val="000000"/>
          <w:sz w:val="32"/>
          <w:szCs w:val="32"/>
        </w:rPr>
        <w:t>（GF—201</w:t>
      </w:r>
      <w:r>
        <w:rPr>
          <w:rFonts w:hint="eastAsia" w:ascii="Calibri" w:hAnsi="Calibri" w:eastAsia="仿宋_GB2312"/>
          <w:bCs/>
          <w:color w:val="000000"/>
          <w:sz w:val="32"/>
          <w:szCs w:val="32"/>
        </w:rPr>
        <w:t>7</w:t>
      </w:r>
      <w:r>
        <w:rPr>
          <w:rFonts w:ascii="Calibri" w:hAnsi="Calibri" w:eastAsia="仿宋_GB2312"/>
          <w:bCs/>
          <w:color w:val="000000"/>
          <w:sz w:val="32"/>
          <w:szCs w:val="32"/>
        </w:rPr>
        <w:t>—</w:t>
      </w:r>
      <w:r>
        <w:rPr>
          <w:rFonts w:hint="eastAsia" w:ascii="Calibri" w:hAnsi="Calibri" w:eastAsia="仿宋_GB2312"/>
          <w:bCs/>
          <w:color w:val="000000"/>
          <w:sz w:val="32"/>
          <w:szCs w:val="32"/>
        </w:rPr>
        <w:t>0201）</w:t>
      </w:r>
    </w:p>
    <w:p w14:paraId="3462E26F">
      <w:pPr>
        <w:ind w:firstLine="1041"/>
        <w:jc w:val="center"/>
        <w:rPr>
          <w:rFonts w:ascii="Calibri" w:hAnsi="Calibri" w:eastAsia="华文中宋"/>
          <w:b/>
          <w:color w:val="000000"/>
          <w:sz w:val="52"/>
          <w:szCs w:val="52"/>
        </w:rPr>
      </w:pPr>
    </w:p>
    <w:p w14:paraId="139FF7AB">
      <w:pPr>
        <w:ind w:firstLine="1446"/>
        <w:jc w:val="center"/>
        <w:rPr>
          <w:rFonts w:ascii="Calibri" w:hAnsi="Calibri" w:eastAsia="黑体"/>
          <w:b/>
          <w:color w:val="000000"/>
          <w:sz w:val="72"/>
          <w:szCs w:val="72"/>
        </w:rPr>
      </w:pPr>
    </w:p>
    <w:p w14:paraId="14577440">
      <w:pPr>
        <w:ind w:firstLine="1044"/>
        <w:jc w:val="center"/>
        <w:rPr>
          <w:rFonts w:ascii="Calibri" w:hAnsi="Calibri" w:eastAsia="黑体"/>
          <w:b/>
          <w:color w:val="000000"/>
          <w:sz w:val="52"/>
          <w:szCs w:val="52"/>
        </w:rPr>
      </w:pPr>
    </w:p>
    <w:p w14:paraId="071BFEC6">
      <w:pPr>
        <w:ind w:firstLine="562"/>
        <w:rPr>
          <w:rFonts w:ascii="Calibri" w:hAnsi="Calibri"/>
          <w:b/>
          <w:color w:val="000000"/>
          <w:sz w:val="28"/>
          <w:szCs w:val="28"/>
        </w:rPr>
      </w:pPr>
    </w:p>
    <w:p w14:paraId="0BDDA211">
      <w:pPr>
        <w:ind w:firstLine="562"/>
        <w:jc w:val="center"/>
        <w:rPr>
          <w:rFonts w:ascii="Calibri" w:hAnsi="Calibri"/>
          <w:b/>
          <w:sz w:val="28"/>
          <w:szCs w:val="28"/>
          <w:u w:val="single"/>
        </w:rPr>
      </w:pPr>
    </w:p>
    <w:p w14:paraId="38BBF50B">
      <w:pPr>
        <w:ind w:firstLine="562"/>
        <w:rPr>
          <w:rFonts w:ascii="Calibri" w:hAnsi="Calibri"/>
          <w:b/>
          <w:color w:val="000000"/>
          <w:sz w:val="28"/>
          <w:szCs w:val="28"/>
        </w:rPr>
      </w:pPr>
    </w:p>
    <w:p w14:paraId="7115E370">
      <w:pPr>
        <w:ind w:firstLine="562"/>
        <w:rPr>
          <w:rFonts w:ascii="Calibri" w:hAnsi="Calibri"/>
          <w:b/>
          <w:color w:val="000000"/>
          <w:sz w:val="28"/>
          <w:szCs w:val="28"/>
        </w:rPr>
      </w:pPr>
    </w:p>
    <w:p w14:paraId="25355E3D">
      <w:pPr>
        <w:ind w:firstLine="562"/>
        <w:rPr>
          <w:rFonts w:ascii="Calibri" w:hAnsi="Calibri"/>
          <w:b/>
          <w:color w:val="000000"/>
          <w:sz w:val="28"/>
          <w:szCs w:val="28"/>
        </w:rPr>
      </w:pPr>
    </w:p>
    <w:p w14:paraId="2823205E">
      <w:pPr>
        <w:ind w:firstLine="562"/>
        <w:rPr>
          <w:rFonts w:ascii="Calibri" w:hAnsi="Calibri"/>
          <w:b/>
          <w:color w:val="000000"/>
          <w:sz w:val="28"/>
          <w:szCs w:val="28"/>
        </w:rPr>
      </w:pPr>
    </w:p>
    <w:p w14:paraId="54381AA0">
      <w:pPr>
        <w:ind w:left="0" w:leftChars="0" w:right="3108" w:rightChars="1295" w:firstLine="2640" w:firstLineChars="1100"/>
        <w:rPr>
          <w:rFonts w:ascii="Calibri" w:hAnsi="Calibri"/>
          <w:b/>
          <w:color w:val="000000"/>
          <w:sz w:val="32"/>
          <w:szCs w:val="28"/>
        </w:rPr>
      </w:pPr>
      <w:r>
        <w:rPr>
          <w:rFonts w:ascii="Calibri" w:hAnsi="Calibri"/>
          <w:szCs w:val="20"/>
        </w:rPr>
        <mc:AlternateContent>
          <mc:Choice Requires="wps">
            <w:drawing>
              <wp:anchor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4445" t="4445" r="8255" b="8255"/>
                <wp:wrapNone/>
                <wp:docPr id="1" name="文本框 2"/>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155C6681">
                            <w:pPr>
                              <w:ind w:firstLine="643"/>
                              <w:rPr>
                                <w:b/>
                                <w:bCs/>
                                <w:sz w:val="32"/>
                              </w:rPr>
                            </w:pPr>
                            <w:r>
                              <w:rPr>
                                <w:rFonts w:hint="eastAsia"/>
                                <w:b/>
                                <w:bCs/>
                                <w:sz w:val="32"/>
                              </w:rPr>
                              <w:t>制定</w:t>
                            </w:r>
                          </w:p>
                        </w:txbxContent>
                      </wps:txbx>
                      <wps:bodyPr upright="1"/>
                    </wps:wsp>
                  </a:graphicData>
                </a:graphic>
              </wp:anchor>
            </w:drawing>
          </mc:Choice>
          <mc:Fallback>
            <w:pict>
              <v:shape id="文本框 2" o:spid="_x0000_s1026" o:spt="202" type="#_x0000_t202" style="position:absolute;left:0pt;margin-left:312.6pt;margin-top:9.45pt;height:36pt;width:57pt;z-index:251660288;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BVR+JgQCAAAMBAAADgAAAGRycy9lMm9Eb2MueG1srVPN&#10;jtMwEL4j8Q6W7zTdQlk2aroSlHJBgLTwAFPHSSz5Tx63SV8A3oATF+48V59jx07ownLpgRySyczn&#10;z/N9Hq9uB6PZQQZUzlb8ajbnTFrhamXbin/5vH32ijOMYGvQzsqKHyXy2/XTJ6vel3LhOqdrGRiR&#10;WCx7X/EuRl8WBYpOGsCZ89JSsXHBQKTf0BZ1gJ7YjS4W8/nLoneh9sEJiUjZzVjkE2O4hNA1jRJy&#10;48TeSBtH1iA1RJKEnfLI17nbppEifmwalJHpipPSmN+0CcW79C7WKyjbAL5TYmoBLmnhkSYDytKm&#10;Z6oNRGD7oP6hMkoEh66JM+FMMQrJjpCKq/kjb+468DJrIavRn03H/0crPhw+BaZqmgTOLBg68NP3&#10;b6cfv04/v7JFsqf3WBLqzhMuDq/dkKBTHimZVA9NMOlLehjVydzj2Vw5RCYoeb14fjOniqDSi+U1&#10;jUJiKR4W+4DxnXSGpaDigc4uWwqH9xhH6G9I2su6rdKa8lBqy/qK3ywXS6IHmsmGZoFC40kX2jbT&#10;oNOqTkvSCgzt7o0O7AA0F9v8TN38BUv7bQC7EZdLCQalUVGGHHUS6re2ZvHoyTtLV4anZoysOdOS&#10;bliKMjKC0pcgyRJtyZlk/GhwiuKwG4gmhTtXH+kw9j6otiOn8nFkOA1JtnQa6DSFf/5n0odLvL4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Qc0tcdgAAAAJAQAADwAAAAAAAAABACAAAAAiAAAAZHJz&#10;L2Rvd25yZXYueG1sUEsBAhQAFAAAAAgAh07iQAVUfiYEAgAADAQAAA4AAAAAAAAAAQAgAAAAJwEA&#10;AGRycy9lMm9Eb2MueG1sUEsFBgAAAAAGAAYAWQEAAJ0FAAAAAA==&#10;">
                <v:fill on="f" focussize="0,0"/>
                <v:stroke color="#FFFFFF" joinstyle="miter"/>
                <v:imagedata o:title=""/>
                <o:lock v:ext="edit" aspectratio="f"/>
                <v:textbox>
                  <w:txbxContent>
                    <w:p w14:paraId="155C6681">
                      <w:pPr>
                        <w:ind w:firstLine="643"/>
                        <w:rPr>
                          <w:b/>
                          <w:bCs/>
                          <w:sz w:val="32"/>
                        </w:rPr>
                      </w:pPr>
                      <w:r>
                        <w:rPr>
                          <w:rFonts w:hint="eastAsia"/>
                          <w:b/>
                          <w:bCs/>
                          <w:sz w:val="32"/>
                        </w:rPr>
                        <w:t>制定</w:t>
                      </w:r>
                    </w:p>
                  </w:txbxContent>
                </v:textbox>
              </v:shape>
            </w:pict>
          </mc:Fallback>
        </mc:AlternateContent>
      </w:r>
      <w:r>
        <w:rPr>
          <w:rFonts w:ascii="Calibri" w:hAnsi="Calibri"/>
          <w:b/>
          <w:color w:val="000000"/>
          <w:sz w:val="32"/>
          <w:szCs w:val="28"/>
        </w:rPr>
        <w:t>住房城乡建设部</w:t>
      </w:r>
    </w:p>
    <w:p w14:paraId="3FC6F8EE">
      <w:pPr>
        <w:ind w:left="0" w:leftChars="0" w:right="3108" w:rightChars="1295" w:firstLine="2650" w:firstLineChars="825"/>
        <w:rPr>
          <w:rFonts w:ascii="Calibri" w:hAnsi="Calibri"/>
          <w:b/>
          <w:color w:val="000000"/>
          <w:sz w:val="32"/>
          <w:szCs w:val="28"/>
        </w:rPr>
      </w:pPr>
      <w:r>
        <w:rPr>
          <w:rFonts w:ascii="Calibri" w:hAnsi="Calibri"/>
          <w:b/>
          <w:color w:val="000000"/>
          <w:sz w:val="32"/>
          <w:szCs w:val="28"/>
        </w:rPr>
        <w:t>国家工商行政管理</w:t>
      </w:r>
    </w:p>
    <w:p w14:paraId="62FBF05E">
      <w:pPr>
        <w:ind w:right="3108" w:rightChars="1295" w:firstLine="2750" w:firstLineChars="856"/>
        <w:jc w:val="distribute"/>
        <w:rPr>
          <w:rFonts w:ascii="Calibri" w:hAnsi="Calibri"/>
          <w:b/>
          <w:color w:val="000000"/>
          <w:sz w:val="32"/>
          <w:szCs w:val="28"/>
        </w:rPr>
      </w:pPr>
      <w:r>
        <w:rPr>
          <w:rFonts w:ascii="Calibri" w:hAnsi="Calibri"/>
          <w:b/>
          <w:color w:val="000000"/>
          <w:sz w:val="32"/>
          <w:szCs w:val="28"/>
        </w:rPr>
        <w:t>总局</w:t>
      </w:r>
      <w:bookmarkStart w:id="89" w:name="_Toc351203480"/>
      <w:bookmarkStart w:id="90" w:name="_Toc296890982"/>
      <w:bookmarkStart w:id="91" w:name="_Toc296503025"/>
    </w:p>
    <w:p w14:paraId="3EC323A5">
      <w:pPr>
        <w:ind w:right="905" w:rightChars="377" w:firstLine="643"/>
        <w:jc w:val="center"/>
        <w:rPr>
          <w:rFonts w:ascii="Calibri" w:hAnsi="Calibri"/>
          <w:b/>
          <w:color w:val="000000"/>
          <w:sz w:val="32"/>
          <w:szCs w:val="28"/>
        </w:rPr>
        <w:sectPr>
          <w:pgSz w:w="11906" w:h="16838"/>
          <w:pgMar w:top="1440" w:right="991" w:bottom="1440" w:left="1418" w:header="851" w:footer="992" w:gutter="0"/>
          <w:cols w:space="720" w:num="1"/>
          <w:docGrid w:type="lines" w:linePitch="312" w:charSpace="0"/>
        </w:sectPr>
      </w:pPr>
    </w:p>
    <w:bookmarkEnd w:id="89"/>
    <w:bookmarkEnd w:id="90"/>
    <w:bookmarkEnd w:id="91"/>
    <w:p w14:paraId="4695ADC4">
      <w:pPr>
        <w:keepNext/>
        <w:keepLines/>
        <w:spacing w:before="260" w:after="260" w:line="600" w:lineRule="exact"/>
        <w:ind w:firstLine="881"/>
        <w:jc w:val="center"/>
        <w:outlineLvl w:val="2"/>
        <w:rPr>
          <w:rFonts w:ascii="Calibri" w:hAnsi="Calibri" w:eastAsia="华文中宋"/>
          <w:bCs/>
          <w:color w:val="000000"/>
          <w:sz w:val="44"/>
          <w:szCs w:val="44"/>
        </w:rPr>
      </w:pPr>
      <w:r>
        <w:rPr>
          <w:rFonts w:ascii="华文中宋" w:hAnsi="华文中宋" w:eastAsia="华文中宋"/>
          <w:b/>
          <w:bCs/>
          <w:sz w:val="44"/>
          <w:szCs w:val="44"/>
        </w:rPr>
        <w:t>第一部分 合同协议书</w:t>
      </w:r>
    </w:p>
    <w:p w14:paraId="596FD514">
      <w:pPr>
        <w:spacing w:line="600" w:lineRule="exact"/>
        <w:ind w:firstLine="600"/>
        <w:rPr>
          <w:rFonts w:ascii="Calibri" w:hAnsi="Calibri" w:eastAsia="仿宋_GB2312"/>
          <w:b/>
          <w:color w:val="000000"/>
          <w:sz w:val="30"/>
          <w:szCs w:val="30"/>
        </w:rPr>
      </w:pPr>
    </w:p>
    <w:p w14:paraId="2769F755">
      <w:pPr>
        <w:pageBreakBefore w:val="0"/>
        <w:kinsoku/>
        <w:wordWrap/>
        <w:overflowPunct/>
        <w:topLinePunct w:val="0"/>
        <w:bidi w:val="0"/>
        <w:spacing w:line="360" w:lineRule="auto"/>
        <w:ind w:left="0" w:leftChars="0" w:firstLine="482" w:firstLineChars="200"/>
        <w:jc w:val="left"/>
        <w:textAlignment w:val="auto"/>
        <w:rPr>
          <w:rFonts w:hint="eastAsia" w:ascii="宋体" w:hAnsi="宋体" w:eastAsia="宋体" w:cs="宋体"/>
          <w:b/>
          <w:color w:val="000000"/>
          <w:sz w:val="24"/>
          <w:szCs w:val="24"/>
          <w:u w:val="single"/>
        </w:rPr>
      </w:pPr>
      <w:r>
        <w:rPr>
          <w:rFonts w:hint="eastAsia" w:ascii="宋体" w:hAnsi="宋体" w:eastAsia="宋体" w:cs="宋体"/>
          <w:b/>
          <w:color w:val="000000"/>
          <w:sz w:val="24"/>
          <w:szCs w:val="24"/>
        </w:rPr>
        <w:t>发包人（全称）：</w:t>
      </w:r>
    </w:p>
    <w:p w14:paraId="0C6B90B0">
      <w:pPr>
        <w:pageBreakBefore w:val="0"/>
        <w:kinsoku/>
        <w:wordWrap/>
        <w:overflowPunct/>
        <w:topLinePunct w:val="0"/>
        <w:bidi w:val="0"/>
        <w:spacing w:line="360" w:lineRule="auto"/>
        <w:ind w:left="0" w:leftChars="0" w:firstLine="482" w:firstLineChars="200"/>
        <w:jc w:val="left"/>
        <w:textAlignment w:val="auto"/>
        <w:rPr>
          <w:rFonts w:hint="eastAsia" w:ascii="宋体" w:hAnsi="宋体" w:eastAsia="宋体" w:cs="宋体"/>
          <w:bCs/>
          <w:sz w:val="24"/>
          <w:szCs w:val="24"/>
          <w:u w:val="single"/>
        </w:rPr>
      </w:pPr>
      <w:r>
        <w:rPr>
          <w:rFonts w:hint="eastAsia" w:ascii="宋体" w:hAnsi="宋体" w:eastAsia="宋体" w:cs="宋体"/>
          <w:b/>
          <w:color w:val="000000"/>
          <w:sz w:val="24"/>
          <w:szCs w:val="24"/>
        </w:rPr>
        <w:t>承包人（全称）：</w:t>
      </w:r>
    </w:p>
    <w:p w14:paraId="778CE24D">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根据《中华人民共和国民法典》、《中华人民共和国建筑法》及有关法律规定，遵循平等、自愿、公平和诚实信用的原则，双方就</w:t>
      </w:r>
      <w:r>
        <w:rPr>
          <w:rFonts w:hint="eastAsia" w:ascii="宋体" w:hAnsi="宋体" w:eastAsia="宋体" w:cs="宋体"/>
          <w:color w:val="000000"/>
          <w:sz w:val="24"/>
          <w:szCs w:val="24"/>
          <w:u w:val="single"/>
        </w:rPr>
        <w:t xml:space="preserve">           （工程名称）</w:t>
      </w:r>
      <w:r>
        <w:rPr>
          <w:rFonts w:hint="eastAsia" w:ascii="宋体" w:hAnsi="宋体" w:eastAsia="宋体" w:cs="宋体"/>
          <w:color w:val="000000"/>
          <w:sz w:val="24"/>
          <w:szCs w:val="24"/>
        </w:rPr>
        <w:t>及有关事项协商一致，共同达成如下协议：</w:t>
      </w:r>
    </w:p>
    <w:p w14:paraId="63D48DB5">
      <w:pPr>
        <w:keepNext/>
        <w:keepLines/>
        <w:pageBreakBefore w:val="0"/>
        <w:kinsoku/>
        <w:wordWrap/>
        <w:overflowPunct/>
        <w:topLinePunct w:val="0"/>
        <w:bidi w:val="0"/>
        <w:spacing w:line="360" w:lineRule="auto"/>
        <w:ind w:left="0" w:leftChars="0" w:firstLine="480" w:firstLineChars="200"/>
        <w:jc w:val="left"/>
        <w:textAlignment w:val="auto"/>
        <w:outlineLvl w:val="3"/>
        <w:rPr>
          <w:rFonts w:hint="eastAsia" w:ascii="宋体" w:hAnsi="宋体" w:eastAsia="宋体" w:cs="宋体"/>
          <w:b/>
          <w:bCs/>
          <w:color w:val="000000"/>
          <w:sz w:val="24"/>
          <w:szCs w:val="24"/>
        </w:rPr>
      </w:pPr>
      <w:bookmarkStart w:id="92" w:name="_Toc351203481"/>
      <w:r>
        <w:rPr>
          <w:rFonts w:hint="eastAsia" w:ascii="宋体" w:hAnsi="宋体" w:eastAsia="宋体" w:cs="宋体"/>
          <w:color w:val="000000"/>
          <w:sz w:val="24"/>
          <w:szCs w:val="24"/>
        </w:rPr>
        <w:t>一、工程概况</w:t>
      </w:r>
      <w:bookmarkEnd w:id="92"/>
    </w:p>
    <w:p w14:paraId="05126695">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color w:val="000000"/>
          <w:sz w:val="24"/>
          <w:szCs w:val="24"/>
          <w:u w:val="single"/>
        </w:rPr>
      </w:pPr>
      <w:r>
        <w:rPr>
          <w:rFonts w:hint="eastAsia" w:ascii="宋体" w:hAnsi="宋体" w:eastAsia="宋体" w:cs="宋体"/>
          <w:bCs/>
          <w:color w:val="000000"/>
          <w:sz w:val="24"/>
          <w:szCs w:val="24"/>
        </w:rPr>
        <w:t>1.工程名称</w:t>
      </w:r>
      <w:r>
        <w:rPr>
          <w:rFonts w:hint="eastAsia" w:ascii="宋体" w:hAnsi="宋体" w:eastAsia="宋体" w:cs="宋体"/>
          <w:color w:val="000000"/>
          <w:sz w:val="24"/>
          <w:szCs w:val="24"/>
        </w:rPr>
        <w:t>：</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w:t>
      </w:r>
    </w:p>
    <w:p w14:paraId="471AB282">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2.工程地点：</w:t>
      </w:r>
      <w:r>
        <w:rPr>
          <w:rFonts w:hint="eastAsia" w:ascii="宋体" w:hAnsi="宋体" w:eastAsia="宋体" w:cs="宋体"/>
          <w:bCs/>
          <w:color w:val="000000"/>
          <w:sz w:val="24"/>
          <w:szCs w:val="24"/>
          <w:u w:val="single"/>
        </w:rPr>
        <w:t xml:space="preserve">南京市 </w:t>
      </w:r>
      <w:r>
        <w:rPr>
          <w:rFonts w:hint="eastAsia" w:ascii="宋体" w:hAnsi="宋体" w:eastAsia="宋体" w:cs="宋体"/>
          <w:color w:val="000000"/>
          <w:sz w:val="24"/>
          <w:szCs w:val="24"/>
        </w:rPr>
        <w:t>。</w:t>
      </w:r>
    </w:p>
    <w:p w14:paraId="7C546E8D">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3.工程立项批准文号：</w:t>
      </w:r>
      <w:r>
        <w:rPr>
          <w:rFonts w:hint="eastAsia" w:ascii="宋体" w:hAnsi="宋体" w:eastAsia="宋体" w:cs="宋体"/>
          <w:color w:val="000000"/>
          <w:sz w:val="24"/>
          <w:szCs w:val="24"/>
          <w:u w:val="single"/>
        </w:rPr>
        <w:t>/</w:t>
      </w:r>
      <w:r>
        <w:rPr>
          <w:rFonts w:hint="eastAsia" w:ascii="宋体" w:hAnsi="宋体" w:eastAsia="宋体" w:cs="宋体"/>
          <w:bCs/>
          <w:color w:val="000000"/>
          <w:sz w:val="24"/>
          <w:szCs w:val="24"/>
        </w:rPr>
        <w:t>。</w:t>
      </w:r>
    </w:p>
    <w:p w14:paraId="6E3089F8">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4.资金来源：</w:t>
      </w:r>
      <w:r>
        <w:rPr>
          <w:rFonts w:hint="eastAsia" w:ascii="宋体" w:hAnsi="宋体" w:cs="宋体"/>
          <w:bCs/>
          <w:color w:val="000000"/>
          <w:sz w:val="24"/>
          <w:szCs w:val="24"/>
          <w:u w:val="single"/>
          <w:lang w:val="en-US" w:eastAsia="zh-CN"/>
        </w:rPr>
        <w:t xml:space="preserve">      </w:t>
      </w:r>
      <w:r>
        <w:rPr>
          <w:rFonts w:hint="eastAsia" w:ascii="宋体" w:hAnsi="宋体" w:eastAsia="宋体" w:cs="宋体"/>
          <w:bCs/>
          <w:color w:val="000000"/>
          <w:sz w:val="24"/>
          <w:szCs w:val="24"/>
        </w:rPr>
        <w:t>。</w:t>
      </w:r>
    </w:p>
    <w:p w14:paraId="6D2554C8">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5.工程内容：</w:t>
      </w:r>
      <w:r>
        <w:rPr>
          <w:rFonts w:hint="eastAsia" w:ascii="宋体" w:hAnsi="宋体" w:eastAsia="宋体" w:cs="宋体"/>
          <w:color w:val="000000"/>
          <w:sz w:val="24"/>
          <w:szCs w:val="24"/>
          <w:u w:val="single"/>
        </w:rPr>
        <w:t xml:space="preserve">             。</w:t>
      </w:r>
    </w:p>
    <w:p w14:paraId="3A2E01C0">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bCs/>
          <w:color w:val="000000"/>
          <w:sz w:val="24"/>
          <w:szCs w:val="24"/>
        </w:rPr>
      </w:pPr>
      <w:r>
        <w:rPr>
          <w:rFonts w:hint="eastAsia" w:ascii="宋体" w:hAnsi="宋体" w:eastAsia="宋体" w:cs="宋体"/>
          <w:color w:val="000000"/>
          <w:sz w:val="24"/>
          <w:szCs w:val="24"/>
        </w:rPr>
        <w:t>群体工程应附《承包人承揽工程项目一览表》（附件1）。</w:t>
      </w:r>
    </w:p>
    <w:p w14:paraId="26E06C8A">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bCs/>
          <w:color w:val="000000"/>
          <w:sz w:val="24"/>
          <w:szCs w:val="24"/>
        </w:rPr>
        <w:t>6.工程承包范围：</w:t>
      </w:r>
      <w:r>
        <w:rPr>
          <w:rFonts w:hint="eastAsia" w:ascii="宋体" w:hAnsi="宋体" w:eastAsia="宋体" w:cs="宋体"/>
          <w:bCs/>
          <w:color w:val="000000"/>
          <w:sz w:val="24"/>
          <w:szCs w:val="24"/>
          <w:lang w:val="en-US" w:eastAsia="zh-CN"/>
        </w:rPr>
        <w:t xml:space="preserve">    </w:t>
      </w:r>
      <w:r>
        <w:rPr>
          <w:rFonts w:hint="eastAsia" w:ascii="宋体" w:hAnsi="宋体" w:eastAsia="宋体" w:cs="宋体"/>
          <w:color w:val="000000"/>
          <w:sz w:val="24"/>
          <w:szCs w:val="24"/>
        </w:rPr>
        <w:t>。</w:t>
      </w:r>
    </w:p>
    <w:p w14:paraId="51996663">
      <w:pPr>
        <w:keepNext/>
        <w:keepLines/>
        <w:pageBreakBefore w:val="0"/>
        <w:kinsoku/>
        <w:wordWrap/>
        <w:overflowPunct/>
        <w:topLinePunct w:val="0"/>
        <w:bidi w:val="0"/>
        <w:spacing w:line="360" w:lineRule="auto"/>
        <w:ind w:left="0" w:leftChars="0" w:firstLine="480" w:firstLineChars="200"/>
        <w:jc w:val="left"/>
        <w:textAlignment w:val="auto"/>
        <w:outlineLvl w:val="3"/>
        <w:rPr>
          <w:rFonts w:hint="eastAsia" w:ascii="宋体" w:hAnsi="宋体" w:eastAsia="宋体" w:cs="宋体"/>
          <w:color w:val="000000"/>
          <w:sz w:val="24"/>
          <w:szCs w:val="24"/>
        </w:rPr>
      </w:pPr>
      <w:bookmarkStart w:id="93" w:name="_Toc351203482"/>
      <w:r>
        <w:rPr>
          <w:rFonts w:hint="eastAsia" w:ascii="宋体" w:hAnsi="宋体" w:eastAsia="宋体" w:cs="宋体"/>
          <w:color w:val="000000"/>
          <w:sz w:val="24"/>
          <w:szCs w:val="24"/>
        </w:rPr>
        <w:t>二、合同工期</w:t>
      </w:r>
      <w:bookmarkEnd w:id="93"/>
    </w:p>
    <w:p w14:paraId="587534C1">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计划开工日期：</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日。</w:t>
      </w:r>
    </w:p>
    <w:p w14:paraId="58DD3AB2">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计划竣工日期：</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日。</w:t>
      </w:r>
    </w:p>
    <w:p w14:paraId="1B67B208">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工期总日历天数:</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天。工期总日历天数与根据前述计划开竣工日期计算的工期天数不一致的，以工期总日历天数为准。</w:t>
      </w:r>
    </w:p>
    <w:p w14:paraId="786E8FE3">
      <w:pPr>
        <w:keepNext/>
        <w:keepLines/>
        <w:pageBreakBefore w:val="0"/>
        <w:kinsoku/>
        <w:wordWrap/>
        <w:overflowPunct/>
        <w:topLinePunct w:val="0"/>
        <w:bidi w:val="0"/>
        <w:spacing w:line="360" w:lineRule="auto"/>
        <w:ind w:left="0" w:leftChars="0" w:firstLine="480" w:firstLineChars="200"/>
        <w:jc w:val="left"/>
        <w:textAlignment w:val="auto"/>
        <w:outlineLvl w:val="3"/>
        <w:rPr>
          <w:rFonts w:hint="eastAsia" w:ascii="宋体" w:hAnsi="宋体" w:eastAsia="宋体" w:cs="宋体"/>
          <w:b/>
          <w:bCs/>
          <w:color w:val="000000"/>
          <w:sz w:val="24"/>
          <w:szCs w:val="24"/>
        </w:rPr>
      </w:pPr>
      <w:bookmarkStart w:id="94" w:name="_Toc351203483"/>
      <w:r>
        <w:rPr>
          <w:rFonts w:hint="eastAsia" w:ascii="宋体" w:hAnsi="宋体" w:eastAsia="宋体" w:cs="宋体"/>
          <w:color w:val="000000"/>
          <w:sz w:val="24"/>
          <w:szCs w:val="24"/>
        </w:rPr>
        <w:t>三、质量标准</w:t>
      </w:r>
      <w:bookmarkEnd w:id="94"/>
    </w:p>
    <w:p w14:paraId="73295BD6">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工程质量符合《</w:t>
      </w:r>
      <w:r>
        <w:rPr>
          <w:rFonts w:hint="eastAsia" w:ascii="宋体" w:hAnsi="宋体" w:eastAsia="宋体" w:cs="宋体"/>
          <w:sz w:val="24"/>
          <w:szCs w:val="24"/>
          <w:u w:val="single"/>
        </w:rPr>
        <w:t>建筑工程施工质量验收统一标准》</w:t>
      </w:r>
      <w:r>
        <w:rPr>
          <w:rFonts w:hint="eastAsia" w:ascii="宋体" w:hAnsi="宋体" w:eastAsia="宋体" w:cs="宋体"/>
          <w:color w:val="000000"/>
          <w:sz w:val="24"/>
          <w:szCs w:val="24"/>
        </w:rPr>
        <w:t>。</w:t>
      </w:r>
    </w:p>
    <w:p w14:paraId="1EC45D6D">
      <w:pPr>
        <w:keepNext/>
        <w:keepLines/>
        <w:pageBreakBefore w:val="0"/>
        <w:kinsoku/>
        <w:wordWrap/>
        <w:overflowPunct/>
        <w:topLinePunct w:val="0"/>
        <w:bidi w:val="0"/>
        <w:spacing w:line="360" w:lineRule="auto"/>
        <w:ind w:left="0" w:leftChars="0" w:firstLine="480" w:firstLineChars="200"/>
        <w:jc w:val="left"/>
        <w:textAlignment w:val="auto"/>
        <w:outlineLvl w:val="3"/>
        <w:rPr>
          <w:rFonts w:hint="eastAsia" w:ascii="宋体" w:hAnsi="宋体" w:eastAsia="宋体" w:cs="宋体"/>
          <w:b/>
          <w:bCs/>
          <w:color w:val="000000"/>
          <w:sz w:val="24"/>
          <w:szCs w:val="24"/>
        </w:rPr>
      </w:pPr>
      <w:bookmarkStart w:id="95" w:name="_Toc351203484"/>
      <w:r>
        <w:rPr>
          <w:rFonts w:hint="eastAsia" w:ascii="宋体" w:hAnsi="宋体" w:eastAsia="宋体" w:cs="宋体"/>
          <w:color w:val="000000"/>
          <w:sz w:val="24"/>
          <w:szCs w:val="24"/>
        </w:rPr>
        <w:t>四、签约合同价与合同价格形式</w:t>
      </w:r>
      <w:bookmarkEnd w:id="95"/>
      <w:r>
        <w:rPr>
          <w:rFonts w:hint="eastAsia" w:ascii="宋体" w:hAnsi="宋体" w:eastAsia="宋体" w:cs="宋体"/>
          <w:color w:val="000000"/>
          <w:sz w:val="24"/>
          <w:szCs w:val="24"/>
        </w:rPr>
        <w:tab/>
      </w:r>
    </w:p>
    <w:p w14:paraId="0E02B0B9">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1.签约合同价为：</w:t>
      </w:r>
    </w:p>
    <w:p w14:paraId="10D93B72">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(小写：</w:t>
      </w:r>
      <w:r>
        <w:rPr>
          <w:rFonts w:hint="eastAsia" w:ascii="宋体" w:hAnsi="宋体" w:eastAsia="宋体" w:cs="宋体"/>
          <w:sz w:val="24"/>
          <w:szCs w:val="24"/>
          <w:u w:val="none"/>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元)；</w:t>
      </w:r>
    </w:p>
    <w:p w14:paraId="650EA2AC">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其中：</w:t>
      </w:r>
    </w:p>
    <w:p w14:paraId="3B318ED7">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（1）安全文明施工费：</w:t>
      </w:r>
    </w:p>
    <w:p w14:paraId="4DADDCE5">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(小写：</w:t>
      </w:r>
      <w:r>
        <w:rPr>
          <w:rFonts w:hint="eastAsia" w:ascii="宋体" w:hAnsi="宋体" w:eastAsia="宋体" w:cs="宋体"/>
          <w:sz w:val="24"/>
          <w:szCs w:val="24"/>
          <w:u w:val="none"/>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元)；</w:t>
      </w:r>
    </w:p>
    <w:p w14:paraId="072EAAD7">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（2）材料和工程设备暂估价金额：</w:t>
      </w:r>
    </w:p>
    <w:p w14:paraId="54A5C2D5">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(小写：</w:t>
      </w:r>
      <w:r>
        <w:rPr>
          <w:rFonts w:hint="eastAsia" w:ascii="宋体" w:hAnsi="宋体" w:eastAsia="宋体" w:cs="宋体"/>
          <w:sz w:val="24"/>
          <w:szCs w:val="24"/>
          <w:u w:val="none"/>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元)；</w:t>
      </w:r>
    </w:p>
    <w:p w14:paraId="21053307">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（3）专业工程暂估价金额：</w:t>
      </w:r>
    </w:p>
    <w:p w14:paraId="5C6ECED0">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(小写：</w:t>
      </w:r>
      <w:r>
        <w:rPr>
          <w:rFonts w:hint="eastAsia" w:ascii="宋体" w:hAnsi="宋体" w:eastAsia="宋体" w:cs="宋体"/>
          <w:sz w:val="24"/>
          <w:szCs w:val="24"/>
          <w:u w:val="none"/>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元)；</w:t>
      </w:r>
    </w:p>
    <w:p w14:paraId="282C3E79">
      <w:pPr>
        <w:pageBreakBefore w:val="0"/>
        <w:widowControl w:val="0"/>
        <w:numPr>
          <w:ilvl w:val="0"/>
          <w:numId w:val="8"/>
        </w:numPr>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暂列金额：</w:t>
      </w:r>
    </w:p>
    <w:p w14:paraId="54E3EB57">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(小写：</w:t>
      </w:r>
      <w:r>
        <w:rPr>
          <w:rFonts w:hint="eastAsia" w:ascii="宋体" w:hAnsi="宋体" w:eastAsia="宋体" w:cs="宋体"/>
          <w:sz w:val="24"/>
          <w:szCs w:val="24"/>
          <w:u w:val="none"/>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元)。</w:t>
      </w:r>
    </w:p>
    <w:p w14:paraId="486574D4">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2.合同价格形式：</w:t>
      </w:r>
      <w:r>
        <w:rPr>
          <w:rFonts w:hint="eastAsia" w:ascii="宋体" w:hAnsi="宋体" w:eastAsia="宋体" w:cs="宋体"/>
          <w:sz w:val="24"/>
          <w:szCs w:val="24"/>
          <w:u w:val="none"/>
        </w:rPr>
        <w:t>固定</w:t>
      </w:r>
      <w:r>
        <w:rPr>
          <w:rFonts w:hint="eastAsia" w:ascii="宋体" w:hAnsi="宋体" w:eastAsia="宋体" w:cs="宋体"/>
          <w:sz w:val="24"/>
          <w:szCs w:val="24"/>
          <w:u w:val="none"/>
          <w:lang w:eastAsia="zh-CN"/>
        </w:rPr>
        <w:t>单</w:t>
      </w:r>
      <w:r>
        <w:rPr>
          <w:rFonts w:hint="eastAsia" w:ascii="宋体" w:hAnsi="宋体" w:eastAsia="宋体" w:cs="宋体"/>
          <w:sz w:val="24"/>
          <w:szCs w:val="24"/>
          <w:u w:val="none"/>
        </w:rPr>
        <w:t>价合同</w:t>
      </w:r>
      <w:r>
        <w:rPr>
          <w:rFonts w:hint="eastAsia" w:ascii="宋体" w:hAnsi="宋体" w:eastAsia="宋体" w:cs="宋体"/>
          <w:sz w:val="24"/>
          <w:szCs w:val="24"/>
        </w:rPr>
        <w:t>。</w:t>
      </w:r>
    </w:p>
    <w:p w14:paraId="5674EFAF">
      <w:pPr>
        <w:keepNext/>
        <w:keepLines/>
        <w:pageBreakBefore w:val="0"/>
        <w:kinsoku/>
        <w:wordWrap/>
        <w:overflowPunct/>
        <w:topLinePunct w:val="0"/>
        <w:bidi w:val="0"/>
        <w:spacing w:line="360" w:lineRule="auto"/>
        <w:ind w:left="0" w:leftChars="0" w:firstLine="480" w:firstLineChars="200"/>
        <w:jc w:val="left"/>
        <w:textAlignment w:val="auto"/>
        <w:outlineLvl w:val="3"/>
        <w:rPr>
          <w:rFonts w:hint="eastAsia" w:ascii="宋体" w:hAnsi="宋体" w:eastAsia="宋体" w:cs="宋体"/>
          <w:color w:val="000000"/>
          <w:sz w:val="24"/>
          <w:szCs w:val="24"/>
        </w:rPr>
      </w:pPr>
      <w:bookmarkStart w:id="96" w:name="_Toc351203485"/>
      <w:r>
        <w:rPr>
          <w:rFonts w:hint="eastAsia" w:ascii="宋体" w:hAnsi="宋体" w:eastAsia="宋体" w:cs="宋体"/>
          <w:color w:val="000000"/>
          <w:sz w:val="24"/>
          <w:szCs w:val="24"/>
        </w:rPr>
        <w:t>五、</w:t>
      </w:r>
      <w:bookmarkEnd w:id="96"/>
      <w:r>
        <w:rPr>
          <w:rFonts w:hint="eastAsia" w:ascii="宋体" w:hAnsi="宋体" w:eastAsia="宋体" w:cs="宋体"/>
          <w:color w:val="000000"/>
          <w:sz w:val="24"/>
          <w:szCs w:val="24"/>
        </w:rPr>
        <w:t>项目经理</w:t>
      </w:r>
    </w:p>
    <w:p w14:paraId="54AA9896">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承包人项目经理：</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w:t>
      </w:r>
    </w:p>
    <w:p w14:paraId="7D99C3CB">
      <w:pPr>
        <w:keepNext/>
        <w:keepLines/>
        <w:pageBreakBefore w:val="0"/>
        <w:kinsoku/>
        <w:wordWrap/>
        <w:overflowPunct/>
        <w:topLinePunct w:val="0"/>
        <w:bidi w:val="0"/>
        <w:spacing w:line="360" w:lineRule="auto"/>
        <w:ind w:left="0" w:leftChars="0" w:firstLine="480" w:firstLineChars="200"/>
        <w:jc w:val="left"/>
        <w:textAlignment w:val="auto"/>
        <w:outlineLvl w:val="3"/>
        <w:rPr>
          <w:rFonts w:hint="eastAsia" w:ascii="宋体" w:hAnsi="宋体" w:eastAsia="宋体" w:cs="宋体"/>
          <w:b/>
          <w:bCs/>
          <w:color w:val="000000"/>
          <w:sz w:val="24"/>
          <w:szCs w:val="24"/>
        </w:rPr>
      </w:pPr>
      <w:bookmarkStart w:id="97" w:name="_Toc351203486"/>
      <w:r>
        <w:rPr>
          <w:rFonts w:hint="eastAsia" w:ascii="宋体" w:hAnsi="宋体" w:eastAsia="宋体" w:cs="宋体"/>
          <w:color w:val="000000"/>
          <w:sz w:val="24"/>
          <w:szCs w:val="24"/>
        </w:rPr>
        <w:t>六、合同文件构成</w:t>
      </w:r>
      <w:bookmarkEnd w:id="97"/>
    </w:p>
    <w:p w14:paraId="1E89AC52">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本协议书与下列文件一起构成合同文件：</w:t>
      </w:r>
    </w:p>
    <w:p w14:paraId="301917E1">
      <w:pPr>
        <w:pageBreakBefore w:val="0"/>
        <w:kinsoku/>
        <w:wordWrap/>
        <w:overflowPunct/>
        <w:topLinePunct w:val="0"/>
        <w:autoSpaceDE w:val="0"/>
        <w:autoSpaceDN w:val="0"/>
        <w:bidi w:val="0"/>
        <w:spacing w:line="360" w:lineRule="auto"/>
        <w:ind w:left="0" w:lef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（1）中标通知书（如果有）；</w:t>
      </w:r>
    </w:p>
    <w:p w14:paraId="7F11F41D">
      <w:pPr>
        <w:pageBreakBefore w:val="0"/>
        <w:kinsoku/>
        <w:wordWrap/>
        <w:overflowPunct/>
        <w:topLinePunct w:val="0"/>
        <w:autoSpaceDE w:val="0"/>
        <w:autoSpaceDN w:val="0"/>
        <w:bidi w:val="0"/>
        <w:spacing w:line="360" w:lineRule="auto"/>
        <w:ind w:left="0" w:lef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（2）投标函及其附录（如果有）； </w:t>
      </w:r>
    </w:p>
    <w:p w14:paraId="5E6CB606">
      <w:pPr>
        <w:pageBreakBefore w:val="0"/>
        <w:kinsoku/>
        <w:wordWrap/>
        <w:overflowPunct/>
        <w:topLinePunct w:val="0"/>
        <w:autoSpaceDE w:val="0"/>
        <w:autoSpaceDN w:val="0"/>
        <w:bidi w:val="0"/>
        <w:spacing w:line="360" w:lineRule="auto"/>
        <w:ind w:left="0" w:lef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（3）专用合同条款及其附件；</w:t>
      </w:r>
    </w:p>
    <w:p w14:paraId="1232E101">
      <w:pPr>
        <w:pageBreakBefore w:val="0"/>
        <w:kinsoku/>
        <w:wordWrap/>
        <w:overflowPunct/>
        <w:topLinePunct w:val="0"/>
        <w:autoSpaceDE w:val="0"/>
        <w:autoSpaceDN w:val="0"/>
        <w:bidi w:val="0"/>
        <w:spacing w:line="360" w:lineRule="auto"/>
        <w:ind w:left="0" w:lef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（4）通用合同条款；</w:t>
      </w:r>
    </w:p>
    <w:p w14:paraId="4242F435">
      <w:pPr>
        <w:pageBreakBefore w:val="0"/>
        <w:kinsoku/>
        <w:wordWrap/>
        <w:overflowPunct/>
        <w:topLinePunct w:val="0"/>
        <w:autoSpaceDE w:val="0"/>
        <w:autoSpaceDN w:val="0"/>
        <w:bidi w:val="0"/>
        <w:spacing w:line="360" w:lineRule="auto"/>
        <w:ind w:left="0" w:lef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（5）技术标准和要求；</w:t>
      </w:r>
    </w:p>
    <w:p w14:paraId="63E2B4F3">
      <w:pPr>
        <w:pageBreakBefore w:val="0"/>
        <w:kinsoku/>
        <w:wordWrap/>
        <w:overflowPunct/>
        <w:topLinePunct w:val="0"/>
        <w:autoSpaceDE w:val="0"/>
        <w:autoSpaceDN w:val="0"/>
        <w:bidi w:val="0"/>
        <w:spacing w:line="360" w:lineRule="auto"/>
        <w:ind w:left="0" w:lef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（6）图纸；</w:t>
      </w:r>
    </w:p>
    <w:p w14:paraId="3DCCBD76">
      <w:pPr>
        <w:pageBreakBefore w:val="0"/>
        <w:kinsoku/>
        <w:wordWrap/>
        <w:overflowPunct/>
        <w:topLinePunct w:val="0"/>
        <w:autoSpaceDE w:val="0"/>
        <w:autoSpaceDN w:val="0"/>
        <w:bidi w:val="0"/>
        <w:spacing w:line="360" w:lineRule="auto"/>
        <w:ind w:left="0" w:lef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（7）已标价工程量清单或预算书；</w:t>
      </w:r>
    </w:p>
    <w:p w14:paraId="2BD6C01D">
      <w:pPr>
        <w:pageBreakBefore w:val="0"/>
        <w:kinsoku/>
        <w:wordWrap/>
        <w:overflowPunct/>
        <w:topLinePunct w:val="0"/>
        <w:autoSpaceDE w:val="0"/>
        <w:autoSpaceDN w:val="0"/>
        <w:bidi w:val="0"/>
        <w:spacing w:line="360" w:lineRule="auto"/>
        <w:ind w:left="0" w:lef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（8）其他合同文件。</w:t>
      </w:r>
    </w:p>
    <w:p w14:paraId="695E5DEB">
      <w:pPr>
        <w:pageBreakBefore w:val="0"/>
        <w:kinsoku/>
        <w:wordWrap/>
        <w:overflowPunct/>
        <w:topLinePunct w:val="0"/>
        <w:autoSpaceDE w:val="0"/>
        <w:autoSpaceDN w:val="0"/>
        <w:bidi w:val="0"/>
        <w:spacing w:line="360" w:lineRule="auto"/>
        <w:ind w:left="0" w:lef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在合同订立及履行过程中形成的与合同有关的文件均构成合同文件组成部分。</w:t>
      </w:r>
    </w:p>
    <w:p w14:paraId="479B1465">
      <w:pPr>
        <w:pageBreakBefore w:val="0"/>
        <w:kinsoku/>
        <w:wordWrap/>
        <w:overflowPunct/>
        <w:topLinePunct w:val="0"/>
        <w:autoSpaceDE w:val="0"/>
        <w:autoSpaceDN w:val="0"/>
        <w:bidi w:val="0"/>
        <w:spacing w:line="360" w:lineRule="auto"/>
        <w:ind w:left="0" w:lef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上述各项合同文件包括合同当事人就该项合同文件所作出的补充和修改，属于同一类内容的文件，应以最新签署的为准。专用合同条款及其附件须经合同当事人签字或盖章。</w:t>
      </w:r>
    </w:p>
    <w:p w14:paraId="4AD4332B">
      <w:pPr>
        <w:keepNext/>
        <w:keepLines/>
        <w:pageBreakBefore w:val="0"/>
        <w:kinsoku/>
        <w:wordWrap/>
        <w:overflowPunct/>
        <w:topLinePunct w:val="0"/>
        <w:bidi w:val="0"/>
        <w:spacing w:line="360" w:lineRule="auto"/>
        <w:ind w:left="0" w:leftChars="0" w:firstLine="480" w:firstLineChars="200"/>
        <w:jc w:val="left"/>
        <w:textAlignment w:val="auto"/>
        <w:outlineLvl w:val="3"/>
        <w:rPr>
          <w:rFonts w:hint="eastAsia" w:ascii="宋体" w:hAnsi="宋体" w:eastAsia="宋体" w:cs="宋体"/>
          <w:bCs/>
          <w:color w:val="000000"/>
          <w:sz w:val="24"/>
          <w:szCs w:val="24"/>
        </w:rPr>
      </w:pPr>
      <w:bookmarkStart w:id="98" w:name="_Toc351203487"/>
      <w:r>
        <w:rPr>
          <w:rFonts w:hint="eastAsia" w:ascii="宋体" w:hAnsi="宋体" w:eastAsia="宋体" w:cs="宋体"/>
          <w:color w:val="000000"/>
          <w:sz w:val="24"/>
          <w:szCs w:val="24"/>
        </w:rPr>
        <w:t>七、承诺</w:t>
      </w:r>
      <w:bookmarkEnd w:id="98"/>
    </w:p>
    <w:p w14:paraId="3C48315A">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1.发包人承诺按照法律规定履行项目审批手续、筹集工程建设资金并按照合同约定的期限和方式支付合同价款。</w:t>
      </w:r>
    </w:p>
    <w:p w14:paraId="4C226F4A">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2.承包人承诺按照法律规定及合同约定组织完成工程施工，确保工程质量和安全，不进行转包及违法分包，并在缺陷责任期及保修期内承担相应的工程维修责任。</w:t>
      </w:r>
    </w:p>
    <w:p w14:paraId="3A187C96">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3.发包人和承包人通过招投标形式签订合同的，双方理解并承诺不再就同一工程另行签订与合同实质性内容相背离的协议。</w:t>
      </w:r>
    </w:p>
    <w:p w14:paraId="67B3A5AA">
      <w:pPr>
        <w:pageBreakBefore w:val="0"/>
        <w:kinsoku/>
        <w:wordWrap/>
        <w:overflowPunct/>
        <w:topLinePunct w:val="0"/>
        <w:bidi w:val="0"/>
        <w:spacing w:line="360" w:lineRule="auto"/>
        <w:ind w:left="0" w:leftChars="0" w:firstLine="482" w:firstLineChars="200"/>
        <w:jc w:val="left"/>
        <w:textAlignment w:val="auto"/>
        <w:rPr>
          <w:rFonts w:hint="eastAsia" w:ascii="宋体" w:hAnsi="宋体" w:eastAsia="宋体" w:cs="宋体"/>
          <w:bCs/>
          <w:color w:val="000000"/>
          <w:sz w:val="24"/>
          <w:szCs w:val="24"/>
        </w:rPr>
      </w:pPr>
      <w:bookmarkStart w:id="99" w:name="_Toc351203488"/>
      <w:r>
        <w:rPr>
          <w:rFonts w:hint="eastAsia" w:ascii="宋体" w:hAnsi="宋体" w:eastAsia="宋体" w:cs="宋体"/>
          <w:b/>
          <w:color w:val="000000"/>
          <w:sz w:val="24"/>
          <w:szCs w:val="24"/>
        </w:rPr>
        <w:t>八、词语含义</w:t>
      </w:r>
      <w:bookmarkEnd w:id="99"/>
    </w:p>
    <w:p w14:paraId="40203CCF">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本协议书中词语含义与第二部分通用合同条款中赋予的含义相同。</w:t>
      </w:r>
    </w:p>
    <w:p w14:paraId="37A60247">
      <w:pPr>
        <w:keepNext/>
        <w:keepLines/>
        <w:pageBreakBefore w:val="0"/>
        <w:kinsoku/>
        <w:wordWrap/>
        <w:overflowPunct/>
        <w:topLinePunct w:val="0"/>
        <w:bidi w:val="0"/>
        <w:spacing w:line="360" w:lineRule="auto"/>
        <w:ind w:left="0" w:leftChars="0" w:firstLine="480" w:firstLineChars="200"/>
        <w:jc w:val="left"/>
        <w:textAlignment w:val="auto"/>
        <w:outlineLvl w:val="3"/>
        <w:rPr>
          <w:rFonts w:hint="eastAsia" w:ascii="宋体" w:hAnsi="宋体" w:eastAsia="宋体" w:cs="宋体"/>
          <w:b/>
          <w:bCs/>
          <w:color w:val="000000"/>
          <w:sz w:val="24"/>
          <w:szCs w:val="24"/>
        </w:rPr>
      </w:pPr>
      <w:bookmarkStart w:id="100" w:name="_Toc351203489"/>
      <w:r>
        <w:rPr>
          <w:rFonts w:hint="eastAsia" w:ascii="宋体" w:hAnsi="宋体" w:eastAsia="宋体" w:cs="宋体"/>
          <w:color w:val="000000"/>
          <w:sz w:val="24"/>
          <w:szCs w:val="24"/>
        </w:rPr>
        <w:t>九、签订时间</w:t>
      </w:r>
      <w:bookmarkEnd w:id="100"/>
    </w:p>
    <w:p w14:paraId="13D662A2">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本合同于</w:t>
      </w:r>
      <w:r>
        <w:rPr>
          <w:rFonts w:hint="eastAsia" w:ascii="宋体" w:hAnsi="宋体" w:eastAsia="宋体" w:cs="宋体"/>
          <w:bCs/>
          <w:color w:val="000000"/>
          <w:sz w:val="24"/>
          <w:szCs w:val="24"/>
          <w:lang w:val="en-US" w:eastAsia="zh-CN"/>
        </w:rPr>
        <w:t xml:space="preserve"> </w:t>
      </w:r>
      <w:r>
        <w:rPr>
          <w:rFonts w:hint="eastAsia" w:ascii="宋体" w:hAnsi="宋体" w:cs="宋体"/>
          <w:bCs/>
          <w:color w:val="000000"/>
          <w:sz w:val="24"/>
          <w:szCs w:val="24"/>
          <w:lang w:val="en-US" w:eastAsia="zh-CN"/>
        </w:rPr>
        <w:t xml:space="preserve">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年</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月</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日签订。</w:t>
      </w:r>
    </w:p>
    <w:p w14:paraId="5CB30BAE">
      <w:pPr>
        <w:keepNext/>
        <w:keepLines/>
        <w:pageBreakBefore w:val="0"/>
        <w:kinsoku/>
        <w:wordWrap/>
        <w:overflowPunct/>
        <w:topLinePunct w:val="0"/>
        <w:bidi w:val="0"/>
        <w:spacing w:line="360" w:lineRule="auto"/>
        <w:ind w:left="0" w:leftChars="0" w:firstLine="480" w:firstLineChars="200"/>
        <w:jc w:val="left"/>
        <w:textAlignment w:val="auto"/>
        <w:outlineLvl w:val="3"/>
        <w:rPr>
          <w:rFonts w:hint="eastAsia" w:ascii="宋体" w:hAnsi="宋体" w:eastAsia="宋体" w:cs="宋体"/>
          <w:b/>
          <w:bCs/>
          <w:color w:val="000000"/>
          <w:sz w:val="24"/>
          <w:szCs w:val="24"/>
        </w:rPr>
      </w:pPr>
      <w:bookmarkStart w:id="101" w:name="_Toc351203490"/>
      <w:r>
        <w:rPr>
          <w:rFonts w:hint="eastAsia" w:ascii="宋体" w:hAnsi="宋体" w:eastAsia="宋体" w:cs="宋体"/>
          <w:color w:val="000000"/>
          <w:sz w:val="24"/>
          <w:szCs w:val="24"/>
        </w:rPr>
        <w:t>十、签订地点</w:t>
      </w:r>
      <w:bookmarkEnd w:id="101"/>
    </w:p>
    <w:p w14:paraId="204C2C2B">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本合同在签订。</w:t>
      </w:r>
    </w:p>
    <w:p w14:paraId="2B397844">
      <w:pPr>
        <w:keepNext/>
        <w:keepLines/>
        <w:pageBreakBefore w:val="0"/>
        <w:kinsoku/>
        <w:wordWrap/>
        <w:overflowPunct/>
        <w:topLinePunct w:val="0"/>
        <w:bidi w:val="0"/>
        <w:spacing w:line="360" w:lineRule="auto"/>
        <w:ind w:left="0" w:leftChars="0" w:firstLine="480" w:firstLineChars="200"/>
        <w:jc w:val="left"/>
        <w:textAlignment w:val="auto"/>
        <w:outlineLvl w:val="3"/>
        <w:rPr>
          <w:rFonts w:hint="eastAsia" w:ascii="宋体" w:hAnsi="宋体" w:eastAsia="宋体" w:cs="宋体"/>
          <w:b/>
          <w:bCs/>
          <w:color w:val="000000"/>
          <w:sz w:val="24"/>
          <w:szCs w:val="24"/>
        </w:rPr>
      </w:pPr>
      <w:bookmarkStart w:id="102" w:name="_Toc351203491"/>
      <w:r>
        <w:rPr>
          <w:rFonts w:hint="eastAsia" w:ascii="宋体" w:hAnsi="宋体" w:eastAsia="宋体" w:cs="宋体"/>
          <w:color w:val="000000"/>
          <w:sz w:val="24"/>
          <w:szCs w:val="24"/>
        </w:rPr>
        <w:t>十一、补充协议</w:t>
      </w:r>
      <w:bookmarkEnd w:id="102"/>
    </w:p>
    <w:p w14:paraId="113EC8A9">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b/>
          <w:bCs/>
          <w:color w:val="000000"/>
          <w:sz w:val="24"/>
          <w:szCs w:val="24"/>
        </w:rPr>
      </w:pPr>
      <w:r>
        <w:rPr>
          <w:rFonts w:hint="eastAsia" w:ascii="宋体" w:hAnsi="宋体" w:eastAsia="宋体" w:cs="宋体"/>
          <w:bCs/>
          <w:color w:val="000000"/>
          <w:sz w:val="24"/>
          <w:szCs w:val="24"/>
        </w:rPr>
        <w:t>合同未尽事宜，合同当事人另行签订补充协议，补充协议是合同的组成部分。</w:t>
      </w:r>
    </w:p>
    <w:p w14:paraId="73014894">
      <w:pPr>
        <w:keepNext/>
        <w:keepLines/>
        <w:pageBreakBefore w:val="0"/>
        <w:kinsoku/>
        <w:wordWrap/>
        <w:overflowPunct/>
        <w:topLinePunct w:val="0"/>
        <w:bidi w:val="0"/>
        <w:spacing w:line="360" w:lineRule="auto"/>
        <w:ind w:left="0" w:leftChars="0" w:firstLine="480" w:firstLineChars="200"/>
        <w:jc w:val="left"/>
        <w:textAlignment w:val="auto"/>
        <w:outlineLvl w:val="3"/>
        <w:rPr>
          <w:rFonts w:hint="eastAsia" w:ascii="宋体" w:hAnsi="宋体" w:eastAsia="宋体" w:cs="宋体"/>
          <w:b/>
          <w:bCs/>
          <w:color w:val="000000"/>
          <w:sz w:val="24"/>
          <w:szCs w:val="24"/>
        </w:rPr>
      </w:pPr>
      <w:bookmarkStart w:id="103" w:name="_Toc351203492"/>
      <w:r>
        <w:rPr>
          <w:rFonts w:hint="eastAsia" w:ascii="宋体" w:hAnsi="宋体" w:eastAsia="宋体" w:cs="宋体"/>
          <w:color w:val="000000"/>
          <w:sz w:val="24"/>
          <w:szCs w:val="24"/>
        </w:rPr>
        <w:t>十二、合同生效</w:t>
      </w:r>
      <w:bookmarkEnd w:id="103"/>
    </w:p>
    <w:p w14:paraId="137A5719">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本合同自</w:t>
      </w:r>
      <w:r>
        <w:rPr>
          <w:rFonts w:hint="eastAsia" w:ascii="宋体" w:hAnsi="宋体" w:eastAsia="宋体" w:cs="宋体"/>
          <w:bCs/>
          <w:sz w:val="24"/>
          <w:szCs w:val="24"/>
          <w:u w:val="single"/>
        </w:rPr>
        <w:t>双方签字盖章之日起</w:t>
      </w:r>
      <w:r>
        <w:rPr>
          <w:rFonts w:hint="eastAsia" w:ascii="宋体" w:hAnsi="宋体" w:eastAsia="宋体" w:cs="宋体"/>
          <w:bCs/>
          <w:color w:val="000000"/>
          <w:sz w:val="24"/>
          <w:szCs w:val="24"/>
        </w:rPr>
        <w:t>生效。</w:t>
      </w:r>
    </w:p>
    <w:p w14:paraId="3030F16C">
      <w:pPr>
        <w:keepNext/>
        <w:keepLines/>
        <w:pageBreakBefore w:val="0"/>
        <w:kinsoku/>
        <w:wordWrap/>
        <w:overflowPunct/>
        <w:topLinePunct w:val="0"/>
        <w:bidi w:val="0"/>
        <w:spacing w:line="360" w:lineRule="auto"/>
        <w:ind w:left="0" w:leftChars="0" w:firstLine="480" w:firstLineChars="200"/>
        <w:jc w:val="left"/>
        <w:textAlignment w:val="auto"/>
        <w:outlineLvl w:val="3"/>
        <w:rPr>
          <w:rFonts w:hint="eastAsia" w:ascii="宋体" w:hAnsi="宋体" w:eastAsia="宋体" w:cs="宋体"/>
          <w:b/>
          <w:bCs/>
          <w:color w:val="000000"/>
          <w:sz w:val="24"/>
          <w:szCs w:val="24"/>
        </w:rPr>
      </w:pPr>
      <w:bookmarkStart w:id="104" w:name="_Toc351203493"/>
      <w:r>
        <w:rPr>
          <w:rFonts w:hint="eastAsia" w:ascii="宋体" w:hAnsi="宋体" w:eastAsia="宋体" w:cs="宋体"/>
          <w:color w:val="000000"/>
          <w:sz w:val="24"/>
          <w:szCs w:val="24"/>
        </w:rPr>
        <w:t>十三、合同份数</w:t>
      </w:r>
      <w:bookmarkEnd w:id="104"/>
    </w:p>
    <w:p w14:paraId="006E1564">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本合同一式</w:t>
      </w:r>
      <w:r>
        <w:rPr>
          <w:rFonts w:hint="eastAsia" w:ascii="宋体" w:hAnsi="宋体" w:eastAsia="宋体" w:cs="宋体"/>
          <w:bCs/>
          <w:sz w:val="24"/>
          <w:szCs w:val="24"/>
          <w:u w:val="single"/>
        </w:rPr>
        <w:t>捌</w:t>
      </w:r>
      <w:r>
        <w:rPr>
          <w:rFonts w:hint="eastAsia" w:ascii="宋体" w:hAnsi="宋体" w:eastAsia="宋体" w:cs="宋体"/>
          <w:bCs/>
          <w:color w:val="000000"/>
          <w:sz w:val="24"/>
          <w:szCs w:val="24"/>
        </w:rPr>
        <w:t>份，均具有同等法律效力，发包人执</w:t>
      </w:r>
      <w:r>
        <w:rPr>
          <w:rFonts w:hint="eastAsia" w:ascii="宋体" w:hAnsi="宋体" w:eastAsia="宋体" w:cs="宋体"/>
          <w:bCs/>
          <w:sz w:val="24"/>
          <w:szCs w:val="24"/>
          <w:u w:val="single"/>
        </w:rPr>
        <w:t>肆</w:t>
      </w:r>
      <w:r>
        <w:rPr>
          <w:rFonts w:hint="eastAsia" w:ascii="宋体" w:hAnsi="宋体" w:eastAsia="宋体" w:cs="宋体"/>
          <w:bCs/>
          <w:color w:val="000000"/>
          <w:sz w:val="24"/>
          <w:szCs w:val="24"/>
        </w:rPr>
        <w:t>份，承包人执</w:t>
      </w:r>
      <w:r>
        <w:rPr>
          <w:rFonts w:hint="eastAsia" w:ascii="宋体" w:hAnsi="宋体" w:eastAsia="宋体" w:cs="宋体"/>
          <w:bCs/>
          <w:sz w:val="24"/>
          <w:szCs w:val="24"/>
          <w:u w:val="single"/>
        </w:rPr>
        <w:t>肆</w:t>
      </w:r>
      <w:r>
        <w:rPr>
          <w:rFonts w:hint="eastAsia" w:ascii="宋体" w:hAnsi="宋体" w:eastAsia="宋体" w:cs="宋体"/>
          <w:bCs/>
          <w:color w:val="000000"/>
          <w:sz w:val="24"/>
          <w:szCs w:val="24"/>
        </w:rPr>
        <w:t>份。</w:t>
      </w:r>
    </w:p>
    <w:p w14:paraId="1952801C">
      <w:pPr>
        <w:pStyle w:val="26"/>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sz w:val="24"/>
          <w:szCs w:val="24"/>
        </w:rPr>
      </w:pPr>
    </w:p>
    <w:p w14:paraId="5E227130">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color w:val="000000"/>
          <w:sz w:val="24"/>
          <w:szCs w:val="24"/>
        </w:rPr>
      </w:pPr>
    </w:p>
    <w:p w14:paraId="5DCF36B9">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color w:val="000000"/>
          <w:sz w:val="24"/>
          <w:szCs w:val="24"/>
        </w:rPr>
      </w:pPr>
    </w:p>
    <w:p w14:paraId="692E4B2E">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color w:val="000000"/>
          <w:sz w:val="24"/>
          <w:szCs w:val="24"/>
        </w:rPr>
      </w:pPr>
    </w:p>
    <w:p w14:paraId="7E44C356">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color w:val="000000"/>
          <w:sz w:val="24"/>
          <w:szCs w:val="24"/>
        </w:rPr>
      </w:pPr>
    </w:p>
    <w:p w14:paraId="7993B933">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color w:val="000000"/>
          <w:sz w:val="24"/>
          <w:szCs w:val="24"/>
        </w:rPr>
      </w:pPr>
    </w:p>
    <w:p w14:paraId="6CB1B04A">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发包人：  (公章)</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承包人：  (公章)</w:t>
      </w:r>
    </w:p>
    <w:p w14:paraId="13A2B7EF">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法定代表人或其委托代理人：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法定代表人或其委托代理人：</w:t>
      </w:r>
    </w:p>
    <w:p w14:paraId="72A517E9">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（签字）                             （签字）</w:t>
      </w:r>
    </w:p>
    <w:p w14:paraId="17AA9066">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地  址：</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地  址：</w:t>
      </w:r>
    </w:p>
    <w:p w14:paraId="2AF71244">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法定代表人：</w:t>
      </w:r>
    </w:p>
    <w:p w14:paraId="2C54BF8B">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委托代理人：</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委托代理人：</w:t>
      </w:r>
    </w:p>
    <w:p w14:paraId="0BABF7AF">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电子信箱：</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电子信箱：</w:t>
      </w:r>
    </w:p>
    <w:p w14:paraId="3C6C8532">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开户银行：</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开户银行：</w:t>
      </w:r>
    </w:p>
    <w:p w14:paraId="3FAD8A0A">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账  号：</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账 号：</w:t>
      </w:r>
    </w:p>
    <w:p w14:paraId="6382FC10">
      <w:pPr>
        <w:keepNext/>
        <w:keepLines/>
        <w:spacing w:before="260" w:after="260" w:line="600" w:lineRule="exact"/>
        <w:ind w:firstLine="881"/>
        <w:jc w:val="center"/>
        <w:outlineLvl w:val="2"/>
        <w:rPr>
          <w:rFonts w:hint="eastAsia" w:ascii="宋体" w:hAnsi="宋体" w:eastAsia="宋体" w:cs="宋体"/>
          <w:b/>
          <w:bCs/>
          <w:sz w:val="24"/>
          <w:szCs w:val="24"/>
        </w:rPr>
      </w:pPr>
      <w:r>
        <w:rPr>
          <w:rFonts w:hint="eastAsia" w:ascii="宋体" w:hAnsi="宋体" w:eastAsia="宋体" w:cs="宋体"/>
          <w:b/>
          <w:bCs/>
          <w:sz w:val="24"/>
          <w:szCs w:val="24"/>
        </w:rPr>
        <w:br w:type="page"/>
      </w:r>
      <w:bookmarkStart w:id="105" w:name="_Toc36797913"/>
      <w:bookmarkStart w:id="106" w:name="_Toc351203494"/>
      <w:bookmarkStart w:id="107" w:name="_Toc351203652"/>
      <w:r>
        <w:rPr>
          <w:rFonts w:hint="eastAsia" w:ascii="华文中宋" w:hAnsi="华文中宋" w:eastAsia="华文中宋" w:cs="宋体"/>
          <w:b/>
          <w:bCs/>
          <w:sz w:val="44"/>
          <w:szCs w:val="44"/>
        </w:rPr>
        <w:t>第二部分 通用合同条款</w:t>
      </w:r>
      <w:bookmarkEnd w:id="105"/>
      <w:bookmarkEnd w:id="106"/>
      <w:bookmarkStart w:id="108" w:name="_Toc337558727"/>
    </w:p>
    <w:bookmarkEnd w:id="108"/>
    <w:p w14:paraId="0870E704">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3"/>
        <w:rPr>
          <w:rFonts w:hint="eastAsia" w:ascii="宋体" w:hAnsi="宋体" w:eastAsia="宋体" w:cs="宋体"/>
          <w:kern w:val="2"/>
          <w:sz w:val="24"/>
          <w:szCs w:val="24"/>
        </w:rPr>
      </w:pPr>
      <w:bookmarkStart w:id="109" w:name="_Toc351203495"/>
      <w:r>
        <w:rPr>
          <w:rFonts w:hint="eastAsia" w:ascii="宋体" w:hAnsi="宋体" w:eastAsia="宋体" w:cs="宋体"/>
          <w:kern w:val="2"/>
          <w:sz w:val="24"/>
          <w:szCs w:val="24"/>
        </w:rPr>
        <w:t>1.</w:t>
      </w:r>
      <w:bookmarkStart w:id="110" w:name="_Toc303538973"/>
      <w:bookmarkEnd w:id="110"/>
      <w:bookmarkStart w:id="111" w:name="_Toc303538972"/>
      <w:bookmarkEnd w:id="111"/>
      <w:bookmarkStart w:id="112" w:name="_Toc303538974"/>
      <w:bookmarkEnd w:id="112"/>
      <w:bookmarkStart w:id="113" w:name="_Toc303538975"/>
      <w:bookmarkEnd w:id="113"/>
      <w:bookmarkStart w:id="114" w:name="_Toc303538976"/>
      <w:bookmarkEnd w:id="114"/>
      <w:bookmarkStart w:id="115" w:name="_Toc296346528"/>
      <w:bookmarkStart w:id="116" w:name="_Toc296503027"/>
      <w:r>
        <w:rPr>
          <w:rFonts w:hint="eastAsia" w:ascii="宋体" w:hAnsi="宋体" w:eastAsia="宋体" w:cs="宋体"/>
          <w:kern w:val="2"/>
          <w:sz w:val="24"/>
          <w:szCs w:val="24"/>
        </w:rPr>
        <w:t xml:space="preserve"> 一般约定</w:t>
      </w:r>
      <w:bookmarkEnd w:id="109"/>
      <w:bookmarkEnd w:id="115"/>
      <w:bookmarkEnd w:id="116"/>
    </w:p>
    <w:p w14:paraId="083FC04E">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117" w:name="_Toc296503028"/>
      <w:bookmarkStart w:id="118" w:name="_Toc296346529"/>
      <w:bookmarkStart w:id="119" w:name="_Toc337558728"/>
      <w:bookmarkStart w:id="120" w:name="_Toc351203496"/>
      <w:r>
        <w:rPr>
          <w:rFonts w:hint="eastAsia" w:ascii="宋体" w:hAnsi="宋体" w:eastAsia="宋体" w:cs="宋体"/>
          <w:bCs/>
          <w:kern w:val="2"/>
          <w:sz w:val="24"/>
          <w:szCs w:val="24"/>
        </w:rPr>
        <w:t>1.1词语定义</w:t>
      </w:r>
      <w:bookmarkEnd w:id="117"/>
      <w:bookmarkEnd w:id="118"/>
      <w:bookmarkEnd w:id="119"/>
      <w:r>
        <w:rPr>
          <w:rFonts w:hint="eastAsia" w:ascii="宋体" w:hAnsi="宋体" w:eastAsia="宋体" w:cs="宋体"/>
          <w:bCs/>
          <w:kern w:val="2"/>
          <w:sz w:val="24"/>
          <w:szCs w:val="24"/>
        </w:rPr>
        <w:t>与解释</w:t>
      </w:r>
      <w:bookmarkEnd w:id="120"/>
    </w:p>
    <w:p w14:paraId="0DF41F0E">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合同协议书、通用合同条款、专用合同条款中的下列词语具有本款所赋予的含义：</w:t>
      </w:r>
    </w:p>
    <w:p w14:paraId="7F9CEB65">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1.1.1 合同</w:t>
      </w:r>
    </w:p>
    <w:p w14:paraId="6FEE73E9">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1.1.1.1 合同：是指根据法律规定和合同当事人约定具有约束力的文件，构成合同的文件包括合同协议书、中标通知书（如果有）、投标函及其附录（如果有）、专用合同条款</w:t>
      </w:r>
      <w:r>
        <w:rPr>
          <w:rFonts w:hint="eastAsia" w:ascii="宋体" w:hAnsi="宋体" w:eastAsia="宋体" w:cs="宋体"/>
          <w:kern w:val="2"/>
          <w:sz w:val="24"/>
          <w:szCs w:val="24"/>
        </w:rPr>
        <w:t>及其附件</w:t>
      </w:r>
      <w:r>
        <w:rPr>
          <w:rFonts w:hint="eastAsia" w:ascii="宋体" w:hAnsi="宋体" w:eastAsia="宋体" w:cs="宋体"/>
          <w:sz w:val="24"/>
          <w:szCs w:val="24"/>
        </w:rPr>
        <w:t>、通用合同条款、技术标准和要求、图纸、已标价工程量清单或预算书以及其他合同文件。</w:t>
      </w:r>
    </w:p>
    <w:p w14:paraId="370B89E5">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1.1.1.2 合同协议书：是指构成合同的由发包人和承包人共同签署的称为“合同协议书”的书面文件。</w:t>
      </w:r>
    </w:p>
    <w:p w14:paraId="36E4CC1A">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1.1.1.3 中标通知书：是指构成合同的由发包人通知承包人中标的书面文件。</w:t>
      </w:r>
    </w:p>
    <w:p w14:paraId="1593A4CB">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1.1.1.4 投标函：是指构成合同的由承包人填写并签署的用于投标的称为“投标函”的文件。</w:t>
      </w:r>
    </w:p>
    <w:p w14:paraId="14C72D91">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1.1.1.5 投标函附录：是指构成合同的附在投标函后的称为“投标函附录”的文件。</w:t>
      </w:r>
    </w:p>
    <w:p w14:paraId="49921F19">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1.1.1.6 技术标准和要求：是指构成合同的施工应当遵守的或指导施工的国家、行业或地方的技术标准和要求，以及合同约定的技术标准和要求。</w:t>
      </w:r>
    </w:p>
    <w:p w14:paraId="4A734A12">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1.1.1.7 图纸：是指构成合同的图纸，包括由发包人按照合同约定提供或经发包人批准的设计文件、施工图、鸟瞰图及模型等，以及在合同履行过程中形成的图纸文件。图纸应当按照法律规定审查合格。</w:t>
      </w:r>
    </w:p>
    <w:p w14:paraId="5C367EF8">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1.1.1.8 已标价工程量清单：是指构成合同的由承包人按照规定的格式和要求填写并标明价格的工程量清单，包括说明和表格。</w:t>
      </w:r>
    </w:p>
    <w:p w14:paraId="737CE4D5">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1.1.1.9 预算书：是指构成合同的由承包人按照发包人规定的格式和要求编制的工程预算文件。</w:t>
      </w:r>
    </w:p>
    <w:p w14:paraId="514413A0">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1.1.1.10 其他合同文件：是指经合同当事人约定的与工程施工有关的具有合同约束力的文件或书面协议。合同当事人可以在专用合同条款中进行约定。</w:t>
      </w:r>
    </w:p>
    <w:p w14:paraId="2112468D">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1.1.2 合同当事人及其他相关方</w:t>
      </w:r>
    </w:p>
    <w:p w14:paraId="439975CE">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1.1.2.1 合同当事人：是指发包人和（或）承包人。</w:t>
      </w:r>
    </w:p>
    <w:p w14:paraId="43C92869">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1.1.2.2 发包人：是指与承包人签订合同协议书的当事人及取得该当事人资格的合法继承人。</w:t>
      </w:r>
    </w:p>
    <w:p w14:paraId="1035E3FC">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1.1.2.3 承包人：是指与发包人签订合同协议书的，具有相应工程施工承包资质的当事人及取得该当事人资格的合法继承人。</w:t>
      </w:r>
    </w:p>
    <w:p w14:paraId="730470AD">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1.1.2.4 监理人：是指在专用合同条款中指明的，受发包人委托按照法律规定进行工程监督管理的法人或其他组织。</w:t>
      </w:r>
    </w:p>
    <w:p w14:paraId="1DEE976B">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1.1.2.5 设计人：是指在专用合同条款中指明的，受发包人委托负责工程设计并具备相应工程设计资质的法人或其他组织。</w:t>
      </w:r>
    </w:p>
    <w:p w14:paraId="76B3C07F">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1.1.2.6 分包人：</w:t>
      </w:r>
      <w:bookmarkStart w:id="121" w:name="#go5"/>
      <w:bookmarkEnd w:id="121"/>
      <w:r>
        <w:rPr>
          <w:rFonts w:hint="eastAsia" w:ascii="宋体" w:hAnsi="宋体" w:eastAsia="宋体" w:cs="宋体"/>
          <w:sz w:val="24"/>
          <w:szCs w:val="24"/>
        </w:rPr>
        <w:t>是指按照法律规定和合同约定，分包部分工程或工作，并与承包人签订分包合同的具有相应资质的法人。</w:t>
      </w:r>
    </w:p>
    <w:p w14:paraId="115B4992">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1.1.2.7 发包人代表：是指由发包人任命并派驻施工现场在发包人授权范围内行使发包人权利的人。</w:t>
      </w:r>
    </w:p>
    <w:p w14:paraId="6F737C32">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1.1.2.8 项目经理：是指由承包人任命并派驻施工现场，在承包人授权范围内负责合同履行，且按照法律规定具有相应资格的项目负责人。</w:t>
      </w:r>
    </w:p>
    <w:p w14:paraId="381DFA9D">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1.1.2.9 总监理工程师：是指由监理人任命并派驻施工现场进行工程监理的总负责人。</w:t>
      </w:r>
    </w:p>
    <w:p w14:paraId="72C3A767">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1.1.3 工程和设备</w:t>
      </w:r>
    </w:p>
    <w:p w14:paraId="56FA7F6E">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1.1.3.1 工程：是指与合同协议书中工程承包范围对应的永久工程和（或）临时工程。</w:t>
      </w:r>
    </w:p>
    <w:p w14:paraId="7AE885DB">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1.1.3.2 永久工程：是指按合同约定建造并移交给发包人的工程，包括工程设备。</w:t>
      </w:r>
    </w:p>
    <w:p w14:paraId="3A3995E7">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1.1.3.3 临时工程：是指为完成合同约定的永久工程所修建的各类临时性工程，不包括施工设备。</w:t>
      </w:r>
    </w:p>
    <w:p w14:paraId="4D44483E">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1.1.3.4 单位工程：是指在合同协议书中指明的，具备独立施工条件并能形成独立使用功能的永久工程。</w:t>
      </w:r>
    </w:p>
    <w:p w14:paraId="53CF4C2A">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1.1.3.5 工程设备：是指构成永久工程的机电设备、金属结构设备、仪器及其他类似的设备和装置。</w:t>
      </w:r>
    </w:p>
    <w:p w14:paraId="4E3B1AC7">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1.1.3.6 施工设备：是指为完成合同约定的各项工作所需的设备、器具和其他物品，但不包括工程设备、临时工程和材料。</w:t>
      </w:r>
    </w:p>
    <w:p w14:paraId="748535C4">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1.1.3.7 施工现场：是指用于工程施工的场所，以及在专用合同条款中指明作为施工场所组成部分的其他场所，包括永久占地和临时占地。</w:t>
      </w:r>
    </w:p>
    <w:p w14:paraId="5928BF7C">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1.1.3.8临时设施：是指为完成合同约定的各项工作所服务的临时性生产和生活设施。</w:t>
      </w:r>
    </w:p>
    <w:p w14:paraId="61518296">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1.1.3.9 永久占地：是指专用合同条款中指明为实施工程需永久占用的土地。</w:t>
      </w:r>
    </w:p>
    <w:p w14:paraId="388BC4F3">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1.1.3.10 临时占地：是指专用合同条款中指明为实施工程需要临时占用的土地。</w:t>
      </w:r>
    </w:p>
    <w:p w14:paraId="396D5218">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1.1.4 日期和期限</w:t>
      </w:r>
    </w:p>
    <w:p w14:paraId="667FC2C1">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1.1.4.1 开工日期：包括计划开工日期和实际开工日期。计划开工日期是指合同协议书约定的开工日期；实际开工日期是指监理人按照第7.3.2项〔开工通知〕约定发出的符合法律规定的开工通知中载明的开工日期。</w:t>
      </w:r>
    </w:p>
    <w:p w14:paraId="335459A7">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1.1.4.2 竣工日期：包括计划竣工日期和实际竣工日期。计划竣工日期是指合同协议书约定的竣工日期；实际竣工日期按照第13.2.3项〔竣工日期〕的约定确定。 </w:t>
      </w:r>
    </w:p>
    <w:p w14:paraId="1FD7E9BA">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sz w:val="24"/>
          <w:szCs w:val="24"/>
        </w:rPr>
        <w:t>1.1.4.3 工期：是指在合同协议书约定的承包人完成工程所需的期限，包括按照合同约定所作的期限变更。</w:t>
      </w:r>
    </w:p>
    <w:p w14:paraId="6E6E7C28">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1.1.4.4 缺陷责任期：是指承包人按照合同约定承担缺陷修复义务，且发包人预留质量保证金（已缴纳履约保证金的除外）的期限，自工程实际竣工日期起计算。</w:t>
      </w:r>
    </w:p>
    <w:p w14:paraId="78FDEFF7">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1.1.4.5 保修期：是指承包人按照合同约定对工程承担保修责任的期限，从工程竣工验收合格之日起计算。</w:t>
      </w:r>
    </w:p>
    <w:p w14:paraId="730338EE">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1.1.4.6 基准日期：招标发包的工程以投标截止日前28天的日期为基准日期，直接发包的工程以合同签订日前28天的日期为基准日期。</w:t>
      </w:r>
    </w:p>
    <w:p w14:paraId="34D1DA32">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1.1.4.7 天：除特别指明外，均指日历天。合同中按天计算时间的，开始当天不计入，从次日开始计算，期限最后一天的截止时间为当天24:00时。</w:t>
      </w:r>
    </w:p>
    <w:p w14:paraId="0B0B69F9">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1.1.5 合同价格和费用</w:t>
      </w:r>
    </w:p>
    <w:p w14:paraId="6C137BDA">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sz w:val="24"/>
          <w:szCs w:val="24"/>
        </w:rPr>
        <w:t>1.1.5.1 签约合同价：是指</w:t>
      </w:r>
      <w:r>
        <w:rPr>
          <w:rFonts w:hint="eastAsia" w:ascii="宋体" w:hAnsi="宋体" w:eastAsia="宋体" w:cs="宋体"/>
          <w:kern w:val="2"/>
          <w:sz w:val="24"/>
          <w:szCs w:val="24"/>
        </w:rPr>
        <w:t>发包人和承包人在合同协议书中确定的总金额，包括安全文明施工费、暂估价及暂列金额等。</w:t>
      </w:r>
    </w:p>
    <w:p w14:paraId="61B56A45">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1.1.5.2 合同价格：是指发包人用于支付承包人按照合同约定完成承包范围内全部工作的金额，包括合同履行过程中按合同约定发生的价格变化。</w:t>
      </w:r>
    </w:p>
    <w:p w14:paraId="4AC27CAA">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1.1.5.3 费用：是指为履行合同所发生的或将要发生的所有必需的开支，包括管理费和应分摊的其他费用，但不包括利润。</w:t>
      </w:r>
    </w:p>
    <w:p w14:paraId="457BF399">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1.1.5.4 暂估价：是指发包人在工程量清单或预算书中提供的用于支付必然发生但暂时不能确定价格的材料、工程设备的单价、专业工程以及服务工作的金额。</w:t>
      </w:r>
    </w:p>
    <w:p w14:paraId="548848AA">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14:paraId="71F28898">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1.1.5.6 计日工：是指合同履行过程中，承包人完成发包人提出的零星工作或需要采用计日工计价的变更工作时，按合同中约定的单价计价的一种方式。</w:t>
      </w:r>
    </w:p>
    <w:p w14:paraId="4EF78361">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sz w:val="24"/>
          <w:szCs w:val="24"/>
        </w:rPr>
        <w:t>1.1.5.7 质量保证金</w:t>
      </w:r>
      <w:bookmarkStart w:id="122" w:name="#go2"/>
      <w:bookmarkEnd w:id="122"/>
      <w:r>
        <w:rPr>
          <w:rFonts w:hint="eastAsia" w:ascii="宋体" w:hAnsi="宋体" w:eastAsia="宋体" w:cs="宋体"/>
          <w:sz w:val="24"/>
          <w:szCs w:val="24"/>
        </w:rPr>
        <w:t>：是指按照第15.3款〔质量保证金〕约定承包人用于保证其在缺陷责任期内履行缺陷修补义务的担保</w:t>
      </w:r>
      <w:r>
        <w:rPr>
          <w:rFonts w:hint="eastAsia" w:ascii="宋体" w:hAnsi="宋体" w:eastAsia="宋体" w:cs="宋体"/>
          <w:kern w:val="2"/>
          <w:sz w:val="24"/>
          <w:szCs w:val="24"/>
        </w:rPr>
        <w:t>。</w:t>
      </w:r>
    </w:p>
    <w:p w14:paraId="502D684F">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1.1.5.8 总价项目：是指在现行国家、行业以及地方的计量规则中无工程量计算规则，在已标价工程量清单或预算书中以总价或以费率形式计算的项目。</w:t>
      </w:r>
    </w:p>
    <w:p w14:paraId="185922A3">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1.1.6 其他</w:t>
      </w:r>
    </w:p>
    <w:p w14:paraId="728BA5D2">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1.1.6.1 书面形式：是指合同文件、信函、电报、传真等可以有形地表现所载内容的形式。</w:t>
      </w:r>
    </w:p>
    <w:p w14:paraId="2DF1F09D">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123" w:name="_Toc337558729"/>
      <w:bookmarkStart w:id="124" w:name="_Toc351203497"/>
      <w:bookmarkStart w:id="125" w:name="_Toc296346530"/>
      <w:bookmarkStart w:id="126" w:name="_Toc296503029"/>
      <w:r>
        <w:rPr>
          <w:rFonts w:hint="eastAsia" w:ascii="宋体" w:hAnsi="宋体" w:eastAsia="宋体" w:cs="宋体"/>
          <w:bCs/>
          <w:kern w:val="2"/>
          <w:sz w:val="24"/>
          <w:szCs w:val="24"/>
        </w:rPr>
        <w:t>1.2语言文字</w:t>
      </w:r>
      <w:bookmarkEnd w:id="123"/>
      <w:bookmarkEnd w:id="124"/>
      <w:bookmarkEnd w:id="125"/>
      <w:bookmarkEnd w:id="126"/>
    </w:p>
    <w:p w14:paraId="12749FF9">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合同以中国的汉语简体文字编写、解释和说明。合同当事人在专用合同条款中约定使用两种以上语言时，汉语为优先解释和说明合同的语言。</w:t>
      </w:r>
    </w:p>
    <w:p w14:paraId="13D40D71">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127" w:name="_Toc351203498"/>
      <w:bookmarkStart w:id="128" w:name="_Toc296346531"/>
      <w:bookmarkStart w:id="129" w:name="_Toc296503030"/>
      <w:bookmarkStart w:id="130" w:name="_Toc337558730"/>
      <w:r>
        <w:rPr>
          <w:rFonts w:hint="eastAsia" w:ascii="宋体" w:hAnsi="宋体" w:eastAsia="宋体" w:cs="宋体"/>
          <w:bCs/>
          <w:kern w:val="2"/>
          <w:sz w:val="24"/>
          <w:szCs w:val="24"/>
        </w:rPr>
        <w:t>1.3法律</w:t>
      </w:r>
      <w:bookmarkEnd w:id="127"/>
      <w:bookmarkEnd w:id="128"/>
      <w:bookmarkEnd w:id="129"/>
      <w:bookmarkEnd w:id="130"/>
    </w:p>
    <w:p w14:paraId="5A71ABC8">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合同所称法律是指中华人民共和国法律、行政法规、部门规章，以及工程所在地的地方性法规、自治条例、单行条例和地方政府规章等。</w:t>
      </w:r>
    </w:p>
    <w:p w14:paraId="44512646">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合同当事人可以在专用合同条款中约定合同适用的其他规范性文件。</w:t>
      </w:r>
    </w:p>
    <w:p w14:paraId="39886782">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131" w:name="_Toc351203499"/>
      <w:r>
        <w:rPr>
          <w:rFonts w:hint="eastAsia" w:ascii="宋体" w:hAnsi="宋体" w:eastAsia="宋体" w:cs="宋体"/>
          <w:bCs/>
          <w:kern w:val="2"/>
          <w:sz w:val="24"/>
          <w:szCs w:val="24"/>
        </w:rPr>
        <w:t>1.4 标准和规范</w:t>
      </w:r>
      <w:bookmarkEnd w:id="131"/>
    </w:p>
    <w:p w14:paraId="16C3D9D6">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1.4.1 适用于工程的国家标准、行业标准、工程所在地的地方性标准，以及相应的规范、规程等，合同当事人有特别要求的，应在专用合同条款中约定。</w:t>
      </w:r>
    </w:p>
    <w:p w14:paraId="5ACBF323">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1.4.2 发包人要求使用国外标准、规范的，发包人负责提供原文版本和中文译本，并在专用合同条款中约定提供标准规范的名称、份数和时间。</w:t>
      </w:r>
    </w:p>
    <w:p w14:paraId="2A64D8F4">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14:paraId="7AE2F3A4">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132" w:name="_Toc351203500"/>
      <w:r>
        <w:rPr>
          <w:rFonts w:hint="eastAsia" w:ascii="宋体" w:hAnsi="宋体" w:eastAsia="宋体" w:cs="宋体"/>
          <w:bCs/>
          <w:kern w:val="2"/>
          <w:sz w:val="24"/>
          <w:szCs w:val="24"/>
        </w:rPr>
        <w:t>1</w:t>
      </w:r>
      <w:bookmarkStart w:id="133" w:name="_Toc337558731"/>
      <w:bookmarkStart w:id="134" w:name="_Toc296503031"/>
      <w:bookmarkStart w:id="135" w:name="_Toc296346532"/>
      <w:r>
        <w:rPr>
          <w:rFonts w:hint="eastAsia" w:ascii="宋体" w:hAnsi="宋体" w:eastAsia="宋体" w:cs="宋体"/>
          <w:bCs/>
          <w:kern w:val="2"/>
          <w:sz w:val="24"/>
          <w:szCs w:val="24"/>
        </w:rPr>
        <w:t>.5 合同文件的优先顺序</w:t>
      </w:r>
      <w:bookmarkEnd w:id="132"/>
      <w:bookmarkEnd w:id="133"/>
      <w:bookmarkEnd w:id="134"/>
      <w:bookmarkEnd w:id="135"/>
    </w:p>
    <w:p w14:paraId="560F5714">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组成合同的各项文件应互相解释，互为说明。除专用合同条款另有约定外，解释合同文件的优先顺序如下：</w:t>
      </w:r>
    </w:p>
    <w:p w14:paraId="4C15C2B6">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（1）合同协议书；</w:t>
      </w:r>
    </w:p>
    <w:p w14:paraId="473278B9">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（2）中标通知书（如果有）；</w:t>
      </w:r>
    </w:p>
    <w:p w14:paraId="63B743EE">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（3）投标函及其附录（如果有）；</w:t>
      </w:r>
    </w:p>
    <w:p w14:paraId="17055385">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（4）专用合同条款</w:t>
      </w:r>
      <w:r>
        <w:rPr>
          <w:rFonts w:hint="eastAsia" w:ascii="宋体" w:hAnsi="宋体" w:eastAsia="宋体" w:cs="宋体"/>
          <w:kern w:val="2"/>
          <w:sz w:val="24"/>
          <w:szCs w:val="24"/>
        </w:rPr>
        <w:t>及其附件</w:t>
      </w:r>
      <w:r>
        <w:rPr>
          <w:rFonts w:hint="eastAsia" w:ascii="宋体" w:hAnsi="宋体" w:eastAsia="宋体" w:cs="宋体"/>
          <w:sz w:val="24"/>
          <w:szCs w:val="24"/>
        </w:rPr>
        <w:t>；</w:t>
      </w:r>
    </w:p>
    <w:p w14:paraId="7A0D19D3">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（5）通用合同条款；</w:t>
      </w:r>
    </w:p>
    <w:p w14:paraId="77AAD665">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（6）技术标准和要求；</w:t>
      </w:r>
    </w:p>
    <w:p w14:paraId="4E63A1DA">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（7）图纸；</w:t>
      </w:r>
    </w:p>
    <w:p w14:paraId="28A02D0B">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（8）已标价工程量清单或预算书；</w:t>
      </w:r>
    </w:p>
    <w:p w14:paraId="2D61D246">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sz w:val="24"/>
          <w:szCs w:val="24"/>
        </w:rPr>
        <w:t>（9）其他合同文件。</w:t>
      </w:r>
    </w:p>
    <w:p w14:paraId="2596F837">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上述各项合同文件包括合同当事人就该项合同文件所作出的补充和修改，属于同一类内容的文件，应以最新签署的为准。</w:t>
      </w:r>
    </w:p>
    <w:p w14:paraId="01BE1829">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在合同订立及履行过程中形成的与合同有关的文件均构成合同文件组成部分，并根据其性质确定优先解释顺序。</w:t>
      </w:r>
    </w:p>
    <w:p w14:paraId="077CDA08">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136" w:name="_Toc351203501"/>
      <w:r>
        <w:rPr>
          <w:rFonts w:hint="eastAsia" w:ascii="宋体" w:hAnsi="宋体" w:eastAsia="宋体" w:cs="宋体"/>
          <w:bCs/>
          <w:kern w:val="2"/>
          <w:sz w:val="24"/>
          <w:szCs w:val="24"/>
        </w:rPr>
        <w:t>1</w:t>
      </w:r>
      <w:bookmarkStart w:id="137" w:name="_Toc337558732"/>
      <w:bookmarkStart w:id="138" w:name="_Toc296503032"/>
      <w:bookmarkStart w:id="139" w:name="_Toc296346533"/>
      <w:r>
        <w:rPr>
          <w:rFonts w:hint="eastAsia" w:ascii="宋体" w:hAnsi="宋体" w:eastAsia="宋体" w:cs="宋体"/>
          <w:bCs/>
          <w:kern w:val="2"/>
          <w:sz w:val="24"/>
          <w:szCs w:val="24"/>
        </w:rPr>
        <w:t>.6图纸和承包人文件</w:t>
      </w:r>
      <w:bookmarkEnd w:id="136"/>
      <w:bookmarkEnd w:id="137"/>
      <w:bookmarkEnd w:id="138"/>
      <w:bookmarkEnd w:id="139"/>
    </w:p>
    <w:p w14:paraId="00A01412">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1.6.1 图纸的提供和交底</w:t>
      </w:r>
    </w:p>
    <w:p w14:paraId="73A990AB">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14:paraId="2ABF9BD7">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因发包人未按合同约定提供图纸导致承包人费用增加和（或）工期延误的，按照第7.5.1项〔因发包人原因导致工期延误〕约定办理。</w:t>
      </w:r>
    </w:p>
    <w:p w14:paraId="191E7E3B">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1.6.2 图纸的错误</w:t>
      </w:r>
    </w:p>
    <w:p w14:paraId="5D248843">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14:paraId="102F734F">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1.6.3 图纸的修改和补充</w:t>
      </w:r>
    </w:p>
    <w:p w14:paraId="1ED553F2">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图纸需要修改和补充的，应经图纸原设计人及审批部门同意，并由监理人在工程或工程相应部位施工前将修改后的图纸或补充图纸提交给承包人，承包人应按修改或补充后的图纸施工。</w:t>
      </w:r>
    </w:p>
    <w:p w14:paraId="496B34AF">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1.6.4 承包人文件</w:t>
      </w:r>
    </w:p>
    <w:p w14:paraId="5F29A2AD">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承包人应按照专用合同条款的约定提供应当由其编制的与工程施工有关的文件，并按照专用合同条款约定的期限、数量和形式提交监理人，并由监理人报送发包人。</w:t>
      </w:r>
    </w:p>
    <w:p w14:paraId="7917CD81">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14:paraId="3627A7CB">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1.6.5 图纸和承包人文件的保管</w:t>
      </w:r>
    </w:p>
    <w:p w14:paraId="4D1D26F4">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除专用合同条款另有约定外，承包人应在施工现场另外保存一套完整的图纸和承包人文件，供发包人、监理人及有关人员进行工程检查时使用。</w:t>
      </w:r>
    </w:p>
    <w:p w14:paraId="32C07F78">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140" w:name="_Toc351203502"/>
      <w:r>
        <w:rPr>
          <w:rFonts w:hint="eastAsia" w:ascii="宋体" w:hAnsi="宋体" w:eastAsia="宋体" w:cs="宋体"/>
          <w:bCs/>
          <w:kern w:val="2"/>
          <w:sz w:val="24"/>
          <w:szCs w:val="24"/>
        </w:rPr>
        <w:t>1</w:t>
      </w:r>
      <w:bookmarkStart w:id="141" w:name="_Toc337558733"/>
      <w:bookmarkStart w:id="142" w:name="_Toc296346534"/>
      <w:bookmarkStart w:id="143" w:name="_Toc296503033"/>
      <w:r>
        <w:rPr>
          <w:rFonts w:hint="eastAsia" w:ascii="宋体" w:hAnsi="宋体" w:eastAsia="宋体" w:cs="宋体"/>
          <w:bCs/>
          <w:kern w:val="2"/>
          <w:sz w:val="24"/>
          <w:szCs w:val="24"/>
        </w:rPr>
        <w:t>.7联络</w:t>
      </w:r>
      <w:bookmarkEnd w:id="140"/>
      <w:bookmarkEnd w:id="141"/>
      <w:bookmarkEnd w:id="142"/>
      <w:bookmarkEnd w:id="143"/>
    </w:p>
    <w:p w14:paraId="3C93778F">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1.7.1 与合同有关的通知、批准、证明、证书、指示、指令、要求、请求、同意、意见、确定和决定等，均应采用书面形式，并应在合同约定的期限内送达接收人和送达地点。</w:t>
      </w:r>
    </w:p>
    <w:p w14:paraId="745370A9">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1.7.2 发包人和承包人应在专用合同条款中约定各自的送达接收人和送达地点。任何一方合同当事人指定的接收人或送达地点发生变动的，应提前3天以书面形式通知对方。</w:t>
      </w:r>
    </w:p>
    <w:p w14:paraId="6097F040">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1.7.3 发包人和承包人应当及时签收另一方送达至送达地点和指定接收人的来往信函。拒不签收的，由此增加的费用和（或）延误的工期由拒绝接收一方承担。</w:t>
      </w:r>
    </w:p>
    <w:p w14:paraId="2CADC364">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144" w:name="_Toc351203503"/>
      <w:r>
        <w:rPr>
          <w:rFonts w:hint="eastAsia" w:ascii="宋体" w:hAnsi="宋体" w:eastAsia="宋体" w:cs="宋体"/>
          <w:bCs/>
          <w:kern w:val="2"/>
          <w:sz w:val="24"/>
          <w:szCs w:val="24"/>
        </w:rPr>
        <w:t>1</w:t>
      </w:r>
      <w:bookmarkStart w:id="145" w:name="_Toc296346536"/>
      <w:bookmarkStart w:id="146" w:name="_Toc296503035"/>
      <w:bookmarkStart w:id="147" w:name="_Toc337558734"/>
      <w:r>
        <w:rPr>
          <w:rFonts w:hint="eastAsia" w:ascii="宋体" w:hAnsi="宋体" w:eastAsia="宋体" w:cs="宋体"/>
          <w:bCs/>
          <w:kern w:val="2"/>
          <w:sz w:val="24"/>
          <w:szCs w:val="24"/>
        </w:rPr>
        <w:t>.8严禁贿赂</w:t>
      </w:r>
      <w:bookmarkEnd w:id="144"/>
      <w:bookmarkEnd w:id="145"/>
      <w:bookmarkEnd w:id="146"/>
      <w:bookmarkEnd w:id="147"/>
    </w:p>
    <w:p w14:paraId="5CFDF9F8">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合同当事人不得以贿赂或变相贿赂的方式，谋取非法利益或损害对方权益。因一方合同当事人的贿赂造成对方损失的，应赔偿损失，并承担相应的法律责任。</w:t>
      </w:r>
    </w:p>
    <w:p w14:paraId="025E9B61">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承包人不得与监理人或发包人聘请的第三方串通损害发包人利益。未经发包人书面同意，承包人不得为监理人提供合同约定以外的通讯设备、交通工具及其他任何形式的利益，不得向监理人支付报酬。</w:t>
      </w:r>
    </w:p>
    <w:p w14:paraId="49750467">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148" w:name="_Toc351203504"/>
      <w:r>
        <w:rPr>
          <w:rFonts w:hint="eastAsia" w:ascii="宋体" w:hAnsi="宋体" w:eastAsia="宋体" w:cs="宋体"/>
          <w:bCs/>
          <w:kern w:val="2"/>
          <w:sz w:val="24"/>
          <w:szCs w:val="24"/>
        </w:rPr>
        <w:t>1</w:t>
      </w:r>
      <w:bookmarkStart w:id="149" w:name="_Toc296503036"/>
      <w:bookmarkStart w:id="150" w:name="_Toc337558735"/>
      <w:bookmarkStart w:id="151" w:name="_Toc296346537"/>
      <w:r>
        <w:rPr>
          <w:rFonts w:hint="eastAsia" w:ascii="宋体" w:hAnsi="宋体" w:eastAsia="宋体" w:cs="宋体"/>
          <w:bCs/>
          <w:kern w:val="2"/>
          <w:sz w:val="24"/>
          <w:szCs w:val="24"/>
        </w:rPr>
        <w:t>.9化石、文物</w:t>
      </w:r>
      <w:bookmarkEnd w:id="148"/>
      <w:bookmarkEnd w:id="149"/>
      <w:bookmarkEnd w:id="150"/>
      <w:bookmarkEnd w:id="151"/>
    </w:p>
    <w:p w14:paraId="65B60700">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5197BD42">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发包人、监理人和承包人应按有关政府行政管理部门要求采取妥善的保护措施，由此增加的费用和（或）延误的工期由发包人承担。</w:t>
      </w:r>
    </w:p>
    <w:p w14:paraId="224286B0">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承包人发现文物后不及时报告或隐瞒不报，致使文物丢失或损坏的，应赔偿损失，并承担相应的法律责任。</w:t>
      </w:r>
    </w:p>
    <w:p w14:paraId="298508D9">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152" w:name="_Toc351203505"/>
      <w:r>
        <w:rPr>
          <w:rFonts w:hint="eastAsia" w:ascii="宋体" w:hAnsi="宋体" w:eastAsia="宋体" w:cs="宋体"/>
          <w:bCs/>
          <w:kern w:val="2"/>
          <w:sz w:val="24"/>
          <w:szCs w:val="24"/>
        </w:rPr>
        <w:t>1</w:t>
      </w:r>
      <w:bookmarkStart w:id="153" w:name="_Toc337558736"/>
      <w:r>
        <w:rPr>
          <w:rFonts w:hint="eastAsia" w:ascii="宋体" w:hAnsi="宋体" w:eastAsia="宋体" w:cs="宋体"/>
          <w:bCs/>
          <w:kern w:val="2"/>
          <w:sz w:val="24"/>
          <w:szCs w:val="24"/>
        </w:rPr>
        <w:t>.10交通运输</w:t>
      </w:r>
      <w:bookmarkEnd w:id="152"/>
      <w:bookmarkEnd w:id="153"/>
    </w:p>
    <w:p w14:paraId="74A345A1">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1.10.1 出入现场的权利</w:t>
      </w:r>
    </w:p>
    <w:p w14:paraId="1020FBF4">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14:paraId="44B4AD0D">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承包人应在订立合同前查勘施工现场，并根据工程规模及技术参数合理预见工程施工所需的进出施工现场的方式、手段、路径等。因承包人未合理预见所增加的费用和（或）延误的工期由承包人承担。</w:t>
      </w:r>
    </w:p>
    <w:p w14:paraId="52A9F98C">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1.10.2 场外交通</w:t>
      </w:r>
    </w:p>
    <w:p w14:paraId="0CF7EC80">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30DFD5CC">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1.10.3场内交通</w:t>
      </w:r>
    </w:p>
    <w:p w14:paraId="67E16E24">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24B4BBEF">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4AA6D11B">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场外交通和场内交通的边界由合同当事人在专用合同条款中约定。</w:t>
      </w:r>
    </w:p>
    <w:p w14:paraId="3DA11A61">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1.10.4 超大件和超重件的运输</w:t>
      </w:r>
    </w:p>
    <w:p w14:paraId="362D7992">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09BE5DCE">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1.10.5 道路和桥梁的损坏责任</w:t>
      </w:r>
    </w:p>
    <w:p w14:paraId="689FEBFF">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因承包人运输造成施工场地内外公共道路和桥梁损坏的，由承包人承担修复损坏的全部费用和可能引起的赔偿。</w:t>
      </w:r>
    </w:p>
    <w:p w14:paraId="43CA4E99">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1.10.6 水路和航空运输</w:t>
      </w:r>
    </w:p>
    <w:p w14:paraId="6F112698">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本款前述各项的内容适用于水路运输和航空运输，其中“道路”一词的涵义包括河道、航线、船闸、机场、码头、堤防以及水路或航空运输中其他相似结构物；“车辆”一词的涵义包括船舶和飞机等。</w:t>
      </w:r>
    </w:p>
    <w:p w14:paraId="6C29A775">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154" w:name="_Toc351203506"/>
      <w:r>
        <w:rPr>
          <w:rFonts w:hint="eastAsia" w:ascii="宋体" w:hAnsi="宋体" w:eastAsia="宋体" w:cs="宋体"/>
          <w:bCs/>
          <w:kern w:val="2"/>
          <w:sz w:val="24"/>
          <w:szCs w:val="24"/>
        </w:rPr>
        <w:t>1</w:t>
      </w:r>
      <w:bookmarkStart w:id="155" w:name="_Toc296346538"/>
      <w:bookmarkStart w:id="156" w:name="_Toc296503037"/>
      <w:bookmarkStart w:id="157" w:name="_Toc337558737"/>
      <w:r>
        <w:rPr>
          <w:rFonts w:hint="eastAsia" w:ascii="宋体" w:hAnsi="宋体" w:eastAsia="宋体" w:cs="宋体"/>
          <w:bCs/>
          <w:kern w:val="2"/>
          <w:sz w:val="24"/>
          <w:szCs w:val="24"/>
        </w:rPr>
        <w:t>.11知识产权</w:t>
      </w:r>
      <w:bookmarkEnd w:id="154"/>
      <w:r>
        <w:rPr>
          <w:rFonts w:hint="eastAsia" w:ascii="宋体" w:hAnsi="宋体" w:eastAsia="宋体" w:cs="宋体"/>
          <w:bCs/>
          <w:kern w:val="2"/>
          <w:sz w:val="24"/>
          <w:szCs w:val="24"/>
        </w:rPr>
        <w:t xml:space="preserve"> </w:t>
      </w:r>
      <w:bookmarkEnd w:id="155"/>
      <w:bookmarkEnd w:id="156"/>
      <w:bookmarkEnd w:id="157"/>
    </w:p>
    <w:p w14:paraId="1AD85C79">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19F6E99F">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17FFC40E">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4DB98FC6">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1.11.4 除专用合同条款另有约定外，承包人在合同签订前和签订时已确定采用的专利、专有技术、技术秘密的使用费已包含在签约合同价中。</w:t>
      </w:r>
    </w:p>
    <w:p w14:paraId="38476AAB">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158" w:name="_Toc351203507"/>
      <w:r>
        <w:rPr>
          <w:rFonts w:hint="eastAsia" w:ascii="宋体" w:hAnsi="宋体" w:eastAsia="宋体" w:cs="宋体"/>
          <w:bCs/>
          <w:kern w:val="2"/>
          <w:sz w:val="24"/>
          <w:szCs w:val="24"/>
        </w:rPr>
        <w:t>1</w:t>
      </w:r>
      <w:bookmarkStart w:id="159" w:name="_Toc337558738"/>
      <w:r>
        <w:rPr>
          <w:rFonts w:hint="eastAsia" w:ascii="宋体" w:hAnsi="宋体" w:eastAsia="宋体" w:cs="宋体"/>
          <w:bCs/>
          <w:kern w:val="2"/>
          <w:sz w:val="24"/>
          <w:szCs w:val="24"/>
        </w:rPr>
        <w:t>.12保密</w:t>
      </w:r>
      <w:bookmarkEnd w:id="158"/>
      <w:bookmarkEnd w:id="159"/>
    </w:p>
    <w:p w14:paraId="7943BAE8">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除法律规定或合同另有约定外，未经发包人同意，承包人不得将发包人提供的图纸、文件以及声明需要保密的资料信息等商业秘密泄露给第三方。</w:t>
      </w:r>
    </w:p>
    <w:p w14:paraId="27FE6652">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除法律规定或合同另有约定外，未经承包人同意，发包人不得将承包人提供的技术秘密及声明需要保密的资料信息等商业秘密泄露给第三方。</w:t>
      </w:r>
    </w:p>
    <w:p w14:paraId="056042BD">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160" w:name="_Toc351203508"/>
      <w:r>
        <w:rPr>
          <w:rFonts w:hint="eastAsia" w:ascii="宋体" w:hAnsi="宋体" w:eastAsia="宋体" w:cs="宋体"/>
          <w:bCs/>
          <w:kern w:val="2"/>
          <w:sz w:val="24"/>
          <w:szCs w:val="24"/>
        </w:rPr>
        <w:t>1.13工程量清单错误的修正</w:t>
      </w:r>
      <w:bookmarkEnd w:id="160"/>
    </w:p>
    <w:p w14:paraId="6977C0E0">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除专用合同条款另有约定外，发包人提供的工程量清单，应被认为是准确的和完整的。出现下列情形之一时，发包人应予以修正，并相应调整合同价格：</w:t>
      </w:r>
    </w:p>
    <w:p w14:paraId="49E9ACDC">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（1）工程量清单存在缺项、漏项的；</w:t>
      </w:r>
    </w:p>
    <w:p w14:paraId="52D5368E">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（2）工程量清单偏差超出专用合同条款约定的工程量偏差范围的；</w:t>
      </w:r>
    </w:p>
    <w:p w14:paraId="7B595C97">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（3）未按照国家现行计量规范强制性规定计量的。</w:t>
      </w:r>
    </w:p>
    <w:p w14:paraId="0A377E3C">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3"/>
        <w:rPr>
          <w:rFonts w:hint="eastAsia" w:ascii="宋体" w:hAnsi="宋体" w:eastAsia="宋体" w:cs="宋体"/>
          <w:kern w:val="2"/>
          <w:sz w:val="24"/>
          <w:szCs w:val="24"/>
        </w:rPr>
      </w:pPr>
      <w:bookmarkStart w:id="161" w:name="_Toc351203509"/>
      <w:r>
        <w:rPr>
          <w:rFonts w:hint="eastAsia" w:ascii="宋体" w:hAnsi="宋体" w:eastAsia="宋体" w:cs="宋体"/>
          <w:kern w:val="2"/>
          <w:sz w:val="24"/>
          <w:szCs w:val="24"/>
        </w:rPr>
        <w:t>2</w:t>
      </w:r>
      <w:bookmarkStart w:id="162" w:name="_Toc296346539"/>
      <w:bookmarkStart w:id="163" w:name="_Toc337558739"/>
      <w:bookmarkStart w:id="164" w:name="_Toc296503038"/>
      <w:bookmarkStart w:id="165" w:name="OLE_LINK2"/>
      <w:bookmarkStart w:id="166" w:name="OLE_LINK1"/>
      <w:r>
        <w:rPr>
          <w:rFonts w:hint="eastAsia" w:ascii="宋体" w:hAnsi="宋体" w:eastAsia="宋体" w:cs="宋体"/>
          <w:kern w:val="2"/>
          <w:sz w:val="24"/>
          <w:szCs w:val="24"/>
        </w:rPr>
        <w:t>. 发包人</w:t>
      </w:r>
      <w:bookmarkEnd w:id="161"/>
      <w:bookmarkEnd w:id="162"/>
      <w:bookmarkEnd w:id="163"/>
      <w:bookmarkEnd w:id="164"/>
    </w:p>
    <w:p w14:paraId="22854E9C">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167" w:name="_Toc351203510"/>
      <w:r>
        <w:rPr>
          <w:rFonts w:hint="eastAsia" w:ascii="宋体" w:hAnsi="宋体" w:eastAsia="宋体" w:cs="宋体"/>
          <w:bCs/>
          <w:kern w:val="2"/>
          <w:sz w:val="24"/>
          <w:szCs w:val="24"/>
        </w:rPr>
        <w:t>2</w:t>
      </w:r>
      <w:bookmarkStart w:id="168" w:name="_Toc296503039"/>
      <w:bookmarkStart w:id="169" w:name="_Toc337558740"/>
      <w:bookmarkStart w:id="170" w:name="_Toc296346540"/>
      <w:r>
        <w:rPr>
          <w:rFonts w:hint="eastAsia" w:ascii="宋体" w:hAnsi="宋体" w:eastAsia="宋体" w:cs="宋体"/>
          <w:bCs/>
          <w:kern w:val="2"/>
          <w:sz w:val="24"/>
          <w:szCs w:val="24"/>
        </w:rPr>
        <w:t>.1 许可或批准</w:t>
      </w:r>
      <w:bookmarkEnd w:id="167"/>
    </w:p>
    <w:p w14:paraId="4A9C4008">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00A3E6C1">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因发包人原因未能及时办理完毕前述许可、批准或备案，由发包人承担由此增加的费用和（或）延误的工期，并支付承包人合理的利润。</w:t>
      </w:r>
    </w:p>
    <w:p w14:paraId="448D3D3E">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171" w:name="_Toc351203511"/>
      <w:r>
        <w:rPr>
          <w:rFonts w:hint="eastAsia" w:ascii="宋体" w:hAnsi="宋体" w:eastAsia="宋体" w:cs="宋体"/>
          <w:bCs/>
          <w:kern w:val="2"/>
          <w:sz w:val="24"/>
          <w:szCs w:val="24"/>
        </w:rPr>
        <w:t>2.2 发包人代表</w:t>
      </w:r>
      <w:bookmarkEnd w:id="171"/>
    </w:p>
    <w:p w14:paraId="7F062489">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14:paraId="0848C43B">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发包人代表不能按照合同约定履行其职责及义务，并导致合同无法继续正常履行的，承包人可以要求发包人撤换发包人代表。</w:t>
      </w:r>
    </w:p>
    <w:p w14:paraId="4AD546B3">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sz w:val="24"/>
          <w:szCs w:val="24"/>
        </w:rPr>
        <w:t>不属于法定必须监理的工程，监理人的职权可以由发包人代表或发包人指定的其他人员行使。</w:t>
      </w:r>
    </w:p>
    <w:p w14:paraId="787FB975">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172" w:name="_Toc351203512"/>
      <w:r>
        <w:rPr>
          <w:rFonts w:hint="eastAsia" w:ascii="宋体" w:hAnsi="宋体" w:eastAsia="宋体" w:cs="宋体"/>
          <w:bCs/>
          <w:kern w:val="2"/>
          <w:sz w:val="24"/>
          <w:szCs w:val="24"/>
        </w:rPr>
        <w:t>2.3 发包人人员</w:t>
      </w:r>
      <w:bookmarkEnd w:id="172"/>
    </w:p>
    <w:p w14:paraId="2B28AD60">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发包人应要求在施工现场的发包人人员遵守法律及有关安全、质量、环境保护、文明施工等规定，并保障承包人免于承受因发包人人员未遵守上述要求给承包人造成的损失和责任。</w:t>
      </w:r>
    </w:p>
    <w:p w14:paraId="043327F0">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发包人人员包括发包人代表及其他由发包人派驻施工现场的人员。</w:t>
      </w:r>
      <w:bookmarkEnd w:id="168"/>
      <w:bookmarkEnd w:id="169"/>
      <w:bookmarkEnd w:id="170"/>
    </w:p>
    <w:p w14:paraId="25D0689A">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173" w:name="_Toc351203513"/>
      <w:r>
        <w:rPr>
          <w:rFonts w:hint="eastAsia" w:ascii="宋体" w:hAnsi="宋体" w:eastAsia="宋体" w:cs="宋体"/>
          <w:bCs/>
          <w:kern w:val="2"/>
          <w:sz w:val="24"/>
          <w:szCs w:val="24"/>
        </w:rPr>
        <w:t>2</w:t>
      </w:r>
      <w:bookmarkStart w:id="174" w:name="_Toc337558741"/>
      <w:bookmarkStart w:id="175" w:name="_Toc296346541"/>
      <w:bookmarkStart w:id="176" w:name="_Toc296503040"/>
      <w:r>
        <w:rPr>
          <w:rFonts w:hint="eastAsia" w:ascii="宋体" w:hAnsi="宋体" w:eastAsia="宋体" w:cs="宋体"/>
          <w:bCs/>
          <w:kern w:val="2"/>
          <w:sz w:val="24"/>
          <w:szCs w:val="24"/>
        </w:rPr>
        <w:t>.4 施工现场、施工条件和基础资料的提供</w:t>
      </w:r>
      <w:bookmarkEnd w:id="173"/>
      <w:r>
        <w:rPr>
          <w:rFonts w:hint="eastAsia" w:ascii="宋体" w:hAnsi="宋体" w:eastAsia="宋体" w:cs="宋体"/>
          <w:bCs/>
          <w:kern w:val="2"/>
          <w:sz w:val="24"/>
          <w:szCs w:val="24"/>
        </w:rPr>
        <w:t xml:space="preserve"> </w:t>
      </w:r>
      <w:bookmarkEnd w:id="174"/>
      <w:bookmarkEnd w:id="175"/>
      <w:bookmarkEnd w:id="176"/>
      <w:r>
        <w:rPr>
          <w:rFonts w:hint="eastAsia" w:ascii="宋体" w:hAnsi="宋体" w:eastAsia="宋体" w:cs="宋体"/>
          <w:bCs/>
          <w:kern w:val="2"/>
          <w:sz w:val="24"/>
          <w:szCs w:val="24"/>
        </w:rPr>
        <w:t xml:space="preserve"> </w:t>
      </w:r>
    </w:p>
    <w:p w14:paraId="54B3D40F">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2.4.1 提供施工现场</w:t>
      </w:r>
    </w:p>
    <w:p w14:paraId="70D2F689">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w:t>
      </w:r>
      <w:bookmarkEnd w:id="165"/>
      <w:bookmarkEnd w:id="166"/>
      <w:r>
        <w:rPr>
          <w:rFonts w:hint="eastAsia" w:ascii="宋体" w:hAnsi="宋体" w:eastAsia="宋体" w:cs="宋体"/>
          <w:sz w:val="24"/>
          <w:szCs w:val="24"/>
        </w:rPr>
        <w:t>专用合同条款另有约定外，发包人应最迟于开工日期7天前向承包人移交施工现场。</w:t>
      </w:r>
    </w:p>
    <w:p w14:paraId="6D2E29E3">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2.4.2 提供施工条件</w:t>
      </w:r>
    </w:p>
    <w:p w14:paraId="73537AF6">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除专用合同条款另有约定外，发包人应负责提供施工所需要的条件，包括：</w:t>
      </w:r>
    </w:p>
    <w:p w14:paraId="200DDDB0">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（1）将施工用水、电力、通讯线路等施工所必需的条件接至施工现场内；</w:t>
      </w:r>
    </w:p>
    <w:p w14:paraId="0FCBF14D">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（2）保证向承包人提供正常施工所需要的进入施工现场的交通条件；</w:t>
      </w:r>
    </w:p>
    <w:p w14:paraId="5D6123EC">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（3）协调处理施工现场周围地下管线和邻近建筑物、构筑物、古树名木的保护工作，并承担相关费用；</w:t>
      </w:r>
    </w:p>
    <w:p w14:paraId="512722BC">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（4）按照专用合同条款约定应提供的其他设施和条件。</w:t>
      </w:r>
    </w:p>
    <w:p w14:paraId="06A6AEAC">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sz w:val="24"/>
          <w:szCs w:val="24"/>
        </w:rPr>
        <w:t>2.4.3 提供基础资料</w:t>
      </w:r>
    </w:p>
    <w:p w14:paraId="2D0D6157">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0D28C7A0">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按照法律规定确需在开工后方能提供的基础资料，发包人应尽其努力及时地在相应工程施工前的合理期限内提供，合理期限应以不影响承包人的正常施工为限。</w:t>
      </w:r>
    </w:p>
    <w:p w14:paraId="280D8663">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2.4.4 逾期提供的责任</w:t>
      </w:r>
    </w:p>
    <w:p w14:paraId="5429E3AC">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因发包人原因未能按合同约定及时向承包人提供施工现场、施工条件、基础资料的，由发包人承担由此增加的费用和（或）延误的工期。</w:t>
      </w:r>
    </w:p>
    <w:p w14:paraId="3607078D">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177" w:name="_Toc351203514"/>
      <w:r>
        <w:rPr>
          <w:rFonts w:hint="eastAsia" w:ascii="宋体" w:hAnsi="宋体" w:eastAsia="宋体" w:cs="宋体"/>
          <w:bCs/>
          <w:kern w:val="2"/>
          <w:sz w:val="24"/>
          <w:szCs w:val="24"/>
        </w:rPr>
        <w:t>2</w:t>
      </w:r>
      <w:bookmarkStart w:id="178" w:name="_Toc337558745"/>
      <w:bookmarkStart w:id="179" w:name="_Toc296346543"/>
      <w:bookmarkStart w:id="180" w:name="_Toc296503042"/>
      <w:r>
        <w:rPr>
          <w:rFonts w:hint="eastAsia" w:ascii="宋体" w:hAnsi="宋体" w:eastAsia="宋体" w:cs="宋体"/>
          <w:bCs/>
          <w:kern w:val="2"/>
          <w:sz w:val="24"/>
          <w:szCs w:val="24"/>
        </w:rPr>
        <w:t>.5 资</w:t>
      </w:r>
      <w:bookmarkEnd w:id="178"/>
      <w:bookmarkEnd w:id="179"/>
      <w:bookmarkEnd w:id="180"/>
      <w:r>
        <w:rPr>
          <w:rFonts w:hint="eastAsia" w:ascii="宋体" w:hAnsi="宋体" w:eastAsia="宋体" w:cs="宋体"/>
          <w:bCs/>
          <w:kern w:val="2"/>
          <w:sz w:val="24"/>
          <w:szCs w:val="24"/>
        </w:rPr>
        <w:t>金来源证明及支付担保</w:t>
      </w:r>
      <w:bookmarkEnd w:id="177"/>
    </w:p>
    <w:p w14:paraId="4A01F01D">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除专用合同条款另有约定外，发包人应在收到承包人要求提供资金来源证明的书面通知后28天内，向承包人提供能够按照合同约定支付合同价款的相应资金来源证明。</w:t>
      </w:r>
    </w:p>
    <w:p w14:paraId="1AC3ADA7">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除专用合同条款另有约定外，发包人要求承包人提供履约担保的，发包人应当向承包人提供支付担保。支付担保可以采用银行保函或担保公司担保等形式，具体由合同当事人在专用合同条款中约定。</w:t>
      </w:r>
    </w:p>
    <w:p w14:paraId="4F0FFAF7">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181" w:name="_Toc351203515"/>
      <w:r>
        <w:rPr>
          <w:rFonts w:hint="eastAsia" w:ascii="宋体" w:hAnsi="宋体" w:eastAsia="宋体" w:cs="宋体"/>
          <w:bCs/>
          <w:kern w:val="2"/>
          <w:sz w:val="24"/>
          <w:szCs w:val="24"/>
        </w:rPr>
        <w:t>2.6 支付合同价款</w:t>
      </w:r>
      <w:bookmarkEnd w:id="181"/>
    </w:p>
    <w:p w14:paraId="05105651">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发包人应按合同约定向承包人及时支付合同价款。</w:t>
      </w:r>
    </w:p>
    <w:p w14:paraId="7E5B8647">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182" w:name="_Toc351203516"/>
      <w:r>
        <w:rPr>
          <w:rFonts w:hint="eastAsia" w:ascii="宋体" w:hAnsi="宋体" w:eastAsia="宋体" w:cs="宋体"/>
          <w:bCs/>
          <w:kern w:val="2"/>
          <w:sz w:val="24"/>
          <w:szCs w:val="24"/>
        </w:rPr>
        <w:t>2.7 组织竣工验收</w:t>
      </w:r>
      <w:bookmarkEnd w:id="182"/>
    </w:p>
    <w:p w14:paraId="69DEE625">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发包人应按合同约定及时组织竣工验收。</w:t>
      </w:r>
    </w:p>
    <w:p w14:paraId="286AEC33">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183" w:name="_Toc351203517"/>
      <w:r>
        <w:rPr>
          <w:rFonts w:hint="eastAsia" w:ascii="宋体" w:hAnsi="宋体" w:eastAsia="宋体" w:cs="宋体"/>
          <w:bCs/>
          <w:kern w:val="2"/>
          <w:sz w:val="24"/>
          <w:szCs w:val="24"/>
        </w:rPr>
        <w:t>2.8 现场统一管理协议</w:t>
      </w:r>
      <w:bookmarkEnd w:id="183"/>
    </w:p>
    <w:p w14:paraId="0B1FAD04">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发包人应与承包人、由发包人直接发包的专业工程的承包人签订施工现场统一管理协议，明确各方的权利义务。施工现场统一管理协议作为专用合同条款的附件。</w:t>
      </w:r>
    </w:p>
    <w:p w14:paraId="6CB51734">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3"/>
        <w:rPr>
          <w:rFonts w:hint="eastAsia" w:ascii="宋体" w:hAnsi="宋体" w:eastAsia="宋体" w:cs="宋体"/>
          <w:kern w:val="2"/>
          <w:sz w:val="24"/>
          <w:szCs w:val="24"/>
        </w:rPr>
      </w:pPr>
      <w:bookmarkStart w:id="184" w:name="_Toc351203518"/>
      <w:r>
        <w:rPr>
          <w:rFonts w:hint="eastAsia" w:ascii="宋体" w:hAnsi="宋体" w:eastAsia="宋体" w:cs="宋体"/>
          <w:kern w:val="2"/>
          <w:sz w:val="24"/>
          <w:szCs w:val="24"/>
        </w:rPr>
        <w:t>3</w:t>
      </w:r>
      <w:bookmarkStart w:id="185" w:name="_Toc296346546"/>
      <w:bookmarkStart w:id="186" w:name="_Toc296503045"/>
      <w:bookmarkStart w:id="187" w:name="_Toc337558746"/>
      <w:r>
        <w:rPr>
          <w:rFonts w:hint="eastAsia" w:ascii="宋体" w:hAnsi="宋体" w:eastAsia="宋体" w:cs="宋体"/>
          <w:kern w:val="2"/>
          <w:sz w:val="24"/>
          <w:szCs w:val="24"/>
        </w:rPr>
        <w:t>. 承包人</w:t>
      </w:r>
      <w:bookmarkEnd w:id="184"/>
      <w:bookmarkEnd w:id="185"/>
      <w:bookmarkEnd w:id="186"/>
      <w:bookmarkEnd w:id="187"/>
    </w:p>
    <w:p w14:paraId="38B6115F">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188" w:name="_Toc351203519"/>
      <w:r>
        <w:rPr>
          <w:rFonts w:hint="eastAsia" w:ascii="宋体" w:hAnsi="宋体" w:eastAsia="宋体" w:cs="宋体"/>
          <w:bCs/>
          <w:kern w:val="2"/>
          <w:sz w:val="24"/>
          <w:szCs w:val="24"/>
        </w:rPr>
        <w:t>3</w:t>
      </w:r>
      <w:bookmarkStart w:id="189" w:name="_Toc296346547"/>
      <w:bookmarkStart w:id="190" w:name="_Toc337558747"/>
      <w:bookmarkStart w:id="191" w:name="_Toc296503046"/>
      <w:r>
        <w:rPr>
          <w:rFonts w:hint="eastAsia" w:ascii="宋体" w:hAnsi="宋体" w:eastAsia="宋体" w:cs="宋体"/>
          <w:bCs/>
          <w:kern w:val="2"/>
          <w:sz w:val="24"/>
          <w:szCs w:val="24"/>
        </w:rPr>
        <w:t>.1 承包人的一般义务</w:t>
      </w:r>
      <w:bookmarkEnd w:id="188"/>
      <w:bookmarkEnd w:id="189"/>
      <w:bookmarkEnd w:id="190"/>
      <w:bookmarkEnd w:id="191"/>
    </w:p>
    <w:p w14:paraId="2E344235">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承包人在履行合同过程中应遵守法律和工程建设标准规范，并履行以下义务：</w:t>
      </w:r>
    </w:p>
    <w:p w14:paraId="155A3EF5">
      <w:pPr>
        <w:pageBreakBefore w:val="0"/>
        <w:widowControl w:val="0"/>
        <w:numPr>
          <w:ilvl w:val="0"/>
          <w:numId w:val="9"/>
        </w:numPr>
        <w:kinsoku/>
        <w:wordWrap/>
        <w:overflowPunct/>
        <w:topLinePunct w:val="0"/>
        <w:autoSpaceDE w:val="0"/>
        <w:autoSpaceDN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办理法律规定应由承包人办理的许可和批准，并将办理结果书面报送发包人留存；</w:t>
      </w:r>
    </w:p>
    <w:p w14:paraId="62494E54">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（2）按法律规定和合同约定完成工程，并在保修期内承担保修义务；</w:t>
      </w:r>
    </w:p>
    <w:p w14:paraId="27E0B92E">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（3）按法律规定和合同约定采取施工安全和环境保护措施，办理工伤保险，确保工程及人员、材料、设备和设施的安全；</w:t>
      </w:r>
    </w:p>
    <w:p w14:paraId="52A77CD5">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（4）按合同约定的工作内容和施工进度要求，编制施工组织设计和施工措施计划，并对所有施工作业和施工方法的完备性和安全可靠性负责；</w:t>
      </w:r>
    </w:p>
    <w:p w14:paraId="5F8939EF">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6B6CC21B">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（6）按照第6.3款〔环境保护〕约定负责施工场地及其周边环境与生态的保护工作；</w:t>
      </w:r>
    </w:p>
    <w:p w14:paraId="6E9F79F5">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（7）按第6.1款〔安全文明施工〕约定采取施工安全措施，确保工程及其人员、材料、设备和设施的安全，防止因工程施工造成的人身伤害和财产损失；</w:t>
      </w:r>
    </w:p>
    <w:p w14:paraId="1B7CD467">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（8）将发包人按合同约定支付的各项价款专用于合同工程，且应及时支付其雇用人员工资，并及时向分包人支付合同价款；</w:t>
      </w:r>
    </w:p>
    <w:p w14:paraId="3BA6DFCD">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（9）按照法律规定和合同约定编制竣工资料，完成竣工资料立卷及归档，并按专用合同条款约定的竣工资料的套数、内容、时间等要求移交发包人；</w:t>
      </w:r>
    </w:p>
    <w:p w14:paraId="59972918">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（10）应履行的其他义务。</w:t>
      </w:r>
    </w:p>
    <w:p w14:paraId="681193FE">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192" w:name="_Toc351203520"/>
      <w:r>
        <w:rPr>
          <w:rFonts w:hint="eastAsia" w:ascii="宋体" w:hAnsi="宋体" w:eastAsia="宋体" w:cs="宋体"/>
          <w:bCs/>
          <w:kern w:val="2"/>
          <w:sz w:val="24"/>
          <w:szCs w:val="24"/>
        </w:rPr>
        <w:t>3</w:t>
      </w:r>
      <w:bookmarkStart w:id="193" w:name="_Toc296503047"/>
      <w:bookmarkStart w:id="194" w:name="_Toc337558748"/>
      <w:bookmarkStart w:id="195" w:name="_Toc296346548"/>
      <w:r>
        <w:rPr>
          <w:rFonts w:hint="eastAsia" w:ascii="宋体" w:hAnsi="宋体" w:eastAsia="宋体" w:cs="宋体"/>
          <w:bCs/>
          <w:kern w:val="2"/>
          <w:sz w:val="24"/>
          <w:szCs w:val="24"/>
        </w:rPr>
        <w:t xml:space="preserve">.2 </w:t>
      </w:r>
      <w:bookmarkEnd w:id="192"/>
      <w:r>
        <w:rPr>
          <w:rFonts w:hint="eastAsia" w:ascii="宋体" w:hAnsi="宋体" w:eastAsia="宋体" w:cs="宋体"/>
          <w:bCs/>
          <w:kern w:val="2"/>
          <w:sz w:val="24"/>
          <w:szCs w:val="24"/>
        </w:rPr>
        <w:t>项目经理</w:t>
      </w:r>
      <w:bookmarkEnd w:id="193"/>
      <w:bookmarkEnd w:id="194"/>
      <w:bookmarkEnd w:id="195"/>
    </w:p>
    <w:p w14:paraId="1E057BB0">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48051EE7">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20A25DE4">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承包人违反上述约定的，应按照专用合同条款的约定，承担违约责任。</w:t>
      </w:r>
    </w:p>
    <w:p w14:paraId="3095D552">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14:paraId="12CDA926">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12AA75D3">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14:paraId="6C630C44">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3.2.5 项目经理因特殊情况授权其下属人员履行其某项工作职责的，该下属人员应具备履行相应职责的能力，并应提前7天将上述人员的姓名和授权范围书面通知监理人，并征得发包人书面同意。</w:t>
      </w:r>
    </w:p>
    <w:p w14:paraId="4D6DAA21">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196" w:name="_Toc351203521"/>
      <w:r>
        <w:rPr>
          <w:rFonts w:hint="eastAsia" w:ascii="宋体" w:hAnsi="宋体" w:eastAsia="宋体" w:cs="宋体"/>
          <w:bCs/>
          <w:kern w:val="2"/>
          <w:sz w:val="24"/>
          <w:szCs w:val="24"/>
        </w:rPr>
        <w:t>3</w:t>
      </w:r>
      <w:bookmarkStart w:id="197" w:name="_Toc296346549"/>
      <w:bookmarkStart w:id="198" w:name="_Toc296503048"/>
      <w:bookmarkStart w:id="199" w:name="_Toc337558749"/>
      <w:r>
        <w:rPr>
          <w:rFonts w:hint="eastAsia" w:ascii="宋体" w:hAnsi="宋体" w:eastAsia="宋体" w:cs="宋体"/>
          <w:bCs/>
          <w:kern w:val="2"/>
          <w:sz w:val="24"/>
          <w:szCs w:val="24"/>
        </w:rPr>
        <w:t xml:space="preserve">.3 </w:t>
      </w:r>
      <w:bookmarkEnd w:id="197"/>
      <w:bookmarkEnd w:id="198"/>
      <w:r>
        <w:rPr>
          <w:rFonts w:hint="eastAsia" w:ascii="宋体" w:hAnsi="宋体" w:eastAsia="宋体" w:cs="宋体"/>
          <w:bCs/>
          <w:kern w:val="2"/>
          <w:sz w:val="24"/>
          <w:szCs w:val="24"/>
        </w:rPr>
        <w:t>承包人人员</w:t>
      </w:r>
      <w:bookmarkEnd w:id="196"/>
      <w:bookmarkEnd w:id="199"/>
    </w:p>
    <w:p w14:paraId="51056064">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14:paraId="1578648B">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14:paraId="4F349828">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特殊工种作业人员均应持有相应的资格证明，监理人可以随时检查。</w:t>
      </w:r>
    </w:p>
    <w:p w14:paraId="25DC929F">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41415063">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189996FB">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3.3.5 承包人擅自更换主要施工管理人员，或前述人员未经监理人或发包人同意擅自离开施工现场的，应按照专用合同条款约定承担违约责任。</w:t>
      </w:r>
    </w:p>
    <w:p w14:paraId="364B1B0F">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200" w:name="_Toc351203522"/>
      <w:r>
        <w:rPr>
          <w:rFonts w:hint="eastAsia" w:ascii="宋体" w:hAnsi="宋体" w:eastAsia="宋体" w:cs="宋体"/>
          <w:bCs/>
          <w:kern w:val="2"/>
          <w:sz w:val="24"/>
          <w:szCs w:val="24"/>
        </w:rPr>
        <w:t>3</w:t>
      </w:r>
      <w:bookmarkStart w:id="201" w:name="_Toc296346551"/>
      <w:bookmarkStart w:id="202" w:name="_Toc337558750"/>
      <w:bookmarkStart w:id="203" w:name="_Toc296503050"/>
      <w:r>
        <w:rPr>
          <w:rFonts w:hint="eastAsia" w:ascii="宋体" w:hAnsi="宋体" w:eastAsia="宋体" w:cs="宋体"/>
          <w:bCs/>
          <w:kern w:val="2"/>
          <w:sz w:val="24"/>
          <w:szCs w:val="24"/>
        </w:rPr>
        <w:t>.4 承包人现场查勘</w:t>
      </w:r>
      <w:bookmarkEnd w:id="200"/>
      <w:bookmarkEnd w:id="201"/>
      <w:bookmarkEnd w:id="202"/>
      <w:bookmarkEnd w:id="203"/>
    </w:p>
    <w:p w14:paraId="14643D47">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sz w:val="24"/>
          <w:szCs w:val="24"/>
        </w:rPr>
        <w:t>承包人应对基于发包人按照第2.4.3项〔提供基础资料〕提交的基础资料所做出的解释和推断负责，但因基础资料存在错误、遗漏导致承包人解释或推断失实的，由发包人承担责任。</w:t>
      </w:r>
    </w:p>
    <w:p w14:paraId="642D6F81">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1AB88B33">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204" w:name="_Toc351203523"/>
      <w:r>
        <w:rPr>
          <w:rFonts w:hint="eastAsia" w:ascii="宋体" w:hAnsi="宋体" w:eastAsia="宋体" w:cs="宋体"/>
          <w:bCs/>
          <w:kern w:val="2"/>
          <w:sz w:val="24"/>
          <w:szCs w:val="24"/>
        </w:rPr>
        <w:t>3</w:t>
      </w:r>
      <w:bookmarkStart w:id="205" w:name="_Toc296503051"/>
      <w:bookmarkStart w:id="206" w:name="_Toc296346552"/>
      <w:bookmarkStart w:id="207" w:name="_Toc337558751"/>
      <w:r>
        <w:rPr>
          <w:rFonts w:hint="eastAsia" w:ascii="宋体" w:hAnsi="宋体" w:eastAsia="宋体" w:cs="宋体"/>
          <w:bCs/>
          <w:kern w:val="2"/>
          <w:sz w:val="24"/>
          <w:szCs w:val="24"/>
        </w:rPr>
        <w:t>.5 分包</w:t>
      </w:r>
      <w:bookmarkEnd w:id="204"/>
      <w:bookmarkEnd w:id="205"/>
      <w:bookmarkEnd w:id="206"/>
      <w:bookmarkEnd w:id="207"/>
    </w:p>
    <w:p w14:paraId="7239E488">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3.5.1 分包的一般约定</w:t>
      </w:r>
    </w:p>
    <w:p w14:paraId="181B4E9E">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255BDC64">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承包人不得以劳务分包的名义转包或违法分包工程。</w:t>
      </w:r>
    </w:p>
    <w:p w14:paraId="04657FDE">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3.5.2 分包的确定</w:t>
      </w:r>
    </w:p>
    <w:p w14:paraId="4B5DE60F">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39F59924">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3.5.3 分包管理</w:t>
      </w:r>
    </w:p>
    <w:p w14:paraId="75AFC34A">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承包人应向监理人提交分包人的主要施工管理人员表，并对分包人的施工人员进行实名制管理，包括但不限于进出场管理、登记造册以及各种证照的办理。</w:t>
      </w:r>
    </w:p>
    <w:p w14:paraId="41F83539">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3.5.4 分包合同价款</w:t>
      </w:r>
    </w:p>
    <w:p w14:paraId="6B1FD8DB">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（1）除本项第（2）目约定的情况或专用合同条款另有约定外，分包合同价款由承包人与分包人结算，未经承包人同意，发包人不得向分包人支付分包工程价款；</w:t>
      </w:r>
    </w:p>
    <w:p w14:paraId="23C2B770">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（2）生效法律文书要求发包人向分包人支付分包合同价款的，发包人有权从应付承包人工程款中扣除该部分款项。</w:t>
      </w:r>
    </w:p>
    <w:p w14:paraId="4DE02305">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3.5.5 分包合同权益的转让</w:t>
      </w:r>
    </w:p>
    <w:p w14:paraId="7809B421">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208" w:name="_Toc351203524"/>
    </w:p>
    <w:p w14:paraId="6143138C">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r>
        <w:rPr>
          <w:rFonts w:hint="eastAsia" w:ascii="宋体" w:hAnsi="宋体" w:eastAsia="宋体" w:cs="宋体"/>
          <w:bCs/>
          <w:kern w:val="2"/>
          <w:sz w:val="24"/>
          <w:szCs w:val="24"/>
        </w:rPr>
        <w:t>3.6 工程照管与成品、半成品保护</w:t>
      </w:r>
      <w:bookmarkEnd w:id="208"/>
    </w:p>
    <w:p w14:paraId="2F9D4554">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（1）除专用合同条款另有约定外，自发包人向承包人移交施工现场之日起，承包人应负责照管工程及工程相关的材料、工程设备，直到颁发工程接收证书之日止。</w:t>
      </w:r>
    </w:p>
    <w:p w14:paraId="4BBC2DB6">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（2）在承包人负责照管期间，因承包人原因造成工程、材料、工程设备损坏的，由承包人负责修复或更换，并承担由此增加的费用和（或）延误的工期。</w:t>
      </w:r>
    </w:p>
    <w:p w14:paraId="7C7250AC">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（3）对合同内分期完成的成品和半成品，在工程接收证书颁发前，由承包人承担保护责任。因承包人原因造成成品或半成品损坏的，由承包人负责修复或更换，并承担由此增加的费用和（或）延误的工期。</w:t>
      </w:r>
    </w:p>
    <w:p w14:paraId="606F259B">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209" w:name="_Toc351203525"/>
      <w:r>
        <w:rPr>
          <w:rFonts w:hint="eastAsia" w:ascii="宋体" w:hAnsi="宋体" w:eastAsia="宋体" w:cs="宋体"/>
          <w:bCs/>
          <w:kern w:val="2"/>
          <w:sz w:val="24"/>
          <w:szCs w:val="24"/>
        </w:rPr>
        <w:t>3</w:t>
      </w:r>
      <w:bookmarkStart w:id="210" w:name="_Toc337558752"/>
      <w:bookmarkStart w:id="211" w:name="_Toc296346553"/>
      <w:bookmarkStart w:id="212" w:name="_Toc296503052"/>
      <w:r>
        <w:rPr>
          <w:rFonts w:hint="eastAsia" w:ascii="宋体" w:hAnsi="宋体" w:eastAsia="宋体" w:cs="宋体"/>
          <w:bCs/>
          <w:kern w:val="2"/>
          <w:sz w:val="24"/>
          <w:szCs w:val="24"/>
        </w:rPr>
        <w:t>.7 履约担保</w:t>
      </w:r>
      <w:bookmarkEnd w:id="209"/>
      <w:bookmarkEnd w:id="210"/>
      <w:bookmarkEnd w:id="211"/>
      <w:bookmarkEnd w:id="212"/>
    </w:p>
    <w:p w14:paraId="209C9167">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发包人需要承包人提供履约担保的，由合同当事人在专用合同条款中约定履约担保的方式、金额及期限等。履约担保可以采用银行保函或担保公司担保等形式，具体由合同当事人在专用合同条款中约定。</w:t>
      </w:r>
    </w:p>
    <w:p w14:paraId="1E6843B3">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因承包人原因导致工期延长的，继续提供履约担保所增加的费用由承包人承担；非因承包人原因导致工期延长的，继续提供履约担保所增加的费用由发包人承担。</w:t>
      </w:r>
    </w:p>
    <w:p w14:paraId="00C72B66">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213" w:name="_Toc351203526"/>
      <w:r>
        <w:rPr>
          <w:rFonts w:hint="eastAsia" w:ascii="宋体" w:hAnsi="宋体" w:eastAsia="宋体" w:cs="宋体"/>
          <w:bCs/>
          <w:kern w:val="2"/>
          <w:sz w:val="24"/>
          <w:szCs w:val="24"/>
        </w:rPr>
        <w:t>3.8 联合体</w:t>
      </w:r>
      <w:bookmarkEnd w:id="213"/>
    </w:p>
    <w:p w14:paraId="2BB0E9A2">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3.8.1 联合体各方应共同与发包人签订合同协议书。联合体各方应为履行合同向发包人承担连带责任。</w:t>
      </w:r>
    </w:p>
    <w:p w14:paraId="42897491">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3.8.2 联合体协议经发包人确认后作为合同附件。在履行合同过程中，未经发包人同意，不得修改联合体协议。</w:t>
      </w:r>
    </w:p>
    <w:p w14:paraId="0B07B00D">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3.8.3 联合体牵头人负责与发包人和监理人联系，并接受指示，负责组织联合体各成员全面履行合同。</w:t>
      </w:r>
    </w:p>
    <w:p w14:paraId="66EAB517">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3"/>
        <w:rPr>
          <w:rFonts w:hint="eastAsia" w:ascii="宋体" w:hAnsi="宋体" w:eastAsia="宋体" w:cs="宋体"/>
          <w:kern w:val="2"/>
          <w:sz w:val="24"/>
          <w:szCs w:val="24"/>
        </w:rPr>
      </w:pPr>
      <w:bookmarkStart w:id="214" w:name="_Toc351203527"/>
      <w:r>
        <w:rPr>
          <w:rFonts w:hint="eastAsia" w:ascii="宋体" w:hAnsi="宋体" w:eastAsia="宋体" w:cs="宋体"/>
          <w:kern w:val="2"/>
          <w:sz w:val="24"/>
          <w:szCs w:val="24"/>
        </w:rPr>
        <w:t>4</w:t>
      </w:r>
      <w:bookmarkStart w:id="215" w:name="_Toc296503053"/>
      <w:bookmarkStart w:id="216" w:name="_Toc296346554"/>
      <w:bookmarkStart w:id="217" w:name="_Toc337558753"/>
      <w:r>
        <w:rPr>
          <w:rFonts w:hint="eastAsia" w:ascii="宋体" w:hAnsi="宋体" w:eastAsia="宋体" w:cs="宋体"/>
          <w:kern w:val="2"/>
          <w:sz w:val="24"/>
          <w:szCs w:val="24"/>
        </w:rPr>
        <w:t>. 监</w:t>
      </w:r>
      <w:bookmarkEnd w:id="215"/>
      <w:bookmarkEnd w:id="216"/>
      <w:r>
        <w:rPr>
          <w:rFonts w:hint="eastAsia" w:ascii="宋体" w:hAnsi="宋体" w:eastAsia="宋体" w:cs="宋体"/>
          <w:kern w:val="2"/>
          <w:sz w:val="24"/>
          <w:szCs w:val="24"/>
        </w:rPr>
        <w:t>理人</w:t>
      </w:r>
      <w:bookmarkEnd w:id="214"/>
      <w:bookmarkEnd w:id="217"/>
    </w:p>
    <w:p w14:paraId="76BB3F51">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218" w:name="_Toc351203528"/>
      <w:r>
        <w:rPr>
          <w:rFonts w:hint="eastAsia" w:ascii="宋体" w:hAnsi="宋体" w:eastAsia="宋体" w:cs="宋体"/>
          <w:bCs/>
          <w:kern w:val="2"/>
          <w:sz w:val="24"/>
          <w:szCs w:val="24"/>
        </w:rPr>
        <w:t>4</w:t>
      </w:r>
      <w:bookmarkStart w:id="219" w:name="_Toc296503054"/>
      <w:bookmarkStart w:id="220" w:name="_Toc296346555"/>
      <w:bookmarkStart w:id="221" w:name="_Toc337558754"/>
      <w:r>
        <w:rPr>
          <w:rFonts w:hint="eastAsia" w:ascii="宋体" w:hAnsi="宋体" w:eastAsia="宋体" w:cs="宋体"/>
          <w:bCs/>
          <w:kern w:val="2"/>
          <w:sz w:val="24"/>
          <w:szCs w:val="24"/>
        </w:rPr>
        <w:t>.1监理人的一般规定</w:t>
      </w:r>
      <w:bookmarkEnd w:id="218"/>
      <w:bookmarkEnd w:id="219"/>
      <w:bookmarkEnd w:id="220"/>
      <w:bookmarkEnd w:id="221"/>
    </w:p>
    <w:p w14:paraId="07FBD5A5">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2F0C578A">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除专用合同条款另有约定外，监理人在施工现场的办公场所、生活场所由承包人提供，所发生的费用由发包人承担。</w:t>
      </w:r>
    </w:p>
    <w:p w14:paraId="09687C9F">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222" w:name="_Toc351203529"/>
      <w:r>
        <w:rPr>
          <w:rFonts w:hint="eastAsia" w:ascii="宋体" w:hAnsi="宋体" w:eastAsia="宋体" w:cs="宋体"/>
          <w:bCs/>
          <w:kern w:val="2"/>
          <w:sz w:val="24"/>
          <w:szCs w:val="24"/>
        </w:rPr>
        <w:t>4</w:t>
      </w:r>
      <w:bookmarkStart w:id="223" w:name="_Toc337558755"/>
      <w:r>
        <w:rPr>
          <w:rFonts w:hint="eastAsia" w:ascii="宋体" w:hAnsi="宋体" w:eastAsia="宋体" w:cs="宋体"/>
          <w:bCs/>
          <w:kern w:val="2"/>
          <w:sz w:val="24"/>
          <w:szCs w:val="24"/>
        </w:rPr>
        <w:t>.2监理人员</w:t>
      </w:r>
      <w:bookmarkEnd w:id="222"/>
      <w:bookmarkEnd w:id="223"/>
    </w:p>
    <w:p w14:paraId="5F96463F">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14:paraId="0A735118">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224" w:name="_Toc351203530"/>
      <w:r>
        <w:rPr>
          <w:rFonts w:hint="eastAsia" w:ascii="宋体" w:hAnsi="宋体" w:eastAsia="宋体" w:cs="宋体"/>
          <w:bCs/>
          <w:kern w:val="2"/>
          <w:sz w:val="24"/>
          <w:szCs w:val="24"/>
        </w:rPr>
        <w:t>4</w:t>
      </w:r>
      <w:bookmarkStart w:id="225" w:name="_Toc296346556"/>
      <w:bookmarkStart w:id="226" w:name="_Toc296503055"/>
      <w:bookmarkStart w:id="227" w:name="_Toc337558756"/>
      <w:r>
        <w:rPr>
          <w:rFonts w:hint="eastAsia" w:ascii="宋体" w:hAnsi="宋体" w:eastAsia="宋体" w:cs="宋体"/>
          <w:bCs/>
          <w:kern w:val="2"/>
          <w:sz w:val="24"/>
          <w:szCs w:val="24"/>
        </w:rPr>
        <w:t>.3</w:t>
      </w:r>
      <w:bookmarkEnd w:id="225"/>
      <w:bookmarkEnd w:id="226"/>
      <w:r>
        <w:rPr>
          <w:rFonts w:hint="eastAsia" w:ascii="宋体" w:hAnsi="宋体" w:eastAsia="宋体" w:cs="宋体"/>
          <w:bCs/>
          <w:kern w:val="2"/>
          <w:sz w:val="24"/>
          <w:szCs w:val="24"/>
        </w:rPr>
        <w:t>监理人的指</w:t>
      </w:r>
      <w:bookmarkEnd w:id="227"/>
      <w:r>
        <w:rPr>
          <w:rFonts w:hint="eastAsia" w:ascii="宋体" w:hAnsi="宋体" w:eastAsia="宋体" w:cs="宋体"/>
          <w:bCs/>
          <w:kern w:val="2"/>
          <w:sz w:val="24"/>
          <w:szCs w:val="24"/>
        </w:rPr>
        <w:t>示</w:t>
      </w:r>
      <w:bookmarkEnd w:id="224"/>
    </w:p>
    <w:p w14:paraId="29B42E27">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14:paraId="67A3E0BF">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14:paraId="0C38D125">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承包人对监理人发出的指示有疑问的，应向监理人提出书面异议，监理人应在48小时内对该指示予以确认、更改或撤销，监理人逾期未回复的，承包人有权拒绝执行上述指示。</w:t>
      </w:r>
    </w:p>
    <w:p w14:paraId="240DEAD4">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监理人对承包人的任何工作、工程或其采用的材料和工程设备未在约定的或合理期限内提出意见的，视为批准，但不免除或减轻承包人对该工作、工程、材料、工程设备等应承担的责任和义务。</w:t>
      </w:r>
    </w:p>
    <w:p w14:paraId="515E8441">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3"/>
        <w:rPr>
          <w:rFonts w:hint="eastAsia" w:ascii="宋体" w:hAnsi="宋体" w:eastAsia="宋体" w:cs="宋体"/>
          <w:kern w:val="2"/>
          <w:sz w:val="24"/>
          <w:szCs w:val="24"/>
        </w:rPr>
      </w:pPr>
      <w:bookmarkStart w:id="228" w:name="_Toc351203531"/>
      <w:r>
        <w:rPr>
          <w:rFonts w:hint="eastAsia" w:ascii="宋体" w:hAnsi="宋体" w:eastAsia="宋体" w:cs="宋体"/>
          <w:kern w:val="2"/>
          <w:sz w:val="24"/>
          <w:szCs w:val="24"/>
        </w:rPr>
        <w:t>4</w:t>
      </w:r>
      <w:bookmarkStart w:id="229" w:name="_Toc296346558"/>
      <w:bookmarkStart w:id="230" w:name="_Toc337558757"/>
      <w:bookmarkStart w:id="231" w:name="_Toc296503057"/>
      <w:r>
        <w:rPr>
          <w:rFonts w:hint="eastAsia" w:ascii="宋体" w:hAnsi="宋体" w:eastAsia="宋体" w:cs="宋体"/>
          <w:kern w:val="2"/>
          <w:sz w:val="24"/>
          <w:szCs w:val="24"/>
        </w:rPr>
        <w:t>.4 商定或确定</w:t>
      </w:r>
      <w:bookmarkEnd w:id="228"/>
      <w:bookmarkEnd w:id="229"/>
      <w:bookmarkEnd w:id="230"/>
      <w:bookmarkEnd w:id="231"/>
    </w:p>
    <w:p w14:paraId="765C99A3">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合同当事人进行商定或确定时，总监理工程师应当会同合同当事人尽量通过协商达成一致，不能达成一致的，由总监理工程师按照合同约定审慎做出公正的确定。</w:t>
      </w:r>
    </w:p>
    <w:p w14:paraId="6D01BA7B">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14:paraId="1FDF3B9E">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3"/>
        <w:rPr>
          <w:rFonts w:hint="eastAsia" w:ascii="宋体" w:hAnsi="宋体" w:eastAsia="宋体" w:cs="宋体"/>
          <w:kern w:val="2"/>
          <w:sz w:val="24"/>
          <w:szCs w:val="24"/>
        </w:rPr>
      </w:pPr>
      <w:bookmarkStart w:id="232" w:name="_Toc351203532"/>
      <w:r>
        <w:rPr>
          <w:rFonts w:hint="eastAsia" w:ascii="宋体" w:hAnsi="宋体" w:eastAsia="宋体" w:cs="宋体"/>
          <w:kern w:val="2"/>
          <w:sz w:val="24"/>
          <w:szCs w:val="24"/>
        </w:rPr>
        <w:t>5</w:t>
      </w:r>
      <w:bookmarkStart w:id="233" w:name="_Toc337558758"/>
      <w:r>
        <w:rPr>
          <w:rFonts w:hint="eastAsia" w:ascii="宋体" w:hAnsi="宋体" w:eastAsia="宋体" w:cs="宋体"/>
          <w:kern w:val="2"/>
          <w:sz w:val="24"/>
          <w:szCs w:val="24"/>
        </w:rPr>
        <w:t>. 工程质量</w:t>
      </w:r>
      <w:bookmarkEnd w:id="232"/>
      <w:bookmarkEnd w:id="233"/>
    </w:p>
    <w:p w14:paraId="6BE7A5DA">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234" w:name="_Toc351203533"/>
      <w:r>
        <w:rPr>
          <w:rFonts w:hint="eastAsia" w:ascii="宋体" w:hAnsi="宋体" w:eastAsia="宋体" w:cs="宋体"/>
          <w:bCs/>
          <w:kern w:val="2"/>
          <w:sz w:val="24"/>
          <w:szCs w:val="24"/>
        </w:rPr>
        <w:t>5</w:t>
      </w:r>
      <w:bookmarkStart w:id="235" w:name="_Toc337558759"/>
      <w:r>
        <w:rPr>
          <w:rFonts w:hint="eastAsia" w:ascii="宋体" w:hAnsi="宋体" w:eastAsia="宋体" w:cs="宋体"/>
          <w:bCs/>
          <w:kern w:val="2"/>
          <w:sz w:val="24"/>
          <w:szCs w:val="24"/>
        </w:rPr>
        <w:t>.1质量要求</w:t>
      </w:r>
      <w:bookmarkEnd w:id="234"/>
      <w:bookmarkEnd w:id="235"/>
    </w:p>
    <w:p w14:paraId="31DDBD71">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5.1.1 工程质量标准必须符合现行国家有关工程施工质量验收规范和标准的要求。有关工程质量的特殊标准或要求由合同当事人在专用合同条款中约定。</w:t>
      </w:r>
    </w:p>
    <w:p w14:paraId="023FCD6C">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5.1.2 因发包人原因造成工程质量未达到合同约定标准的，由发包人承担由此增加的费用和（或）延误的工期，并支付承包人合理的利润。</w:t>
      </w:r>
    </w:p>
    <w:p w14:paraId="7CAC0397">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5.1.3 因承包人原因造成工程质量未达到合同约定标准的，发包人有权要求承包人返工直至工程质量达到合同约定的标准为止，并由承包人承担由此增加的费用和（或）延误的工期。</w:t>
      </w:r>
    </w:p>
    <w:p w14:paraId="50A7DE12">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236" w:name="_Toc351203534"/>
      <w:r>
        <w:rPr>
          <w:rFonts w:hint="eastAsia" w:ascii="宋体" w:hAnsi="宋体" w:eastAsia="宋体" w:cs="宋体"/>
          <w:bCs/>
          <w:kern w:val="2"/>
          <w:sz w:val="24"/>
          <w:szCs w:val="24"/>
        </w:rPr>
        <w:t>5</w:t>
      </w:r>
      <w:bookmarkStart w:id="237" w:name="_Toc337558760"/>
      <w:r>
        <w:rPr>
          <w:rFonts w:hint="eastAsia" w:ascii="宋体" w:hAnsi="宋体" w:eastAsia="宋体" w:cs="宋体"/>
          <w:bCs/>
          <w:kern w:val="2"/>
          <w:sz w:val="24"/>
          <w:szCs w:val="24"/>
        </w:rPr>
        <w:t>.2质量保证措施</w:t>
      </w:r>
      <w:bookmarkEnd w:id="236"/>
      <w:bookmarkEnd w:id="237"/>
    </w:p>
    <w:p w14:paraId="01F8BB12">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outlineLvl w:val="0"/>
        <w:rPr>
          <w:rFonts w:hint="eastAsia" w:ascii="宋体" w:hAnsi="宋体" w:eastAsia="宋体" w:cs="宋体"/>
          <w:sz w:val="24"/>
          <w:szCs w:val="24"/>
        </w:rPr>
      </w:pPr>
      <w:bookmarkStart w:id="238" w:name="_Toc48222428"/>
      <w:r>
        <w:rPr>
          <w:rFonts w:hint="eastAsia" w:ascii="宋体" w:hAnsi="宋体" w:eastAsia="宋体" w:cs="宋体"/>
          <w:sz w:val="24"/>
          <w:szCs w:val="24"/>
        </w:rPr>
        <w:t>5.2.1 发包人的质量管理</w:t>
      </w:r>
      <w:bookmarkEnd w:id="238"/>
    </w:p>
    <w:p w14:paraId="6962BB10">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发包人应按照法律规定及合同约定完成与工程质量有关的各项工作。</w:t>
      </w:r>
    </w:p>
    <w:p w14:paraId="672B76F5">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5.2.2 承包人的质量管理</w:t>
      </w:r>
    </w:p>
    <w:p w14:paraId="4A48E2E4">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14:paraId="7C61D216">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承包人应对施工人员进行质量教育和技术培训，定期考核施工人员的劳动技能，严格执行施工规范和操作规程。</w:t>
      </w:r>
    </w:p>
    <w:p w14:paraId="51EC9686">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14:paraId="6AC310ED">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outlineLvl w:val="0"/>
        <w:rPr>
          <w:rFonts w:hint="eastAsia" w:ascii="宋体" w:hAnsi="宋体" w:eastAsia="宋体" w:cs="宋体"/>
          <w:sz w:val="24"/>
          <w:szCs w:val="24"/>
        </w:rPr>
      </w:pPr>
      <w:bookmarkStart w:id="239" w:name="_Toc48222429"/>
      <w:r>
        <w:rPr>
          <w:rFonts w:hint="eastAsia" w:ascii="宋体" w:hAnsi="宋体" w:eastAsia="宋体" w:cs="宋体"/>
          <w:sz w:val="24"/>
          <w:szCs w:val="24"/>
        </w:rPr>
        <w:t>5.2.3 监理人的质量检查和检验</w:t>
      </w:r>
      <w:bookmarkEnd w:id="239"/>
    </w:p>
    <w:p w14:paraId="76EFFF70">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073664BF">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7E7B431E">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240" w:name="_Toc351203535"/>
      <w:r>
        <w:rPr>
          <w:rFonts w:hint="eastAsia" w:ascii="宋体" w:hAnsi="宋体" w:eastAsia="宋体" w:cs="宋体"/>
          <w:bCs/>
          <w:kern w:val="2"/>
          <w:sz w:val="24"/>
          <w:szCs w:val="24"/>
        </w:rPr>
        <w:t>5</w:t>
      </w:r>
      <w:bookmarkStart w:id="241" w:name="_Toc337558761"/>
      <w:r>
        <w:rPr>
          <w:rFonts w:hint="eastAsia" w:ascii="宋体" w:hAnsi="宋体" w:eastAsia="宋体" w:cs="宋体"/>
          <w:bCs/>
          <w:kern w:val="2"/>
          <w:sz w:val="24"/>
          <w:szCs w:val="24"/>
        </w:rPr>
        <w:t>.3 隐蔽工程检查</w:t>
      </w:r>
      <w:bookmarkEnd w:id="240"/>
      <w:bookmarkEnd w:id="241"/>
    </w:p>
    <w:p w14:paraId="1547C921">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5.3.1承包人自检</w:t>
      </w:r>
    </w:p>
    <w:p w14:paraId="2FE7E903">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承包人应当对工程隐蔽部位进行自检，并经自检确认是否具备覆盖条件。</w:t>
      </w:r>
    </w:p>
    <w:p w14:paraId="001685F9">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5.3.2检查程序</w:t>
      </w:r>
    </w:p>
    <w:p w14:paraId="305B773B">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14:paraId="33EE0A1F">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61E499C7">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14:paraId="6E192411">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5.3.3 重新检查</w:t>
      </w:r>
    </w:p>
    <w:p w14:paraId="777EC0FC">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3DF57D8B">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5.3.4 承包人私自覆盖</w:t>
      </w:r>
    </w:p>
    <w:p w14:paraId="7C359080">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sz w:val="24"/>
          <w:szCs w:val="24"/>
        </w:rPr>
        <w:t>承包人未通知监理人到场检查，私自将工程隐蔽部位覆盖的，监理人有权指示承包人钻孔探测或揭开检查，无论工程隐蔽部位质量是否合格，由此增加的费用和（或）延误的工期均由承包人承担。</w:t>
      </w:r>
    </w:p>
    <w:p w14:paraId="1E8EF6EB">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242" w:name="_Toc351203536"/>
      <w:r>
        <w:rPr>
          <w:rFonts w:hint="eastAsia" w:ascii="宋体" w:hAnsi="宋体" w:eastAsia="宋体" w:cs="宋体"/>
          <w:bCs/>
          <w:kern w:val="2"/>
          <w:sz w:val="24"/>
          <w:szCs w:val="24"/>
        </w:rPr>
        <w:t>5</w:t>
      </w:r>
      <w:bookmarkStart w:id="243" w:name="_Toc337558762"/>
      <w:r>
        <w:rPr>
          <w:rFonts w:hint="eastAsia" w:ascii="宋体" w:hAnsi="宋体" w:eastAsia="宋体" w:cs="宋体"/>
          <w:bCs/>
          <w:kern w:val="2"/>
          <w:sz w:val="24"/>
          <w:szCs w:val="24"/>
        </w:rPr>
        <w:t>.4不合格工程的处理</w:t>
      </w:r>
      <w:bookmarkEnd w:id="242"/>
      <w:bookmarkEnd w:id="243"/>
    </w:p>
    <w:p w14:paraId="3C2F0D27">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14:paraId="2A9563B5">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5.4.2 因发包人原因造成工程不合格的，由此增加的费用和（或）延误的工期由发包人承担，并支付承包人合理的利润。</w:t>
      </w:r>
    </w:p>
    <w:p w14:paraId="205B454B">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244" w:name="_Toc351203537"/>
      <w:r>
        <w:rPr>
          <w:rFonts w:hint="eastAsia" w:ascii="宋体" w:hAnsi="宋体" w:eastAsia="宋体" w:cs="宋体"/>
          <w:bCs/>
          <w:kern w:val="2"/>
          <w:sz w:val="24"/>
          <w:szCs w:val="24"/>
        </w:rPr>
        <w:t>5.5 质量争议检测</w:t>
      </w:r>
      <w:bookmarkEnd w:id="244"/>
    </w:p>
    <w:p w14:paraId="321601FE">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合同当事人对工程质量有争议的，由双方协商确定的工程质量检测机构鉴定，由此产生的费用及因此造成的损失，由责任方承担。</w:t>
      </w:r>
    </w:p>
    <w:p w14:paraId="0575BA6A">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合同当事人均有责任的，由双方根据其责任分别承担。合同当事人无法达成一致的，按照第4.4款〔商定或确定〕执行。</w:t>
      </w:r>
    </w:p>
    <w:p w14:paraId="7F2D36BE">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3"/>
        <w:rPr>
          <w:rFonts w:hint="eastAsia" w:ascii="宋体" w:hAnsi="宋体" w:eastAsia="宋体" w:cs="宋体"/>
          <w:kern w:val="2"/>
          <w:sz w:val="24"/>
          <w:szCs w:val="24"/>
        </w:rPr>
      </w:pPr>
      <w:bookmarkStart w:id="245" w:name="_Toc351203538"/>
      <w:r>
        <w:rPr>
          <w:rFonts w:hint="eastAsia" w:ascii="宋体" w:hAnsi="宋体" w:eastAsia="宋体" w:cs="宋体"/>
          <w:kern w:val="2"/>
          <w:sz w:val="24"/>
          <w:szCs w:val="24"/>
        </w:rPr>
        <w:t>6</w:t>
      </w:r>
      <w:bookmarkStart w:id="246" w:name="_Toc337558763"/>
      <w:r>
        <w:rPr>
          <w:rFonts w:hint="eastAsia" w:ascii="宋体" w:hAnsi="宋体" w:eastAsia="宋体" w:cs="宋体"/>
          <w:kern w:val="2"/>
          <w:sz w:val="24"/>
          <w:szCs w:val="24"/>
        </w:rPr>
        <w:t>. 安全文明施工与环境保护</w:t>
      </w:r>
      <w:bookmarkEnd w:id="245"/>
      <w:bookmarkEnd w:id="246"/>
    </w:p>
    <w:p w14:paraId="3F492E88">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247" w:name="_Toc351203539"/>
      <w:r>
        <w:rPr>
          <w:rFonts w:hint="eastAsia" w:ascii="宋体" w:hAnsi="宋体" w:eastAsia="宋体" w:cs="宋体"/>
          <w:bCs/>
          <w:kern w:val="2"/>
          <w:sz w:val="24"/>
          <w:szCs w:val="24"/>
        </w:rPr>
        <w:t>6</w:t>
      </w:r>
      <w:bookmarkStart w:id="248" w:name="_Toc337558764"/>
      <w:r>
        <w:rPr>
          <w:rFonts w:hint="eastAsia" w:ascii="宋体" w:hAnsi="宋体" w:eastAsia="宋体" w:cs="宋体"/>
          <w:bCs/>
          <w:kern w:val="2"/>
          <w:sz w:val="24"/>
          <w:szCs w:val="24"/>
        </w:rPr>
        <w:t>.1安全文明施工</w:t>
      </w:r>
      <w:bookmarkEnd w:id="247"/>
      <w:bookmarkEnd w:id="248"/>
    </w:p>
    <w:p w14:paraId="66DCEC5C">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6.1.1安全生产要求</w:t>
      </w:r>
    </w:p>
    <w:p w14:paraId="2DE294C2">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1348E215">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在施工过程中，如遇到突发的地质变动、事先未知的地下施工障碍等影响施工安全的紧急情况，承包人应及时报告监理人和发包人，发包人应当及时下令停工并报</w:t>
      </w:r>
      <w:r>
        <w:rPr>
          <w:rFonts w:hint="eastAsia" w:ascii="宋体" w:hAnsi="宋体" w:eastAsia="宋体" w:cs="宋体"/>
          <w:sz w:val="24"/>
          <w:szCs w:val="24"/>
        </w:rPr>
        <w:t>政府有关行政管理部门</w:t>
      </w:r>
      <w:r>
        <w:rPr>
          <w:rFonts w:hint="eastAsia" w:ascii="宋体" w:hAnsi="宋体" w:eastAsia="宋体" w:cs="宋体"/>
          <w:kern w:val="2"/>
          <w:sz w:val="24"/>
          <w:szCs w:val="24"/>
        </w:rPr>
        <w:t>采取应急措施。</w:t>
      </w:r>
    </w:p>
    <w:p w14:paraId="75D07F9D">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因安全生产需要暂停施工的，按照第7.8款〔暂停施工〕的约定执行。</w:t>
      </w:r>
    </w:p>
    <w:p w14:paraId="2C9C76A6">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6.1.2 安全生产保证措施</w:t>
      </w:r>
    </w:p>
    <w:p w14:paraId="61E902F9">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kern w:val="2"/>
          <w:sz w:val="24"/>
          <w:szCs w:val="24"/>
        </w:rPr>
        <w:t>承包人应当按照有关</w:t>
      </w:r>
      <w:r>
        <w:rPr>
          <w:rFonts w:hint="eastAsia" w:ascii="宋体" w:hAnsi="宋体" w:eastAsia="宋体" w:cs="宋体"/>
          <w:sz w:val="24"/>
          <w:szCs w:val="24"/>
        </w:rPr>
        <w:t>规定编制安全技术措施或者专项施工方案，</w:t>
      </w:r>
      <w:r>
        <w:rPr>
          <w:rFonts w:hint="eastAsia" w:ascii="宋体" w:hAnsi="宋体" w:eastAsia="宋体" w:cs="宋体"/>
          <w:kern w:val="2"/>
          <w:sz w:val="24"/>
          <w:szCs w:val="24"/>
        </w:rPr>
        <w:t>建立安全生产责任制度、治安保卫制度及安全生产教育培训制度，并</w:t>
      </w:r>
      <w:r>
        <w:rPr>
          <w:rFonts w:hint="eastAsia" w:ascii="宋体" w:hAnsi="宋体" w:eastAsia="宋体" w:cs="宋体"/>
          <w:sz w:val="24"/>
          <w:szCs w:val="24"/>
        </w:rPr>
        <w:t>按安全生产法律规定及合同约定履行安全职责，如实</w:t>
      </w:r>
      <w:r>
        <w:rPr>
          <w:rFonts w:hint="eastAsia" w:ascii="宋体" w:hAnsi="宋体" w:eastAsia="宋体" w:cs="宋体"/>
          <w:kern w:val="2"/>
          <w:sz w:val="24"/>
          <w:szCs w:val="24"/>
        </w:rPr>
        <w:t>编制工程安全生产的有关记录，</w:t>
      </w:r>
      <w:r>
        <w:rPr>
          <w:rFonts w:hint="eastAsia" w:ascii="宋体" w:hAnsi="宋体" w:eastAsia="宋体" w:cs="宋体"/>
          <w:sz w:val="24"/>
          <w:szCs w:val="24"/>
        </w:rPr>
        <w:t>接受发包人、监理人及政府安全监督部门的检查与监督。</w:t>
      </w:r>
    </w:p>
    <w:p w14:paraId="28135313">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6.1.3特别安全生产事项</w:t>
      </w:r>
    </w:p>
    <w:p w14:paraId="08F35DA2">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4E8F3649">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 xml:space="preserve">承包人在动力设备、输电线路、地下管道、密封防震车间、易燃易爆地段以及临街交通要道附近施工时，施工开始前应向发包人和监理人提出安全防护措施，经发包人认可后实施。 </w:t>
      </w:r>
    </w:p>
    <w:p w14:paraId="3532C591">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实施爆破作业，在放射、毒害性环境中施工（含储存、运输、使用）及使用毒害性、腐蚀性物品施工时，承包人应在施工前7天以书面通知发包人和监理人，并报送相应的安全防护措施，经发包人认可后实施。</w:t>
      </w:r>
    </w:p>
    <w:p w14:paraId="7ADC2471">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需单独编制危险性较大分部分项专项工程施工方案的，及要求进行专家论证的超过一定规模的危险性较大的分部分项工程，承包人应及时编制和组织论证。</w:t>
      </w:r>
    </w:p>
    <w:p w14:paraId="70BB5C63">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6.1.4 治安保卫</w:t>
      </w:r>
    </w:p>
    <w:p w14:paraId="540B3809">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除专用合同条款另有约定外，发包人应与当地公安部门协商，在现场建立治安管理机构或联防组织，统一管理施工场地的治安保卫事项，履行合同工程的治安保卫职责。</w:t>
      </w:r>
    </w:p>
    <w:p w14:paraId="07033C00">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发包人和承包人除应协助现场治安管理机构或联防组织维护施工场地的社会治安外，还应做好包括生活区在内的各自管辖区的治安保卫工作。</w:t>
      </w:r>
    </w:p>
    <w:p w14:paraId="0B01BDA0">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14:paraId="571DF65D">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kern w:val="2"/>
          <w:sz w:val="24"/>
          <w:szCs w:val="24"/>
        </w:rPr>
        <w:t>6.1.5 文明施工</w:t>
      </w:r>
    </w:p>
    <w:p w14:paraId="3D6268A5">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承包人在工程施工期间，应当采取措施保持施工现场平整，物料堆放整齐。工程所在地有关政府行政管理部门有特殊要求的，按照其要求执行。合同当事人对文明施工有其他要求的，可以在专用合同条款中明确。</w:t>
      </w:r>
    </w:p>
    <w:p w14:paraId="0678CF40">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46A34AC6">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6.1.6 安全文明施工费</w:t>
      </w:r>
    </w:p>
    <w:p w14:paraId="4F0B73A0">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安全文明施工费由发包人承担，发包人不得以任何形式扣减该部分费用。因基准日期后合同所适用的法律或政府有关规定发生变化，增加的安全文明施工费由发包人承担。</w:t>
      </w:r>
    </w:p>
    <w:p w14:paraId="3997148B">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16FE1B9B">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14:paraId="6D70D26F">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14F8A9D5">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6.1.7 紧急情况处理</w:t>
      </w:r>
    </w:p>
    <w:p w14:paraId="2A9139C1">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1B549488">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6.1.8 事故处理</w:t>
      </w:r>
    </w:p>
    <w:p w14:paraId="079DE586">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3474A05D">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6.1.9 安全生产责任</w:t>
      </w:r>
    </w:p>
    <w:p w14:paraId="75F4864B">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6.1.9.1 发包人的安全责任</w:t>
      </w:r>
    </w:p>
    <w:p w14:paraId="7C4E8E7D">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发包人应负责赔偿以下各种情况造成的损失：</w:t>
      </w:r>
    </w:p>
    <w:p w14:paraId="0B9BFE0F">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（1）工程或工程的任何部分对土地的占用所造成的第三者财产损失；</w:t>
      </w:r>
    </w:p>
    <w:p w14:paraId="2348197D">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（2）由于发包人原因在施工场地及其毗邻地带造成的第三者人身伤亡和财产损失；</w:t>
      </w:r>
    </w:p>
    <w:p w14:paraId="00C7A8FC">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（3）由于发包人原因对承包人、监理人造成的人员人身伤亡和财产损失；</w:t>
      </w:r>
    </w:p>
    <w:p w14:paraId="5139CCBB">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（4）由于发包人原因造成的发包人自身人员的人身伤害以及财产损失。</w:t>
      </w:r>
    </w:p>
    <w:p w14:paraId="1FBBF610">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6.1.9.2 承包人的安全责任</w:t>
      </w:r>
    </w:p>
    <w:p w14:paraId="26381FD4">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kern w:val="2"/>
          <w:sz w:val="24"/>
          <w:szCs w:val="24"/>
        </w:rPr>
        <w:t>由于承包人原因在施工场地内及其毗邻地带造成的发包人、监理人以及第三者人员伤亡和财产损失，由承包人负责赔偿。</w:t>
      </w:r>
    </w:p>
    <w:p w14:paraId="69E2C518">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249" w:name="_Toc351203540"/>
      <w:r>
        <w:rPr>
          <w:rFonts w:hint="eastAsia" w:ascii="宋体" w:hAnsi="宋体" w:eastAsia="宋体" w:cs="宋体"/>
          <w:bCs/>
          <w:kern w:val="2"/>
          <w:sz w:val="24"/>
          <w:szCs w:val="24"/>
        </w:rPr>
        <w:t>6</w:t>
      </w:r>
      <w:bookmarkStart w:id="250" w:name="_Toc337558765"/>
      <w:r>
        <w:rPr>
          <w:rFonts w:hint="eastAsia" w:ascii="宋体" w:hAnsi="宋体" w:eastAsia="宋体" w:cs="宋体"/>
          <w:bCs/>
          <w:kern w:val="2"/>
          <w:sz w:val="24"/>
          <w:szCs w:val="24"/>
        </w:rPr>
        <w:t>.2 职业健康</w:t>
      </w:r>
      <w:bookmarkEnd w:id="249"/>
      <w:bookmarkEnd w:id="250"/>
    </w:p>
    <w:p w14:paraId="1C6DF628">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6.2.1 劳动保护</w:t>
      </w:r>
    </w:p>
    <w:p w14:paraId="1AD7EC10">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1C402C3D">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681F26B9">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承包人应按法律规定安排工作时间，保证其雇佣人员享有休息和休假的权利。因工程施工的特殊需要占用休假日或延长工作时间的，应不超过法律规定的限度，并按法律规定给予补休或付酬。</w:t>
      </w:r>
    </w:p>
    <w:p w14:paraId="6443B831">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6.2.2 生活条件</w:t>
      </w:r>
    </w:p>
    <w:p w14:paraId="1A50F716">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14:paraId="34391FDE">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251" w:name="_Toc351203541"/>
      <w:r>
        <w:rPr>
          <w:rFonts w:hint="eastAsia" w:ascii="宋体" w:hAnsi="宋体" w:eastAsia="宋体" w:cs="宋体"/>
          <w:bCs/>
          <w:kern w:val="2"/>
          <w:sz w:val="24"/>
          <w:szCs w:val="24"/>
        </w:rPr>
        <w:t>6</w:t>
      </w:r>
      <w:bookmarkStart w:id="252" w:name="_Toc337558766"/>
      <w:r>
        <w:rPr>
          <w:rFonts w:hint="eastAsia" w:ascii="宋体" w:hAnsi="宋体" w:eastAsia="宋体" w:cs="宋体"/>
          <w:bCs/>
          <w:kern w:val="2"/>
          <w:sz w:val="24"/>
          <w:szCs w:val="24"/>
        </w:rPr>
        <w:t>.3 环境保护</w:t>
      </w:r>
      <w:bookmarkEnd w:id="251"/>
      <w:bookmarkEnd w:id="252"/>
    </w:p>
    <w:p w14:paraId="27298BD1">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05F00116">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承包人应当承担因其原因引起的环境污染侵权损害赔偿责任，因上述环境污染引起纠纷而导致暂停施工的，由此增加的费用和（或）延误的工期由承包人承担。</w:t>
      </w:r>
    </w:p>
    <w:p w14:paraId="202CAF57">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3"/>
        <w:rPr>
          <w:rFonts w:hint="eastAsia" w:ascii="宋体" w:hAnsi="宋体" w:eastAsia="宋体" w:cs="宋体"/>
          <w:kern w:val="2"/>
          <w:sz w:val="24"/>
          <w:szCs w:val="24"/>
        </w:rPr>
      </w:pPr>
      <w:bookmarkStart w:id="253" w:name="_Toc351203542"/>
      <w:r>
        <w:rPr>
          <w:rFonts w:hint="eastAsia" w:ascii="宋体" w:hAnsi="宋体" w:eastAsia="宋体" w:cs="宋体"/>
          <w:kern w:val="2"/>
          <w:sz w:val="24"/>
          <w:szCs w:val="24"/>
        </w:rPr>
        <w:t>7</w:t>
      </w:r>
      <w:bookmarkStart w:id="254" w:name="_Toc337558767"/>
      <w:r>
        <w:rPr>
          <w:rFonts w:hint="eastAsia" w:ascii="宋体" w:hAnsi="宋体" w:eastAsia="宋体" w:cs="宋体"/>
          <w:kern w:val="2"/>
          <w:sz w:val="24"/>
          <w:szCs w:val="24"/>
        </w:rPr>
        <w:t>. 工期和进度</w:t>
      </w:r>
      <w:bookmarkEnd w:id="253"/>
      <w:bookmarkEnd w:id="254"/>
    </w:p>
    <w:p w14:paraId="1EDC104D">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255" w:name="_Toc351203543"/>
      <w:r>
        <w:rPr>
          <w:rFonts w:hint="eastAsia" w:ascii="宋体" w:hAnsi="宋体" w:eastAsia="宋体" w:cs="宋体"/>
          <w:bCs/>
          <w:kern w:val="2"/>
          <w:sz w:val="24"/>
          <w:szCs w:val="24"/>
        </w:rPr>
        <w:t>7</w:t>
      </w:r>
      <w:bookmarkStart w:id="256" w:name="_Toc337558768"/>
      <w:bookmarkStart w:id="257" w:name="_Toc296503066"/>
      <w:bookmarkStart w:id="258" w:name="_Toc296346567"/>
      <w:r>
        <w:rPr>
          <w:rFonts w:hint="eastAsia" w:ascii="宋体" w:hAnsi="宋体" w:eastAsia="宋体" w:cs="宋体"/>
          <w:bCs/>
          <w:kern w:val="2"/>
          <w:sz w:val="24"/>
          <w:szCs w:val="24"/>
        </w:rPr>
        <w:t>.1施工组织设计</w:t>
      </w:r>
      <w:bookmarkEnd w:id="255"/>
      <w:bookmarkEnd w:id="256"/>
    </w:p>
    <w:p w14:paraId="2F9FCA4A">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kern w:val="2"/>
          <w:sz w:val="24"/>
          <w:szCs w:val="24"/>
        </w:rPr>
        <w:t xml:space="preserve">7.1.1 </w:t>
      </w:r>
      <w:r>
        <w:rPr>
          <w:rFonts w:hint="eastAsia" w:ascii="宋体" w:hAnsi="宋体" w:eastAsia="宋体" w:cs="宋体"/>
          <w:sz w:val="24"/>
          <w:szCs w:val="24"/>
        </w:rPr>
        <w:t>施工组织设计的内容</w:t>
      </w:r>
    </w:p>
    <w:p w14:paraId="5FDF32AD">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施工组织设计应包含以下内容：</w:t>
      </w:r>
    </w:p>
    <w:p w14:paraId="6B0F50B2">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（1）施工方案； </w:t>
      </w:r>
    </w:p>
    <w:p w14:paraId="7E7F7C42">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（2）施工现场平面布置图；</w:t>
      </w:r>
    </w:p>
    <w:p w14:paraId="20AF4D19">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（3）施工进度计划和保证措施； </w:t>
      </w:r>
    </w:p>
    <w:p w14:paraId="45D28EE4">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（4）劳动力及材料供应计划；</w:t>
      </w:r>
    </w:p>
    <w:p w14:paraId="333F8ABE">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（5）施工机械设备的选用；</w:t>
      </w:r>
    </w:p>
    <w:p w14:paraId="256C196D">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（6）质量保证体系及措施；</w:t>
      </w:r>
    </w:p>
    <w:p w14:paraId="351FA439">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（7）安全生产、文明施工措施；</w:t>
      </w:r>
    </w:p>
    <w:p w14:paraId="4BE6D0D4">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（8）环境保护、成本控制措施；</w:t>
      </w:r>
    </w:p>
    <w:p w14:paraId="0C05234B">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（9）合同当事人约定的其他内容。</w:t>
      </w:r>
    </w:p>
    <w:p w14:paraId="2EF6EF44">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kern w:val="2"/>
          <w:sz w:val="24"/>
          <w:szCs w:val="24"/>
        </w:rPr>
        <w:t xml:space="preserve">7.1.2 </w:t>
      </w:r>
      <w:r>
        <w:rPr>
          <w:rFonts w:hint="eastAsia" w:ascii="宋体" w:hAnsi="宋体" w:eastAsia="宋体" w:cs="宋体"/>
          <w:sz w:val="24"/>
          <w:szCs w:val="24"/>
        </w:rPr>
        <w:t>施工组织设计的提交和修改</w:t>
      </w:r>
    </w:p>
    <w:p w14:paraId="055EC822">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14:paraId="54C6B031">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施工进度计划的编制和修改按照第7.2款〔施工进度计划〕执行。</w:t>
      </w:r>
    </w:p>
    <w:p w14:paraId="033F2D29">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259" w:name="_Toc351203544"/>
      <w:r>
        <w:rPr>
          <w:rFonts w:hint="eastAsia" w:ascii="宋体" w:hAnsi="宋体" w:eastAsia="宋体" w:cs="宋体"/>
          <w:bCs/>
          <w:kern w:val="2"/>
          <w:sz w:val="24"/>
          <w:szCs w:val="24"/>
        </w:rPr>
        <w:t>7</w:t>
      </w:r>
      <w:bookmarkStart w:id="260" w:name="_Toc337558769"/>
      <w:r>
        <w:rPr>
          <w:rFonts w:hint="eastAsia" w:ascii="宋体" w:hAnsi="宋体" w:eastAsia="宋体" w:cs="宋体"/>
          <w:bCs/>
          <w:kern w:val="2"/>
          <w:sz w:val="24"/>
          <w:szCs w:val="24"/>
        </w:rPr>
        <w:t>.2 施工进度计划</w:t>
      </w:r>
      <w:bookmarkEnd w:id="259"/>
      <w:bookmarkEnd w:id="260"/>
    </w:p>
    <w:p w14:paraId="4B07CA9D">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7.2.1 施工进度计划的编制</w:t>
      </w:r>
    </w:p>
    <w:p w14:paraId="2AD62AF3">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6729A190">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kern w:val="2"/>
          <w:sz w:val="24"/>
          <w:szCs w:val="24"/>
        </w:rPr>
        <w:t>7.2.2 施工进度计划的修订</w:t>
      </w:r>
    </w:p>
    <w:p w14:paraId="736EF967">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40B4DF6A">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261" w:name="_Toc351203545"/>
      <w:r>
        <w:rPr>
          <w:rFonts w:hint="eastAsia" w:ascii="宋体" w:hAnsi="宋体" w:eastAsia="宋体" w:cs="宋体"/>
          <w:bCs/>
          <w:kern w:val="2"/>
          <w:sz w:val="24"/>
          <w:szCs w:val="24"/>
        </w:rPr>
        <w:t>7</w:t>
      </w:r>
      <w:bookmarkStart w:id="262" w:name="_Toc337558770"/>
      <w:r>
        <w:rPr>
          <w:rFonts w:hint="eastAsia" w:ascii="宋体" w:hAnsi="宋体" w:eastAsia="宋体" w:cs="宋体"/>
          <w:bCs/>
          <w:kern w:val="2"/>
          <w:sz w:val="24"/>
          <w:szCs w:val="24"/>
        </w:rPr>
        <w:t>.3 开工</w:t>
      </w:r>
      <w:bookmarkEnd w:id="261"/>
    </w:p>
    <w:p w14:paraId="74E2E568">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sz w:val="24"/>
          <w:szCs w:val="24"/>
        </w:rPr>
        <w:t>7.3.1 开工准备</w:t>
      </w:r>
    </w:p>
    <w:p w14:paraId="1B9134C0">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582BCA96">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除专用合同条款另有约定外，合同当事人应按约定完成开工准备工作。</w:t>
      </w:r>
    </w:p>
    <w:p w14:paraId="7EF77B1E">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7.3.2 开工通知</w:t>
      </w:r>
      <w:bookmarkEnd w:id="262"/>
    </w:p>
    <w:p w14:paraId="04AFEB43">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439AE519">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749B88CA">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263" w:name="_Toc351203546"/>
      <w:r>
        <w:rPr>
          <w:rFonts w:hint="eastAsia" w:ascii="宋体" w:hAnsi="宋体" w:eastAsia="宋体" w:cs="宋体"/>
          <w:bCs/>
          <w:kern w:val="2"/>
          <w:sz w:val="24"/>
          <w:szCs w:val="24"/>
        </w:rPr>
        <w:t>7.4测量放线</w:t>
      </w:r>
      <w:bookmarkEnd w:id="263"/>
    </w:p>
    <w:p w14:paraId="4F3B7A98">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14:paraId="76782EF0">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77AC5D41">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7.4.2 承包人负责施工过程中的全部施工测量放线工作，并配置具有相应资质的人员、合格的仪器、设备和其他物品。承包人应矫正工程的位置、标高、尺寸或准线中出现的任何差错，并对工程各部分的定位负责。</w:t>
      </w:r>
    </w:p>
    <w:p w14:paraId="5BF95439">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施工过程中对施工现场内水准点等测量标志物的保护工作由承包人负责。</w:t>
      </w:r>
      <w:bookmarkStart w:id="264" w:name="_Toc351203547"/>
    </w:p>
    <w:p w14:paraId="446EAB55">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r>
        <w:rPr>
          <w:rFonts w:hint="eastAsia" w:ascii="宋体" w:hAnsi="宋体" w:eastAsia="宋体" w:cs="宋体"/>
          <w:bCs/>
          <w:kern w:val="2"/>
          <w:sz w:val="24"/>
          <w:szCs w:val="24"/>
        </w:rPr>
        <w:t>7</w:t>
      </w:r>
      <w:bookmarkEnd w:id="257"/>
      <w:bookmarkEnd w:id="258"/>
      <w:bookmarkStart w:id="265" w:name="_Toc296503073"/>
      <w:bookmarkStart w:id="266" w:name="_Toc296346574"/>
      <w:bookmarkStart w:id="267" w:name="_Toc337558772"/>
      <w:r>
        <w:rPr>
          <w:rFonts w:hint="eastAsia" w:ascii="宋体" w:hAnsi="宋体" w:eastAsia="宋体" w:cs="宋体"/>
          <w:bCs/>
          <w:kern w:val="2"/>
          <w:sz w:val="24"/>
          <w:szCs w:val="24"/>
        </w:rPr>
        <w:t>.5 工期延误</w:t>
      </w:r>
      <w:bookmarkEnd w:id="264"/>
      <w:bookmarkEnd w:id="265"/>
      <w:bookmarkEnd w:id="266"/>
      <w:bookmarkEnd w:id="267"/>
    </w:p>
    <w:p w14:paraId="0E7547FD">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7.5.1 因发包人原因导致工期延误</w:t>
      </w:r>
    </w:p>
    <w:p w14:paraId="44B2EB19">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在合同履行过程中，因下列情况导致工期延误和（或）费用增加的，由发包人承担由此延误的工期和（或）增加的费用，且发包人应支付承包人合理的利润： </w:t>
      </w:r>
    </w:p>
    <w:p w14:paraId="5932F0BE">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（1）发包人未能按合同约定提供图纸或所提供图纸不符合合同约定的；</w:t>
      </w:r>
    </w:p>
    <w:p w14:paraId="1A5B68FA">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（2）发包人未能按合同约定提供施工现场、施工条件、基础资料、许可、批准等开工条件的；</w:t>
      </w:r>
    </w:p>
    <w:p w14:paraId="00FF3C16">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（3）发包人提供的测量基准点、基准线和水准点及其书面资料存在错误或疏漏的；</w:t>
      </w:r>
    </w:p>
    <w:p w14:paraId="093BF613">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（4）发包人未能在计划开工日期之日起7天内同意下达开工通知的；</w:t>
      </w:r>
    </w:p>
    <w:p w14:paraId="031EB536">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（5）发包人未能按合同约定日期支付工程预付款、进度款或竣工结算款的；</w:t>
      </w:r>
    </w:p>
    <w:p w14:paraId="50C44595">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（6）监理人未按合同约定发出指示、批准等文件的；</w:t>
      </w:r>
    </w:p>
    <w:p w14:paraId="4ACC0B96">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（7）专用合同条款中约定的其他情形。</w:t>
      </w:r>
    </w:p>
    <w:p w14:paraId="5747FB27">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14:paraId="637D371E">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sz w:val="24"/>
          <w:szCs w:val="24"/>
        </w:rPr>
        <w:t>7.5.2 因承包人原因导致工期延误</w:t>
      </w:r>
    </w:p>
    <w:p w14:paraId="2A75FFE9">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bookmarkStart w:id="268" w:name="_Toc296503076"/>
      <w:bookmarkStart w:id="269" w:name="_Toc296346577"/>
      <w:r>
        <w:rPr>
          <w:rFonts w:hint="eastAsia" w:ascii="宋体" w:hAnsi="宋体" w:eastAsia="宋体" w:cs="宋体"/>
          <w:sz w:val="24"/>
          <w:szCs w:val="24"/>
        </w:rPr>
        <w:t>因</w:t>
      </w:r>
      <w:bookmarkEnd w:id="268"/>
      <w:bookmarkEnd w:id="269"/>
      <w:r>
        <w:rPr>
          <w:rFonts w:hint="eastAsia" w:ascii="宋体" w:hAnsi="宋体" w:eastAsia="宋体" w:cs="宋体"/>
          <w:sz w:val="24"/>
          <w:szCs w:val="24"/>
        </w:rPr>
        <w:t>承包人原因造成工期延误的，可以在专用合同条款中约定逾期竣工违约金的计算方法和逾期竣工违约金的上限。承包人支付逾期竣工违约金后，不免除承包人继续完成工程及修补缺陷的义务。</w:t>
      </w:r>
    </w:p>
    <w:p w14:paraId="04722CBB">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270" w:name="_Toc351203548"/>
      <w:r>
        <w:rPr>
          <w:rFonts w:hint="eastAsia" w:ascii="宋体" w:hAnsi="宋体" w:eastAsia="宋体" w:cs="宋体"/>
          <w:bCs/>
          <w:kern w:val="2"/>
          <w:sz w:val="24"/>
          <w:szCs w:val="24"/>
        </w:rPr>
        <w:t>7</w:t>
      </w:r>
      <w:bookmarkStart w:id="271" w:name="_Toc337558773"/>
      <w:bookmarkStart w:id="272" w:name="_Toc296503074"/>
      <w:bookmarkStart w:id="273" w:name="_Toc296346575"/>
      <w:bookmarkStart w:id="274" w:name="_Toc296503077"/>
      <w:bookmarkStart w:id="275" w:name="_Toc296346578"/>
      <w:r>
        <w:rPr>
          <w:rFonts w:hint="eastAsia" w:ascii="宋体" w:hAnsi="宋体" w:eastAsia="宋体" w:cs="宋体"/>
          <w:bCs/>
          <w:kern w:val="2"/>
          <w:sz w:val="24"/>
          <w:szCs w:val="24"/>
        </w:rPr>
        <w:t>.6 不利物质条件</w:t>
      </w:r>
      <w:bookmarkEnd w:id="270"/>
      <w:bookmarkEnd w:id="271"/>
      <w:bookmarkEnd w:id="272"/>
      <w:bookmarkEnd w:id="273"/>
    </w:p>
    <w:p w14:paraId="133251E2">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2B65F7F0">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14:paraId="7CD82714">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276" w:name="_Toc351203549"/>
      <w:r>
        <w:rPr>
          <w:rFonts w:hint="eastAsia" w:ascii="宋体" w:hAnsi="宋体" w:eastAsia="宋体" w:cs="宋体"/>
          <w:bCs/>
          <w:kern w:val="2"/>
          <w:sz w:val="24"/>
          <w:szCs w:val="24"/>
        </w:rPr>
        <w:t>7</w:t>
      </w:r>
      <w:bookmarkStart w:id="277" w:name="_Toc296503075"/>
      <w:bookmarkStart w:id="278" w:name="_Toc296346576"/>
      <w:bookmarkStart w:id="279" w:name="_Toc337558774"/>
      <w:r>
        <w:rPr>
          <w:rFonts w:hint="eastAsia" w:ascii="宋体" w:hAnsi="宋体" w:eastAsia="宋体" w:cs="宋体"/>
          <w:bCs/>
          <w:kern w:val="2"/>
          <w:sz w:val="24"/>
          <w:szCs w:val="24"/>
        </w:rPr>
        <w:t>.7 异常恶劣的气候条件</w:t>
      </w:r>
      <w:bookmarkEnd w:id="276"/>
      <w:bookmarkEnd w:id="277"/>
      <w:bookmarkEnd w:id="278"/>
      <w:bookmarkEnd w:id="279"/>
    </w:p>
    <w:p w14:paraId="1AA84858">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78663CE5">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80" w:name="_Toc351203550"/>
    </w:p>
    <w:p w14:paraId="3706F546">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outlineLvl w:val="0"/>
        <w:rPr>
          <w:rFonts w:hint="eastAsia" w:ascii="宋体" w:hAnsi="宋体" w:eastAsia="宋体" w:cs="宋体"/>
          <w:bCs/>
          <w:kern w:val="2"/>
          <w:sz w:val="24"/>
          <w:szCs w:val="24"/>
        </w:rPr>
      </w:pPr>
      <w:bookmarkStart w:id="281" w:name="_Toc48222430"/>
      <w:r>
        <w:rPr>
          <w:rFonts w:hint="eastAsia" w:ascii="宋体" w:hAnsi="宋体" w:eastAsia="宋体" w:cs="宋体"/>
          <w:bCs/>
          <w:kern w:val="2"/>
          <w:sz w:val="24"/>
          <w:szCs w:val="24"/>
        </w:rPr>
        <w:t>7</w:t>
      </w:r>
      <w:bookmarkStart w:id="282" w:name="_Toc337558775"/>
      <w:r>
        <w:rPr>
          <w:rFonts w:hint="eastAsia" w:ascii="宋体" w:hAnsi="宋体" w:eastAsia="宋体" w:cs="宋体"/>
          <w:bCs/>
          <w:kern w:val="2"/>
          <w:sz w:val="24"/>
          <w:szCs w:val="24"/>
        </w:rPr>
        <w:t>.8 暂停施工</w:t>
      </w:r>
      <w:bookmarkEnd w:id="274"/>
      <w:bookmarkEnd w:id="275"/>
      <w:bookmarkEnd w:id="280"/>
      <w:bookmarkEnd w:id="281"/>
      <w:bookmarkEnd w:id="282"/>
    </w:p>
    <w:p w14:paraId="57D10066">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7.8.1发包人原因引起的暂停施工</w:t>
      </w:r>
    </w:p>
    <w:p w14:paraId="03AE7DE3">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因发包人原因引起暂停施工的，监理人经发包人同意后，应及时下达暂停施工指示。情况紧急且监理人未及时下达暂停施工指示的，按照第7.8.4项〔紧急情况下的暂停施工〕执行。</w:t>
      </w:r>
    </w:p>
    <w:p w14:paraId="0D896BD9">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因发包人原因引起的暂停施工，发包人应承担由此增加的费用和（或）延误的工期，并支付承包人合理的利润。</w:t>
      </w:r>
    </w:p>
    <w:p w14:paraId="28101F1A">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7.8.2 承包人原因引起的暂停施工</w:t>
      </w:r>
    </w:p>
    <w:p w14:paraId="797655C7">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14:paraId="2FDBA696">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7.8.3 指示暂停施工</w:t>
      </w:r>
    </w:p>
    <w:p w14:paraId="0EF027A3">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监理人认为有必要时，并经发包人批准后，可向承包人作出暂停施工的指示，承包人应按监理人指示暂停施工。</w:t>
      </w:r>
    </w:p>
    <w:p w14:paraId="1FC43865">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7.8.4 紧急情况下的暂停施工</w:t>
      </w:r>
    </w:p>
    <w:p w14:paraId="5A8D972A">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14:paraId="2ADE0BE4">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7.8.5 暂停施工后的复工</w:t>
      </w:r>
    </w:p>
    <w:p w14:paraId="2E1BC9D0">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2A19B520">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承包人无故拖延和拒绝复工的，承包人承担由此增加的费用和（或）延误的工期；因发包人原因无法按时复工的，按照第7.5.1项〔因发包人原因导致工期延误〕约定办理。</w:t>
      </w:r>
    </w:p>
    <w:p w14:paraId="7A66172B">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7.8.6 暂停施工持续56天以上</w:t>
      </w:r>
    </w:p>
    <w:p w14:paraId="509F9656">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14:paraId="7CF9D92D">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14:paraId="7E495CB2">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7.8.7 暂停施工期间的工程照管</w:t>
      </w:r>
    </w:p>
    <w:p w14:paraId="39B432AE">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暂停施工期间，承包人应负责妥善照管工程并提供安全保障，由此增加的费用由责任方承担。</w:t>
      </w:r>
    </w:p>
    <w:p w14:paraId="71EFA578">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7.8.8 暂停施工的措施</w:t>
      </w:r>
    </w:p>
    <w:p w14:paraId="4EC47D2E">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暂停施工期间，发包人和承包人均应采取必要的措施确保工程质量及安全，防止因暂停施工扩大损失。</w:t>
      </w:r>
    </w:p>
    <w:p w14:paraId="54FC4393">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283" w:name="_Toc351203551"/>
      <w:r>
        <w:rPr>
          <w:rFonts w:hint="eastAsia" w:ascii="宋体" w:hAnsi="宋体" w:eastAsia="宋体" w:cs="宋体"/>
          <w:bCs/>
          <w:kern w:val="2"/>
          <w:sz w:val="24"/>
          <w:szCs w:val="24"/>
        </w:rPr>
        <w:t>7.9提前竣工</w:t>
      </w:r>
      <w:bookmarkEnd w:id="283"/>
    </w:p>
    <w:p w14:paraId="198428E6">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14:paraId="4905C256">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7.9.2 发包人要求承包人提前竣工，或承包人提出提前竣工的建议能够给发包人带来效益的，合同当事人可以在专用合同条款中约定提前竣工的奖励。</w:t>
      </w:r>
    </w:p>
    <w:p w14:paraId="11FD4EBA">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3"/>
        <w:rPr>
          <w:rFonts w:hint="eastAsia" w:ascii="宋体" w:hAnsi="宋体" w:eastAsia="宋体" w:cs="宋体"/>
          <w:kern w:val="2"/>
          <w:sz w:val="24"/>
          <w:szCs w:val="24"/>
        </w:rPr>
      </w:pPr>
      <w:bookmarkStart w:id="284" w:name="_Toc351203552"/>
      <w:r>
        <w:rPr>
          <w:rFonts w:hint="eastAsia" w:ascii="宋体" w:hAnsi="宋体" w:eastAsia="宋体" w:cs="宋体"/>
          <w:kern w:val="2"/>
          <w:sz w:val="24"/>
          <w:szCs w:val="24"/>
        </w:rPr>
        <w:t>8</w:t>
      </w:r>
      <w:bookmarkStart w:id="285" w:name="_Toc337558776"/>
      <w:bookmarkStart w:id="286" w:name="_Toc296503058"/>
      <w:bookmarkStart w:id="287" w:name="_Toc296346559"/>
      <w:r>
        <w:rPr>
          <w:rFonts w:hint="eastAsia" w:ascii="宋体" w:hAnsi="宋体" w:eastAsia="宋体" w:cs="宋体"/>
          <w:kern w:val="2"/>
          <w:sz w:val="24"/>
          <w:szCs w:val="24"/>
        </w:rPr>
        <w:t>. 材料与设备</w:t>
      </w:r>
      <w:bookmarkEnd w:id="284"/>
      <w:bookmarkEnd w:id="285"/>
      <w:bookmarkEnd w:id="286"/>
      <w:bookmarkEnd w:id="287"/>
    </w:p>
    <w:p w14:paraId="3239F812">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288" w:name="_Toc351203553"/>
      <w:r>
        <w:rPr>
          <w:rFonts w:hint="eastAsia" w:ascii="宋体" w:hAnsi="宋体" w:eastAsia="宋体" w:cs="宋体"/>
          <w:bCs/>
          <w:kern w:val="2"/>
          <w:sz w:val="24"/>
          <w:szCs w:val="24"/>
        </w:rPr>
        <w:t>8</w:t>
      </w:r>
      <w:bookmarkStart w:id="289" w:name="_Toc296346560"/>
      <w:bookmarkStart w:id="290" w:name="_Toc296503059"/>
      <w:bookmarkStart w:id="291" w:name="_Toc337558777"/>
      <w:bookmarkStart w:id="292" w:name="_Toc468936960"/>
      <w:r>
        <w:rPr>
          <w:rFonts w:hint="eastAsia" w:ascii="宋体" w:hAnsi="宋体" w:eastAsia="宋体" w:cs="宋体"/>
          <w:bCs/>
          <w:kern w:val="2"/>
          <w:sz w:val="24"/>
          <w:szCs w:val="24"/>
        </w:rPr>
        <w:t>.1发包人供应材料与工程设备</w:t>
      </w:r>
      <w:bookmarkEnd w:id="288"/>
      <w:bookmarkEnd w:id="289"/>
      <w:bookmarkEnd w:id="290"/>
      <w:bookmarkEnd w:id="291"/>
    </w:p>
    <w:p w14:paraId="77C21E3A">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发包人自行供应材料、工程设备的，应在签订合同时在专用合同条款的附件《发包人供应材料设备一览表》中明确材料、工程设备的品种、规格、型号、数量、单价、质量等级和送达地点。</w:t>
      </w:r>
    </w:p>
    <w:p w14:paraId="5EB3D0B4">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14:paraId="402FC1C7">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
          <w:bCs/>
          <w:kern w:val="2"/>
          <w:sz w:val="24"/>
          <w:szCs w:val="24"/>
        </w:rPr>
      </w:pPr>
      <w:bookmarkStart w:id="293" w:name="_Toc351203554"/>
      <w:r>
        <w:rPr>
          <w:rFonts w:hint="eastAsia" w:ascii="宋体" w:hAnsi="宋体" w:eastAsia="宋体" w:cs="宋体"/>
          <w:bCs/>
          <w:kern w:val="2"/>
          <w:sz w:val="24"/>
          <w:szCs w:val="24"/>
        </w:rPr>
        <w:t>8</w:t>
      </w:r>
      <w:bookmarkStart w:id="294" w:name="_Toc296346561"/>
      <w:bookmarkStart w:id="295" w:name="_Toc296503060"/>
      <w:bookmarkStart w:id="296" w:name="_Toc337558778"/>
      <w:r>
        <w:rPr>
          <w:rFonts w:hint="eastAsia" w:ascii="宋体" w:hAnsi="宋体" w:eastAsia="宋体" w:cs="宋体"/>
          <w:bCs/>
          <w:kern w:val="2"/>
          <w:sz w:val="24"/>
          <w:szCs w:val="24"/>
        </w:rPr>
        <w:t>.2承包人采购材料与工程设备</w:t>
      </w:r>
      <w:bookmarkEnd w:id="293"/>
      <w:bookmarkEnd w:id="294"/>
      <w:bookmarkEnd w:id="295"/>
      <w:bookmarkEnd w:id="296"/>
    </w:p>
    <w:p w14:paraId="3CB5C245">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14:paraId="20AEF026">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297" w:name="_Toc351203555"/>
      <w:r>
        <w:rPr>
          <w:rFonts w:hint="eastAsia" w:ascii="宋体" w:hAnsi="宋体" w:eastAsia="宋体" w:cs="宋体"/>
          <w:bCs/>
          <w:kern w:val="2"/>
          <w:sz w:val="24"/>
          <w:szCs w:val="24"/>
        </w:rPr>
        <w:t>8</w:t>
      </w:r>
      <w:bookmarkStart w:id="298" w:name="_Toc296503061"/>
      <w:bookmarkStart w:id="299" w:name="_Toc337558779"/>
      <w:bookmarkStart w:id="300" w:name="_Toc296346562"/>
      <w:r>
        <w:rPr>
          <w:rFonts w:hint="eastAsia" w:ascii="宋体" w:hAnsi="宋体" w:eastAsia="宋体" w:cs="宋体"/>
          <w:bCs/>
          <w:kern w:val="2"/>
          <w:sz w:val="24"/>
          <w:szCs w:val="24"/>
        </w:rPr>
        <w:t>.3材料与工程设备的接收与拒收</w:t>
      </w:r>
      <w:bookmarkEnd w:id="297"/>
      <w:bookmarkEnd w:id="298"/>
      <w:bookmarkEnd w:id="299"/>
      <w:bookmarkEnd w:id="300"/>
    </w:p>
    <w:p w14:paraId="77CB496B">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7A1F5835">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发包人提供的材料和工程设备的规格、数量或质量不符合合同约定的，或因发包人原因导致交货日期延误或交货地点变更等情况的，按照第16.1款〔发包人违约〕约定办理。</w:t>
      </w:r>
    </w:p>
    <w:p w14:paraId="6E891CCA">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8.3.2 承包人采购的材料和工程设备，应保证产品质量合格，承包人应在材料和工程设备到货前24小时通知监理人检验。承</w:t>
      </w:r>
      <w:bookmarkStart w:id="301" w:name="_Toc250655469"/>
      <w:r>
        <w:rPr>
          <w:rFonts w:hint="eastAsia" w:ascii="宋体" w:hAnsi="宋体" w:eastAsia="宋体" w:cs="宋体"/>
          <w:sz w:val="24"/>
          <w:szCs w:val="24"/>
        </w:rPr>
        <w:t>包人进行永久设备、材料的制造和生产的，应符合相关质量标准，并向监理人提交材料的样本以及有关资料，并应在使用该材料或工程设备之前获得监理人同意。</w:t>
      </w:r>
      <w:bookmarkEnd w:id="301"/>
    </w:p>
    <w:p w14:paraId="5B773127">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18054426">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302" w:name="_Toc351203556"/>
      <w:r>
        <w:rPr>
          <w:rFonts w:hint="eastAsia" w:ascii="宋体" w:hAnsi="宋体" w:eastAsia="宋体" w:cs="宋体"/>
          <w:bCs/>
          <w:kern w:val="2"/>
          <w:sz w:val="24"/>
          <w:szCs w:val="24"/>
        </w:rPr>
        <w:t>8</w:t>
      </w:r>
      <w:bookmarkStart w:id="303" w:name="_Toc337558780"/>
      <w:bookmarkStart w:id="304" w:name="_Toc296346563"/>
      <w:bookmarkStart w:id="305" w:name="_Toc296503062"/>
      <w:r>
        <w:rPr>
          <w:rFonts w:hint="eastAsia" w:ascii="宋体" w:hAnsi="宋体" w:eastAsia="宋体" w:cs="宋体"/>
          <w:bCs/>
          <w:kern w:val="2"/>
          <w:sz w:val="24"/>
          <w:szCs w:val="24"/>
        </w:rPr>
        <w:t>.4材料与工程设备的保管与使用</w:t>
      </w:r>
      <w:bookmarkEnd w:id="302"/>
      <w:bookmarkEnd w:id="303"/>
      <w:bookmarkEnd w:id="304"/>
      <w:bookmarkEnd w:id="305"/>
    </w:p>
    <w:p w14:paraId="06382F66">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8.4.1 发包人供应</w:t>
      </w:r>
      <w:r>
        <w:rPr>
          <w:rFonts w:hint="eastAsia" w:ascii="宋体" w:hAnsi="宋体" w:eastAsia="宋体" w:cs="宋体"/>
          <w:kern w:val="2"/>
          <w:sz w:val="24"/>
          <w:szCs w:val="24"/>
        </w:rPr>
        <w:t>材料与</w:t>
      </w:r>
      <w:r>
        <w:rPr>
          <w:rFonts w:hint="eastAsia" w:ascii="宋体" w:hAnsi="宋体" w:eastAsia="宋体" w:cs="宋体"/>
          <w:sz w:val="24"/>
          <w:szCs w:val="24"/>
        </w:rPr>
        <w:t>工程</w:t>
      </w:r>
      <w:r>
        <w:rPr>
          <w:rFonts w:hint="eastAsia" w:ascii="宋体" w:hAnsi="宋体" w:eastAsia="宋体" w:cs="宋体"/>
          <w:kern w:val="2"/>
          <w:sz w:val="24"/>
          <w:szCs w:val="24"/>
        </w:rPr>
        <w:t>设备的保管与使用</w:t>
      </w:r>
    </w:p>
    <w:p w14:paraId="2EBA0707">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06A70B1D">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发包人供应的材料和工程设备使用前，由承包人负责检验，检验费用由发包人承担，不合格的不得使用。</w:t>
      </w:r>
    </w:p>
    <w:p w14:paraId="2E418ED5">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8.4.2 承包人采购</w:t>
      </w:r>
      <w:r>
        <w:rPr>
          <w:rFonts w:hint="eastAsia" w:ascii="宋体" w:hAnsi="宋体" w:eastAsia="宋体" w:cs="宋体"/>
          <w:kern w:val="2"/>
          <w:sz w:val="24"/>
          <w:szCs w:val="24"/>
        </w:rPr>
        <w:t>材料与</w:t>
      </w:r>
      <w:r>
        <w:rPr>
          <w:rFonts w:hint="eastAsia" w:ascii="宋体" w:hAnsi="宋体" w:eastAsia="宋体" w:cs="宋体"/>
          <w:sz w:val="24"/>
          <w:szCs w:val="24"/>
        </w:rPr>
        <w:t>工程</w:t>
      </w:r>
      <w:r>
        <w:rPr>
          <w:rFonts w:hint="eastAsia" w:ascii="宋体" w:hAnsi="宋体" w:eastAsia="宋体" w:cs="宋体"/>
          <w:kern w:val="2"/>
          <w:sz w:val="24"/>
          <w:szCs w:val="24"/>
        </w:rPr>
        <w:t>设备的保管与使用</w:t>
      </w:r>
    </w:p>
    <w:p w14:paraId="0E3DAD9C">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3E1E56CA">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发包人或监理人发现承包人使用不符合设计或有关标准要求的材料和工程设备时，有权要求承包人进行修复、拆除或重新采购，由此增加的费用和（或）延误的工期，由承包人承担。</w:t>
      </w:r>
    </w:p>
    <w:p w14:paraId="00C8AD92">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306" w:name="_Toc351203557"/>
      <w:r>
        <w:rPr>
          <w:rFonts w:hint="eastAsia" w:ascii="宋体" w:hAnsi="宋体" w:eastAsia="宋体" w:cs="宋体"/>
          <w:bCs/>
          <w:kern w:val="2"/>
          <w:sz w:val="24"/>
          <w:szCs w:val="24"/>
        </w:rPr>
        <w:t>8.5禁止使用不合格的材料和工程设备</w:t>
      </w:r>
      <w:bookmarkEnd w:id="306"/>
    </w:p>
    <w:p w14:paraId="17DADF8B">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8.5.1 监理人有权拒绝承包人提供的不合格材料或工程设备，并要求承包人立即进行更换。监理人应在更换后再次进行检查和检验，由此增加的费用和（或）延误的工期由承包人承担。</w:t>
      </w:r>
    </w:p>
    <w:p w14:paraId="39EEDE00">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8.5.2 监理人发现承包人使用了不合格的材料和工程设备，承包人应按照监理人的指示立即改正，并禁止在工程中继续使用不合格的材料和工程设备。</w:t>
      </w:r>
    </w:p>
    <w:p w14:paraId="1E039D89">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8.5.3 发包人提供的材料或工程设备不符合合同要求的，承包人有权拒绝，并可要求发包人更换，由此增加的费用和（或）延误的工期由发包人承担，并支付承包人合理的利润。</w:t>
      </w:r>
    </w:p>
    <w:p w14:paraId="5D5E3A5D">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307" w:name="_Toc351203558"/>
      <w:r>
        <w:rPr>
          <w:rFonts w:hint="eastAsia" w:ascii="宋体" w:hAnsi="宋体" w:eastAsia="宋体" w:cs="宋体"/>
          <w:bCs/>
          <w:kern w:val="2"/>
          <w:sz w:val="24"/>
          <w:szCs w:val="24"/>
        </w:rPr>
        <w:t>8.6 样品</w:t>
      </w:r>
      <w:bookmarkEnd w:id="307"/>
    </w:p>
    <w:p w14:paraId="5D9E6C32">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8.6.1</w:t>
      </w:r>
      <w:r>
        <w:rPr>
          <w:rFonts w:hint="eastAsia" w:ascii="宋体" w:hAnsi="宋体" w:eastAsia="宋体" w:cs="宋体"/>
          <w:sz w:val="24"/>
          <w:szCs w:val="24"/>
        </w:rPr>
        <w:tab/>
      </w:r>
      <w:r>
        <w:rPr>
          <w:rFonts w:hint="eastAsia" w:ascii="宋体" w:hAnsi="宋体" w:eastAsia="宋体" w:cs="宋体"/>
          <w:sz w:val="24"/>
          <w:szCs w:val="24"/>
        </w:rPr>
        <w:t>样品的报送与封存</w:t>
      </w:r>
    </w:p>
    <w:p w14:paraId="60B1537F">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需要承包人报送样品的材料或工程设备，样品的种类、名称、规格、数量等要求均应在专用合同条款中约定。样品的报送程序如下：</w:t>
      </w:r>
    </w:p>
    <w:p w14:paraId="7AE6D208">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4EC6F707">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45034A40">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（3）经发包人和监理人审批确认的样品应按约定的方法封样，封存的样品作为检验工程相关部分的标准之一。承包人在施工过程中不得使用与样品不符的材料或工程设备。</w:t>
      </w:r>
    </w:p>
    <w:p w14:paraId="0D2E13AC">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1C3B184B">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8.6.2 样品的保管</w:t>
      </w:r>
    </w:p>
    <w:p w14:paraId="490DA284">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经批准的样品应由监理人负责封存于现场，承包人应在现场为保存样品提供适当和固定的场所并保持适当和良好的存储环境条件。</w:t>
      </w:r>
    </w:p>
    <w:p w14:paraId="36AF0FA3">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308" w:name="_Toc351203559"/>
      <w:r>
        <w:rPr>
          <w:rFonts w:hint="eastAsia" w:ascii="宋体" w:hAnsi="宋体" w:eastAsia="宋体" w:cs="宋体"/>
          <w:bCs/>
          <w:kern w:val="2"/>
          <w:sz w:val="24"/>
          <w:szCs w:val="24"/>
        </w:rPr>
        <w:t>8.7材料与工程设备的替代</w:t>
      </w:r>
      <w:bookmarkEnd w:id="308"/>
    </w:p>
    <w:p w14:paraId="5437437E">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8.7.1 出现下列情况需要使用替代材料和工程设备的，承包人应按照第8.7.2项约定的程序执行：</w:t>
      </w:r>
    </w:p>
    <w:p w14:paraId="4505BFB3">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（1）基准日期后生效的法律规定禁止使用的；</w:t>
      </w:r>
    </w:p>
    <w:p w14:paraId="52CA0DB8">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（2）发包人要求使用替代品的；</w:t>
      </w:r>
    </w:p>
    <w:p w14:paraId="31631C7D">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（3）因其他原因必须使用替代品的。</w:t>
      </w:r>
    </w:p>
    <w:p w14:paraId="48C8A5CB">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8.7.2 承包人应在使用替代材料和工程设备28天前书面通知监理人，并附下列文件：</w:t>
      </w:r>
    </w:p>
    <w:p w14:paraId="49B25A89">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（1）被替代的材料和工程设备的名称、数量、规格、型号、品牌、性能、价格及其他相关资料；</w:t>
      </w:r>
    </w:p>
    <w:p w14:paraId="146087CD">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（2）替代品的名称、数量、规格、型号、品牌、性能、价格及其他相关资料；</w:t>
      </w:r>
    </w:p>
    <w:p w14:paraId="0C2B92A3">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（3）替代品与被替代产品之间的差异以及使用替代品可能对工程产生的影响；</w:t>
      </w:r>
    </w:p>
    <w:p w14:paraId="2FE60DD5">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（4）替代品与被替代产品的价格差异；</w:t>
      </w:r>
    </w:p>
    <w:p w14:paraId="3BC2B476">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（5）使用替代品的理由和原因说明；</w:t>
      </w:r>
    </w:p>
    <w:p w14:paraId="7E9EB21E">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（6）监理人要求的其他文件。</w:t>
      </w:r>
    </w:p>
    <w:p w14:paraId="26709197">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监理人应在收到通知后14天内向承包人发出经发包人签认的书面指示；监理人逾期发出书面指示的，视为发包人和监理人同意使用替代品。</w:t>
      </w:r>
    </w:p>
    <w:p w14:paraId="216D9CD3">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14:paraId="2B4B9336">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309" w:name="_Toc351203560"/>
      <w:r>
        <w:rPr>
          <w:rFonts w:hint="eastAsia" w:ascii="宋体" w:hAnsi="宋体" w:eastAsia="宋体" w:cs="宋体"/>
          <w:bCs/>
          <w:kern w:val="2"/>
          <w:sz w:val="24"/>
          <w:szCs w:val="24"/>
        </w:rPr>
        <w:t>8.8施工设备和临时设施</w:t>
      </w:r>
      <w:bookmarkEnd w:id="309"/>
    </w:p>
    <w:p w14:paraId="4213CE7E">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8.8.1 承包人提供的施工设备和临时设施</w:t>
      </w:r>
    </w:p>
    <w:p w14:paraId="39398618">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承包人应按合同进度计划的要求，及时配置施工设备和修建临时设施。进入施工场地的承包人设备需经监理人核查后才能投入使用。承包人更换合同约定的承包人设备的，应报监理人批准。</w:t>
      </w:r>
    </w:p>
    <w:p w14:paraId="6C784AAE">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除专用合同条款另有约定外，承包人应自行承担修建临时设施的费用，需要临时占地的，应由发包人办理申请手续并承担相应费用。</w:t>
      </w:r>
    </w:p>
    <w:p w14:paraId="3B291E7A">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8.8.2发包人提供的施工设备和临时设施</w:t>
      </w:r>
    </w:p>
    <w:p w14:paraId="682CA9E7">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发包人提供的施工设备或临时设施在专用合同条款中约定。</w:t>
      </w:r>
    </w:p>
    <w:p w14:paraId="61A1AEC4">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8.8.3要求承包人增加或更换施工设备</w:t>
      </w:r>
    </w:p>
    <w:p w14:paraId="4C22A75E">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承包人使用的施工设备不能满足合同进度计划和（或）质量要求时，监理人有权要求承包人增加或更换施工设备，承包人应及时增加或更换，由此增加的费用和（或）延误的工期由承包人承担。</w:t>
      </w:r>
    </w:p>
    <w:p w14:paraId="22D2606F">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310" w:name="_Toc351203561"/>
      <w:r>
        <w:rPr>
          <w:rFonts w:hint="eastAsia" w:ascii="宋体" w:hAnsi="宋体" w:eastAsia="宋体" w:cs="宋体"/>
          <w:bCs/>
          <w:kern w:val="2"/>
          <w:sz w:val="24"/>
          <w:szCs w:val="24"/>
        </w:rPr>
        <w:t>8</w:t>
      </w:r>
      <w:bookmarkStart w:id="311" w:name="_Toc337558781"/>
      <w:bookmarkStart w:id="312" w:name="_Toc296346564"/>
      <w:bookmarkStart w:id="313" w:name="_Toc296503063"/>
      <w:r>
        <w:rPr>
          <w:rFonts w:hint="eastAsia" w:ascii="宋体" w:hAnsi="宋体" w:eastAsia="宋体" w:cs="宋体"/>
          <w:bCs/>
          <w:kern w:val="2"/>
          <w:sz w:val="24"/>
          <w:szCs w:val="24"/>
        </w:rPr>
        <w:t>.9材料与设备专用</w:t>
      </w:r>
      <w:bookmarkEnd w:id="310"/>
      <w:r>
        <w:rPr>
          <w:rFonts w:hint="eastAsia" w:ascii="宋体" w:hAnsi="宋体" w:eastAsia="宋体" w:cs="宋体"/>
          <w:bCs/>
          <w:kern w:val="2"/>
          <w:sz w:val="24"/>
          <w:szCs w:val="24"/>
        </w:rPr>
        <w:t>要求</w:t>
      </w:r>
      <w:bookmarkEnd w:id="311"/>
      <w:bookmarkEnd w:id="312"/>
      <w:bookmarkEnd w:id="313"/>
    </w:p>
    <w:p w14:paraId="07225F18">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承包人运入施工现场的材料、工程设备、施工设备以及在施工场地建设的临时设施，包括备品备件、安装工具与资料，必须专用于工程。未经发包人批准，承包人不得运出施工现场或挪作他用；</w:t>
      </w:r>
      <w:bookmarkEnd w:id="292"/>
      <w:r>
        <w:rPr>
          <w:rFonts w:hint="eastAsia" w:ascii="宋体" w:hAnsi="宋体" w:eastAsia="宋体" w:cs="宋体"/>
          <w:sz w:val="24"/>
          <w:szCs w:val="24"/>
        </w:rPr>
        <w:t>经发包人批准，承包人可以根据施工进度计划撤走闲置的施工设备和其他物品。</w:t>
      </w:r>
    </w:p>
    <w:p w14:paraId="031B1F0F">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3"/>
        <w:rPr>
          <w:rFonts w:hint="eastAsia" w:ascii="宋体" w:hAnsi="宋体" w:eastAsia="宋体" w:cs="宋体"/>
          <w:kern w:val="2"/>
          <w:sz w:val="24"/>
          <w:szCs w:val="24"/>
        </w:rPr>
      </w:pPr>
      <w:bookmarkStart w:id="314" w:name="_Toc351203562"/>
      <w:r>
        <w:rPr>
          <w:rFonts w:hint="eastAsia" w:ascii="宋体" w:hAnsi="宋体" w:eastAsia="宋体" w:cs="宋体"/>
          <w:kern w:val="2"/>
          <w:sz w:val="24"/>
          <w:szCs w:val="24"/>
        </w:rPr>
        <w:t>9</w:t>
      </w:r>
      <w:bookmarkStart w:id="315" w:name="_Toc337558782"/>
      <w:bookmarkStart w:id="316" w:name="_Toc296503083"/>
      <w:bookmarkStart w:id="317" w:name="_Toc296346584"/>
      <w:r>
        <w:rPr>
          <w:rFonts w:hint="eastAsia" w:ascii="宋体" w:hAnsi="宋体" w:eastAsia="宋体" w:cs="宋体"/>
          <w:kern w:val="2"/>
          <w:sz w:val="24"/>
          <w:szCs w:val="24"/>
        </w:rPr>
        <w:t>. 试验与检验</w:t>
      </w:r>
      <w:bookmarkEnd w:id="314"/>
      <w:bookmarkEnd w:id="315"/>
    </w:p>
    <w:p w14:paraId="00A955C9">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318" w:name="_Toc351203563"/>
      <w:r>
        <w:rPr>
          <w:rFonts w:hint="eastAsia" w:ascii="宋体" w:hAnsi="宋体" w:eastAsia="宋体" w:cs="宋体"/>
          <w:bCs/>
          <w:kern w:val="2"/>
          <w:sz w:val="24"/>
          <w:szCs w:val="24"/>
        </w:rPr>
        <w:t>9</w:t>
      </w:r>
      <w:bookmarkStart w:id="319" w:name="_Toc337558783"/>
      <w:r>
        <w:rPr>
          <w:rFonts w:hint="eastAsia" w:ascii="宋体" w:hAnsi="宋体" w:eastAsia="宋体" w:cs="宋体"/>
          <w:bCs/>
          <w:kern w:val="2"/>
          <w:sz w:val="24"/>
          <w:szCs w:val="24"/>
        </w:rPr>
        <w:t>.1试验设备与试验人员</w:t>
      </w:r>
      <w:bookmarkEnd w:id="318"/>
      <w:bookmarkEnd w:id="319"/>
    </w:p>
    <w:p w14:paraId="77257096">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30F962B0">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9.1.2 承包人应按专用合同条款的约定提供试验设备、取样装置、试验场所和试验条件，并向监理人提交相应进场计划表。</w:t>
      </w:r>
    </w:p>
    <w:p w14:paraId="73A9595C">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承包人配置的试验设备要符合相应试验规程的要求并经过具有资质的检测单位检测，且在正式使用该试验设备前，需要经过监理人与承包人共同校定。</w:t>
      </w:r>
    </w:p>
    <w:p w14:paraId="1D9964CC">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9.1.3 承包人应向监理人提交试验人员的名单及其岗位、资格等证明资料，试验人员必须能够熟练进行相应的检测试验，承包人对试验人员的试验程序和试验结果的正确性负责。</w:t>
      </w:r>
    </w:p>
    <w:p w14:paraId="2E664B3F">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320" w:name="_Toc351203564"/>
      <w:r>
        <w:rPr>
          <w:rFonts w:hint="eastAsia" w:ascii="宋体" w:hAnsi="宋体" w:eastAsia="宋体" w:cs="宋体"/>
          <w:bCs/>
          <w:kern w:val="2"/>
          <w:sz w:val="24"/>
          <w:szCs w:val="24"/>
        </w:rPr>
        <w:t>9</w:t>
      </w:r>
      <w:bookmarkStart w:id="321" w:name="_Toc337558784"/>
      <w:r>
        <w:rPr>
          <w:rFonts w:hint="eastAsia" w:ascii="宋体" w:hAnsi="宋体" w:eastAsia="宋体" w:cs="宋体"/>
          <w:bCs/>
          <w:kern w:val="2"/>
          <w:sz w:val="24"/>
          <w:szCs w:val="24"/>
        </w:rPr>
        <w:t>.2取样</w:t>
      </w:r>
      <w:bookmarkEnd w:id="320"/>
      <w:bookmarkEnd w:id="321"/>
    </w:p>
    <w:p w14:paraId="568E8916">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试验属于自检性质的，承包人可以单独取样。试验属于监理人抽检性质的，可由监理人取样，也可由承包人的试验人员在监理人的监督下取样。</w:t>
      </w:r>
    </w:p>
    <w:p w14:paraId="4C908EEC">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322" w:name="_Toc351203565"/>
      <w:r>
        <w:rPr>
          <w:rFonts w:hint="eastAsia" w:ascii="宋体" w:hAnsi="宋体" w:eastAsia="宋体" w:cs="宋体"/>
          <w:bCs/>
          <w:kern w:val="2"/>
          <w:sz w:val="24"/>
          <w:szCs w:val="24"/>
        </w:rPr>
        <w:t>9</w:t>
      </w:r>
      <w:bookmarkStart w:id="323" w:name="_Toc337558785"/>
      <w:r>
        <w:rPr>
          <w:rFonts w:hint="eastAsia" w:ascii="宋体" w:hAnsi="宋体" w:eastAsia="宋体" w:cs="宋体"/>
          <w:bCs/>
          <w:kern w:val="2"/>
          <w:sz w:val="24"/>
          <w:szCs w:val="24"/>
        </w:rPr>
        <w:t>.3材料、工程设备和工程的试验和检验</w:t>
      </w:r>
      <w:bookmarkEnd w:id="322"/>
      <w:bookmarkEnd w:id="323"/>
    </w:p>
    <w:p w14:paraId="5D99E35F">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67D0A893">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0D6B27A6">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35E02C2C">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324" w:name="_Toc351203566"/>
      <w:r>
        <w:rPr>
          <w:rFonts w:hint="eastAsia" w:ascii="宋体" w:hAnsi="宋体" w:eastAsia="宋体" w:cs="宋体"/>
          <w:bCs/>
          <w:kern w:val="2"/>
          <w:sz w:val="24"/>
          <w:szCs w:val="24"/>
        </w:rPr>
        <w:t>9</w:t>
      </w:r>
      <w:bookmarkStart w:id="325" w:name="_Toc337558786"/>
      <w:r>
        <w:rPr>
          <w:rFonts w:hint="eastAsia" w:ascii="宋体" w:hAnsi="宋体" w:eastAsia="宋体" w:cs="宋体"/>
          <w:bCs/>
          <w:kern w:val="2"/>
          <w:sz w:val="24"/>
          <w:szCs w:val="24"/>
        </w:rPr>
        <w:t>.4现场工艺试验</w:t>
      </w:r>
      <w:bookmarkEnd w:id="324"/>
      <w:bookmarkEnd w:id="325"/>
    </w:p>
    <w:p w14:paraId="7ADE3E3B">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承包人应按合同约定或监理人指示进行现场工艺试验。对大型的现场工艺试验，监理人认为必要时，承包人应根据监理人提出的工艺试验要求，编制工艺试验措施计划，报送监理人审查。</w:t>
      </w:r>
    </w:p>
    <w:p w14:paraId="3117B0CC">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3"/>
        <w:rPr>
          <w:rFonts w:hint="eastAsia" w:ascii="宋体" w:hAnsi="宋体" w:eastAsia="宋体" w:cs="宋体"/>
          <w:kern w:val="2"/>
          <w:sz w:val="24"/>
          <w:szCs w:val="24"/>
        </w:rPr>
      </w:pPr>
      <w:bookmarkStart w:id="326" w:name="_Toc351203567"/>
      <w:r>
        <w:rPr>
          <w:rFonts w:hint="eastAsia" w:ascii="宋体" w:hAnsi="宋体" w:eastAsia="宋体" w:cs="宋体"/>
          <w:kern w:val="2"/>
          <w:sz w:val="24"/>
          <w:szCs w:val="24"/>
        </w:rPr>
        <w:t>1</w:t>
      </w:r>
      <w:bookmarkStart w:id="327" w:name="_Toc337558787"/>
      <w:r>
        <w:rPr>
          <w:rFonts w:hint="eastAsia" w:ascii="宋体" w:hAnsi="宋体" w:eastAsia="宋体" w:cs="宋体"/>
          <w:kern w:val="2"/>
          <w:sz w:val="24"/>
          <w:szCs w:val="24"/>
        </w:rPr>
        <w:t>0. 变更</w:t>
      </w:r>
      <w:bookmarkEnd w:id="316"/>
      <w:bookmarkEnd w:id="317"/>
      <w:bookmarkEnd w:id="326"/>
      <w:bookmarkEnd w:id="327"/>
    </w:p>
    <w:p w14:paraId="049407CE">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328" w:name="_Toc351203568"/>
      <w:r>
        <w:rPr>
          <w:rFonts w:hint="eastAsia" w:ascii="宋体" w:hAnsi="宋体" w:eastAsia="宋体" w:cs="宋体"/>
          <w:bCs/>
          <w:kern w:val="2"/>
          <w:sz w:val="24"/>
          <w:szCs w:val="24"/>
        </w:rPr>
        <w:t>1</w:t>
      </w:r>
      <w:bookmarkStart w:id="329" w:name="_Toc296346585"/>
      <w:bookmarkStart w:id="330" w:name="_Toc296503084"/>
      <w:bookmarkStart w:id="331" w:name="_Toc337558788"/>
      <w:r>
        <w:rPr>
          <w:rFonts w:hint="eastAsia" w:ascii="宋体" w:hAnsi="宋体" w:eastAsia="宋体" w:cs="宋体"/>
          <w:bCs/>
          <w:kern w:val="2"/>
          <w:sz w:val="24"/>
          <w:szCs w:val="24"/>
        </w:rPr>
        <w:t>0.1变更的范围</w:t>
      </w:r>
      <w:bookmarkEnd w:id="328"/>
      <w:bookmarkEnd w:id="329"/>
      <w:bookmarkEnd w:id="330"/>
      <w:bookmarkEnd w:id="331"/>
    </w:p>
    <w:p w14:paraId="6291C2C6">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除专用合同条款另有约定外，合同履行过程中发生以下情形的，应按照本条约定进行变更：</w:t>
      </w:r>
    </w:p>
    <w:p w14:paraId="1CD7F082">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（1）增加或减少合同中任何工作，或追加额外的工作；</w:t>
      </w:r>
    </w:p>
    <w:p w14:paraId="20F5DB78">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（2）取消合同中任何工作，但转由他人实施的工作除外；</w:t>
      </w:r>
    </w:p>
    <w:p w14:paraId="675E8C2C">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（3）改变合同中任何工作的质量标准或其他特性；</w:t>
      </w:r>
    </w:p>
    <w:p w14:paraId="7D6D63A4">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（4）改变工程的基线、标高、位置和尺寸；</w:t>
      </w:r>
    </w:p>
    <w:p w14:paraId="3D1DD32D">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（5）改变工程的时间安排或实施顺序。</w:t>
      </w:r>
    </w:p>
    <w:p w14:paraId="3A3FD9A5">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332" w:name="_Toc351203569"/>
      <w:r>
        <w:rPr>
          <w:rFonts w:hint="eastAsia" w:ascii="宋体" w:hAnsi="宋体" w:eastAsia="宋体" w:cs="宋体"/>
          <w:bCs/>
          <w:kern w:val="2"/>
          <w:sz w:val="24"/>
          <w:szCs w:val="24"/>
        </w:rPr>
        <w:t>1</w:t>
      </w:r>
      <w:bookmarkStart w:id="333" w:name="_Toc296346586"/>
      <w:bookmarkStart w:id="334" w:name="_Toc337558789"/>
      <w:bookmarkStart w:id="335" w:name="_Toc296503085"/>
      <w:r>
        <w:rPr>
          <w:rFonts w:hint="eastAsia" w:ascii="宋体" w:hAnsi="宋体" w:eastAsia="宋体" w:cs="宋体"/>
          <w:bCs/>
          <w:kern w:val="2"/>
          <w:sz w:val="24"/>
          <w:szCs w:val="24"/>
        </w:rPr>
        <w:t>0.2变更权</w:t>
      </w:r>
      <w:bookmarkEnd w:id="332"/>
      <w:bookmarkEnd w:id="333"/>
      <w:bookmarkEnd w:id="334"/>
      <w:bookmarkEnd w:id="335"/>
    </w:p>
    <w:p w14:paraId="2C5BA683">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443C42ED">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涉及设计变更的，应由设计人提供变更后的图纸和说明。如变更超过原设计标准或批准的建设规模时，发包人应及时办理规划、设计变更等审批手续。</w:t>
      </w:r>
    </w:p>
    <w:p w14:paraId="4F87D2C4">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336" w:name="_Toc351203570"/>
      <w:r>
        <w:rPr>
          <w:rFonts w:hint="eastAsia" w:ascii="宋体" w:hAnsi="宋体" w:eastAsia="宋体" w:cs="宋体"/>
          <w:bCs/>
          <w:kern w:val="2"/>
          <w:sz w:val="24"/>
          <w:szCs w:val="24"/>
        </w:rPr>
        <w:t>1</w:t>
      </w:r>
      <w:bookmarkStart w:id="337" w:name="_Toc337558790"/>
      <w:bookmarkStart w:id="338" w:name="_Toc296346587"/>
      <w:bookmarkStart w:id="339" w:name="_Toc296503086"/>
      <w:r>
        <w:rPr>
          <w:rFonts w:hint="eastAsia" w:ascii="宋体" w:hAnsi="宋体" w:eastAsia="宋体" w:cs="宋体"/>
          <w:bCs/>
          <w:kern w:val="2"/>
          <w:sz w:val="24"/>
          <w:szCs w:val="24"/>
        </w:rPr>
        <w:t>0.3变更程序</w:t>
      </w:r>
      <w:bookmarkEnd w:id="336"/>
      <w:bookmarkEnd w:id="337"/>
      <w:bookmarkEnd w:id="338"/>
      <w:bookmarkEnd w:id="339"/>
    </w:p>
    <w:p w14:paraId="1EAB1D7A">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kern w:val="2"/>
          <w:sz w:val="24"/>
          <w:szCs w:val="24"/>
        </w:rPr>
        <w:t>10</w:t>
      </w:r>
      <w:r>
        <w:rPr>
          <w:rFonts w:hint="eastAsia" w:ascii="宋体" w:hAnsi="宋体" w:eastAsia="宋体" w:cs="宋体"/>
          <w:sz w:val="24"/>
          <w:szCs w:val="24"/>
        </w:rPr>
        <w:t>.3.1 发包人提出变更</w:t>
      </w:r>
    </w:p>
    <w:p w14:paraId="423C7E58">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发包人提出变更的，应通过监理人向承包人发出变更指示，变更指示应说明计划变更的工程范围和变更的内容。</w:t>
      </w:r>
    </w:p>
    <w:p w14:paraId="02381FE8">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kern w:val="2"/>
          <w:sz w:val="24"/>
          <w:szCs w:val="24"/>
        </w:rPr>
        <w:t>10</w:t>
      </w:r>
      <w:r>
        <w:rPr>
          <w:rFonts w:hint="eastAsia" w:ascii="宋体" w:hAnsi="宋体" w:eastAsia="宋体" w:cs="宋体"/>
          <w:sz w:val="24"/>
          <w:szCs w:val="24"/>
        </w:rPr>
        <w:t>.3.2 监理人提出变更建议</w:t>
      </w:r>
    </w:p>
    <w:p w14:paraId="443A56D4">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5F36480B">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10.3.3 变更执行</w:t>
      </w:r>
    </w:p>
    <w:p w14:paraId="45090202">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14:paraId="05A596BC">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340" w:name="_Toc351203571"/>
      <w:r>
        <w:rPr>
          <w:rFonts w:hint="eastAsia" w:ascii="宋体" w:hAnsi="宋体" w:eastAsia="宋体" w:cs="宋体"/>
          <w:bCs/>
          <w:kern w:val="2"/>
          <w:sz w:val="24"/>
          <w:szCs w:val="24"/>
        </w:rPr>
        <w:t>1</w:t>
      </w:r>
      <w:bookmarkStart w:id="341" w:name="_Toc296346588"/>
      <w:bookmarkStart w:id="342" w:name="_Toc296503087"/>
      <w:bookmarkStart w:id="343" w:name="_Toc337558791"/>
      <w:r>
        <w:rPr>
          <w:rFonts w:hint="eastAsia" w:ascii="宋体" w:hAnsi="宋体" w:eastAsia="宋体" w:cs="宋体"/>
          <w:bCs/>
          <w:kern w:val="2"/>
          <w:sz w:val="24"/>
          <w:szCs w:val="24"/>
        </w:rPr>
        <w:t>0.4变更估价</w:t>
      </w:r>
      <w:bookmarkEnd w:id="340"/>
      <w:bookmarkEnd w:id="341"/>
      <w:bookmarkEnd w:id="342"/>
      <w:bookmarkEnd w:id="343"/>
    </w:p>
    <w:p w14:paraId="3BD02B22">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10.4.1 变更估价原则</w:t>
      </w:r>
    </w:p>
    <w:p w14:paraId="77795652">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除专用合同条款另有约定外，变更估价按照本款约定处理：</w:t>
      </w:r>
    </w:p>
    <w:p w14:paraId="17AD4D94">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（1）已标价工程量清单或预算书有相同项目的，按照相同项目单价认定；</w:t>
      </w:r>
    </w:p>
    <w:p w14:paraId="5BFFFE2C">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（2）已标价工程量清单或预算书中无相同项目，但有类似项目的，参照类似项目的单价认定；</w:t>
      </w:r>
    </w:p>
    <w:p w14:paraId="74703280">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14:paraId="6764016C">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10.4.2 变更估价程序</w:t>
      </w:r>
    </w:p>
    <w:p w14:paraId="5E476345">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14:paraId="2AC335BC">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因变更引起的价格调整应计入最近一期的进度款中支付。</w:t>
      </w:r>
    </w:p>
    <w:p w14:paraId="42759781">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344" w:name="_Toc351203572"/>
      <w:r>
        <w:rPr>
          <w:rFonts w:hint="eastAsia" w:ascii="宋体" w:hAnsi="宋体" w:eastAsia="宋体" w:cs="宋体"/>
          <w:bCs/>
          <w:kern w:val="2"/>
          <w:sz w:val="24"/>
          <w:szCs w:val="24"/>
        </w:rPr>
        <w:t>1</w:t>
      </w:r>
      <w:bookmarkStart w:id="345" w:name="_Toc337558792"/>
      <w:bookmarkStart w:id="346" w:name="_Toc296503094"/>
      <w:bookmarkStart w:id="347" w:name="_Toc296346595"/>
      <w:r>
        <w:rPr>
          <w:rFonts w:hint="eastAsia" w:ascii="宋体" w:hAnsi="宋体" w:eastAsia="宋体" w:cs="宋体"/>
          <w:bCs/>
          <w:kern w:val="2"/>
          <w:sz w:val="24"/>
          <w:szCs w:val="24"/>
        </w:rPr>
        <w:t>0.5承包人的合理化建议</w:t>
      </w:r>
      <w:bookmarkEnd w:id="344"/>
      <w:bookmarkEnd w:id="345"/>
      <w:bookmarkEnd w:id="346"/>
      <w:bookmarkEnd w:id="347"/>
    </w:p>
    <w:p w14:paraId="5373A795">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承包人提出合理化建议的，应向监理人提交合理化建议说明，说明建议的内容和理由，以及实施该建议对合同价格和工期的影响。</w:t>
      </w:r>
    </w:p>
    <w:p w14:paraId="5A8A64FC">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14:paraId="1553E48B">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合理化建议降低了合同价格或者提高了工程经济效益的，发包人可对承包人给予奖励，奖励的方法和金额在专用合同条款中约定。</w:t>
      </w:r>
    </w:p>
    <w:p w14:paraId="49414456">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
          <w:bCs/>
          <w:kern w:val="2"/>
          <w:sz w:val="24"/>
          <w:szCs w:val="24"/>
        </w:rPr>
      </w:pPr>
      <w:bookmarkStart w:id="348" w:name="_Toc351203573"/>
      <w:r>
        <w:rPr>
          <w:rFonts w:hint="eastAsia" w:ascii="宋体" w:hAnsi="宋体" w:eastAsia="宋体" w:cs="宋体"/>
          <w:bCs/>
          <w:kern w:val="2"/>
          <w:sz w:val="24"/>
          <w:szCs w:val="24"/>
        </w:rPr>
        <w:t>1</w:t>
      </w:r>
      <w:bookmarkStart w:id="349" w:name="_Toc337558793"/>
      <w:r>
        <w:rPr>
          <w:rFonts w:hint="eastAsia" w:ascii="宋体" w:hAnsi="宋体" w:eastAsia="宋体" w:cs="宋体"/>
          <w:bCs/>
          <w:kern w:val="2"/>
          <w:sz w:val="24"/>
          <w:szCs w:val="24"/>
        </w:rPr>
        <w:t>0.6变更引起的工期调整</w:t>
      </w:r>
      <w:bookmarkEnd w:id="348"/>
      <w:r>
        <w:rPr>
          <w:rFonts w:hint="eastAsia" w:ascii="宋体" w:hAnsi="宋体" w:eastAsia="宋体" w:cs="宋体"/>
          <w:bCs/>
          <w:kern w:val="2"/>
          <w:sz w:val="24"/>
          <w:szCs w:val="24"/>
        </w:rPr>
        <w:t xml:space="preserve"> </w:t>
      </w:r>
      <w:bookmarkEnd w:id="349"/>
      <w:r>
        <w:rPr>
          <w:rFonts w:hint="eastAsia" w:ascii="宋体" w:hAnsi="宋体" w:eastAsia="宋体" w:cs="宋体"/>
          <w:bCs/>
          <w:kern w:val="2"/>
          <w:sz w:val="24"/>
          <w:szCs w:val="24"/>
        </w:rPr>
        <w:t xml:space="preserve"> </w:t>
      </w:r>
      <w:r>
        <w:rPr>
          <w:rFonts w:hint="eastAsia" w:ascii="宋体" w:hAnsi="宋体" w:eastAsia="宋体" w:cs="宋体"/>
          <w:b/>
          <w:bCs/>
          <w:kern w:val="2"/>
          <w:sz w:val="24"/>
          <w:szCs w:val="24"/>
        </w:rPr>
        <w:t xml:space="preserve"> </w:t>
      </w:r>
    </w:p>
    <w:p w14:paraId="275CBE0A">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因变更引起工期变化的，合同当事人均可要求调整合同工期，由合同当事人按照第4.4款〔商定或确定〕并参考工程所在地的工期定额标准确定增减工期天数。</w:t>
      </w:r>
    </w:p>
    <w:p w14:paraId="69D4AC82">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350" w:name="_Toc351203574"/>
      <w:r>
        <w:rPr>
          <w:rFonts w:hint="eastAsia" w:ascii="宋体" w:hAnsi="宋体" w:eastAsia="宋体" w:cs="宋体"/>
          <w:bCs/>
          <w:kern w:val="2"/>
          <w:sz w:val="24"/>
          <w:szCs w:val="24"/>
        </w:rPr>
        <w:t>10.7暂估价</w:t>
      </w:r>
      <w:bookmarkEnd w:id="350"/>
    </w:p>
    <w:p w14:paraId="16B30E77">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暂估价专业分包工程、服务、材料和工程设备的明细由合同当事人在专用合同条款中约定。</w:t>
      </w:r>
    </w:p>
    <w:p w14:paraId="1E1EEB34">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kern w:val="2"/>
          <w:sz w:val="24"/>
          <w:szCs w:val="24"/>
        </w:rPr>
        <w:t>10.7.1</w:t>
      </w:r>
      <w:r>
        <w:rPr>
          <w:rFonts w:hint="eastAsia" w:ascii="宋体" w:hAnsi="宋体" w:eastAsia="宋体" w:cs="宋体"/>
          <w:sz w:val="24"/>
          <w:szCs w:val="24"/>
        </w:rPr>
        <w:t xml:space="preserve"> 依法必须招标的暂估价项目</w:t>
      </w:r>
    </w:p>
    <w:p w14:paraId="26DF70C7">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对于依法必须招标的暂估价项目，采取以下第1种方式确定。合同当事人也可以在专用合同条款中选择其他招标方式。</w:t>
      </w:r>
    </w:p>
    <w:p w14:paraId="3FB72343">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第1种方式：对于依法必须招标的暂估价项目，由承包人招标，对该暂估价项目的确认和批准按照以下约定执行：</w:t>
      </w:r>
    </w:p>
    <w:p w14:paraId="7657881E">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13A34AFB">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49E95A73">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4F969EF0">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10BBA053">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kern w:val="2"/>
          <w:sz w:val="24"/>
          <w:szCs w:val="24"/>
        </w:rPr>
        <w:t>10.7.2</w:t>
      </w:r>
      <w:r>
        <w:rPr>
          <w:rFonts w:hint="eastAsia" w:ascii="宋体" w:hAnsi="宋体" w:eastAsia="宋体" w:cs="宋体"/>
          <w:sz w:val="24"/>
          <w:szCs w:val="24"/>
        </w:rPr>
        <w:t>不属于依法必须招标的暂估价项目</w:t>
      </w:r>
    </w:p>
    <w:p w14:paraId="5D89BCB2">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除专用合同条款另有约定外，对于不属于依法必须招标的暂估价项目，采取以下第1种方式确定： </w:t>
      </w:r>
    </w:p>
    <w:p w14:paraId="436B44B8">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第1种方式：对于不属于依法必须招标的暂估价项目，按本项约定确认和批准：</w:t>
      </w:r>
    </w:p>
    <w:p w14:paraId="262B2C0A">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662724B4">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（2）发包人认为承包人确定的供应商、分包人无法满足工程质量或合同要求的，发包人可以要求承包人重新确定暂估价项目的供应商、分包人;</w:t>
      </w:r>
    </w:p>
    <w:p w14:paraId="19323534">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（3）承包人应当在签订暂估价合同后7天内，将暂估价合同副本报送发包人留存。</w:t>
      </w:r>
    </w:p>
    <w:p w14:paraId="5550825E">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第2种方式：承包人按照第10.7.1项〔依法必须招标的暂估价项目〕约定的第1种方式确定暂估价项目。</w:t>
      </w:r>
    </w:p>
    <w:p w14:paraId="5C507BB5">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kern w:val="2"/>
          <w:sz w:val="24"/>
          <w:szCs w:val="24"/>
        </w:rPr>
        <w:t>第3种方式：</w:t>
      </w:r>
      <w:r>
        <w:rPr>
          <w:rFonts w:hint="eastAsia" w:ascii="宋体" w:hAnsi="宋体" w:eastAsia="宋体" w:cs="宋体"/>
          <w:sz w:val="24"/>
          <w:szCs w:val="24"/>
        </w:rPr>
        <w:t>承包人直接实施的暂估价项目</w:t>
      </w:r>
    </w:p>
    <w:p w14:paraId="022F2F36">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承包人具备实施暂估价项目的资格和条件的，经发包人和承包人协商一致后，可由承包人自行实施暂估价项目，合同当事人可以在专用合同条款约定具体事项。</w:t>
      </w:r>
    </w:p>
    <w:p w14:paraId="4050E979">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12BCC542">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351" w:name="_Toc351203575"/>
      <w:r>
        <w:rPr>
          <w:rFonts w:hint="eastAsia" w:ascii="宋体" w:hAnsi="宋体" w:eastAsia="宋体" w:cs="宋体"/>
          <w:bCs/>
          <w:kern w:val="2"/>
          <w:sz w:val="24"/>
          <w:szCs w:val="24"/>
        </w:rPr>
        <w:t>1</w:t>
      </w:r>
      <w:bookmarkStart w:id="352" w:name="_Toc337558794"/>
      <w:bookmarkStart w:id="353" w:name="_Toc296346591"/>
      <w:bookmarkStart w:id="354" w:name="_Toc296503090"/>
      <w:bookmarkStart w:id="355" w:name="_Toc322522561"/>
      <w:r>
        <w:rPr>
          <w:rFonts w:hint="eastAsia" w:ascii="宋体" w:hAnsi="宋体" w:eastAsia="宋体" w:cs="宋体"/>
          <w:bCs/>
          <w:kern w:val="2"/>
          <w:sz w:val="24"/>
          <w:szCs w:val="24"/>
        </w:rPr>
        <w:t>0.8暂列金额</w:t>
      </w:r>
      <w:bookmarkEnd w:id="351"/>
      <w:bookmarkEnd w:id="352"/>
    </w:p>
    <w:p w14:paraId="2EFE5BB0">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暂列金额应按照发包人的要求使用，发包人的要求应通过监理人发出。合同当事人可以在专用合同条款中协商确定有关事项。</w:t>
      </w:r>
      <w:bookmarkEnd w:id="353"/>
      <w:bookmarkEnd w:id="354"/>
      <w:bookmarkEnd w:id="355"/>
    </w:p>
    <w:p w14:paraId="7119DEDA">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356" w:name="_Toc351203576"/>
      <w:r>
        <w:rPr>
          <w:rFonts w:hint="eastAsia" w:ascii="宋体" w:hAnsi="宋体" w:eastAsia="宋体" w:cs="宋体"/>
          <w:bCs/>
          <w:kern w:val="2"/>
          <w:sz w:val="24"/>
          <w:szCs w:val="24"/>
        </w:rPr>
        <w:t>1</w:t>
      </w:r>
      <w:bookmarkStart w:id="357" w:name="_Toc296346592"/>
      <w:bookmarkStart w:id="358" w:name="_Toc296503091"/>
      <w:bookmarkStart w:id="359" w:name="_Toc337558796"/>
      <w:r>
        <w:rPr>
          <w:rFonts w:hint="eastAsia" w:ascii="宋体" w:hAnsi="宋体" w:eastAsia="宋体" w:cs="宋体"/>
          <w:bCs/>
          <w:kern w:val="2"/>
          <w:sz w:val="24"/>
          <w:szCs w:val="24"/>
        </w:rPr>
        <w:t>0.9计日工</w:t>
      </w:r>
      <w:bookmarkEnd w:id="356"/>
      <w:r>
        <w:rPr>
          <w:rFonts w:hint="eastAsia" w:ascii="宋体" w:hAnsi="宋体" w:eastAsia="宋体" w:cs="宋体"/>
          <w:bCs/>
          <w:kern w:val="2"/>
          <w:sz w:val="24"/>
          <w:szCs w:val="24"/>
        </w:rPr>
        <w:t xml:space="preserve"> </w:t>
      </w:r>
      <w:bookmarkEnd w:id="357"/>
      <w:bookmarkEnd w:id="358"/>
      <w:bookmarkEnd w:id="359"/>
    </w:p>
    <w:p w14:paraId="4FC70F28">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p>
    <w:p w14:paraId="0B3BAD17">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采用计日工计价的任何一项工作，承包人应在该项工作实施过程中，每天提交以下报表和有关凭证报送监理人审查：</w:t>
      </w:r>
    </w:p>
    <w:p w14:paraId="026768E5">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（1）工作名称、内容和数量；</w:t>
      </w:r>
    </w:p>
    <w:p w14:paraId="55F439F5">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（2）投入该工作的所有人员的姓名、专业、工种、级别和耗用工时；</w:t>
      </w:r>
    </w:p>
    <w:p w14:paraId="5F75541A">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（3）投入该工作的材料类别和数量；</w:t>
      </w:r>
    </w:p>
    <w:p w14:paraId="2F32BAF5">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（4）投入该工作的施工设备型号、台数和耗用台时；</w:t>
      </w:r>
    </w:p>
    <w:p w14:paraId="4A9FBBDF">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（5）其他有关资料和凭证。</w:t>
      </w:r>
    </w:p>
    <w:p w14:paraId="3BA1E7DF">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计日工由承包人汇总后，列入最近一期进度付款申请单，由监理人审查并经发包人批准后列入进度付款。</w:t>
      </w:r>
    </w:p>
    <w:p w14:paraId="4DC93CE8">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3"/>
        <w:rPr>
          <w:rFonts w:hint="eastAsia" w:ascii="宋体" w:hAnsi="宋体" w:eastAsia="宋体" w:cs="宋体"/>
          <w:kern w:val="2"/>
          <w:sz w:val="24"/>
          <w:szCs w:val="24"/>
        </w:rPr>
      </w:pPr>
      <w:bookmarkStart w:id="360" w:name="_Toc351203577"/>
      <w:r>
        <w:rPr>
          <w:rFonts w:hint="eastAsia" w:ascii="宋体" w:hAnsi="宋体" w:eastAsia="宋体" w:cs="宋体"/>
          <w:kern w:val="2"/>
          <w:sz w:val="24"/>
          <w:szCs w:val="24"/>
        </w:rPr>
        <w:t>11. 价格调整</w:t>
      </w:r>
      <w:bookmarkEnd w:id="360"/>
    </w:p>
    <w:p w14:paraId="5FF4573A">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361" w:name="_Toc296346593"/>
      <w:bookmarkStart w:id="362" w:name="_Toc351203578"/>
      <w:bookmarkStart w:id="363" w:name="_Toc337558797"/>
      <w:bookmarkStart w:id="364" w:name="_Toc296503092"/>
      <w:r>
        <w:rPr>
          <w:rFonts w:hint="eastAsia" w:ascii="宋体" w:hAnsi="宋体" w:eastAsia="宋体" w:cs="宋体"/>
          <w:bCs/>
          <w:kern w:val="2"/>
          <w:sz w:val="24"/>
          <w:szCs w:val="24"/>
        </w:rPr>
        <w:t>11.1市场价格波动引起的调整</w:t>
      </w:r>
      <w:bookmarkEnd w:id="361"/>
      <w:bookmarkEnd w:id="362"/>
      <w:bookmarkEnd w:id="363"/>
      <w:bookmarkEnd w:id="364"/>
    </w:p>
    <w:p w14:paraId="3B506109">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除专用合同条款另有约定外，市场价格波动超过合同当事人约定的范围，合同价格应当调整。合同当事人可以在专用合同条款中约定选择以下一种方式对合同价格进行调整：</w:t>
      </w:r>
    </w:p>
    <w:p w14:paraId="6C0A8B4A">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第1种方式：采用价格指数进行价格调整。</w:t>
      </w:r>
    </w:p>
    <w:p w14:paraId="02CA1A17">
      <w:pPr>
        <w:pageBreakBefore w:val="0"/>
        <w:widowControl w:val="0"/>
        <w:tabs>
          <w:tab w:val="left" w:pos="0"/>
          <w:tab w:val="left" w:pos="360"/>
          <w:tab w:val="left" w:pos="540"/>
        </w:tabs>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（1）价格调整公式</w:t>
      </w:r>
    </w:p>
    <w:p w14:paraId="657F3956">
      <w:pPr>
        <w:pageBreakBefore w:val="0"/>
        <w:widowControl w:val="0"/>
        <w:tabs>
          <w:tab w:val="left" w:pos="0"/>
          <w:tab w:val="left" w:pos="360"/>
          <w:tab w:val="left" w:pos="540"/>
        </w:tabs>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因人工、材料和设备等价格波动影响合同价格时，根据专用合同条款中约定的数据，按以下公式计算差额并调整合同价格：</w:t>
      </w:r>
    </w:p>
    <w:p w14:paraId="6871FBBC">
      <w:pPr>
        <w:pageBreakBefore w:val="0"/>
        <w:widowControl w:val="0"/>
        <w:tabs>
          <w:tab w:val="left" w:pos="0"/>
          <w:tab w:val="left" w:pos="360"/>
          <w:tab w:val="left" w:pos="540"/>
        </w:tabs>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position w:val="-30"/>
          <w:sz w:val="24"/>
          <w:szCs w:val="24"/>
        </w:rPr>
        <w:object>
          <v:shape id="_x0000_i1025" o:spt="75" type="#_x0000_t75" style="height:43.5pt;width:360.15pt;" o:ole="t" filled="f" o:preferrelative="t" stroked="f" coordsize="21600,21600">
            <v:path/>
            <v:fill on="f" focussize="0,0"/>
            <v:stroke on="f" joinstyle="miter"/>
            <v:imagedata r:id="rId27" o:title=""/>
            <o:lock v:ext="edit" aspectratio="t"/>
            <w10:wrap type="none"/>
            <w10:anchorlock/>
          </v:shape>
          <o:OLEObject Type="Embed" ProgID="Equation.3" ShapeID="_x0000_i1025" DrawAspect="Content" ObjectID="_1468075725" r:id="rId26">
            <o:LockedField>false</o:LockedField>
          </o:OLEObject>
        </w:object>
      </w:r>
    </w:p>
    <w:p w14:paraId="5ED4FE7E">
      <w:pPr>
        <w:pageBreakBefore w:val="0"/>
        <w:widowControl w:val="0"/>
        <w:tabs>
          <w:tab w:val="left" w:pos="0"/>
          <w:tab w:val="left" w:pos="360"/>
          <w:tab w:val="left" w:pos="540"/>
        </w:tabs>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公式中：ΔP——需调整的价格差额；</w:t>
      </w:r>
    </w:p>
    <w:p w14:paraId="697E4E78">
      <w:pPr>
        <w:pageBreakBefore w:val="0"/>
        <w:widowControl w:val="0"/>
        <w:tabs>
          <w:tab w:val="left" w:pos="0"/>
          <w:tab w:val="left" w:pos="360"/>
          <w:tab w:val="left" w:pos="540"/>
        </w:tabs>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position w:val="-6"/>
          <w:sz w:val="24"/>
          <w:szCs w:val="24"/>
        </w:rPr>
        <w:object>
          <v:shape id="_x0000_i1026" o:spt="75" type="#_x0000_t75" style="height:18.75pt;width:18.75pt;" o:ole="t" filled="f" o:preferrelative="t" stroked="f" coordsize="21600,21600">
            <v:path/>
            <v:fill on="f" focussize="0,0"/>
            <v:stroke on="f" joinstyle="miter"/>
            <v:imagedata r:id="rId29" o:title=""/>
            <o:lock v:ext="edit" aspectratio="t"/>
            <w10:wrap type="none"/>
            <w10:anchorlock/>
          </v:shape>
          <o:OLEObject Type="Embed" ProgID="Equation.3" ShapeID="_x0000_i1026" DrawAspect="Content" ObjectID="_1468075726" r:id="rId28">
            <o:LockedField>false</o:LockedField>
          </o:OLEObject>
        </w:object>
      </w:r>
      <w:r>
        <w:rPr>
          <w:rFonts w:hint="eastAsia" w:ascii="宋体" w:hAnsi="宋体" w:eastAsia="宋体" w:cs="宋体"/>
          <w:kern w:val="2"/>
          <w:sz w:val="24"/>
          <w:szCs w:val="24"/>
        </w:rPr>
        <w:t>——约定的付款证书中承包人应得到的已完成工程量的金额。此项金额应不包括价格调整、不计质量保证金的扣留和支付、预付款的支付和扣回。约定的变更及其他金额已按现行价格计价的，也不计在内；</w:t>
      </w:r>
    </w:p>
    <w:p w14:paraId="2FB5BD3F">
      <w:pPr>
        <w:pageBreakBefore w:val="0"/>
        <w:widowControl w:val="0"/>
        <w:tabs>
          <w:tab w:val="left" w:pos="0"/>
          <w:tab w:val="left" w:pos="360"/>
          <w:tab w:val="left" w:pos="540"/>
        </w:tabs>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A——定值权重（即不调部分的权重）；</w:t>
      </w:r>
    </w:p>
    <w:p w14:paraId="2D083F1E">
      <w:pPr>
        <w:pageBreakBefore w:val="0"/>
        <w:widowControl w:val="0"/>
        <w:tabs>
          <w:tab w:val="left" w:pos="0"/>
          <w:tab w:val="left" w:pos="360"/>
          <w:tab w:val="left" w:pos="540"/>
        </w:tabs>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position w:val="-10"/>
          <w:sz w:val="24"/>
          <w:szCs w:val="24"/>
        </w:rPr>
        <w:object>
          <v:shape id="_x0000_i1027" o:spt="75" type="#_x0000_t75" style="height:21pt;width:101.2pt;" o:ole="t" filled="f" o:preferrelative="t" stroked="f" coordsize="21600,21600">
            <v:path/>
            <v:fill on="f" focussize="0,0"/>
            <v:stroke on="f" joinstyle="miter"/>
            <v:imagedata r:id="rId31" o:title=""/>
            <o:lock v:ext="edit" aspectratio="t"/>
            <w10:wrap type="none"/>
            <w10:anchorlock/>
          </v:shape>
          <o:OLEObject Type="Embed" ProgID="Equation.3" ShapeID="_x0000_i1027" DrawAspect="Content" ObjectID="_1468075727" r:id="rId30">
            <o:LockedField>false</o:LockedField>
          </o:OLEObject>
        </w:object>
      </w:r>
      <w:r>
        <w:rPr>
          <w:rFonts w:hint="eastAsia" w:ascii="宋体" w:hAnsi="宋体" w:eastAsia="宋体" w:cs="宋体"/>
          <w:kern w:val="2"/>
          <w:sz w:val="24"/>
          <w:szCs w:val="24"/>
        </w:rPr>
        <w:t>——各可调因子的变值权重（即可调部分的权重），为各可调因子在签约合同价中所占的比例；</w:t>
      </w:r>
    </w:p>
    <w:p w14:paraId="77286EBA">
      <w:pPr>
        <w:pageBreakBefore w:val="0"/>
        <w:widowControl w:val="0"/>
        <w:tabs>
          <w:tab w:val="left" w:pos="0"/>
          <w:tab w:val="left" w:pos="360"/>
          <w:tab w:val="left" w:pos="540"/>
        </w:tabs>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position w:val="-10"/>
          <w:sz w:val="24"/>
          <w:szCs w:val="24"/>
        </w:rPr>
        <w:object>
          <v:shape id="_x0000_i1028" o:spt="75" type="#_x0000_t75" style="height:21pt;width:102pt;" o:ole="t" filled="f" o:preferrelative="t" stroked="f" coordsize="21600,21600">
            <v:path/>
            <v:fill on="f" focussize="0,0"/>
            <v:stroke on="f" joinstyle="miter"/>
            <v:imagedata r:id="rId33" o:title=""/>
            <o:lock v:ext="edit" aspectratio="t"/>
            <w10:wrap type="none"/>
            <w10:anchorlock/>
          </v:shape>
          <o:OLEObject Type="Embed" ProgID="Equation.3" ShapeID="_x0000_i1028" DrawAspect="Content" ObjectID="_1468075728" r:id="rId32">
            <o:LockedField>false</o:LockedField>
          </o:OLEObject>
        </w:object>
      </w:r>
      <w:r>
        <w:rPr>
          <w:rFonts w:hint="eastAsia" w:ascii="宋体" w:hAnsi="宋体" w:eastAsia="宋体" w:cs="宋体"/>
          <w:kern w:val="2"/>
          <w:sz w:val="24"/>
          <w:szCs w:val="24"/>
        </w:rPr>
        <w:t>——各可调因子的现行价格指数，指约定的付款证书相关周期最后一天的前42天的各可调因子的价格指数；</w:t>
      </w:r>
    </w:p>
    <w:p w14:paraId="79930976">
      <w:pPr>
        <w:pageBreakBefore w:val="0"/>
        <w:widowControl w:val="0"/>
        <w:tabs>
          <w:tab w:val="left" w:pos="0"/>
          <w:tab w:val="left" w:pos="360"/>
          <w:tab w:val="left" w:pos="540"/>
        </w:tabs>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position w:val="-10"/>
          <w:sz w:val="24"/>
          <w:szCs w:val="24"/>
        </w:rPr>
        <w:object>
          <v:shape id="_x0000_i1029" o:spt="75" type="#_x0000_t75" style="height:19.5pt;width:109.45pt;" o:ole="t" filled="f" o:preferrelative="t" stroked="f" coordsize="21600,21600">
            <v:path/>
            <v:fill on="f" focussize="0,0"/>
            <v:stroke on="f" joinstyle="miter"/>
            <v:imagedata r:id="rId35" o:title=""/>
            <o:lock v:ext="edit" aspectratio="t"/>
            <w10:wrap type="none"/>
            <w10:anchorlock/>
          </v:shape>
          <o:OLEObject Type="Embed" ProgID="Equation.3" ShapeID="_x0000_i1029" DrawAspect="Content" ObjectID="_1468075729" r:id="rId34">
            <o:LockedField>false</o:LockedField>
          </o:OLEObject>
        </w:object>
      </w:r>
      <w:r>
        <w:rPr>
          <w:rFonts w:hint="eastAsia" w:ascii="宋体" w:hAnsi="宋体" w:eastAsia="宋体" w:cs="宋体"/>
          <w:kern w:val="2"/>
          <w:sz w:val="24"/>
          <w:szCs w:val="24"/>
        </w:rPr>
        <w:t>——各可调因子的基本价格指数，指基准日期的各可调因子的价格指数。</w:t>
      </w:r>
    </w:p>
    <w:p w14:paraId="3C34682C">
      <w:pPr>
        <w:pageBreakBefore w:val="0"/>
        <w:widowControl w:val="0"/>
        <w:tabs>
          <w:tab w:val="left" w:pos="0"/>
          <w:tab w:val="left" w:pos="360"/>
          <w:tab w:val="left" w:pos="540"/>
        </w:tabs>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1EBF20F7">
      <w:pPr>
        <w:pageBreakBefore w:val="0"/>
        <w:widowControl w:val="0"/>
        <w:tabs>
          <w:tab w:val="left" w:pos="0"/>
          <w:tab w:val="left" w:pos="360"/>
          <w:tab w:val="left" w:pos="540"/>
        </w:tabs>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（2）暂时确定调整差额</w:t>
      </w:r>
    </w:p>
    <w:p w14:paraId="43FD3F6F">
      <w:pPr>
        <w:pageBreakBefore w:val="0"/>
        <w:widowControl w:val="0"/>
        <w:tabs>
          <w:tab w:val="left" w:pos="0"/>
          <w:tab w:val="left" w:pos="360"/>
          <w:tab w:val="left" w:pos="540"/>
        </w:tabs>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在计算调整差额时无现行价格指数的，合同当事人同意暂用前次价格指数计算。实际价格指数有调整的，合同当事人进行相应调整。</w:t>
      </w:r>
    </w:p>
    <w:p w14:paraId="5E51CB5C">
      <w:pPr>
        <w:pageBreakBefore w:val="0"/>
        <w:widowControl w:val="0"/>
        <w:tabs>
          <w:tab w:val="left" w:pos="0"/>
          <w:tab w:val="left" w:pos="360"/>
          <w:tab w:val="left" w:pos="540"/>
        </w:tabs>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（3）权重的调整</w:t>
      </w:r>
    </w:p>
    <w:p w14:paraId="721DCC57">
      <w:pPr>
        <w:pageBreakBefore w:val="0"/>
        <w:widowControl w:val="0"/>
        <w:tabs>
          <w:tab w:val="left" w:pos="0"/>
          <w:tab w:val="left" w:pos="360"/>
          <w:tab w:val="left" w:pos="540"/>
        </w:tabs>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因变更导致合同约定的权重不合理时，按照第4.4款〔商定或确定〕执行。</w:t>
      </w:r>
    </w:p>
    <w:p w14:paraId="42A6A454">
      <w:pPr>
        <w:pageBreakBefore w:val="0"/>
        <w:widowControl w:val="0"/>
        <w:tabs>
          <w:tab w:val="left" w:pos="0"/>
          <w:tab w:val="left" w:pos="360"/>
          <w:tab w:val="left" w:pos="540"/>
        </w:tabs>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（4）因承包人原因工期延误后的价格调整</w:t>
      </w:r>
    </w:p>
    <w:p w14:paraId="18CAE1D3">
      <w:pPr>
        <w:pageBreakBefore w:val="0"/>
        <w:widowControl w:val="0"/>
        <w:tabs>
          <w:tab w:val="left" w:pos="0"/>
          <w:tab w:val="left" w:pos="360"/>
          <w:tab w:val="left" w:pos="540"/>
        </w:tabs>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因承包人原因未按期竣工的，对合同约定的竣工日期后继续施工的工程，在使用价格调整公式时，应采用计划竣工日期与实际竣工日期的两个价格指数中较低的一个作为现行价格指数。</w:t>
      </w:r>
    </w:p>
    <w:p w14:paraId="6DEE21FF">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第2种方式：采用造价信息进行价格调整。</w:t>
      </w:r>
    </w:p>
    <w:p w14:paraId="7CDBF790">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14:paraId="2D9F4AA2">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0C6F42FE">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（2）材料、工程设备价格变化的价款调整按照发包人提供的基准价格，按以下风险范围规定执行:</w:t>
      </w:r>
    </w:p>
    <w:p w14:paraId="00E362BC">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3811344A">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4F0F1B36">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③承包人在已标价工程量清单或预算书中载明材料单价等于基准价格的：除专用合同条款另有约定外，合同履行期间材料单价涨跌幅以基准价格为基础超过±5%时，其超过部分据实调整。</w:t>
      </w:r>
    </w:p>
    <w:p w14:paraId="45A6D6ED">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70094F79">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bookmarkStart w:id="365" w:name="OLE_LINK3"/>
      <w:r>
        <w:rPr>
          <w:rFonts w:hint="eastAsia" w:ascii="宋体" w:hAnsi="宋体" w:eastAsia="宋体" w:cs="宋体"/>
          <w:kern w:val="2"/>
          <w:sz w:val="24"/>
          <w:szCs w:val="24"/>
        </w:rPr>
        <w:t>前述基准价格是指由发包人在招标文件或专用合同条款中给定的材料、工程设备的价格，该价格原则上应当按照省级或行业建设主管部门或其授权的工程造价管理机构发布的信息价编制。</w:t>
      </w:r>
    </w:p>
    <w:p w14:paraId="58BF671F">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（3）施工机械台班单价或施工机械使用费发生变化超过省级或行业建设主管部门或其授权的工程造价管理机构规定的范围时，按规定调整合同价格。</w:t>
      </w:r>
    </w:p>
    <w:p w14:paraId="41DBC318">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第3种方式：专用合同条款约定的其他方式。</w:t>
      </w:r>
    </w:p>
    <w:p w14:paraId="1390BB1B">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366" w:name="_Toc337558798"/>
      <w:bookmarkStart w:id="367" w:name="_Toc351203579"/>
      <w:bookmarkStart w:id="368" w:name="_Toc296503093"/>
      <w:bookmarkStart w:id="369" w:name="_Toc296346594"/>
      <w:r>
        <w:rPr>
          <w:rFonts w:hint="eastAsia" w:ascii="宋体" w:hAnsi="宋体" w:eastAsia="宋体" w:cs="宋体"/>
          <w:bCs/>
          <w:kern w:val="2"/>
          <w:sz w:val="24"/>
          <w:szCs w:val="24"/>
        </w:rPr>
        <w:t>11.2法律变化引起的调整</w:t>
      </w:r>
      <w:bookmarkEnd w:id="366"/>
      <w:bookmarkEnd w:id="367"/>
      <w:bookmarkEnd w:id="368"/>
      <w:bookmarkEnd w:id="369"/>
    </w:p>
    <w:p w14:paraId="32DB426E">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14:paraId="3A0C0A94">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因法律变化引起的合同价格和工期调整，合同当事人无法达成一致的，由总监理工程师按第4.4款〔商定或确定〕的约定处理。</w:t>
      </w:r>
    </w:p>
    <w:p w14:paraId="1E4338FC">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sz w:val="24"/>
          <w:szCs w:val="24"/>
        </w:rPr>
        <w:t>因承包人原因造成工期延误，在工期延误期间出现法律变化的，由此增加的费用和（或）延误的工期由承包人承担。</w:t>
      </w:r>
    </w:p>
    <w:p w14:paraId="3996E8E8">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3"/>
        <w:rPr>
          <w:rFonts w:hint="eastAsia" w:ascii="宋体" w:hAnsi="宋体" w:eastAsia="宋体" w:cs="宋体"/>
          <w:kern w:val="2"/>
          <w:sz w:val="24"/>
          <w:szCs w:val="24"/>
        </w:rPr>
      </w:pPr>
      <w:bookmarkStart w:id="370" w:name="_Toc337558799"/>
      <w:bookmarkStart w:id="371" w:name="_Toc351203580"/>
      <w:bookmarkStart w:id="372" w:name="_Toc296503096"/>
      <w:bookmarkStart w:id="373" w:name="_Toc296346597"/>
      <w:r>
        <w:rPr>
          <w:rFonts w:hint="eastAsia" w:ascii="宋体" w:hAnsi="宋体" w:eastAsia="宋体" w:cs="宋体"/>
          <w:kern w:val="2"/>
          <w:sz w:val="24"/>
          <w:szCs w:val="24"/>
        </w:rPr>
        <w:t>12. 合同价格、计量与支付</w:t>
      </w:r>
      <w:bookmarkEnd w:id="370"/>
      <w:bookmarkEnd w:id="371"/>
    </w:p>
    <w:p w14:paraId="05C5C512">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374" w:name="_Toc337558800"/>
      <w:bookmarkStart w:id="375" w:name="_Toc351203581"/>
      <w:r>
        <w:rPr>
          <w:rFonts w:hint="eastAsia" w:ascii="宋体" w:hAnsi="宋体" w:eastAsia="宋体" w:cs="宋体"/>
          <w:bCs/>
          <w:kern w:val="2"/>
          <w:sz w:val="24"/>
          <w:szCs w:val="24"/>
        </w:rPr>
        <w:t>12.1 合同价</w:t>
      </w:r>
      <w:bookmarkEnd w:id="372"/>
      <w:bookmarkEnd w:id="373"/>
      <w:r>
        <w:rPr>
          <w:rFonts w:hint="eastAsia" w:ascii="宋体" w:hAnsi="宋体" w:eastAsia="宋体" w:cs="宋体"/>
          <w:bCs/>
          <w:kern w:val="2"/>
          <w:sz w:val="24"/>
          <w:szCs w:val="24"/>
        </w:rPr>
        <w:t>格形式</w:t>
      </w:r>
      <w:bookmarkEnd w:id="374"/>
      <w:bookmarkEnd w:id="375"/>
    </w:p>
    <w:p w14:paraId="1051846C">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发包人和承包人应在合同协议书中选择下列一种合同价格形式： </w:t>
      </w:r>
    </w:p>
    <w:p w14:paraId="7C2F72B8">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1.单价合同</w:t>
      </w:r>
    </w:p>
    <w:p w14:paraId="0D06F570">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单价合同是指合同当事人约定以工程量清单及其综合单价进行合同价格计算、调整和确认的建设工程施工合同，</w:t>
      </w:r>
      <w:r>
        <w:rPr>
          <w:rFonts w:hint="eastAsia" w:ascii="宋体" w:hAnsi="宋体" w:eastAsia="宋体" w:cs="宋体"/>
          <w:kern w:val="2"/>
          <w:sz w:val="24"/>
          <w:szCs w:val="24"/>
        </w:rPr>
        <w:t>在约定的范围内合同单价不作调整</w:t>
      </w:r>
      <w:r>
        <w:rPr>
          <w:rFonts w:hint="eastAsia" w:ascii="宋体" w:hAnsi="宋体" w:eastAsia="宋体" w:cs="宋体"/>
          <w:sz w:val="24"/>
          <w:szCs w:val="24"/>
        </w:rPr>
        <w:t>。合同当事人应在专用合同条款中约定综合单价包含的风险范围和风险费用的计算方法</w:t>
      </w:r>
      <w:r>
        <w:rPr>
          <w:rFonts w:hint="eastAsia" w:ascii="宋体" w:hAnsi="宋体" w:eastAsia="宋体" w:cs="宋体"/>
          <w:kern w:val="2"/>
          <w:sz w:val="24"/>
          <w:szCs w:val="24"/>
        </w:rPr>
        <w:t>，</w:t>
      </w:r>
      <w:r>
        <w:rPr>
          <w:rFonts w:hint="eastAsia" w:ascii="宋体" w:hAnsi="宋体" w:eastAsia="宋体" w:cs="宋体"/>
          <w:sz w:val="24"/>
          <w:szCs w:val="24"/>
        </w:rPr>
        <w:t>并约定风险范围以外的合同价格的调整方法，其中因市场价格波动引起的调整按第11.1款〔市场价格波动引起的调整〕约定执行。</w:t>
      </w:r>
    </w:p>
    <w:p w14:paraId="778B72D3">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2.总价合同</w:t>
      </w:r>
    </w:p>
    <w:p w14:paraId="7AB1BA70">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总价合同是指合同当事人约定以施工图、已标价工程量清单或预算书及有关条件进行合同价格计算、调整和确认的建设工程施工合同，</w:t>
      </w:r>
      <w:r>
        <w:rPr>
          <w:rFonts w:hint="eastAsia" w:ascii="宋体" w:hAnsi="宋体" w:eastAsia="宋体" w:cs="宋体"/>
          <w:kern w:val="2"/>
          <w:sz w:val="24"/>
          <w:szCs w:val="24"/>
        </w:rPr>
        <w:t>在约定的范围内合同总价不作调整</w:t>
      </w:r>
      <w:r>
        <w:rPr>
          <w:rFonts w:hint="eastAsia" w:ascii="宋体" w:hAnsi="宋体" w:eastAsia="宋体" w:cs="宋体"/>
          <w:sz w:val="24"/>
          <w:szCs w:val="24"/>
        </w:rPr>
        <w:t>。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14:paraId="7CED40B6">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3.其它价格形式</w:t>
      </w:r>
    </w:p>
    <w:p w14:paraId="015F2E9B">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合同当事人可在专用合同条款中约定其他合同价格形式。</w:t>
      </w:r>
    </w:p>
    <w:p w14:paraId="63D1EADC">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376" w:name="_Toc296503097"/>
      <w:bookmarkStart w:id="377" w:name="_Toc296346598"/>
      <w:bookmarkStart w:id="378" w:name="_Toc337558801"/>
      <w:bookmarkStart w:id="379" w:name="_Toc351203582"/>
      <w:r>
        <w:rPr>
          <w:rFonts w:hint="eastAsia" w:ascii="宋体" w:hAnsi="宋体" w:eastAsia="宋体" w:cs="宋体"/>
          <w:bCs/>
          <w:kern w:val="2"/>
          <w:sz w:val="24"/>
          <w:szCs w:val="24"/>
        </w:rPr>
        <w:t>12.2预</w:t>
      </w:r>
      <w:bookmarkEnd w:id="376"/>
      <w:bookmarkEnd w:id="377"/>
      <w:bookmarkStart w:id="380" w:name="_Toc296346601"/>
      <w:bookmarkStart w:id="381" w:name="_Toc296503100"/>
      <w:r>
        <w:rPr>
          <w:rFonts w:hint="eastAsia" w:ascii="宋体" w:hAnsi="宋体" w:eastAsia="宋体" w:cs="宋体"/>
          <w:bCs/>
          <w:kern w:val="2"/>
          <w:sz w:val="24"/>
          <w:szCs w:val="24"/>
        </w:rPr>
        <w:t>付款</w:t>
      </w:r>
      <w:bookmarkEnd w:id="378"/>
      <w:bookmarkEnd w:id="379"/>
      <w:bookmarkEnd w:id="380"/>
      <w:bookmarkEnd w:id="381"/>
    </w:p>
    <w:p w14:paraId="4C5D36B7">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kern w:val="2"/>
          <w:sz w:val="24"/>
          <w:szCs w:val="24"/>
        </w:rPr>
        <w:t>12.2.</w:t>
      </w:r>
      <w:r>
        <w:rPr>
          <w:rFonts w:hint="eastAsia" w:ascii="宋体" w:hAnsi="宋体" w:eastAsia="宋体" w:cs="宋体"/>
          <w:sz w:val="24"/>
          <w:szCs w:val="24"/>
        </w:rPr>
        <w:t>1预付款的支付</w:t>
      </w:r>
    </w:p>
    <w:p w14:paraId="75D01981">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预付款的支付按照专用合同条款约定执行，但至迟应在开工通知载明的开工日期7天前支付。预付款应当用于材料、工程设备、施工设备的采购及修建临时工程、组织施工队伍进场等。</w:t>
      </w:r>
    </w:p>
    <w:p w14:paraId="6BC53ECF">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除专用合同条款另有约定外，预付款在进度付款中同比例扣回。</w:t>
      </w:r>
      <w:bookmarkEnd w:id="365"/>
      <w:r>
        <w:rPr>
          <w:rFonts w:hint="eastAsia" w:ascii="宋体" w:hAnsi="宋体" w:eastAsia="宋体" w:cs="宋体"/>
          <w:sz w:val="24"/>
          <w:szCs w:val="24"/>
        </w:rPr>
        <w:t>在颁发工程接收证书前，提前解除合同的，尚未扣完的预付款应与合同价款一并结算。</w:t>
      </w:r>
    </w:p>
    <w:p w14:paraId="40338B4B">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发包人逾期支付预付款超过7天的，承包人有权向发包人发出要求预付的催告通知，发包人收到通知后7天内仍未支付的，承包人有权暂停施工，并按第16.1.1项〔发包人违约的情形〕执行。</w:t>
      </w:r>
    </w:p>
    <w:p w14:paraId="0C082A88">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12.2.2 预付款担保</w:t>
      </w:r>
    </w:p>
    <w:p w14:paraId="0CE65D44">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14:paraId="2BFE7B12">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发包人在工程款中逐期扣回预付款后，预付款担保额度应相应减少，但剩余的预付款担保金额不得低于未被扣回的预付款金额。</w:t>
      </w:r>
    </w:p>
    <w:p w14:paraId="0DAC8B08">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382" w:name="_Toc351203583"/>
      <w:bookmarkStart w:id="383" w:name="_Toc337558802"/>
      <w:r>
        <w:rPr>
          <w:rFonts w:hint="eastAsia" w:ascii="宋体" w:hAnsi="宋体" w:eastAsia="宋体" w:cs="宋体"/>
          <w:bCs/>
          <w:kern w:val="2"/>
          <w:sz w:val="24"/>
          <w:szCs w:val="24"/>
        </w:rPr>
        <w:t>12.3计量</w:t>
      </w:r>
      <w:bookmarkEnd w:id="382"/>
      <w:bookmarkEnd w:id="383"/>
    </w:p>
    <w:p w14:paraId="2CF04D5E">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12.3.1 计量原则</w:t>
      </w:r>
    </w:p>
    <w:p w14:paraId="778190FF">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工程量计量按照合同约定的工程量计算规则、图纸及变更指示等进行计量。工程量计算规则应以相关的国家标准、行业标准等为依据，由合同当事人在专用合同条款中约定。</w:t>
      </w:r>
    </w:p>
    <w:p w14:paraId="047EF052">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12.3.2 计量周期</w:t>
      </w:r>
    </w:p>
    <w:p w14:paraId="3445C325">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除专用合同条款另有约定外，工程量的计量按月进行。</w:t>
      </w:r>
    </w:p>
    <w:p w14:paraId="2820FF77">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12.3.3 单价合同的计量</w:t>
      </w:r>
    </w:p>
    <w:p w14:paraId="5998E96D">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除专用合同条款另有约定外，单价合同的计量按照本项约定执行：</w:t>
      </w:r>
    </w:p>
    <w:p w14:paraId="6FF81DA5">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（1）承包人应于每月25日向监理人报送上月20日至当月19日已完成的工程量报告，并附具进度付款申请单、已完成工程量报表和有关资料。</w:t>
      </w:r>
    </w:p>
    <w:p w14:paraId="436D6310">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429307A0">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（3）监理人未在收到承包人提交的工程量报表后的7天内完成审核的，承包人报送的工程量报告中的工程量视为承包人实际完成的工程量，据此计算工程价款。</w:t>
      </w:r>
    </w:p>
    <w:p w14:paraId="6153A5A7">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12.3.4 总价合同的计量</w:t>
      </w:r>
    </w:p>
    <w:p w14:paraId="54851E0F">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除专用合同条款另有约定外，按月计量支付的总价合同，按照本项约定执行：</w:t>
      </w:r>
    </w:p>
    <w:p w14:paraId="25AE2971">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（1）承包人应于每月25日向监理人报送上月20日至当月19日已完成的工程量报告，并附具进度付款申请单、已完成工程量报表和有关资料。</w:t>
      </w:r>
    </w:p>
    <w:p w14:paraId="70BF4C20">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5474643A">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（3）监理人未在收到承包人提交的工程量报表后的7天内完成复核的，承包人提交的工程量报告中的工程量视为承包人实际完成的工程量。</w:t>
      </w:r>
    </w:p>
    <w:p w14:paraId="607329FB">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12.3.5 总价合同采用支付分解表计量支付的，可以按照第12.3.4项〔总价合同的计量〕约定进行计量，但合同价款按照支付分解表进行支付。</w:t>
      </w:r>
    </w:p>
    <w:p w14:paraId="6947BD7B">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12.3.6 其他价格形式合同的计量</w:t>
      </w:r>
    </w:p>
    <w:p w14:paraId="5C14A382">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合同当事人可在专用合同条款中约定其他价格形式合同的计量方式和程序。</w:t>
      </w:r>
    </w:p>
    <w:p w14:paraId="52CD3C5E">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384" w:name="_Toc296346602"/>
      <w:bookmarkStart w:id="385" w:name="_Toc296503101"/>
      <w:bookmarkStart w:id="386" w:name="_Toc351203584"/>
      <w:bookmarkStart w:id="387" w:name="_Toc337558803"/>
      <w:r>
        <w:rPr>
          <w:rFonts w:hint="eastAsia" w:ascii="宋体" w:hAnsi="宋体" w:eastAsia="宋体" w:cs="宋体"/>
          <w:bCs/>
          <w:kern w:val="2"/>
          <w:sz w:val="24"/>
          <w:szCs w:val="24"/>
        </w:rPr>
        <w:t>12.4工程进度款支</w:t>
      </w:r>
      <w:bookmarkEnd w:id="384"/>
      <w:bookmarkEnd w:id="385"/>
      <w:r>
        <w:rPr>
          <w:rFonts w:hint="eastAsia" w:ascii="宋体" w:hAnsi="宋体" w:eastAsia="宋体" w:cs="宋体"/>
          <w:bCs/>
          <w:kern w:val="2"/>
          <w:sz w:val="24"/>
          <w:szCs w:val="24"/>
        </w:rPr>
        <w:t>付</w:t>
      </w:r>
      <w:bookmarkEnd w:id="386"/>
      <w:bookmarkEnd w:id="387"/>
    </w:p>
    <w:p w14:paraId="24B36F73">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outlineLvl w:val="0"/>
        <w:rPr>
          <w:rFonts w:hint="eastAsia" w:ascii="宋体" w:hAnsi="宋体" w:eastAsia="宋体" w:cs="宋体"/>
          <w:sz w:val="24"/>
          <w:szCs w:val="24"/>
        </w:rPr>
      </w:pPr>
      <w:bookmarkStart w:id="388" w:name="_Toc48222431"/>
      <w:r>
        <w:rPr>
          <w:rFonts w:hint="eastAsia" w:ascii="宋体" w:hAnsi="宋体" w:eastAsia="宋体" w:cs="宋体"/>
          <w:kern w:val="2"/>
          <w:sz w:val="24"/>
          <w:szCs w:val="24"/>
        </w:rPr>
        <w:t>12.4</w:t>
      </w:r>
      <w:r>
        <w:rPr>
          <w:rFonts w:hint="eastAsia" w:ascii="宋体" w:hAnsi="宋体" w:eastAsia="宋体" w:cs="宋体"/>
          <w:sz w:val="24"/>
          <w:szCs w:val="24"/>
        </w:rPr>
        <w:t>.1 付款周期</w:t>
      </w:r>
      <w:bookmarkEnd w:id="388"/>
    </w:p>
    <w:p w14:paraId="20C43D70">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除专用合同条款另有约定外，付款周期应按照第12.3.2项〔计量周期〕的约定与计量周期保持一致。</w:t>
      </w:r>
    </w:p>
    <w:p w14:paraId="41C48795">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kern w:val="2"/>
          <w:sz w:val="24"/>
          <w:szCs w:val="24"/>
        </w:rPr>
        <w:t>12.4</w:t>
      </w:r>
      <w:r>
        <w:rPr>
          <w:rFonts w:hint="eastAsia" w:ascii="宋体" w:hAnsi="宋体" w:eastAsia="宋体" w:cs="宋体"/>
          <w:sz w:val="24"/>
          <w:szCs w:val="24"/>
        </w:rPr>
        <w:t>.2 进度付款申请单的编制</w:t>
      </w:r>
    </w:p>
    <w:p w14:paraId="1A67EF1C">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除专用合同条款另有约定外，进度付款申请单应包括下列内容：</w:t>
      </w:r>
    </w:p>
    <w:p w14:paraId="7A72D86C">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（1）截至本次付款周期已完成工作对应的金额；</w:t>
      </w:r>
    </w:p>
    <w:p w14:paraId="3A2AE368">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（2）根据第10条〔变更〕应增加和扣减的变更金额；</w:t>
      </w:r>
    </w:p>
    <w:p w14:paraId="597C603E">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（3）根据第12.2款〔预付款〕约定应支付的预付款和扣减的返还预付款；</w:t>
      </w:r>
    </w:p>
    <w:p w14:paraId="2968D15A">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（4）根据第15.3款〔质量保证金〕约定应扣减的质量保证金；</w:t>
      </w:r>
    </w:p>
    <w:p w14:paraId="46A7D14F">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（5）根据第19条〔索赔〕应增加和扣减的索赔金额；</w:t>
      </w:r>
    </w:p>
    <w:p w14:paraId="76FA572E">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（6）对已签发的进度款支付证书中出现错误的修正，应在本次进度付款中支付或扣除的金额；</w:t>
      </w:r>
    </w:p>
    <w:p w14:paraId="2096F6B2">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（7）根据合同约定应增加和扣减的其他金额。</w:t>
      </w:r>
    </w:p>
    <w:p w14:paraId="375B4554">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outlineLvl w:val="0"/>
        <w:rPr>
          <w:rFonts w:hint="eastAsia" w:ascii="宋体" w:hAnsi="宋体" w:eastAsia="宋体" w:cs="宋体"/>
          <w:sz w:val="24"/>
          <w:szCs w:val="24"/>
        </w:rPr>
      </w:pPr>
      <w:bookmarkStart w:id="389" w:name="_Toc48222432"/>
      <w:r>
        <w:rPr>
          <w:rFonts w:hint="eastAsia" w:ascii="宋体" w:hAnsi="宋体" w:eastAsia="宋体" w:cs="宋体"/>
          <w:sz w:val="24"/>
          <w:szCs w:val="24"/>
        </w:rPr>
        <w:t>12.4.3 进度付款申请单的提交</w:t>
      </w:r>
      <w:bookmarkEnd w:id="389"/>
    </w:p>
    <w:p w14:paraId="2C5BB1D2">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（1）单价合同进度付款申请单的提交</w:t>
      </w:r>
    </w:p>
    <w:p w14:paraId="458AF3A3">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单价合同的进度付款申请单，按照第12.3.3项〔单价合同的计量〕约定的时间按月向监理人提交，并附上已完成工程量报表和有关资料。单价合同中的总价项目按月进行支付分解，并汇总列入当期进度付款申请单。</w:t>
      </w:r>
    </w:p>
    <w:p w14:paraId="11D62314">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（2）总价合同进度付款申请单的提交</w:t>
      </w:r>
    </w:p>
    <w:p w14:paraId="3B40B0D9">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总价合同按月计量支付的，承包人按照第12.3.4项〔总价合同的计量〕约定的时间按月向监理人提交进度付款申请单，并附上已完成工程量报表和有关资料。</w:t>
      </w:r>
    </w:p>
    <w:p w14:paraId="25CA5A41">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总价合同按支付分解表支付的，承包人应按照第12.4.6项〔支付分解表〕及第12.4.2项〔进度付款申请单的编制〕的约定向监理人提交进度付款申请单。</w:t>
      </w:r>
    </w:p>
    <w:p w14:paraId="42353F3C">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（3）其他价格形式合同的进度付款申请单的提交</w:t>
      </w:r>
    </w:p>
    <w:p w14:paraId="4E79D756">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合同当事人可在专用合同条款中约定其他价格形式合同的进度付款申请单的编制和提交程序。</w:t>
      </w:r>
    </w:p>
    <w:p w14:paraId="5C0319ED">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kern w:val="2"/>
          <w:sz w:val="24"/>
          <w:szCs w:val="24"/>
        </w:rPr>
        <w:t>12.4</w:t>
      </w:r>
      <w:r>
        <w:rPr>
          <w:rFonts w:hint="eastAsia" w:ascii="宋体" w:hAnsi="宋体" w:eastAsia="宋体" w:cs="宋体"/>
          <w:sz w:val="24"/>
          <w:szCs w:val="24"/>
        </w:rPr>
        <w:t>.4 进度款审核和支付</w:t>
      </w:r>
    </w:p>
    <w:p w14:paraId="09517B6D">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14:paraId="59038140">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14:paraId="09E6DB2C">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（2）除专用合同条款另有约定外，发包人应在进度款支付证书或临时进度款支付证书签发后14天内完成支付，发包人逾期支付进度款的，应按照中国人民银行发布的同期同类贷款基准利率支付违约金。</w:t>
      </w:r>
    </w:p>
    <w:p w14:paraId="7298954E">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（3）发包人签发进度款支付证书或临时进度款支付证书，不表明发包人已同意、批准或接受了承包人完成的相应部分的工作。</w:t>
      </w:r>
    </w:p>
    <w:p w14:paraId="2C07A54A">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12.4.5 进度付款的修正</w:t>
      </w:r>
    </w:p>
    <w:p w14:paraId="019644BC">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在对已签发的进度款支付证书进行阶段汇总和复核中发现错误、遗漏或重复的，发包人和承包人均有权提出修正申请。经发包人和承包人同意的修正，应在下期进度付款中支付或扣除。</w:t>
      </w:r>
    </w:p>
    <w:p w14:paraId="0040BFA7">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12.4.6 支付分解表</w:t>
      </w:r>
    </w:p>
    <w:p w14:paraId="19867133">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1.支付分解表的编制要求</w:t>
      </w:r>
    </w:p>
    <w:p w14:paraId="506CA1EE">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（1）支付分解表中所列的每期付款金额，应为第12.4.2项〔进度付款申请单的编制〕第（1）目的估算金额；</w:t>
      </w:r>
    </w:p>
    <w:p w14:paraId="0AB57149">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（2）实际进度与施工进度计划不一致的，合同当事人可按照第4.4款〔商定或确定〕修改支付分解表；</w:t>
      </w:r>
    </w:p>
    <w:p w14:paraId="067D8C06">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（3）不采用支付分解表的，承包人应向发包人和监理人提交按季度编制的支付估算分解表，用于支付参考。</w:t>
      </w:r>
    </w:p>
    <w:p w14:paraId="5724B929">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2.总价合同支付分解表的编制与审批</w:t>
      </w:r>
    </w:p>
    <w:p w14:paraId="26CAEEEA">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58E3216B">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（2）监理人应在收到支付分解表后7天内完成审核并报送发包人。发包人应在收到经监理人审核的支付分解表后7天内完成审批，经发包人批准的支付分解表为有约束力的支付分解表。</w:t>
      </w:r>
    </w:p>
    <w:p w14:paraId="17A9CCD2">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（3）发包人逾期未完成支付分解表审批的，也未及时要求承包人进行修正和提供补充资料的，则承包人提交的支付分解表视为已经获得发包人批准。</w:t>
      </w:r>
    </w:p>
    <w:p w14:paraId="08F056FC">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3.单价合同的总价项目支付分解表的编制与审批</w:t>
      </w:r>
    </w:p>
    <w:p w14:paraId="6FC346FF">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2EB30D3E">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390" w:name="_Toc351203585"/>
      <w:r>
        <w:rPr>
          <w:rFonts w:hint="eastAsia" w:ascii="宋体" w:hAnsi="宋体" w:eastAsia="宋体" w:cs="宋体"/>
          <w:bCs/>
          <w:kern w:val="2"/>
          <w:sz w:val="24"/>
          <w:szCs w:val="24"/>
        </w:rPr>
        <w:t>12.5支付账户</w:t>
      </w:r>
      <w:bookmarkEnd w:id="390"/>
    </w:p>
    <w:p w14:paraId="344653F8">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发包人应将合同价款支付至合同协议书中约定的承包人账户。</w:t>
      </w:r>
    </w:p>
    <w:p w14:paraId="7E9DF08A">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3"/>
        <w:rPr>
          <w:rFonts w:hint="eastAsia" w:ascii="宋体" w:hAnsi="宋体" w:eastAsia="宋体" w:cs="宋体"/>
          <w:kern w:val="2"/>
          <w:sz w:val="24"/>
          <w:szCs w:val="24"/>
        </w:rPr>
      </w:pPr>
      <w:bookmarkStart w:id="391" w:name="_Toc296503106"/>
      <w:bookmarkStart w:id="392" w:name="_Toc296346607"/>
      <w:bookmarkStart w:id="393" w:name="_Toc337558804"/>
      <w:bookmarkStart w:id="394" w:name="_Toc322522574"/>
      <w:bookmarkStart w:id="395" w:name="_Toc351203586"/>
      <w:r>
        <w:rPr>
          <w:rFonts w:hint="eastAsia" w:ascii="宋体" w:hAnsi="宋体" w:eastAsia="宋体" w:cs="宋体"/>
          <w:kern w:val="2"/>
          <w:sz w:val="24"/>
          <w:szCs w:val="24"/>
        </w:rPr>
        <w:t>13. 验收和工程试车</w:t>
      </w:r>
      <w:bookmarkEnd w:id="391"/>
      <w:bookmarkEnd w:id="392"/>
      <w:bookmarkEnd w:id="393"/>
      <w:bookmarkEnd w:id="394"/>
      <w:bookmarkEnd w:id="395"/>
    </w:p>
    <w:p w14:paraId="063901D3">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396" w:name="_Toc351203587"/>
      <w:bookmarkStart w:id="397" w:name="_Toc337558805"/>
      <w:bookmarkStart w:id="398" w:name="_Toc296503110"/>
      <w:bookmarkStart w:id="399" w:name="_Toc296346611"/>
      <w:r>
        <w:rPr>
          <w:rFonts w:hint="eastAsia" w:ascii="宋体" w:hAnsi="宋体" w:eastAsia="宋体" w:cs="宋体"/>
          <w:bCs/>
          <w:kern w:val="2"/>
          <w:sz w:val="24"/>
          <w:szCs w:val="24"/>
        </w:rPr>
        <w:t>13.1分部分项工程验收</w:t>
      </w:r>
      <w:bookmarkEnd w:id="396"/>
      <w:bookmarkEnd w:id="397"/>
    </w:p>
    <w:p w14:paraId="3BCEE2EB">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13.1.1 分部分项工程质量应符合国家有关工程施工验收规范、标准及合同约定，承包人应按照施工组织设计的要求完成分部分项工程施工。</w:t>
      </w:r>
    </w:p>
    <w:p w14:paraId="0696BF10">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13.1.2 除专用合同条款另有约定外，分部分项工程经承包人自检合格并具备验收条件的，承包人应提前48小时通知监理人进行验收。</w:t>
      </w:r>
      <w:r>
        <w:rPr>
          <w:rFonts w:hint="eastAsia" w:ascii="宋体" w:hAnsi="宋体" w:eastAsia="宋体" w:cs="宋体"/>
          <w:sz w:val="24"/>
          <w:szCs w:val="24"/>
        </w:rPr>
        <w:t>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宋体" w:hAnsi="宋体" w:eastAsia="宋体" w:cs="宋体"/>
          <w:kern w:val="2"/>
          <w:sz w:val="24"/>
          <w:szCs w:val="24"/>
        </w:rPr>
        <w:t>分部分项工程未经验收的，不得进入下一道工序施工。</w:t>
      </w:r>
    </w:p>
    <w:p w14:paraId="0B572492">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分部分项工程的验收资料应当作为竣工资料的组成部分。</w:t>
      </w:r>
    </w:p>
    <w:p w14:paraId="18157DED">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400" w:name="_Toc337558806"/>
      <w:bookmarkStart w:id="401" w:name="_Toc351203588"/>
      <w:r>
        <w:rPr>
          <w:rFonts w:hint="eastAsia" w:ascii="宋体" w:hAnsi="宋体" w:eastAsia="宋体" w:cs="宋体"/>
          <w:bCs/>
          <w:kern w:val="2"/>
          <w:sz w:val="24"/>
          <w:szCs w:val="24"/>
        </w:rPr>
        <w:t>13.2竣工验收</w:t>
      </w:r>
      <w:bookmarkEnd w:id="398"/>
      <w:bookmarkEnd w:id="399"/>
      <w:bookmarkEnd w:id="400"/>
      <w:bookmarkEnd w:id="401"/>
    </w:p>
    <w:p w14:paraId="000AFA8C">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13.2.1竣工验收条件</w:t>
      </w:r>
    </w:p>
    <w:p w14:paraId="598A106A">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工程具备以下条件的，承包人可以申请竣工验收：</w:t>
      </w:r>
    </w:p>
    <w:p w14:paraId="50541E48">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（1）除发包人同意的甩项工作和缺陷修补工作外，合同范围内的全部工程以及有关工作，包括合同要求的试验、试运行以及检验均已完成，并符合合同要求；</w:t>
      </w:r>
    </w:p>
    <w:p w14:paraId="0484B94B">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（2）已按合同约定编制了甩项工作和缺陷修补工作清单以及相应的施工计划；</w:t>
      </w:r>
    </w:p>
    <w:p w14:paraId="21E9BFE6">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（3）已按合同约定的内容和份数备齐竣工资料。</w:t>
      </w:r>
    </w:p>
    <w:p w14:paraId="17421DD6">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13.2.2竣工验收程序</w:t>
      </w:r>
    </w:p>
    <w:p w14:paraId="6A860413">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除专用合同条款另有约定外，承包人申请竣工验收的，应当按照以下程序进行：</w:t>
      </w:r>
    </w:p>
    <w:p w14:paraId="0F30BFB5">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22426218">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1DE7670D">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（3）竣工验收合格的，发包人应在验收合格后14天内向承包人签发工程接收证书。发包人无正当理由逾期不颁发工程接收证书的，自验收合格后第15天起视为已颁发工程接收证书。</w:t>
      </w:r>
    </w:p>
    <w:p w14:paraId="485359A2">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655F6602">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3474FAEB">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除专用合同条款另有约定外，发包人不按照本项约定组织竣工验收、颁发工程接收证书的，每逾期一天，应以签约合同价为基数，按照中国人民银行发布的同期同类贷款基准利率支付违约金。</w:t>
      </w:r>
    </w:p>
    <w:p w14:paraId="7B94EEBE">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13.2.3竣工日期</w:t>
      </w:r>
    </w:p>
    <w:p w14:paraId="583BFB42">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402" w:name="#go14"/>
      <w:bookmarkEnd w:id="402"/>
      <w:r>
        <w:rPr>
          <w:rFonts w:hint="eastAsia" w:ascii="宋体" w:hAnsi="宋体" w:eastAsia="宋体" w:cs="宋体"/>
          <w:sz w:val="24"/>
          <w:szCs w:val="24"/>
        </w:rPr>
        <w:t>收申请报告的日期为实际竣工日期；工程未经竣工验收，发包人擅自使用的，以转移占有工程之日为实际竣工日期。</w:t>
      </w:r>
    </w:p>
    <w:p w14:paraId="62C8708E">
      <w:pPr>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0"/>
        <w:rPr>
          <w:rFonts w:hint="eastAsia" w:ascii="宋体" w:hAnsi="宋体" w:eastAsia="宋体" w:cs="宋体"/>
          <w:sz w:val="24"/>
          <w:szCs w:val="24"/>
        </w:rPr>
      </w:pPr>
      <w:bookmarkStart w:id="403" w:name="_Toc48222433"/>
      <w:r>
        <w:rPr>
          <w:rFonts w:hint="eastAsia" w:ascii="宋体" w:hAnsi="宋体" w:eastAsia="宋体" w:cs="宋体"/>
          <w:sz w:val="24"/>
          <w:szCs w:val="24"/>
        </w:rPr>
        <w:t>13.2.4 拒绝接收全部或部分工程</w:t>
      </w:r>
      <w:bookmarkEnd w:id="403"/>
    </w:p>
    <w:p w14:paraId="3F84C9F0">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09D378D4">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13.2.5 移交、接收全部与部分工程</w:t>
      </w:r>
    </w:p>
    <w:p w14:paraId="6AAA81C4">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除专用合同条款另有约定外，合同当事人应当在颁发工程接收证书后7天内完成工程的移交。</w:t>
      </w:r>
    </w:p>
    <w:p w14:paraId="716E1CFA">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发包人无正当理由不接收工程的，发包人自应当接收工程之日起，承担工程照管、成品保护、保管等与工程有关的各项费用，合同当事人可以在专用合同条款中另行约定发包人逾期接收工程的违约责任。</w:t>
      </w:r>
    </w:p>
    <w:p w14:paraId="74DD5F12">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承包人无正当理由不移交工程的，承包人应承担工程照管、成品保护、保管等与工程有关的各项费用，合同当事人可以在专用合同条款中另行约定承包人无正当理由不移交工程的违约责任。</w:t>
      </w:r>
    </w:p>
    <w:p w14:paraId="023D7A98">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404" w:name="_Toc337558807"/>
      <w:bookmarkStart w:id="405" w:name="_Toc296346612"/>
      <w:bookmarkStart w:id="406" w:name="_Toc296503111"/>
      <w:bookmarkStart w:id="407" w:name="_Toc351203589"/>
      <w:r>
        <w:rPr>
          <w:rFonts w:hint="eastAsia" w:ascii="宋体" w:hAnsi="宋体" w:eastAsia="宋体" w:cs="宋体"/>
          <w:bCs/>
          <w:kern w:val="2"/>
          <w:sz w:val="24"/>
          <w:szCs w:val="24"/>
        </w:rPr>
        <w:t>13.3工程试车</w:t>
      </w:r>
      <w:bookmarkEnd w:id="404"/>
      <w:bookmarkEnd w:id="405"/>
      <w:bookmarkEnd w:id="406"/>
      <w:bookmarkEnd w:id="407"/>
    </w:p>
    <w:p w14:paraId="5EADF4B6">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13.3.1试车程序</w:t>
      </w:r>
    </w:p>
    <w:p w14:paraId="047EB3A6">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工程需要试车的，除专用合同条款另有约定外，试车内容应与承包人承包范围相一致，试车费用由承包人承担。工程试车应按如下程序进行：</w:t>
      </w:r>
    </w:p>
    <w:p w14:paraId="1BD5DB60">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2D773897">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14:paraId="2423CE40">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17BE80CA">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13.3.2 试车中的责任</w:t>
      </w:r>
    </w:p>
    <w:p w14:paraId="41307615">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159571CE">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06776C46">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13.3.3 投料试车</w:t>
      </w:r>
    </w:p>
    <w:p w14:paraId="2C160295">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如需进行投料试车的，发包人应在工程竣工验收后组织投料试车。发包人要求在工程竣工验收前进行或需要承包人配合时，应征得承包人同意，并在专用合同条款中约定有关事项。</w:t>
      </w:r>
    </w:p>
    <w:p w14:paraId="11C49EDE">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14:paraId="0FE38308">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408" w:name="_Toc351203590"/>
      <w:bookmarkStart w:id="409" w:name="_Toc337558808"/>
      <w:r>
        <w:rPr>
          <w:rFonts w:hint="eastAsia" w:ascii="宋体" w:hAnsi="宋体" w:eastAsia="宋体" w:cs="宋体"/>
          <w:bCs/>
          <w:kern w:val="2"/>
          <w:sz w:val="24"/>
          <w:szCs w:val="24"/>
        </w:rPr>
        <w:t>13.4提前交付单位工程的验收</w:t>
      </w:r>
      <w:bookmarkEnd w:id="408"/>
      <w:bookmarkEnd w:id="409"/>
    </w:p>
    <w:p w14:paraId="29AEF11E">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13.4.1 发包人需要在工程竣工前使用单位工程的，或承包人提出提前交付已经竣工的单位工程且经发包人同意的，可进行单位工程验收，验收的程序按照第13.2款〔竣工验收〕的约定进行。</w:t>
      </w:r>
    </w:p>
    <w:p w14:paraId="4D2E4EB1">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验收合格后，由监理人向承包人出具经发包人签认的单位工程接收证书。已签发单位工程接收证书的单位工程由发包人负责照管。单位工程的验收成果和结论作为整体工程竣工验收申请报告的附件。</w:t>
      </w:r>
    </w:p>
    <w:p w14:paraId="36672FCF">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13.4.2 发包人要求在工程竣工前交付单位工程，由此导致承包人费用增加和（或）工期延误的，由发包人承担由此增加的费用和（或）延误的工期，并支付承包人合理的利润。</w:t>
      </w:r>
    </w:p>
    <w:p w14:paraId="67162ABC">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410" w:name="_Toc351203591"/>
      <w:r>
        <w:rPr>
          <w:rFonts w:hint="eastAsia" w:ascii="宋体" w:hAnsi="宋体" w:eastAsia="宋体" w:cs="宋体"/>
          <w:bCs/>
          <w:kern w:val="2"/>
          <w:sz w:val="24"/>
          <w:szCs w:val="24"/>
        </w:rPr>
        <w:t>13.5 施工期运行</w:t>
      </w:r>
      <w:bookmarkEnd w:id="410"/>
    </w:p>
    <w:p w14:paraId="5F627749">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14:paraId="2054C0F3">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13.5.2 在施工期运行中发现工程或工程设备损坏或存在缺陷的，由承包人按第15.2款〔缺陷责任期〕约定进行修复。</w:t>
      </w:r>
    </w:p>
    <w:p w14:paraId="4BA2BF46">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411" w:name="_Toc296503112"/>
      <w:bookmarkStart w:id="412" w:name="_Toc296346613"/>
      <w:bookmarkStart w:id="413" w:name="_Toc351203592"/>
      <w:bookmarkStart w:id="414" w:name="_Toc337558809"/>
      <w:r>
        <w:rPr>
          <w:rFonts w:hint="eastAsia" w:ascii="宋体" w:hAnsi="宋体" w:eastAsia="宋体" w:cs="宋体"/>
          <w:bCs/>
          <w:kern w:val="2"/>
          <w:sz w:val="24"/>
          <w:szCs w:val="24"/>
        </w:rPr>
        <w:t>13.6 竣工退</w:t>
      </w:r>
      <w:bookmarkEnd w:id="411"/>
      <w:bookmarkEnd w:id="412"/>
      <w:r>
        <w:rPr>
          <w:rFonts w:hint="eastAsia" w:ascii="宋体" w:hAnsi="宋体" w:eastAsia="宋体" w:cs="宋体"/>
          <w:bCs/>
          <w:kern w:val="2"/>
          <w:sz w:val="24"/>
          <w:szCs w:val="24"/>
        </w:rPr>
        <w:t>场</w:t>
      </w:r>
      <w:bookmarkEnd w:id="413"/>
      <w:bookmarkEnd w:id="414"/>
    </w:p>
    <w:p w14:paraId="22949833">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13.6.1 竣工退场</w:t>
      </w:r>
    </w:p>
    <w:p w14:paraId="2CA0A4EA">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颁发工程接收证书后，承包人应按以下要求对施工现场进行清理：</w:t>
      </w:r>
    </w:p>
    <w:p w14:paraId="2255AB4F">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（1）施工现场内残留的垃圾已全部清除出场；</w:t>
      </w:r>
    </w:p>
    <w:p w14:paraId="15859C6C">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（2）临时工程已拆除，场地已进行清理、平整或复原；</w:t>
      </w:r>
    </w:p>
    <w:p w14:paraId="79494A40">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（3）按合同约定应撤离的人员、承包人施工设备和剩余的材料，包括废弃的施工设备和材料，已按计划撤离施工现场；</w:t>
      </w:r>
    </w:p>
    <w:p w14:paraId="17C1F0E2">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（4）施工现场周边及其附近道路、河道的施工堆积物，已全部清理；</w:t>
      </w:r>
    </w:p>
    <w:p w14:paraId="605580A0">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（5）施工现场其他场地清理工作已全部完成。</w:t>
      </w:r>
    </w:p>
    <w:p w14:paraId="1D68A951">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44977C78">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13.6.2 地表还原</w:t>
      </w:r>
    </w:p>
    <w:p w14:paraId="40005340">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承包人应按发包人要求恢复临时占地及清理场地，承包人未按发包人的要求恢复临时占地，或者场地清理未达到合同约定要求的，发包人有权委托其他人恢复或清理，所发生的费用由承包人承担。</w:t>
      </w:r>
    </w:p>
    <w:p w14:paraId="5B144595">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3"/>
        <w:rPr>
          <w:rFonts w:hint="eastAsia" w:ascii="宋体" w:hAnsi="宋体" w:eastAsia="宋体" w:cs="宋体"/>
          <w:kern w:val="2"/>
          <w:sz w:val="24"/>
          <w:szCs w:val="24"/>
        </w:rPr>
      </w:pPr>
      <w:bookmarkStart w:id="415" w:name="_Toc351203593"/>
      <w:bookmarkStart w:id="416" w:name="_Toc337558810"/>
      <w:bookmarkStart w:id="417" w:name="_Toc296503113"/>
      <w:bookmarkStart w:id="418" w:name="_Toc296346614"/>
      <w:r>
        <w:rPr>
          <w:rFonts w:hint="eastAsia" w:ascii="宋体" w:hAnsi="宋体" w:eastAsia="宋体" w:cs="宋体"/>
          <w:kern w:val="2"/>
          <w:sz w:val="24"/>
          <w:szCs w:val="24"/>
        </w:rPr>
        <w:t>14. 竣工结算</w:t>
      </w:r>
      <w:bookmarkEnd w:id="415"/>
      <w:bookmarkEnd w:id="416"/>
    </w:p>
    <w:p w14:paraId="4280307B">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419" w:name="_Toc351203594"/>
      <w:bookmarkStart w:id="420" w:name="_Toc337558811"/>
      <w:r>
        <w:rPr>
          <w:rFonts w:hint="eastAsia" w:ascii="宋体" w:hAnsi="宋体" w:eastAsia="宋体" w:cs="宋体"/>
          <w:bCs/>
          <w:kern w:val="2"/>
          <w:sz w:val="24"/>
          <w:szCs w:val="24"/>
        </w:rPr>
        <w:t>14.1 竣工结算申请</w:t>
      </w:r>
      <w:bookmarkEnd w:id="419"/>
      <w:bookmarkEnd w:id="420"/>
    </w:p>
    <w:p w14:paraId="1517021F">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sz w:val="24"/>
          <w:szCs w:val="24"/>
        </w:rPr>
        <w:t>除专用合同条款另有约定外，</w:t>
      </w:r>
      <w:r>
        <w:rPr>
          <w:rFonts w:hint="eastAsia" w:ascii="宋体" w:hAnsi="宋体" w:eastAsia="宋体" w:cs="宋体"/>
          <w:kern w:val="2"/>
          <w:sz w:val="24"/>
          <w:szCs w:val="24"/>
        </w:rPr>
        <w:t>承包人应在工程竣工验收合格后28天内向发包人和监理人提交竣工结算申请单，并提交完整的结算资料，有关竣工结算申请单的资料清单和份数等要求由合同当事人在专用合同条款中约定。</w:t>
      </w:r>
    </w:p>
    <w:p w14:paraId="47317FA3">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除专用合同条款另有约定外，竣工结算申请单应包括以下内容：</w:t>
      </w:r>
    </w:p>
    <w:p w14:paraId="43DC0768">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（1）竣工结算合同价格；</w:t>
      </w:r>
    </w:p>
    <w:p w14:paraId="7E048DA6">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（2）发包人已支付承包人的款项；</w:t>
      </w:r>
    </w:p>
    <w:p w14:paraId="0321FD36">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 xml:space="preserve">（3）应扣留的质量保证金。已缴纳履约保证金的或提供其他工程质量担保方式的除外； </w:t>
      </w:r>
    </w:p>
    <w:p w14:paraId="4C2177E3">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（4）发包人应支付承包人的合同价款。</w:t>
      </w:r>
    </w:p>
    <w:p w14:paraId="18C8A10C">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421" w:name="_Toc351203595"/>
      <w:bookmarkStart w:id="422" w:name="_Toc337558812"/>
      <w:r>
        <w:rPr>
          <w:rFonts w:hint="eastAsia" w:ascii="宋体" w:hAnsi="宋体" w:eastAsia="宋体" w:cs="宋体"/>
          <w:bCs/>
          <w:kern w:val="2"/>
          <w:sz w:val="24"/>
          <w:szCs w:val="24"/>
        </w:rPr>
        <w:t>14.2 竣工结算审核</w:t>
      </w:r>
      <w:bookmarkEnd w:id="421"/>
      <w:bookmarkEnd w:id="422"/>
    </w:p>
    <w:p w14:paraId="768CC06D">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宋体" w:hAnsi="宋体" w:eastAsia="宋体" w:cs="宋体"/>
          <w:kern w:val="2"/>
          <w:sz w:val="24"/>
          <w:szCs w:val="24"/>
        </w:rPr>
        <w:t>发包人对竣工</w:t>
      </w:r>
      <w:r>
        <w:rPr>
          <w:rFonts w:hint="eastAsia" w:ascii="宋体" w:hAnsi="宋体" w:eastAsia="宋体" w:cs="宋体"/>
          <w:sz w:val="24"/>
          <w:szCs w:val="24"/>
        </w:rPr>
        <w:t>结算</w:t>
      </w:r>
      <w:r>
        <w:rPr>
          <w:rFonts w:hint="eastAsia" w:ascii="宋体" w:hAnsi="宋体" w:eastAsia="宋体" w:cs="宋体"/>
          <w:kern w:val="2"/>
          <w:sz w:val="24"/>
          <w:szCs w:val="24"/>
        </w:rPr>
        <w:t>申请单有异议的，有权要求承包人进行修正和提供补充资料，承包人应提交修正后的竣工</w:t>
      </w:r>
      <w:r>
        <w:rPr>
          <w:rFonts w:hint="eastAsia" w:ascii="宋体" w:hAnsi="宋体" w:eastAsia="宋体" w:cs="宋体"/>
          <w:sz w:val="24"/>
          <w:szCs w:val="24"/>
        </w:rPr>
        <w:t>结算</w:t>
      </w:r>
      <w:r>
        <w:rPr>
          <w:rFonts w:hint="eastAsia" w:ascii="宋体" w:hAnsi="宋体" w:eastAsia="宋体" w:cs="宋体"/>
          <w:kern w:val="2"/>
          <w:sz w:val="24"/>
          <w:szCs w:val="24"/>
        </w:rPr>
        <w:t>申请单。</w:t>
      </w:r>
    </w:p>
    <w:p w14:paraId="5C9C8E31">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331196EB">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14:paraId="3868630B">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14:paraId="2852137C">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423" w:name="_Toc351203596"/>
      <w:bookmarkStart w:id="424" w:name="_Toc337558813"/>
      <w:r>
        <w:rPr>
          <w:rFonts w:hint="eastAsia" w:ascii="宋体" w:hAnsi="宋体" w:eastAsia="宋体" w:cs="宋体"/>
          <w:bCs/>
          <w:kern w:val="2"/>
          <w:sz w:val="24"/>
          <w:szCs w:val="24"/>
        </w:rPr>
        <w:t>14.3 甩项竣工协议</w:t>
      </w:r>
      <w:bookmarkEnd w:id="423"/>
      <w:bookmarkEnd w:id="424"/>
    </w:p>
    <w:p w14:paraId="2117C7B8">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kern w:val="2"/>
          <w:sz w:val="24"/>
          <w:szCs w:val="24"/>
        </w:rPr>
        <w:t>发包人要求甩项竣工的，合同当事人应签订甩项竣工协议。在甩项竣工协议中应明确，合同当事人按照第14.1款〔竣工结算申请〕及14.2款〔竣工结算审核〕的约定，对已完合格工程进行结算，并支付相应合同价款。</w:t>
      </w:r>
    </w:p>
    <w:p w14:paraId="05D94798">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425" w:name="_Toc351203597"/>
      <w:bookmarkStart w:id="426" w:name="_Toc337558814"/>
      <w:r>
        <w:rPr>
          <w:rFonts w:hint="eastAsia" w:ascii="宋体" w:hAnsi="宋体" w:eastAsia="宋体" w:cs="宋体"/>
          <w:bCs/>
          <w:kern w:val="2"/>
          <w:sz w:val="24"/>
          <w:szCs w:val="24"/>
        </w:rPr>
        <w:t>14.4 最终结清</w:t>
      </w:r>
      <w:bookmarkEnd w:id="425"/>
      <w:bookmarkEnd w:id="426"/>
    </w:p>
    <w:p w14:paraId="5BA2FA0D">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14.4.1 最终结清申请单</w:t>
      </w:r>
    </w:p>
    <w:p w14:paraId="41CC6CDC">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（1）除专用合同条款另有约定外，承包人应在缺陷责任期终止证书颁发后7天内，按专用合同条款约定的份数向发包人提交最终结清申请单，并提供相关证明材料。</w:t>
      </w:r>
    </w:p>
    <w:p w14:paraId="645D48A0">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除专用合同条款另有约定外，</w:t>
      </w:r>
      <w:r>
        <w:rPr>
          <w:rFonts w:hint="eastAsia" w:ascii="宋体" w:hAnsi="宋体" w:eastAsia="宋体" w:cs="宋体"/>
          <w:sz w:val="24"/>
          <w:szCs w:val="24"/>
        </w:rPr>
        <w:t>最终结清申请单</w:t>
      </w:r>
      <w:r>
        <w:rPr>
          <w:rFonts w:hint="eastAsia" w:ascii="宋体" w:hAnsi="宋体" w:eastAsia="宋体" w:cs="宋体"/>
          <w:kern w:val="2"/>
          <w:sz w:val="24"/>
          <w:szCs w:val="24"/>
        </w:rPr>
        <w:t>应列明质量保证金、应扣除的质量保证金、缺陷责任期内发生的增减费用。</w:t>
      </w:r>
    </w:p>
    <w:p w14:paraId="79F35948">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（2）发包人对最终结清申请单内容有异议的，有权要求承包人进行修正和提供补充资料，承包人应向发包人提交修正后的最终结清申请单。</w:t>
      </w:r>
    </w:p>
    <w:p w14:paraId="05B3F474">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14.4.2 最终结清证书和支付</w:t>
      </w:r>
    </w:p>
    <w:p w14:paraId="649CB435">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3499BDCE">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06A5BF10">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（3）承包人对发包人颁发的最终结清证书有异议的，按第20条〔争议解决〕的约定办理。</w:t>
      </w:r>
    </w:p>
    <w:p w14:paraId="3F4F6FC4">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3"/>
        <w:rPr>
          <w:rFonts w:hint="eastAsia" w:ascii="宋体" w:hAnsi="宋体" w:eastAsia="宋体" w:cs="宋体"/>
          <w:kern w:val="2"/>
          <w:sz w:val="24"/>
          <w:szCs w:val="24"/>
        </w:rPr>
      </w:pPr>
      <w:bookmarkStart w:id="427" w:name="_Toc351203598"/>
      <w:bookmarkStart w:id="428" w:name="_Toc337558815"/>
      <w:r>
        <w:rPr>
          <w:rFonts w:hint="eastAsia" w:ascii="宋体" w:hAnsi="宋体" w:eastAsia="宋体" w:cs="宋体"/>
          <w:kern w:val="2"/>
          <w:sz w:val="24"/>
          <w:szCs w:val="24"/>
        </w:rPr>
        <w:t>15. 缺陷责任与保修</w:t>
      </w:r>
      <w:bookmarkEnd w:id="417"/>
      <w:bookmarkEnd w:id="418"/>
      <w:bookmarkEnd w:id="427"/>
      <w:bookmarkEnd w:id="428"/>
    </w:p>
    <w:p w14:paraId="3B866F7D">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429" w:name="_Toc337558816"/>
      <w:bookmarkStart w:id="430" w:name="_Toc351203599"/>
      <w:bookmarkStart w:id="431" w:name="_Toc296346615"/>
      <w:bookmarkStart w:id="432" w:name="_Toc296503114"/>
      <w:r>
        <w:rPr>
          <w:rFonts w:hint="eastAsia" w:ascii="宋体" w:hAnsi="宋体" w:eastAsia="宋体" w:cs="宋体"/>
          <w:bCs/>
          <w:kern w:val="2"/>
          <w:sz w:val="24"/>
          <w:szCs w:val="24"/>
        </w:rPr>
        <w:t>15.1 工程保修的原则</w:t>
      </w:r>
      <w:bookmarkEnd w:id="429"/>
      <w:bookmarkEnd w:id="430"/>
    </w:p>
    <w:p w14:paraId="141C4D3E">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在工程移交发包人后，因承包人原因产生的质量缺陷，承包人应承担质量缺陷责任和保修义务。缺陷责任期届满，承包人仍应按合同约定的工程各部位保修年限承担保修义务。</w:t>
      </w:r>
    </w:p>
    <w:p w14:paraId="427D92C9">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433" w:name="_Toc337558817"/>
      <w:bookmarkStart w:id="434" w:name="_Toc351203600"/>
      <w:r>
        <w:rPr>
          <w:rFonts w:hint="eastAsia" w:ascii="宋体" w:hAnsi="宋体" w:eastAsia="宋体" w:cs="宋体"/>
          <w:bCs/>
          <w:kern w:val="2"/>
          <w:sz w:val="24"/>
          <w:szCs w:val="24"/>
        </w:rPr>
        <w:t>15.2 缺陷责任期</w:t>
      </w:r>
      <w:bookmarkEnd w:id="431"/>
      <w:bookmarkEnd w:id="432"/>
      <w:bookmarkEnd w:id="433"/>
      <w:bookmarkEnd w:id="434"/>
    </w:p>
    <w:p w14:paraId="510C8B6A">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15.2.1 缺陷责任期从工程通过竣工验收之日起计算，合同当事人应在专用合同条款约定缺陷责任期的具体期限，但该期限最长不超过24个月。</w:t>
      </w:r>
    </w:p>
    <w:p w14:paraId="097B3A54">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p>
    <w:p w14:paraId="0B33DA38">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ascii="宋体" w:hAnsi="宋体" w:eastAsia="宋体" w:cs="宋体"/>
          <w:bCs/>
          <w:kern w:val="2"/>
          <w:sz w:val="24"/>
          <w:szCs w:val="24"/>
        </w:rPr>
        <w:t>包人延长缺陷责任期，</w:t>
      </w:r>
      <w:r>
        <w:rPr>
          <w:rFonts w:hint="eastAsia" w:ascii="宋体" w:hAnsi="宋体" w:eastAsia="宋体" w:cs="宋体"/>
          <w:sz w:val="24"/>
          <w:szCs w:val="24"/>
        </w:rPr>
        <w:t>并应在原缺陷责任期届满前发出延长通知。</w:t>
      </w:r>
      <w:r>
        <w:rPr>
          <w:rFonts w:hint="eastAsia" w:ascii="宋体" w:hAnsi="宋体" w:eastAsia="宋体" w:cs="宋体"/>
          <w:bCs/>
          <w:kern w:val="2"/>
          <w:sz w:val="24"/>
          <w:szCs w:val="24"/>
        </w:rPr>
        <w:t>但缺陷责任期（含延长部分）最长</w:t>
      </w:r>
      <w:r>
        <w:rPr>
          <w:rFonts w:hint="eastAsia" w:ascii="宋体" w:hAnsi="宋体" w:eastAsia="宋体" w:cs="宋体"/>
          <w:sz w:val="24"/>
          <w:szCs w:val="24"/>
        </w:rPr>
        <w:t>不能超过24个月。</w:t>
      </w:r>
    </w:p>
    <w:p w14:paraId="615A47CB">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由他人原因造成的缺陷，发包人负责组织维修，承包人不承担费用，且发包人不得从保证金中扣除费用。</w:t>
      </w:r>
    </w:p>
    <w:p w14:paraId="4B3D9292">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15.2.3 任何一项缺陷或损坏修复后，经检查证明其影响了工程或工程设备的使用性能，承包人应重新进行合同约定的试验和试运行，试验和试运行的全部费用应由责任方承担。</w:t>
      </w:r>
    </w:p>
    <w:p w14:paraId="25BC210D">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14:paraId="4E760359">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435" w:name="_Toc337558818"/>
      <w:bookmarkStart w:id="436" w:name="_Toc351203601"/>
      <w:bookmarkStart w:id="437" w:name="_Toc296503115"/>
      <w:bookmarkStart w:id="438" w:name="_Toc296346616"/>
      <w:r>
        <w:rPr>
          <w:rFonts w:hint="eastAsia" w:ascii="宋体" w:hAnsi="宋体" w:eastAsia="宋体" w:cs="宋体"/>
          <w:bCs/>
          <w:kern w:val="2"/>
          <w:sz w:val="24"/>
          <w:szCs w:val="24"/>
        </w:rPr>
        <w:t>15.3 质量保证金</w:t>
      </w:r>
      <w:bookmarkEnd w:id="435"/>
      <w:bookmarkEnd w:id="436"/>
    </w:p>
    <w:p w14:paraId="40B38D27">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经合同当事人协商一致扣留质量保证金的，应在专用合同条款中予以明确。</w:t>
      </w:r>
    </w:p>
    <w:p w14:paraId="38B5089A">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kern w:val="2"/>
          <w:sz w:val="24"/>
          <w:szCs w:val="24"/>
        </w:rPr>
        <w:t>在工程项目竣工前，承包人已经提供履约担保的，发包人不得同时预留工程质量保证金。</w:t>
      </w:r>
    </w:p>
    <w:p w14:paraId="6BA20151">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15.3.1 承包人提供质量保证金的方式</w:t>
      </w:r>
    </w:p>
    <w:p w14:paraId="016C4184">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承包人提供质量保证金有以下三种方式：</w:t>
      </w:r>
    </w:p>
    <w:p w14:paraId="7EF190A2">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（1）质量保证金保函； </w:t>
      </w:r>
    </w:p>
    <w:p w14:paraId="66E4922A">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（2）相应比例的工程款；</w:t>
      </w:r>
    </w:p>
    <w:p w14:paraId="68F598E3">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（3）双方约定的其他方式。</w:t>
      </w:r>
    </w:p>
    <w:p w14:paraId="2217D59F">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除专用合同条款另有约定外，质量保证金原则上采用上述第（1）种方式。</w:t>
      </w:r>
    </w:p>
    <w:p w14:paraId="3697E752">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15.3.2 质量保证金的扣留</w:t>
      </w:r>
    </w:p>
    <w:p w14:paraId="35DD2445">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质量保证金的扣留有以下三种方式：</w:t>
      </w:r>
    </w:p>
    <w:p w14:paraId="4EA6E209">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（1）在支付工程进度款时逐次扣留，在此情形下，质量保证金的计算基数不包括预付款的支付、扣回以及价格调整的金额；</w:t>
      </w:r>
    </w:p>
    <w:p w14:paraId="4D558D52">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（2）工</w:t>
      </w:r>
      <w:bookmarkStart w:id="439" w:name="#go6"/>
      <w:bookmarkEnd w:id="439"/>
      <w:r>
        <w:rPr>
          <w:rFonts w:hint="eastAsia" w:ascii="宋体" w:hAnsi="宋体" w:eastAsia="宋体" w:cs="宋体"/>
          <w:sz w:val="24"/>
          <w:szCs w:val="24"/>
        </w:rPr>
        <w:t>程竣工结算时一次性扣留质量保证金；</w:t>
      </w:r>
    </w:p>
    <w:p w14:paraId="1E3AE725">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（3）双方约定的其他扣留方式。</w:t>
      </w:r>
    </w:p>
    <w:p w14:paraId="37C9B07B">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除专用合同条款另有约定外，质量保证金的扣留原则上采用上述第（1）种方式。</w:t>
      </w:r>
    </w:p>
    <w:p w14:paraId="234F7CB0">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w:t>
      </w:r>
      <w:bookmarkStart w:id="440" w:name="#go4"/>
      <w:bookmarkEnd w:id="440"/>
      <w:r>
        <w:rPr>
          <w:rFonts w:hint="eastAsia" w:ascii="宋体" w:hAnsi="宋体" w:eastAsia="宋体" w:cs="宋体"/>
          <w:sz w:val="24"/>
          <w:szCs w:val="24"/>
        </w:rPr>
        <w:t>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p>
    <w:p w14:paraId="1B0A31D2">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发包人在退还质量保证金的同时按照中国人民银行发布的同期同类贷款基准利率支付利息。</w:t>
      </w:r>
    </w:p>
    <w:p w14:paraId="079EF5DA">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15.3.3 </w:t>
      </w:r>
      <w:r>
        <w:rPr>
          <w:rFonts w:hint="eastAsia" w:ascii="宋体" w:hAnsi="宋体" w:eastAsia="宋体" w:cs="宋体"/>
          <w:kern w:val="2"/>
          <w:sz w:val="24"/>
          <w:szCs w:val="24"/>
        </w:rPr>
        <w:t>质量保证金</w:t>
      </w:r>
      <w:r>
        <w:rPr>
          <w:rFonts w:hint="eastAsia" w:ascii="宋体" w:hAnsi="宋体" w:eastAsia="宋体" w:cs="宋体"/>
          <w:sz w:val="24"/>
          <w:szCs w:val="24"/>
        </w:rPr>
        <w:t>的退还</w:t>
      </w:r>
    </w:p>
    <w:p w14:paraId="43106814">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缺陷责任期内，承包人认真履行合同约定的责任，到期后，承包人可向发包人申请返还保证金。</w:t>
      </w:r>
    </w:p>
    <w:p w14:paraId="5D2C8883">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14:paraId="07D619FA">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发包人和承包人对保证金预留、返还以及工程维修质量、费用有争议的，按本合同第20条约定的争议和纠纷解决程序处理。</w:t>
      </w:r>
    </w:p>
    <w:p w14:paraId="79DF213A">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441" w:name="_Toc337558819"/>
      <w:bookmarkStart w:id="442" w:name="_Toc351203602"/>
      <w:r>
        <w:rPr>
          <w:rFonts w:hint="eastAsia" w:ascii="宋体" w:hAnsi="宋体" w:eastAsia="宋体" w:cs="宋体"/>
          <w:bCs/>
          <w:kern w:val="2"/>
          <w:sz w:val="24"/>
          <w:szCs w:val="24"/>
        </w:rPr>
        <w:t>15.4 保修</w:t>
      </w:r>
      <w:bookmarkEnd w:id="437"/>
      <w:bookmarkEnd w:id="438"/>
      <w:bookmarkEnd w:id="441"/>
      <w:bookmarkEnd w:id="442"/>
    </w:p>
    <w:p w14:paraId="4965CF7F">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15.4.1保修责任</w:t>
      </w:r>
    </w:p>
    <w:p w14:paraId="0A4FE98A">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005B78ED">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发包人未经竣工验收擅自使用工程的，保修期自</w:t>
      </w:r>
      <w:r>
        <w:rPr>
          <w:rFonts w:hint="eastAsia" w:ascii="宋体" w:hAnsi="宋体" w:eastAsia="宋体" w:cs="宋体"/>
          <w:sz w:val="24"/>
          <w:szCs w:val="24"/>
        </w:rPr>
        <w:t>转移占有之日起算</w:t>
      </w:r>
      <w:r>
        <w:rPr>
          <w:rFonts w:hint="eastAsia" w:ascii="宋体" w:hAnsi="宋体" w:eastAsia="宋体" w:cs="宋体"/>
          <w:kern w:val="2"/>
          <w:sz w:val="24"/>
          <w:szCs w:val="24"/>
        </w:rPr>
        <w:t>。</w:t>
      </w:r>
    </w:p>
    <w:p w14:paraId="2C30CE38">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15.4.2 修复费用</w:t>
      </w:r>
    </w:p>
    <w:p w14:paraId="40630838">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保修期内，修复的费用按照以下约定处理：</w:t>
      </w:r>
    </w:p>
    <w:p w14:paraId="0FA8D88C">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（1）保修期内，因承包人原因造成工程的缺陷、损坏，承包人应负责修复，并承担修复的费用以及因工程的缺陷、损坏造成的人身伤害和财产损失；</w:t>
      </w:r>
    </w:p>
    <w:p w14:paraId="6701C5DD">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（2）保修期内，因发包人使用不当造成工程的缺陷、损坏，可以委托承包人修复，但发包人应承担修复的费用，并支付承包人合理利润；</w:t>
      </w:r>
    </w:p>
    <w:p w14:paraId="08DBD5E4">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（3）因其他原因造成工程的缺陷、损坏，可以委托承包人修复，发包人应承担修复的费用，并支付承包人合理的利润，因工程的缺陷、损坏造成的人身伤害和财产损失由责任方承担。</w:t>
      </w:r>
    </w:p>
    <w:p w14:paraId="77B065B5">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15.4.3 修复通知</w:t>
      </w:r>
    </w:p>
    <w:p w14:paraId="141DBA5C">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14:paraId="7946E68D">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15.4.4 未能修复</w:t>
      </w:r>
    </w:p>
    <w:p w14:paraId="384A4600">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0D534C20">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15.4.5 承包人出入权</w:t>
      </w:r>
    </w:p>
    <w:p w14:paraId="4128F5F8">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14:paraId="25E6DDD2">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3"/>
        <w:rPr>
          <w:rFonts w:hint="eastAsia" w:ascii="宋体" w:hAnsi="宋体" w:eastAsia="宋体" w:cs="宋体"/>
          <w:kern w:val="2"/>
          <w:sz w:val="24"/>
          <w:szCs w:val="24"/>
        </w:rPr>
      </w:pPr>
      <w:bookmarkStart w:id="443" w:name="_Toc351203603"/>
      <w:bookmarkStart w:id="444" w:name="_Toc337558820"/>
      <w:r>
        <w:rPr>
          <w:rFonts w:hint="eastAsia" w:ascii="宋体" w:hAnsi="宋体" w:eastAsia="宋体" w:cs="宋体"/>
          <w:kern w:val="2"/>
          <w:sz w:val="24"/>
          <w:szCs w:val="24"/>
        </w:rPr>
        <w:t>16. 违约</w:t>
      </w:r>
      <w:bookmarkEnd w:id="443"/>
      <w:bookmarkEnd w:id="444"/>
    </w:p>
    <w:p w14:paraId="0209ED80">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445" w:name="_Toc296346630"/>
      <w:bookmarkStart w:id="446" w:name="_Toc296503129"/>
      <w:bookmarkStart w:id="447" w:name="_Toc337558821"/>
      <w:bookmarkStart w:id="448" w:name="_Toc351203604"/>
      <w:r>
        <w:rPr>
          <w:rFonts w:hint="eastAsia" w:ascii="宋体" w:hAnsi="宋体" w:eastAsia="宋体" w:cs="宋体"/>
          <w:bCs/>
          <w:kern w:val="2"/>
          <w:sz w:val="24"/>
          <w:szCs w:val="24"/>
        </w:rPr>
        <w:t>16.1 发</w:t>
      </w:r>
      <w:bookmarkEnd w:id="445"/>
      <w:bookmarkEnd w:id="446"/>
      <w:r>
        <w:rPr>
          <w:rFonts w:hint="eastAsia" w:ascii="宋体" w:hAnsi="宋体" w:eastAsia="宋体" w:cs="宋体"/>
          <w:bCs/>
          <w:kern w:val="2"/>
          <w:sz w:val="24"/>
          <w:szCs w:val="24"/>
        </w:rPr>
        <w:t>包人违约</w:t>
      </w:r>
      <w:bookmarkEnd w:id="447"/>
      <w:bookmarkEnd w:id="448"/>
    </w:p>
    <w:p w14:paraId="0A04387A">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16.1.1 发包人违约的情形</w:t>
      </w:r>
    </w:p>
    <w:p w14:paraId="261C774E">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在合同履行过程中发生的下列情形，属于发包人违约：</w:t>
      </w:r>
    </w:p>
    <w:p w14:paraId="28E41ABA">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（1）因发包人原因未能在计划开工日期前7天内下达开工通知的；</w:t>
      </w:r>
    </w:p>
    <w:p w14:paraId="26BFB0A1">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（2）因发包人原因未能按合同约定支付合同价款的；</w:t>
      </w:r>
    </w:p>
    <w:p w14:paraId="2E18119A">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（3）发包人违反第10.1款〔变更的范围〕第（2）项约定，自行实施被取消的工作或转由他人实施的；</w:t>
      </w:r>
    </w:p>
    <w:p w14:paraId="5F15B39A">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（4）发包人提供的材料、工程设备的规格、数量或质量不符合合同约定，或因发包人原因导致交货日期延误或交货地点变更等情况的；</w:t>
      </w:r>
    </w:p>
    <w:p w14:paraId="525DFEE7">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（5）因发包人违反合同约定造成暂停施工的；</w:t>
      </w:r>
    </w:p>
    <w:p w14:paraId="68531B94">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（6）发包人无正当理由没有在约定期限内发出复工指示，导致承包人无法复工的；</w:t>
      </w:r>
    </w:p>
    <w:p w14:paraId="654B2B18">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（7）发包人明确表示或者以其行为表明不履行合同主要义务的；</w:t>
      </w:r>
    </w:p>
    <w:p w14:paraId="2091C836">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（8）发包人未能按照合同约定履行其他义务的。</w:t>
      </w:r>
    </w:p>
    <w:p w14:paraId="7751E7DC">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14:paraId="41B956AC">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16.1.2 发包人违约的责任</w:t>
      </w:r>
    </w:p>
    <w:p w14:paraId="7E107F09">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发包人应承担因其违约给承包人增加的费用和（或）延误的工期，并支付承包人合理的利润。此外，合同当事人可在专用合同条款中另行约定发包人违约责任的承担方式和计算方法。</w:t>
      </w:r>
    </w:p>
    <w:p w14:paraId="5AB8ABC5">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16.1.3 因发包人违约解除合同</w:t>
      </w:r>
    </w:p>
    <w:p w14:paraId="26B4ECDB">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14:paraId="40F2A858">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sz w:val="24"/>
          <w:szCs w:val="24"/>
        </w:rPr>
        <w:t>16.1.4 因发包人违约解除合同后的付款</w:t>
      </w:r>
    </w:p>
    <w:p w14:paraId="75ED7D04">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承包人按照本款约定解除合同的，发包人应在解除合同后28天内支付下列款项，并解除履约担保：</w:t>
      </w:r>
    </w:p>
    <w:p w14:paraId="12197000">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（1）合同解除前所完成工作的价款；</w:t>
      </w:r>
    </w:p>
    <w:p w14:paraId="0266F469">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（2）承包人为工程施工订购并已付款的材料、工程设备和其他物品的价款；</w:t>
      </w:r>
    </w:p>
    <w:p w14:paraId="1EBE8BBA">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（3）承包人撤离施工现场以及遣散承包人人员的款项；</w:t>
      </w:r>
    </w:p>
    <w:p w14:paraId="05FC181E">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（4）按照合同约定在合同解除前应支付的违约金；</w:t>
      </w:r>
    </w:p>
    <w:p w14:paraId="14CF4CF7">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（5）按照合同约定应当支付给承包人的其他款项；</w:t>
      </w:r>
    </w:p>
    <w:p w14:paraId="07E85AE4">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（6）按照合同约定应退还的质量保证金；</w:t>
      </w:r>
    </w:p>
    <w:p w14:paraId="0D15842F">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（7）因解除合同给承包人造成的损失。</w:t>
      </w:r>
    </w:p>
    <w:p w14:paraId="7FBE8FE5">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合同当事人未能就解除合同后的结清达成一致的，按照第20条〔争议解决〕的约定处理。</w:t>
      </w:r>
    </w:p>
    <w:p w14:paraId="28E936B5">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承包人应妥善做好已完工程和与工程有关的已购材料、工程设备的保护和移交工作，并将施工设备和人员撤出施工现场，发包人应为承包人撤出提供必要条件。</w:t>
      </w:r>
    </w:p>
    <w:p w14:paraId="75DC070A">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449" w:name="_Toc296346632"/>
      <w:bookmarkStart w:id="450" w:name="_Toc337558822"/>
      <w:bookmarkStart w:id="451" w:name="_Toc296503131"/>
      <w:bookmarkStart w:id="452" w:name="_Toc351203605"/>
      <w:r>
        <w:rPr>
          <w:rFonts w:hint="eastAsia" w:ascii="宋体" w:hAnsi="宋体" w:eastAsia="宋体" w:cs="宋体"/>
          <w:bCs/>
          <w:kern w:val="2"/>
          <w:sz w:val="24"/>
          <w:szCs w:val="24"/>
        </w:rPr>
        <w:t>16.2 承包人违约</w:t>
      </w:r>
      <w:bookmarkEnd w:id="449"/>
      <w:bookmarkEnd w:id="450"/>
      <w:bookmarkEnd w:id="451"/>
      <w:bookmarkEnd w:id="452"/>
    </w:p>
    <w:p w14:paraId="43287AD2">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16.2.1 承包人违约的情形</w:t>
      </w:r>
    </w:p>
    <w:p w14:paraId="541931DE">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在合同履行过程中发生的下列情形，属于承包人违约：</w:t>
      </w:r>
    </w:p>
    <w:p w14:paraId="73F878F5">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（1）承包人违反合同约定进行转包或违法分包的；</w:t>
      </w:r>
    </w:p>
    <w:p w14:paraId="712B5B21">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（2）承包人违反合同约定采购和使用不合格的材料和工程设备的；</w:t>
      </w:r>
    </w:p>
    <w:p w14:paraId="4D247E08">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（3）因承包人原因导致工程质量不符合合同要求的； </w:t>
      </w:r>
    </w:p>
    <w:p w14:paraId="0A57BA7B">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（4）承包人违反第8.9款〔材料与设备专用要求〕的约定，未经批准，私自将已按照合同约定进入施工现场的材料或设备撤离施工现场的；</w:t>
      </w:r>
    </w:p>
    <w:p w14:paraId="2C47980E">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（5）承包人未能按施工进度计划及时完成合同约定的工作，造成工期延误的；</w:t>
      </w:r>
    </w:p>
    <w:p w14:paraId="6B4C9E5A">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（6）承包人在缺陷责任期及保修期内，未能在合理期限对工程缺陷进行修复，或拒绝按发包人要求进行修复的；</w:t>
      </w:r>
    </w:p>
    <w:p w14:paraId="28BAD6FC">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（7）承包人明确表示或者以其行为表明不履行合同主要义务的；</w:t>
      </w:r>
    </w:p>
    <w:p w14:paraId="5CF57CB9">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（8）承包人未能按照合同约定履行其他义务的。</w:t>
      </w:r>
    </w:p>
    <w:p w14:paraId="288C9694">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承包人发生除本项第（7）目约定以外的其他违约情况时，监理人可向承包人发出整改通知，要求其在指定的期限内改正。</w:t>
      </w:r>
    </w:p>
    <w:p w14:paraId="26F1CD56">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16.2.2 承包人违约的责任</w:t>
      </w:r>
    </w:p>
    <w:p w14:paraId="5F82A91D">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承包人应承担因其违约行为而增加的费用和（或）延误的工期。此外，合同当事人可在专用合同条款中另行约定承包人违约责任的承担方式和计算方法。</w:t>
      </w:r>
    </w:p>
    <w:p w14:paraId="691A1425">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16.2.3 因承包人违约解除合同</w:t>
      </w:r>
    </w:p>
    <w:p w14:paraId="124677DB">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14:paraId="3BBF000D">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16.2.4因承包人违约解除合同后的处理</w:t>
      </w:r>
    </w:p>
    <w:p w14:paraId="2F4EB0DB">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因承包人原因导致合同解除的，则合同当事人应在合同解除后28天内完成估价、付款和清算，并按以下约定执行：</w:t>
      </w:r>
    </w:p>
    <w:p w14:paraId="6A0C03B0">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（1）合同解除后，按第4.4款〔商定或确定〕商定或确定承包人实际完成工作对应的合同价款，以及承包人已提供的材料、工程设备、施工设备和临时工程等的价值；</w:t>
      </w:r>
    </w:p>
    <w:p w14:paraId="6D023FBB">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（2）合同解除后，承包人应支付的违约金；</w:t>
      </w:r>
    </w:p>
    <w:p w14:paraId="63A455CB">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（3）合同解除后，因解除合同给发包人造成的损失；</w:t>
      </w:r>
    </w:p>
    <w:p w14:paraId="658A7B4E">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（4）合同解除后，承包人应按照发包人要求和监理人的指示完成现场的清理和撤离；</w:t>
      </w:r>
    </w:p>
    <w:p w14:paraId="1E3590C7">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（5）发包人和承包人应在合同解除后进行清算，出具最终结清付款证书，结清全部款项。</w:t>
      </w:r>
    </w:p>
    <w:p w14:paraId="52A5AC3E">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因承包人违约解除合同的，发包人有权暂停对承包人的付款，查清各项付款和已扣款项。发包人和承包人未能就合同解除后的清算和款项支付达成一致的，按照第20条〔争议解决〕的约定处理。</w:t>
      </w:r>
    </w:p>
    <w:p w14:paraId="64AD4410">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16.2.5采购合同权益转让</w:t>
      </w:r>
    </w:p>
    <w:p w14:paraId="0C3CCECF">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14:paraId="4B656A67">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453" w:name="_Toc351203606"/>
      <w:r>
        <w:rPr>
          <w:rFonts w:hint="eastAsia" w:ascii="宋体" w:hAnsi="宋体" w:eastAsia="宋体" w:cs="宋体"/>
          <w:bCs/>
          <w:kern w:val="2"/>
          <w:sz w:val="24"/>
          <w:szCs w:val="24"/>
        </w:rPr>
        <w:t>16.3 第三人造成的违约</w:t>
      </w:r>
      <w:bookmarkEnd w:id="453"/>
    </w:p>
    <w:p w14:paraId="73D1E7DE">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在履行合同过程中，一方当事人因第三人的原因造成违约的，应当向对方当事人承担违约责任。一方当事人和第三人之间的纠纷，依照法律规定或者按照约定解决。</w:t>
      </w:r>
    </w:p>
    <w:p w14:paraId="6490C55F">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3"/>
        <w:rPr>
          <w:rFonts w:hint="eastAsia" w:ascii="宋体" w:hAnsi="宋体" w:eastAsia="宋体" w:cs="宋体"/>
          <w:kern w:val="2"/>
          <w:sz w:val="24"/>
          <w:szCs w:val="24"/>
        </w:rPr>
      </w:pPr>
      <w:bookmarkStart w:id="454" w:name="_Toc351203607"/>
      <w:bookmarkStart w:id="455" w:name="_Toc337558823"/>
      <w:bookmarkStart w:id="456" w:name="_Toc296503116"/>
      <w:bookmarkStart w:id="457" w:name="_Toc296346617"/>
      <w:r>
        <w:rPr>
          <w:rFonts w:hint="eastAsia" w:ascii="宋体" w:hAnsi="宋体" w:eastAsia="宋体" w:cs="宋体"/>
          <w:kern w:val="2"/>
          <w:sz w:val="24"/>
          <w:szCs w:val="24"/>
        </w:rPr>
        <w:t>17. 不可抗力</w:t>
      </w:r>
      <w:bookmarkEnd w:id="454"/>
      <w:r>
        <w:rPr>
          <w:rFonts w:hint="eastAsia" w:ascii="宋体" w:hAnsi="宋体" w:eastAsia="宋体" w:cs="宋体"/>
          <w:kern w:val="2"/>
          <w:sz w:val="24"/>
          <w:szCs w:val="24"/>
        </w:rPr>
        <w:t xml:space="preserve"> </w:t>
      </w:r>
      <w:bookmarkEnd w:id="455"/>
      <w:bookmarkEnd w:id="456"/>
      <w:bookmarkEnd w:id="457"/>
    </w:p>
    <w:p w14:paraId="05F7AD46">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458" w:name="_Toc296346618"/>
      <w:bookmarkStart w:id="459" w:name="_Toc351203608"/>
      <w:bookmarkStart w:id="460" w:name="_Toc337558824"/>
      <w:bookmarkStart w:id="461" w:name="_Toc296503117"/>
      <w:r>
        <w:rPr>
          <w:rFonts w:hint="eastAsia" w:ascii="宋体" w:hAnsi="宋体" w:eastAsia="宋体" w:cs="宋体"/>
          <w:bCs/>
          <w:kern w:val="2"/>
          <w:sz w:val="24"/>
          <w:szCs w:val="24"/>
        </w:rPr>
        <w:t>17.1 不可抗力的确认</w:t>
      </w:r>
      <w:bookmarkEnd w:id="458"/>
      <w:bookmarkEnd w:id="459"/>
      <w:bookmarkEnd w:id="460"/>
      <w:bookmarkEnd w:id="461"/>
    </w:p>
    <w:p w14:paraId="19F550DA">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不可抗力是指合同当事人在签订合同时不可预见，在合同履行过程中不可避免且不能克服的自然灾害和社会性突发事件，如地震、海啸、瘟疫、骚乱、戒严、暴动、战争和专用合同条款中约定的其他情形。</w:t>
      </w:r>
    </w:p>
    <w:p w14:paraId="2FB487BB">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14:paraId="51C27E50">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462" w:name="_Toc337558825"/>
      <w:bookmarkStart w:id="463" w:name="_Toc296503118"/>
      <w:bookmarkStart w:id="464" w:name="_Toc351203609"/>
      <w:bookmarkStart w:id="465" w:name="_Toc296346619"/>
      <w:r>
        <w:rPr>
          <w:rFonts w:hint="eastAsia" w:ascii="宋体" w:hAnsi="宋体" w:eastAsia="宋体" w:cs="宋体"/>
          <w:bCs/>
          <w:kern w:val="2"/>
          <w:sz w:val="24"/>
          <w:szCs w:val="24"/>
        </w:rPr>
        <w:t>17.2 不可抗力的通知</w:t>
      </w:r>
      <w:bookmarkEnd w:id="462"/>
      <w:bookmarkEnd w:id="463"/>
      <w:bookmarkEnd w:id="464"/>
      <w:bookmarkEnd w:id="465"/>
    </w:p>
    <w:p w14:paraId="25513E40">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合同一方当事人遇到不可抗力事件，使其履行合同义务受到阻碍时，应立即通知合同另一方当事人和监理人，书面说明不可抗力和受阻碍的详细情况，并提供必要的证明。</w:t>
      </w:r>
    </w:p>
    <w:p w14:paraId="4C9628A8">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不可抗力持续发生的，合同一方当事人应及时向合同另一方当事人和监理人提交中间报告，说明不可抗力和履行合同受阻的情况，并于不可抗力事件结束后28天内提交最终报告及有关资料。</w:t>
      </w:r>
    </w:p>
    <w:p w14:paraId="12F51D42">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466" w:name="_Toc296346620"/>
      <w:bookmarkStart w:id="467" w:name="_Toc337558826"/>
      <w:bookmarkStart w:id="468" w:name="_Toc296503119"/>
      <w:bookmarkStart w:id="469" w:name="_Toc351203610"/>
      <w:r>
        <w:rPr>
          <w:rFonts w:hint="eastAsia" w:ascii="宋体" w:hAnsi="宋体" w:eastAsia="宋体" w:cs="宋体"/>
          <w:bCs/>
          <w:kern w:val="2"/>
          <w:sz w:val="24"/>
          <w:szCs w:val="24"/>
        </w:rPr>
        <w:t>17.3 不可抗力后果的承担</w:t>
      </w:r>
      <w:bookmarkEnd w:id="466"/>
      <w:bookmarkEnd w:id="467"/>
      <w:bookmarkEnd w:id="468"/>
      <w:bookmarkEnd w:id="469"/>
    </w:p>
    <w:p w14:paraId="33785814">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17.3.1 不可抗力引起的后果及造成的损失由合同当事人按照法律规定及合同约定各自承担。不可抗力发生前已完成的工程应当按照合同约定进行计量支付。</w:t>
      </w:r>
    </w:p>
    <w:p w14:paraId="1301032D">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17.3.2 不可抗力导致的人员伤亡、财产损失、费用增加和（或）工期延误等后果，由合同当事人按以下原则承担：</w:t>
      </w:r>
    </w:p>
    <w:p w14:paraId="02E2C887">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（1）永久工程、已运至施工现场的材料和工程设备的损坏，以及因工程损坏造成的第三人人员伤亡和财产损失由发包人承担；</w:t>
      </w:r>
    </w:p>
    <w:p w14:paraId="2A4FAB20">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（2）承包人施工设备的损坏由承包人承担；</w:t>
      </w:r>
    </w:p>
    <w:p w14:paraId="67C551E4">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（3）发包人和承包人承担各自人员伤亡和财产的损失；</w:t>
      </w:r>
    </w:p>
    <w:p w14:paraId="0FA40FC2">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（4）因不可抗力影响承包人履行合同约定的义务，已经引起或将引起工期延误的，应当顺延工期，由此导致承包人停工的费用损失由发包人和承包人合理分担，停工期间必须支付的工人工资由发包人承担；</w:t>
      </w:r>
    </w:p>
    <w:p w14:paraId="03E6F906">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（5）因不可抗力引起或将引起工期延误，发包人要求赶工的，由此增加的赶工费用由发包人承担；</w:t>
      </w:r>
    </w:p>
    <w:p w14:paraId="4A7E8DC4">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（6）承包人在停工期间按照发包人要求照管、清理和修复工程的费用由发包人承担。</w:t>
      </w:r>
    </w:p>
    <w:p w14:paraId="74819948">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不可抗力发生后，合同当事人均应采取措施尽量避免和减少损失的扩大，任何一方当事人没有采取有效措施导致损失扩大的，应对扩大的损失承担责任。</w:t>
      </w:r>
    </w:p>
    <w:p w14:paraId="0B87C269">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因合同一方迟延履行合同义务，在迟延履行期间遭遇不可抗力的，不免除其违约责任。</w:t>
      </w:r>
    </w:p>
    <w:p w14:paraId="0C984E81">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470" w:name="_Toc351203611"/>
      <w:bookmarkStart w:id="471" w:name="_Toc337558827"/>
      <w:r>
        <w:rPr>
          <w:rFonts w:hint="eastAsia" w:ascii="宋体" w:hAnsi="宋体" w:eastAsia="宋体" w:cs="宋体"/>
          <w:bCs/>
          <w:kern w:val="2"/>
          <w:sz w:val="24"/>
          <w:szCs w:val="24"/>
        </w:rPr>
        <w:t>17.4 因不可抗力解除合同</w:t>
      </w:r>
      <w:bookmarkEnd w:id="470"/>
      <w:bookmarkEnd w:id="471"/>
    </w:p>
    <w:p w14:paraId="726FA882">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因不可抗力导致合同无法履行连续超过84天或累计超过140天的，发包人和承包人均有权解除合同。合同解除后，由双方当事人按照第4.4款〔商定或确定〕商定或确定发包人应支付的款项，该款项包括：</w:t>
      </w:r>
    </w:p>
    <w:p w14:paraId="560E9794">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（1）合同解除前承包人已完成工作的价款；</w:t>
      </w:r>
    </w:p>
    <w:p w14:paraId="48ED4168">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（2）承包人为工程订购的并已交付给承包人，或承包人有责任接受交付的材料、工程设备和其他物品的价款；</w:t>
      </w:r>
    </w:p>
    <w:p w14:paraId="6F51B8FD">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（3）发包人要求承包人退货或解除订货合同而产生的费用，或因不能退货或解除合同而产生的损失；</w:t>
      </w:r>
    </w:p>
    <w:p w14:paraId="33D8DCF0">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（4）承包人撤离施工现场以及遣散承包人人员的费用；</w:t>
      </w:r>
    </w:p>
    <w:p w14:paraId="74AB2558">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（5）按照合同约定在合同解除前应支付给承包人的其他款项；</w:t>
      </w:r>
    </w:p>
    <w:p w14:paraId="0A100911">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（6）扣减承包人按照合同约定应向发包人支付的款项；</w:t>
      </w:r>
    </w:p>
    <w:p w14:paraId="74236F31">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（7）双方商定或确定的其他款项。</w:t>
      </w:r>
    </w:p>
    <w:p w14:paraId="5EE06F6C">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除专用合同条款另有约定外，合同解除后，发包人应在商定或确定上述款项后28天内完成上述款项的支付。</w:t>
      </w:r>
    </w:p>
    <w:p w14:paraId="5FF83385">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3"/>
        <w:rPr>
          <w:rFonts w:hint="eastAsia" w:ascii="宋体" w:hAnsi="宋体" w:eastAsia="宋体" w:cs="宋体"/>
          <w:kern w:val="2"/>
          <w:sz w:val="24"/>
          <w:szCs w:val="24"/>
        </w:rPr>
      </w:pPr>
      <w:bookmarkStart w:id="472" w:name="_Toc296346621"/>
      <w:bookmarkStart w:id="473" w:name="_Toc351203612"/>
      <w:bookmarkStart w:id="474" w:name="_Toc337558828"/>
      <w:bookmarkStart w:id="475" w:name="_Toc296503120"/>
      <w:r>
        <w:rPr>
          <w:rFonts w:hint="eastAsia" w:ascii="宋体" w:hAnsi="宋体" w:eastAsia="宋体" w:cs="宋体"/>
          <w:kern w:val="2"/>
          <w:sz w:val="24"/>
          <w:szCs w:val="24"/>
        </w:rPr>
        <w:t>18. 保险</w:t>
      </w:r>
      <w:bookmarkEnd w:id="472"/>
      <w:bookmarkEnd w:id="473"/>
      <w:bookmarkEnd w:id="474"/>
      <w:bookmarkEnd w:id="475"/>
    </w:p>
    <w:p w14:paraId="77DF42BD">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476" w:name="_Toc296346622"/>
      <w:bookmarkStart w:id="477" w:name="_Toc296503121"/>
      <w:bookmarkStart w:id="478" w:name="_Toc351203613"/>
      <w:bookmarkStart w:id="479" w:name="_Toc337558829"/>
      <w:r>
        <w:rPr>
          <w:rFonts w:hint="eastAsia" w:ascii="宋体" w:hAnsi="宋体" w:eastAsia="宋体" w:cs="宋体"/>
          <w:bCs/>
          <w:kern w:val="2"/>
          <w:sz w:val="24"/>
          <w:szCs w:val="24"/>
        </w:rPr>
        <w:t>18.1 工程保险</w:t>
      </w:r>
      <w:bookmarkEnd w:id="476"/>
      <w:bookmarkEnd w:id="477"/>
      <w:bookmarkEnd w:id="478"/>
      <w:bookmarkEnd w:id="479"/>
    </w:p>
    <w:p w14:paraId="6A9650FE">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除专用合同条款另有约定外，发包人应投保建筑工程一切险或安装工程一切险；发包人委托承包人投保的，因投保产生的保险费和其他相关费用由发包人承担。</w:t>
      </w:r>
    </w:p>
    <w:p w14:paraId="5E14DF34">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480" w:name="_Toc296503122"/>
      <w:bookmarkStart w:id="481" w:name="_Toc296346623"/>
      <w:bookmarkStart w:id="482" w:name="_Toc351203614"/>
      <w:bookmarkStart w:id="483" w:name="_Toc337558830"/>
      <w:r>
        <w:rPr>
          <w:rFonts w:hint="eastAsia" w:ascii="宋体" w:hAnsi="宋体" w:eastAsia="宋体" w:cs="宋体"/>
          <w:bCs/>
          <w:kern w:val="2"/>
          <w:sz w:val="24"/>
          <w:szCs w:val="24"/>
        </w:rPr>
        <w:t>18.2 工伤保险</w:t>
      </w:r>
      <w:bookmarkEnd w:id="480"/>
      <w:bookmarkEnd w:id="481"/>
      <w:bookmarkEnd w:id="482"/>
      <w:bookmarkEnd w:id="483"/>
    </w:p>
    <w:p w14:paraId="7CBE8ADA">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18.2.1 发包人应依照法律规定参加工伤保险，并为在施工现场的全部员工办理工伤保险，缴纳工伤保险费，并要求监理人及由发包人为履行合同聘请的第三方依法参加工伤保险。</w:t>
      </w:r>
    </w:p>
    <w:p w14:paraId="04A6C0A9">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18.2.2 承包人应依照法律规定参加工伤保险，并为其履行合同的全部员工办理工伤保险，缴纳工伤保险费，并要求分包人及由承包人为履行合同聘请的第三方依法参加工伤保险。</w:t>
      </w:r>
    </w:p>
    <w:p w14:paraId="0A1A3520">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484" w:name="_Toc351203615"/>
      <w:bookmarkStart w:id="485" w:name="_Toc337558831"/>
      <w:bookmarkStart w:id="486" w:name="_Toc296503125"/>
      <w:bookmarkStart w:id="487" w:name="_Toc296346626"/>
      <w:r>
        <w:rPr>
          <w:rFonts w:hint="eastAsia" w:ascii="宋体" w:hAnsi="宋体" w:eastAsia="宋体" w:cs="宋体"/>
          <w:bCs/>
          <w:kern w:val="2"/>
          <w:sz w:val="24"/>
          <w:szCs w:val="24"/>
        </w:rPr>
        <w:t>18.3其他保险</w:t>
      </w:r>
      <w:bookmarkEnd w:id="484"/>
      <w:bookmarkEnd w:id="485"/>
      <w:bookmarkEnd w:id="486"/>
      <w:bookmarkEnd w:id="487"/>
    </w:p>
    <w:p w14:paraId="669CF4EC">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发包人和承包人可以为其施工现场的全部人员办理意外伤害保险并支付保险费，包括其员工及为履行合同聘请的第三方的人员，具体事项由合同当事人在专用合同条款约定。</w:t>
      </w:r>
    </w:p>
    <w:p w14:paraId="70E27B83">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除专用合同条款另有约定外，承包人应为其施工设备等办理财产保险。</w:t>
      </w:r>
    </w:p>
    <w:p w14:paraId="495DA548">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488" w:name="_Toc351203616"/>
      <w:r>
        <w:rPr>
          <w:rFonts w:hint="eastAsia" w:ascii="宋体" w:hAnsi="宋体" w:eastAsia="宋体" w:cs="宋体"/>
          <w:bCs/>
          <w:kern w:val="2"/>
          <w:sz w:val="24"/>
          <w:szCs w:val="24"/>
        </w:rPr>
        <w:t>18.4持续保险</w:t>
      </w:r>
      <w:bookmarkEnd w:id="488"/>
    </w:p>
    <w:p w14:paraId="033EEF3E">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合同当事人应与保险人保持联系，使保险人能够随时了解工程实施中的变动，并确保按保险合同条款要求持续保险。</w:t>
      </w:r>
    </w:p>
    <w:p w14:paraId="5F6F9C39">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489" w:name="_Toc296346627"/>
      <w:bookmarkStart w:id="490" w:name="_Toc351203617"/>
      <w:bookmarkStart w:id="491" w:name="_Toc337558832"/>
      <w:bookmarkStart w:id="492" w:name="_Toc296503126"/>
      <w:r>
        <w:rPr>
          <w:rFonts w:hint="eastAsia" w:ascii="宋体" w:hAnsi="宋体" w:eastAsia="宋体" w:cs="宋体"/>
          <w:bCs/>
          <w:kern w:val="2"/>
          <w:sz w:val="24"/>
          <w:szCs w:val="24"/>
        </w:rPr>
        <w:t>18.5 保险凭证</w:t>
      </w:r>
      <w:bookmarkEnd w:id="489"/>
      <w:bookmarkEnd w:id="490"/>
      <w:bookmarkEnd w:id="491"/>
      <w:bookmarkEnd w:id="492"/>
    </w:p>
    <w:p w14:paraId="4EC81224">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合同当事人应及时向另一方当事人提交其已投保的各项保险的凭证和保险单复印件。</w:t>
      </w:r>
    </w:p>
    <w:p w14:paraId="62CEE16D">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493" w:name="_Toc337558833"/>
      <w:bookmarkStart w:id="494" w:name="_Toc296503127"/>
      <w:bookmarkStart w:id="495" w:name="_Toc351203618"/>
      <w:bookmarkStart w:id="496" w:name="_Toc296346628"/>
      <w:r>
        <w:rPr>
          <w:rFonts w:hint="eastAsia" w:ascii="宋体" w:hAnsi="宋体" w:eastAsia="宋体" w:cs="宋体"/>
          <w:bCs/>
          <w:kern w:val="2"/>
          <w:sz w:val="24"/>
          <w:szCs w:val="24"/>
        </w:rPr>
        <w:t>18.6 未按约定投保的补救</w:t>
      </w:r>
      <w:bookmarkEnd w:id="493"/>
      <w:bookmarkEnd w:id="494"/>
      <w:bookmarkEnd w:id="495"/>
      <w:bookmarkEnd w:id="496"/>
    </w:p>
    <w:p w14:paraId="1CBA29D4">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18.6.1发包人未按合同约定办理保险，或未能使保险持续有效的，则承包人可代为办理，所需费用由发包人承担。发包人未按合同约定办理保险，导致未能得到足额赔偿的，由发包人负责补足。</w:t>
      </w:r>
    </w:p>
    <w:p w14:paraId="6A3F8E9A">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18.6.2承包人未按合同约定办理保险，或未能使保险持续有效的，则发包人可代为办理，所需费用由承包人承担。承包人未按合同约定办理保险，导致未能得到足额赔偿的，由承包人负责补足。</w:t>
      </w:r>
    </w:p>
    <w:p w14:paraId="5DA471A9">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497" w:name="_Toc351203619"/>
      <w:bookmarkStart w:id="498" w:name="_Toc337558834"/>
      <w:r>
        <w:rPr>
          <w:rFonts w:hint="eastAsia" w:ascii="宋体" w:hAnsi="宋体" w:eastAsia="宋体" w:cs="宋体"/>
          <w:bCs/>
          <w:kern w:val="2"/>
          <w:sz w:val="24"/>
          <w:szCs w:val="24"/>
        </w:rPr>
        <w:t>18.7 通知义务</w:t>
      </w:r>
      <w:bookmarkEnd w:id="497"/>
      <w:bookmarkEnd w:id="498"/>
    </w:p>
    <w:p w14:paraId="20AF983E">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除专用合同条款另有约定外，发包人变更除工伤保险之外的保险合同时，应事先征得承包人同意，并通知监理人；承包人变更除工伤保险之外的保险合同时，应事先征得发包人同意，并通知监理人。</w:t>
      </w:r>
    </w:p>
    <w:p w14:paraId="21C29932">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保险事故发生时，投保人应按照保险合同规定的条件和期限及时向保险人报告。发包人和承包人应当在知道保险事故发生后及时通知对方。</w:t>
      </w:r>
    </w:p>
    <w:p w14:paraId="79B23170">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3"/>
        <w:rPr>
          <w:rFonts w:hint="eastAsia" w:ascii="宋体" w:hAnsi="宋体" w:eastAsia="宋体" w:cs="宋体"/>
          <w:kern w:val="2"/>
          <w:sz w:val="24"/>
          <w:szCs w:val="24"/>
        </w:rPr>
      </w:pPr>
      <w:bookmarkStart w:id="499" w:name="_Toc296346641"/>
      <w:bookmarkStart w:id="500" w:name="_Toc296503140"/>
      <w:bookmarkStart w:id="501" w:name="_Toc337558835"/>
      <w:bookmarkStart w:id="502" w:name="_Toc351203620"/>
      <w:r>
        <w:rPr>
          <w:rFonts w:hint="eastAsia" w:ascii="宋体" w:hAnsi="宋体" w:eastAsia="宋体" w:cs="宋体"/>
          <w:kern w:val="2"/>
          <w:sz w:val="24"/>
          <w:szCs w:val="24"/>
        </w:rPr>
        <w:t>19. 索赔</w:t>
      </w:r>
      <w:bookmarkEnd w:id="499"/>
      <w:bookmarkEnd w:id="500"/>
      <w:bookmarkEnd w:id="501"/>
      <w:bookmarkEnd w:id="502"/>
    </w:p>
    <w:p w14:paraId="065F0D72">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503" w:name="_Toc337558836"/>
      <w:bookmarkStart w:id="504" w:name="_Toc351203621"/>
      <w:bookmarkStart w:id="505" w:name="_Toc296346642"/>
      <w:bookmarkStart w:id="506" w:name="_Toc296503141"/>
      <w:r>
        <w:rPr>
          <w:rFonts w:hint="eastAsia" w:ascii="宋体" w:hAnsi="宋体" w:eastAsia="宋体" w:cs="宋体"/>
          <w:bCs/>
          <w:kern w:val="2"/>
          <w:sz w:val="24"/>
          <w:szCs w:val="24"/>
        </w:rPr>
        <w:t>19.1承包人的索赔</w:t>
      </w:r>
      <w:bookmarkEnd w:id="503"/>
      <w:bookmarkEnd w:id="504"/>
      <w:bookmarkEnd w:id="505"/>
      <w:bookmarkEnd w:id="506"/>
    </w:p>
    <w:p w14:paraId="757894F7">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根据合同约定，承包人认为有权得到追加付款和（或）延长工期的，应按以下程序向发包人提出索赔：</w:t>
      </w:r>
    </w:p>
    <w:p w14:paraId="0F8FC878">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43B1E213">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（2）承包人应在发出索赔意向通知书后28天内，向监理人正式递交索赔报告；索赔报告应详细说明索赔理由以及要求追加的付款金额和（或）延长的工期，并附必要的记录和证明材料；</w:t>
      </w:r>
    </w:p>
    <w:p w14:paraId="3124D59E">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（3）索赔事件具有持续影响的，承包人应按合理时间间隔继续递交延续索赔通知，说明持续影响的实际情况和记录，列出累计的追加付款金额和（或）工期延长天数；</w:t>
      </w:r>
    </w:p>
    <w:p w14:paraId="61E4B712">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（4）在索赔事件影响结束后28天内，承包人应向监理人递交最终索赔报告，说明最终要求索赔的追加付款金额和（或）延长的工期，并附必要的记录和证明材料。</w:t>
      </w:r>
    </w:p>
    <w:p w14:paraId="47AC7C07">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507" w:name="_Toc296503142"/>
      <w:bookmarkStart w:id="508" w:name="_Toc351203622"/>
      <w:bookmarkStart w:id="509" w:name="_Toc337558837"/>
      <w:bookmarkStart w:id="510" w:name="_Toc296346643"/>
      <w:r>
        <w:rPr>
          <w:rFonts w:hint="eastAsia" w:ascii="宋体" w:hAnsi="宋体" w:eastAsia="宋体" w:cs="宋体"/>
          <w:bCs/>
          <w:kern w:val="2"/>
          <w:sz w:val="24"/>
          <w:szCs w:val="24"/>
        </w:rPr>
        <w:t>19.2 对承包人索赔的处理</w:t>
      </w:r>
      <w:bookmarkEnd w:id="507"/>
      <w:bookmarkEnd w:id="508"/>
      <w:bookmarkEnd w:id="509"/>
      <w:bookmarkEnd w:id="510"/>
    </w:p>
    <w:p w14:paraId="460E0366">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对承包人索赔的处理如下：</w:t>
      </w:r>
    </w:p>
    <w:p w14:paraId="4D341F54">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（1）监理人应在收到索赔报告后14天内完成审查并报送发包人。监理人对索赔报告存在异议的，有权要求承包人提交全部原始记录副本；</w:t>
      </w:r>
    </w:p>
    <w:p w14:paraId="2C8BC932">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（2）发包人应在监理人收到索赔报告或有关索赔的进一步证明材料后的28天内，由监理人向承包人出具经发包人签认的索赔处理结果。发包人逾期答复的，则视为认可承包人的索赔要求；</w:t>
      </w:r>
    </w:p>
    <w:p w14:paraId="5AC17C6B">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（3）承包人接受索赔处理结果的，索赔款项在当期进度款中进行支付；承包人不接受索赔处理结果的，按照第20条〔争议解决〕约定处理。</w:t>
      </w:r>
    </w:p>
    <w:p w14:paraId="1722EF10">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511" w:name="_Toc296503143"/>
      <w:bookmarkStart w:id="512" w:name="_Toc351203623"/>
      <w:bookmarkStart w:id="513" w:name="_Toc337558838"/>
      <w:bookmarkStart w:id="514" w:name="_Toc296346644"/>
      <w:r>
        <w:rPr>
          <w:rFonts w:hint="eastAsia" w:ascii="宋体" w:hAnsi="宋体" w:eastAsia="宋体" w:cs="宋体"/>
          <w:bCs/>
          <w:kern w:val="2"/>
          <w:sz w:val="24"/>
          <w:szCs w:val="24"/>
        </w:rPr>
        <w:t>19.3发包人的索赔</w:t>
      </w:r>
      <w:bookmarkEnd w:id="511"/>
      <w:bookmarkEnd w:id="512"/>
      <w:bookmarkEnd w:id="513"/>
      <w:bookmarkEnd w:id="514"/>
    </w:p>
    <w:p w14:paraId="5600F4A7">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根据合同约定，发包人认为有权得到赔付金额和（或）延长缺陷责任期的，监理人应向承包人发出通知并附有详细的证明。</w:t>
      </w:r>
    </w:p>
    <w:p w14:paraId="125EB4AF">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43AA94BE">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515" w:name="_Toc296346645"/>
      <w:bookmarkStart w:id="516" w:name="_Toc296503144"/>
      <w:bookmarkStart w:id="517" w:name="_Toc337558839"/>
      <w:bookmarkStart w:id="518" w:name="_Toc351203624"/>
      <w:r>
        <w:rPr>
          <w:rFonts w:hint="eastAsia" w:ascii="宋体" w:hAnsi="宋体" w:eastAsia="宋体" w:cs="宋体"/>
          <w:bCs/>
          <w:kern w:val="2"/>
          <w:sz w:val="24"/>
          <w:szCs w:val="24"/>
        </w:rPr>
        <w:t>19.4 对发包人索赔的处理</w:t>
      </w:r>
      <w:bookmarkEnd w:id="515"/>
      <w:bookmarkEnd w:id="516"/>
      <w:bookmarkEnd w:id="517"/>
      <w:bookmarkEnd w:id="518"/>
    </w:p>
    <w:p w14:paraId="0F30981D">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对发包人索赔的处理如下：</w:t>
      </w:r>
    </w:p>
    <w:p w14:paraId="48F7883A">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（1）承包人收到发包人提交的索赔报告后，应及时审查索赔报告的内容、查验发包人证明材料；</w:t>
      </w:r>
    </w:p>
    <w:p w14:paraId="241645C0">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（2）承包人应在收到索赔报告或有关索赔的进一步证明材料后28天内，将索赔处理结果答复发包人。如果承包人未在上述期限内作出答复的，则视为对发包人索赔要求的认可；</w:t>
      </w:r>
    </w:p>
    <w:p w14:paraId="7103A8C8">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（3）承包人接受索赔处理结果的，发包人可从应支付给承包人的合同价款中扣除赔付的金额或延长缺陷责任期；发包人不接受索赔处理结果的，按第20条〔争议解决〕约定处理。</w:t>
      </w:r>
    </w:p>
    <w:p w14:paraId="4071F000">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519" w:name="_Toc351203625"/>
      <w:r>
        <w:rPr>
          <w:rFonts w:hint="eastAsia" w:ascii="宋体" w:hAnsi="宋体" w:eastAsia="宋体" w:cs="宋体"/>
          <w:bCs/>
          <w:kern w:val="2"/>
          <w:sz w:val="24"/>
          <w:szCs w:val="24"/>
        </w:rPr>
        <w:t>19.5 提出索赔的期限</w:t>
      </w:r>
      <w:bookmarkEnd w:id="519"/>
    </w:p>
    <w:p w14:paraId="404B4063">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（1）承包人按第14.2款〔竣工结算审核〕约定接收竣工付款证书后，应被视为已无权再提出在工程接收证书颁发前所发生的任何索赔。</w:t>
      </w:r>
    </w:p>
    <w:p w14:paraId="35D7D8C3">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（2）承包人按第14.4款〔最终结清〕提交的最终结清申请单中，只限于提出工程接收证书颁发后发生的索赔。提出索赔的期限自接受最终结清证书时终止。</w:t>
      </w:r>
    </w:p>
    <w:p w14:paraId="19D725CF">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3"/>
        <w:rPr>
          <w:rFonts w:hint="eastAsia" w:ascii="宋体" w:hAnsi="宋体" w:eastAsia="宋体" w:cs="宋体"/>
          <w:kern w:val="2"/>
          <w:sz w:val="24"/>
          <w:szCs w:val="24"/>
        </w:rPr>
      </w:pPr>
      <w:bookmarkStart w:id="520" w:name="_Toc351203626"/>
      <w:r>
        <w:rPr>
          <w:rFonts w:hint="eastAsia" w:ascii="宋体" w:hAnsi="宋体" w:eastAsia="宋体" w:cs="宋体"/>
          <w:kern w:val="2"/>
          <w:sz w:val="24"/>
          <w:szCs w:val="24"/>
        </w:rPr>
        <w:t>20</w:t>
      </w:r>
      <w:bookmarkStart w:id="521" w:name="_Toc296346647"/>
      <w:bookmarkStart w:id="522" w:name="_Toc296503146"/>
      <w:bookmarkStart w:id="523" w:name="_Toc337558840"/>
      <w:r>
        <w:rPr>
          <w:rFonts w:hint="eastAsia" w:ascii="宋体" w:hAnsi="宋体" w:eastAsia="宋体" w:cs="宋体"/>
          <w:kern w:val="2"/>
          <w:sz w:val="24"/>
          <w:szCs w:val="24"/>
        </w:rPr>
        <w:t>. 争议解决</w:t>
      </w:r>
      <w:bookmarkEnd w:id="520"/>
      <w:bookmarkEnd w:id="521"/>
      <w:bookmarkEnd w:id="522"/>
      <w:bookmarkEnd w:id="523"/>
    </w:p>
    <w:p w14:paraId="7DCDC77E">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524" w:name="_Toc296346648"/>
      <w:bookmarkStart w:id="525" w:name="_Toc296503147"/>
      <w:bookmarkStart w:id="526" w:name="_Toc337558841"/>
      <w:bookmarkStart w:id="527" w:name="_Toc351203627"/>
      <w:r>
        <w:rPr>
          <w:rFonts w:hint="eastAsia" w:ascii="宋体" w:hAnsi="宋体" w:eastAsia="宋体" w:cs="宋体"/>
          <w:bCs/>
          <w:kern w:val="2"/>
          <w:sz w:val="24"/>
          <w:szCs w:val="24"/>
        </w:rPr>
        <w:t>20.1和解</w:t>
      </w:r>
      <w:bookmarkEnd w:id="524"/>
      <w:bookmarkEnd w:id="525"/>
      <w:bookmarkEnd w:id="526"/>
      <w:bookmarkEnd w:id="527"/>
    </w:p>
    <w:p w14:paraId="0CF34C95">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合同当事人可以就争议自行和解，自行和解达成协议的经双方签字并盖章后作为合同补充文件，双方均应遵照执行。</w:t>
      </w:r>
    </w:p>
    <w:p w14:paraId="080D8053">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528" w:name="_Toc351203628"/>
      <w:r>
        <w:rPr>
          <w:rFonts w:hint="eastAsia" w:ascii="宋体" w:hAnsi="宋体" w:eastAsia="宋体" w:cs="宋体"/>
          <w:bCs/>
          <w:kern w:val="2"/>
          <w:sz w:val="24"/>
          <w:szCs w:val="24"/>
        </w:rPr>
        <w:t>20</w:t>
      </w:r>
      <w:bookmarkStart w:id="529" w:name="_Toc296346649"/>
      <w:bookmarkStart w:id="530" w:name="_Toc296503148"/>
      <w:bookmarkStart w:id="531" w:name="_Toc337558842"/>
      <w:r>
        <w:rPr>
          <w:rFonts w:hint="eastAsia" w:ascii="宋体" w:hAnsi="宋体" w:eastAsia="宋体" w:cs="宋体"/>
          <w:bCs/>
          <w:kern w:val="2"/>
          <w:sz w:val="24"/>
          <w:szCs w:val="24"/>
        </w:rPr>
        <w:t>.2调解</w:t>
      </w:r>
      <w:bookmarkEnd w:id="528"/>
      <w:bookmarkEnd w:id="529"/>
      <w:bookmarkEnd w:id="530"/>
      <w:bookmarkEnd w:id="531"/>
    </w:p>
    <w:p w14:paraId="7BBFFA51">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合同当事人可以就争议请求建设行政主管部门、行业协会或其他第三方进行调解，调解达成协议的，经双方签字并盖章后作为合同补充文件，双方均应遵照执行。</w:t>
      </w:r>
    </w:p>
    <w:p w14:paraId="7E8587D5">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532" w:name="_Toc351203629"/>
      <w:bookmarkStart w:id="533" w:name="_Toc296346650"/>
      <w:bookmarkStart w:id="534" w:name="_Toc296503149"/>
      <w:bookmarkStart w:id="535" w:name="_Toc337558843"/>
      <w:r>
        <w:rPr>
          <w:rFonts w:hint="eastAsia" w:ascii="宋体" w:hAnsi="宋体" w:eastAsia="宋体" w:cs="宋体"/>
          <w:bCs/>
          <w:kern w:val="2"/>
          <w:sz w:val="24"/>
          <w:szCs w:val="24"/>
        </w:rPr>
        <w:t>20.3争议评审</w:t>
      </w:r>
      <w:bookmarkEnd w:id="532"/>
      <w:bookmarkEnd w:id="533"/>
      <w:bookmarkEnd w:id="534"/>
      <w:bookmarkEnd w:id="535"/>
    </w:p>
    <w:p w14:paraId="4C7A9FC6">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合同当事人在专用合同条款中约定采取争议评审方式解决争议以及评审规则，并按下列约定执行： </w:t>
      </w:r>
    </w:p>
    <w:p w14:paraId="544E0695">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20.3.1 争议评审小组的确定</w:t>
      </w:r>
    </w:p>
    <w:p w14:paraId="09801AE0">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合同当事人可以共同选择一名或三名争议评审员，组成争议评审小组。除专用合同条款另有约定外，合同当事人应当自合同签订后28天内，或者争议发生后14天内，选定争议评审员。</w:t>
      </w:r>
    </w:p>
    <w:p w14:paraId="0AB3BA8B">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p>
    <w:p w14:paraId="3CC9FED3">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除专用合同条款另有约定外，评审员报酬由发包人和承包人各承担一半。</w:t>
      </w:r>
    </w:p>
    <w:p w14:paraId="40801C43">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20.3.2 争议评审小组的决定</w:t>
      </w:r>
    </w:p>
    <w:p w14:paraId="3AF2C22A">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14:paraId="11808B75">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20.3.3 争议评审小组决定的效力</w:t>
      </w:r>
    </w:p>
    <w:p w14:paraId="08B6992C">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争议评审小组作出的书面决定经合同当事人签字确认后，对双方具有约束力，双方应遵照执行。</w:t>
      </w:r>
    </w:p>
    <w:p w14:paraId="23B5449B">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任何一方当事人不接受争议评审小组决定或不履行争议评审小组决定的，双方可选择采用其他争议解决方式。</w:t>
      </w:r>
    </w:p>
    <w:p w14:paraId="775433E2">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536" w:name="_Toc296503150"/>
      <w:bookmarkStart w:id="537" w:name="_Toc337558844"/>
      <w:bookmarkStart w:id="538" w:name="_Toc296346651"/>
      <w:bookmarkStart w:id="539" w:name="_Toc351203630"/>
      <w:r>
        <w:rPr>
          <w:rFonts w:hint="eastAsia" w:ascii="宋体" w:hAnsi="宋体" w:eastAsia="宋体" w:cs="宋体"/>
          <w:bCs/>
          <w:kern w:val="2"/>
          <w:sz w:val="24"/>
          <w:szCs w:val="24"/>
        </w:rPr>
        <w:t>20.4仲裁或诉讼</w:t>
      </w:r>
      <w:bookmarkEnd w:id="536"/>
      <w:bookmarkEnd w:id="537"/>
      <w:bookmarkEnd w:id="538"/>
      <w:bookmarkEnd w:id="539"/>
    </w:p>
    <w:p w14:paraId="514DAE59">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因合同及合同有关事项产生的争议，合同当事人可以在专用合同条款中约定以下一种方式解决争议：</w:t>
      </w:r>
    </w:p>
    <w:p w14:paraId="07FC7C58">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（1）向约定的仲裁委员会申请仲裁；</w:t>
      </w:r>
    </w:p>
    <w:p w14:paraId="4BBF71EB">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（2）向有管辖权的人民法院起诉。</w:t>
      </w:r>
    </w:p>
    <w:p w14:paraId="2F2F2973">
      <w:pPr>
        <w:keepNext/>
        <w:keepLines/>
        <w:pageBreakBefore w:val="0"/>
        <w:widowControl w:val="0"/>
        <w:kinsoku/>
        <w:wordWrap/>
        <w:overflowPunct/>
        <w:topLinePunct w:val="0"/>
        <w:bidi w:val="0"/>
        <w:adjustRightInd/>
        <w:snapToGrid/>
        <w:spacing w:line="360" w:lineRule="auto"/>
        <w:ind w:left="0" w:leftChars="0" w:firstLine="480" w:firstLineChars="200"/>
        <w:jc w:val="left"/>
        <w:textAlignment w:val="auto"/>
        <w:outlineLvl w:val="4"/>
        <w:rPr>
          <w:rFonts w:hint="eastAsia" w:ascii="宋体" w:hAnsi="宋体" w:eastAsia="宋体" w:cs="宋体"/>
          <w:bCs/>
          <w:kern w:val="2"/>
          <w:sz w:val="24"/>
          <w:szCs w:val="24"/>
        </w:rPr>
      </w:pPr>
      <w:bookmarkStart w:id="540" w:name="_Toc337558845"/>
      <w:bookmarkStart w:id="541" w:name="_Toc296503152"/>
      <w:bookmarkStart w:id="542" w:name="_Toc296346653"/>
      <w:bookmarkStart w:id="543" w:name="_Toc351203631"/>
      <w:r>
        <w:rPr>
          <w:rFonts w:hint="eastAsia" w:ascii="宋体" w:hAnsi="宋体" w:eastAsia="宋体" w:cs="宋体"/>
          <w:bCs/>
          <w:kern w:val="2"/>
          <w:sz w:val="24"/>
          <w:szCs w:val="24"/>
        </w:rPr>
        <w:t>20.5争议解决条款效力</w:t>
      </w:r>
      <w:bookmarkEnd w:id="540"/>
      <w:bookmarkEnd w:id="541"/>
      <w:bookmarkEnd w:id="542"/>
      <w:bookmarkEnd w:id="543"/>
    </w:p>
    <w:p w14:paraId="12763969">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合同有关争议解决的条款独立存在，合同的变更、解除、终止、无效或者被撤销均不影响其效力。 </w:t>
      </w:r>
    </w:p>
    <w:p w14:paraId="7942E7B6">
      <w:pPr>
        <w:keepNext/>
        <w:keepLines/>
        <w:spacing w:before="260" w:after="260" w:line="600" w:lineRule="exact"/>
        <w:ind w:firstLine="881"/>
        <w:jc w:val="center"/>
        <w:outlineLvl w:val="2"/>
        <w:rPr>
          <w:rFonts w:hint="eastAsia" w:ascii="宋体" w:hAnsi="宋体" w:eastAsia="宋体" w:cs="宋体"/>
          <w:b/>
          <w:kern w:val="2"/>
          <w:sz w:val="24"/>
          <w:szCs w:val="24"/>
        </w:rPr>
      </w:pPr>
      <w:bookmarkStart w:id="544" w:name="_Toc351203632"/>
      <w:r>
        <w:rPr>
          <w:rFonts w:hint="eastAsia" w:ascii="宋体" w:hAnsi="宋体" w:eastAsia="宋体" w:cs="宋体"/>
          <w:b/>
          <w:kern w:val="2"/>
          <w:sz w:val="24"/>
          <w:szCs w:val="24"/>
        </w:rPr>
        <w:br w:type="page"/>
      </w:r>
      <w:bookmarkStart w:id="545" w:name="_Toc48222434"/>
      <w:r>
        <w:rPr>
          <w:rFonts w:hint="eastAsia" w:ascii="华文中宋" w:hAnsi="华文中宋" w:eastAsia="华文中宋" w:cs="宋体"/>
          <w:b/>
          <w:bCs/>
          <w:sz w:val="44"/>
          <w:szCs w:val="44"/>
        </w:rPr>
        <w:t>第三部分 专用合同条款</w:t>
      </w:r>
      <w:bookmarkEnd w:id="544"/>
      <w:bookmarkEnd w:id="545"/>
    </w:p>
    <w:p w14:paraId="18E6292B">
      <w:pPr>
        <w:spacing w:line="288" w:lineRule="auto"/>
        <w:ind w:firstLine="480"/>
        <w:rPr>
          <w:rFonts w:ascii="宋体" w:hAnsi="宋体"/>
        </w:rPr>
      </w:pPr>
      <w:bookmarkStart w:id="546" w:name="_Toc351203642"/>
      <w:bookmarkStart w:id="547" w:name="_Toc48222456"/>
      <w:bookmarkStart w:id="548" w:name="_Toc267251439"/>
      <w:bookmarkStart w:id="549" w:name="_Toc267251440"/>
      <w:bookmarkStart w:id="550" w:name="_Toc267251437"/>
      <w:bookmarkStart w:id="551" w:name="_Toc267251441"/>
      <w:bookmarkStart w:id="552" w:name="_Toc267251435"/>
      <w:bookmarkStart w:id="553" w:name="_Toc267251433"/>
      <w:bookmarkStart w:id="554" w:name="_Toc267251442"/>
      <w:r>
        <w:rPr>
          <w:rFonts w:hint="eastAsia" w:ascii="宋体" w:hAnsi="宋体"/>
        </w:rPr>
        <w:t>本部分专用合同条款内容根据条款编号对应第二部分通用合同条款的相应条款，如专用合同条款与对应的通用合同条款的约定不一致，则以专用合同条款为准；如专用合同条款未做约定，则适用通用合同条款对应条款的约定。</w:t>
      </w:r>
    </w:p>
    <w:p w14:paraId="60009823">
      <w:pPr>
        <w:keepNext/>
        <w:keepLines/>
        <w:spacing w:before="120" w:after="120" w:line="440" w:lineRule="exact"/>
        <w:ind w:firstLine="482"/>
        <w:outlineLvl w:val="3"/>
        <w:rPr>
          <w:rFonts w:ascii="宋体" w:hAnsi="宋体"/>
          <w:b/>
          <w:color w:val="000000"/>
        </w:rPr>
      </w:pPr>
      <w:r>
        <w:rPr>
          <w:rFonts w:hint="eastAsia" w:ascii="宋体" w:hAnsi="宋体"/>
          <w:b/>
          <w:color w:val="000000"/>
        </w:rPr>
        <w:t>1</w:t>
      </w:r>
      <w:bookmarkStart w:id="555" w:name="_Toc292559361"/>
      <w:bookmarkStart w:id="556" w:name="_Toc296347155"/>
      <w:bookmarkStart w:id="557" w:name="_Toc297048342"/>
      <w:bookmarkStart w:id="558" w:name="_Toc296503156"/>
      <w:bookmarkStart w:id="559" w:name="_Toc297120456"/>
      <w:bookmarkStart w:id="560" w:name="_Toc296891196"/>
      <w:bookmarkStart w:id="561" w:name="_Toc296346657"/>
      <w:bookmarkStart w:id="562" w:name="_Toc296944495"/>
      <w:bookmarkStart w:id="563" w:name="_Toc292559866"/>
      <w:bookmarkStart w:id="564" w:name="_Toc296890984"/>
      <w:r>
        <w:rPr>
          <w:rFonts w:hint="eastAsia" w:ascii="宋体" w:hAnsi="宋体"/>
          <w:b/>
          <w:color w:val="000000"/>
        </w:rPr>
        <w:t>. 一般约定</w:t>
      </w:r>
    </w:p>
    <w:bookmarkEnd w:id="555"/>
    <w:bookmarkEnd w:id="556"/>
    <w:bookmarkEnd w:id="557"/>
    <w:bookmarkEnd w:id="558"/>
    <w:bookmarkEnd w:id="559"/>
    <w:bookmarkEnd w:id="560"/>
    <w:bookmarkEnd w:id="561"/>
    <w:bookmarkEnd w:id="562"/>
    <w:bookmarkEnd w:id="563"/>
    <w:bookmarkEnd w:id="564"/>
    <w:p w14:paraId="7A467BCB">
      <w:pPr>
        <w:spacing w:after="120" w:line="440" w:lineRule="exact"/>
        <w:ind w:firstLine="482"/>
        <w:outlineLvl w:val="0"/>
        <w:rPr>
          <w:rFonts w:ascii="宋体" w:hAnsi="宋体"/>
          <w:b/>
          <w:color w:val="000000"/>
        </w:rPr>
      </w:pPr>
      <w:bookmarkStart w:id="565" w:name="_Toc36797919"/>
      <w:r>
        <w:rPr>
          <w:rFonts w:hint="eastAsia" w:ascii="宋体" w:hAnsi="宋体"/>
          <w:b/>
          <w:color w:val="000000"/>
        </w:rPr>
        <w:t>1.1 词语定义</w:t>
      </w:r>
      <w:bookmarkEnd w:id="565"/>
    </w:p>
    <w:p w14:paraId="622D842A">
      <w:pPr>
        <w:spacing w:line="440" w:lineRule="exact"/>
        <w:ind w:firstLine="480"/>
        <w:rPr>
          <w:rFonts w:ascii="宋体" w:hAnsi="宋体"/>
          <w:color w:val="000000"/>
          <w:szCs w:val="21"/>
        </w:rPr>
      </w:pPr>
      <w:r>
        <w:rPr>
          <w:rFonts w:hint="eastAsia" w:ascii="宋体" w:hAnsi="宋体"/>
          <w:color w:val="000000"/>
          <w:szCs w:val="21"/>
        </w:rPr>
        <w:t>1.1.1合同</w:t>
      </w:r>
    </w:p>
    <w:p w14:paraId="6A80650C">
      <w:pPr>
        <w:spacing w:line="440" w:lineRule="exact"/>
        <w:ind w:firstLine="480"/>
        <w:rPr>
          <w:rFonts w:ascii="宋体" w:hAnsi="宋体"/>
          <w:color w:val="000000"/>
          <w:szCs w:val="21"/>
        </w:rPr>
      </w:pPr>
      <w:r>
        <w:rPr>
          <w:rFonts w:hint="eastAsia" w:ascii="宋体" w:hAnsi="宋体"/>
          <w:color w:val="000000"/>
          <w:szCs w:val="21"/>
        </w:rPr>
        <w:t>1.1.1.10其他合同文件包括：</w:t>
      </w:r>
      <w:r>
        <w:rPr>
          <w:rFonts w:hint="eastAsia" w:ascii="宋体" w:hAnsi="宋体"/>
          <w:szCs w:val="21"/>
          <w:u w:val="single"/>
        </w:rPr>
        <w:t>（1）明确双方权利义务的纪要或承诺或协议等契约；（2）其他经双方同意视为本合同组成的有关文件</w:t>
      </w:r>
      <w:r>
        <w:rPr>
          <w:rFonts w:hint="eastAsia" w:ascii="宋体" w:hAnsi="宋体"/>
          <w:color w:val="000000"/>
          <w:szCs w:val="21"/>
        </w:rPr>
        <w:t>。</w:t>
      </w:r>
    </w:p>
    <w:p w14:paraId="31D801CC">
      <w:pPr>
        <w:spacing w:line="440" w:lineRule="exact"/>
        <w:ind w:firstLine="480"/>
        <w:rPr>
          <w:rFonts w:ascii="宋体" w:hAnsi="宋体"/>
          <w:color w:val="000000"/>
          <w:szCs w:val="21"/>
        </w:rPr>
      </w:pPr>
      <w:r>
        <w:rPr>
          <w:rFonts w:hint="eastAsia" w:ascii="宋体" w:hAnsi="宋体"/>
          <w:color w:val="000000"/>
          <w:szCs w:val="21"/>
        </w:rPr>
        <w:t>1.1.3 工程和设备</w:t>
      </w:r>
    </w:p>
    <w:p w14:paraId="40AC0A12">
      <w:pPr>
        <w:spacing w:line="440" w:lineRule="exact"/>
        <w:ind w:firstLine="480"/>
        <w:rPr>
          <w:rFonts w:ascii="宋体" w:hAnsi="宋体"/>
          <w:color w:val="000000"/>
          <w:szCs w:val="21"/>
        </w:rPr>
      </w:pPr>
      <w:r>
        <w:rPr>
          <w:rFonts w:hint="eastAsia" w:ascii="宋体" w:hAnsi="宋体"/>
          <w:color w:val="000000"/>
          <w:szCs w:val="21"/>
        </w:rPr>
        <w:t>1.1.3.7 作为施工现场组成部分的其他场所包括：</w:t>
      </w:r>
      <w:r>
        <w:rPr>
          <w:rFonts w:hint="eastAsia" w:ascii="宋体" w:hAnsi="宋体"/>
          <w:szCs w:val="21"/>
          <w:u w:val="single"/>
        </w:rPr>
        <w:t>入口大门、围墙、道路等，具体由发包人和承包人根据现场条件确定</w:t>
      </w:r>
      <w:r>
        <w:rPr>
          <w:rFonts w:hint="eastAsia" w:ascii="宋体" w:hAnsi="宋体"/>
          <w:color w:val="000000"/>
          <w:szCs w:val="21"/>
        </w:rPr>
        <w:t>。</w:t>
      </w:r>
    </w:p>
    <w:p w14:paraId="6DF3D3A8">
      <w:pPr>
        <w:spacing w:line="440" w:lineRule="exact"/>
        <w:ind w:firstLine="480"/>
        <w:rPr>
          <w:rFonts w:ascii="宋体" w:hAnsi="宋体"/>
          <w:color w:val="000000"/>
          <w:szCs w:val="21"/>
        </w:rPr>
      </w:pPr>
      <w:r>
        <w:rPr>
          <w:rFonts w:hint="eastAsia" w:ascii="宋体" w:hAnsi="宋体"/>
          <w:color w:val="000000"/>
          <w:szCs w:val="21"/>
        </w:rPr>
        <w:t>1.1.3.9 永久占地包括：</w:t>
      </w:r>
      <w:r>
        <w:rPr>
          <w:rFonts w:hint="eastAsia" w:ascii="宋体" w:hAnsi="宋体"/>
          <w:szCs w:val="21"/>
          <w:u w:val="single"/>
        </w:rPr>
        <w:t>施工区域</w:t>
      </w:r>
      <w:r>
        <w:rPr>
          <w:rFonts w:hint="eastAsia" w:ascii="宋体" w:hAnsi="宋体"/>
          <w:color w:val="000000"/>
          <w:szCs w:val="21"/>
        </w:rPr>
        <w:t>。</w:t>
      </w:r>
    </w:p>
    <w:p w14:paraId="7571E531">
      <w:pPr>
        <w:spacing w:line="440" w:lineRule="exact"/>
        <w:ind w:firstLine="480"/>
        <w:rPr>
          <w:rFonts w:ascii="宋体" w:hAnsi="宋体"/>
          <w:color w:val="000000"/>
          <w:szCs w:val="21"/>
        </w:rPr>
      </w:pPr>
      <w:r>
        <w:rPr>
          <w:rFonts w:hint="eastAsia" w:ascii="宋体" w:hAnsi="宋体"/>
          <w:color w:val="000000"/>
          <w:szCs w:val="21"/>
        </w:rPr>
        <w:t>1.1.3.10 临时占地包括：</w:t>
      </w:r>
      <w:r>
        <w:rPr>
          <w:rFonts w:hint="eastAsia" w:ascii="宋体" w:hAnsi="宋体"/>
          <w:szCs w:val="21"/>
          <w:u w:val="single"/>
        </w:rPr>
        <w:t>无</w:t>
      </w:r>
      <w:r>
        <w:rPr>
          <w:rFonts w:hint="eastAsia" w:ascii="宋体" w:hAnsi="宋体"/>
          <w:color w:val="000000"/>
          <w:szCs w:val="21"/>
        </w:rPr>
        <w:t>。</w:t>
      </w:r>
    </w:p>
    <w:p w14:paraId="425EA624">
      <w:pPr>
        <w:spacing w:after="120" w:line="440" w:lineRule="exact"/>
        <w:ind w:firstLine="482"/>
        <w:rPr>
          <w:rFonts w:ascii="宋体" w:hAnsi="宋体"/>
          <w:b/>
          <w:color w:val="000000"/>
        </w:rPr>
      </w:pPr>
      <w:r>
        <w:rPr>
          <w:rFonts w:hint="eastAsia" w:ascii="宋体" w:hAnsi="宋体"/>
          <w:b/>
          <w:color w:val="000000"/>
        </w:rPr>
        <w:t xml:space="preserve">1.3法律 </w:t>
      </w:r>
    </w:p>
    <w:p w14:paraId="32A6CB5E">
      <w:pPr>
        <w:autoSpaceDE w:val="0"/>
        <w:autoSpaceDN w:val="0"/>
        <w:spacing w:line="440" w:lineRule="exact"/>
        <w:ind w:firstLine="480"/>
        <w:rPr>
          <w:rFonts w:ascii="宋体" w:hAnsi="宋体"/>
          <w:color w:val="000000"/>
          <w:szCs w:val="21"/>
        </w:rPr>
      </w:pPr>
      <w:r>
        <w:rPr>
          <w:rFonts w:hint="eastAsia" w:ascii="宋体" w:hAnsi="宋体"/>
          <w:color w:val="000000"/>
          <w:szCs w:val="21"/>
        </w:rPr>
        <w:t>适用于合同的其他规范性文件：</w:t>
      </w:r>
      <w:r>
        <w:rPr>
          <w:rFonts w:hint="eastAsia" w:ascii="宋体" w:hAnsi="宋体"/>
          <w:szCs w:val="21"/>
          <w:u w:val="single"/>
        </w:rPr>
        <w:t>项目所在地国家、省、市级的规范性文件</w:t>
      </w:r>
      <w:r>
        <w:rPr>
          <w:rFonts w:hint="eastAsia" w:ascii="宋体" w:hAnsi="宋体"/>
          <w:color w:val="000000"/>
          <w:szCs w:val="21"/>
        </w:rPr>
        <w:t>。</w:t>
      </w:r>
    </w:p>
    <w:p w14:paraId="4E3FD2E3">
      <w:pPr>
        <w:spacing w:after="120" w:line="440" w:lineRule="exact"/>
        <w:ind w:firstLine="482"/>
        <w:rPr>
          <w:rFonts w:ascii="宋体" w:hAnsi="宋体"/>
          <w:b/>
          <w:color w:val="000000"/>
        </w:rPr>
      </w:pPr>
      <w:r>
        <w:rPr>
          <w:rFonts w:hint="eastAsia" w:ascii="宋体" w:hAnsi="宋体"/>
          <w:b/>
          <w:color w:val="000000"/>
        </w:rPr>
        <w:t>1.4 标准和规范</w:t>
      </w:r>
    </w:p>
    <w:p w14:paraId="2D43FE39">
      <w:pPr>
        <w:spacing w:line="440" w:lineRule="exact"/>
        <w:ind w:firstLine="480"/>
        <w:rPr>
          <w:rFonts w:ascii="宋体" w:hAnsi="宋体"/>
          <w:color w:val="000000"/>
          <w:szCs w:val="21"/>
          <w:u w:val="single"/>
        </w:rPr>
      </w:pPr>
      <w:r>
        <w:rPr>
          <w:rFonts w:hint="eastAsia" w:ascii="宋体" w:hAnsi="宋体"/>
          <w:color w:val="000000"/>
          <w:szCs w:val="21"/>
        </w:rPr>
        <w:t>1.4.1适用于工程的标准规范包括：</w:t>
      </w:r>
      <w:r>
        <w:rPr>
          <w:rFonts w:hint="eastAsia" w:ascii="宋体" w:hAnsi="宋体"/>
          <w:szCs w:val="21"/>
          <w:u w:val="single"/>
        </w:rPr>
        <w:t>国家部委颁发的有关施工验收标准、规范，以及江苏省、南京市建设以及环保等相关主管部门颁布的文件。</w:t>
      </w:r>
    </w:p>
    <w:p w14:paraId="3D121956">
      <w:pPr>
        <w:spacing w:line="440" w:lineRule="exact"/>
        <w:ind w:firstLine="480"/>
        <w:rPr>
          <w:rFonts w:ascii="宋体" w:hAnsi="宋体"/>
          <w:szCs w:val="21"/>
          <w:u w:val="single"/>
        </w:rPr>
      </w:pPr>
      <w:r>
        <w:rPr>
          <w:rFonts w:hint="eastAsia" w:ascii="宋体" w:hAnsi="宋体"/>
          <w:szCs w:val="21"/>
          <w:u w:val="single"/>
        </w:rPr>
        <w:t>（1）如果图纸或本合同约定的工程建设标准中的质量要求、工艺标准低于国家、地区标准的，则按国家、地区标准执行；</w:t>
      </w:r>
    </w:p>
    <w:p w14:paraId="6102EDB2">
      <w:pPr>
        <w:spacing w:line="440" w:lineRule="exact"/>
        <w:ind w:firstLine="480"/>
        <w:rPr>
          <w:rFonts w:ascii="宋体" w:hAnsi="宋体"/>
          <w:color w:val="000000"/>
          <w:szCs w:val="21"/>
        </w:rPr>
      </w:pPr>
      <w:r>
        <w:rPr>
          <w:rFonts w:hint="eastAsia" w:ascii="宋体" w:hAnsi="宋体"/>
          <w:szCs w:val="21"/>
          <w:u w:val="single"/>
        </w:rPr>
        <w:t>（2）如果图纸或本合同约定的工程建设标准中的质量要求、工艺标准高于国家、地区标准的，则按图纸或本合同约定的质量要求、工艺标准执行；</w:t>
      </w:r>
    </w:p>
    <w:p w14:paraId="5A548F6F">
      <w:pPr>
        <w:spacing w:line="440" w:lineRule="exact"/>
        <w:ind w:firstLine="480"/>
        <w:rPr>
          <w:rFonts w:ascii="宋体" w:hAnsi="宋体"/>
          <w:color w:val="000000"/>
          <w:szCs w:val="21"/>
        </w:rPr>
      </w:pPr>
      <w:r>
        <w:rPr>
          <w:rFonts w:hint="eastAsia" w:ascii="宋体" w:hAnsi="宋体"/>
          <w:szCs w:val="21"/>
          <w:u w:val="single"/>
        </w:rPr>
        <w:t>（3）如果图纸中的质量要求、工艺标准与本合同约定的标准、规范出现矛盾或歧义的，在满足国家、地区标准的基础上按本合同约定的标准、规范执行</w:t>
      </w:r>
      <w:r>
        <w:rPr>
          <w:rFonts w:hint="eastAsia" w:ascii="宋体" w:hAnsi="宋体"/>
          <w:color w:val="000000"/>
          <w:szCs w:val="21"/>
        </w:rPr>
        <w:t>。</w:t>
      </w:r>
    </w:p>
    <w:p w14:paraId="480AA245">
      <w:pPr>
        <w:spacing w:line="440" w:lineRule="exact"/>
        <w:ind w:firstLine="480"/>
        <w:rPr>
          <w:rFonts w:ascii="宋体" w:hAnsi="宋体"/>
          <w:color w:val="000000"/>
          <w:szCs w:val="21"/>
        </w:rPr>
      </w:pPr>
      <w:r>
        <w:rPr>
          <w:rFonts w:hint="eastAsia" w:ascii="宋体" w:hAnsi="宋体"/>
          <w:color w:val="000000"/>
          <w:szCs w:val="21"/>
        </w:rPr>
        <w:t>1.4.2 发包人提供国外标准、规范的名称：</w:t>
      </w:r>
      <w:r>
        <w:rPr>
          <w:rFonts w:hint="eastAsia" w:ascii="宋体" w:hAnsi="宋体"/>
          <w:szCs w:val="21"/>
          <w:u w:val="single"/>
        </w:rPr>
        <w:t>无</w:t>
      </w:r>
      <w:r>
        <w:rPr>
          <w:rFonts w:hint="eastAsia" w:ascii="宋体" w:hAnsi="宋体"/>
          <w:color w:val="000000"/>
          <w:szCs w:val="21"/>
        </w:rPr>
        <w:t>；</w:t>
      </w:r>
    </w:p>
    <w:p w14:paraId="61799F62">
      <w:pPr>
        <w:spacing w:line="440" w:lineRule="exact"/>
        <w:ind w:firstLine="480"/>
        <w:rPr>
          <w:rFonts w:ascii="宋体" w:hAnsi="宋体"/>
          <w:color w:val="000000"/>
          <w:szCs w:val="21"/>
        </w:rPr>
      </w:pPr>
      <w:r>
        <w:rPr>
          <w:rFonts w:hint="eastAsia" w:ascii="宋体" w:hAnsi="宋体"/>
          <w:color w:val="000000"/>
          <w:szCs w:val="21"/>
        </w:rPr>
        <w:t>发包人提供国外标准、规范的份数：</w:t>
      </w:r>
      <w:r>
        <w:rPr>
          <w:rFonts w:hint="eastAsia" w:ascii="宋体" w:hAnsi="宋体"/>
          <w:szCs w:val="21"/>
          <w:u w:val="single"/>
        </w:rPr>
        <w:t>无</w:t>
      </w:r>
      <w:r>
        <w:rPr>
          <w:rFonts w:hint="eastAsia" w:ascii="宋体" w:hAnsi="宋体"/>
          <w:color w:val="000000"/>
          <w:szCs w:val="21"/>
        </w:rPr>
        <w:t>；</w:t>
      </w:r>
    </w:p>
    <w:p w14:paraId="57097D1E">
      <w:pPr>
        <w:spacing w:line="440" w:lineRule="exact"/>
        <w:ind w:firstLine="480"/>
        <w:rPr>
          <w:rFonts w:ascii="宋体" w:hAnsi="宋体"/>
          <w:color w:val="000000"/>
          <w:szCs w:val="21"/>
        </w:rPr>
      </w:pPr>
      <w:r>
        <w:rPr>
          <w:rFonts w:hint="eastAsia" w:ascii="宋体" w:hAnsi="宋体"/>
          <w:color w:val="000000"/>
          <w:szCs w:val="21"/>
        </w:rPr>
        <w:t>发包人提供国外标准、规范的名称：</w:t>
      </w:r>
      <w:r>
        <w:rPr>
          <w:rFonts w:hint="eastAsia" w:ascii="宋体" w:hAnsi="宋体"/>
          <w:szCs w:val="21"/>
          <w:u w:val="single"/>
        </w:rPr>
        <w:t>无</w:t>
      </w:r>
      <w:r>
        <w:rPr>
          <w:rFonts w:hint="eastAsia" w:ascii="宋体" w:hAnsi="宋体"/>
          <w:color w:val="000000"/>
          <w:szCs w:val="21"/>
        </w:rPr>
        <w:t>。</w:t>
      </w:r>
    </w:p>
    <w:p w14:paraId="5601DF6E">
      <w:pPr>
        <w:spacing w:line="440" w:lineRule="exact"/>
        <w:ind w:firstLine="480"/>
        <w:rPr>
          <w:rFonts w:ascii="宋体" w:hAnsi="宋体"/>
          <w:color w:val="000000"/>
          <w:szCs w:val="21"/>
        </w:rPr>
      </w:pPr>
      <w:r>
        <w:rPr>
          <w:rFonts w:hint="eastAsia" w:ascii="宋体" w:hAnsi="宋体"/>
          <w:color w:val="000000"/>
          <w:szCs w:val="21"/>
        </w:rPr>
        <w:t>1.4.3发包人对工程的技术标准和功能要求的特殊要求：</w:t>
      </w:r>
      <w:r>
        <w:rPr>
          <w:rFonts w:hint="eastAsia" w:ascii="宋体" w:hAnsi="宋体"/>
          <w:szCs w:val="21"/>
          <w:u w:val="single"/>
        </w:rPr>
        <w:t>无</w:t>
      </w:r>
      <w:r>
        <w:rPr>
          <w:rFonts w:hint="eastAsia" w:ascii="宋体" w:hAnsi="宋体"/>
          <w:color w:val="000000"/>
          <w:szCs w:val="21"/>
        </w:rPr>
        <w:t>。</w:t>
      </w:r>
    </w:p>
    <w:p w14:paraId="507C3105">
      <w:pPr>
        <w:spacing w:after="120" w:line="440" w:lineRule="exact"/>
        <w:ind w:firstLine="482"/>
        <w:outlineLvl w:val="0"/>
        <w:rPr>
          <w:rFonts w:ascii="宋体" w:hAnsi="宋体"/>
          <w:b/>
          <w:color w:val="000000"/>
        </w:rPr>
      </w:pPr>
      <w:bookmarkStart w:id="566" w:name="_Toc36797920"/>
      <w:r>
        <w:rPr>
          <w:rFonts w:hint="eastAsia" w:ascii="宋体" w:hAnsi="宋体"/>
          <w:b/>
          <w:color w:val="000000"/>
        </w:rPr>
        <w:t>1.5 合同文件的优先顺序</w:t>
      </w:r>
      <w:bookmarkEnd w:id="566"/>
    </w:p>
    <w:p w14:paraId="0EF87083">
      <w:pPr>
        <w:spacing w:line="440" w:lineRule="exact"/>
        <w:ind w:firstLine="480"/>
        <w:rPr>
          <w:rFonts w:ascii="宋体" w:hAnsi="宋体"/>
          <w:color w:val="000000"/>
          <w:szCs w:val="21"/>
        </w:rPr>
      </w:pPr>
      <w:r>
        <w:rPr>
          <w:rFonts w:hint="eastAsia" w:ascii="宋体" w:hAnsi="宋体"/>
          <w:color w:val="000000"/>
          <w:szCs w:val="21"/>
        </w:rPr>
        <w:t>合同文件组成及优先顺序为：</w:t>
      </w:r>
      <w:r>
        <w:rPr>
          <w:rFonts w:hint="eastAsia" w:ascii="宋体" w:hAnsi="宋体"/>
          <w:szCs w:val="21"/>
          <w:u w:val="single"/>
        </w:rPr>
        <w:t>（1）合同协议书；（2）中标通知书；（3）专用合同条款及其附件；（4）通用合同条款；（5）投标函及其附录；（6）招标文件；（7）技术标准和要求；（8）图纸；（9）已标价工程量清单或预算书；（10）其他合同文件</w:t>
      </w:r>
      <w:r>
        <w:rPr>
          <w:rFonts w:hint="eastAsia" w:ascii="宋体" w:hAnsi="宋体"/>
          <w:szCs w:val="21"/>
        </w:rPr>
        <w:t>。</w:t>
      </w:r>
    </w:p>
    <w:p w14:paraId="1EE3AA3D">
      <w:pPr>
        <w:spacing w:after="120" w:line="440" w:lineRule="exact"/>
        <w:ind w:firstLine="482"/>
        <w:outlineLvl w:val="0"/>
        <w:rPr>
          <w:rFonts w:ascii="宋体" w:hAnsi="宋体"/>
          <w:b/>
          <w:color w:val="000000"/>
        </w:rPr>
      </w:pPr>
      <w:bookmarkStart w:id="567" w:name="_Toc36797921"/>
      <w:r>
        <w:rPr>
          <w:rFonts w:hint="eastAsia" w:ascii="宋体" w:hAnsi="宋体"/>
          <w:b/>
          <w:color w:val="000000"/>
        </w:rPr>
        <w:t>1.6 图纸和承包人文件</w:t>
      </w:r>
      <w:bookmarkEnd w:id="567"/>
      <w:r>
        <w:rPr>
          <w:rFonts w:hint="eastAsia" w:ascii="宋体" w:hAnsi="宋体"/>
          <w:b/>
          <w:color w:val="000000"/>
        </w:rPr>
        <w:tab/>
      </w:r>
    </w:p>
    <w:p w14:paraId="7385C003">
      <w:pPr>
        <w:spacing w:line="440" w:lineRule="exact"/>
        <w:ind w:firstLine="480"/>
        <w:rPr>
          <w:rFonts w:ascii="宋体" w:hAnsi="宋体"/>
          <w:color w:val="000000"/>
          <w:szCs w:val="21"/>
        </w:rPr>
      </w:pPr>
      <w:r>
        <w:rPr>
          <w:rFonts w:hint="eastAsia" w:ascii="宋体" w:hAnsi="宋体"/>
          <w:color w:val="000000"/>
          <w:szCs w:val="21"/>
        </w:rPr>
        <w:t>1.6.1 图纸的提供</w:t>
      </w:r>
    </w:p>
    <w:p w14:paraId="192F9BA5">
      <w:pPr>
        <w:spacing w:line="440" w:lineRule="exact"/>
        <w:ind w:firstLine="480"/>
        <w:rPr>
          <w:rFonts w:ascii="宋体" w:hAnsi="宋体"/>
          <w:color w:val="000000"/>
          <w:szCs w:val="21"/>
        </w:rPr>
      </w:pPr>
      <w:r>
        <w:rPr>
          <w:rFonts w:hint="eastAsia" w:ascii="宋体" w:hAnsi="宋体"/>
          <w:color w:val="000000"/>
          <w:szCs w:val="21"/>
        </w:rPr>
        <w:t>发包人向承包人提供图纸的期限：</w:t>
      </w:r>
      <w:r>
        <w:rPr>
          <w:rFonts w:hint="eastAsia" w:ascii="宋体" w:hAnsi="宋体"/>
          <w:szCs w:val="21"/>
          <w:u w:val="single"/>
        </w:rPr>
        <w:t>合同签订后一周内</w:t>
      </w:r>
      <w:r>
        <w:rPr>
          <w:rFonts w:hint="eastAsia" w:ascii="宋体" w:hAnsi="宋体"/>
          <w:color w:val="000000"/>
          <w:szCs w:val="21"/>
        </w:rPr>
        <w:t>；</w:t>
      </w:r>
    </w:p>
    <w:p w14:paraId="0CEE345B">
      <w:pPr>
        <w:spacing w:line="440" w:lineRule="exact"/>
        <w:ind w:firstLine="480"/>
        <w:rPr>
          <w:rFonts w:ascii="宋体" w:hAnsi="宋体"/>
          <w:color w:val="000000"/>
          <w:szCs w:val="21"/>
        </w:rPr>
      </w:pPr>
      <w:r>
        <w:rPr>
          <w:rFonts w:hint="eastAsia" w:ascii="宋体" w:hAnsi="宋体"/>
          <w:color w:val="000000"/>
          <w:szCs w:val="21"/>
        </w:rPr>
        <w:t>发包人向承包人提供图纸的数量：</w:t>
      </w:r>
      <w:r>
        <w:rPr>
          <w:rFonts w:hint="eastAsia" w:ascii="宋体" w:hAnsi="宋体"/>
          <w:szCs w:val="21"/>
          <w:u w:val="single"/>
        </w:rPr>
        <w:t>纸质文件四份</w:t>
      </w:r>
      <w:r>
        <w:rPr>
          <w:rFonts w:hint="eastAsia" w:ascii="宋体" w:hAnsi="宋体"/>
          <w:color w:val="000000"/>
          <w:szCs w:val="21"/>
        </w:rPr>
        <w:t>；</w:t>
      </w:r>
    </w:p>
    <w:p w14:paraId="4DFC9A59">
      <w:pPr>
        <w:spacing w:line="440" w:lineRule="exact"/>
        <w:ind w:firstLine="480"/>
        <w:rPr>
          <w:rFonts w:ascii="宋体" w:hAnsi="宋体"/>
          <w:color w:val="000000"/>
          <w:szCs w:val="21"/>
        </w:rPr>
      </w:pPr>
      <w:r>
        <w:rPr>
          <w:rFonts w:hint="eastAsia" w:ascii="宋体" w:hAnsi="宋体"/>
          <w:color w:val="000000"/>
          <w:szCs w:val="21"/>
        </w:rPr>
        <w:t>发包人向承包人提供图纸的内容：</w:t>
      </w:r>
      <w:r>
        <w:rPr>
          <w:rFonts w:hint="eastAsia" w:ascii="宋体" w:hAnsi="宋体"/>
          <w:szCs w:val="21"/>
          <w:u w:val="single"/>
        </w:rPr>
        <w:t>与工程有关的全部图纸（含蓝图及电子版图纸）</w:t>
      </w:r>
      <w:r>
        <w:rPr>
          <w:rFonts w:hint="eastAsia" w:ascii="宋体" w:hAnsi="宋体"/>
          <w:color w:val="000000"/>
          <w:szCs w:val="21"/>
        </w:rPr>
        <w:t>。</w:t>
      </w:r>
    </w:p>
    <w:p w14:paraId="67673AB4">
      <w:pPr>
        <w:spacing w:line="440" w:lineRule="exact"/>
        <w:ind w:firstLine="480"/>
        <w:rPr>
          <w:rFonts w:ascii="宋体" w:hAnsi="宋体"/>
          <w:color w:val="000000"/>
          <w:szCs w:val="21"/>
        </w:rPr>
      </w:pPr>
      <w:r>
        <w:rPr>
          <w:rFonts w:hint="eastAsia" w:ascii="宋体" w:hAnsi="宋体"/>
          <w:color w:val="000000"/>
          <w:szCs w:val="21"/>
        </w:rPr>
        <w:t>发包人对图纸的保密要求：（增加内容）</w:t>
      </w:r>
    </w:p>
    <w:p w14:paraId="500CA254">
      <w:pPr>
        <w:spacing w:line="440" w:lineRule="exact"/>
        <w:ind w:firstLine="480"/>
        <w:rPr>
          <w:rFonts w:ascii="宋体" w:hAnsi="宋体"/>
          <w:szCs w:val="21"/>
          <w:u w:val="single"/>
        </w:rPr>
      </w:pPr>
      <w:r>
        <w:rPr>
          <w:rFonts w:hint="eastAsia" w:ascii="宋体" w:hAnsi="宋体"/>
          <w:szCs w:val="21"/>
          <w:u w:val="single"/>
        </w:rPr>
        <w:t>承包人未经发包人书面同意，不得向第三人转让、泄漏本工程图纸及复印件（具体方式包括但不限于：出卖、出借、复制等），也不得用于本工程承包工作以外的任何用途。因承包人对资料保管不当、遗失、转借他人、复制等原因造成泄密后果，发包人对此保留终生追究的权利。</w:t>
      </w:r>
    </w:p>
    <w:p w14:paraId="2072E326">
      <w:pPr>
        <w:spacing w:line="440" w:lineRule="exact"/>
        <w:ind w:firstLine="480"/>
        <w:rPr>
          <w:rFonts w:ascii="宋体" w:hAnsi="宋体"/>
          <w:color w:val="000000"/>
          <w:szCs w:val="21"/>
        </w:rPr>
      </w:pPr>
      <w:r>
        <w:rPr>
          <w:rFonts w:hint="eastAsia" w:ascii="宋体" w:hAnsi="宋体"/>
          <w:color w:val="000000"/>
          <w:szCs w:val="21"/>
        </w:rPr>
        <w:t>1.6.4 承包人文件</w:t>
      </w:r>
    </w:p>
    <w:p w14:paraId="59A2DDD5">
      <w:pPr>
        <w:spacing w:line="440" w:lineRule="exact"/>
        <w:ind w:firstLine="480"/>
        <w:rPr>
          <w:rFonts w:ascii="宋体" w:hAnsi="宋体"/>
          <w:color w:val="000000"/>
          <w:szCs w:val="21"/>
        </w:rPr>
      </w:pPr>
      <w:r>
        <w:rPr>
          <w:rFonts w:hint="eastAsia" w:ascii="宋体" w:hAnsi="宋体"/>
          <w:color w:val="000000"/>
          <w:szCs w:val="21"/>
        </w:rPr>
        <w:t>需要由承包人提供的文件，包括：</w:t>
      </w:r>
      <w:r>
        <w:rPr>
          <w:rFonts w:hint="eastAsia" w:ascii="宋体" w:hAnsi="宋体"/>
          <w:szCs w:val="21"/>
          <w:u w:val="single"/>
        </w:rPr>
        <w:t>（1）用于办理备案的企业及项目部相关人员资质证书、设备的合格证等；（2）与施工管理有关的报表、计划、施工方案等；（3）按发包人要求必须提供的其他文件</w:t>
      </w:r>
      <w:r>
        <w:rPr>
          <w:rFonts w:hint="eastAsia" w:ascii="宋体" w:hAnsi="宋体"/>
          <w:color w:val="000000"/>
          <w:szCs w:val="21"/>
        </w:rPr>
        <w:t>；</w:t>
      </w:r>
    </w:p>
    <w:p w14:paraId="087CD15A">
      <w:pPr>
        <w:spacing w:line="440" w:lineRule="exact"/>
        <w:ind w:firstLine="480"/>
        <w:rPr>
          <w:rFonts w:ascii="宋体" w:hAnsi="宋体"/>
          <w:color w:val="000000"/>
          <w:szCs w:val="21"/>
        </w:rPr>
      </w:pPr>
      <w:r>
        <w:rPr>
          <w:rFonts w:hint="eastAsia" w:ascii="宋体" w:hAnsi="宋体"/>
          <w:color w:val="000000"/>
          <w:szCs w:val="21"/>
        </w:rPr>
        <w:t>承包人提供的文件的期限为：</w:t>
      </w:r>
      <w:r>
        <w:rPr>
          <w:rFonts w:hint="eastAsia" w:ascii="宋体" w:hAnsi="宋体"/>
          <w:szCs w:val="21"/>
          <w:u w:val="single"/>
        </w:rPr>
        <w:t>发包人通知后3天内提供</w:t>
      </w:r>
      <w:r>
        <w:rPr>
          <w:rFonts w:hint="eastAsia" w:ascii="宋体" w:hAnsi="宋体"/>
          <w:color w:val="000000"/>
          <w:szCs w:val="21"/>
        </w:rPr>
        <w:t>；</w:t>
      </w:r>
    </w:p>
    <w:p w14:paraId="1247437B">
      <w:pPr>
        <w:spacing w:line="440" w:lineRule="exact"/>
        <w:ind w:firstLine="480"/>
        <w:rPr>
          <w:rFonts w:ascii="宋体" w:hAnsi="宋体"/>
          <w:color w:val="000000"/>
          <w:szCs w:val="21"/>
        </w:rPr>
      </w:pPr>
      <w:r>
        <w:rPr>
          <w:rFonts w:hint="eastAsia" w:ascii="宋体" w:hAnsi="宋体"/>
          <w:color w:val="000000"/>
          <w:szCs w:val="21"/>
        </w:rPr>
        <w:t>承包人提供的文件的数量为：</w:t>
      </w:r>
      <w:r>
        <w:rPr>
          <w:rFonts w:hint="eastAsia" w:ascii="宋体" w:hAnsi="宋体"/>
          <w:szCs w:val="21"/>
          <w:u w:val="single"/>
        </w:rPr>
        <w:t>纸制版文件四份，电子版文档一份</w:t>
      </w:r>
      <w:r>
        <w:rPr>
          <w:rFonts w:hint="eastAsia" w:ascii="宋体" w:hAnsi="宋体"/>
          <w:color w:val="000000"/>
          <w:szCs w:val="21"/>
        </w:rPr>
        <w:t>；</w:t>
      </w:r>
    </w:p>
    <w:p w14:paraId="0B293845">
      <w:pPr>
        <w:spacing w:line="440" w:lineRule="exact"/>
        <w:ind w:firstLine="480"/>
        <w:rPr>
          <w:rFonts w:ascii="宋体" w:hAnsi="宋体"/>
          <w:color w:val="000000"/>
          <w:szCs w:val="21"/>
        </w:rPr>
      </w:pPr>
      <w:r>
        <w:rPr>
          <w:rFonts w:hint="eastAsia" w:ascii="宋体" w:hAnsi="宋体"/>
          <w:color w:val="000000"/>
          <w:szCs w:val="21"/>
        </w:rPr>
        <w:t>承包人提供的文件的形式为：</w:t>
      </w:r>
      <w:r>
        <w:rPr>
          <w:rFonts w:hint="eastAsia" w:ascii="宋体" w:hAnsi="宋体"/>
          <w:szCs w:val="21"/>
          <w:u w:val="single"/>
        </w:rPr>
        <w:t>纸质版和电子版文件</w:t>
      </w:r>
      <w:r>
        <w:rPr>
          <w:rFonts w:hint="eastAsia" w:ascii="宋体" w:hAnsi="宋体"/>
          <w:color w:val="000000"/>
          <w:szCs w:val="21"/>
        </w:rPr>
        <w:t>；</w:t>
      </w:r>
    </w:p>
    <w:p w14:paraId="71A2DD21">
      <w:pPr>
        <w:spacing w:line="440" w:lineRule="exact"/>
        <w:ind w:firstLine="480"/>
        <w:rPr>
          <w:rFonts w:ascii="宋体" w:hAnsi="宋体"/>
          <w:color w:val="000000"/>
          <w:szCs w:val="21"/>
        </w:rPr>
      </w:pPr>
      <w:r>
        <w:rPr>
          <w:rFonts w:hint="eastAsia" w:ascii="宋体" w:hAnsi="宋体"/>
          <w:color w:val="000000"/>
          <w:szCs w:val="21"/>
        </w:rPr>
        <w:t>发包人审批承包人文件的期限：</w:t>
      </w:r>
      <w:r>
        <w:rPr>
          <w:rFonts w:hint="eastAsia" w:ascii="宋体" w:hAnsi="宋体"/>
          <w:color w:val="000000"/>
          <w:szCs w:val="21"/>
          <w:u w:val="single"/>
        </w:rPr>
        <w:t xml:space="preserve"> 7天内 </w:t>
      </w:r>
      <w:r>
        <w:rPr>
          <w:rFonts w:hint="eastAsia" w:ascii="宋体" w:hAnsi="宋体"/>
          <w:color w:val="000000"/>
          <w:szCs w:val="21"/>
        </w:rPr>
        <w:t>。</w:t>
      </w:r>
    </w:p>
    <w:p w14:paraId="7200049B">
      <w:pPr>
        <w:spacing w:line="440" w:lineRule="exact"/>
        <w:ind w:firstLine="480"/>
        <w:rPr>
          <w:rFonts w:ascii="宋体" w:hAnsi="宋体"/>
          <w:color w:val="000000"/>
          <w:szCs w:val="21"/>
        </w:rPr>
      </w:pPr>
      <w:r>
        <w:rPr>
          <w:rFonts w:hint="eastAsia" w:ascii="宋体" w:hAnsi="宋体"/>
          <w:color w:val="000000"/>
          <w:szCs w:val="21"/>
        </w:rPr>
        <w:t>1.6.5 现场图纸准备</w:t>
      </w:r>
    </w:p>
    <w:p w14:paraId="1ED72E34">
      <w:pPr>
        <w:spacing w:line="440" w:lineRule="exact"/>
        <w:ind w:firstLine="480"/>
        <w:rPr>
          <w:rFonts w:ascii="宋体" w:hAnsi="宋体"/>
          <w:color w:val="000000"/>
          <w:szCs w:val="21"/>
        </w:rPr>
      </w:pPr>
      <w:r>
        <w:rPr>
          <w:rFonts w:hint="eastAsia" w:ascii="宋体" w:hAnsi="宋体"/>
          <w:color w:val="000000"/>
          <w:szCs w:val="21"/>
        </w:rPr>
        <w:t>关于现场图纸准备的约定：</w:t>
      </w:r>
      <w:r>
        <w:rPr>
          <w:rFonts w:hint="eastAsia" w:ascii="宋体" w:hAnsi="宋体"/>
          <w:color w:val="000000"/>
          <w:szCs w:val="21"/>
          <w:u w:val="single"/>
        </w:rPr>
        <w:t>承包人应在施工现场准备一套完整的施工图纸，供会议、检查之用，专人保管。同时承包人作为一个有资质、有实力、有经验的承包商，在图纸会审和设计交底前，承包人应对图纸及相关材料进行认真审阅，对现场进行详细踏勘，对图纸中的问题及施工中有可能存在的问题应详细提出，由设计、监理及发包人给予答复若图纸会审和涉及交底时未提出，施工时才发现问题，造成工程返工，其返工费用由承包人自行承担。由承包人深化设计的图纸，必须按施工图要求和规范出蓝图，且须设计单位签署复核认可意见，后经发包人技术部门审批后方可作为施工蓝图，发包人酌情考虑此项费用</w:t>
      </w:r>
      <w:r>
        <w:rPr>
          <w:rFonts w:hint="eastAsia" w:ascii="宋体" w:hAnsi="宋体"/>
          <w:color w:val="000000"/>
          <w:szCs w:val="21"/>
        </w:rPr>
        <w:t>。</w:t>
      </w:r>
    </w:p>
    <w:p w14:paraId="4F3E6687">
      <w:pPr>
        <w:spacing w:after="120" w:line="440" w:lineRule="exact"/>
        <w:ind w:firstLine="482"/>
        <w:outlineLvl w:val="0"/>
        <w:rPr>
          <w:rFonts w:ascii="宋体" w:hAnsi="宋体"/>
          <w:b/>
          <w:color w:val="000000"/>
        </w:rPr>
      </w:pPr>
      <w:bookmarkStart w:id="568" w:name="_Toc36797922"/>
      <w:r>
        <w:rPr>
          <w:rFonts w:hint="eastAsia" w:ascii="宋体" w:hAnsi="宋体"/>
          <w:b/>
          <w:color w:val="000000"/>
        </w:rPr>
        <w:t>1.7 联络</w:t>
      </w:r>
      <w:bookmarkEnd w:id="568"/>
    </w:p>
    <w:p w14:paraId="2F7C2B0C">
      <w:pPr>
        <w:spacing w:line="440" w:lineRule="exact"/>
        <w:ind w:firstLine="480"/>
        <w:rPr>
          <w:rFonts w:ascii="宋体" w:hAnsi="宋体"/>
          <w:color w:val="000000"/>
          <w:szCs w:val="21"/>
        </w:rPr>
      </w:pPr>
      <w:r>
        <w:rPr>
          <w:rFonts w:hint="eastAsia" w:ascii="宋体" w:hAnsi="宋体"/>
          <w:color w:val="000000"/>
          <w:szCs w:val="21"/>
        </w:rPr>
        <w:t>1.7.1发包人和承包人应当在</w:t>
      </w:r>
      <w:r>
        <w:rPr>
          <w:rFonts w:hint="eastAsia" w:ascii="宋体" w:hAnsi="宋体"/>
          <w:color w:val="000000"/>
          <w:szCs w:val="21"/>
          <w:u w:val="single"/>
        </w:rPr>
        <w:t xml:space="preserve">合同签订后3 </w:t>
      </w:r>
      <w:r>
        <w:rPr>
          <w:rFonts w:hint="eastAsia" w:ascii="宋体" w:hAnsi="宋体"/>
          <w:color w:val="000000"/>
          <w:szCs w:val="21"/>
        </w:rPr>
        <w:t>天内将与合同有关的通知、批准、证明、证书、指示、指令、要求、请求、同意、意见、确定和决定等书面函件送达对方当事人。</w:t>
      </w:r>
    </w:p>
    <w:p w14:paraId="28C68896">
      <w:pPr>
        <w:spacing w:line="440" w:lineRule="exact"/>
        <w:ind w:firstLine="480"/>
        <w:rPr>
          <w:rFonts w:ascii="宋体" w:hAnsi="宋体"/>
          <w:color w:val="000000"/>
          <w:szCs w:val="21"/>
        </w:rPr>
      </w:pPr>
      <w:r>
        <w:rPr>
          <w:rFonts w:hint="eastAsia" w:ascii="宋体" w:hAnsi="宋体"/>
          <w:color w:val="000000"/>
          <w:szCs w:val="21"/>
        </w:rPr>
        <w:t>1.7.2 发包人接收文件的地点：</w:t>
      </w:r>
      <w:r>
        <w:rPr>
          <w:rFonts w:hint="eastAsia" w:ascii="宋体" w:hAnsi="宋体"/>
          <w:color w:val="000000"/>
          <w:szCs w:val="21"/>
          <w:u w:val="single"/>
        </w:rPr>
        <w:t>项目现场发包人代表办公室</w:t>
      </w:r>
      <w:r>
        <w:rPr>
          <w:rFonts w:hint="eastAsia" w:ascii="宋体" w:hAnsi="宋体"/>
          <w:color w:val="000000"/>
          <w:szCs w:val="21"/>
        </w:rPr>
        <w:t>；</w:t>
      </w:r>
    </w:p>
    <w:p w14:paraId="1EDDEEF5">
      <w:pPr>
        <w:spacing w:line="440" w:lineRule="exact"/>
        <w:ind w:firstLine="480"/>
        <w:rPr>
          <w:rFonts w:ascii="宋体" w:hAnsi="宋体"/>
          <w:color w:val="000000"/>
          <w:szCs w:val="21"/>
        </w:rPr>
      </w:pPr>
      <w:r>
        <w:rPr>
          <w:rFonts w:hint="eastAsia" w:ascii="宋体" w:hAnsi="宋体"/>
          <w:color w:val="000000"/>
          <w:szCs w:val="21"/>
        </w:rPr>
        <w:t>发包人指定的接收人为：</w:t>
      </w:r>
      <w:r>
        <w:rPr>
          <w:rFonts w:hint="eastAsia" w:ascii="宋体" w:hAnsi="宋体"/>
          <w:color w:val="000000"/>
          <w:szCs w:val="21"/>
          <w:u w:val="single"/>
        </w:rPr>
        <w:t xml:space="preserve">发包人代表 </w:t>
      </w:r>
      <w:r>
        <w:rPr>
          <w:rFonts w:hint="eastAsia" w:ascii="宋体" w:hAnsi="宋体"/>
          <w:color w:val="000000"/>
          <w:szCs w:val="21"/>
        </w:rPr>
        <w:t>。</w:t>
      </w:r>
    </w:p>
    <w:p w14:paraId="688F0C68">
      <w:pPr>
        <w:spacing w:line="440" w:lineRule="exact"/>
        <w:ind w:firstLine="480"/>
        <w:rPr>
          <w:rFonts w:ascii="宋体" w:hAnsi="宋体"/>
          <w:color w:val="000000"/>
          <w:szCs w:val="21"/>
        </w:rPr>
      </w:pPr>
      <w:r>
        <w:rPr>
          <w:rFonts w:hint="eastAsia" w:ascii="宋体" w:hAnsi="宋体"/>
          <w:color w:val="000000"/>
          <w:szCs w:val="21"/>
        </w:rPr>
        <w:t>承包人接收文件的地点：</w:t>
      </w:r>
      <w:r>
        <w:rPr>
          <w:rFonts w:hint="eastAsia" w:ascii="宋体" w:hAnsi="宋体"/>
          <w:color w:val="000000"/>
          <w:szCs w:val="21"/>
          <w:u w:val="single"/>
        </w:rPr>
        <w:t>项目现场项目经理办公室</w:t>
      </w:r>
      <w:r>
        <w:rPr>
          <w:rFonts w:hint="eastAsia" w:ascii="宋体" w:hAnsi="宋体"/>
          <w:color w:val="000000"/>
          <w:szCs w:val="21"/>
        </w:rPr>
        <w:t>；</w:t>
      </w:r>
    </w:p>
    <w:p w14:paraId="183981C2">
      <w:pPr>
        <w:spacing w:line="440" w:lineRule="exact"/>
        <w:ind w:firstLine="480"/>
        <w:rPr>
          <w:rFonts w:ascii="宋体" w:hAnsi="宋体"/>
          <w:color w:val="000000"/>
          <w:szCs w:val="21"/>
        </w:rPr>
      </w:pPr>
      <w:r>
        <w:rPr>
          <w:rFonts w:hint="eastAsia" w:ascii="宋体" w:hAnsi="宋体"/>
          <w:color w:val="000000"/>
          <w:szCs w:val="21"/>
        </w:rPr>
        <w:t>承包人指定的接收人为：</w:t>
      </w:r>
      <w:r>
        <w:rPr>
          <w:rFonts w:hint="eastAsia" w:ascii="宋体" w:hAnsi="宋体"/>
          <w:color w:val="000000"/>
          <w:szCs w:val="21"/>
          <w:u w:val="single"/>
        </w:rPr>
        <w:t>项目经理</w:t>
      </w:r>
      <w:r>
        <w:rPr>
          <w:rFonts w:hint="eastAsia" w:ascii="宋体" w:hAnsi="宋体"/>
          <w:color w:val="000000"/>
          <w:szCs w:val="21"/>
        </w:rPr>
        <w:t>。</w:t>
      </w:r>
    </w:p>
    <w:p w14:paraId="37F84C8B">
      <w:pPr>
        <w:spacing w:line="440" w:lineRule="exact"/>
        <w:ind w:firstLine="480"/>
        <w:rPr>
          <w:rFonts w:ascii="宋体" w:hAnsi="宋体"/>
          <w:color w:val="000000"/>
          <w:szCs w:val="21"/>
        </w:rPr>
      </w:pPr>
      <w:r>
        <w:rPr>
          <w:rFonts w:hint="eastAsia" w:ascii="宋体" w:hAnsi="宋体"/>
          <w:color w:val="000000"/>
          <w:szCs w:val="21"/>
        </w:rPr>
        <w:t>监理人接收文件的地点：</w:t>
      </w:r>
      <w:r>
        <w:rPr>
          <w:rFonts w:hint="eastAsia" w:ascii="宋体" w:hAnsi="宋体"/>
          <w:color w:val="000000"/>
          <w:szCs w:val="21"/>
          <w:u w:val="single"/>
        </w:rPr>
        <w:t>项目现场总监理工程师办公室</w:t>
      </w:r>
      <w:r>
        <w:rPr>
          <w:rFonts w:hint="eastAsia" w:ascii="宋体" w:hAnsi="宋体"/>
          <w:color w:val="000000"/>
          <w:szCs w:val="21"/>
        </w:rPr>
        <w:t>；</w:t>
      </w:r>
    </w:p>
    <w:p w14:paraId="726ADF7D">
      <w:pPr>
        <w:spacing w:line="440" w:lineRule="exact"/>
        <w:ind w:firstLine="480"/>
        <w:rPr>
          <w:rFonts w:ascii="宋体" w:hAnsi="宋体"/>
          <w:color w:val="000000"/>
          <w:szCs w:val="21"/>
        </w:rPr>
      </w:pPr>
      <w:r>
        <w:rPr>
          <w:rFonts w:hint="eastAsia" w:ascii="宋体" w:hAnsi="宋体"/>
          <w:color w:val="000000"/>
          <w:szCs w:val="21"/>
        </w:rPr>
        <w:t>监理人指定的接收人为：</w:t>
      </w:r>
      <w:r>
        <w:rPr>
          <w:rFonts w:hint="eastAsia" w:ascii="宋体" w:hAnsi="宋体"/>
          <w:color w:val="000000"/>
          <w:szCs w:val="21"/>
          <w:u w:val="single"/>
        </w:rPr>
        <w:t>总监理工程师</w:t>
      </w:r>
      <w:r>
        <w:rPr>
          <w:rFonts w:hint="eastAsia" w:ascii="宋体" w:hAnsi="宋体"/>
          <w:color w:val="000000"/>
          <w:szCs w:val="21"/>
        </w:rPr>
        <w:t>。</w:t>
      </w:r>
    </w:p>
    <w:p w14:paraId="1C0D5737">
      <w:pPr>
        <w:spacing w:after="120" w:line="440" w:lineRule="exact"/>
        <w:ind w:firstLine="482"/>
        <w:outlineLvl w:val="0"/>
        <w:rPr>
          <w:rFonts w:ascii="宋体" w:hAnsi="宋体"/>
          <w:b/>
          <w:color w:val="000000"/>
        </w:rPr>
      </w:pPr>
      <w:bookmarkStart w:id="569" w:name="_Toc36797923"/>
      <w:r>
        <w:rPr>
          <w:rFonts w:hint="eastAsia" w:ascii="宋体" w:hAnsi="宋体"/>
          <w:b/>
          <w:color w:val="000000"/>
        </w:rPr>
        <w:t>1.10 交通运输</w:t>
      </w:r>
      <w:bookmarkEnd w:id="569"/>
    </w:p>
    <w:p w14:paraId="75A80A57">
      <w:pPr>
        <w:spacing w:line="440" w:lineRule="exact"/>
        <w:ind w:firstLine="480"/>
        <w:outlineLvl w:val="0"/>
        <w:rPr>
          <w:rFonts w:ascii="宋体" w:hAnsi="宋体"/>
          <w:szCs w:val="21"/>
        </w:rPr>
      </w:pPr>
      <w:bookmarkStart w:id="570" w:name="_Toc36797924"/>
      <w:r>
        <w:rPr>
          <w:rFonts w:hint="eastAsia" w:ascii="宋体" w:hAnsi="宋体"/>
          <w:szCs w:val="21"/>
        </w:rPr>
        <w:t>1</w:t>
      </w:r>
      <w:bookmarkStart w:id="571" w:name="_Toc303539100"/>
      <w:bookmarkStart w:id="572" w:name="_Toc300934943"/>
      <w:bookmarkStart w:id="573" w:name="_Toc304295521"/>
      <w:bookmarkStart w:id="574" w:name="_Toc312677986"/>
      <w:bookmarkStart w:id="575" w:name="_Toc318581155"/>
      <w:r>
        <w:rPr>
          <w:rFonts w:hint="eastAsia" w:ascii="宋体" w:hAnsi="宋体"/>
          <w:szCs w:val="21"/>
        </w:rPr>
        <w:t>.10.1 出入现场的权利</w:t>
      </w:r>
      <w:bookmarkEnd w:id="570"/>
    </w:p>
    <w:p w14:paraId="403D19AC">
      <w:pPr>
        <w:spacing w:line="440" w:lineRule="exact"/>
        <w:ind w:firstLine="480"/>
        <w:rPr>
          <w:rFonts w:ascii="宋体" w:hAnsi="宋体"/>
          <w:szCs w:val="21"/>
        </w:rPr>
      </w:pPr>
      <w:r>
        <w:rPr>
          <w:rFonts w:hint="eastAsia" w:ascii="宋体" w:hAnsi="宋体"/>
          <w:szCs w:val="21"/>
        </w:rPr>
        <w:t>关于出入现场的权利的约定：</w:t>
      </w:r>
      <w:r>
        <w:rPr>
          <w:rFonts w:hint="eastAsia" w:ascii="宋体" w:hAnsi="宋体"/>
          <w:szCs w:val="21"/>
          <w:u w:val="single"/>
        </w:rPr>
        <w:t>除与工程项目有关人员外，其他人不得进入施工现场</w:t>
      </w:r>
      <w:r>
        <w:rPr>
          <w:rFonts w:hint="eastAsia" w:ascii="宋体" w:hAnsi="宋体"/>
          <w:szCs w:val="21"/>
        </w:rPr>
        <w:t>。</w:t>
      </w:r>
    </w:p>
    <w:bookmarkEnd w:id="571"/>
    <w:bookmarkEnd w:id="572"/>
    <w:bookmarkEnd w:id="573"/>
    <w:bookmarkEnd w:id="574"/>
    <w:bookmarkEnd w:id="575"/>
    <w:p w14:paraId="20537E50">
      <w:pPr>
        <w:spacing w:line="440" w:lineRule="exact"/>
        <w:ind w:firstLine="480"/>
        <w:outlineLvl w:val="0"/>
        <w:rPr>
          <w:rFonts w:ascii="宋体" w:hAnsi="宋体"/>
          <w:szCs w:val="21"/>
        </w:rPr>
      </w:pPr>
      <w:bookmarkStart w:id="576" w:name="_Toc36797925"/>
      <w:r>
        <w:rPr>
          <w:rFonts w:hint="eastAsia" w:ascii="宋体" w:hAnsi="宋体"/>
          <w:szCs w:val="21"/>
        </w:rPr>
        <w:t>1</w:t>
      </w:r>
      <w:bookmarkStart w:id="577" w:name="_Toc312677987"/>
      <w:bookmarkStart w:id="578" w:name="_Toc304295522"/>
      <w:bookmarkStart w:id="579" w:name="_Toc303539101"/>
      <w:bookmarkStart w:id="580" w:name="_Toc300934944"/>
      <w:bookmarkStart w:id="581" w:name="_Toc318581156"/>
      <w:r>
        <w:rPr>
          <w:rFonts w:hint="eastAsia" w:ascii="宋体" w:hAnsi="宋体"/>
          <w:szCs w:val="21"/>
        </w:rPr>
        <w:t>.10.3 场内交通</w:t>
      </w:r>
      <w:bookmarkEnd w:id="576"/>
    </w:p>
    <w:p w14:paraId="39F6C526">
      <w:pPr>
        <w:spacing w:line="440" w:lineRule="exact"/>
        <w:ind w:firstLine="480"/>
        <w:rPr>
          <w:rFonts w:ascii="宋体" w:hAnsi="宋体"/>
          <w:color w:val="000000"/>
          <w:szCs w:val="21"/>
        </w:rPr>
      </w:pPr>
      <w:r>
        <w:rPr>
          <w:rFonts w:hint="eastAsia" w:ascii="宋体" w:hAnsi="宋体"/>
          <w:color w:val="000000"/>
          <w:szCs w:val="21"/>
        </w:rPr>
        <w:t>关于场外交通和场内交通的边界的约定：</w:t>
      </w:r>
      <w:r>
        <w:rPr>
          <w:rFonts w:hint="eastAsia" w:ascii="宋体" w:hAnsi="宋体"/>
          <w:szCs w:val="21"/>
          <w:u w:val="single"/>
        </w:rPr>
        <w:t>施工红线</w:t>
      </w:r>
      <w:r>
        <w:rPr>
          <w:rFonts w:hint="eastAsia" w:ascii="宋体" w:hAnsi="宋体"/>
          <w:szCs w:val="21"/>
        </w:rPr>
        <w:t>。</w:t>
      </w:r>
    </w:p>
    <w:p w14:paraId="342D623E">
      <w:pPr>
        <w:spacing w:line="440" w:lineRule="exact"/>
        <w:ind w:firstLine="480"/>
        <w:rPr>
          <w:rFonts w:ascii="宋体" w:hAnsi="宋体"/>
          <w:szCs w:val="21"/>
        </w:rPr>
      </w:pPr>
      <w:r>
        <w:rPr>
          <w:rFonts w:hint="eastAsia" w:ascii="宋体" w:hAnsi="宋体"/>
          <w:szCs w:val="21"/>
        </w:rPr>
        <w:t>关于发包人向承包人免费提供满足工程施工需要的场内道路和交通设施的约定：</w:t>
      </w:r>
      <w:r>
        <w:rPr>
          <w:rFonts w:hint="eastAsia" w:ascii="宋体" w:hAnsi="宋体"/>
          <w:szCs w:val="21"/>
          <w:u w:val="single"/>
        </w:rPr>
        <w:t>承包人可以使用目前场内道路和交通设施，但维修保养费由承包人承担</w:t>
      </w:r>
      <w:r>
        <w:rPr>
          <w:rFonts w:hint="eastAsia" w:ascii="宋体" w:hAnsi="宋体"/>
          <w:szCs w:val="21"/>
        </w:rPr>
        <w:t>。</w:t>
      </w:r>
      <w:bookmarkEnd w:id="577"/>
      <w:bookmarkEnd w:id="578"/>
      <w:bookmarkEnd w:id="579"/>
      <w:bookmarkEnd w:id="580"/>
      <w:bookmarkEnd w:id="581"/>
      <w:bookmarkStart w:id="582" w:name="_Toc318581157"/>
    </w:p>
    <w:p w14:paraId="2301FAC7">
      <w:pPr>
        <w:spacing w:line="440" w:lineRule="exact"/>
        <w:ind w:firstLine="480"/>
        <w:rPr>
          <w:rFonts w:ascii="宋体" w:hAnsi="宋体"/>
          <w:szCs w:val="21"/>
        </w:rPr>
      </w:pPr>
      <w:r>
        <w:rPr>
          <w:rFonts w:hint="eastAsia" w:ascii="宋体" w:hAnsi="宋体"/>
          <w:szCs w:val="21"/>
        </w:rPr>
        <w:t>1.10.4超大件和超重件的运输</w:t>
      </w:r>
    </w:p>
    <w:p w14:paraId="14D76892">
      <w:pPr>
        <w:spacing w:line="440" w:lineRule="exact"/>
        <w:ind w:firstLine="480"/>
        <w:rPr>
          <w:rFonts w:ascii="宋体" w:hAnsi="宋体"/>
          <w:szCs w:val="21"/>
        </w:rPr>
      </w:pPr>
      <w:r>
        <w:rPr>
          <w:rFonts w:hint="eastAsia" w:ascii="宋体" w:hAnsi="宋体"/>
          <w:szCs w:val="21"/>
        </w:rPr>
        <w:t>运输超大件或超重件所需的道路和桥梁临时加固改造费用和其他有关费用由</w:t>
      </w:r>
      <w:r>
        <w:rPr>
          <w:rFonts w:hint="eastAsia" w:ascii="宋体" w:hAnsi="宋体"/>
          <w:szCs w:val="21"/>
          <w:u w:val="single"/>
        </w:rPr>
        <w:t>承包人</w:t>
      </w:r>
      <w:r>
        <w:rPr>
          <w:rFonts w:hint="eastAsia" w:ascii="宋体" w:hAnsi="宋体"/>
          <w:szCs w:val="21"/>
        </w:rPr>
        <w:t>承担。</w:t>
      </w:r>
    </w:p>
    <w:bookmarkEnd w:id="582"/>
    <w:p w14:paraId="7CFFAD6E">
      <w:pPr>
        <w:spacing w:after="120" w:line="440" w:lineRule="exact"/>
        <w:ind w:firstLine="482"/>
        <w:outlineLvl w:val="0"/>
        <w:rPr>
          <w:rFonts w:ascii="宋体" w:hAnsi="宋体"/>
          <w:b/>
          <w:color w:val="000000"/>
        </w:rPr>
      </w:pPr>
      <w:bookmarkStart w:id="583" w:name="_Toc36797926"/>
      <w:r>
        <w:rPr>
          <w:rFonts w:hint="eastAsia" w:ascii="宋体" w:hAnsi="宋体"/>
          <w:b/>
          <w:color w:val="000000"/>
        </w:rPr>
        <w:t>1.11 知识产权</w:t>
      </w:r>
      <w:bookmarkEnd w:id="583"/>
    </w:p>
    <w:p w14:paraId="7DA3573E">
      <w:pPr>
        <w:spacing w:line="440" w:lineRule="exact"/>
        <w:ind w:firstLine="480"/>
        <w:rPr>
          <w:rFonts w:ascii="宋体" w:hAnsi="宋体"/>
          <w:color w:val="000000"/>
          <w:szCs w:val="21"/>
        </w:rPr>
      </w:pPr>
      <w:r>
        <w:rPr>
          <w:rFonts w:hint="eastAsia" w:ascii="宋体" w:hAnsi="宋体"/>
          <w:color w:val="000000"/>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szCs w:val="21"/>
          <w:u w:val="single"/>
        </w:rPr>
        <w:t>发包人</w:t>
      </w:r>
      <w:r>
        <w:rPr>
          <w:rFonts w:hint="eastAsia" w:ascii="宋体" w:hAnsi="宋体"/>
          <w:color w:val="000000"/>
          <w:szCs w:val="21"/>
        </w:rPr>
        <w:t>。</w:t>
      </w:r>
    </w:p>
    <w:p w14:paraId="1AE420A3">
      <w:pPr>
        <w:spacing w:line="440" w:lineRule="exact"/>
        <w:ind w:firstLine="480"/>
        <w:rPr>
          <w:rFonts w:ascii="宋体" w:hAnsi="宋体"/>
          <w:color w:val="000000"/>
          <w:szCs w:val="21"/>
        </w:rPr>
      </w:pPr>
      <w:r>
        <w:rPr>
          <w:rFonts w:hint="eastAsia" w:ascii="宋体" w:hAnsi="宋体"/>
          <w:color w:val="000000"/>
          <w:szCs w:val="21"/>
        </w:rPr>
        <w:t>关于发包人提供的上述文件的使用限制的要求：</w:t>
      </w:r>
      <w:r>
        <w:rPr>
          <w:rFonts w:hint="eastAsia" w:ascii="宋体" w:hAnsi="宋体"/>
          <w:szCs w:val="21"/>
          <w:u w:val="single"/>
        </w:rPr>
        <w:t>仅限用于本工程</w:t>
      </w:r>
      <w:r>
        <w:rPr>
          <w:rFonts w:hint="eastAsia" w:ascii="宋体" w:hAnsi="宋体"/>
          <w:color w:val="000000"/>
          <w:szCs w:val="21"/>
        </w:rPr>
        <w:t>。</w:t>
      </w:r>
    </w:p>
    <w:p w14:paraId="041A3286">
      <w:pPr>
        <w:spacing w:line="440" w:lineRule="exact"/>
        <w:ind w:firstLine="480"/>
        <w:rPr>
          <w:rFonts w:ascii="宋体" w:hAnsi="宋体"/>
          <w:color w:val="000000"/>
          <w:szCs w:val="21"/>
        </w:rPr>
      </w:pPr>
      <w:r>
        <w:rPr>
          <w:rFonts w:hint="eastAsia" w:ascii="宋体" w:hAnsi="宋体"/>
          <w:color w:val="000000"/>
          <w:szCs w:val="21"/>
        </w:rPr>
        <w:t>1.11.2 关于承包人为实施工程所编制文件的著作权的归属：</w:t>
      </w:r>
      <w:r>
        <w:rPr>
          <w:rFonts w:hint="eastAsia" w:ascii="宋体" w:hAnsi="宋体"/>
          <w:szCs w:val="21"/>
          <w:u w:val="single"/>
        </w:rPr>
        <w:t>发包人</w:t>
      </w:r>
      <w:r>
        <w:rPr>
          <w:rFonts w:hint="eastAsia" w:ascii="宋体" w:hAnsi="宋体"/>
          <w:color w:val="000000"/>
          <w:szCs w:val="21"/>
        </w:rPr>
        <w:t>。</w:t>
      </w:r>
    </w:p>
    <w:p w14:paraId="7CC3B399">
      <w:pPr>
        <w:spacing w:line="440" w:lineRule="exact"/>
        <w:ind w:firstLine="480"/>
        <w:rPr>
          <w:rFonts w:ascii="宋体" w:hAnsi="宋体"/>
          <w:color w:val="000000"/>
          <w:szCs w:val="21"/>
        </w:rPr>
      </w:pPr>
      <w:r>
        <w:rPr>
          <w:rFonts w:hint="eastAsia" w:ascii="宋体" w:hAnsi="宋体"/>
          <w:color w:val="000000"/>
          <w:szCs w:val="21"/>
        </w:rPr>
        <w:t>关于承包人提供的上述文件的使用限制的要求：</w:t>
      </w:r>
      <w:r>
        <w:rPr>
          <w:rFonts w:hint="eastAsia" w:ascii="宋体" w:hAnsi="宋体"/>
          <w:szCs w:val="21"/>
          <w:u w:val="single"/>
        </w:rPr>
        <w:t>仅限用于本工程</w:t>
      </w:r>
      <w:r>
        <w:rPr>
          <w:rFonts w:hint="eastAsia" w:ascii="宋体" w:hAnsi="宋体"/>
          <w:color w:val="000000"/>
          <w:szCs w:val="21"/>
        </w:rPr>
        <w:t>。</w:t>
      </w:r>
    </w:p>
    <w:p w14:paraId="0147403F">
      <w:pPr>
        <w:spacing w:line="440" w:lineRule="exact"/>
        <w:ind w:firstLine="480"/>
        <w:outlineLvl w:val="0"/>
        <w:rPr>
          <w:rFonts w:ascii="宋体" w:hAnsi="宋体"/>
          <w:color w:val="000000"/>
          <w:szCs w:val="21"/>
        </w:rPr>
      </w:pPr>
      <w:bookmarkStart w:id="584" w:name="_Toc36797927"/>
      <w:r>
        <w:rPr>
          <w:rFonts w:hint="eastAsia" w:ascii="宋体" w:hAnsi="宋体"/>
          <w:color w:val="000000"/>
          <w:szCs w:val="21"/>
        </w:rPr>
        <w:t>1.11.4 承包人在施工过程中所采用的专利、专有技术、技术秘密的使用费的承担方式：</w:t>
      </w:r>
      <w:r>
        <w:rPr>
          <w:rFonts w:hint="eastAsia" w:ascii="宋体" w:hAnsi="宋体"/>
          <w:szCs w:val="21"/>
          <w:u w:val="single"/>
        </w:rPr>
        <w:t>由承包人承担，已包含在签约合同价中</w:t>
      </w:r>
      <w:r>
        <w:rPr>
          <w:rFonts w:hint="eastAsia" w:ascii="宋体" w:hAnsi="宋体"/>
          <w:color w:val="000000"/>
          <w:szCs w:val="21"/>
        </w:rPr>
        <w:t>。</w:t>
      </w:r>
      <w:bookmarkEnd w:id="584"/>
    </w:p>
    <w:p w14:paraId="5DE45B1C">
      <w:pPr>
        <w:spacing w:after="120" w:line="440" w:lineRule="exact"/>
        <w:ind w:firstLine="482"/>
        <w:rPr>
          <w:rFonts w:ascii="宋体" w:hAnsi="宋体"/>
          <w:b/>
          <w:color w:val="000000"/>
        </w:rPr>
      </w:pPr>
      <w:r>
        <w:rPr>
          <w:rFonts w:hint="eastAsia" w:ascii="宋体" w:hAnsi="宋体"/>
          <w:b/>
          <w:color w:val="000000"/>
        </w:rPr>
        <w:t>1.13工程量清单错误的修正</w:t>
      </w:r>
    </w:p>
    <w:p w14:paraId="645A1B04">
      <w:pPr>
        <w:spacing w:line="440" w:lineRule="exact"/>
        <w:ind w:firstLine="480"/>
        <w:rPr>
          <w:rFonts w:ascii="宋体" w:hAnsi="宋体"/>
          <w:color w:val="000000"/>
          <w:szCs w:val="21"/>
        </w:rPr>
      </w:pPr>
      <w:r>
        <w:rPr>
          <w:rFonts w:hint="eastAsia" w:ascii="宋体" w:hAnsi="宋体"/>
          <w:color w:val="000000"/>
          <w:szCs w:val="21"/>
        </w:rPr>
        <w:t>出现工程量清单错误时，是否调整合同价格：</w:t>
      </w:r>
      <w:r>
        <w:rPr>
          <w:rFonts w:hint="eastAsia" w:ascii="宋体" w:hAnsi="宋体"/>
          <w:bCs/>
          <w:szCs w:val="21"/>
          <w:u w:val="single"/>
        </w:rPr>
        <w:t xml:space="preserve">按照通用合同条款执行 </w:t>
      </w:r>
      <w:r>
        <w:rPr>
          <w:rFonts w:hint="eastAsia" w:ascii="宋体" w:hAnsi="宋体"/>
          <w:color w:val="000000"/>
          <w:szCs w:val="21"/>
        </w:rPr>
        <w:t>。</w:t>
      </w:r>
    </w:p>
    <w:p w14:paraId="33693A4E">
      <w:pPr>
        <w:spacing w:line="440" w:lineRule="exact"/>
        <w:ind w:firstLine="480"/>
        <w:rPr>
          <w:rFonts w:ascii="宋体" w:hAnsi="宋体"/>
          <w:color w:val="000000"/>
          <w:sz w:val="30"/>
          <w:szCs w:val="32"/>
        </w:rPr>
      </w:pPr>
      <w:r>
        <w:rPr>
          <w:rFonts w:hint="eastAsia" w:ascii="宋体" w:hAnsi="宋体"/>
          <w:color w:val="000000"/>
          <w:szCs w:val="21"/>
        </w:rPr>
        <w:t>允许调整合同价格的工程量偏差范围：</w:t>
      </w:r>
      <w:r>
        <w:rPr>
          <w:rFonts w:hint="eastAsia" w:ascii="宋体" w:hAnsi="宋体"/>
          <w:szCs w:val="21"/>
          <w:u w:val="single"/>
        </w:rPr>
        <w:t>正负15%，若工程量清单子目部分或全部取消时，在合同价中直接核减，发包人对承包人的未取得利润不做任何赔偿</w:t>
      </w:r>
      <w:r>
        <w:rPr>
          <w:rFonts w:hint="eastAsia" w:ascii="宋体" w:hAnsi="宋体"/>
          <w:color w:val="000000"/>
          <w:sz w:val="30"/>
          <w:szCs w:val="32"/>
        </w:rPr>
        <w:t>。</w:t>
      </w:r>
    </w:p>
    <w:p w14:paraId="7A22AC8E">
      <w:pPr>
        <w:keepNext/>
        <w:keepLines/>
        <w:spacing w:before="120" w:after="120" w:line="440" w:lineRule="exact"/>
        <w:ind w:firstLine="482"/>
        <w:outlineLvl w:val="3"/>
        <w:rPr>
          <w:rFonts w:ascii="宋体" w:hAnsi="宋体"/>
          <w:b/>
          <w:color w:val="000000"/>
        </w:rPr>
      </w:pPr>
      <w:bookmarkStart w:id="585" w:name="_Toc351203634"/>
      <w:r>
        <w:rPr>
          <w:rFonts w:hint="eastAsia" w:ascii="宋体" w:hAnsi="宋体"/>
          <w:b/>
          <w:color w:val="000000"/>
        </w:rPr>
        <w:t>2</w:t>
      </w:r>
      <w:bookmarkStart w:id="586" w:name="_Toc296347156"/>
      <w:bookmarkStart w:id="587" w:name="_Toc297048343"/>
      <w:bookmarkStart w:id="588" w:name="_Toc292559362"/>
      <w:bookmarkStart w:id="589" w:name="_Toc296346658"/>
      <w:bookmarkStart w:id="590" w:name="_Toc296890985"/>
      <w:bookmarkStart w:id="591" w:name="_Toc297120457"/>
      <w:bookmarkStart w:id="592" w:name="_Toc296503157"/>
      <w:bookmarkStart w:id="593" w:name="_Toc292559867"/>
      <w:bookmarkStart w:id="594" w:name="_Toc296944496"/>
      <w:bookmarkStart w:id="595" w:name="_Toc296891197"/>
      <w:r>
        <w:rPr>
          <w:rFonts w:hint="eastAsia" w:ascii="宋体" w:hAnsi="宋体"/>
          <w:b/>
          <w:color w:val="000000"/>
        </w:rPr>
        <w:t>. 发包人</w:t>
      </w:r>
      <w:bookmarkEnd w:id="585"/>
    </w:p>
    <w:bookmarkEnd w:id="586"/>
    <w:bookmarkEnd w:id="587"/>
    <w:bookmarkEnd w:id="588"/>
    <w:bookmarkEnd w:id="589"/>
    <w:bookmarkEnd w:id="590"/>
    <w:bookmarkEnd w:id="591"/>
    <w:bookmarkEnd w:id="592"/>
    <w:bookmarkEnd w:id="593"/>
    <w:bookmarkEnd w:id="594"/>
    <w:bookmarkEnd w:id="595"/>
    <w:p w14:paraId="2C8E7009">
      <w:pPr>
        <w:spacing w:after="120" w:line="440" w:lineRule="exact"/>
        <w:ind w:firstLine="482"/>
        <w:outlineLvl w:val="0"/>
        <w:rPr>
          <w:rFonts w:ascii="宋体" w:hAnsi="宋体"/>
          <w:b/>
          <w:color w:val="000000"/>
        </w:rPr>
      </w:pPr>
      <w:bookmarkStart w:id="596" w:name="_Toc36797928"/>
      <w:r>
        <w:rPr>
          <w:rFonts w:hint="eastAsia" w:ascii="宋体" w:hAnsi="宋体"/>
          <w:b/>
          <w:color w:val="000000"/>
        </w:rPr>
        <w:t>2.2 发包人代表</w:t>
      </w:r>
      <w:bookmarkEnd w:id="596"/>
    </w:p>
    <w:p w14:paraId="5FD04E65">
      <w:pPr>
        <w:spacing w:line="440" w:lineRule="exact"/>
        <w:ind w:firstLine="480"/>
        <w:rPr>
          <w:rFonts w:ascii="宋体" w:hAnsi="宋体"/>
          <w:color w:val="000000"/>
          <w:szCs w:val="21"/>
          <w:u w:val="single"/>
        </w:rPr>
      </w:pPr>
      <w:r>
        <w:rPr>
          <w:rFonts w:hint="eastAsia" w:ascii="宋体" w:hAnsi="宋体"/>
          <w:color w:val="000000"/>
          <w:szCs w:val="21"/>
        </w:rPr>
        <w:t>发包人代表：</w:t>
      </w:r>
    </w:p>
    <w:p w14:paraId="05A79492">
      <w:pPr>
        <w:spacing w:line="440" w:lineRule="exact"/>
        <w:ind w:firstLine="480"/>
        <w:rPr>
          <w:rFonts w:ascii="宋体" w:hAnsi="宋体"/>
          <w:color w:val="000000"/>
          <w:szCs w:val="21"/>
        </w:rPr>
      </w:pPr>
      <w:r>
        <w:rPr>
          <w:rFonts w:hint="eastAsia" w:ascii="宋体" w:hAnsi="宋体"/>
          <w:color w:val="000000"/>
          <w:szCs w:val="21"/>
        </w:rPr>
        <w:t>姓    名：</w:t>
      </w:r>
      <w:r>
        <w:rPr>
          <w:rFonts w:hint="eastAsia" w:ascii="宋体" w:hAnsi="宋体"/>
          <w:color w:val="000000"/>
          <w:szCs w:val="21"/>
          <w:u w:val="single"/>
          <w:lang w:val="en-US" w:eastAsia="zh-CN"/>
        </w:rPr>
        <w:t xml:space="preserve">       </w:t>
      </w:r>
      <w:r>
        <w:rPr>
          <w:rFonts w:hint="eastAsia" w:ascii="宋体" w:hAnsi="宋体"/>
          <w:color w:val="000000"/>
          <w:szCs w:val="21"/>
        </w:rPr>
        <w:t>；</w:t>
      </w:r>
    </w:p>
    <w:p w14:paraId="1E9E0A48">
      <w:pPr>
        <w:spacing w:line="440" w:lineRule="exact"/>
        <w:ind w:firstLine="480"/>
        <w:rPr>
          <w:rFonts w:ascii="宋体" w:hAnsi="宋体"/>
          <w:color w:val="000000"/>
          <w:szCs w:val="21"/>
        </w:rPr>
      </w:pPr>
      <w:r>
        <w:rPr>
          <w:rFonts w:hint="eastAsia" w:ascii="宋体" w:hAnsi="宋体"/>
          <w:color w:val="000000"/>
          <w:szCs w:val="21"/>
        </w:rPr>
        <w:t>身份证号：</w:t>
      </w:r>
      <w:r>
        <w:rPr>
          <w:rFonts w:hint="eastAsia" w:ascii="宋体" w:hAnsi="宋体"/>
          <w:color w:val="000000"/>
          <w:szCs w:val="21"/>
          <w:u w:val="single"/>
          <w:lang w:val="en-US" w:eastAsia="zh-CN"/>
        </w:rPr>
        <w:t xml:space="preserve">       </w:t>
      </w:r>
      <w:r>
        <w:rPr>
          <w:rFonts w:hint="eastAsia" w:ascii="宋体" w:hAnsi="宋体"/>
          <w:color w:val="000000"/>
          <w:szCs w:val="21"/>
        </w:rPr>
        <w:t>；</w:t>
      </w:r>
    </w:p>
    <w:p w14:paraId="066FC021">
      <w:pPr>
        <w:spacing w:line="440" w:lineRule="exact"/>
        <w:ind w:firstLine="480"/>
        <w:rPr>
          <w:rFonts w:ascii="宋体" w:hAnsi="宋体"/>
          <w:color w:val="000000"/>
          <w:szCs w:val="21"/>
        </w:rPr>
      </w:pPr>
      <w:r>
        <w:rPr>
          <w:rFonts w:hint="eastAsia" w:ascii="宋体" w:hAnsi="宋体"/>
          <w:color w:val="000000"/>
          <w:szCs w:val="21"/>
        </w:rPr>
        <w:t>职    务：</w:t>
      </w:r>
      <w:r>
        <w:rPr>
          <w:rFonts w:hint="eastAsia" w:ascii="宋体" w:hAnsi="宋体"/>
          <w:color w:val="000000"/>
          <w:szCs w:val="21"/>
          <w:u w:val="single"/>
          <w:lang w:val="en-US" w:eastAsia="zh-CN"/>
        </w:rPr>
        <w:t xml:space="preserve">       </w:t>
      </w:r>
      <w:r>
        <w:rPr>
          <w:rFonts w:hint="eastAsia" w:ascii="宋体" w:hAnsi="宋体"/>
          <w:color w:val="000000"/>
          <w:szCs w:val="21"/>
        </w:rPr>
        <w:t>；</w:t>
      </w:r>
    </w:p>
    <w:p w14:paraId="1013CA24">
      <w:pPr>
        <w:spacing w:line="440" w:lineRule="exact"/>
        <w:ind w:firstLine="480"/>
        <w:rPr>
          <w:rFonts w:ascii="宋体" w:hAnsi="宋体"/>
          <w:color w:val="000000"/>
          <w:szCs w:val="21"/>
        </w:rPr>
      </w:pPr>
      <w:r>
        <w:rPr>
          <w:rFonts w:hint="eastAsia" w:ascii="宋体" w:hAnsi="宋体"/>
          <w:color w:val="000000"/>
          <w:szCs w:val="21"/>
        </w:rPr>
        <w:t>联系电话：</w:t>
      </w:r>
      <w:r>
        <w:rPr>
          <w:rFonts w:hint="eastAsia" w:ascii="宋体" w:hAnsi="宋体"/>
          <w:color w:val="000000"/>
          <w:szCs w:val="21"/>
          <w:u w:val="single"/>
          <w:lang w:val="en-US" w:eastAsia="zh-CN"/>
        </w:rPr>
        <w:t xml:space="preserve">       </w:t>
      </w:r>
      <w:r>
        <w:rPr>
          <w:rFonts w:hint="eastAsia" w:ascii="宋体" w:hAnsi="宋体"/>
          <w:color w:val="000000"/>
          <w:szCs w:val="21"/>
        </w:rPr>
        <w:t>；</w:t>
      </w:r>
    </w:p>
    <w:p w14:paraId="005219DD">
      <w:pPr>
        <w:spacing w:line="440" w:lineRule="exact"/>
        <w:ind w:firstLine="480"/>
        <w:rPr>
          <w:rFonts w:ascii="宋体" w:hAnsi="宋体"/>
          <w:color w:val="000000"/>
          <w:szCs w:val="21"/>
        </w:rPr>
      </w:pPr>
      <w:r>
        <w:rPr>
          <w:rFonts w:hint="eastAsia" w:ascii="宋体" w:hAnsi="宋体"/>
          <w:color w:val="000000"/>
          <w:szCs w:val="21"/>
        </w:rPr>
        <w:t>电子信箱：</w:t>
      </w:r>
      <w:r>
        <w:rPr>
          <w:rFonts w:hint="eastAsia" w:ascii="宋体" w:hAnsi="宋体"/>
          <w:color w:val="000000"/>
          <w:szCs w:val="21"/>
          <w:u w:val="single"/>
          <w:lang w:val="en-US" w:eastAsia="zh-CN"/>
        </w:rPr>
        <w:t xml:space="preserve">       </w:t>
      </w:r>
      <w:r>
        <w:rPr>
          <w:rFonts w:hint="eastAsia" w:ascii="宋体" w:hAnsi="宋体"/>
          <w:color w:val="000000"/>
          <w:szCs w:val="21"/>
        </w:rPr>
        <w:t>；</w:t>
      </w:r>
    </w:p>
    <w:p w14:paraId="57F7DB1E">
      <w:pPr>
        <w:spacing w:line="440" w:lineRule="exact"/>
        <w:ind w:firstLine="480"/>
        <w:rPr>
          <w:rFonts w:ascii="宋体" w:hAnsi="宋体"/>
          <w:color w:val="000000"/>
          <w:szCs w:val="21"/>
        </w:rPr>
      </w:pPr>
      <w:r>
        <w:rPr>
          <w:rFonts w:hint="eastAsia" w:ascii="宋体" w:hAnsi="宋体"/>
          <w:color w:val="000000"/>
          <w:szCs w:val="21"/>
        </w:rPr>
        <w:t>通信地址：</w:t>
      </w:r>
      <w:r>
        <w:rPr>
          <w:rFonts w:hint="eastAsia" w:ascii="宋体" w:hAnsi="宋体"/>
          <w:color w:val="000000"/>
          <w:szCs w:val="21"/>
          <w:u w:val="single"/>
          <w:lang w:val="en-US" w:eastAsia="zh-CN"/>
        </w:rPr>
        <w:t xml:space="preserve">       </w:t>
      </w:r>
      <w:r>
        <w:rPr>
          <w:rFonts w:hint="eastAsia" w:ascii="宋体" w:hAnsi="宋体"/>
          <w:color w:val="000000"/>
          <w:szCs w:val="21"/>
        </w:rPr>
        <w:t>。</w:t>
      </w:r>
    </w:p>
    <w:p w14:paraId="7CF27BD6">
      <w:pPr>
        <w:spacing w:line="440" w:lineRule="exact"/>
        <w:ind w:firstLine="480"/>
        <w:rPr>
          <w:rFonts w:ascii="宋体" w:hAnsi="宋体"/>
          <w:szCs w:val="21"/>
          <w:u w:val="single"/>
        </w:rPr>
      </w:pPr>
      <w:r>
        <w:rPr>
          <w:rFonts w:hint="eastAsia" w:ascii="宋体" w:hAnsi="宋体"/>
          <w:color w:val="000000"/>
          <w:szCs w:val="21"/>
        </w:rPr>
        <w:t>发包人对发包人代表的授权范围如下：</w:t>
      </w:r>
      <w:r>
        <w:rPr>
          <w:rFonts w:hint="eastAsia" w:ascii="宋体" w:hAnsi="宋体"/>
          <w:szCs w:val="21"/>
          <w:u w:val="single"/>
        </w:rPr>
        <w:t>（1）发包人代表行使发包人的权利，包括组织施工现场发包人的工作、对监理工作的检查及代表发包人行使本合同授予发包人的相关权力。</w:t>
      </w:r>
    </w:p>
    <w:p w14:paraId="402524CE">
      <w:pPr>
        <w:spacing w:line="440" w:lineRule="exact"/>
        <w:ind w:firstLine="480"/>
        <w:rPr>
          <w:rFonts w:ascii="宋体" w:hAnsi="宋体"/>
          <w:szCs w:val="21"/>
          <w:u w:val="single"/>
        </w:rPr>
      </w:pPr>
      <w:r>
        <w:rPr>
          <w:rFonts w:hint="eastAsia" w:ascii="宋体" w:hAnsi="宋体"/>
          <w:szCs w:val="21"/>
          <w:u w:val="single"/>
        </w:rPr>
        <w:t>具体包括：</w:t>
      </w:r>
    </w:p>
    <w:p w14:paraId="31437CD7">
      <w:pPr>
        <w:spacing w:line="440" w:lineRule="exact"/>
        <w:ind w:firstLine="480"/>
        <w:rPr>
          <w:rFonts w:ascii="宋体" w:hAnsi="宋体"/>
          <w:szCs w:val="21"/>
          <w:u w:val="single"/>
        </w:rPr>
      </w:pPr>
      <w:r>
        <w:rPr>
          <w:rFonts w:hint="eastAsia" w:ascii="宋体" w:hAnsi="宋体"/>
          <w:szCs w:val="21"/>
          <w:u w:val="single"/>
        </w:rPr>
        <w:t>①确认承包人提出顺延工期的签证；</w:t>
      </w:r>
    </w:p>
    <w:p w14:paraId="2A089830">
      <w:pPr>
        <w:spacing w:line="440" w:lineRule="exact"/>
        <w:ind w:firstLine="480"/>
        <w:rPr>
          <w:rFonts w:ascii="宋体" w:hAnsi="宋体"/>
          <w:szCs w:val="21"/>
          <w:u w:val="single"/>
        </w:rPr>
      </w:pPr>
      <w:r>
        <w:rPr>
          <w:rFonts w:hint="eastAsia" w:ascii="宋体" w:hAnsi="宋体"/>
          <w:szCs w:val="21"/>
          <w:u w:val="single"/>
        </w:rPr>
        <w:t>②对发生的不可抗力造成工程无法继续施工的处置；</w:t>
      </w:r>
    </w:p>
    <w:p w14:paraId="016ECB4D">
      <w:pPr>
        <w:spacing w:line="440" w:lineRule="exact"/>
        <w:ind w:firstLine="480"/>
        <w:rPr>
          <w:rFonts w:ascii="宋体" w:hAnsi="宋体"/>
          <w:szCs w:val="21"/>
          <w:u w:val="single"/>
        </w:rPr>
      </w:pPr>
      <w:r>
        <w:rPr>
          <w:rFonts w:hint="eastAsia" w:ascii="宋体" w:hAnsi="宋体"/>
          <w:szCs w:val="21"/>
          <w:u w:val="single"/>
        </w:rPr>
        <w:t>③设计变更等有关签证的确认；</w:t>
      </w:r>
    </w:p>
    <w:p w14:paraId="4E9E0CE9">
      <w:pPr>
        <w:spacing w:line="440" w:lineRule="exact"/>
        <w:ind w:firstLine="480"/>
        <w:rPr>
          <w:rFonts w:ascii="宋体" w:hAnsi="宋体"/>
          <w:szCs w:val="21"/>
          <w:u w:val="single"/>
        </w:rPr>
      </w:pPr>
      <w:r>
        <w:rPr>
          <w:rFonts w:hint="eastAsia" w:ascii="宋体" w:hAnsi="宋体"/>
          <w:szCs w:val="21"/>
          <w:u w:val="single"/>
        </w:rPr>
        <w:t>④工程竣工验收及甩项验收的报告确认；</w:t>
      </w:r>
    </w:p>
    <w:p w14:paraId="1F4A2998">
      <w:pPr>
        <w:spacing w:line="440" w:lineRule="exact"/>
        <w:ind w:firstLine="480"/>
        <w:rPr>
          <w:rFonts w:ascii="宋体" w:hAnsi="宋体"/>
          <w:szCs w:val="21"/>
          <w:u w:val="single"/>
        </w:rPr>
      </w:pPr>
      <w:r>
        <w:rPr>
          <w:rFonts w:hint="eastAsia" w:ascii="宋体" w:hAnsi="宋体"/>
          <w:szCs w:val="21"/>
          <w:u w:val="single"/>
        </w:rPr>
        <w:t>⑤工程最终造价的确认；</w:t>
      </w:r>
    </w:p>
    <w:p w14:paraId="23F95A95">
      <w:pPr>
        <w:spacing w:line="440" w:lineRule="exact"/>
        <w:ind w:firstLine="480"/>
        <w:rPr>
          <w:rFonts w:ascii="宋体" w:hAnsi="宋体"/>
          <w:szCs w:val="21"/>
          <w:u w:val="single"/>
        </w:rPr>
      </w:pPr>
      <w:r>
        <w:rPr>
          <w:rFonts w:hint="eastAsia" w:ascii="宋体" w:hAnsi="宋体"/>
          <w:szCs w:val="21"/>
          <w:u w:val="single"/>
        </w:rPr>
        <w:t>⑥行使合同约定的权利，履行合同约定的职责。</w:t>
      </w:r>
    </w:p>
    <w:p w14:paraId="35329439">
      <w:pPr>
        <w:spacing w:line="440" w:lineRule="exact"/>
        <w:ind w:firstLine="480"/>
        <w:rPr>
          <w:rFonts w:ascii="宋体" w:hAnsi="宋体"/>
          <w:szCs w:val="21"/>
          <w:u w:val="single"/>
        </w:rPr>
      </w:pPr>
      <w:r>
        <w:rPr>
          <w:rFonts w:hint="eastAsia" w:ascii="宋体" w:hAnsi="宋体"/>
          <w:szCs w:val="21"/>
          <w:u w:val="single"/>
        </w:rPr>
        <w:t>（2）本合同实施过程中，所有应由承包人负责又需发包人派驻代表/监理审批或确认的事情均不能免除或减轻承包人应负的合同责任。</w:t>
      </w:r>
    </w:p>
    <w:p w14:paraId="3E260F33">
      <w:pPr>
        <w:spacing w:line="440" w:lineRule="exact"/>
        <w:ind w:firstLine="480"/>
        <w:rPr>
          <w:rFonts w:ascii="宋体" w:hAnsi="宋体"/>
          <w:szCs w:val="21"/>
          <w:u w:val="single"/>
        </w:rPr>
      </w:pPr>
      <w:r>
        <w:rPr>
          <w:rFonts w:hint="eastAsia" w:ascii="宋体" w:hAnsi="宋体"/>
          <w:szCs w:val="21"/>
          <w:u w:val="single"/>
        </w:rPr>
        <w:t>（3）发包人的通知应以书面形式发出，并加盖部门印章。任何口述通知不应立即生效，承包人应在接获通知后3天内向发包人书面（加盖公章）请求确认。</w:t>
      </w:r>
    </w:p>
    <w:p w14:paraId="372E2585">
      <w:pPr>
        <w:spacing w:line="440" w:lineRule="exact"/>
        <w:ind w:firstLine="480"/>
        <w:rPr>
          <w:rFonts w:ascii="宋体" w:hAnsi="宋体"/>
          <w:szCs w:val="21"/>
          <w:u w:val="single"/>
        </w:rPr>
      </w:pPr>
      <w:r>
        <w:rPr>
          <w:rFonts w:hint="eastAsia" w:ascii="宋体" w:hAnsi="宋体"/>
          <w:szCs w:val="21"/>
          <w:u w:val="single"/>
        </w:rPr>
        <w:t>（4）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p>
    <w:p w14:paraId="7FF2FC13">
      <w:pPr>
        <w:spacing w:line="440" w:lineRule="exact"/>
        <w:ind w:firstLine="480"/>
        <w:rPr>
          <w:rFonts w:ascii="宋体" w:hAnsi="宋体"/>
          <w:b/>
          <w:color w:val="000000"/>
          <w:szCs w:val="21"/>
        </w:rPr>
      </w:pPr>
      <w:r>
        <w:rPr>
          <w:rFonts w:hint="eastAsia" w:ascii="宋体" w:hAnsi="宋体"/>
          <w:szCs w:val="21"/>
          <w:u w:val="single"/>
        </w:rPr>
        <w:t>（5）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发包人可作为债务向承包人索还或在根据本合同文件内应付或届期应付承包人的款项内扣除，支付执行者</w:t>
      </w:r>
      <w:r>
        <w:rPr>
          <w:rFonts w:hint="eastAsia" w:ascii="宋体" w:hAnsi="宋体"/>
          <w:color w:val="000000"/>
          <w:szCs w:val="21"/>
        </w:rPr>
        <w:t>。</w:t>
      </w:r>
    </w:p>
    <w:p w14:paraId="25223CA6">
      <w:pPr>
        <w:spacing w:after="120" w:line="440" w:lineRule="exact"/>
        <w:ind w:firstLine="482"/>
        <w:outlineLvl w:val="0"/>
        <w:rPr>
          <w:rFonts w:ascii="宋体" w:hAnsi="宋体"/>
          <w:b/>
          <w:color w:val="000000"/>
        </w:rPr>
      </w:pPr>
      <w:bookmarkStart w:id="597" w:name="_Toc36797929"/>
      <w:r>
        <w:rPr>
          <w:rFonts w:hint="eastAsia" w:ascii="宋体" w:hAnsi="宋体"/>
          <w:b/>
          <w:color w:val="000000"/>
        </w:rPr>
        <w:t>2.4 施工现场、施工条件和基础资料的提供</w:t>
      </w:r>
      <w:bookmarkEnd w:id="597"/>
    </w:p>
    <w:p w14:paraId="1F6B6943">
      <w:pPr>
        <w:spacing w:line="440" w:lineRule="exact"/>
        <w:ind w:firstLine="480"/>
        <w:rPr>
          <w:rFonts w:ascii="宋体" w:hAnsi="宋体"/>
          <w:color w:val="000000"/>
          <w:szCs w:val="21"/>
        </w:rPr>
      </w:pPr>
      <w:r>
        <w:rPr>
          <w:rFonts w:hint="eastAsia" w:ascii="宋体" w:hAnsi="宋体"/>
          <w:color w:val="000000"/>
          <w:szCs w:val="21"/>
        </w:rPr>
        <w:t>2.4.1 提供施工现场</w:t>
      </w:r>
    </w:p>
    <w:p w14:paraId="430AD029">
      <w:pPr>
        <w:spacing w:line="440" w:lineRule="exact"/>
        <w:ind w:firstLine="480"/>
        <w:rPr>
          <w:rFonts w:ascii="宋体" w:hAnsi="宋体"/>
          <w:color w:val="000000"/>
          <w:szCs w:val="21"/>
        </w:rPr>
      </w:pPr>
      <w:r>
        <w:rPr>
          <w:rFonts w:hint="eastAsia" w:ascii="宋体" w:hAnsi="宋体"/>
          <w:color w:val="000000"/>
          <w:szCs w:val="21"/>
        </w:rPr>
        <w:t>关于发包人移交施工现场的期限要求：</w:t>
      </w:r>
      <w:r>
        <w:rPr>
          <w:rFonts w:hint="eastAsia" w:ascii="宋体" w:hAnsi="宋体"/>
          <w:szCs w:val="21"/>
          <w:u w:val="single"/>
        </w:rPr>
        <w:t>开工令签发前七日内</w:t>
      </w:r>
      <w:r>
        <w:rPr>
          <w:rFonts w:hint="eastAsia" w:ascii="宋体" w:hAnsi="宋体"/>
          <w:color w:val="000000"/>
          <w:szCs w:val="21"/>
        </w:rPr>
        <w:t>。</w:t>
      </w:r>
    </w:p>
    <w:p w14:paraId="255C1A39">
      <w:pPr>
        <w:spacing w:line="440" w:lineRule="exact"/>
        <w:ind w:firstLine="480"/>
        <w:rPr>
          <w:rFonts w:ascii="宋体" w:hAnsi="宋体"/>
          <w:color w:val="000000"/>
          <w:szCs w:val="21"/>
        </w:rPr>
      </w:pPr>
      <w:r>
        <w:rPr>
          <w:rFonts w:hint="eastAsia" w:ascii="宋体" w:hAnsi="宋体"/>
          <w:color w:val="000000"/>
          <w:szCs w:val="21"/>
        </w:rPr>
        <w:t>2.4.2 提供施工条件</w:t>
      </w:r>
    </w:p>
    <w:p w14:paraId="3041C52C">
      <w:pPr>
        <w:spacing w:line="440" w:lineRule="exact"/>
        <w:ind w:firstLine="480"/>
        <w:rPr>
          <w:rFonts w:ascii="宋体" w:hAnsi="宋体"/>
          <w:szCs w:val="21"/>
          <w:u w:val="single"/>
        </w:rPr>
      </w:pPr>
      <w:r>
        <w:rPr>
          <w:rFonts w:hint="eastAsia" w:ascii="宋体" w:hAnsi="宋体"/>
          <w:color w:val="000000"/>
          <w:szCs w:val="21"/>
        </w:rPr>
        <w:t>关于发包人应负责提供施工所需要的条件，包括：</w:t>
      </w:r>
    </w:p>
    <w:p w14:paraId="3BD94C3B">
      <w:pPr>
        <w:spacing w:line="440" w:lineRule="exact"/>
        <w:ind w:firstLine="480"/>
        <w:rPr>
          <w:rFonts w:ascii="宋体" w:hAnsi="宋体"/>
          <w:szCs w:val="21"/>
          <w:u w:val="single"/>
        </w:rPr>
      </w:pPr>
      <w:r>
        <w:rPr>
          <w:rFonts w:hint="eastAsia" w:ascii="宋体" w:hAnsi="宋体"/>
          <w:szCs w:val="21"/>
          <w:u w:val="single"/>
        </w:rPr>
        <w:t>（1）承包人在投标前已经到工地勘察并充分了解工地位置、邻近建筑物、道路、储存空间、起卸限制及任何其他足以影响投标报价之情况。中标后，承包人不得因忽视或误解工地情况提出费用或工期索赔。</w:t>
      </w:r>
    </w:p>
    <w:p w14:paraId="58E415BE">
      <w:pPr>
        <w:spacing w:line="440" w:lineRule="exact"/>
        <w:ind w:firstLine="480"/>
        <w:rPr>
          <w:rFonts w:ascii="宋体" w:hAnsi="宋体"/>
          <w:szCs w:val="21"/>
          <w:u w:val="single"/>
        </w:rPr>
      </w:pPr>
      <w:r>
        <w:rPr>
          <w:rFonts w:hint="eastAsia" w:ascii="宋体" w:hAnsi="宋体"/>
          <w:szCs w:val="21"/>
          <w:u w:val="single"/>
        </w:rPr>
        <w:t>（2）厂区周边道路基本满足施工需求，施工区域内的临时道路由承包人自行修建，相应费用由承包人承担。</w:t>
      </w:r>
    </w:p>
    <w:p w14:paraId="38D66D3A">
      <w:pPr>
        <w:spacing w:line="440" w:lineRule="exact"/>
        <w:ind w:firstLine="480"/>
        <w:rPr>
          <w:rFonts w:ascii="宋体" w:hAnsi="宋体"/>
          <w:szCs w:val="21"/>
          <w:highlight w:val="none"/>
          <w:u w:val="single"/>
        </w:rPr>
      </w:pPr>
      <w:r>
        <w:rPr>
          <w:rFonts w:hint="eastAsia" w:ascii="宋体" w:hAnsi="宋体"/>
          <w:szCs w:val="21"/>
          <w:highlight w:val="none"/>
          <w:u w:val="single"/>
        </w:rPr>
        <w:t>（3）发包人提供电源、水源，承包人在发包方指导下确定具体容量、接入点位置。</w:t>
      </w:r>
    </w:p>
    <w:p w14:paraId="7387BA1C">
      <w:pPr>
        <w:spacing w:line="440" w:lineRule="exact"/>
        <w:ind w:firstLine="480"/>
        <w:rPr>
          <w:rFonts w:ascii="宋体" w:hAnsi="宋体"/>
          <w:szCs w:val="21"/>
          <w:u w:val="single"/>
        </w:rPr>
      </w:pPr>
      <w:r>
        <w:rPr>
          <w:rFonts w:hint="eastAsia" w:ascii="宋体" w:hAnsi="宋体"/>
          <w:szCs w:val="21"/>
          <w:u w:val="single"/>
        </w:rPr>
        <w:t>（4）发包人指定现场施工（生活）用水、电接入位置，自指定位置接入施工现场所需的材料、安装等一切费用，由承包人自行解决并承担相应费用，同时施工中发包人不考虑因用电原因（如需自发电或电容量不够）而给承包人的任何额外补偿；</w:t>
      </w:r>
    </w:p>
    <w:p w14:paraId="6667E3C3">
      <w:pPr>
        <w:spacing w:line="440" w:lineRule="exact"/>
        <w:ind w:firstLine="480"/>
        <w:rPr>
          <w:rFonts w:ascii="宋体" w:hAnsi="宋体"/>
          <w:color w:val="000000"/>
          <w:sz w:val="30"/>
          <w:szCs w:val="32"/>
          <w:u w:val="single"/>
        </w:rPr>
      </w:pPr>
      <w:r>
        <w:rPr>
          <w:rFonts w:hint="eastAsia" w:ascii="宋体" w:hAnsi="宋体"/>
          <w:szCs w:val="21"/>
          <w:u w:val="single"/>
        </w:rPr>
        <w:t>（4）正常施工所需要的进入施工现场的交通条件已具备。</w:t>
      </w:r>
    </w:p>
    <w:p w14:paraId="0D4828F1">
      <w:pPr>
        <w:spacing w:after="120" w:line="440" w:lineRule="exact"/>
        <w:ind w:firstLine="482"/>
        <w:outlineLvl w:val="0"/>
        <w:rPr>
          <w:rFonts w:ascii="宋体" w:hAnsi="宋体"/>
          <w:b/>
          <w:color w:val="000000"/>
        </w:rPr>
      </w:pPr>
      <w:bookmarkStart w:id="598" w:name="_Toc36797930"/>
      <w:r>
        <w:rPr>
          <w:rFonts w:hint="eastAsia" w:ascii="宋体" w:hAnsi="宋体"/>
          <w:b/>
          <w:color w:val="000000"/>
        </w:rPr>
        <w:t>2.5 资金来源证明及支付担保</w:t>
      </w:r>
      <w:bookmarkEnd w:id="598"/>
    </w:p>
    <w:p w14:paraId="138D858B">
      <w:pPr>
        <w:spacing w:line="440" w:lineRule="exact"/>
        <w:ind w:firstLine="480"/>
        <w:rPr>
          <w:rFonts w:ascii="宋体" w:hAnsi="宋体"/>
          <w:color w:val="000000"/>
          <w:szCs w:val="21"/>
        </w:rPr>
      </w:pPr>
      <w:r>
        <w:rPr>
          <w:rFonts w:hint="eastAsia" w:ascii="宋体" w:hAnsi="宋体"/>
          <w:color w:val="000000"/>
          <w:szCs w:val="21"/>
        </w:rPr>
        <w:t>发包人提供资金来源证明的期限要求：</w:t>
      </w:r>
      <w:r>
        <w:rPr>
          <w:rFonts w:hint="eastAsia" w:ascii="宋体" w:hAnsi="宋体"/>
          <w:szCs w:val="21"/>
          <w:u w:val="single"/>
        </w:rPr>
        <w:t>无要求</w:t>
      </w:r>
      <w:r>
        <w:rPr>
          <w:rFonts w:hint="eastAsia" w:ascii="宋体" w:hAnsi="宋体"/>
          <w:color w:val="000000"/>
          <w:szCs w:val="21"/>
        </w:rPr>
        <w:t>。</w:t>
      </w:r>
    </w:p>
    <w:p w14:paraId="6A8DDB83">
      <w:pPr>
        <w:spacing w:line="440" w:lineRule="exact"/>
        <w:ind w:firstLine="480"/>
        <w:rPr>
          <w:rFonts w:ascii="宋体" w:hAnsi="宋体"/>
          <w:color w:val="000000"/>
          <w:szCs w:val="21"/>
        </w:rPr>
      </w:pPr>
      <w:r>
        <w:rPr>
          <w:rFonts w:hint="eastAsia" w:ascii="宋体" w:hAnsi="宋体"/>
          <w:color w:val="000000"/>
          <w:szCs w:val="21"/>
        </w:rPr>
        <w:t>发包人是否提供支付担保：</w:t>
      </w:r>
      <w:r>
        <w:rPr>
          <w:rFonts w:hint="eastAsia" w:ascii="宋体" w:hAnsi="宋体"/>
          <w:szCs w:val="21"/>
          <w:u w:val="single"/>
        </w:rPr>
        <w:t>无要求</w:t>
      </w:r>
      <w:r>
        <w:rPr>
          <w:rFonts w:hint="eastAsia" w:ascii="宋体" w:hAnsi="宋体"/>
          <w:color w:val="000000"/>
          <w:szCs w:val="21"/>
        </w:rPr>
        <w:t>。</w:t>
      </w:r>
    </w:p>
    <w:p w14:paraId="565EF949">
      <w:pPr>
        <w:spacing w:line="440" w:lineRule="exact"/>
        <w:ind w:firstLine="480"/>
        <w:rPr>
          <w:rFonts w:ascii="宋体" w:hAnsi="宋体"/>
          <w:color w:val="000000"/>
          <w:sz w:val="30"/>
          <w:szCs w:val="32"/>
          <w:u w:val="single"/>
        </w:rPr>
      </w:pPr>
      <w:r>
        <w:rPr>
          <w:rFonts w:hint="eastAsia" w:ascii="宋体" w:hAnsi="宋体"/>
          <w:color w:val="000000"/>
          <w:szCs w:val="21"/>
        </w:rPr>
        <w:t>发包人提供支付担保的形式：</w:t>
      </w:r>
      <w:r>
        <w:rPr>
          <w:rFonts w:hint="eastAsia" w:ascii="宋体" w:hAnsi="宋体"/>
          <w:szCs w:val="21"/>
          <w:u w:val="single"/>
        </w:rPr>
        <w:t>无要求</w:t>
      </w:r>
      <w:r>
        <w:rPr>
          <w:rFonts w:hint="eastAsia" w:ascii="宋体" w:hAnsi="宋体"/>
          <w:color w:val="000000"/>
          <w:szCs w:val="21"/>
        </w:rPr>
        <w:t>。</w:t>
      </w:r>
    </w:p>
    <w:p w14:paraId="28697728">
      <w:pPr>
        <w:keepNext/>
        <w:keepLines/>
        <w:spacing w:before="120" w:after="120" w:line="440" w:lineRule="exact"/>
        <w:ind w:firstLine="482"/>
        <w:outlineLvl w:val="3"/>
        <w:rPr>
          <w:rFonts w:ascii="宋体" w:hAnsi="宋体"/>
          <w:b/>
          <w:color w:val="000000"/>
        </w:rPr>
      </w:pPr>
      <w:bookmarkStart w:id="599" w:name="_Toc351203635"/>
      <w:r>
        <w:rPr>
          <w:rFonts w:hint="eastAsia" w:ascii="宋体" w:hAnsi="宋体"/>
          <w:b/>
          <w:color w:val="000000"/>
        </w:rPr>
        <w:t>3</w:t>
      </w:r>
      <w:bookmarkStart w:id="600" w:name="_Toc292559868"/>
      <w:bookmarkStart w:id="601" w:name="_Toc296944497"/>
      <w:bookmarkStart w:id="602" w:name="_Toc297120458"/>
      <w:bookmarkStart w:id="603" w:name="_Toc296503158"/>
      <w:bookmarkStart w:id="604" w:name="_Toc296891198"/>
      <w:bookmarkStart w:id="605" w:name="_Toc292559363"/>
      <w:bookmarkStart w:id="606" w:name="_Toc297048344"/>
      <w:bookmarkStart w:id="607" w:name="_Toc296347157"/>
      <w:bookmarkStart w:id="608" w:name="_Toc296346659"/>
      <w:bookmarkStart w:id="609" w:name="_Toc296890986"/>
      <w:r>
        <w:rPr>
          <w:rFonts w:hint="eastAsia" w:ascii="宋体" w:hAnsi="宋体"/>
          <w:b/>
          <w:color w:val="000000"/>
        </w:rPr>
        <w:t>. 承包人</w:t>
      </w:r>
      <w:bookmarkEnd w:id="599"/>
    </w:p>
    <w:bookmarkEnd w:id="600"/>
    <w:bookmarkEnd w:id="601"/>
    <w:bookmarkEnd w:id="602"/>
    <w:bookmarkEnd w:id="603"/>
    <w:bookmarkEnd w:id="604"/>
    <w:bookmarkEnd w:id="605"/>
    <w:bookmarkEnd w:id="606"/>
    <w:bookmarkEnd w:id="607"/>
    <w:bookmarkEnd w:id="608"/>
    <w:bookmarkEnd w:id="609"/>
    <w:p w14:paraId="51516DCC">
      <w:pPr>
        <w:spacing w:after="120" w:line="440" w:lineRule="exact"/>
        <w:ind w:firstLine="482"/>
        <w:rPr>
          <w:rFonts w:ascii="宋体" w:hAnsi="宋体"/>
          <w:b/>
          <w:color w:val="000000"/>
        </w:rPr>
      </w:pPr>
      <w:r>
        <w:rPr>
          <w:rFonts w:hint="eastAsia" w:ascii="宋体" w:hAnsi="宋体"/>
          <w:b/>
          <w:color w:val="000000"/>
        </w:rPr>
        <w:t>3.1 承包人的一般义务</w:t>
      </w:r>
    </w:p>
    <w:p w14:paraId="61D4D4F5">
      <w:pPr>
        <w:spacing w:line="440" w:lineRule="exact"/>
        <w:ind w:firstLine="480"/>
        <w:rPr>
          <w:rFonts w:ascii="宋体" w:hAnsi="宋体"/>
          <w:color w:val="000000"/>
          <w:szCs w:val="21"/>
        </w:rPr>
      </w:pPr>
      <w:r>
        <w:rPr>
          <w:rFonts w:hint="eastAsia" w:ascii="宋体" w:hAnsi="宋体"/>
          <w:color w:val="000000"/>
          <w:szCs w:val="21"/>
        </w:rPr>
        <w:t>承包人提交的竣工资料的内容：</w:t>
      </w:r>
      <w:r>
        <w:rPr>
          <w:rFonts w:hint="eastAsia" w:ascii="宋体" w:hAnsi="宋体"/>
          <w:szCs w:val="21"/>
          <w:u w:val="single"/>
        </w:rPr>
        <w:t>按照GB/T50328-2014《建设工程文件归档整理规范》绘制竣工图一式六份及电子版壹份，所需费用已包含在签约合同价中。</w:t>
      </w:r>
    </w:p>
    <w:p w14:paraId="2CBFCE9D">
      <w:pPr>
        <w:spacing w:line="440" w:lineRule="exact"/>
        <w:rPr>
          <w:rFonts w:ascii="宋体" w:hAnsi="宋体"/>
          <w:color w:val="000000"/>
          <w:szCs w:val="21"/>
        </w:rPr>
      </w:pPr>
      <w:r>
        <w:rPr>
          <w:rFonts w:hint="eastAsia" w:ascii="宋体" w:hAnsi="宋体"/>
          <w:color w:val="000000"/>
          <w:szCs w:val="21"/>
        </w:rPr>
        <w:t>承包人需要提交的竣工资料套数：</w:t>
      </w:r>
      <w:r>
        <w:rPr>
          <w:rFonts w:hint="eastAsia" w:ascii="宋体" w:hAnsi="宋体"/>
          <w:szCs w:val="21"/>
          <w:u w:val="single"/>
        </w:rPr>
        <w:t>陆套</w:t>
      </w:r>
      <w:r>
        <w:rPr>
          <w:rFonts w:hint="eastAsia" w:ascii="宋体" w:hAnsi="宋体"/>
          <w:color w:val="000000"/>
          <w:szCs w:val="21"/>
        </w:rPr>
        <w:t>。</w:t>
      </w:r>
    </w:p>
    <w:p w14:paraId="4A438E39">
      <w:pPr>
        <w:spacing w:line="440" w:lineRule="exact"/>
        <w:rPr>
          <w:rFonts w:ascii="宋体" w:hAnsi="宋体"/>
          <w:color w:val="000000"/>
          <w:szCs w:val="21"/>
        </w:rPr>
      </w:pPr>
      <w:r>
        <w:rPr>
          <w:rFonts w:hint="eastAsia" w:ascii="宋体" w:hAnsi="宋体"/>
          <w:color w:val="000000"/>
          <w:szCs w:val="21"/>
        </w:rPr>
        <w:t>承包人提交的竣工资料的费用承担：</w:t>
      </w:r>
      <w:r>
        <w:rPr>
          <w:rFonts w:hint="eastAsia" w:ascii="宋体" w:hAnsi="宋体"/>
          <w:szCs w:val="21"/>
          <w:u w:val="single"/>
        </w:rPr>
        <w:t>承包人承担</w:t>
      </w:r>
      <w:r>
        <w:rPr>
          <w:rFonts w:hint="eastAsia" w:ascii="宋体" w:hAnsi="宋体"/>
          <w:color w:val="000000"/>
          <w:szCs w:val="21"/>
        </w:rPr>
        <w:t>。</w:t>
      </w:r>
    </w:p>
    <w:p w14:paraId="3D9EBB7D">
      <w:pPr>
        <w:spacing w:line="440" w:lineRule="exact"/>
        <w:rPr>
          <w:rFonts w:ascii="宋体" w:hAnsi="宋体"/>
          <w:color w:val="000000"/>
          <w:szCs w:val="21"/>
        </w:rPr>
      </w:pPr>
      <w:r>
        <w:rPr>
          <w:rFonts w:hint="eastAsia" w:ascii="宋体" w:hAnsi="宋体"/>
          <w:color w:val="000000"/>
          <w:szCs w:val="21"/>
        </w:rPr>
        <w:t>承包人提交的竣工资料移交时间：</w:t>
      </w:r>
      <w:r>
        <w:rPr>
          <w:rFonts w:hint="eastAsia" w:ascii="宋体" w:hAnsi="宋体"/>
          <w:szCs w:val="21"/>
          <w:u w:val="single"/>
        </w:rPr>
        <w:t>竣工验收后15日内</w:t>
      </w:r>
      <w:r>
        <w:rPr>
          <w:rFonts w:hint="eastAsia" w:ascii="宋体" w:hAnsi="宋体"/>
          <w:color w:val="000000"/>
          <w:szCs w:val="21"/>
        </w:rPr>
        <w:t>。</w:t>
      </w:r>
    </w:p>
    <w:p w14:paraId="3F27D844">
      <w:pPr>
        <w:spacing w:line="440" w:lineRule="exact"/>
        <w:rPr>
          <w:rFonts w:ascii="宋体" w:hAnsi="宋体"/>
          <w:color w:val="000000"/>
          <w:szCs w:val="21"/>
        </w:rPr>
      </w:pPr>
      <w:r>
        <w:rPr>
          <w:rFonts w:hint="eastAsia" w:ascii="宋体" w:hAnsi="宋体"/>
          <w:color w:val="000000"/>
          <w:szCs w:val="21"/>
        </w:rPr>
        <w:t>承包人提交的竣工资料形式要求：</w:t>
      </w:r>
      <w:r>
        <w:rPr>
          <w:rFonts w:hint="eastAsia" w:ascii="宋体" w:hAnsi="宋体"/>
          <w:szCs w:val="21"/>
          <w:u w:val="single"/>
        </w:rPr>
        <w:t>纸质版及电子版</w:t>
      </w:r>
      <w:r>
        <w:rPr>
          <w:rFonts w:hint="eastAsia" w:ascii="宋体" w:hAnsi="宋体"/>
          <w:color w:val="000000"/>
          <w:szCs w:val="21"/>
        </w:rPr>
        <w:t>。</w:t>
      </w:r>
    </w:p>
    <w:p w14:paraId="55CEEF61">
      <w:pPr>
        <w:spacing w:line="440" w:lineRule="exact"/>
        <w:ind w:firstLine="480"/>
        <w:rPr>
          <w:rFonts w:ascii="宋体" w:hAnsi="宋体"/>
          <w:color w:val="000000"/>
          <w:szCs w:val="21"/>
        </w:rPr>
      </w:pPr>
      <w:r>
        <w:rPr>
          <w:rFonts w:hint="eastAsia" w:ascii="宋体" w:hAnsi="宋体"/>
          <w:color w:val="000000"/>
          <w:szCs w:val="21"/>
        </w:rPr>
        <w:t>承包人应履行的其他义务：</w:t>
      </w:r>
    </w:p>
    <w:p w14:paraId="3B4B4B4C">
      <w:pPr>
        <w:spacing w:line="440" w:lineRule="exact"/>
        <w:ind w:firstLine="480"/>
        <w:rPr>
          <w:rFonts w:ascii="宋体" w:hAnsi="宋体"/>
          <w:szCs w:val="21"/>
          <w:u w:val="single"/>
        </w:rPr>
      </w:pPr>
      <w:r>
        <w:rPr>
          <w:rFonts w:hint="eastAsia" w:ascii="宋体" w:hAnsi="宋体"/>
          <w:szCs w:val="21"/>
          <w:u w:val="single"/>
        </w:rPr>
        <w:t>⑴承担发包人上级领导检查、视察工地所需的现场准备工作；配合质监、安监单位的现场检查，并承担由此引起的相关费用。发包人需要时，可能对施工做出某些限制和配合要求，承包人应按照要求做出必要的配合，并承担有可能因此而引起工效降低需增加的费用。</w:t>
      </w:r>
    </w:p>
    <w:p w14:paraId="5575F5C7">
      <w:pPr>
        <w:spacing w:line="440" w:lineRule="exact"/>
        <w:ind w:firstLine="480"/>
        <w:rPr>
          <w:rFonts w:ascii="宋体" w:hAnsi="宋体"/>
          <w:szCs w:val="21"/>
          <w:u w:val="single"/>
        </w:rPr>
      </w:pPr>
      <w:r>
        <w:rPr>
          <w:rFonts w:hint="eastAsia" w:ascii="宋体" w:hAnsi="宋体"/>
          <w:szCs w:val="21"/>
          <w:u w:val="single"/>
        </w:rPr>
        <w:t>⑵承包人必须遵守省、市行业主管部门的相关规定，服从行业主管部门的管理，凡涉及到承包人的安全监督、质量监督、施工备案、车辆准运等有关证、照，均由承包人自行办理，发包人给予配合，发生的费用全部由承包人承担，包括但不限于排污管理费、噪声管理费、垃圾管理费等。</w:t>
      </w:r>
    </w:p>
    <w:p w14:paraId="4B08185A">
      <w:pPr>
        <w:spacing w:line="440" w:lineRule="exact"/>
        <w:ind w:firstLine="480"/>
        <w:rPr>
          <w:rFonts w:ascii="宋体" w:hAnsi="宋体"/>
          <w:szCs w:val="21"/>
          <w:u w:val="single"/>
        </w:rPr>
      </w:pPr>
      <w:r>
        <w:rPr>
          <w:rFonts w:hint="eastAsia" w:ascii="宋体" w:hAnsi="宋体"/>
          <w:szCs w:val="21"/>
          <w:u w:val="single"/>
        </w:rPr>
        <w:t>⑶涉及到的所有交通、环卫、市容、施工噪声及劳务用工管理等各项应办手续及费用，均由承包方自行办理和承担。承包人不得因此而影响工程工期，否则仍须承担违约责任。若因此而产生相应的行政处罚，概由承包人承担。</w:t>
      </w:r>
    </w:p>
    <w:p w14:paraId="773D20DF">
      <w:pPr>
        <w:spacing w:line="440" w:lineRule="exact"/>
        <w:ind w:firstLine="480"/>
        <w:rPr>
          <w:rFonts w:ascii="宋体" w:hAnsi="宋体"/>
          <w:szCs w:val="21"/>
          <w:u w:val="single"/>
        </w:rPr>
      </w:pPr>
      <w:r>
        <w:rPr>
          <w:rFonts w:hint="eastAsia" w:ascii="宋体" w:hAnsi="宋体"/>
          <w:szCs w:val="21"/>
          <w:u w:val="single"/>
        </w:rPr>
        <w:t>⑷承包人所报价格应包含其自身分包引起的各项增加的或额外的费用。</w:t>
      </w:r>
    </w:p>
    <w:p w14:paraId="1B2F49C5">
      <w:pPr>
        <w:spacing w:line="440" w:lineRule="exact"/>
        <w:ind w:firstLine="480"/>
        <w:rPr>
          <w:rFonts w:ascii="宋体" w:hAnsi="宋体"/>
          <w:szCs w:val="21"/>
          <w:u w:val="single"/>
        </w:rPr>
      </w:pPr>
      <w:r>
        <w:rPr>
          <w:rFonts w:hint="eastAsia" w:ascii="宋体" w:hAnsi="宋体"/>
          <w:szCs w:val="21"/>
          <w:u w:val="single"/>
        </w:rPr>
        <w:t>⑸承包人加强工程施工车辆的管理，施工车辆不得无故堵塞道路交通，不得沿途抛洒弃土，并根据发包人的要求，安排人员在主要路口疏导车辆、行人交通，其费用由承包人负责。</w:t>
      </w:r>
    </w:p>
    <w:p w14:paraId="48FA6DA9">
      <w:pPr>
        <w:spacing w:line="440" w:lineRule="exact"/>
        <w:ind w:firstLine="480"/>
        <w:rPr>
          <w:rFonts w:ascii="宋体" w:hAnsi="宋体"/>
          <w:szCs w:val="21"/>
          <w:u w:val="single"/>
        </w:rPr>
      </w:pPr>
      <w:r>
        <w:rPr>
          <w:rFonts w:hint="eastAsia" w:ascii="宋体" w:hAnsi="宋体"/>
          <w:szCs w:val="21"/>
          <w:u w:val="single"/>
        </w:rPr>
        <w:t>⑹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w:t>
      </w:r>
    </w:p>
    <w:p w14:paraId="0F6E0C57">
      <w:pPr>
        <w:spacing w:line="440" w:lineRule="exact"/>
        <w:ind w:firstLine="480"/>
        <w:rPr>
          <w:rFonts w:ascii="宋体" w:hAnsi="宋体"/>
          <w:szCs w:val="21"/>
          <w:u w:val="single"/>
        </w:rPr>
      </w:pPr>
      <w:r>
        <w:rPr>
          <w:rFonts w:hint="eastAsia" w:ascii="宋体" w:hAnsi="宋体"/>
          <w:szCs w:val="21"/>
          <w:u w:val="single"/>
        </w:rPr>
        <w:t>①设置、维修和管理临时排污系统；</w:t>
      </w:r>
    </w:p>
    <w:p w14:paraId="7D414B70">
      <w:pPr>
        <w:spacing w:line="440" w:lineRule="exact"/>
        <w:ind w:firstLine="480"/>
        <w:rPr>
          <w:rFonts w:ascii="宋体" w:hAnsi="宋体"/>
          <w:szCs w:val="21"/>
          <w:u w:val="single"/>
        </w:rPr>
      </w:pPr>
      <w:r>
        <w:rPr>
          <w:rFonts w:hint="eastAsia" w:ascii="宋体" w:hAnsi="宋体"/>
          <w:szCs w:val="21"/>
          <w:u w:val="single"/>
        </w:rPr>
        <w:t>②收集和处理所有施工现场和生活区域内的所有垃圾，直到竣工交付为止；</w:t>
      </w:r>
    </w:p>
    <w:p w14:paraId="643D92B5">
      <w:pPr>
        <w:spacing w:line="440" w:lineRule="exact"/>
        <w:ind w:firstLine="480"/>
        <w:rPr>
          <w:rFonts w:ascii="宋体" w:hAnsi="宋体"/>
          <w:szCs w:val="21"/>
          <w:u w:val="single"/>
        </w:rPr>
      </w:pPr>
      <w:r>
        <w:rPr>
          <w:rFonts w:hint="eastAsia" w:ascii="宋体" w:hAnsi="宋体"/>
          <w:szCs w:val="21"/>
          <w:u w:val="single"/>
        </w:rPr>
        <w:t>③若因承包人现场清洁卫生工作不好，导致投诉（经调查属实的）或新闻媒体曝光，承包人需承担由此产生的一切后果和费用；另发包人可以要求承包人支付5万元/次的违约金；</w:t>
      </w:r>
    </w:p>
    <w:p w14:paraId="64D14DDE">
      <w:pPr>
        <w:spacing w:line="440" w:lineRule="exact"/>
        <w:ind w:firstLine="480"/>
        <w:rPr>
          <w:rFonts w:ascii="宋体" w:hAnsi="宋体"/>
          <w:szCs w:val="21"/>
          <w:u w:val="single"/>
        </w:rPr>
      </w:pPr>
      <w:r>
        <w:rPr>
          <w:rFonts w:hint="eastAsia" w:ascii="宋体" w:hAnsi="宋体"/>
          <w:szCs w:val="21"/>
          <w:u w:val="single"/>
        </w:rPr>
        <w:t>⑺承包人必须立刻执行发包人派驻的工程师获本合同授权而发出的书面指令。若承包人没有在规定时间之内执行指令，而在收到发包人催促执行的书面通知后7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w:t>
      </w:r>
    </w:p>
    <w:p w14:paraId="0B779B76">
      <w:pPr>
        <w:spacing w:line="440" w:lineRule="exact"/>
        <w:ind w:firstLine="480"/>
        <w:rPr>
          <w:rFonts w:ascii="宋体" w:hAnsi="宋体"/>
          <w:szCs w:val="21"/>
          <w:u w:val="single"/>
        </w:rPr>
      </w:pPr>
      <w:r>
        <w:rPr>
          <w:rFonts w:hint="eastAsia" w:ascii="宋体" w:hAnsi="宋体"/>
          <w:szCs w:val="21"/>
          <w:u w:val="single"/>
        </w:rPr>
        <w:t>⑻承包人应当服从监理工程师及发包人的现场管理和协调工作，合理调动资源，保障工期、质量目标的实现。</w:t>
      </w:r>
    </w:p>
    <w:p w14:paraId="08FA117B">
      <w:pPr>
        <w:spacing w:line="440" w:lineRule="exact"/>
        <w:ind w:firstLine="480"/>
        <w:rPr>
          <w:rFonts w:ascii="宋体" w:hAnsi="宋体"/>
          <w:szCs w:val="21"/>
          <w:u w:val="single"/>
        </w:rPr>
      </w:pPr>
      <w:r>
        <w:rPr>
          <w:rFonts w:hint="eastAsia" w:ascii="宋体" w:hAnsi="宋体"/>
          <w:szCs w:val="21"/>
          <w:u w:val="single"/>
        </w:rPr>
        <w:t>⑼承包人必须签收监理工程师及发包人发出的书面资料，如有异议必须在收文之日起3日内书面回复，否则视同认可。</w:t>
      </w:r>
    </w:p>
    <w:p w14:paraId="45F0B12D">
      <w:pPr>
        <w:spacing w:line="440" w:lineRule="exact"/>
        <w:ind w:firstLine="480"/>
        <w:rPr>
          <w:rFonts w:hint="eastAsia" w:ascii="宋体" w:hAnsi="宋体"/>
          <w:szCs w:val="21"/>
          <w:u w:val="single"/>
        </w:rPr>
      </w:pPr>
      <w:r>
        <w:rPr>
          <w:rFonts w:hint="eastAsia" w:ascii="宋体" w:hAnsi="宋体"/>
          <w:szCs w:val="21"/>
          <w:u w:val="single"/>
        </w:rPr>
        <w:t>⑽工程竣工验收后，因承包人的原因发生工程质量问题时，承包人应及时负责保修，若承包人不能及时保修，发包人有权委托其他单位进行保修，因保修发生费用由承包人承担并在保修金中扣除。保修金不足扣除的，其不足部分，发包人有权向承包人追偿。</w:t>
      </w:r>
    </w:p>
    <w:p w14:paraId="73CEAB3B">
      <w:pPr>
        <w:spacing w:line="440" w:lineRule="exact"/>
        <w:ind w:firstLine="480"/>
        <w:rPr>
          <w:rFonts w:ascii="宋体" w:hAnsi="宋体"/>
          <w:szCs w:val="21"/>
          <w:u w:val="single"/>
        </w:rPr>
      </w:pPr>
      <w:r>
        <w:rPr>
          <w:rFonts w:hint="eastAsia" w:ascii="宋体" w:hAnsi="宋体" w:eastAsia="宋体" w:cs="宋体"/>
          <w:szCs w:val="21"/>
          <w:u w:val="single"/>
        </w:rPr>
        <w:t>⑾</w:t>
      </w:r>
      <w:r>
        <w:rPr>
          <w:rFonts w:hint="eastAsia" w:ascii="宋体" w:hAnsi="宋体"/>
          <w:szCs w:val="21"/>
          <w:u w:val="single"/>
        </w:rPr>
        <w:t>双方约定承包人应做的其他工作：</w:t>
      </w:r>
    </w:p>
    <w:p w14:paraId="76770EA5">
      <w:pPr>
        <w:spacing w:line="440" w:lineRule="exact"/>
        <w:ind w:firstLine="480"/>
        <w:rPr>
          <w:rFonts w:ascii="宋体" w:hAnsi="宋体"/>
          <w:szCs w:val="21"/>
          <w:u w:val="single"/>
        </w:rPr>
      </w:pPr>
      <w:r>
        <w:rPr>
          <w:rFonts w:hint="eastAsia" w:ascii="宋体" w:hAnsi="宋体"/>
          <w:szCs w:val="21"/>
          <w:u w:val="single"/>
        </w:rPr>
        <w:t>a.承包人应按发包人的指令，完成发包人要求的对工程内容任何的变更、增加和删减。除非该设计变更属结构性重大变动，同时也符合价款调整的相关条款之规定，否则所有设计变更均不得作为延长工期的理由。</w:t>
      </w:r>
    </w:p>
    <w:p w14:paraId="5226E643">
      <w:pPr>
        <w:spacing w:line="440" w:lineRule="exact"/>
        <w:ind w:firstLine="480"/>
        <w:rPr>
          <w:rFonts w:ascii="宋体" w:hAnsi="宋体"/>
          <w:szCs w:val="21"/>
          <w:u w:val="single"/>
        </w:rPr>
      </w:pPr>
      <w:r>
        <w:rPr>
          <w:rFonts w:hint="eastAsia" w:ascii="宋体" w:hAnsi="宋体"/>
          <w:szCs w:val="21"/>
          <w:u w:val="single"/>
        </w:rPr>
        <w:t>b.承包人应负责办理工程竣工备案等相关手续。</w:t>
      </w:r>
    </w:p>
    <w:p w14:paraId="289F739D">
      <w:pPr>
        <w:spacing w:line="440" w:lineRule="exact"/>
        <w:ind w:firstLine="480"/>
        <w:rPr>
          <w:rFonts w:ascii="宋体" w:hAnsi="宋体"/>
          <w:szCs w:val="21"/>
          <w:u w:val="single"/>
        </w:rPr>
      </w:pPr>
      <w:r>
        <w:rPr>
          <w:rFonts w:hint="eastAsia" w:ascii="宋体" w:hAnsi="宋体"/>
          <w:szCs w:val="21"/>
          <w:u w:val="single"/>
        </w:rPr>
        <w:t>c.承包人必须积极配合发包人的相关宣传报道、形象展示行为。承包人若以任何名义作任何关于该项目的宣传报道，须事先经发包人同意。</w:t>
      </w:r>
    </w:p>
    <w:p w14:paraId="5010844B">
      <w:pPr>
        <w:spacing w:line="440" w:lineRule="exact"/>
        <w:ind w:firstLine="480"/>
        <w:rPr>
          <w:rFonts w:ascii="宋体" w:hAnsi="宋体"/>
          <w:szCs w:val="21"/>
          <w:u w:val="single"/>
        </w:rPr>
      </w:pPr>
      <w:r>
        <w:rPr>
          <w:rFonts w:hint="eastAsia" w:ascii="宋体" w:hAnsi="宋体"/>
          <w:szCs w:val="21"/>
          <w:u w:val="single"/>
        </w:rPr>
        <w:t>d.承包人在施工及维修期间应注意从各方面维护自己和发包人的形象，如果有被媒体曝光的，发包人将视为承包人违约，媒体曝光一次，违约金不低于20000元人民币；对发包人有损害的媒体曝光一次，违约金不低于40000元人民币。</w:t>
      </w:r>
    </w:p>
    <w:p w14:paraId="0F58EE86">
      <w:pPr>
        <w:spacing w:line="440" w:lineRule="exact"/>
        <w:ind w:firstLine="480"/>
        <w:rPr>
          <w:rFonts w:ascii="宋体" w:hAnsi="宋体"/>
          <w:szCs w:val="21"/>
          <w:highlight w:val="none"/>
          <w:u w:val="single"/>
        </w:rPr>
      </w:pPr>
      <w:r>
        <w:rPr>
          <w:rFonts w:hint="eastAsia" w:ascii="宋体" w:hAnsi="宋体"/>
          <w:szCs w:val="21"/>
          <w:highlight w:val="none"/>
          <w:u w:val="single"/>
        </w:rPr>
        <w:t>e.发包人有权自行委托工程造价咨询单位对经发包人初步审定的竣工结算报告及结算资料进行复核，并以该复核结果作为对报审竣工结算作出确认或者提出修改意见的最终依据。如施工单位所报结算经审计后，若审减额（送审额与审定额之差）超过10%（含10%）时（包括图纸变更、材料核价等一切中途变更审计内容），审减额（送审额与审定额之差）超过10%</w:t>
      </w:r>
      <w:r>
        <w:rPr>
          <w:rFonts w:hint="eastAsia" w:ascii="宋体" w:hAnsi="宋体"/>
          <w:szCs w:val="21"/>
          <w:highlight w:val="none"/>
          <w:u w:val="single"/>
          <w:lang w:eastAsia="zh-CN"/>
        </w:rPr>
        <w:t>，全部</w:t>
      </w:r>
      <w:r>
        <w:rPr>
          <w:rFonts w:hint="eastAsia" w:ascii="宋体" w:hAnsi="宋体"/>
          <w:szCs w:val="21"/>
          <w:highlight w:val="none"/>
          <w:u w:val="single"/>
        </w:rPr>
        <w:t>审计费用由承包人支付。</w:t>
      </w:r>
    </w:p>
    <w:p w14:paraId="3DD410CE">
      <w:pPr>
        <w:spacing w:line="440" w:lineRule="exact"/>
        <w:ind w:firstLine="480"/>
        <w:rPr>
          <w:rFonts w:ascii="宋体" w:hAnsi="宋体"/>
          <w:szCs w:val="21"/>
          <w:u w:val="single"/>
        </w:rPr>
      </w:pPr>
      <w:r>
        <w:rPr>
          <w:rFonts w:hint="eastAsia" w:ascii="宋体" w:hAnsi="宋体"/>
          <w:szCs w:val="21"/>
          <w:u w:val="single"/>
        </w:rPr>
        <w:t>f.关于检测、检验、试验：</w:t>
      </w:r>
    </w:p>
    <w:p w14:paraId="052E69EC">
      <w:pPr>
        <w:spacing w:line="440" w:lineRule="exact"/>
        <w:ind w:firstLine="480"/>
        <w:rPr>
          <w:rFonts w:ascii="宋体" w:hAnsi="宋体"/>
          <w:szCs w:val="21"/>
          <w:u w:val="single"/>
        </w:rPr>
      </w:pPr>
      <w:r>
        <w:rPr>
          <w:rFonts w:hint="eastAsia" w:ascii="宋体" w:hAnsi="宋体"/>
          <w:szCs w:val="21"/>
          <w:u w:val="single"/>
        </w:rPr>
        <w:t>①承包人按规定进行建筑材料、构配件等试样的制作、封样、送检和其它为保证工程质量进行的材料检验试验工作的费用，由承包人承担。</w:t>
      </w:r>
    </w:p>
    <w:p w14:paraId="5C5B418E">
      <w:pPr>
        <w:spacing w:line="440" w:lineRule="exact"/>
        <w:ind w:firstLine="480"/>
        <w:rPr>
          <w:rFonts w:ascii="宋体" w:hAnsi="宋体"/>
          <w:szCs w:val="21"/>
          <w:highlight w:val="none"/>
          <w:u w:val="single"/>
        </w:rPr>
      </w:pPr>
      <w:r>
        <w:rPr>
          <w:rFonts w:hint="eastAsia" w:ascii="宋体" w:hAnsi="宋体"/>
          <w:szCs w:val="21"/>
          <w:highlight w:val="none"/>
          <w:u w:val="single"/>
        </w:rPr>
        <w:t>包括新结构、新材料的试验费，对构件（如幕墙、预制桩、门窗）做破坏性试验所发生的试样费用和根据国家标准和施工验收规范要求对材料、构配件和建筑物工程质量检测检验发生的第三方检测费用，对此类检测发生的费用，该检测费用由承包人支付。</w:t>
      </w:r>
    </w:p>
    <w:p w14:paraId="343438B0">
      <w:pPr>
        <w:spacing w:line="440" w:lineRule="exact"/>
        <w:ind w:firstLine="480"/>
        <w:rPr>
          <w:rFonts w:ascii="宋体" w:hAnsi="宋体"/>
          <w:szCs w:val="21"/>
          <w:u w:val="single"/>
        </w:rPr>
      </w:pPr>
      <w:r>
        <w:rPr>
          <w:rFonts w:hint="eastAsia" w:ascii="宋体" w:hAnsi="宋体"/>
          <w:szCs w:val="21"/>
          <w:u w:val="single"/>
        </w:rPr>
        <w:t>②甲供材的进场质量须由承包人进行把关，如遇因质量不合格材料的使用而引起的返工所造成的费用损失及工期延误由承包人负责。</w:t>
      </w:r>
    </w:p>
    <w:p w14:paraId="340BD71F">
      <w:pPr>
        <w:spacing w:line="440" w:lineRule="exact"/>
        <w:ind w:firstLine="480"/>
        <w:rPr>
          <w:rFonts w:ascii="宋体" w:hAnsi="宋体"/>
          <w:color w:val="000000"/>
          <w:szCs w:val="21"/>
        </w:rPr>
      </w:pPr>
      <w:r>
        <w:rPr>
          <w:rFonts w:hint="eastAsia" w:ascii="宋体" w:hAnsi="宋体"/>
          <w:szCs w:val="21"/>
          <w:u w:val="single"/>
        </w:rPr>
        <w:t>③工程各分部分项一次检测不合格，承包人除承担返工费用外，还需承担后续检测费用以及因延期交付给发包人造成的直接和间接损失的相关费用</w:t>
      </w:r>
      <w:r>
        <w:rPr>
          <w:rFonts w:hint="eastAsia" w:ascii="宋体" w:hAnsi="宋体"/>
          <w:color w:val="000000"/>
          <w:szCs w:val="21"/>
        </w:rPr>
        <w:t>。</w:t>
      </w:r>
    </w:p>
    <w:p w14:paraId="0DFD6C89">
      <w:pPr>
        <w:spacing w:line="440" w:lineRule="exact"/>
        <w:ind w:firstLine="480"/>
        <w:rPr>
          <w:rFonts w:ascii="宋体" w:hAnsi="宋体"/>
          <w:szCs w:val="21"/>
          <w:u w:val="single"/>
        </w:rPr>
      </w:pPr>
      <w:r>
        <w:rPr>
          <w:rFonts w:hint="eastAsia" w:ascii="宋体" w:hAnsi="宋体"/>
          <w:szCs w:val="21"/>
          <w:u w:val="single"/>
        </w:rPr>
        <w:t>g.施工过程中须做好对景区内文物建筑的保护和名木古树的保护，如有破坏依法追究责任并接受处罚，还须赔偿相应损失。</w:t>
      </w:r>
    </w:p>
    <w:p w14:paraId="00DFA69D">
      <w:pPr>
        <w:pStyle w:val="430"/>
        <w:rPr>
          <w:rFonts w:hint="eastAsia" w:ascii="宋体" w:hAnsi="宋体"/>
          <w:b/>
          <w:color w:val="000000"/>
          <w:highlight w:val="none"/>
        </w:rPr>
      </w:pPr>
      <w:r>
        <w:rPr>
          <w:rFonts w:hint="eastAsia" w:eastAsia="宋体"/>
          <w:highlight w:val="none"/>
          <w:lang w:val="en-US" w:eastAsia="zh-CN"/>
        </w:rPr>
        <w:t>(12)</w:t>
      </w:r>
      <w:r>
        <w:rPr>
          <w:rFonts w:hint="eastAsia" w:ascii="宋体" w:hAnsi="宋体"/>
          <w:szCs w:val="24"/>
          <w:highlight w:val="none"/>
          <w:u w:val="single"/>
        </w:rPr>
        <w:t>承包人在施工过程中不得对已有的绿化、绿植、古树名木等造成破坏，否则原样恢复或承担园林部门的处罚。</w:t>
      </w:r>
    </w:p>
    <w:p w14:paraId="450874F9">
      <w:pPr>
        <w:spacing w:after="120" w:line="440" w:lineRule="exact"/>
        <w:ind w:firstLine="482"/>
        <w:rPr>
          <w:rFonts w:ascii="宋体" w:hAnsi="宋体"/>
          <w:b/>
          <w:color w:val="000000"/>
        </w:rPr>
      </w:pPr>
      <w:r>
        <w:rPr>
          <w:rFonts w:hint="eastAsia" w:ascii="宋体" w:hAnsi="宋体"/>
          <w:b/>
          <w:color w:val="000000"/>
        </w:rPr>
        <w:t>3.2 项目经理</w:t>
      </w:r>
    </w:p>
    <w:p w14:paraId="21F0B8A7">
      <w:pPr>
        <w:spacing w:line="440" w:lineRule="exact"/>
        <w:ind w:firstLine="480"/>
        <w:rPr>
          <w:rFonts w:ascii="宋体" w:hAnsi="宋体"/>
          <w:color w:val="000000"/>
          <w:szCs w:val="21"/>
        </w:rPr>
      </w:pPr>
      <w:r>
        <w:rPr>
          <w:rFonts w:hint="eastAsia" w:ascii="宋体" w:hAnsi="宋体"/>
          <w:color w:val="000000"/>
          <w:szCs w:val="21"/>
        </w:rPr>
        <w:t xml:space="preserve">3.2.1 项目经理： </w:t>
      </w:r>
    </w:p>
    <w:p w14:paraId="43E04F32">
      <w:pPr>
        <w:spacing w:line="440" w:lineRule="exact"/>
        <w:ind w:firstLine="480"/>
        <w:rPr>
          <w:rFonts w:ascii="宋体" w:hAnsi="宋体"/>
          <w:color w:val="000000"/>
          <w:szCs w:val="21"/>
        </w:rPr>
      </w:pPr>
      <w:r>
        <w:rPr>
          <w:rFonts w:hint="eastAsia" w:ascii="宋体" w:hAnsi="宋体"/>
          <w:color w:val="000000"/>
          <w:szCs w:val="21"/>
        </w:rPr>
        <w:t>姓    名：</w:t>
      </w:r>
      <w:r>
        <w:rPr>
          <w:rFonts w:hint="eastAsia" w:ascii="宋体" w:hAnsi="宋体"/>
          <w:color w:val="000000"/>
          <w:szCs w:val="21"/>
          <w:u w:val="single"/>
          <w:lang w:val="en-US" w:eastAsia="zh-CN"/>
        </w:rPr>
        <w:t xml:space="preserve">       </w:t>
      </w:r>
      <w:r>
        <w:rPr>
          <w:rFonts w:hint="eastAsia" w:ascii="宋体" w:hAnsi="宋体"/>
          <w:color w:val="000000"/>
          <w:szCs w:val="21"/>
        </w:rPr>
        <w:t>；</w:t>
      </w:r>
    </w:p>
    <w:p w14:paraId="1B6B6CA0">
      <w:pPr>
        <w:spacing w:line="440" w:lineRule="exact"/>
        <w:ind w:firstLine="480"/>
        <w:rPr>
          <w:rFonts w:ascii="宋体" w:hAnsi="宋体"/>
          <w:color w:val="000000"/>
          <w:szCs w:val="21"/>
        </w:rPr>
      </w:pPr>
      <w:r>
        <w:rPr>
          <w:rFonts w:hint="eastAsia" w:ascii="宋体" w:hAnsi="宋体"/>
          <w:color w:val="000000"/>
          <w:szCs w:val="21"/>
        </w:rPr>
        <w:t>身份证号：</w:t>
      </w:r>
      <w:r>
        <w:rPr>
          <w:rFonts w:hint="eastAsia" w:ascii="宋体" w:hAnsi="宋体"/>
          <w:color w:val="000000"/>
          <w:szCs w:val="21"/>
          <w:u w:val="single"/>
          <w:lang w:val="en-US" w:eastAsia="zh-CN"/>
        </w:rPr>
        <w:t xml:space="preserve">       </w:t>
      </w:r>
      <w:r>
        <w:rPr>
          <w:rFonts w:hint="eastAsia" w:ascii="宋体" w:hAnsi="宋体"/>
          <w:color w:val="000000"/>
          <w:szCs w:val="21"/>
        </w:rPr>
        <w:t>；</w:t>
      </w:r>
    </w:p>
    <w:p w14:paraId="72487415">
      <w:pPr>
        <w:spacing w:line="440" w:lineRule="exact"/>
        <w:ind w:firstLine="480"/>
        <w:rPr>
          <w:rFonts w:ascii="宋体" w:hAnsi="宋体"/>
          <w:color w:val="000000"/>
          <w:szCs w:val="21"/>
        </w:rPr>
      </w:pPr>
      <w:r>
        <w:rPr>
          <w:rFonts w:hint="eastAsia" w:ascii="宋体" w:hAnsi="宋体"/>
          <w:color w:val="000000"/>
          <w:szCs w:val="21"/>
        </w:rPr>
        <w:t>建造师执业资格等级：</w:t>
      </w:r>
      <w:r>
        <w:rPr>
          <w:rFonts w:hint="eastAsia" w:ascii="宋体" w:hAnsi="宋体"/>
          <w:color w:val="000000"/>
          <w:szCs w:val="21"/>
          <w:u w:val="single"/>
          <w:lang w:val="en-US" w:eastAsia="zh-CN"/>
        </w:rPr>
        <w:t xml:space="preserve">      </w:t>
      </w:r>
      <w:r>
        <w:rPr>
          <w:rFonts w:hint="eastAsia" w:ascii="宋体" w:hAnsi="宋体"/>
          <w:color w:val="000000"/>
          <w:szCs w:val="21"/>
        </w:rPr>
        <w:t>；</w:t>
      </w:r>
    </w:p>
    <w:p w14:paraId="575AFD3D">
      <w:pPr>
        <w:spacing w:line="440" w:lineRule="exact"/>
        <w:ind w:firstLine="480"/>
        <w:rPr>
          <w:rFonts w:ascii="宋体" w:hAnsi="宋体"/>
          <w:color w:val="000000"/>
          <w:szCs w:val="21"/>
        </w:rPr>
      </w:pPr>
      <w:r>
        <w:rPr>
          <w:rFonts w:hint="eastAsia" w:ascii="宋体" w:hAnsi="宋体"/>
          <w:color w:val="000000"/>
          <w:szCs w:val="21"/>
        </w:rPr>
        <w:t>建造师注册证书号：</w:t>
      </w:r>
      <w:r>
        <w:rPr>
          <w:rFonts w:hint="eastAsia" w:ascii="宋体" w:hAnsi="宋体"/>
          <w:color w:val="000000"/>
          <w:szCs w:val="21"/>
          <w:u w:val="single"/>
          <w:lang w:val="en-US" w:eastAsia="zh-CN"/>
        </w:rPr>
        <w:t xml:space="preserve">        </w:t>
      </w:r>
      <w:r>
        <w:rPr>
          <w:rFonts w:hint="eastAsia" w:ascii="宋体" w:hAnsi="宋体"/>
          <w:color w:val="000000"/>
          <w:szCs w:val="21"/>
        </w:rPr>
        <w:t>；</w:t>
      </w:r>
    </w:p>
    <w:p w14:paraId="409B5737">
      <w:pPr>
        <w:spacing w:line="440" w:lineRule="exact"/>
        <w:ind w:firstLine="480"/>
        <w:rPr>
          <w:rFonts w:ascii="宋体" w:hAnsi="宋体"/>
          <w:color w:val="000000"/>
          <w:szCs w:val="21"/>
        </w:rPr>
      </w:pPr>
      <w:r>
        <w:rPr>
          <w:rFonts w:hint="eastAsia" w:ascii="宋体" w:hAnsi="宋体"/>
          <w:color w:val="000000"/>
          <w:szCs w:val="21"/>
        </w:rPr>
        <w:t>建造师执业印章号：</w:t>
      </w:r>
      <w:r>
        <w:rPr>
          <w:rFonts w:hint="eastAsia" w:ascii="宋体" w:hAnsi="宋体"/>
          <w:color w:val="000000"/>
          <w:szCs w:val="21"/>
          <w:u w:val="single"/>
          <w:lang w:val="en-US" w:eastAsia="zh-CN"/>
        </w:rPr>
        <w:t xml:space="preserve">        </w:t>
      </w:r>
      <w:r>
        <w:rPr>
          <w:rFonts w:hint="eastAsia" w:ascii="宋体" w:hAnsi="宋体"/>
          <w:color w:val="000000"/>
          <w:szCs w:val="21"/>
        </w:rPr>
        <w:t>；</w:t>
      </w:r>
    </w:p>
    <w:p w14:paraId="25A0BC95">
      <w:pPr>
        <w:spacing w:line="440" w:lineRule="exact"/>
        <w:ind w:firstLine="480"/>
        <w:rPr>
          <w:rFonts w:ascii="宋体" w:hAnsi="宋体"/>
          <w:color w:val="000000"/>
          <w:szCs w:val="21"/>
        </w:rPr>
      </w:pPr>
      <w:r>
        <w:rPr>
          <w:rFonts w:hint="eastAsia" w:ascii="宋体" w:hAnsi="宋体"/>
          <w:color w:val="000000"/>
          <w:szCs w:val="21"/>
        </w:rPr>
        <w:t>安全生产考核合格证书号：</w:t>
      </w:r>
      <w:r>
        <w:rPr>
          <w:rFonts w:hint="eastAsia" w:ascii="宋体" w:hAnsi="宋体"/>
          <w:color w:val="000000"/>
          <w:szCs w:val="21"/>
          <w:u w:val="single"/>
          <w:lang w:val="en-US" w:eastAsia="zh-CN"/>
        </w:rPr>
        <w:t xml:space="preserve">     </w:t>
      </w:r>
      <w:r>
        <w:rPr>
          <w:rFonts w:hint="eastAsia" w:ascii="宋体" w:hAnsi="宋体"/>
          <w:color w:val="000000"/>
          <w:szCs w:val="21"/>
        </w:rPr>
        <w:t>；</w:t>
      </w:r>
    </w:p>
    <w:p w14:paraId="53D0F74B">
      <w:pPr>
        <w:spacing w:line="440" w:lineRule="exact"/>
        <w:ind w:firstLine="480"/>
        <w:rPr>
          <w:rFonts w:ascii="宋体" w:hAnsi="宋体"/>
          <w:color w:val="000000"/>
          <w:szCs w:val="21"/>
        </w:rPr>
      </w:pPr>
      <w:r>
        <w:rPr>
          <w:rFonts w:hint="eastAsia" w:ascii="宋体" w:hAnsi="宋体"/>
          <w:color w:val="000000"/>
          <w:szCs w:val="21"/>
        </w:rPr>
        <w:t>联系电话：</w:t>
      </w:r>
      <w:r>
        <w:rPr>
          <w:rFonts w:hint="eastAsia" w:ascii="宋体" w:hAnsi="宋体"/>
          <w:color w:val="000000"/>
          <w:szCs w:val="21"/>
          <w:u w:val="single"/>
          <w:lang w:val="en-US" w:eastAsia="zh-CN"/>
        </w:rPr>
        <w:t xml:space="preserve">      </w:t>
      </w:r>
      <w:r>
        <w:rPr>
          <w:rFonts w:hint="eastAsia" w:ascii="宋体" w:hAnsi="宋体"/>
          <w:color w:val="000000"/>
          <w:szCs w:val="21"/>
        </w:rPr>
        <w:t>；</w:t>
      </w:r>
    </w:p>
    <w:p w14:paraId="14086DFB">
      <w:pPr>
        <w:spacing w:line="440" w:lineRule="exact"/>
        <w:ind w:firstLine="480"/>
        <w:rPr>
          <w:rFonts w:ascii="宋体" w:hAnsi="宋体"/>
          <w:color w:val="000000"/>
          <w:szCs w:val="21"/>
        </w:rPr>
      </w:pPr>
      <w:r>
        <w:rPr>
          <w:rFonts w:hint="eastAsia" w:ascii="宋体" w:hAnsi="宋体"/>
          <w:color w:val="000000"/>
          <w:szCs w:val="21"/>
        </w:rPr>
        <w:t>电子信箱：</w:t>
      </w:r>
      <w:r>
        <w:rPr>
          <w:rFonts w:hint="eastAsia" w:ascii="宋体" w:hAnsi="宋体"/>
          <w:color w:val="000000"/>
          <w:szCs w:val="21"/>
          <w:u w:val="single"/>
          <w:lang w:val="en-US" w:eastAsia="zh-CN"/>
        </w:rPr>
        <w:t xml:space="preserve">      </w:t>
      </w:r>
      <w:r>
        <w:rPr>
          <w:rFonts w:hint="eastAsia" w:ascii="宋体" w:hAnsi="宋体"/>
          <w:color w:val="000000"/>
          <w:szCs w:val="21"/>
        </w:rPr>
        <w:t>；</w:t>
      </w:r>
    </w:p>
    <w:p w14:paraId="0C3352B5">
      <w:pPr>
        <w:spacing w:line="440" w:lineRule="exact"/>
        <w:ind w:firstLine="480"/>
        <w:rPr>
          <w:rFonts w:ascii="宋体" w:hAnsi="宋体"/>
          <w:color w:val="000000"/>
          <w:szCs w:val="21"/>
        </w:rPr>
      </w:pPr>
      <w:r>
        <w:rPr>
          <w:rFonts w:hint="eastAsia" w:ascii="宋体" w:hAnsi="宋体"/>
          <w:color w:val="000000"/>
          <w:szCs w:val="21"/>
        </w:rPr>
        <w:t>通信地址：</w:t>
      </w:r>
      <w:r>
        <w:rPr>
          <w:rFonts w:hint="eastAsia" w:ascii="宋体" w:hAnsi="宋体"/>
          <w:color w:val="000000"/>
          <w:szCs w:val="21"/>
          <w:u w:val="single"/>
          <w:lang w:val="en-US" w:eastAsia="zh-CN"/>
        </w:rPr>
        <w:t xml:space="preserve">      </w:t>
      </w:r>
      <w:r>
        <w:rPr>
          <w:rFonts w:hint="eastAsia" w:ascii="宋体" w:hAnsi="宋体"/>
          <w:color w:val="000000"/>
          <w:szCs w:val="21"/>
        </w:rPr>
        <w:t>；</w:t>
      </w:r>
    </w:p>
    <w:p w14:paraId="2E9A78FE">
      <w:pPr>
        <w:spacing w:line="440" w:lineRule="exact"/>
        <w:ind w:firstLine="480"/>
        <w:rPr>
          <w:rFonts w:ascii="宋体" w:hAnsi="宋体"/>
          <w:color w:val="000000"/>
          <w:szCs w:val="21"/>
        </w:rPr>
      </w:pPr>
      <w:r>
        <w:rPr>
          <w:rFonts w:hint="eastAsia" w:ascii="宋体" w:hAnsi="宋体"/>
          <w:color w:val="000000"/>
          <w:szCs w:val="21"/>
        </w:rPr>
        <w:t>承包人对项目经理的授权范围如下：。</w:t>
      </w:r>
    </w:p>
    <w:p w14:paraId="68F4BC0A">
      <w:pPr>
        <w:spacing w:line="440" w:lineRule="exact"/>
        <w:ind w:firstLine="480"/>
        <w:rPr>
          <w:rFonts w:ascii="宋体" w:hAnsi="宋体"/>
          <w:color w:val="000000"/>
          <w:szCs w:val="21"/>
        </w:rPr>
      </w:pPr>
      <w:r>
        <w:rPr>
          <w:rFonts w:hint="eastAsia" w:ascii="宋体" w:hAnsi="宋体"/>
          <w:color w:val="000000"/>
          <w:szCs w:val="21"/>
        </w:rPr>
        <w:t>关于项目经理每月在施工现场的时间要求：</w:t>
      </w:r>
      <w:r>
        <w:rPr>
          <w:rFonts w:hint="eastAsia" w:ascii="宋体" w:hAnsi="宋体"/>
          <w:szCs w:val="21"/>
          <w:u w:val="single"/>
        </w:rPr>
        <w:t>施工期间项目经理必须常驻施工现场，每周不少于六天，每天不少于8小时，如有夜间施工的情况，项目经理必须全程在施工现场</w:t>
      </w:r>
      <w:r>
        <w:rPr>
          <w:rFonts w:hint="eastAsia" w:ascii="宋体" w:hAnsi="宋体"/>
          <w:color w:val="000000"/>
          <w:szCs w:val="21"/>
        </w:rPr>
        <w:t>。</w:t>
      </w:r>
    </w:p>
    <w:p w14:paraId="39C4182C">
      <w:pPr>
        <w:spacing w:line="440" w:lineRule="exact"/>
        <w:ind w:firstLine="480"/>
        <w:rPr>
          <w:rFonts w:ascii="宋体" w:hAnsi="宋体"/>
          <w:color w:val="000000"/>
          <w:szCs w:val="21"/>
        </w:rPr>
      </w:pPr>
      <w:r>
        <w:rPr>
          <w:rFonts w:hint="eastAsia" w:ascii="宋体" w:hAnsi="宋体"/>
          <w:color w:val="000000"/>
          <w:szCs w:val="21"/>
        </w:rPr>
        <w:t>承包人未提交劳动合同，以及没有为项目经理缴纳社会保险证明的违约责任：</w:t>
      </w:r>
      <w:r>
        <w:rPr>
          <w:rFonts w:hint="eastAsia" w:ascii="宋体" w:hAnsi="宋体"/>
          <w:szCs w:val="21"/>
          <w:u w:val="single"/>
        </w:rPr>
        <w:t>清退承包人出场，所发生所有费用由承包人承担，并报送工程所在地工程建设主管部门备案</w:t>
      </w:r>
      <w:r>
        <w:rPr>
          <w:rFonts w:hint="eastAsia" w:ascii="宋体" w:hAnsi="宋体"/>
          <w:color w:val="000000"/>
          <w:szCs w:val="21"/>
        </w:rPr>
        <w:t>。</w:t>
      </w:r>
    </w:p>
    <w:p w14:paraId="229320C5">
      <w:pPr>
        <w:spacing w:line="440" w:lineRule="exact"/>
        <w:ind w:firstLine="480"/>
        <w:rPr>
          <w:rFonts w:ascii="宋体" w:hAnsi="宋体"/>
          <w:color w:val="000000"/>
          <w:szCs w:val="21"/>
          <w:u w:val="single"/>
        </w:rPr>
      </w:pPr>
      <w:r>
        <w:rPr>
          <w:rFonts w:hint="eastAsia" w:ascii="宋体" w:hAnsi="宋体"/>
          <w:color w:val="000000"/>
          <w:szCs w:val="21"/>
        </w:rPr>
        <w:t>项目经理未经批准，擅自离开施工现场的违约责任：</w:t>
      </w:r>
      <w:r>
        <w:rPr>
          <w:rFonts w:hint="eastAsia" w:ascii="宋体" w:hAnsi="宋体"/>
          <w:szCs w:val="21"/>
          <w:u w:val="single"/>
        </w:rPr>
        <w:t>每次处罚违约金人民币20000元，由发包人代表签发处罚指令，此费用将从当月进度款中直接扣除</w:t>
      </w:r>
      <w:r>
        <w:rPr>
          <w:rFonts w:hint="eastAsia" w:ascii="宋体" w:hAnsi="宋体"/>
          <w:color w:val="000000"/>
          <w:szCs w:val="21"/>
        </w:rPr>
        <w:t>。</w:t>
      </w:r>
    </w:p>
    <w:p w14:paraId="5F51E3F4">
      <w:pPr>
        <w:spacing w:line="440" w:lineRule="exact"/>
        <w:ind w:firstLine="480"/>
        <w:rPr>
          <w:rFonts w:ascii="宋体" w:hAnsi="宋体"/>
          <w:color w:val="000000"/>
          <w:szCs w:val="21"/>
        </w:rPr>
      </w:pPr>
      <w:r>
        <w:rPr>
          <w:rFonts w:hint="eastAsia" w:ascii="宋体" w:hAnsi="宋体"/>
          <w:color w:val="000000"/>
          <w:szCs w:val="21"/>
        </w:rPr>
        <w:t>3.2.3 承包人擅自更换项目经理的违约责任：</w:t>
      </w:r>
      <w:r>
        <w:rPr>
          <w:rFonts w:hint="eastAsia" w:ascii="宋体" w:hAnsi="宋体"/>
          <w:szCs w:val="21"/>
          <w:u w:val="single"/>
        </w:rPr>
        <w:t>按照签约合同价的5%处罚违约金，由发包人代表签发处罚指令，此费用将从当月进度款中直接扣除，并勒令停工至发包人书面同意其更换项目经理，停工期间一切损失由承包人承担，擅自更换项目经理的行为发包人报送工程所在地工程建设主管部门备案</w:t>
      </w:r>
      <w:r>
        <w:rPr>
          <w:rFonts w:hint="eastAsia" w:ascii="宋体" w:hAnsi="宋体"/>
          <w:color w:val="000000"/>
          <w:szCs w:val="21"/>
        </w:rPr>
        <w:t>。</w:t>
      </w:r>
    </w:p>
    <w:p w14:paraId="189AF63A">
      <w:pPr>
        <w:spacing w:line="440" w:lineRule="exact"/>
        <w:ind w:firstLine="480"/>
        <w:outlineLvl w:val="0"/>
        <w:rPr>
          <w:rFonts w:ascii="宋体" w:hAnsi="宋体"/>
          <w:color w:val="000000"/>
          <w:szCs w:val="21"/>
        </w:rPr>
      </w:pPr>
      <w:bookmarkStart w:id="610" w:name="_Toc36797931"/>
      <w:r>
        <w:rPr>
          <w:rFonts w:hint="eastAsia" w:ascii="宋体" w:hAnsi="宋体"/>
          <w:color w:val="000000"/>
          <w:szCs w:val="21"/>
        </w:rPr>
        <w:t>3.2.4 承包人无正当理由拒绝更换项目经理的违约责任：</w:t>
      </w:r>
      <w:r>
        <w:rPr>
          <w:rFonts w:hint="eastAsia" w:ascii="宋体" w:hAnsi="宋体"/>
          <w:szCs w:val="21"/>
          <w:u w:val="single"/>
        </w:rPr>
        <w:t>按照签约合同价的5%处罚违约金，由发包人代表签发处罚指令，此费用将从当月进度款中直接扣除</w:t>
      </w:r>
      <w:r>
        <w:rPr>
          <w:rFonts w:hint="eastAsia" w:ascii="宋体" w:hAnsi="宋体"/>
          <w:color w:val="000000"/>
          <w:szCs w:val="21"/>
        </w:rPr>
        <w:t>。</w:t>
      </w:r>
      <w:bookmarkEnd w:id="610"/>
    </w:p>
    <w:p w14:paraId="001D1A4D">
      <w:pPr>
        <w:spacing w:after="120" w:line="440" w:lineRule="exact"/>
        <w:ind w:firstLine="482"/>
        <w:rPr>
          <w:rFonts w:ascii="宋体" w:hAnsi="宋体"/>
          <w:b/>
          <w:color w:val="000000"/>
        </w:rPr>
      </w:pPr>
      <w:r>
        <w:rPr>
          <w:rFonts w:hint="eastAsia" w:ascii="宋体" w:hAnsi="宋体"/>
          <w:b/>
          <w:color w:val="000000"/>
        </w:rPr>
        <w:t>3.3 承包人人员</w:t>
      </w:r>
    </w:p>
    <w:p w14:paraId="33645CB0">
      <w:pPr>
        <w:spacing w:line="440" w:lineRule="exact"/>
        <w:ind w:firstLine="480"/>
        <w:rPr>
          <w:rFonts w:ascii="宋体" w:hAnsi="宋体"/>
          <w:color w:val="000000"/>
          <w:szCs w:val="21"/>
        </w:rPr>
      </w:pPr>
      <w:r>
        <w:rPr>
          <w:rFonts w:hint="eastAsia" w:ascii="宋体" w:hAnsi="宋体"/>
          <w:color w:val="000000"/>
          <w:szCs w:val="21"/>
        </w:rPr>
        <w:t>3.3.1 承包人提交项目管理机构及施工现场管理人员安排报告的期限：</w:t>
      </w:r>
      <w:r>
        <w:rPr>
          <w:rFonts w:hint="eastAsia" w:ascii="宋体" w:hAnsi="宋体"/>
          <w:szCs w:val="21"/>
          <w:u w:val="single"/>
        </w:rPr>
        <w:t>召开第一次工地例会前三天</w:t>
      </w:r>
      <w:r>
        <w:rPr>
          <w:rFonts w:hint="eastAsia" w:ascii="宋体" w:hAnsi="宋体"/>
          <w:color w:val="000000"/>
          <w:szCs w:val="21"/>
        </w:rPr>
        <w:t>。</w:t>
      </w:r>
    </w:p>
    <w:p w14:paraId="60C0963C">
      <w:pPr>
        <w:spacing w:line="440" w:lineRule="exact"/>
        <w:ind w:firstLine="480"/>
        <w:rPr>
          <w:rFonts w:ascii="宋体" w:hAnsi="宋体"/>
          <w:color w:val="000000"/>
          <w:szCs w:val="21"/>
        </w:rPr>
      </w:pPr>
      <w:r>
        <w:rPr>
          <w:rFonts w:hint="eastAsia" w:ascii="宋体" w:hAnsi="宋体"/>
          <w:color w:val="000000"/>
          <w:szCs w:val="21"/>
        </w:rPr>
        <w:t>3.3.3 承包人无正当理由拒绝撤换主要施工管理人员的违约责任：</w:t>
      </w:r>
      <w:r>
        <w:rPr>
          <w:rFonts w:hint="eastAsia" w:ascii="宋体" w:hAnsi="宋体"/>
          <w:szCs w:val="21"/>
          <w:u w:val="single"/>
        </w:rPr>
        <w:t>每人次处罚违约金人民币10000元，由发包人代表签发处罚指令，此费用将从当月进度款中直接扣除</w:t>
      </w:r>
      <w:r>
        <w:rPr>
          <w:rFonts w:hint="eastAsia" w:ascii="宋体" w:hAnsi="宋体"/>
          <w:color w:val="000000"/>
          <w:szCs w:val="21"/>
        </w:rPr>
        <w:t>。</w:t>
      </w:r>
    </w:p>
    <w:p w14:paraId="48B642FF">
      <w:pPr>
        <w:spacing w:line="440" w:lineRule="exact"/>
        <w:ind w:firstLine="480"/>
        <w:rPr>
          <w:rFonts w:ascii="宋体" w:hAnsi="宋体"/>
          <w:color w:val="000000"/>
          <w:szCs w:val="21"/>
          <w:u w:val="single"/>
        </w:rPr>
      </w:pPr>
      <w:r>
        <w:rPr>
          <w:rFonts w:hint="eastAsia" w:ascii="宋体" w:hAnsi="宋体"/>
          <w:color w:val="000000"/>
          <w:szCs w:val="21"/>
        </w:rPr>
        <w:t>3.3.4 承包人主要施工管理人员离开施工现场的批准要求：</w:t>
      </w:r>
      <w:r>
        <w:rPr>
          <w:rFonts w:hint="eastAsia" w:ascii="宋体" w:hAnsi="宋体"/>
          <w:szCs w:val="21"/>
          <w:u w:val="single"/>
        </w:rPr>
        <w:t>按照通用合同条款执行</w:t>
      </w:r>
      <w:r>
        <w:rPr>
          <w:rFonts w:hint="eastAsia" w:ascii="宋体" w:hAnsi="宋体"/>
          <w:color w:val="000000"/>
          <w:szCs w:val="21"/>
        </w:rPr>
        <w:t>。</w:t>
      </w:r>
    </w:p>
    <w:p w14:paraId="56C113FF">
      <w:pPr>
        <w:spacing w:line="440" w:lineRule="exact"/>
        <w:ind w:firstLine="480"/>
        <w:rPr>
          <w:rFonts w:ascii="宋体" w:hAnsi="宋体"/>
          <w:color w:val="000000"/>
          <w:szCs w:val="21"/>
        </w:rPr>
      </w:pPr>
      <w:r>
        <w:rPr>
          <w:rFonts w:hint="eastAsia" w:ascii="宋体" w:hAnsi="宋体"/>
          <w:color w:val="000000"/>
          <w:szCs w:val="21"/>
        </w:rPr>
        <w:t>3.3.5承包人擅自更换主要施工管理人员的违约责任：</w:t>
      </w:r>
      <w:r>
        <w:rPr>
          <w:rFonts w:hint="eastAsia" w:ascii="宋体" w:hAnsi="宋体"/>
          <w:szCs w:val="21"/>
          <w:u w:val="single"/>
        </w:rPr>
        <w:t>每人次罚款人民币10000元，由发包人代表签发处罚指令，此费用将从当月进度款中直接扣除</w:t>
      </w:r>
      <w:r>
        <w:rPr>
          <w:rFonts w:hint="eastAsia" w:ascii="宋体" w:hAnsi="宋体"/>
          <w:color w:val="000000"/>
          <w:szCs w:val="21"/>
        </w:rPr>
        <w:t>。</w:t>
      </w:r>
    </w:p>
    <w:p w14:paraId="55FC71B8">
      <w:pPr>
        <w:spacing w:line="440" w:lineRule="exact"/>
        <w:ind w:firstLine="480"/>
        <w:rPr>
          <w:rFonts w:ascii="宋体" w:hAnsi="宋体"/>
          <w:color w:val="000000"/>
          <w:szCs w:val="21"/>
        </w:rPr>
      </w:pPr>
      <w:r>
        <w:rPr>
          <w:rFonts w:hint="eastAsia" w:ascii="宋体" w:hAnsi="宋体"/>
          <w:color w:val="000000"/>
          <w:szCs w:val="21"/>
        </w:rPr>
        <w:t>承包人主要施工管理人员擅自离开施工现场的违约责任：</w:t>
      </w:r>
      <w:r>
        <w:rPr>
          <w:rFonts w:hint="eastAsia" w:ascii="宋体" w:hAnsi="宋体"/>
          <w:szCs w:val="21"/>
          <w:u w:val="single"/>
        </w:rPr>
        <w:t>每人次处罚违约金人民币10000元，由发包人代表签发处罚指令，此费用将从当月进度款中直接扣除</w:t>
      </w:r>
      <w:r>
        <w:rPr>
          <w:rFonts w:hint="eastAsia" w:ascii="宋体" w:hAnsi="宋体"/>
          <w:color w:val="000000"/>
          <w:szCs w:val="21"/>
        </w:rPr>
        <w:t>。</w:t>
      </w:r>
    </w:p>
    <w:p w14:paraId="41711FD9">
      <w:pPr>
        <w:spacing w:line="440" w:lineRule="exact"/>
        <w:ind w:firstLine="480"/>
        <w:rPr>
          <w:rFonts w:ascii="宋体" w:hAnsi="宋体"/>
          <w:color w:val="000000"/>
          <w:szCs w:val="21"/>
        </w:rPr>
      </w:pPr>
      <w:r>
        <w:rPr>
          <w:rFonts w:hint="eastAsia" w:ascii="宋体" w:hAnsi="宋体"/>
          <w:color w:val="000000"/>
          <w:szCs w:val="21"/>
        </w:rPr>
        <w:t>3.3.6承包人应当依法与其现场施工人员签订劳动（劳务）合同，缴纳社会保险（商业保险），按时发放工资、报酬，及时、妥善处理劳动（劳务）争议并承担相关法律责任。如发包人先行垫付相关费用的，有权从是进度款中扣除。因此给发包人造成损失的，承包人应当予以赔偿。</w:t>
      </w:r>
    </w:p>
    <w:p w14:paraId="50A7376D">
      <w:pPr>
        <w:spacing w:after="120" w:line="440" w:lineRule="exact"/>
        <w:ind w:firstLine="482"/>
        <w:rPr>
          <w:rFonts w:ascii="宋体" w:hAnsi="宋体"/>
          <w:b/>
          <w:color w:val="000000"/>
        </w:rPr>
      </w:pPr>
      <w:r>
        <w:rPr>
          <w:rFonts w:hint="eastAsia" w:ascii="宋体" w:hAnsi="宋体"/>
          <w:b/>
          <w:color w:val="000000"/>
        </w:rPr>
        <w:t>3</w:t>
      </w:r>
      <w:bookmarkStart w:id="611" w:name="_Toc296503159"/>
      <w:bookmarkStart w:id="612" w:name="_Toc303539102"/>
      <w:bookmarkStart w:id="613" w:name="_Toc292559364"/>
      <w:bookmarkStart w:id="614" w:name="_Toc297123492"/>
      <w:bookmarkStart w:id="615" w:name="_Toc296346660"/>
      <w:bookmarkStart w:id="616" w:name="_Toc297048345"/>
      <w:bookmarkStart w:id="617" w:name="_Toc297216151"/>
      <w:bookmarkStart w:id="618" w:name="_Toc296891199"/>
      <w:bookmarkStart w:id="619" w:name="_Toc296347158"/>
      <w:bookmarkStart w:id="620" w:name="_Toc304295523"/>
      <w:bookmarkStart w:id="621" w:name="_Toc300934945"/>
      <w:bookmarkStart w:id="622" w:name="_Toc296890987"/>
      <w:bookmarkStart w:id="623" w:name="_Toc292559869"/>
      <w:bookmarkStart w:id="624" w:name="_Toc312677988"/>
      <w:bookmarkStart w:id="625" w:name="_Toc296944498"/>
      <w:bookmarkStart w:id="626" w:name="_Toc297120459"/>
      <w:r>
        <w:rPr>
          <w:rFonts w:hint="eastAsia" w:ascii="宋体" w:hAnsi="宋体"/>
          <w:b/>
          <w:color w:val="000000"/>
        </w:rPr>
        <w:t>.5 分包</w:t>
      </w:r>
    </w:p>
    <w:p w14:paraId="50A8AEFE">
      <w:pPr>
        <w:spacing w:after="120" w:line="440" w:lineRule="exact"/>
        <w:ind w:firstLine="480"/>
        <w:rPr>
          <w:rFonts w:ascii="宋体" w:hAnsi="宋体"/>
          <w:color w:val="000000"/>
          <w:u w:val="single"/>
        </w:rPr>
      </w:pPr>
      <w:r>
        <w:rPr>
          <w:rFonts w:hint="eastAsia" w:ascii="宋体" w:hAnsi="宋体"/>
          <w:color w:val="000000"/>
          <w:u w:val="single"/>
        </w:rPr>
        <w:t>本项目不允许分包。</w:t>
      </w:r>
    </w:p>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p w14:paraId="3BA8D376">
      <w:pPr>
        <w:spacing w:after="120" w:line="440" w:lineRule="exact"/>
        <w:ind w:firstLine="482"/>
        <w:rPr>
          <w:rFonts w:ascii="宋体" w:hAnsi="宋体"/>
          <w:b/>
          <w:color w:val="000000"/>
        </w:rPr>
      </w:pPr>
      <w:r>
        <w:rPr>
          <w:rFonts w:hint="eastAsia" w:ascii="宋体" w:hAnsi="宋体"/>
          <w:b/>
          <w:color w:val="000000"/>
        </w:rPr>
        <w:t>3.6 工程照管与成品、半成品保护</w:t>
      </w:r>
    </w:p>
    <w:p w14:paraId="33C86C13">
      <w:pPr>
        <w:spacing w:before="120" w:after="120" w:line="440" w:lineRule="exact"/>
        <w:ind w:firstLine="480"/>
        <w:rPr>
          <w:rFonts w:ascii="宋体" w:hAnsi="宋体"/>
          <w:szCs w:val="21"/>
          <w:u w:val="single"/>
        </w:rPr>
      </w:pPr>
      <w:r>
        <w:rPr>
          <w:rFonts w:hint="eastAsia" w:ascii="宋体" w:hAnsi="宋体"/>
          <w:color w:val="000000"/>
          <w:szCs w:val="21"/>
        </w:rPr>
        <w:t>承包人负责照管工程及工程相关的材料、工程设备的起始时间：</w:t>
      </w:r>
      <w:r>
        <w:rPr>
          <w:rFonts w:hint="eastAsia" w:ascii="宋体" w:hAnsi="宋体"/>
          <w:szCs w:val="21"/>
          <w:u w:val="single"/>
        </w:rPr>
        <w:t>（1）自发包人向承包人移交施工现场之日起，承包人应负责照管工程及工程相关的材料、工程设备，直到颁发工程接收证书之日止。</w:t>
      </w:r>
    </w:p>
    <w:p w14:paraId="46E3D3AA">
      <w:pPr>
        <w:spacing w:before="120" w:after="120" w:line="440" w:lineRule="exact"/>
        <w:ind w:firstLine="480"/>
        <w:rPr>
          <w:rFonts w:ascii="宋体" w:hAnsi="宋体"/>
          <w:szCs w:val="21"/>
          <w:u w:val="single"/>
        </w:rPr>
      </w:pPr>
      <w:r>
        <w:rPr>
          <w:rFonts w:hint="eastAsia" w:ascii="宋体" w:hAnsi="宋体"/>
          <w:szCs w:val="21"/>
          <w:u w:val="single"/>
        </w:rPr>
        <w:t>（2）在承包人负责照管期间，因承包人原因造成工程、材料、工程设备损坏的，由承包人负责修复或更换，并承担由此增加的费用和延误的工期。</w:t>
      </w:r>
    </w:p>
    <w:p w14:paraId="1AE5167C">
      <w:pPr>
        <w:spacing w:before="120" w:after="120" w:line="440" w:lineRule="exact"/>
        <w:ind w:firstLine="480"/>
        <w:rPr>
          <w:rFonts w:ascii="宋体" w:hAnsi="宋体"/>
          <w:szCs w:val="21"/>
          <w:u w:val="single"/>
        </w:rPr>
      </w:pPr>
      <w:r>
        <w:rPr>
          <w:rFonts w:hint="eastAsia" w:ascii="宋体" w:hAnsi="宋体"/>
          <w:szCs w:val="21"/>
          <w:u w:val="single"/>
        </w:rPr>
        <w:t>（3）对合同内分期完成的成品和半成品，在工程接收证书颁发前，由承包人承担保护责任。因承包人原因造成成品或半成品损坏的，由承包人负责修复或更换，并承担由此增加的费用和延误的工期。</w:t>
      </w:r>
    </w:p>
    <w:p w14:paraId="0EB3B97F">
      <w:pPr>
        <w:spacing w:before="120" w:after="120" w:line="440" w:lineRule="exact"/>
        <w:ind w:firstLine="482"/>
        <w:rPr>
          <w:rFonts w:ascii="宋体" w:hAnsi="宋体"/>
          <w:b/>
          <w:color w:val="000000"/>
        </w:rPr>
      </w:pPr>
      <w:r>
        <w:rPr>
          <w:rFonts w:hint="eastAsia" w:ascii="宋体" w:hAnsi="宋体"/>
          <w:b/>
          <w:color w:val="000000"/>
        </w:rPr>
        <w:t>3.7 履约担保</w:t>
      </w:r>
    </w:p>
    <w:p w14:paraId="2691862D">
      <w:pPr>
        <w:spacing w:line="440" w:lineRule="exact"/>
        <w:ind w:firstLine="480"/>
        <w:rPr>
          <w:rFonts w:hint="eastAsia" w:ascii="宋体" w:hAnsi="宋体"/>
          <w:color w:val="000000"/>
          <w:szCs w:val="21"/>
        </w:rPr>
      </w:pPr>
      <w:r>
        <w:rPr>
          <w:rFonts w:hint="eastAsia" w:ascii="宋体" w:hAnsi="宋体"/>
          <w:color w:val="000000"/>
          <w:szCs w:val="21"/>
        </w:rPr>
        <w:t>承包人是否提供履约担保：</w:t>
      </w:r>
      <w:r>
        <w:rPr>
          <w:rFonts w:hint="eastAsia" w:ascii="宋体" w:hAnsi="宋体"/>
          <w:szCs w:val="21"/>
          <w:u w:val="single"/>
        </w:rPr>
        <w:t>无要求</w:t>
      </w:r>
      <w:r>
        <w:rPr>
          <w:rFonts w:hint="eastAsia" w:ascii="宋体" w:hAnsi="宋体"/>
          <w:color w:val="000000"/>
          <w:szCs w:val="21"/>
        </w:rPr>
        <w:t>。</w:t>
      </w:r>
    </w:p>
    <w:p w14:paraId="02DDB5FA">
      <w:pPr>
        <w:spacing w:line="440" w:lineRule="exact"/>
        <w:ind w:firstLine="480"/>
        <w:rPr>
          <w:rFonts w:ascii="宋体" w:hAnsi="宋体"/>
          <w:color w:val="000000"/>
          <w:szCs w:val="21"/>
        </w:rPr>
      </w:pPr>
      <w:r>
        <w:rPr>
          <w:rFonts w:hint="eastAsia" w:ascii="宋体" w:hAnsi="宋体"/>
          <w:color w:val="000000"/>
          <w:szCs w:val="21"/>
        </w:rPr>
        <w:t>承包人提供履约担保的形式、金额及期限的：</w:t>
      </w:r>
      <w:r>
        <w:rPr>
          <w:rFonts w:hint="eastAsia" w:ascii="宋体" w:hAnsi="宋体"/>
          <w:szCs w:val="21"/>
          <w:u w:val="single"/>
        </w:rPr>
        <w:t>无要求</w:t>
      </w:r>
      <w:r>
        <w:rPr>
          <w:rFonts w:hint="eastAsia" w:ascii="宋体" w:hAnsi="宋体"/>
          <w:color w:val="000000"/>
          <w:szCs w:val="21"/>
        </w:rPr>
        <w:t>。</w:t>
      </w:r>
    </w:p>
    <w:p w14:paraId="75022A53">
      <w:pPr>
        <w:keepNext/>
        <w:keepLines/>
        <w:spacing w:before="120" w:after="120" w:line="440" w:lineRule="exact"/>
        <w:ind w:firstLine="482"/>
        <w:outlineLvl w:val="3"/>
        <w:rPr>
          <w:rFonts w:ascii="宋体" w:hAnsi="宋体"/>
          <w:b/>
          <w:color w:val="000000"/>
        </w:rPr>
      </w:pPr>
      <w:bookmarkStart w:id="627" w:name="_Toc351203636"/>
      <w:r>
        <w:rPr>
          <w:rFonts w:hint="eastAsia" w:ascii="宋体" w:hAnsi="宋体"/>
          <w:b/>
          <w:color w:val="000000"/>
        </w:rPr>
        <w:t>4</w:t>
      </w:r>
      <w:bookmarkStart w:id="628" w:name="_Toc292559366"/>
      <w:bookmarkStart w:id="629" w:name="_Toc267251413"/>
      <w:bookmarkStart w:id="630" w:name="_Toc297048348"/>
      <w:bookmarkStart w:id="631" w:name="_Toc296944501"/>
      <w:bookmarkStart w:id="632" w:name="_Toc297120462"/>
      <w:bookmarkStart w:id="633" w:name="_Toc296890990"/>
      <w:bookmarkStart w:id="634" w:name="_Toc296346663"/>
      <w:bookmarkStart w:id="635" w:name="_Toc296503162"/>
      <w:bookmarkStart w:id="636" w:name="_Toc296347161"/>
      <w:bookmarkStart w:id="637" w:name="_Toc292559871"/>
      <w:bookmarkStart w:id="638" w:name="_Toc296891202"/>
      <w:r>
        <w:rPr>
          <w:rFonts w:hint="eastAsia" w:ascii="宋体" w:hAnsi="宋体"/>
          <w:b/>
          <w:color w:val="000000"/>
        </w:rPr>
        <w:t>. 监</w:t>
      </w:r>
      <w:bookmarkEnd w:id="628"/>
      <w:bookmarkEnd w:id="629"/>
      <w:bookmarkEnd w:id="630"/>
      <w:bookmarkEnd w:id="631"/>
      <w:bookmarkEnd w:id="632"/>
      <w:bookmarkEnd w:id="633"/>
      <w:bookmarkEnd w:id="634"/>
      <w:bookmarkEnd w:id="635"/>
      <w:bookmarkEnd w:id="636"/>
      <w:bookmarkEnd w:id="637"/>
      <w:bookmarkEnd w:id="638"/>
      <w:r>
        <w:rPr>
          <w:rFonts w:hint="eastAsia" w:ascii="宋体" w:hAnsi="宋体"/>
          <w:b/>
          <w:color w:val="000000"/>
        </w:rPr>
        <w:t>理人</w:t>
      </w:r>
      <w:bookmarkEnd w:id="627"/>
    </w:p>
    <w:p w14:paraId="01163D83">
      <w:pPr>
        <w:spacing w:after="120" w:line="440" w:lineRule="exact"/>
        <w:ind w:firstLine="482"/>
        <w:rPr>
          <w:rFonts w:ascii="宋体" w:hAnsi="宋体"/>
          <w:b/>
          <w:color w:val="000000"/>
        </w:rPr>
      </w:pPr>
      <w:r>
        <w:rPr>
          <w:rFonts w:hint="eastAsia" w:ascii="宋体" w:hAnsi="宋体"/>
          <w:b/>
          <w:color w:val="000000"/>
        </w:rPr>
        <w:t>4.1监理人的一般规定</w:t>
      </w:r>
    </w:p>
    <w:p w14:paraId="7927F07C">
      <w:pPr>
        <w:spacing w:line="440" w:lineRule="exact"/>
        <w:ind w:firstLine="480"/>
        <w:rPr>
          <w:rFonts w:ascii="宋体" w:hAnsi="宋体"/>
          <w:color w:val="000000"/>
          <w:szCs w:val="21"/>
        </w:rPr>
      </w:pPr>
      <w:r>
        <w:rPr>
          <w:rFonts w:hint="eastAsia" w:ascii="宋体" w:hAnsi="宋体"/>
          <w:color w:val="000000"/>
          <w:szCs w:val="21"/>
        </w:rPr>
        <w:t>关于监理人的监理内容：</w:t>
      </w:r>
      <w:r>
        <w:rPr>
          <w:rFonts w:hint="eastAsia" w:ascii="宋体" w:hAnsi="宋体"/>
          <w:szCs w:val="21"/>
          <w:u w:val="single"/>
        </w:rPr>
        <w:t>代表发包人对工程施工相关事项进行检查、查验、审核、验收，并签发相关指示，但监理人无权修改合同，且无权减轻或免除合同约定的承包人的任何责任与义务</w:t>
      </w:r>
      <w:r>
        <w:rPr>
          <w:rFonts w:hint="eastAsia" w:ascii="宋体" w:hAnsi="宋体"/>
          <w:color w:val="000000"/>
          <w:szCs w:val="21"/>
        </w:rPr>
        <w:t>。</w:t>
      </w:r>
    </w:p>
    <w:p w14:paraId="03D27D92">
      <w:pPr>
        <w:spacing w:line="440" w:lineRule="exact"/>
        <w:ind w:firstLine="480"/>
        <w:rPr>
          <w:rFonts w:ascii="宋体" w:hAnsi="宋体"/>
          <w:szCs w:val="21"/>
          <w:u w:val="single"/>
        </w:rPr>
      </w:pPr>
      <w:r>
        <w:rPr>
          <w:rFonts w:hint="eastAsia" w:ascii="宋体" w:hAnsi="宋体"/>
          <w:color w:val="000000"/>
          <w:szCs w:val="21"/>
        </w:rPr>
        <w:t>关于监理人的监理权限：</w:t>
      </w:r>
      <w:r>
        <w:rPr>
          <w:rFonts w:hint="eastAsia" w:ascii="宋体" w:hAnsi="宋体"/>
          <w:szCs w:val="21"/>
          <w:u w:val="single"/>
        </w:rPr>
        <w:t>需要取得发包人批准才能行使的职权：</w:t>
      </w:r>
    </w:p>
    <w:p w14:paraId="401AC920">
      <w:pPr>
        <w:spacing w:line="440" w:lineRule="exact"/>
        <w:ind w:firstLine="480"/>
        <w:rPr>
          <w:rFonts w:ascii="宋体" w:hAnsi="宋体"/>
          <w:szCs w:val="21"/>
          <w:u w:val="single"/>
        </w:rPr>
      </w:pPr>
      <w:r>
        <w:rPr>
          <w:rFonts w:hint="eastAsia" w:ascii="宋体" w:hAnsi="宋体"/>
          <w:szCs w:val="21"/>
          <w:u w:val="single"/>
        </w:rPr>
        <w:t>1、所有涉及工程造价的签证、工程量签证、索赔、设计变更、工艺和技术核定单批准；</w:t>
      </w:r>
    </w:p>
    <w:p w14:paraId="26EA856A">
      <w:pPr>
        <w:spacing w:line="440" w:lineRule="exact"/>
        <w:ind w:firstLine="480"/>
        <w:rPr>
          <w:rFonts w:ascii="宋体" w:hAnsi="宋体"/>
          <w:szCs w:val="21"/>
          <w:u w:val="single"/>
        </w:rPr>
      </w:pPr>
      <w:r>
        <w:rPr>
          <w:rFonts w:hint="eastAsia" w:ascii="宋体" w:hAnsi="宋体"/>
          <w:szCs w:val="21"/>
          <w:u w:val="single"/>
        </w:rPr>
        <w:t>2、开工令、停工令、复工令、工程分包、工程延期；</w:t>
      </w:r>
    </w:p>
    <w:p w14:paraId="6611AFAC">
      <w:pPr>
        <w:spacing w:line="440" w:lineRule="exact"/>
        <w:ind w:firstLine="480"/>
        <w:rPr>
          <w:rFonts w:ascii="宋体" w:hAnsi="宋体"/>
          <w:szCs w:val="21"/>
          <w:u w:val="single"/>
        </w:rPr>
      </w:pPr>
      <w:r>
        <w:rPr>
          <w:rFonts w:hint="eastAsia" w:ascii="宋体" w:hAnsi="宋体"/>
          <w:szCs w:val="21"/>
          <w:u w:val="single"/>
        </w:rPr>
        <w:t>3、工程施工过程中需发生经济费用的各种事宜；</w:t>
      </w:r>
    </w:p>
    <w:p w14:paraId="45BDE9C6">
      <w:pPr>
        <w:spacing w:line="440" w:lineRule="exact"/>
        <w:ind w:firstLine="480"/>
        <w:rPr>
          <w:rFonts w:ascii="宋体" w:hAnsi="宋体"/>
          <w:szCs w:val="21"/>
          <w:u w:val="single"/>
        </w:rPr>
      </w:pPr>
      <w:r>
        <w:rPr>
          <w:rFonts w:hint="eastAsia" w:ascii="宋体" w:hAnsi="宋体"/>
          <w:szCs w:val="21"/>
          <w:u w:val="single"/>
        </w:rPr>
        <w:t>4、分包单位的确认；</w:t>
      </w:r>
    </w:p>
    <w:p w14:paraId="02F71197">
      <w:pPr>
        <w:spacing w:line="440" w:lineRule="exact"/>
        <w:ind w:firstLine="480"/>
        <w:rPr>
          <w:rFonts w:ascii="宋体" w:hAnsi="宋体"/>
          <w:szCs w:val="21"/>
          <w:u w:val="single"/>
        </w:rPr>
      </w:pPr>
      <w:r>
        <w:rPr>
          <w:rFonts w:hint="eastAsia" w:ascii="宋体" w:hAnsi="宋体"/>
          <w:szCs w:val="21"/>
          <w:u w:val="single"/>
        </w:rPr>
        <w:t>5、材料的确认。</w:t>
      </w:r>
    </w:p>
    <w:p w14:paraId="1D967362">
      <w:pPr>
        <w:spacing w:line="440" w:lineRule="exact"/>
        <w:ind w:firstLine="480"/>
        <w:rPr>
          <w:rFonts w:ascii="宋体" w:hAnsi="宋体"/>
          <w:szCs w:val="21"/>
          <w:u w:val="single"/>
        </w:rPr>
      </w:pPr>
      <w:r>
        <w:rPr>
          <w:rFonts w:hint="eastAsia" w:ascii="宋体" w:hAnsi="宋体"/>
          <w:szCs w:val="21"/>
          <w:u w:val="single"/>
        </w:rPr>
        <w:t>具体见《建设工程监理规范》。</w:t>
      </w:r>
    </w:p>
    <w:p w14:paraId="7BD7298D">
      <w:pPr>
        <w:spacing w:line="440" w:lineRule="exact"/>
        <w:ind w:firstLine="480"/>
        <w:rPr>
          <w:rFonts w:ascii="宋体" w:hAnsi="宋体"/>
          <w:color w:val="000000"/>
          <w:szCs w:val="21"/>
        </w:rPr>
      </w:pPr>
      <w:r>
        <w:rPr>
          <w:rFonts w:hint="eastAsia" w:ascii="宋体" w:hAnsi="宋体"/>
          <w:color w:val="000000"/>
          <w:szCs w:val="21"/>
        </w:rPr>
        <w:t>关于监理人在施工现场的办公场所、生活场所的提供和费用承担的约定：</w:t>
      </w:r>
      <w:r>
        <w:rPr>
          <w:rFonts w:hint="eastAsia" w:ascii="宋体" w:hAnsi="宋体"/>
          <w:szCs w:val="21"/>
          <w:u w:val="single"/>
        </w:rPr>
        <w:t>由承包人提供一间或两间办公场所，其费用包含在签约合同价中</w:t>
      </w:r>
      <w:r>
        <w:rPr>
          <w:rFonts w:hint="eastAsia" w:ascii="宋体" w:hAnsi="宋体"/>
          <w:color w:val="000000"/>
          <w:szCs w:val="21"/>
        </w:rPr>
        <w:t>。</w:t>
      </w:r>
    </w:p>
    <w:p w14:paraId="2143E343">
      <w:pPr>
        <w:spacing w:after="120" w:line="440" w:lineRule="exact"/>
        <w:ind w:firstLine="482"/>
        <w:rPr>
          <w:rFonts w:ascii="宋体" w:hAnsi="宋体"/>
          <w:b/>
          <w:color w:val="000000"/>
        </w:rPr>
      </w:pPr>
      <w:r>
        <w:rPr>
          <w:rFonts w:hint="eastAsia" w:ascii="宋体" w:hAnsi="宋体"/>
          <w:b/>
          <w:color w:val="000000"/>
        </w:rPr>
        <w:t>4.4 商定或确定</w:t>
      </w:r>
    </w:p>
    <w:p w14:paraId="5081F5A0">
      <w:pPr>
        <w:spacing w:line="440" w:lineRule="exact"/>
        <w:ind w:firstLine="480"/>
        <w:rPr>
          <w:rFonts w:ascii="宋体" w:hAnsi="宋体"/>
          <w:color w:val="000000"/>
          <w:szCs w:val="21"/>
        </w:rPr>
      </w:pPr>
      <w:bookmarkStart w:id="639" w:name="_Toc267251418"/>
      <w:r>
        <w:rPr>
          <w:rFonts w:hint="eastAsia" w:ascii="宋体" w:hAnsi="宋体"/>
          <w:color w:val="000000"/>
          <w:szCs w:val="21"/>
        </w:rPr>
        <w:t>在发包人和承包人不能通过协商达成一致意见时，发包人授权监理人对以下事项进行确定：</w:t>
      </w:r>
    </w:p>
    <w:p w14:paraId="506A81A6">
      <w:pPr>
        <w:autoSpaceDE w:val="0"/>
        <w:autoSpaceDN w:val="0"/>
        <w:spacing w:line="440" w:lineRule="exact"/>
        <w:ind w:firstLine="480"/>
        <w:rPr>
          <w:rFonts w:ascii="宋体" w:hAnsi="宋体"/>
          <w:color w:val="000000"/>
          <w:szCs w:val="21"/>
        </w:rPr>
      </w:pPr>
      <w:r>
        <w:rPr>
          <w:rFonts w:hint="eastAsia" w:ascii="宋体" w:hAnsi="宋体"/>
          <w:color w:val="000000"/>
          <w:szCs w:val="21"/>
        </w:rPr>
        <w:t>（1）</w:t>
      </w:r>
      <w:r>
        <w:rPr>
          <w:rFonts w:hint="eastAsia" w:ascii="宋体" w:hAnsi="宋体"/>
          <w:szCs w:val="21"/>
          <w:u w:val="single"/>
        </w:rPr>
        <w:t>分部分项施工方案及其调整</w:t>
      </w:r>
      <w:r>
        <w:rPr>
          <w:rFonts w:hint="eastAsia" w:ascii="宋体" w:hAnsi="宋体"/>
          <w:color w:val="000000"/>
          <w:szCs w:val="21"/>
        </w:rPr>
        <w:t>；</w:t>
      </w:r>
    </w:p>
    <w:p w14:paraId="42940ED9">
      <w:pPr>
        <w:autoSpaceDE w:val="0"/>
        <w:autoSpaceDN w:val="0"/>
        <w:spacing w:line="440" w:lineRule="exact"/>
        <w:ind w:firstLine="480"/>
        <w:rPr>
          <w:rFonts w:ascii="宋体" w:hAnsi="宋体"/>
          <w:color w:val="000000"/>
          <w:szCs w:val="21"/>
        </w:rPr>
      </w:pPr>
      <w:r>
        <w:rPr>
          <w:rFonts w:hint="eastAsia" w:ascii="宋体" w:hAnsi="宋体"/>
          <w:color w:val="000000"/>
          <w:szCs w:val="21"/>
        </w:rPr>
        <w:t>（2）</w:t>
      </w:r>
      <w:r>
        <w:rPr>
          <w:rFonts w:hint="eastAsia" w:ascii="宋体" w:hAnsi="宋体"/>
          <w:szCs w:val="21"/>
          <w:u w:val="single"/>
        </w:rPr>
        <w:t>关于工程建设安全方面的相关问题</w:t>
      </w:r>
      <w:r>
        <w:rPr>
          <w:rFonts w:hint="eastAsia" w:ascii="宋体" w:hAnsi="宋体"/>
          <w:color w:val="000000"/>
          <w:szCs w:val="21"/>
        </w:rPr>
        <w:t>；</w:t>
      </w:r>
    </w:p>
    <w:p w14:paraId="1A6A6CD6">
      <w:pPr>
        <w:autoSpaceDE w:val="0"/>
        <w:autoSpaceDN w:val="0"/>
        <w:spacing w:line="440" w:lineRule="exact"/>
        <w:ind w:firstLine="480"/>
        <w:rPr>
          <w:rFonts w:ascii="宋体" w:hAnsi="宋体"/>
          <w:color w:val="000000"/>
          <w:szCs w:val="21"/>
        </w:rPr>
      </w:pPr>
      <w:r>
        <w:rPr>
          <w:rFonts w:hint="eastAsia" w:ascii="宋体" w:hAnsi="宋体"/>
          <w:color w:val="000000"/>
          <w:szCs w:val="21"/>
        </w:rPr>
        <w:t>（3）</w:t>
      </w:r>
      <w:r>
        <w:rPr>
          <w:rFonts w:hint="eastAsia" w:ascii="宋体" w:hAnsi="宋体"/>
          <w:szCs w:val="21"/>
          <w:u w:val="single"/>
        </w:rPr>
        <w:t>关于工程建设进度方面的相关问题</w:t>
      </w:r>
      <w:r>
        <w:rPr>
          <w:rFonts w:hint="eastAsia" w:ascii="宋体" w:hAnsi="宋体"/>
          <w:color w:val="000000"/>
          <w:szCs w:val="21"/>
        </w:rPr>
        <w:t>；</w:t>
      </w:r>
    </w:p>
    <w:p w14:paraId="5CF6FA8E">
      <w:pPr>
        <w:autoSpaceDE w:val="0"/>
        <w:autoSpaceDN w:val="0"/>
        <w:spacing w:line="440" w:lineRule="exact"/>
        <w:ind w:firstLine="480"/>
        <w:rPr>
          <w:rFonts w:ascii="宋体" w:hAnsi="宋体"/>
          <w:color w:val="000000"/>
          <w:sz w:val="30"/>
          <w:szCs w:val="32"/>
        </w:rPr>
      </w:pPr>
      <w:r>
        <w:rPr>
          <w:rFonts w:hint="eastAsia" w:ascii="宋体" w:hAnsi="宋体"/>
          <w:szCs w:val="21"/>
        </w:rPr>
        <w:t>（4）</w:t>
      </w:r>
      <w:r>
        <w:rPr>
          <w:rFonts w:hint="eastAsia" w:ascii="宋体" w:hAnsi="宋体"/>
          <w:szCs w:val="21"/>
          <w:u w:val="single"/>
        </w:rPr>
        <w:t xml:space="preserve"> 关于工程建设质量方面的相关问题 。</w:t>
      </w:r>
    </w:p>
    <w:p w14:paraId="19719561">
      <w:pPr>
        <w:keepNext/>
        <w:keepLines/>
        <w:spacing w:before="120" w:after="120" w:line="440" w:lineRule="exact"/>
        <w:ind w:firstLine="482"/>
        <w:outlineLvl w:val="3"/>
        <w:rPr>
          <w:rFonts w:ascii="宋体" w:hAnsi="宋体"/>
          <w:b/>
          <w:color w:val="000000"/>
        </w:rPr>
      </w:pPr>
      <w:bookmarkStart w:id="640" w:name="_Toc351203637"/>
      <w:r>
        <w:rPr>
          <w:rFonts w:hint="eastAsia" w:ascii="宋体" w:hAnsi="宋体"/>
          <w:b/>
          <w:color w:val="000000"/>
        </w:rPr>
        <w:t>5</w:t>
      </w:r>
      <w:bookmarkEnd w:id="639"/>
      <w:bookmarkStart w:id="641" w:name="_Toc296891203"/>
      <w:bookmarkStart w:id="642" w:name="_Toc297120463"/>
      <w:bookmarkStart w:id="643" w:name="_Toc296890991"/>
      <w:bookmarkStart w:id="644" w:name="_Toc296346664"/>
      <w:bookmarkStart w:id="645" w:name="_Toc296944502"/>
      <w:bookmarkStart w:id="646" w:name="_Toc296503163"/>
      <w:bookmarkStart w:id="647" w:name="_Toc292559872"/>
      <w:bookmarkStart w:id="648" w:name="_Toc296347162"/>
      <w:bookmarkStart w:id="649" w:name="_Toc297048349"/>
      <w:bookmarkStart w:id="650" w:name="_Toc292559367"/>
      <w:r>
        <w:rPr>
          <w:rFonts w:hint="eastAsia" w:ascii="宋体" w:hAnsi="宋体"/>
          <w:b/>
          <w:color w:val="000000"/>
        </w:rPr>
        <w:t>. 工程质量</w:t>
      </w:r>
      <w:bookmarkEnd w:id="640"/>
    </w:p>
    <w:p w14:paraId="0E985B87">
      <w:pPr>
        <w:spacing w:after="120" w:line="440" w:lineRule="exact"/>
        <w:ind w:firstLine="482"/>
        <w:outlineLvl w:val="0"/>
        <w:rPr>
          <w:rFonts w:ascii="宋体" w:hAnsi="宋体"/>
          <w:b/>
          <w:color w:val="000000"/>
        </w:rPr>
      </w:pPr>
      <w:bookmarkStart w:id="651" w:name="_Toc36797932"/>
      <w:r>
        <w:rPr>
          <w:rFonts w:hint="eastAsia" w:ascii="宋体" w:hAnsi="宋体"/>
          <w:b/>
          <w:color w:val="000000"/>
        </w:rPr>
        <w:t>5.1 质量要求</w:t>
      </w:r>
      <w:bookmarkEnd w:id="651"/>
    </w:p>
    <w:p w14:paraId="20FC9301">
      <w:pPr>
        <w:spacing w:line="440" w:lineRule="exact"/>
        <w:ind w:firstLine="480"/>
        <w:rPr>
          <w:rFonts w:ascii="宋体" w:hAnsi="宋体"/>
          <w:szCs w:val="21"/>
        </w:rPr>
      </w:pPr>
      <w:r>
        <w:rPr>
          <w:rFonts w:hint="eastAsia" w:ascii="宋体" w:hAnsi="宋体"/>
          <w:szCs w:val="21"/>
        </w:rPr>
        <w:t>5</w:t>
      </w:r>
      <w:bookmarkStart w:id="652" w:name="_Toc312677997"/>
      <w:bookmarkStart w:id="653" w:name="_Toc318581164"/>
      <w:bookmarkStart w:id="654" w:name="_Toc303539106"/>
      <w:bookmarkStart w:id="655" w:name="_Toc297216155"/>
      <w:bookmarkStart w:id="656" w:name="_Toc304295527"/>
      <w:bookmarkStart w:id="657" w:name="_Toc300934949"/>
      <w:bookmarkStart w:id="658" w:name="_Toc297123496"/>
      <w:r>
        <w:rPr>
          <w:rFonts w:hint="eastAsia" w:ascii="宋体" w:hAnsi="宋体"/>
          <w:szCs w:val="21"/>
        </w:rPr>
        <w:t>.1.1 特殊质量标准和要求：</w:t>
      </w:r>
      <w:r>
        <w:rPr>
          <w:rFonts w:hint="eastAsia" w:ascii="宋体" w:hAnsi="宋体"/>
          <w:szCs w:val="21"/>
          <w:u w:val="single"/>
        </w:rPr>
        <w:t>工程质量符合《建筑工程施工质量验收统一标准》要求，并达到投标承诺的质量标准等级</w:t>
      </w:r>
      <w:r>
        <w:rPr>
          <w:rFonts w:hint="eastAsia" w:ascii="宋体" w:hAnsi="宋体"/>
          <w:szCs w:val="21"/>
        </w:rPr>
        <w:t>。</w:t>
      </w:r>
    </w:p>
    <w:p w14:paraId="077BD98C">
      <w:pPr>
        <w:spacing w:line="440" w:lineRule="exact"/>
        <w:ind w:firstLine="480"/>
        <w:rPr>
          <w:rFonts w:ascii="宋体" w:hAnsi="宋体"/>
          <w:color w:val="000000"/>
          <w:szCs w:val="21"/>
        </w:rPr>
      </w:pPr>
      <w:r>
        <w:rPr>
          <w:rFonts w:hint="eastAsia" w:ascii="宋体" w:hAnsi="宋体"/>
          <w:szCs w:val="21"/>
        </w:rPr>
        <w:t>关于工程奖项的约定：</w:t>
      </w:r>
      <w:r>
        <w:rPr>
          <w:rFonts w:hint="eastAsia" w:ascii="宋体" w:hAnsi="宋体"/>
          <w:szCs w:val="21"/>
          <w:u w:val="single"/>
        </w:rPr>
        <w:t>无</w:t>
      </w:r>
      <w:r>
        <w:rPr>
          <w:rFonts w:hint="eastAsia" w:ascii="宋体" w:hAnsi="宋体"/>
          <w:szCs w:val="21"/>
        </w:rPr>
        <w:t>。</w:t>
      </w:r>
    </w:p>
    <w:p w14:paraId="4F3D45F5">
      <w:pPr>
        <w:spacing w:after="120" w:line="440" w:lineRule="exact"/>
        <w:ind w:firstLine="482"/>
        <w:outlineLvl w:val="0"/>
        <w:rPr>
          <w:rFonts w:ascii="宋体" w:hAnsi="宋体"/>
          <w:b/>
          <w:color w:val="000000"/>
        </w:rPr>
      </w:pPr>
      <w:bookmarkStart w:id="659" w:name="_Toc36797933"/>
      <w:r>
        <w:rPr>
          <w:rFonts w:hint="eastAsia" w:ascii="宋体" w:hAnsi="宋体"/>
          <w:b/>
          <w:color w:val="000000"/>
        </w:rPr>
        <w:t>5.3 隐蔽工程检查</w:t>
      </w:r>
      <w:bookmarkEnd w:id="659"/>
    </w:p>
    <w:p w14:paraId="52777D30">
      <w:pPr>
        <w:spacing w:line="440" w:lineRule="exact"/>
        <w:ind w:firstLine="480"/>
        <w:rPr>
          <w:rFonts w:ascii="宋体" w:hAnsi="宋体"/>
          <w:szCs w:val="21"/>
        </w:rPr>
      </w:pPr>
      <w:r>
        <w:rPr>
          <w:rFonts w:hint="eastAsia" w:ascii="宋体" w:hAnsi="宋体"/>
          <w:szCs w:val="21"/>
        </w:rPr>
        <w:t>5.3.2承包人提前通知监理人隐蔽工程检查的期限的约定：</w:t>
      </w:r>
      <w:r>
        <w:rPr>
          <w:rFonts w:hint="eastAsia" w:ascii="宋体" w:hAnsi="宋体"/>
          <w:szCs w:val="21"/>
          <w:u w:val="single"/>
        </w:rPr>
        <w:t>工程具备隐蔽条件或达到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p>
    <w:p w14:paraId="1ACBD59F">
      <w:pPr>
        <w:spacing w:line="440" w:lineRule="exact"/>
        <w:ind w:firstLine="480"/>
        <w:rPr>
          <w:rFonts w:ascii="宋体" w:hAnsi="宋体"/>
          <w:szCs w:val="21"/>
        </w:rPr>
      </w:pPr>
      <w:r>
        <w:rPr>
          <w:rFonts w:hint="eastAsia" w:ascii="宋体" w:hAnsi="宋体"/>
          <w:szCs w:val="21"/>
        </w:rPr>
        <w:t>监理人不能按时进行检查时，应提前</w:t>
      </w:r>
      <w:r>
        <w:rPr>
          <w:rFonts w:hint="eastAsia" w:ascii="宋体" w:hAnsi="宋体"/>
          <w:szCs w:val="21"/>
          <w:u w:val="single"/>
        </w:rPr>
        <w:t xml:space="preserve">24 </w:t>
      </w:r>
      <w:r>
        <w:rPr>
          <w:rFonts w:hint="eastAsia" w:ascii="宋体" w:hAnsi="宋体"/>
          <w:szCs w:val="21"/>
        </w:rPr>
        <w:t>小时提交书面延期要求。</w:t>
      </w:r>
    </w:p>
    <w:p w14:paraId="01EC091D">
      <w:pPr>
        <w:spacing w:line="440" w:lineRule="exact"/>
        <w:ind w:firstLine="480"/>
        <w:rPr>
          <w:rFonts w:ascii="宋体" w:hAnsi="宋体"/>
          <w:szCs w:val="21"/>
        </w:rPr>
      </w:pPr>
      <w:r>
        <w:rPr>
          <w:rFonts w:hint="eastAsia" w:ascii="宋体" w:hAnsi="宋体"/>
          <w:szCs w:val="21"/>
        </w:rPr>
        <w:t>关于延期最长不得超过：</w:t>
      </w:r>
      <w:r>
        <w:rPr>
          <w:rFonts w:hint="eastAsia" w:ascii="宋体" w:hAnsi="宋体"/>
          <w:szCs w:val="21"/>
          <w:u w:val="single"/>
        </w:rPr>
        <w:t>24</w:t>
      </w:r>
      <w:r>
        <w:rPr>
          <w:rFonts w:hint="eastAsia" w:ascii="宋体" w:hAnsi="宋体"/>
          <w:szCs w:val="21"/>
        </w:rPr>
        <w:t>小时。</w:t>
      </w:r>
    </w:p>
    <w:p w14:paraId="4AE29CC9">
      <w:pPr>
        <w:keepNext/>
        <w:keepLines/>
        <w:spacing w:before="120" w:after="120" w:line="440" w:lineRule="exact"/>
        <w:ind w:firstLine="482"/>
        <w:outlineLvl w:val="3"/>
        <w:rPr>
          <w:rFonts w:ascii="宋体" w:hAnsi="宋体"/>
          <w:b/>
          <w:color w:val="000000"/>
        </w:rPr>
      </w:pPr>
      <w:bookmarkStart w:id="660" w:name="_Toc351203638"/>
      <w:r>
        <w:rPr>
          <w:rFonts w:hint="eastAsia" w:ascii="宋体" w:hAnsi="宋体"/>
          <w:b/>
          <w:color w:val="000000"/>
        </w:rPr>
        <w:t>6. 安全文明施工与环境保护</w:t>
      </w:r>
      <w:bookmarkEnd w:id="660"/>
    </w:p>
    <w:p w14:paraId="6AFE9000">
      <w:pPr>
        <w:spacing w:after="120" w:line="440" w:lineRule="exact"/>
        <w:ind w:firstLine="482"/>
        <w:rPr>
          <w:rFonts w:ascii="宋体" w:hAnsi="宋体"/>
          <w:b/>
          <w:color w:val="000000"/>
        </w:rPr>
      </w:pPr>
      <w:r>
        <w:rPr>
          <w:rFonts w:hint="eastAsia" w:ascii="宋体" w:hAnsi="宋体"/>
          <w:b/>
          <w:color w:val="000000"/>
        </w:rPr>
        <w:t>6.1安全文明施工</w:t>
      </w:r>
    </w:p>
    <w:p w14:paraId="0EC36D6D">
      <w:pPr>
        <w:spacing w:line="440" w:lineRule="exact"/>
        <w:ind w:firstLine="480"/>
        <w:rPr>
          <w:rFonts w:ascii="宋体" w:hAnsi="宋体"/>
          <w:color w:val="000000"/>
          <w:szCs w:val="21"/>
        </w:rPr>
      </w:pPr>
      <w:r>
        <w:rPr>
          <w:rFonts w:hint="eastAsia" w:ascii="宋体" w:hAnsi="宋体"/>
          <w:szCs w:val="21"/>
        </w:rPr>
        <w:t>6.1.1</w:t>
      </w:r>
      <w:r>
        <w:rPr>
          <w:rFonts w:hint="eastAsia" w:ascii="宋体" w:hAnsi="宋体"/>
          <w:color w:val="000000"/>
          <w:szCs w:val="21"/>
        </w:rPr>
        <w:t xml:space="preserve"> 项目安全生产的达标目标及相应事项的约定：</w:t>
      </w:r>
    </w:p>
    <w:p w14:paraId="7DEFDBC4">
      <w:pPr>
        <w:spacing w:line="440" w:lineRule="exact"/>
        <w:ind w:firstLine="480"/>
        <w:rPr>
          <w:rFonts w:ascii="宋体" w:hAnsi="宋体"/>
          <w:szCs w:val="21"/>
          <w:u w:val="single"/>
        </w:rPr>
      </w:pPr>
      <w:r>
        <w:rPr>
          <w:rFonts w:hint="eastAsia" w:ascii="宋体" w:hAnsi="宋体"/>
          <w:szCs w:val="21"/>
          <w:u w:val="single"/>
        </w:rPr>
        <w:t>①承包人必须按照工程所在地省、市规定的标准实行安全施工管理，总承包单位对施工现场的安全施工负总责，专业工程承包单位应当服从总承包单位的安全施工管理 。</w:t>
      </w:r>
    </w:p>
    <w:p w14:paraId="69FB8848">
      <w:pPr>
        <w:spacing w:line="440" w:lineRule="exact"/>
        <w:ind w:firstLine="480"/>
        <w:rPr>
          <w:rFonts w:ascii="宋体" w:hAnsi="宋体"/>
          <w:szCs w:val="21"/>
          <w:u w:val="single"/>
        </w:rPr>
      </w:pPr>
      <w:r>
        <w:rPr>
          <w:rFonts w:hint="eastAsia" w:ascii="宋体" w:hAnsi="宋体"/>
          <w:szCs w:val="21"/>
          <w:u w:val="single"/>
        </w:rPr>
        <w:t xml:space="preserve">②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 。 </w:t>
      </w:r>
    </w:p>
    <w:p w14:paraId="371E6C9C">
      <w:pPr>
        <w:spacing w:line="440" w:lineRule="exact"/>
        <w:ind w:firstLine="480"/>
        <w:rPr>
          <w:rFonts w:ascii="宋体" w:hAnsi="宋体"/>
          <w:szCs w:val="21"/>
          <w:u w:val="single"/>
        </w:rPr>
      </w:pPr>
      <w:r>
        <w:rPr>
          <w:rFonts w:hint="eastAsia" w:ascii="宋体" w:hAnsi="宋体"/>
          <w:szCs w:val="21"/>
          <w:u w:val="single"/>
        </w:rPr>
        <w:t xml:space="preserve">③承包人负责施工现场的第三方人身安全 。 </w:t>
      </w:r>
    </w:p>
    <w:p w14:paraId="263FD284">
      <w:pPr>
        <w:spacing w:line="440" w:lineRule="exact"/>
        <w:ind w:firstLine="480"/>
        <w:rPr>
          <w:rFonts w:ascii="宋体" w:hAnsi="宋体"/>
          <w:szCs w:val="21"/>
        </w:rPr>
      </w:pPr>
      <w:r>
        <w:rPr>
          <w:rFonts w:hint="eastAsia" w:ascii="宋体" w:hAnsi="宋体"/>
          <w:szCs w:val="21"/>
          <w:u w:val="single"/>
        </w:rPr>
        <w:t>④发包人不得要求承包人违反安全管理的规定进行施工。因发包人原因导致的安全事故，由发包人承担相应责任及费用。因承包人原因造成人员伤亡或机具损坏而导致停工，承包人承担1000元/天的违约金，且工期不予顺延，同时发包人还保留进一步索赔的权利</w:t>
      </w:r>
      <w:r>
        <w:rPr>
          <w:rFonts w:hint="eastAsia" w:ascii="宋体" w:hAnsi="宋体"/>
          <w:szCs w:val="21"/>
        </w:rPr>
        <w:t>。</w:t>
      </w:r>
    </w:p>
    <w:p w14:paraId="771F1B22">
      <w:pPr>
        <w:spacing w:line="440" w:lineRule="exact"/>
        <w:ind w:firstLine="480"/>
        <w:rPr>
          <w:rFonts w:ascii="宋体" w:hAnsi="宋体"/>
          <w:szCs w:val="21"/>
          <w:u w:val="single"/>
        </w:rPr>
      </w:pPr>
      <w:r>
        <w:rPr>
          <w:rFonts w:hint="eastAsia" w:ascii="宋体" w:hAnsi="宋体"/>
          <w:szCs w:val="21"/>
          <w:u w:val="single"/>
        </w:rPr>
        <w:t>⑤承包人在施工过程中，须配合景区方面的管理，施工人员上班时间不得早于7:00，下班时间不得晚于闭馆前15分钟。</w:t>
      </w:r>
    </w:p>
    <w:p w14:paraId="25505206">
      <w:pPr>
        <w:spacing w:line="440" w:lineRule="exact"/>
        <w:ind w:firstLine="480"/>
        <w:rPr>
          <w:rFonts w:ascii="宋体" w:hAnsi="宋体"/>
          <w:szCs w:val="21"/>
          <w:u w:val="single"/>
        </w:rPr>
      </w:pPr>
      <w:r>
        <w:rPr>
          <w:rFonts w:hint="eastAsia" w:ascii="宋体" w:hAnsi="宋体"/>
          <w:szCs w:val="21"/>
        </w:rPr>
        <w:t>6.1.4 关于治安保卫的特别约定：</w:t>
      </w:r>
      <w:r>
        <w:rPr>
          <w:rFonts w:hint="eastAsia" w:ascii="宋体" w:hAnsi="宋体"/>
          <w:szCs w:val="21"/>
          <w:u w:val="single"/>
        </w:rPr>
        <w:t>承担施工安全保卫工作及非夜间施工照明的责任和要求，具体如下：</w:t>
      </w:r>
    </w:p>
    <w:p w14:paraId="38520B6C">
      <w:pPr>
        <w:spacing w:line="440" w:lineRule="exact"/>
        <w:ind w:firstLine="480"/>
        <w:rPr>
          <w:rFonts w:ascii="宋体" w:hAnsi="宋体"/>
          <w:szCs w:val="21"/>
          <w:u w:val="single"/>
        </w:rPr>
      </w:pPr>
      <w:r>
        <w:rPr>
          <w:rFonts w:hint="eastAsia" w:ascii="宋体" w:hAnsi="宋体"/>
          <w:szCs w:val="21"/>
          <w:u w:val="single"/>
        </w:rPr>
        <w:t>①根据监理、发包人批准的施工方案，在施工现场适当地方设置门卫，并安排专人24小时看管，禁止非本工程施工、管理人员、车辆进入现场；</w:t>
      </w:r>
    </w:p>
    <w:p w14:paraId="3B5FC8E4">
      <w:pPr>
        <w:spacing w:line="440" w:lineRule="exact"/>
        <w:ind w:firstLine="480"/>
        <w:rPr>
          <w:rFonts w:ascii="宋体" w:hAnsi="宋体"/>
          <w:szCs w:val="21"/>
          <w:u w:val="single"/>
        </w:rPr>
      </w:pPr>
      <w:r>
        <w:rPr>
          <w:rFonts w:hint="eastAsia" w:ascii="宋体" w:hAnsi="宋体"/>
          <w:szCs w:val="21"/>
          <w:u w:val="single"/>
        </w:rPr>
        <w:t>②为保护本工程免遭损坏，或为现场附近和过往人群的安全与方便，在确有必要的时候和地方，或当监理工程师或有关主管部门要求时，承包人应自费提供照明、警卫、护栅、警告标志等安全防护措施。</w:t>
      </w:r>
    </w:p>
    <w:p w14:paraId="6D4FBD95">
      <w:pPr>
        <w:spacing w:line="440" w:lineRule="exact"/>
        <w:ind w:firstLine="480"/>
        <w:rPr>
          <w:rFonts w:ascii="宋体" w:hAnsi="宋体"/>
          <w:szCs w:val="21"/>
          <w:u w:val="single"/>
        </w:rPr>
      </w:pPr>
      <w:r>
        <w:rPr>
          <w:rFonts w:hint="eastAsia" w:ascii="宋体" w:hAnsi="宋体"/>
          <w:szCs w:val="21"/>
          <w:u w:val="single"/>
        </w:rPr>
        <w:t>③在实施和完成本工程过程中，承包人应承担非夜间施工照明和照明设施的维护责任；</w:t>
      </w:r>
    </w:p>
    <w:p w14:paraId="2635DCE0">
      <w:pPr>
        <w:spacing w:line="440" w:lineRule="exact"/>
        <w:ind w:firstLine="480"/>
        <w:rPr>
          <w:rFonts w:ascii="宋体" w:hAnsi="宋体"/>
          <w:szCs w:val="21"/>
          <w:u w:val="single"/>
        </w:rPr>
      </w:pPr>
      <w:r>
        <w:rPr>
          <w:rFonts w:hint="eastAsia" w:ascii="宋体" w:hAnsi="宋体"/>
          <w:szCs w:val="21"/>
          <w:u w:val="single"/>
        </w:rPr>
        <w:t>④承包人必须承担上述工作所需的所有费用。</w:t>
      </w:r>
    </w:p>
    <w:p w14:paraId="51F30F20">
      <w:pPr>
        <w:spacing w:line="440" w:lineRule="exact"/>
        <w:ind w:firstLine="480"/>
        <w:rPr>
          <w:rFonts w:ascii="宋体" w:hAnsi="宋体"/>
          <w:szCs w:val="21"/>
          <w:u w:val="single"/>
        </w:rPr>
      </w:pPr>
      <w:r>
        <w:rPr>
          <w:rFonts w:hint="eastAsia" w:ascii="宋体" w:hAnsi="宋体"/>
          <w:szCs w:val="21"/>
          <w:u w:val="single"/>
        </w:rPr>
        <w:t>⑤如承包人未履行上述约定及通用条款相关义务造成工程、财产和人身伤害，由承包人承担责任、赔偿损失及支付发生的费用。</w:t>
      </w:r>
    </w:p>
    <w:p w14:paraId="1FF3215F">
      <w:pPr>
        <w:spacing w:line="440" w:lineRule="exact"/>
        <w:ind w:firstLine="480"/>
        <w:rPr>
          <w:rFonts w:ascii="宋体" w:hAnsi="宋体"/>
          <w:szCs w:val="21"/>
        </w:rPr>
      </w:pPr>
      <w:r>
        <w:rPr>
          <w:rFonts w:hint="eastAsia" w:ascii="宋体" w:hAnsi="宋体"/>
          <w:szCs w:val="21"/>
          <w:u w:val="single"/>
        </w:rPr>
        <w:t>关于编制施工场地治安管理计划的约定：由承包人负责施工现场内治安保卫工作，包括：（1）对进入到施工现场的参建单位相关人员的管理；（2）配合公安、交警等部门的管理；（3）承担治安管理工作相关费用</w:t>
      </w:r>
      <w:r>
        <w:rPr>
          <w:rFonts w:hint="eastAsia" w:ascii="宋体" w:hAnsi="宋体"/>
          <w:szCs w:val="21"/>
        </w:rPr>
        <w:t>。</w:t>
      </w:r>
    </w:p>
    <w:p w14:paraId="0FF606D3">
      <w:pPr>
        <w:spacing w:line="440" w:lineRule="exact"/>
        <w:ind w:firstLine="480"/>
        <w:rPr>
          <w:rFonts w:ascii="宋体" w:hAnsi="宋体"/>
          <w:szCs w:val="21"/>
        </w:rPr>
      </w:pPr>
      <w:r>
        <w:rPr>
          <w:rFonts w:hint="eastAsia" w:ascii="宋体" w:hAnsi="宋体"/>
          <w:szCs w:val="21"/>
        </w:rPr>
        <w:t>6.1.5 文明施工</w:t>
      </w:r>
    </w:p>
    <w:p w14:paraId="77F869A9">
      <w:pPr>
        <w:spacing w:line="440" w:lineRule="exact"/>
        <w:ind w:firstLine="480"/>
        <w:rPr>
          <w:rFonts w:ascii="宋体" w:hAnsi="宋体"/>
          <w:szCs w:val="21"/>
        </w:rPr>
      </w:pPr>
      <w:r>
        <w:rPr>
          <w:rFonts w:hint="eastAsia" w:ascii="宋体" w:hAnsi="宋体"/>
          <w:szCs w:val="21"/>
        </w:rPr>
        <w:t>合同当事人对文明施工的要求：</w:t>
      </w:r>
      <w:r>
        <w:rPr>
          <w:rFonts w:hint="eastAsia" w:ascii="宋体" w:hAnsi="宋体"/>
          <w:szCs w:val="21"/>
          <w:u w:val="single"/>
        </w:rPr>
        <w:t xml:space="preserve">施工场地符合项目所在地省、市、区、县级有关主管部门规定的标准化施工现场和文明工地要求，同时应满足市政、市容等有关主管部门的有关规定，承包人违反规定造成的损失和罚款由承包人负责 </w:t>
      </w:r>
      <w:r>
        <w:rPr>
          <w:rFonts w:hint="eastAsia" w:ascii="宋体" w:hAnsi="宋体"/>
          <w:szCs w:val="21"/>
        </w:rPr>
        <w:t>。</w:t>
      </w:r>
    </w:p>
    <w:p w14:paraId="5F1BCF2A">
      <w:pPr>
        <w:spacing w:line="440" w:lineRule="exact"/>
        <w:ind w:firstLine="480"/>
        <w:rPr>
          <w:rFonts w:ascii="宋体" w:hAnsi="宋体"/>
          <w:szCs w:val="21"/>
        </w:rPr>
      </w:pPr>
      <w:r>
        <w:rPr>
          <w:rFonts w:hint="eastAsia" w:ascii="宋体" w:hAnsi="宋体"/>
          <w:szCs w:val="21"/>
        </w:rPr>
        <w:t>6.1.6 关于安全文明施工费支付比例和支付期限的约定：</w:t>
      </w:r>
      <w:r>
        <w:rPr>
          <w:rFonts w:hint="eastAsia" w:ascii="宋体" w:hAnsi="宋体"/>
          <w:szCs w:val="21"/>
          <w:u w:val="single"/>
        </w:rPr>
        <w:t>支付工程预付款时，同时支付安全文明施工基本费的60%，其余部分按照提前安排的原则进行分解，于工程竣工前包含在工程款内付清(发包人不单独支付该费用)，安全文明施工费的支付和到账时间不能免除承包人的安全责任</w:t>
      </w:r>
      <w:r>
        <w:rPr>
          <w:rFonts w:hint="eastAsia" w:ascii="宋体" w:hAnsi="宋体"/>
          <w:szCs w:val="21"/>
        </w:rPr>
        <w:t>。</w:t>
      </w:r>
    </w:p>
    <w:p w14:paraId="4BAFB047">
      <w:pPr>
        <w:spacing w:line="440" w:lineRule="exact"/>
        <w:ind w:firstLine="480"/>
        <w:rPr>
          <w:rFonts w:ascii="宋体" w:hAnsi="宋体"/>
          <w:szCs w:val="21"/>
        </w:rPr>
      </w:pPr>
      <w:r>
        <w:rPr>
          <w:rFonts w:hint="eastAsia" w:ascii="宋体" w:hAnsi="宋体"/>
          <w:szCs w:val="21"/>
        </w:rPr>
        <w:t>6.1.7 承包人及其现场施工人员必须遵守发包人的管理规定，服从发包人的现场指挥。</w:t>
      </w:r>
    </w:p>
    <w:p w14:paraId="0F169455">
      <w:pPr>
        <w:spacing w:line="440" w:lineRule="exact"/>
        <w:ind w:firstLine="480"/>
        <w:rPr>
          <w:rFonts w:ascii="宋体" w:hAnsi="宋体"/>
          <w:szCs w:val="21"/>
        </w:rPr>
      </w:pPr>
      <w:r>
        <w:rPr>
          <w:rFonts w:hint="eastAsia" w:ascii="宋体" w:hAnsi="宋体"/>
          <w:szCs w:val="21"/>
        </w:rPr>
        <w:t>6.1.8 承包人施工过程中，必须维护发包人的良好社会形象，不得损害发包人的声誉，否则，发包人有权要求承包人立即纠正并赔偿发包人损失，承包人拒不纠正的，发包人有权解除本合同并追究承包人的违约责任。</w:t>
      </w:r>
    </w:p>
    <w:bookmarkEnd w:id="652"/>
    <w:bookmarkEnd w:id="653"/>
    <w:bookmarkEnd w:id="654"/>
    <w:bookmarkEnd w:id="655"/>
    <w:bookmarkEnd w:id="656"/>
    <w:bookmarkEnd w:id="657"/>
    <w:bookmarkEnd w:id="658"/>
    <w:p w14:paraId="2DEF9856">
      <w:pPr>
        <w:keepNext/>
        <w:keepLines/>
        <w:spacing w:before="120" w:after="120" w:line="440" w:lineRule="exact"/>
        <w:ind w:firstLine="482"/>
        <w:outlineLvl w:val="3"/>
        <w:rPr>
          <w:rFonts w:ascii="宋体" w:hAnsi="宋体"/>
          <w:b/>
          <w:color w:val="000000"/>
        </w:rPr>
      </w:pPr>
      <w:bookmarkStart w:id="661" w:name="_Toc351203639"/>
      <w:r>
        <w:rPr>
          <w:rFonts w:hint="eastAsia" w:ascii="宋体" w:hAnsi="宋体"/>
          <w:b/>
          <w:color w:val="000000"/>
        </w:rPr>
        <w:t>7. 工期和进度</w:t>
      </w:r>
      <w:bookmarkEnd w:id="661"/>
    </w:p>
    <w:p w14:paraId="4966A50A">
      <w:pPr>
        <w:spacing w:after="120" w:line="440" w:lineRule="exact"/>
        <w:ind w:firstLine="482"/>
        <w:rPr>
          <w:rFonts w:ascii="宋体" w:hAnsi="宋体"/>
          <w:b/>
          <w:color w:val="000000"/>
        </w:rPr>
      </w:pPr>
      <w:r>
        <w:rPr>
          <w:rFonts w:hint="eastAsia" w:ascii="宋体" w:hAnsi="宋体"/>
          <w:b/>
          <w:color w:val="000000"/>
        </w:rPr>
        <w:t>7.1 施工组织设计</w:t>
      </w:r>
    </w:p>
    <w:p w14:paraId="5FED62C2">
      <w:pPr>
        <w:autoSpaceDE w:val="0"/>
        <w:autoSpaceDN w:val="0"/>
        <w:spacing w:line="440" w:lineRule="exact"/>
        <w:ind w:firstLine="480"/>
        <w:rPr>
          <w:rFonts w:ascii="宋体" w:hAnsi="宋体"/>
          <w:color w:val="000000"/>
          <w:szCs w:val="21"/>
        </w:rPr>
      </w:pPr>
      <w:r>
        <w:rPr>
          <w:rFonts w:hint="eastAsia" w:ascii="宋体" w:hAnsi="宋体"/>
          <w:szCs w:val="21"/>
        </w:rPr>
        <w:t xml:space="preserve">7.1.1 </w:t>
      </w:r>
      <w:r>
        <w:rPr>
          <w:rFonts w:hint="eastAsia" w:ascii="宋体" w:hAnsi="宋体"/>
          <w:color w:val="000000"/>
          <w:szCs w:val="21"/>
        </w:rPr>
        <w:t>合同当事人约定的施工组织设计应包括的其他内容：</w:t>
      </w:r>
      <w:r>
        <w:rPr>
          <w:rFonts w:hint="eastAsia" w:ascii="宋体" w:hAnsi="宋体"/>
          <w:szCs w:val="21"/>
          <w:u w:val="single"/>
        </w:rPr>
        <w:t>总体施工组织设计及分期工程施工组织设计</w:t>
      </w:r>
      <w:r>
        <w:rPr>
          <w:rFonts w:hint="eastAsia" w:ascii="宋体" w:hAnsi="宋体"/>
          <w:szCs w:val="21"/>
        </w:rPr>
        <w:t>。</w:t>
      </w:r>
    </w:p>
    <w:p w14:paraId="36B16961">
      <w:pPr>
        <w:autoSpaceDE w:val="0"/>
        <w:autoSpaceDN w:val="0"/>
        <w:spacing w:line="440" w:lineRule="exact"/>
        <w:ind w:firstLine="480"/>
        <w:rPr>
          <w:rFonts w:ascii="宋体" w:hAnsi="宋体"/>
          <w:color w:val="000000"/>
          <w:szCs w:val="21"/>
        </w:rPr>
      </w:pPr>
      <w:r>
        <w:rPr>
          <w:rFonts w:hint="eastAsia" w:ascii="宋体" w:hAnsi="宋体"/>
          <w:szCs w:val="21"/>
        </w:rPr>
        <w:t>7.1.2</w:t>
      </w:r>
      <w:r>
        <w:rPr>
          <w:rFonts w:hint="eastAsia" w:ascii="宋体" w:hAnsi="宋体"/>
          <w:color w:val="000000"/>
          <w:szCs w:val="21"/>
        </w:rPr>
        <w:t xml:space="preserve"> 施工组织设计的提交和修改</w:t>
      </w:r>
    </w:p>
    <w:p w14:paraId="5232EC14">
      <w:pPr>
        <w:autoSpaceDE w:val="0"/>
        <w:autoSpaceDN w:val="0"/>
        <w:spacing w:line="440" w:lineRule="exact"/>
        <w:ind w:firstLine="480"/>
        <w:rPr>
          <w:rFonts w:ascii="宋体" w:hAnsi="宋体"/>
          <w:szCs w:val="21"/>
        </w:rPr>
      </w:pPr>
      <w:r>
        <w:rPr>
          <w:rFonts w:hint="eastAsia" w:ascii="宋体" w:hAnsi="宋体"/>
          <w:color w:val="000000"/>
          <w:szCs w:val="21"/>
        </w:rPr>
        <w:t>承包人提交详细施工组织设计的期限的约定：</w:t>
      </w:r>
      <w:r>
        <w:rPr>
          <w:rFonts w:hint="eastAsia" w:ascii="宋体" w:hAnsi="宋体"/>
          <w:szCs w:val="21"/>
          <w:u w:val="single"/>
        </w:rPr>
        <w:t>开工令签发后7天内</w:t>
      </w:r>
      <w:r>
        <w:rPr>
          <w:rFonts w:hint="eastAsia" w:ascii="宋体" w:hAnsi="宋体"/>
          <w:szCs w:val="21"/>
        </w:rPr>
        <w:t>。</w:t>
      </w:r>
    </w:p>
    <w:p w14:paraId="25A95991">
      <w:pPr>
        <w:spacing w:line="440" w:lineRule="exact"/>
        <w:ind w:firstLine="480"/>
        <w:rPr>
          <w:rFonts w:ascii="宋体" w:hAnsi="宋体"/>
          <w:color w:val="000000"/>
          <w:szCs w:val="21"/>
        </w:rPr>
      </w:pPr>
      <w:r>
        <w:rPr>
          <w:rFonts w:hint="eastAsia" w:ascii="宋体" w:hAnsi="宋体"/>
          <w:color w:val="000000"/>
          <w:szCs w:val="21"/>
        </w:rPr>
        <w:t>发包人和监理人在收到详细的施工组织设计后确认或提出修改意见的期限：</w:t>
      </w:r>
      <w:r>
        <w:rPr>
          <w:rFonts w:hint="eastAsia" w:ascii="宋体" w:hAnsi="宋体"/>
          <w:szCs w:val="21"/>
          <w:u w:val="single"/>
        </w:rPr>
        <w:t>收到后7天内</w:t>
      </w:r>
      <w:r>
        <w:rPr>
          <w:rFonts w:hint="eastAsia" w:ascii="宋体" w:hAnsi="宋体"/>
          <w:szCs w:val="21"/>
        </w:rPr>
        <w:t>。</w:t>
      </w:r>
    </w:p>
    <w:p w14:paraId="4E5669F8">
      <w:pPr>
        <w:spacing w:after="120" w:line="440" w:lineRule="exact"/>
        <w:ind w:firstLine="482"/>
        <w:rPr>
          <w:rFonts w:ascii="宋体" w:hAnsi="宋体"/>
          <w:b/>
          <w:color w:val="000000"/>
        </w:rPr>
      </w:pPr>
      <w:r>
        <w:rPr>
          <w:rFonts w:hint="eastAsia" w:ascii="宋体" w:hAnsi="宋体"/>
          <w:b/>
          <w:color w:val="000000"/>
        </w:rPr>
        <w:t>7</w:t>
      </w:r>
      <w:bookmarkStart w:id="662" w:name="_Toc312678005"/>
      <w:bookmarkStart w:id="663" w:name="_Toc297216173"/>
      <w:bookmarkStart w:id="664" w:name="_Toc312677479"/>
      <w:bookmarkStart w:id="665" w:name="_Toc304295541"/>
      <w:bookmarkStart w:id="666" w:name="_Toc297123514"/>
      <w:bookmarkStart w:id="667" w:name="_Toc300934966"/>
      <w:bookmarkStart w:id="668" w:name="_Toc303539123"/>
      <w:r>
        <w:rPr>
          <w:rFonts w:hint="eastAsia" w:ascii="宋体" w:hAnsi="宋体"/>
          <w:b/>
          <w:color w:val="000000"/>
        </w:rPr>
        <w:t>.2 施工进度计划</w:t>
      </w:r>
    </w:p>
    <w:p w14:paraId="6E67E421">
      <w:pPr>
        <w:spacing w:line="440" w:lineRule="exact"/>
        <w:ind w:firstLine="480"/>
        <w:rPr>
          <w:rFonts w:ascii="宋体" w:hAnsi="宋体"/>
          <w:color w:val="000000"/>
          <w:szCs w:val="21"/>
        </w:rPr>
      </w:pPr>
      <w:r>
        <w:rPr>
          <w:rFonts w:hint="eastAsia" w:ascii="宋体" w:hAnsi="宋体"/>
          <w:color w:val="000000"/>
          <w:szCs w:val="21"/>
        </w:rPr>
        <w:t>7.2.2 施工进度计划的修订</w:t>
      </w:r>
    </w:p>
    <w:p w14:paraId="22B9A1B9">
      <w:pPr>
        <w:spacing w:line="440" w:lineRule="exact"/>
        <w:ind w:firstLine="480"/>
        <w:rPr>
          <w:rFonts w:ascii="宋体" w:hAnsi="宋体"/>
          <w:color w:val="000000"/>
          <w:szCs w:val="21"/>
        </w:rPr>
      </w:pPr>
      <w:r>
        <w:rPr>
          <w:rFonts w:hint="eastAsia" w:ascii="宋体" w:hAnsi="宋体"/>
          <w:color w:val="000000"/>
          <w:szCs w:val="21"/>
        </w:rPr>
        <w:t>发包人和监理人在收到修订的施工进度计划后确认或提出修改意见的期限：</w:t>
      </w:r>
      <w:r>
        <w:rPr>
          <w:rFonts w:hint="eastAsia" w:ascii="宋体" w:hAnsi="宋体"/>
          <w:szCs w:val="21"/>
          <w:u w:val="single"/>
        </w:rPr>
        <w:t>收到后7天内</w:t>
      </w:r>
      <w:r>
        <w:rPr>
          <w:rFonts w:hint="eastAsia" w:ascii="宋体" w:hAnsi="宋体"/>
          <w:szCs w:val="21"/>
        </w:rPr>
        <w:t>。</w:t>
      </w:r>
    </w:p>
    <w:p w14:paraId="22C6F790">
      <w:pPr>
        <w:spacing w:after="120" w:line="440" w:lineRule="exact"/>
        <w:ind w:firstLine="482"/>
        <w:rPr>
          <w:rFonts w:ascii="宋体" w:hAnsi="宋体"/>
          <w:b/>
          <w:color w:val="000000"/>
        </w:rPr>
      </w:pPr>
      <w:r>
        <w:rPr>
          <w:rFonts w:hint="eastAsia" w:ascii="宋体" w:hAnsi="宋体"/>
          <w:b/>
          <w:color w:val="000000"/>
        </w:rPr>
        <w:t>7.3 开工</w:t>
      </w:r>
    </w:p>
    <w:p w14:paraId="28B89556">
      <w:pPr>
        <w:spacing w:line="440" w:lineRule="exact"/>
        <w:ind w:firstLine="480"/>
        <w:rPr>
          <w:rFonts w:ascii="宋体" w:hAnsi="宋体"/>
          <w:color w:val="000000"/>
          <w:szCs w:val="21"/>
        </w:rPr>
      </w:pPr>
      <w:r>
        <w:rPr>
          <w:rFonts w:hint="eastAsia" w:ascii="宋体" w:hAnsi="宋体"/>
          <w:color w:val="000000"/>
          <w:szCs w:val="21"/>
        </w:rPr>
        <w:t>7.3.1 开工准备</w:t>
      </w:r>
    </w:p>
    <w:p w14:paraId="3F208064">
      <w:pPr>
        <w:spacing w:line="440" w:lineRule="exact"/>
        <w:ind w:firstLine="480"/>
        <w:rPr>
          <w:rFonts w:ascii="宋体" w:hAnsi="宋体"/>
          <w:szCs w:val="21"/>
          <w:u w:val="single"/>
        </w:rPr>
      </w:pPr>
      <w:r>
        <w:rPr>
          <w:rFonts w:hint="eastAsia" w:ascii="宋体" w:hAnsi="宋体"/>
          <w:color w:val="000000"/>
          <w:szCs w:val="21"/>
        </w:rPr>
        <w:t>关于承包人提交工程开工报审表的期限：</w:t>
      </w:r>
      <w:r>
        <w:rPr>
          <w:rFonts w:hint="eastAsia" w:ascii="宋体" w:hAnsi="宋体"/>
          <w:szCs w:val="21"/>
          <w:u w:val="single"/>
        </w:rPr>
        <w:t>第一次工地例会后7天内</w:t>
      </w:r>
      <w:r>
        <w:rPr>
          <w:rFonts w:hint="eastAsia" w:ascii="宋体" w:hAnsi="宋体"/>
          <w:szCs w:val="21"/>
        </w:rPr>
        <w:t>。</w:t>
      </w:r>
    </w:p>
    <w:p w14:paraId="10A26B7F">
      <w:pPr>
        <w:spacing w:line="440" w:lineRule="exact"/>
        <w:ind w:firstLine="480"/>
        <w:rPr>
          <w:rFonts w:ascii="宋体" w:hAnsi="宋体"/>
          <w:color w:val="000000"/>
          <w:szCs w:val="21"/>
        </w:rPr>
      </w:pPr>
      <w:r>
        <w:rPr>
          <w:rFonts w:hint="eastAsia" w:ascii="宋体" w:hAnsi="宋体"/>
          <w:color w:val="000000"/>
          <w:szCs w:val="21"/>
        </w:rPr>
        <w:t>关于发包人应完成的其他开工准备工作及期限：</w:t>
      </w:r>
      <w:r>
        <w:rPr>
          <w:rFonts w:hint="eastAsia" w:ascii="宋体" w:hAnsi="宋体"/>
          <w:szCs w:val="21"/>
          <w:u w:val="single"/>
        </w:rPr>
        <w:t>第一次工地例会后7天内</w:t>
      </w:r>
      <w:r>
        <w:rPr>
          <w:rFonts w:hint="eastAsia" w:ascii="宋体" w:hAnsi="宋体"/>
          <w:szCs w:val="21"/>
        </w:rPr>
        <w:t>。</w:t>
      </w:r>
    </w:p>
    <w:p w14:paraId="5DE63575">
      <w:pPr>
        <w:spacing w:line="440" w:lineRule="exact"/>
        <w:ind w:firstLine="480"/>
        <w:rPr>
          <w:rFonts w:ascii="宋体" w:hAnsi="宋体"/>
          <w:szCs w:val="21"/>
        </w:rPr>
      </w:pPr>
      <w:r>
        <w:rPr>
          <w:rFonts w:hint="eastAsia" w:ascii="宋体" w:hAnsi="宋体"/>
          <w:color w:val="000000"/>
          <w:szCs w:val="21"/>
        </w:rPr>
        <w:t>关于承包人应完成的其他开工准备工作及期限：</w:t>
      </w:r>
      <w:r>
        <w:rPr>
          <w:rFonts w:hint="eastAsia" w:ascii="宋体" w:hAnsi="宋体"/>
          <w:szCs w:val="21"/>
          <w:u w:val="single"/>
        </w:rPr>
        <w:t xml:space="preserve">第一次工地例会后7天内  </w:t>
      </w:r>
      <w:r>
        <w:rPr>
          <w:rFonts w:hint="eastAsia" w:ascii="宋体" w:hAnsi="宋体"/>
          <w:szCs w:val="21"/>
        </w:rPr>
        <w:t>。</w:t>
      </w:r>
    </w:p>
    <w:p w14:paraId="4BE02E10">
      <w:pPr>
        <w:spacing w:line="440" w:lineRule="exact"/>
        <w:ind w:firstLine="480"/>
        <w:rPr>
          <w:rFonts w:ascii="宋体" w:hAnsi="宋体"/>
          <w:color w:val="000000"/>
          <w:szCs w:val="21"/>
        </w:rPr>
      </w:pPr>
      <w:r>
        <w:rPr>
          <w:rFonts w:hint="eastAsia" w:ascii="宋体" w:hAnsi="宋体"/>
          <w:color w:val="000000"/>
          <w:szCs w:val="21"/>
        </w:rPr>
        <w:t>7.3.2开工通知</w:t>
      </w:r>
    </w:p>
    <w:p w14:paraId="11E9D2B4">
      <w:pPr>
        <w:spacing w:line="440" w:lineRule="exact"/>
        <w:ind w:firstLine="480"/>
        <w:rPr>
          <w:rFonts w:ascii="宋体" w:hAnsi="宋体"/>
          <w:color w:val="000000"/>
          <w:szCs w:val="21"/>
        </w:rPr>
      </w:pPr>
      <w:r>
        <w:rPr>
          <w:rFonts w:hint="eastAsia" w:ascii="宋体" w:hAnsi="宋体"/>
          <w:color w:val="000000"/>
          <w:szCs w:val="21"/>
        </w:rPr>
        <w:t>因发包人原因造成监理人未能在计划开工日期之日起</w:t>
      </w:r>
      <w:r>
        <w:rPr>
          <w:rFonts w:hint="eastAsia" w:ascii="宋体" w:hAnsi="宋体"/>
          <w:szCs w:val="21"/>
          <w:u w:val="single"/>
        </w:rPr>
        <w:t>360</w:t>
      </w:r>
      <w:r>
        <w:rPr>
          <w:rFonts w:hint="eastAsia" w:ascii="宋体" w:hAnsi="宋体"/>
          <w:color w:val="000000"/>
          <w:szCs w:val="21"/>
        </w:rPr>
        <w:t>天内发出开工通知的，承包人有权提出价格调整要求，或者解除合同。</w:t>
      </w:r>
    </w:p>
    <w:bookmarkEnd w:id="662"/>
    <w:bookmarkEnd w:id="663"/>
    <w:bookmarkEnd w:id="664"/>
    <w:bookmarkEnd w:id="665"/>
    <w:bookmarkEnd w:id="666"/>
    <w:bookmarkEnd w:id="667"/>
    <w:bookmarkEnd w:id="668"/>
    <w:p w14:paraId="63EA9912">
      <w:pPr>
        <w:spacing w:after="120" w:line="440" w:lineRule="exact"/>
        <w:ind w:firstLine="482"/>
        <w:rPr>
          <w:rFonts w:ascii="宋体" w:hAnsi="宋体"/>
          <w:b/>
          <w:color w:val="000000"/>
        </w:rPr>
      </w:pPr>
      <w:r>
        <w:rPr>
          <w:rFonts w:hint="eastAsia" w:ascii="宋体" w:hAnsi="宋体"/>
          <w:b/>
          <w:color w:val="000000"/>
        </w:rPr>
        <w:t>7.4 测量放线</w:t>
      </w:r>
    </w:p>
    <w:p w14:paraId="5D79C744">
      <w:pPr>
        <w:spacing w:line="440" w:lineRule="exact"/>
        <w:ind w:firstLine="480"/>
        <w:rPr>
          <w:rFonts w:ascii="宋体" w:hAnsi="宋体"/>
          <w:szCs w:val="21"/>
          <w:u w:val="single"/>
        </w:rPr>
      </w:pPr>
      <w:r>
        <w:rPr>
          <w:rFonts w:hint="eastAsia" w:ascii="宋体" w:hAnsi="宋体"/>
          <w:szCs w:val="21"/>
        </w:rPr>
        <w:t>7.4.1发包人通过监理人向承包人提供测量基准点、基准线和水准点及其书面资料的期限：</w:t>
      </w:r>
      <w:r>
        <w:rPr>
          <w:rFonts w:hint="eastAsia" w:ascii="宋体" w:hAnsi="宋体"/>
          <w:szCs w:val="21"/>
          <w:u w:val="single"/>
        </w:rPr>
        <w:t>按照通用合同条款执行</w:t>
      </w:r>
      <w:r>
        <w:rPr>
          <w:rFonts w:hint="eastAsia" w:ascii="宋体" w:hAnsi="宋体"/>
          <w:szCs w:val="21"/>
        </w:rPr>
        <w:t>。</w:t>
      </w:r>
    </w:p>
    <w:p w14:paraId="308954F1">
      <w:pPr>
        <w:spacing w:after="120" w:line="440" w:lineRule="exact"/>
        <w:ind w:firstLine="482"/>
        <w:rPr>
          <w:rFonts w:ascii="宋体" w:hAnsi="宋体"/>
          <w:b/>
          <w:color w:val="000000"/>
        </w:rPr>
      </w:pPr>
      <w:r>
        <w:rPr>
          <w:rFonts w:hint="eastAsia" w:ascii="宋体" w:hAnsi="宋体"/>
          <w:b/>
          <w:color w:val="000000"/>
        </w:rPr>
        <w:t>7</w:t>
      </w:r>
      <w:bookmarkStart w:id="669" w:name="_Toc304295546"/>
      <w:bookmarkStart w:id="670" w:name="_Toc300934968"/>
      <w:bookmarkStart w:id="671" w:name="_Toc297123516"/>
      <w:bookmarkStart w:id="672" w:name="_Toc303539125"/>
      <w:bookmarkStart w:id="673" w:name="_Toc297216175"/>
      <w:bookmarkStart w:id="674" w:name="_Toc312678010"/>
      <w:bookmarkStart w:id="675" w:name="_Toc312677484"/>
      <w:r>
        <w:rPr>
          <w:rFonts w:hint="eastAsia" w:ascii="宋体" w:hAnsi="宋体"/>
          <w:b/>
          <w:color w:val="000000"/>
        </w:rPr>
        <w:t>.5 工期延误</w:t>
      </w:r>
    </w:p>
    <w:bookmarkEnd w:id="669"/>
    <w:bookmarkEnd w:id="670"/>
    <w:bookmarkEnd w:id="671"/>
    <w:bookmarkEnd w:id="672"/>
    <w:bookmarkEnd w:id="673"/>
    <w:bookmarkEnd w:id="674"/>
    <w:bookmarkEnd w:id="675"/>
    <w:p w14:paraId="6D317190">
      <w:pPr>
        <w:spacing w:line="440" w:lineRule="exact"/>
        <w:ind w:firstLine="480"/>
        <w:rPr>
          <w:rFonts w:ascii="宋体" w:hAnsi="宋体"/>
          <w:szCs w:val="21"/>
        </w:rPr>
      </w:pPr>
      <w:bookmarkStart w:id="676" w:name="_Toc318581171"/>
      <w:bookmarkStart w:id="677" w:name="_Toc312678014"/>
      <w:r>
        <w:rPr>
          <w:rFonts w:hint="eastAsia" w:ascii="宋体" w:hAnsi="宋体"/>
          <w:szCs w:val="21"/>
        </w:rPr>
        <w:t>7.5.1 因发包人原因导致工期延误</w:t>
      </w:r>
    </w:p>
    <w:p w14:paraId="305E7597">
      <w:pPr>
        <w:spacing w:line="440" w:lineRule="exact"/>
        <w:ind w:firstLine="480"/>
        <w:rPr>
          <w:rFonts w:ascii="宋体" w:hAnsi="宋体"/>
          <w:szCs w:val="21"/>
        </w:rPr>
      </w:pPr>
      <w:r>
        <w:rPr>
          <w:rFonts w:hint="eastAsia" w:ascii="宋体" w:hAnsi="宋体"/>
          <w:szCs w:val="21"/>
        </w:rPr>
        <w:t>（7）因发包人原因导致工期延误的其他情形：</w:t>
      </w:r>
    </w:p>
    <w:p w14:paraId="1956DB44">
      <w:pPr>
        <w:spacing w:line="440" w:lineRule="exact"/>
        <w:ind w:firstLine="480"/>
        <w:rPr>
          <w:rFonts w:ascii="宋体" w:hAnsi="宋体"/>
          <w:szCs w:val="21"/>
        </w:rPr>
      </w:pPr>
      <w:r>
        <w:rPr>
          <w:rFonts w:hint="eastAsia" w:ascii="宋体" w:hAnsi="宋体"/>
          <w:szCs w:val="21"/>
        </w:rPr>
        <w:t>①发包人未能及时提供设计施工变更修改图；</w:t>
      </w:r>
    </w:p>
    <w:p w14:paraId="0E90FAB0">
      <w:pPr>
        <w:spacing w:line="440" w:lineRule="exact"/>
        <w:ind w:firstLine="480"/>
        <w:rPr>
          <w:rFonts w:ascii="宋体" w:hAnsi="宋体"/>
          <w:szCs w:val="21"/>
        </w:rPr>
      </w:pPr>
      <w:r>
        <w:rPr>
          <w:rFonts w:hint="eastAsia" w:ascii="宋体" w:hAnsi="宋体"/>
          <w:szCs w:val="21"/>
        </w:rPr>
        <w:t>②一周内非承包人原因停水、停电、停气造成停工累计超过8小时；　</w:t>
      </w:r>
    </w:p>
    <w:p w14:paraId="0C78CCEB">
      <w:pPr>
        <w:spacing w:line="440" w:lineRule="exact"/>
        <w:ind w:firstLine="480"/>
        <w:rPr>
          <w:rFonts w:ascii="宋体" w:hAnsi="宋体"/>
          <w:szCs w:val="21"/>
        </w:rPr>
      </w:pPr>
      <w:r>
        <w:rPr>
          <w:rFonts w:hint="eastAsia" w:ascii="宋体" w:hAnsi="宋体"/>
          <w:szCs w:val="21"/>
        </w:rPr>
        <w:t>③不可抗力；</w:t>
      </w:r>
    </w:p>
    <w:p w14:paraId="4BA01593">
      <w:pPr>
        <w:spacing w:line="440" w:lineRule="exact"/>
        <w:ind w:firstLine="480"/>
        <w:rPr>
          <w:rFonts w:ascii="宋体" w:hAnsi="宋体"/>
          <w:szCs w:val="21"/>
        </w:rPr>
      </w:pPr>
      <w:r>
        <w:rPr>
          <w:rFonts w:hint="eastAsia" w:ascii="宋体" w:hAnsi="宋体"/>
          <w:szCs w:val="21"/>
        </w:rPr>
        <w:t>④其余按本合同《通用条款》执行。</w:t>
      </w:r>
    </w:p>
    <w:p w14:paraId="4D204E7B">
      <w:pPr>
        <w:spacing w:line="440" w:lineRule="exact"/>
        <w:ind w:firstLine="480"/>
        <w:rPr>
          <w:rFonts w:ascii="宋体" w:hAnsi="宋体"/>
          <w:szCs w:val="21"/>
        </w:rPr>
      </w:pPr>
      <w:r>
        <w:rPr>
          <w:rFonts w:hint="eastAsia" w:ascii="宋体" w:hAnsi="宋体"/>
          <w:szCs w:val="21"/>
        </w:rPr>
        <w:t>7.5.2 因承包人原因导致工期延误</w:t>
      </w:r>
    </w:p>
    <w:p w14:paraId="1E6EACF0">
      <w:pPr>
        <w:spacing w:line="440" w:lineRule="exact"/>
        <w:ind w:firstLine="480"/>
        <w:rPr>
          <w:rFonts w:ascii="宋体" w:hAnsi="宋体"/>
          <w:szCs w:val="21"/>
        </w:rPr>
      </w:pPr>
      <w:r>
        <w:rPr>
          <w:rFonts w:hint="eastAsia" w:ascii="宋体" w:hAnsi="宋体"/>
          <w:szCs w:val="21"/>
        </w:rPr>
        <w:t>因承包人原因造成工期延误，逾期竣工违约金的计算方法为：</w:t>
      </w:r>
    </w:p>
    <w:p w14:paraId="50A7E084">
      <w:pPr>
        <w:spacing w:line="440" w:lineRule="exact"/>
        <w:ind w:firstLine="480"/>
        <w:rPr>
          <w:rFonts w:ascii="宋体" w:hAnsi="宋体"/>
          <w:szCs w:val="21"/>
        </w:rPr>
      </w:pPr>
      <w:r>
        <w:rPr>
          <w:rFonts w:hint="eastAsia" w:ascii="宋体" w:hAnsi="宋体"/>
          <w:szCs w:val="21"/>
        </w:rPr>
        <w:t>每延误一天按照合同价款的万分之二向发包人支付违约金 。</w:t>
      </w:r>
    </w:p>
    <w:p w14:paraId="61BD7AC0">
      <w:pPr>
        <w:spacing w:line="440" w:lineRule="exact"/>
        <w:ind w:firstLine="480"/>
        <w:rPr>
          <w:rFonts w:ascii="宋体" w:hAnsi="宋体"/>
          <w:szCs w:val="21"/>
        </w:rPr>
      </w:pPr>
      <w:r>
        <w:rPr>
          <w:rFonts w:hint="eastAsia" w:ascii="宋体" w:hAnsi="宋体"/>
          <w:szCs w:val="21"/>
        </w:rPr>
        <w:t>因承包人原因造成工期延误，逾期竣工违约金的上限：合同价款的2%。</w:t>
      </w:r>
    </w:p>
    <w:bookmarkEnd w:id="676"/>
    <w:bookmarkEnd w:id="677"/>
    <w:p w14:paraId="2A4A7038">
      <w:pPr>
        <w:spacing w:after="120" w:line="440" w:lineRule="exact"/>
        <w:ind w:firstLine="482"/>
        <w:rPr>
          <w:rFonts w:ascii="宋体" w:hAnsi="宋体"/>
          <w:b/>
          <w:color w:val="000000"/>
        </w:rPr>
      </w:pPr>
      <w:r>
        <w:rPr>
          <w:rFonts w:hint="eastAsia" w:ascii="宋体" w:hAnsi="宋体"/>
          <w:b/>
          <w:color w:val="000000"/>
        </w:rPr>
        <w:t>7</w:t>
      </w:r>
      <w:bookmarkStart w:id="678" w:name="_Toc300934971"/>
      <w:bookmarkStart w:id="679" w:name="_Toc312678015"/>
      <w:bookmarkStart w:id="680" w:name="_Toc297216178"/>
      <w:bookmarkStart w:id="681" w:name="_Toc304295549"/>
      <w:bookmarkStart w:id="682" w:name="_Toc303539128"/>
      <w:bookmarkStart w:id="683" w:name="_Toc297123519"/>
      <w:r>
        <w:rPr>
          <w:rFonts w:hint="eastAsia" w:ascii="宋体" w:hAnsi="宋体"/>
          <w:b/>
          <w:color w:val="000000"/>
        </w:rPr>
        <w:t>.6 不</w:t>
      </w:r>
      <w:bookmarkEnd w:id="678"/>
      <w:bookmarkEnd w:id="679"/>
      <w:bookmarkEnd w:id="680"/>
      <w:bookmarkEnd w:id="681"/>
      <w:bookmarkEnd w:id="682"/>
      <w:bookmarkEnd w:id="683"/>
      <w:r>
        <w:rPr>
          <w:rFonts w:hint="eastAsia" w:ascii="宋体" w:hAnsi="宋体"/>
          <w:b/>
          <w:color w:val="000000"/>
        </w:rPr>
        <w:t>利物质条件</w:t>
      </w:r>
    </w:p>
    <w:p w14:paraId="2CA99733">
      <w:pPr>
        <w:spacing w:line="440" w:lineRule="exact"/>
        <w:ind w:firstLine="480"/>
        <w:rPr>
          <w:rFonts w:ascii="宋体" w:hAnsi="宋体"/>
          <w:szCs w:val="21"/>
        </w:rPr>
      </w:pPr>
      <w:bookmarkStart w:id="684" w:name="_Toc303539129"/>
      <w:bookmarkStart w:id="685" w:name="_Toc304295550"/>
      <w:bookmarkStart w:id="686" w:name="_Toc297216179"/>
      <w:bookmarkStart w:id="687" w:name="_Toc312678016"/>
      <w:bookmarkStart w:id="688" w:name="_Toc318581172"/>
      <w:bookmarkStart w:id="689" w:name="_Toc297123520"/>
      <w:bookmarkStart w:id="690" w:name="_Toc300934972"/>
      <w:r>
        <w:rPr>
          <w:rFonts w:hint="eastAsia" w:ascii="宋体" w:hAnsi="宋体"/>
          <w:szCs w:val="21"/>
        </w:rPr>
        <w:t>不利物质条件的其他情形和有关约定：</w:t>
      </w:r>
      <w:r>
        <w:rPr>
          <w:rFonts w:hint="eastAsia" w:ascii="宋体" w:hAnsi="宋体"/>
          <w:szCs w:val="21"/>
          <w:u w:val="single"/>
        </w:rPr>
        <w:t>（1）地下不明障碍物；(2)古墓或文物；(3)其余按本合同《通用条款》执行</w:t>
      </w:r>
      <w:r>
        <w:rPr>
          <w:rFonts w:hint="eastAsia" w:ascii="宋体" w:hAnsi="宋体"/>
          <w:szCs w:val="21"/>
        </w:rPr>
        <w:t>。</w:t>
      </w:r>
    </w:p>
    <w:bookmarkEnd w:id="684"/>
    <w:bookmarkEnd w:id="685"/>
    <w:bookmarkEnd w:id="686"/>
    <w:bookmarkEnd w:id="687"/>
    <w:bookmarkEnd w:id="688"/>
    <w:bookmarkEnd w:id="689"/>
    <w:bookmarkEnd w:id="690"/>
    <w:p w14:paraId="3E5D7138">
      <w:pPr>
        <w:spacing w:after="120" w:line="440" w:lineRule="exact"/>
        <w:ind w:firstLine="482"/>
        <w:rPr>
          <w:rFonts w:ascii="宋体" w:hAnsi="宋体"/>
          <w:b/>
          <w:color w:val="000000"/>
        </w:rPr>
      </w:pPr>
      <w:r>
        <w:rPr>
          <w:rFonts w:hint="eastAsia" w:ascii="宋体" w:hAnsi="宋体"/>
          <w:b/>
          <w:color w:val="000000"/>
        </w:rPr>
        <w:t>7</w:t>
      </w:r>
      <w:bookmarkStart w:id="691" w:name="_Toc303539130"/>
      <w:bookmarkStart w:id="692" w:name="_Toc304295551"/>
      <w:bookmarkStart w:id="693" w:name="_Toc300934973"/>
      <w:bookmarkStart w:id="694" w:name="_Toc297216180"/>
      <w:bookmarkStart w:id="695" w:name="_Toc312678017"/>
      <w:bookmarkStart w:id="696" w:name="_Toc297123521"/>
      <w:r>
        <w:rPr>
          <w:rFonts w:hint="eastAsia" w:ascii="宋体" w:hAnsi="宋体"/>
          <w:b/>
          <w:color w:val="000000"/>
        </w:rPr>
        <w:t>.7异常恶劣的气候条件</w:t>
      </w:r>
    </w:p>
    <w:bookmarkEnd w:id="691"/>
    <w:bookmarkEnd w:id="692"/>
    <w:bookmarkEnd w:id="693"/>
    <w:bookmarkEnd w:id="694"/>
    <w:bookmarkEnd w:id="695"/>
    <w:bookmarkEnd w:id="696"/>
    <w:p w14:paraId="3F39FE1D">
      <w:pPr>
        <w:spacing w:line="440" w:lineRule="exact"/>
        <w:ind w:firstLine="480"/>
        <w:rPr>
          <w:rFonts w:ascii="宋体" w:hAnsi="宋体"/>
          <w:szCs w:val="21"/>
        </w:rPr>
      </w:pPr>
      <w:r>
        <w:rPr>
          <w:rFonts w:hint="eastAsia" w:ascii="宋体" w:hAnsi="宋体"/>
          <w:szCs w:val="21"/>
        </w:rPr>
        <w:t>发包人和承包人同意以下情形视为异常恶劣的气候条件：</w:t>
      </w:r>
    </w:p>
    <w:p w14:paraId="262123F4">
      <w:pPr>
        <w:spacing w:after="120" w:line="440" w:lineRule="exact"/>
        <w:ind w:firstLine="480"/>
        <w:outlineLvl w:val="0"/>
        <w:rPr>
          <w:rFonts w:ascii="宋体" w:hAnsi="宋体"/>
          <w:szCs w:val="21"/>
        </w:rPr>
      </w:pPr>
      <w:bookmarkStart w:id="697" w:name="_Toc36797934"/>
      <w:r>
        <w:rPr>
          <w:rFonts w:hint="eastAsia" w:ascii="宋体" w:hAnsi="宋体"/>
          <w:szCs w:val="21"/>
        </w:rPr>
        <w:t>（1） 6级以上持续24小时的大风；</w:t>
      </w:r>
    </w:p>
    <w:p w14:paraId="0E4D99C2">
      <w:pPr>
        <w:spacing w:after="120" w:line="440" w:lineRule="exact"/>
        <w:ind w:firstLine="480"/>
        <w:outlineLvl w:val="0"/>
        <w:rPr>
          <w:rFonts w:ascii="宋体" w:hAnsi="宋体"/>
          <w:szCs w:val="21"/>
        </w:rPr>
      </w:pPr>
      <w:r>
        <w:rPr>
          <w:rFonts w:hint="eastAsia" w:ascii="宋体" w:hAnsi="宋体"/>
          <w:szCs w:val="21"/>
        </w:rPr>
        <w:t>（2） 持续降雨24小时且降雨量200mm以上；下雪为30mm以上；</w:t>
      </w:r>
    </w:p>
    <w:p w14:paraId="3736A2D5">
      <w:pPr>
        <w:spacing w:after="120" w:line="440" w:lineRule="exact"/>
        <w:ind w:firstLine="480"/>
        <w:outlineLvl w:val="0"/>
        <w:rPr>
          <w:rFonts w:ascii="宋体" w:hAnsi="宋体"/>
          <w:szCs w:val="21"/>
        </w:rPr>
      </w:pPr>
      <w:r>
        <w:rPr>
          <w:rFonts w:hint="eastAsia" w:ascii="宋体" w:hAnsi="宋体"/>
          <w:szCs w:val="21"/>
        </w:rPr>
        <w:t>（3） 40℃及以上持续24小时的高温。</w:t>
      </w:r>
    </w:p>
    <w:p w14:paraId="32330FDA">
      <w:pPr>
        <w:spacing w:after="120" w:line="440" w:lineRule="exact"/>
        <w:ind w:firstLine="480"/>
        <w:outlineLvl w:val="0"/>
        <w:rPr>
          <w:rFonts w:ascii="宋体" w:hAnsi="宋体"/>
          <w:szCs w:val="21"/>
        </w:rPr>
      </w:pPr>
      <w:r>
        <w:rPr>
          <w:rFonts w:hint="eastAsia" w:ascii="宋体" w:hAnsi="宋体"/>
          <w:szCs w:val="21"/>
        </w:rPr>
        <w:t>（4） 日降雨量大于50mm的雨日超过1天；</w:t>
      </w:r>
    </w:p>
    <w:p w14:paraId="7AEA3BD8">
      <w:pPr>
        <w:spacing w:after="120" w:line="440" w:lineRule="exact"/>
        <w:ind w:firstLine="480"/>
        <w:outlineLvl w:val="0"/>
        <w:rPr>
          <w:rFonts w:ascii="宋体" w:hAnsi="宋体"/>
          <w:szCs w:val="21"/>
        </w:rPr>
      </w:pPr>
      <w:r>
        <w:rPr>
          <w:rFonts w:hint="eastAsia" w:ascii="宋体" w:hAnsi="宋体"/>
          <w:szCs w:val="21"/>
        </w:rPr>
        <w:t>（5） 日气温超过38℃的高温大于3天或低于-20℃的严寒大于3天；</w:t>
      </w:r>
    </w:p>
    <w:p w14:paraId="21529938">
      <w:pPr>
        <w:spacing w:after="120" w:line="440" w:lineRule="exact"/>
        <w:ind w:firstLine="482"/>
        <w:outlineLvl w:val="0"/>
        <w:rPr>
          <w:rFonts w:ascii="宋体" w:hAnsi="宋体"/>
          <w:b/>
          <w:color w:val="000000"/>
        </w:rPr>
      </w:pPr>
      <w:r>
        <w:rPr>
          <w:rFonts w:hint="eastAsia" w:ascii="宋体" w:hAnsi="宋体"/>
          <w:b/>
          <w:color w:val="000000"/>
        </w:rPr>
        <w:t>7.9 提前竣工的奖励</w:t>
      </w:r>
      <w:bookmarkEnd w:id="697"/>
    </w:p>
    <w:p w14:paraId="62E37DB7">
      <w:pPr>
        <w:spacing w:line="440" w:lineRule="exact"/>
        <w:ind w:firstLine="480"/>
        <w:rPr>
          <w:rFonts w:ascii="宋体" w:hAnsi="宋体"/>
          <w:szCs w:val="21"/>
        </w:rPr>
      </w:pPr>
      <w:r>
        <w:rPr>
          <w:rFonts w:hint="eastAsia" w:ascii="宋体" w:hAnsi="宋体"/>
          <w:szCs w:val="21"/>
        </w:rPr>
        <w:t>7.9.2提前竣工的奖励：</w:t>
      </w:r>
      <w:r>
        <w:rPr>
          <w:rFonts w:hint="eastAsia" w:ascii="宋体" w:hAnsi="宋体"/>
          <w:szCs w:val="21"/>
          <w:u w:val="single"/>
        </w:rPr>
        <w:t>无</w:t>
      </w:r>
      <w:r>
        <w:rPr>
          <w:rFonts w:hint="eastAsia" w:ascii="宋体" w:hAnsi="宋体"/>
          <w:szCs w:val="21"/>
        </w:rPr>
        <w:t>。</w:t>
      </w:r>
    </w:p>
    <w:p w14:paraId="43A48318">
      <w:pPr>
        <w:keepNext/>
        <w:keepLines/>
        <w:spacing w:before="120" w:after="120" w:line="440" w:lineRule="exact"/>
        <w:ind w:firstLine="482"/>
        <w:outlineLvl w:val="3"/>
        <w:rPr>
          <w:rFonts w:ascii="宋体" w:hAnsi="宋体"/>
          <w:b/>
          <w:color w:val="000000"/>
        </w:rPr>
      </w:pPr>
      <w:bookmarkStart w:id="698" w:name="_Toc351203640"/>
      <w:r>
        <w:rPr>
          <w:rFonts w:hint="eastAsia" w:ascii="宋体" w:hAnsi="宋体"/>
          <w:b/>
          <w:color w:val="000000"/>
        </w:rPr>
        <w:t>8. 材料与设备</w:t>
      </w:r>
      <w:bookmarkEnd w:id="698"/>
    </w:p>
    <w:bookmarkEnd w:id="641"/>
    <w:bookmarkEnd w:id="642"/>
    <w:bookmarkEnd w:id="643"/>
    <w:bookmarkEnd w:id="644"/>
    <w:bookmarkEnd w:id="645"/>
    <w:bookmarkEnd w:id="646"/>
    <w:bookmarkEnd w:id="647"/>
    <w:bookmarkEnd w:id="648"/>
    <w:bookmarkEnd w:id="649"/>
    <w:bookmarkEnd w:id="650"/>
    <w:p w14:paraId="04AA0ADF">
      <w:pPr>
        <w:spacing w:after="120" w:line="440" w:lineRule="exact"/>
        <w:ind w:firstLine="482"/>
        <w:rPr>
          <w:rFonts w:ascii="宋体" w:hAnsi="宋体"/>
          <w:b/>
          <w:color w:val="000000"/>
        </w:rPr>
      </w:pPr>
      <w:r>
        <w:rPr>
          <w:rFonts w:hint="eastAsia" w:ascii="宋体" w:hAnsi="宋体"/>
          <w:b/>
          <w:color w:val="000000"/>
        </w:rPr>
        <w:t>8</w:t>
      </w:r>
      <w:bookmarkStart w:id="699" w:name="_Toc296891207"/>
      <w:bookmarkStart w:id="700" w:name="_Toc296346668"/>
      <w:bookmarkStart w:id="701" w:name="_Toc292559877"/>
      <w:bookmarkStart w:id="702" w:name="_Toc292559372"/>
      <w:bookmarkStart w:id="703" w:name="_Toc303539136"/>
      <w:bookmarkStart w:id="704" w:name="_Toc296944506"/>
      <w:bookmarkStart w:id="705" w:name="_Toc297048353"/>
      <w:bookmarkStart w:id="706" w:name="_Toc304295556"/>
      <w:bookmarkStart w:id="707" w:name="_Toc296347166"/>
      <w:bookmarkStart w:id="708" w:name="_Toc312677493"/>
      <w:bookmarkStart w:id="709" w:name="_Toc280868654"/>
      <w:bookmarkStart w:id="710" w:name="_Toc296503167"/>
      <w:bookmarkStart w:id="711" w:name="_Toc312678019"/>
      <w:bookmarkStart w:id="712" w:name="_Toc296890995"/>
      <w:bookmarkStart w:id="713" w:name="_Toc297123527"/>
      <w:bookmarkStart w:id="714" w:name="_Toc297120467"/>
      <w:bookmarkStart w:id="715" w:name="_Toc297216186"/>
      <w:bookmarkStart w:id="716" w:name="_Toc300934979"/>
      <w:bookmarkStart w:id="717" w:name="_Toc280868655"/>
      <w:bookmarkStart w:id="718" w:name="_Toc280868656"/>
      <w:bookmarkStart w:id="719" w:name="_Toc267251424"/>
      <w:r>
        <w:rPr>
          <w:rFonts w:hint="eastAsia" w:ascii="宋体" w:hAnsi="宋体"/>
          <w:b/>
          <w:color w:val="000000"/>
        </w:rPr>
        <w:t>.4材料与工程设备的保管与使用</w:t>
      </w:r>
    </w:p>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p w14:paraId="16F05DBB">
      <w:pPr>
        <w:spacing w:line="440" w:lineRule="exact"/>
        <w:ind w:firstLine="480"/>
        <w:rPr>
          <w:rFonts w:ascii="宋体" w:hAnsi="宋体"/>
          <w:szCs w:val="21"/>
        </w:rPr>
      </w:pPr>
      <w:r>
        <w:rPr>
          <w:rFonts w:hint="eastAsia" w:ascii="宋体" w:hAnsi="宋体"/>
          <w:szCs w:val="21"/>
        </w:rPr>
        <w:t>8</w:t>
      </w:r>
      <w:bookmarkStart w:id="720" w:name="_Toc292559373"/>
      <w:bookmarkStart w:id="721" w:name="_Toc292559878"/>
      <w:bookmarkStart w:id="722" w:name="_Toc296944507"/>
      <w:bookmarkStart w:id="723" w:name="_Toc304295557"/>
      <w:bookmarkStart w:id="724" w:name="_Toc318581173"/>
      <w:bookmarkStart w:id="725" w:name="_Toc297123528"/>
      <w:bookmarkStart w:id="726" w:name="_Toc296890996"/>
      <w:bookmarkStart w:id="727" w:name="_Toc297216187"/>
      <w:bookmarkStart w:id="728" w:name="_Toc303539137"/>
      <w:bookmarkStart w:id="729" w:name="_Toc296346669"/>
      <w:bookmarkStart w:id="730" w:name="_Toc312678020"/>
      <w:bookmarkStart w:id="731" w:name="_Toc312677494"/>
      <w:bookmarkStart w:id="732" w:name="_Toc296891208"/>
      <w:bookmarkStart w:id="733" w:name="_Toc297120468"/>
      <w:bookmarkStart w:id="734" w:name="_Toc297048354"/>
      <w:bookmarkStart w:id="735" w:name="_Toc296503168"/>
      <w:bookmarkStart w:id="736" w:name="_Toc296347167"/>
      <w:bookmarkStart w:id="737" w:name="_Toc300934980"/>
      <w:r>
        <w:rPr>
          <w:rFonts w:hint="eastAsia" w:ascii="宋体" w:hAnsi="宋体"/>
          <w:szCs w:val="21"/>
        </w:rPr>
        <w:t>.4.1发包人供应的材料设备的保管费用的承担：</w:t>
      </w:r>
      <w:bookmarkEnd w:id="720"/>
      <w:bookmarkEnd w:id="721"/>
      <w:r>
        <w:rPr>
          <w:rFonts w:hint="eastAsia" w:ascii="宋体" w:hAnsi="宋体"/>
          <w:szCs w:val="21"/>
          <w:u w:val="single"/>
        </w:rPr>
        <w:t>无要求</w:t>
      </w:r>
      <w:r>
        <w:rPr>
          <w:rFonts w:hint="eastAsia" w:ascii="宋体" w:hAnsi="宋体"/>
          <w:color w:val="000000"/>
          <w:szCs w:val="21"/>
        </w:rPr>
        <w:t>。</w:t>
      </w:r>
    </w:p>
    <w:p w14:paraId="22D79DE6">
      <w:pPr>
        <w:spacing w:after="120" w:line="440" w:lineRule="exact"/>
        <w:ind w:firstLine="482"/>
        <w:outlineLvl w:val="0"/>
        <w:rPr>
          <w:rFonts w:ascii="宋体" w:hAnsi="宋体"/>
          <w:b/>
          <w:color w:val="000000"/>
        </w:rPr>
      </w:pPr>
      <w:bookmarkStart w:id="738" w:name="_Toc36797935"/>
      <w:r>
        <w:rPr>
          <w:rFonts w:hint="eastAsia" w:ascii="宋体" w:hAnsi="宋体"/>
          <w:b/>
          <w:color w:val="000000"/>
        </w:rPr>
        <w:t>8.6 样品</w:t>
      </w:r>
      <w:bookmarkEnd w:id="738"/>
    </w:p>
    <w:p w14:paraId="7934BA87">
      <w:pPr>
        <w:autoSpaceDE w:val="0"/>
        <w:autoSpaceDN w:val="0"/>
        <w:spacing w:line="440" w:lineRule="exact"/>
        <w:ind w:firstLine="480"/>
        <w:rPr>
          <w:rFonts w:ascii="宋体" w:hAnsi="宋体"/>
          <w:color w:val="000000"/>
          <w:szCs w:val="21"/>
        </w:rPr>
      </w:pPr>
      <w:r>
        <w:rPr>
          <w:rFonts w:hint="eastAsia" w:ascii="宋体" w:hAnsi="宋体"/>
          <w:color w:val="000000"/>
          <w:szCs w:val="21"/>
        </w:rPr>
        <w:t>8.6.1 样品的报送与封存</w:t>
      </w:r>
    </w:p>
    <w:p w14:paraId="01203BFF">
      <w:pPr>
        <w:autoSpaceDE w:val="0"/>
        <w:autoSpaceDN w:val="0"/>
        <w:spacing w:line="440" w:lineRule="exact"/>
        <w:ind w:firstLine="480"/>
        <w:rPr>
          <w:rFonts w:ascii="宋体" w:hAnsi="宋体"/>
          <w:szCs w:val="21"/>
          <w:u w:val="single"/>
        </w:rPr>
      </w:pPr>
      <w:r>
        <w:rPr>
          <w:rFonts w:hint="eastAsia" w:ascii="宋体" w:hAnsi="宋体"/>
          <w:color w:val="000000"/>
          <w:szCs w:val="21"/>
        </w:rPr>
        <w:t>需要承包人报送样品的材料或工程设备，样品的种类、名称、规格、数量要求：</w:t>
      </w:r>
      <w:r>
        <w:rPr>
          <w:rFonts w:hint="eastAsia" w:ascii="宋体" w:hAnsi="宋体"/>
          <w:szCs w:val="21"/>
          <w:u w:val="single"/>
        </w:rPr>
        <w:t>（1）用于本工程之任何材料，在使用前必须得到发包人授权的监理工程师认可或批准。在施工前，承包人须提供各有关物料之样本作认可之用。发包人对任何样本之认可或批准，并不会解除承包人按合同须履行之责任。</w:t>
      </w:r>
    </w:p>
    <w:p w14:paraId="62B639D8">
      <w:pPr>
        <w:autoSpaceDE w:val="0"/>
        <w:autoSpaceDN w:val="0"/>
        <w:spacing w:line="440" w:lineRule="exact"/>
        <w:ind w:firstLine="480"/>
        <w:rPr>
          <w:rFonts w:ascii="宋体" w:hAnsi="宋体"/>
          <w:szCs w:val="21"/>
          <w:u w:val="single"/>
        </w:rPr>
      </w:pPr>
      <w:r>
        <w:rPr>
          <w:rFonts w:hint="eastAsia" w:ascii="宋体" w:hAnsi="宋体"/>
          <w:szCs w:val="21"/>
          <w:u w:val="single"/>
        </w:rPr>
        <w:t>（2）承包人应在投标文件中明确上述主要材料所选的品牌、厂家，如果承包人在投标文件中没有明确选用何种品牌，发包人可以指定其他任一品牌厂家，且合同价格不予调整。</w:t>
      </w:r>
    </w:p>
    <w:p w14:paraId="331A5426">
      <w:pPr>
        <w:autoSpaceDE w:val="0"/>
        <w:autoSpaceDN w:val="0"/>
        <w:spacing w:line="440" w:lineRule="exact"/>
        <w:ind w:firstLine="480"/>
        <w:rPr>
          <w:rFonts w:ascii="宋体" w:hAnsi="宋体"/>
          <w:szCs w:val="21"/>
          <w:u w:val="single"/>
        </w:rPr>
      </w:pPr>
      <w:r>
        <w:rPr>
          <w:rFonts w:hint="eastAsia" w:ascii="宋体" w:hAnsi="宋体"/>
          <w:szCs w:val="21"/>
          <w:u w:val="single"/>
        </w:rPr>
        <w:t>（3）</w:t>
      </w:r>
      <w:r>
        <w:rPr>
          <w:rFonts w:hint="eastAsia" w:ascii="宋体" w:hAnsi="宋体"/>
          <w:szCs w:val="21"/>
          <w:highlight w:val="none"/>
          <w:u w:val="single"/>
        </w:rPr>
        <w:t>“主要材料推荐品牌及要求”详见招标清单编制说明，承包人必须在本表规定的品牌范围内提供样品或样册，经监理、发包人确认后方可使用。发包人有权在招标文件规定推荐品牌范围内更换或调整材料，仍按投标价格进行结算，竣工结算时不予调整。</w:t>
      </w:r>
    </w:p>
    <w:p w14:paraId="7510EE2D">
      <w:pPr>
        <w:spacing w:after="120" w:line="440" w:lineRule="exact"/>
        <w:ind w:firstLine="482"/>
        <w:outlineLvl w:val="0"/>
        <w:rPr>
          <w:rFonts w:ascii="宋体" w:hAnsi="宋体"/>
          <w:b/>
          <w:color w:val="000000"/>
        </w:rPr>
      </w:pPr>
      <w:bookmarkStart w:id="739" w:name="_Toc36797936"/>
      <w:r>
        <w:rPr>
          <w:rFonts w:hint="eastAsia" w:ascii="宋体" w:hAnsi="宋体"/>
          <w:b/>
          <w:color w:val="000000"/>
        </w:rPr>
        <w:t>8.8 施工设备和临时设施</w:t>
      </w:r>
      <w:bookmarkEnd w:id="739"/>
    </w:p>
    <w:p w14:paraId="52F33D10">
      <w:pPr>
        <w:autoSpaceDE w:val="0"/>
        <w:autoSpaceDN w:val="0"/>
        <w:spacing w:line="440" w:lineRule="exact"/>
        <w:ind w:firstLine="480"/>
        <w:rPr>
          <w:rFonts w:ascii="宋体" w:hAnsi="宋体"/>
          <w:szCs w:val="21"/>
        </w:rPr>
      </w:pPr>
      <w:r>
        <w:rPr>
          <w:rFonts w:hint="eastAsia" w:ascii="宋体" w:hAnsi="宋体"/>
          <w:szCs w:val="21"/>
        </w:rPr>
        <w:t>8.8.1 承包人提供的施工设备和临时设施</w:t>
      </w:r>
    </w:p>
    <w:p w14:paraId="0BF96ED8">
      <w:pPr>
        <w:autoSpaceDE w:val="0"/>
        <w:autoSpaceDN w:val="0"/>
        <w:spacing w:line="440" w:lineRule="exact"/>
        <w:ind w:firstLine="480"/>
        <w:rPr>
          <w:rFonts w:ascii="宋体" w:hAnsi="宋体"/>
          <w:b/>
          <w:color w:val="0000FF"/>
          <w:szCs w:val="21"/>
          <w:u w:val="single"/>
        </w:rPr>
      </w:pPr>
      <w:r>
        <w:rPr>
          <w:rFonts w:hint="eastAsia" w:ascii="宋体" w:hAnsi="宋体"/>
          <w:szCs w:val="21"/>
        </w:rPr>
        <w:t>关于修建临时设施费用承担的约定：</w:t>
      </w:r>
      <w:r>
        <w:rPr>
          <w:rFonts w:hint="eastAsia" w:ascii="宋体" w:hAnsi="宋体"/>
          <w:szCs w:val="21"/>
          <w:u w:val="single"/>
        </w:rPr>
        <w:t>按照通用合同条款执行</w:t>
      </w:r>
      <w:r>
        <w:rPr>
          <w:rFonts w:hint="eastAsia" w:ascii="宋体" w:hAnsi="宋体"/>
          <w:szCs w:val="21"/>
        </w:rPr>
        <w:t>。</w:t>
      </w:r>
    </w:p>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p w14:paraId="68A732AE">
      <w:pPr>
        <w:keepNext/>
        <w:keepLines/>
        <w:spacing w:before="120" w:after="120" w:line="440" w:lineRule="exact"/>
        <w:ind w:firstLine="482"/>
        <w:outlineLvl w:val="3"/>
        <w:rPr>
          <w:rFonts w:ascii="宋体" w:hAnsi="宋体"/>
          <w:b/>
          <w:color w:val="000000"/>
        </w:rPr>
      </w:pPr>
      <w:bookmarkStart w:id="740" w:name="_Toc351203641"/>
      <w:r>
        <w:rPr>
          <w:rFonts w:hint="eastAsia" w:ascii="宋体" w:hAnsi="宋体"/>
          <w:b/>
          <w:color w:val="000000"/>
        </w:rPr>
        <w:t>9</w:t>
      </w:r>
      <w:bookmarkEnd w:id="717"/>
      <w:bookmarkEnd w:id="718"/>
      <w:bookmarkEnd w:id="719"/>
      <w:bookmarkStart w:id="741" w:name="_Toc304295559"/>
      <w:bookmarkStart w:id="742" w:name="_Toc312678021"/>
      <w:bookmarkStart w:id="743" w:name="_Toc300934982"/>
      <w:bookmarkStart w:id="744" w:name="_Toc297123533"/>
      <w:bookmarkStart w:id="745" w:name="_Toc297216192"/>
      <w:bookmarkStart w:id="746" w:name="_Toc312677495"/>
      <w:bookmarkStart w:id="747" w:name="_Toc303539139"/>
      <w:r>
        <w:rPr>
          <w:rFonts w:hint="eastAsia" w:ascii="宋体" w:hAnsi="宋体"/>
          <w:b/>
          <w:color w:val="000000"/>
        </w:rPr>
        <w:t>. 试验与检验</w:t>
      </w:r>
      <w:bookmarkEnd w:id="740"/>
    </w:p>
    <w:bookmarkEnd w:id="741"/>
    <w:bookmarkEnd w:id="742"/>
    <w:bookmarkEnd w:id="743"/>
    <w:bookmarkEnd w:id="744"/>
    <w:bookmarkEnd w:id="745"/>
    <w:bookmarkEnd w:id="746"/>
    <w:bookmarkEnd w:id="747"/>
    <w:p w14:paraId="196211ED">
      <w:pPr>
        <w:spacing w:after="120" w:line="440" w:lineRule="exact"/>
        <w:ind w:firstLine="482"/>
        <w:rPr>
          <w:rFonts w:ascii="宋体" w:hAnsi="宋体"/>
          <w:b/>
          <w:color w:val="000000"/>
        </w:rPr>
      </w:pPr>
      <w:r>
        <w:rPr>
          <w:rFonts w:hint="eastAsia" w:ascii="宋体" w:hAnsi="宋体"/>
          <w:b/>
          <w:color w:val="000000"/>
        </w:rPr>
        <w:t>9</w:t>
      </w:r>
      <w:bookmarkStart w:id="748" w:name="_Toc303539140"/>
      <w:bookmarkStart w:id="749" w:name="_Toc312677496"/>
      <w:bookmarkStart w:id="750" w:name="_Toc300934983"/>
      <w:bookmarkStart w:id="751" w:name="_Toc312678022"/>
      <w:bookmarkStart w:id="752" w:name="_Toc297216193"/>
      <w:bookmarkStart w:id="753" w:name="_Toc304295560"/>
      <w:bookmarkStart w:id="754" w:name="_Toc297123534"/>
      <w:r>
        <w:rPr>
          <w:rFonts w:hint="eastAsia" w:ascii="宋体" w:hAnsi="宋体"/>
          <w:b/>
          <w:color w:val="000000"/>
        </w:rPr>
        <w:t>.1试验设备与试验人员</w:t>
      </w:r>
    </w:p>
    <w:bookmarkEnd w:id="748"/>
    <w:bookmarkEnd w:id="749"/>
    <w:bookmarkEnd w:id="750"/>
    <w:bookmarkEnd w:id="751"/>
    <w:bookmarkEnd w:id="752"/>
    <w:bookmarkEnd w:id="753"/>
    <w:bookmarkEnd w:id="754"/>
    <w:p w14:paraId="7BC16BF1">
      <w:pPr>
        <w:spacing w:line="440" w:lineRule="exact"/>
        <w:ind w:firstLine="480"/>
        <w:rPr>
          <w:rFonts w:ascii="宋体" w:hAnsi="宋体"/>
          <w:szCs w:val="21"/>
        </w:rPr>
      </w:pPr>
      <w:r>
        <w:rPr>
          <w:rFonts w:hint="eastAsia" w:ascii="宋体" w:hAnsi="宋体"/>
          <w:szCs w:val="21"/>
        </w:rPr>
        <w:t>9</w:t>
      </w:r>
      <w:bookmarkStart w:id="755" w:name="_Toc312677497"/>
      <w:bookmarkStart w:id="756" w:name="_Toc297216194"/>
      <w:bookmarkStart w:id="757" w:name="_Toc297123535"/>
      <w:bookmarkStart w:id="758" w:name="_Toc300934984"/>
      <w:bookmarkStart w:id="759" w:name="_Toc312678023"/>
      <w:bookmarkStart w:id="760" w:name="_Toc304295561"/>
      <w:bookmarkStart w:id="761" w:name="_Toc303539141"/>
      <w:bookmarkStart w:id="762" w:name="_Toc318581174"/>
      <w:r>
        <w:rPr>
          <w:rFonts w:hint="eastAsia" w:ascii="宋体" w:hAnsi="宋体"/>
          <w:szCs w:val="21"/>
        </w:rPr>
        <w:t>.1.2 试验设备</w:t>
      </w:r>
    </w:p>
    <w:p w14:paraId="6B1B90CC">
      <w:pPr>
        <w:spacing w:line="440" w:lineRule="exact"/>
        <w:ind w:firstLine="480"/>
        <w:rPr>
          <w:rFonts w:ascii="宋体" w:hAnsi="宋体"/>
          <w:szCs w:val="21"/>
          <w:u w:val="single"/>
        </w:rPr>
      </w:pPr>
      <w:r>
        <w:rPr>
          <w:rFonts w:hint="eastAsia" w:ascii="宋体" w:hAnsi="宋体"/>
          <w:szCs w:val="21"/>
        </w:rPr>
        <w:t>施工现场需要配置的试验场所：</w:t>
      </w:r>
      <w:bookmarkEnd w:id="755"/>
      <w:bookmarkEnd w:id="756"/>
      <w:bookmarkEnd w:id="757"/>
      <w:bookmarkEnd w:id="758"/>
      <w:bookmarkEnd w:id="759"/>
      <w:bookmarkEnd w:id="760"/>
      <w:bookmarkEnd w:id="761"/>
      <w:bookmarkStart w:id="763" w:name="_Toc300934985"/>
      <w:bookmarkStart w:id="764" w:name="_Toc297123536"/>
      <w:bookmarkStart w:id="765" w:name="_Toc312677498"/>
      <w:bookmarkStart w:id="766" w:name="_Toc304295562"/>
      <w:bookmarkStart w:id="767" w:name="_Toc297216195"/>
      <w:bookmarkStart w:id="768" w:name="_Toc303539142"/>
      <w:bookmarkStart w:id="769" w:name="_Toc312678024"/>
      <w:r>
        <w:rPr>
          <w:rFonts w:hint="eastAsia" w:ascii="宋体" w:hAnsi="宋体"/>
          <w:szCs w:val="21"/>
          <w:u w:val="single"/>
        </w:rPr>
        <w:t>①承包人应当在开工前建立满足项目自检要求相适应的工地试验室，且工地试验室应当具有相应的功能室，且各功能室的试验仪器应当经计量检测部门检测合格并取得计量检测合格证书。</w:t>
      </w:r>
    </w:p>
    <w:p w14:paraId="53C6F74C">
      <w:pPr>
        <w:spacing w:line="440" w:lineRule="exact"/>
        <w:ind w:firstLine="480"/>
        <w:rPr>
          <w:rFonts w:ascii="宋体" w:hAnsi="宋体"/>
          <w:szCs w:val="21"/>
          <w:u w:val="single"/>
        </w:rPr>
      </w:pPr>
      <w:r>
        <w:rPr>
          <w:rFonts w:hint="eastAsia" w:ascii="宋体" w:hAnsi="宋体"/>
          <w:szCs w:val="21"/>
          <w:u w:val="single"/>
        </w:rPr>
        <w:t>②试验的配合：在合同实施期间，根据工程需要，发包人可能在本工程工地进行合同中未做明确规定的有关试验，承包人应积极给予配合。由此而产生的费用问题，由发包人与承包人协商解决。监理工程师在必要时可以使用承包人的试验检测设备，承包人应无条件提供。</w:t>
      </w:r>
    </w:p>
    <w:p w14:paraId="7348C527">
      <w:pPr>
        <w:spacing w:line="440" w:lineRule="exact"/>
        <w:ind w:firstLine="480"/>
        <w:rPr>
          <w:rFonts w:ascii="宋体" w:hAnsi="宋体"/>
          <w:szCs w:val="21"/>
        </w:rPr>
      </w:pPr>
      <w:r>
        <w:rPr>
          <w:rFonts w:hint="eastAsia" w:ascii="宋体" w:hAnsi="宋体"/>
          <w:szCs w:val="21"/>
          <w:u w:val="single"/>
        </w:rPr>
        <w:t>如果承包人试验室被认定不合格，承包人应尽快按要求进行改正。</w:t>
      </w:r>
    </w:p>
    <w:p w14:paraId="26D8FEE9">
      <w:pPr>
        <w:spacing w:line="440" w:lineRule="exact"/>
        <w:ind w:firstLine="480"/>
        <w:rPr>
          <w:rFonts w:ascii="宋体" w:hAnsi="宋体"/>
          <w:szCs w:val="21"/>
          <w:u w:val="single"/>
        </w:rPr>
      </w:pPr>
      <w:r>
        <w:rPr>
          <w:rFonts w:hint="eastAsia" w:ascii="宋体" w:hAnsi="宋体"/>
          <w:szCs w:val="21"/>
        </w:rPr>
        <w:t>施工现场需要配备的试验设备：</w:t>
      </w:r>
      <w:r>
        <w:rPr>
          <w:rFonts w:hint="eastAsia" w:ascii="宋体" w:hAnsi="宋体"/>
          <w:szCs w:val="21"/>
          <w:u w:val="single"/>
        </w:rPr>
        <w:t>承包人按后附表：《试验仪器设备配置表》要求配置。</w:t>
      </w:r>
    </w:p>
    <w:p w14:paraId="4EC12F15">
      <w:pPr>
        <w:spacing w:line="440" w:lineRule="exact"/>
        <w:ind w:firstLine="480"/>
        <w:rPr>
          <w:rFonts w:ascii="宋体" w:hAnsi="宋体"/>
          <w:szCs w:val="21"/>
        </w:rPr>
      </w:pPr>
      <w:r>
        <w:rPr>
          <w:rFonts w:hint="eastAsia" w:ascii="宋体" w:hAnsi="宋体"/>
          <w:szCs w:val="21"/>
        </w:rPr>
        <w:t>施工现场需要具备的其他试验条件：</w:t>
      </w:r>
      <w:r>
        <w:rPr>
          <w:rFonts w:hint="eastAsia" w:ascii="宋体" w:hAnsi="宋体"/>
          <w:szCs w:val="21"/>
          <w:u w:val="single"/>
        </w:rPr>
        <w:t>配有专职实验员至少一人</w:t>
      </w:r>
      <w:r>
        <w:rPr>
          <w:rFonts w:hint="eastAsia" w:ascii="宋体" w:hAnsi="宋体"/>
          <w:szCs w:val="21"/>
        </w:rPr>
        <w:t>。</w:t>
      </w:r>
    </w:p>
    <w:p w14:paraId="6BE11863">
      <w:pPr>
        <w:spacing w:after="120" w:line="440" w:lineRule="exact"/>
        <w:ind w:firstLine="482"/>
        <w:outlineLvl w:val="0"/>
        <w:rPr>
          <w:rFonts w:ascii="宋体" w:hAnsi="宋体"/>
          <w:b/>
          <w:color w:val="000000"/>
        </w:rPr>
      </w:pPr>
      <w:bookmarkStart w:id="770" w:name="_Toc36797937"/>
      <w:r>
        <w:rPr>
          <w:rFonts w:hint="eastAsia" w:ascii="宋体" w:hAnsi="宋体"/>
          <w:b/>
          <w:color w:val="000000"/>
        </w:rPr>
        <w:t>9.4 现场工艺试验</w:t>
      </w:r>
      <w:bookmarkEnd w:id="770"/>
    </w:p>
    <w:p w14:paraId="301CB0C3">
      <w:pPr>
        <w:spacing w:line="440" w:lineRule="exact"/>
        <w:ind w:firstLine="480"/>
        <w:rPr>
          <w:rFonts w:ascii="宋体" w:hAnsi="宋体"/>
          <w:szCs w:val="21"/>
        </w:rPr>
      </w:pPr>
      <w:r>
        <w:rPr>
          <w:rFonts w:hint="eastAsia" w:ascii="宋体" w:hAnsi="宋体"/>
          <w:szCs w:val="21"/>
        </w:rPr>
        <w:t>现场工艺试验的有关约定：</w:t>
      </w:r>
      <w:r>
        <w:rPr>
          <w:rFonts w:hint="eastAsia" w:ascii="宋体" w:hAnsi="宋体"/>
          <w:szCs w:val="21"/>
          <w:u w:val="single"/>
        </w:rPr>
        <w:t>符合发包人或监理人现场要求</w:t>
      </w:r>
      <w:r>
        <w:rPr>
          <w:rFonts w:hint="eastAsia" w:ascii="宋体" w:hAnsi="宋体"/>
          <w:szCs w:val="21"/>
        </w:rPr>
        <w:t>。</w:t>
      </w:r>
    </w:p>
    <w:bookmarkEnd w:id="762"/>
    <w:bookmarkEnd w:id="763"/>
    <w:bookmarkEnd w:id="764"/>
    <w:bookmarkEnd w:id="765"/>
    <w:bookmarkEnd w:id="766"/>
    <w:bookmarkEnd w:id="767"/>
    <w:bookmarkEnd w:id="768"/>
    <w:bookmarkEnd w:id="769"/>
    <w:p w14:paraId="0C648750">
      <w:pPr>
        <w:keepNext/>
        <w:keepLines/>
        <w:spacing w:before="120" w:after="120" w:line="440" w:lineRule="exact"/>
        <w:ind w:firstLine="482"/>
        <w:outlineLvl w:val="3"/>
        <w:rPr>
          <w:rFonts w:ascii="宋体" w:hAnsi="宋体"/>
          <w:b/>
          <w:color w:val="000000"/>
        </w:rPr>
      </w:pPr>
      <w:r>
        <w:rPr>
          <w:rFonts w:hint="eastAsia" w:ascii="宋体" w:hAnsi="宋体"/>
          <w:b/>
          <w:color w:val="000000"/>
        </w:rPr>
        <w:t>1</w:t>
      </w:r>
      <w:bookmarkStart w:id="771" w:name="_Toc296347192"/>
      <w:bookmarkStart w:id="772" w:name="_Toc292559903"/>
      <w:bookmarkStart w:id="773" w:name="_Toc296891233"/>
      <w:bookmarkStart w:id="774" w:name="_Toc297216199"/>
      <w:bookmarkStart w:id="775" w:name="_Toc297120493"/>
      <w:bookmarkStart w:id="776" w:name="_Toc296346694"/>
      <w:bookmarkStart w:id="777" w:name="_Toc296503193"/>
      <w:bookmarkStart w:id="778" w:name="_Toc296891021"/>
      <w:bookmarkStart w:id="779" w:name="_Toc297048379"/>
      <w:bookmarkStart w:id="780" w:name="_Toc304295566"/>
      <w:bookmarkStart w:id="781" w:name="_Toc296944532"/>
      <w:bookmarkStart w:id="782" w:name="_Toc303539146"/>
      <w:bookmarkStart w:id="783" w:name="_Toc297123540"/>
      <w:bookmarkStart w:id="784" w:name="_Toc300934989"/>
      <w:bookmarkStart w:id="785" w:name="_Toc292559398"/>
      <w:bookmarkStart w:id="786" w:name="_Toc312678025"/>
      <w:bookmarkStart w:id="787" w:name="_Toc312677499"/>
      <w:r>
        <w:rPr>
          <w:rFonts w:hint="eastAsia" w:ascii="宋体" w:hAnsi="宋体"/>
          <w:b/>
          <w:color w:val="000000"/>
        </w:rPr>
        <w:t>0. 变更</w:t>
      </w:r>
      <w:bookmarkEnd w:id="546"/>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p>
    <w:bookmarkEnd w:id="786"/>
    <w:bookmarkEnd w:id="787"/>
    <w:p w14:paraId="054B9BC6">
      <w:pPr>
        <w:spacing w:after="120" w:line="440" w:lineRule="exact"/>
        <w:ind w:firstLine="482"/>
        <w:rPr>
          <w:rFonts w:ascii="宋体" w:hAnsi="宋体"/>
          <w:b/>
          <w:color w:val="000000"/>
        </w:rPr>
      </w:pPr>
      <w:r>
        <w:rPr>
          <w:rFonts w:hint="eastAsia" w:ascii="宋体" w:hAnsi="宋体"/>
          <w:b/>
          <w:color w:val="000000"/>
        </w:rPr>
        <w:t>1</w:t>
      </w:r>
      <w:bookmarkStart w:id="788" w:name="_Toc300934990"/>
      <w:bookmarkStart w:id="789" w:name="_Toc297216200"/>
      <w:bookmarkStart w:id="790" w:name="_Toc296346695"/>
      <w:bookmarkStart w:id="791" w:name="_Toc297120494"/>
      <w:bookmarkStart w:id="792" w:name="_Toc304295567"/>
      <w:bookmarkStart w:id="793" w:name="_Toc297048380"/>
      <w:bookmarkStart w:id="794" w:name="_Toc292559904"/>
      <w:bookmarkStart w:id="795" w:name="_Toc297123541"/>
      <w:bookmarkStart w:id="796" w:name="_Toc312678026"/>
      <w:bookmarkStart w:id="797" w:name="_Toc296347193"/>
      <w:bookmarkStart w:id="798" w:name="_Toc303539147"/>
      <w:bookmarkStart w:id="799" w:name="_Toc292559399"/>
      <w:bookmarkStart w:id="800" w:name="_Toc296503194"/>
      <w:bookmarkStart w:id="801" w:name="_Toc296944533"/>
      <w:bookmarkStart w:id="802" w:name="_Toc296891234"/>
      <w:bookmarkStart w:id="803" w:name="_Toc312677500"/>
      <w:bookmarkStart w:id="804" w:name="_Toc296891022"/>
      <w:r>
        <w:rPr>
          <w:rFonts w:hint="eastAsia" w:ascii="宋体" w:hAnsi="宋体"/>
          <w:b/>
          <w:color w:val="000000"/>
        </w:rPr>
        <w:t>0.1变更的范围</w:t>
      </w:r>
    </w:p>
    <w:p w14:paraId="7E6DA7B5">
      <w:pPr>
        <w:spacing w:line="440" w:lineRule="exact"/>
        <w:ind w:firstLine="480"/>
        <w:rPr>
          <w:rFonts w:ascii="宋体" w:hAnsi="宋体"/>
          <w:color w:val="000000"/>
          <w:szCs w:val="21"/>
        </w:rPr>
      </w:pPr>
      <w:r>
        <w:rPr>
          <w:rFonts w:hint="eastAsia" w:ascii="宋体" w:hAnsi="宋体"/>
          <w:color w:val="000000"/>
          <w:szCs w:val="21"/>
        </w:rPr>
        <w:t>关于变更的范围的约定：</w:t>
      </w:r>
      <w:r>
        <w:rPr>
          <w:rFonts w:hint="eastAsia" w:ascii="宋体" w:hAnsi="宋体"/>
          <w:szCs w:val="21"/>
          <w:u w:val="single"/>
        </w:rPr>
        <w:t xml:space="preserve">工程实施过程中由发包人提出或由承包人提出经发包人批准为前提，包含设计图纸发生修改，对施工工艺、顺序和时间的改变，施工条件发生改变，为完成合同工程所需要追加的额外工作等 </w:t>
      </w:r>
      <w:r>
        <w:rPr>
          <w:rFonts w:hint="eastAsia" w:ascii="宋体" w:hAnsi="宋体"/>
          <w:color w:val="000000"/>
          <w:szCs w:val="21"/>
        </w:rPr>
        <w:t>。</w:t>
      </w:r>
    </w:p>
    <w:p w14:paraId="524A73D7">
      <w:pPr>
        <w:spacing w:after="120" w:line="440" w:lineRule="exact"/>
        <w:ind w:firstLine="482"/>
        <w:outlineLvl w:val="0"/>
        <w:rPr>
          <w:rFonts w:ascii="宋体" w:hAnsi="宋体"/>
          <w:b/>
          <w:color w:val="000000"/>
        </w:rPr>
      </w:pPr>
      <w:bookmarkStart w:id="805" w:name="_Toc36797938"/>
      <w:r>
        <w:rPr>
          <w:rFonts w:hint="eastAsia" w:ascii="宋体" w:hAnsi="宋体"/>
          <w:b/>
          <w:color w:val="000000"/>
        </w:rPr>
        <w:t>10.4 变更估价</w:t>
      </w:r>
      <w:bookmarkEnd w:id="805"/>
    </w:p>
    <w:p w14:paraId="329CF3DD">
      <w:pPr>
        <w:spacing w:line="440" w:lineRule="exact"/>
        <w:ind w:firstLine="480"/>
        <w:rPr>
          <w:rFonts w:ascii="宋体" w:hAnsi="宋体"/>
          <w:szCs w:val="21"/>
        </w:rPr>
      </w:pPr>
      <w:r>
        <w:rPr>
          <w:rFonts w:hint="eastAsia" w:ascii="宋体" w:hAnsi="宋体"/>
          <w:szCs w:val="21"/>
        </w:rPr>
        <w:t>10.4.1 变更估价原则</w:t>
      </w:r>
    </w:p>
    <w:p w14:paraId="6BEA3F5D">
      <w:pPr>
        <w:autoSpaceDE w:val="0"/>
        <w:autoSpaceDN w:val="0"/>
        <w:spacing w:line="440" w:lineRule="exact"/>
        <w:ind w:firstLine="480"/>
        <w:rPr>
          <w:rFonts w:ascii="宋体" w:hAnsi="宋体"/>
          <w:color w:val="000000"/>
          <w:szCs w:val="21"/>
        </w:rPr>
      </w:pPr>
      <w:r>
        <w:rPr>
          <w:rFonts w:hint="eastAsia" w:ascii="宋体" w:hAnsi="宋体"/>
          <w:color w:val="000000"/>
          <w:szCs w:val="21"/>
        </w:rPr>
        <w:t xml:space="preserve">关于变更估价的约定: </w:t>
      </w:r>
      <w:r>
        <w:rPr>
          <w:rFonts w:hint="eastAsia" w:ascii="宋体" w:hAnsi="宋体"/>
          <w:szCs w:val="21"/>
          <w:u w:val="single"/>
        </w:rPr>
        <w:t>发包人的变更工程。结算时必须有经发包人、审计等有关各方共同签字确认。无投标综合单价的重新报价双方协商一致，在工程完工后，进行结算，其余要求按通用条款执行，如有冲突按特殊约定执行。</w:t>
      </w:r>
    </w:p>
    <w:p w14:paraId="35C71AC2">
      <w:pPr>
        <w:spacing w:line="440" w:lineRule="exact"/>
        <w:ind w:firstLine="482"/>
        <w:rPr>
          <w:rFonts w:ascii="宋体" w:hAnsi="宋体"/>
          <w:b/>
          <w:color w:val="000000"/>
        </w:rPr>
      </w:pPr>
      <w:r>
        <w:rPr>
          <w:rFonts w:hint="eastAsia" w:ascii="宋体" w:hAnsi="宋体"/>
          <w:b/>
          <w:color w:val="000000"/>
        </w:rPr>
        <w:t>1</w:t>
      </w:r>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Start w:id="806" w:name="_Toc292559907"/>
      <w:bookmarkStart w:id="807" w:name="_Toc296503197"/>
      <w:bookmarkStart w:id="808" w:name="_Toc296891237"/>
      <w:bookmarkStart w:id="809" w:name="_Toc297120497"/>
      <w:bookmarkStart w:id="810" w:name="_Toc297048383"/>
      <w:bookmarkStart w:id="811" w:name="_Toc296944536"/>
      <w:bookmarkStart w:id="812" w:name="_Toc297123544"/>
      <w:bookmarkStart w:id="813" w:name="_Toc296346698"/>
      <w:bookmarkStart w:id="814" w:name="_Toc296891025"/>
      <w:bookmarkStart w:id="815" w:name="_Toc296347196"/>
      <w:bookmarkStart w:id="816" w:name="_Toc292559402"/>
      <w:bookmarkStart w:id="817" w:name="_Toc300934993"/>
      <w:bookmarkStart w:id="818" w:name="_Toc303539150"/>
      <w:bookmarkStart w:id="819" w:name="_Toc297216203"/>
      <w:bookmarkStart w:id="820" w:name="_Toc304295570"/>
      <w:bookmarkStart w:id="821" w:name="_Toc312678029"/>
      <w:bookmarkStart w:id="822" w:name="_Toc312677503"/>
      <w:r>
        <w:rPr>
          <w:rFonts w:hint="eastAsia" w:ascii="宋体" w:hAnsi="宋体"/>
          <w:b/>
          <w:color w:val="000000"/>
        </w:rPr>
        <w:t>0.5承</w:t>
      </w:r>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Start w:id="823" w:name="_Toc292559408"/>
      <w:bookmarkStart w:id="824" w:name="_Toc297120503"/>
      <w:bookmarkStart w:id="825" w:name="_Toc297123545"/>
      <w:bookmarkStart w:id="826" w:name="_Toc296346704"/>
      <w:bookmarkStart w:id="827" w:name="_Toc300934994"/>
      <w:bookmarkStart w:id="828" w:name="_Toc296891243"/>
      <w:bookmarkStart w:id="829" w:name="_Toc296944542"/>
      <w:bookmarkStart w:id="830" w:name="_Toc296891031"/>
      <w:bookmarkStart w:id="831" w:name="_Toc297048389"/>
      <w:bookmarkStart w:id="832" w:name="_Toc292559913"/>
      <w:bookmarkStart w:id="833" w:name="_Toc296347202"/>
      <w:bookmarkStart w:id="834" w:name="_Toc296503203"/>
      <w:bookmarkStart w:id="835" w:name="_Toc303539151"/>
      <w:bookmarkStart w:id="836" w:name="_Toc297216204"/>
      <w:r>
        <w:rPr>
          <w:rFonts w:hint="eastAsia" w:ascii="宋体" w:hAnsi="宋体"/>
          <w:b/>
          <w:color w:val="000000"/>
        </w:rPr>
        <w:t>包人的合理化建议</w:t>
      </w:r>
    </w:p>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p w14:paraId="4076253E">
      <w:pPr>
        <w:spacing w:line="440" w:lineRule="exact"/>
        <w:ind w:firstLine="480"/>
        <w:rPr>
          <w:rFonts w:ascii="宋体" w:hAnsi="宋体"/>
          <w:szCs w:val="21"/>
        </w:rPr>
      </w:pPr>
      <w:r>
        <w:rPr>
          <w:rFonts w:hint="eastAsia" w:ascii="宋体" w:hAnsi="宋体"/>
          <w:szCs w:val="21"/>
        </w:rPr>
        <w:t>监理人审查承包人合理化建议的期限：</w:t>
      </w:r>
      <w:r>
        <w:rPr>
          <w:rFonts w:hint="eastAsia" w:ascii="宋体" w:hAnsi="宋体"/>
          <w:szCs w:val="21"/>
          <w:u w:val="single"/>
        </w:rPr>
        <w:t>按照通用合同条款执行</w:t>
      </w:r>
      <w:r>
        <w:rPr>
          <w:rFonts w:hint="eastAsia" w:ascii="宋体" w:hAnsi="宋体"/>
          <w:szCs w:val="21"/>
        </w:rPr>
        <w:t>。</w:t>
      </w:r>
    </w:p>
    <w:p w14:paraId="036EF1DE">
      <w:pPr>
        <w:spacing w:line="440" w:lineRule="exact"/>
        <w:ind w:firstLine="480"/>
        <w:rPr>
          <w:rFonts w:ascii="宋体" w:hAnsi="宋体"/>
          <w:szCs w:val="21"/>
        </w:rPr>
      </w:pPr>
      <w:r>
        <w:rPr>
          <w:rFonts w:hint="eastAsia" w:ascii="宋体" w:hAnsi="宋体"/>
          <w:szCs w:val="21"/>
        </w:rPr>
        <w:t>发包人审批承包人合理化建议的期限：</w:t>
      </w:r>
      <w:r>
        <w:rPr>
          <w:rFonts w:hint="eastAsia" w:ascii="宋体" w:hAnsi="宋体"/>
          <w:szCs w:val="21"/>
          <w:u w:val="single"/>
        </w:rPr>
        <w:t>承包人在施工中提出的合理化建议涉及到对设计图纸或施工组织设计的更改及对材料、设备的换用，须经发包人同意。未经同意擅自更改或换用时，承包人承担由此发生的费用，并赔偿发包人的有关损失，延误的工期不予顺延。</w:t>
      </w:r>
    </w:p>
    <w:p w14:paraId="668675E3">
      <w:pPr>
        <w:spacing w:line="440" w:lineRule="exact"/>
        <w:ind w:firstLine="480"/>
        <w:rPr>
          <w:rFonts w:ascii="宋体" w:hAnsi="宋体"/>
          <w:szCs w:val="21"/>
          <w:u w:val="single"/>
        </w:rPr>
      </w:pPr>
      <w:r>
        <w:rPr>
          <w:rFonts w:hint="eastAsia" w:ascii="宋体" w:hAnsi="宋体"/>
          <w:szCs w:val="21"/>
        </w:rPr>
        <w:t>承</w:t>
      </w:r>
      <w:bookmarkStart w:id="837" w:name="_Toc292559914"/>
      <w:bookmarkStart w:id="838" w:name="_Toc318581175"/>
      <w:bookmarkStart w:id="839" w:name="_Toc312678030"/>
      <w:bookmarkStart w:id="840" w:name="_Toc304295571"/>
      <w:bookmarkStart w:id="841" w:name="_Toc296891244"/>
      <w:bookmarkStart w:id="842" w:name="_Toc300934995"/>
      <w:bookmarkStart w:id="843" w:name="_Toc296346705"/>
      <w:bookmarkStart w:id="844" w:name="_Toc292559409"/>
      <w:bookmarkStart w:id="845" w:name="_Toc296503204"/>
      <w:bookmarkStart w:id="846" w:name="_Toc296944543"/>
      <w:bookmarkStart w:id="847" w:name="_Toc297120504"/>
      <w:bookmarkStart w:id="848" w:name="_Toc297216205"/>
      <w:bookmarkStart w:id="849" w:name="_Toc312677504"/>
      <w:bookmarkStart w:id="850" w:name="_Toc303539152"/>
      <w:bookmarkStart w:id="851" w:name="_Toc296347203"/>
      <w:bookmarkStart w:id="852" w:name="_Toc297048390"/>
      <w:bookmarkStart w:id="853" w:name="_Toc296891032"/>
      <w:bookmarkStart w:id="854" w:name="_Toc297123546"/>
      <w:r>
        <w:rPr>
          <w:rFonts w:hint="eastAsia" w:ascii="宋体" w:hAnsi="宋体"/>
          <w:szCs w:val="21"/>
        </w:rPr>
        <w:t>包人提出的合理化建议降低了合同价格或者提高了工程经济效益的奖励的方法和金额为：</w:t>
      </w:r>
      <w:r>
        <w:rPr>
          <w:rFonts w:hint="eastAsia" w:ascii="宋体" w:hAnsi="宋体"/>
          <w:szCs w:val="21"/>
          <w:u w:val="single"/>
        </w:rPr>
        <w:t>无</w:t>
      </w:r>
      <w:r>
        <w:rPr>
          <w:rFonts w:hint="eastAsia" w:ascii="宋体" w:hAnsi="宋体"/>
          <w:szCs w:val="21"/>
        </w:rPr>
        <w:t>。</w:t>
      </w:r>
    </w:p>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p w14:paraId="7B55B2F4">
      <w:pPr>
        <w:pageBreakBefore w:val="0"/>
        <w:widowControl w:val="0"/>
        <w:kinsoku/>
        <w:wordWrap/>
        <w:overflowPunct/>
        <w:topLinePunct w:val="0"/>
        <w:bidi w:val="0"/>
        <w:adjustRightInd/>
        <w:snapToGrid/>
        <w:spacing w:line="360" w:lineRule="auto"/>
        <w:ind w:left="0" w:leftChars="0" w:firstLine="482" w:firstLineChars="200"/>
        <w:jc w:val="left"/>
        <w:textAlignment w:val="auto"/>
        <w:outlineLvl w:val="0"/>
        <w:rPr>
          <w:rFonts w:hint="eastAsia" w:ascii="宋体" w:hAnsi="宋体" w:eastAsia="宋体" w:cs="宋体"/>
          <w:b/>
          <w:bCs/>
          <w:kern w:val="2"/>
          <w:sz w:val="24"/>
          <w:szCs w:val="24"/>
        </w:rPr>
      </w:pPr>
      <w:r>
        <w:rPr>
          <w:rFonts w:hint="eastAsia" w:ascii="宋体" w:hAnsi="宋体" w:eastAsia="宋体" w:cs="宋体"/>
          <w:b/>
          <w:bCs/>
          <w:kern w:val="2"/>
          <w:sz w:val="24"/>
          <w:szCs w:val="24"/>
        </w:rPr>
        <w:t>1</w:t>
      </w:r>
      <w:bookmarkStart w:id="855" w:name="_Toc297216207"/>
      <w:bookmarkStart w:id="856" w:name="_Toc297123548"/>
      <w:bookmarkStart w:id="857" w:name="_Toc296891239"/>
      <w:bookmarkStart w:id="858" w:name="_Toc292559404"/>
      <w:bookmarkStart w:id="859" w:name="_Toc300934997"/>
      <w:bookmarkStart w:id="860" w:name="_Toc296891027"/>
      <w:bookmarkStart w:id="861" w:name="_Toc296347198"/>
      <w:bookmarkStart w:id="862" w:name="_Toc303539154"/>
      <w:bookmarkStart w:id="863" w:name="_Toc297120499"/>
      <w:bookmarkStart w:id="864" w:name="_Toc297048385"/>
      <w:bookmarkStart w:id="865" w:name="_Toc296346700"/>
      <w:bookmarkStart w:id="866" w:name="_Toc312677507"/>
      <w:bookmarkStart w:id="867" w:name="_Toc304295574"/>
      <w:bookmarkStart w:id="868" w:name="_Toc296503199"/>
      <w:bookmarkStart w:id="869" w:name="_Toc292559909"/>
      <w:bookmarkStart w:id="870" w:name="_Toc312678033"/>
      <w:bookmarkStart w:id="871" w:name="_Toc296944538"/>
      <w:r>
        <w:rPr>
          <w:rFonts w:hint="eastAsia" w:ascii="宋体" w:hAnsi="宋体" w:eastAsia="宋体" w:cs="宋体"/>
          <w:b/>
          <w:bCs/>
          <w:kern w:val="2"/>
          <w:sz w:val="24"/>
          <w:szCs w:val="24"/>
        </w:rPr>
        <w:t>0.7 暂估价</w:t>
      </w:r>
      <w:bookmarkEnd w:id="547"/>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p>
    <w:p w14:paraId="2D46FED7">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sz w:val="24"/>
          <w:szCs w:val="24"/>
        </w:rPr>
        <w:t>暂</w:t>
      </w:r>
      <w:bookmarkStart w:id="872" w:name="_Toc318581176"/>
      <w:bookmarkStart w:id="873" w:name="_Toc312677508"/>
      <w:bookmarkStart w:id="874" w:name="_Toc312678034"/>
      <w:r>
        <w:rPr>
          <w:rFonts w:hint="eastAsia" w:ascii="宋体" w:hAnsi="宋体" w:eastAsia="宋体" w:cs="宋体"/>
          <w:sz w:val="24"/>
          <w:szCs w:val="24"/>
        </w:rPr>
        <w:t>估价材料和工程设备的明细详见附件11：</w:t>
      </w:r>
      <w:r>
        <w:rPr>
          <w:rFonts w:hint="eastAsia" w:ascii="宋体" w:hAnsi="宋体" w:eastAsia="宋体" w:cs="宋体"/>
          <w:sz w:val="24"/>
          <w:szCs w:val="24"/>
          <w:u w:val="single"/>
        </w:rPr>
        <w:t>《</w:t>
      </w:r>
      <w:r>
        <w:rPr>
          <w:rFonts w:hint="eastAsia" w:ascii="宋体" w:hAnsi="宋体" w:eastAsia="宋体" w:cs="宋体"/>
          <w:kern w:val="2"/>
          <w:sz w:val="24"/>
          <w:szCs w:val="24"/>
          <w:u w:val="single"/>
        </w:rPr>
        <w:t>暂估价一览表》</w:t>
      </w:r>
      <w:r>
        <w:rPr>
          <w:rFonts w:hint="eastAsia" w:ascii="宋体" w:hAnsi="宋体" w:eastAsia="宋体" w:cs="宋体"/>
          <w:sz w:val="24"/>
          <w:szCs w:val="24"/>
        </w:rPr>
        <w:t>。</w:t>
      </w:r>
      <w:bookmarkEnd w:id="872"/>
      <w:bookmarkEnd w:id="873"/>
      <w:bookmarkEnd w:id="874"/>
    </w:p>
    <w:p w14:paraId="4775ED23">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1</w:t>
      </w:r>
      <w:bookmarkStart w:id="875" w:name="_Toc318581177"/>
      <w:bookmarkStart w:id="876" w:name="_Toc312678035"/>
      <w:bookmarkStart w:id="877" w:name="_Toc312677509"/>
      <w:r>
        <w:rPr>
          <w:rFonts w:hint="eastAsia" w:ascii="宋体" w:hAnsi="宋体" w:eastAsia="宋体" w:cs="宋体"/>
          <w:kern w:val="2"/>
          <w:sz w:val="24"/>
          <w:szCs w:val="24"/>
        </w:rPr>
        <w:t>0.7.1 依法必须招标的暂估价项目</w:t>
      </w:r>
      <w:bookmarkEnd w:id="875"/>
      <w:bookmarkEnd w:id="876"/>
      <w:bookmarkEnd w:id="877"/>
    </w:p>
    <w:p w14:paraId="4A497B7E">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对于依法必须招标的暂估价项目的确认和批准</w:t>
      </w:r>
      <w:r>
        <w:rPr>
          <w:rFonts w:hint="eastAsia" w:ascii="宋体" w:hAnsi="宋体" w:eastAsia="宋体" w:cs="宋体"/>
          <w:kern w:val="2"/>
          <w:sz w:val="24"/>
          <w:szCs w:val="24"/>
          <w:u w:val="single"/>
        </w:rPr>
        <w:t>由发包人组织招标</w:t>
      </w:r>
      <w:r>
        <w:rPr>
          <w:rFonts w:hint="eastAsia" w:ascii="宋体" w:hAnsi="宋体" w:eastAsia="宋体" w:cs="宋体"/>
          <w:kern w:val="2"/>
          <w:sz w:val="24"/>
          <w:szCs w:val="24"/>
        </w:rPr>
        <w:t>。</w:t>
      </w:r>
    </w:p>
    <w:p w14:paraId="0971CCE3">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10.7.2 不属于依法必须招标的暂估价项目</w:t>
      </w:r>
    </w:p>
    <w:p w14:paraId="43D11C8D">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对于不属于依法必须招标的暂估价项目的确认和批准采取第</w:t>
      </w:r>
      <w:r>
        <w:rPr>
          <w:rFonts w:hint="eastAsia" w:ascii="宋体" w:hAnsi="宋体" w:eastAsia="宋体" w:cs="宋体"/>
          <w:kern w:val="2"/>
          <w:sz w:val="24"/>
          <w:szCs w:val="24"/>
          <w:u w:val="single"/>
        </w:rPr>
        <w:t xml:space="preserve"> 3 </w:t>
      </w:r>
      <w:r>
        <w:rPr>
          <w:rFonts w:hint="eastAsia" w:ascii="宋体" w:hAnsi="宋体" w:eastAsia="宋体" w:cs="宋体"/>
          <w:kern w:val="2"/>
          <w:sz w:val="24"/>
          <w:szCs w:val="24"/>
        </w:rPr>
        <w:t>种方式确定。</w:t>
      </w:r>
    </w:p>
    <w:p w14:paraId="1B39DDA9">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kern w:val="2"/>
          <w:sz w:val="24"/>
          <w:szCs w:val="24"/>
        </w:rPr>
        <w:t>第3种方式：</w:t>
      </w:r>
      <w:r>
        <w:rPr>
          <w:rFonts w:hint="eastAsia" w:ascii="宋体" w:hAnsi="宋体" w:eastAsia="宋体" w:cs="宋体"/>
          <w:sz w:val="24"/>
          <w:szCs w:val="24"/>
        </w:rPr>
        <w:t>承包人直接实施的暂估价项目</w:t>
      </w:r>
    </w:p>
    <w:p w14:paraId="37A9CC3F">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承包人直接实施的暂估价项目的约定：</w:t>
      </w:r>
      <w:r>
        <w:rPr>
          <w:rFonts w:hint="eastAsia" w:ascii="宋体" w:hAnsi="宋体" w:eastAsia="宋体" w:cs="宋体"/>
          <w:kern w:val="2"/>
          <w:sz w:val="24"/>
          <w:szCs w:val="24"/>
          <w:u w:val="single"/>
        </w:rPr>
        <w:t>按变更程序执行</w:t>
      </w:r>
      <w:r>
        <w:rPr>
          <w:rFonts w:hint="eastAsia" w:ascii="宋体" w:hAnsi="宋体" w:eastAsia="宋体" w:cs="宋体"/>
          <w:kern w:val="2"/>
          <w:sz w:val="24"/>
          <w:szCs w:val="24"/>
        </w:rPr>
        <w:t>。</w:t>
      </w:r>
    </w:p>
    <w:p w14:paraId="3CE9A010">
      <w:pPr>
        <w:pageBreakBefore w:val="0"/>
        <w:widowControl w:val="0"/>
        <w:kinsoku/>
        <w:wordWrap/>
        <w:overflowPunct/>
        <w:topLinePunct w:val="0"/>
        <w:bidi w:val="0"/>
        <w:adjustRightInd/>
        <w:snapToGrid/>
        <w:spacing w:line="360" w:lineRule="auto"/>
        <w:ind w:left="0" w:leftChars="0" w:firstLine="482" w:firstLineChars="200"/>
        <w:jc w:val="left"/>
        <w:textAlignment w:val="auto"/>
        <w:rPr>
          <w:rFonts w:hint="eastAsia" w:ascii="宋体" w:hAnsi="宋体" w:eastAsia="宋体" w:cs="宋体"/>
          <w:b/>
          <w:bCs/>
          <w:kern w:val="2"/>
          <w:sz w:val="24"/>
          <w:szCs w:val="24"/>
        </w:rPr>
      </w:pPr>
      <w:r>
        <w:rPr>
          <w:rFonts w:hint="eastAsia" w:ascii="宋体" w:hAnsi="宋体" w:eastAsia="宋体" w:cs="宋体"/>
          <w:b/>
          <w:bCs/>
          <w:kern w:val="2"/>
          <w:sz w:val="24"/>
          <w:szCs w:val="24"/>
        </w:rPr>
        <w:t>10.8 暂列金额</w:t>
      </w:r>
    </w:p>
    <w:p w14:paraId="1EF2B4F3">
      <w:pPr>
        <w:pageBreakBefore w:val="0"/>
        <w:widowControl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kern w:val="2"/>
          <w:sz w:val="24"/>
          <w:szCs w:val="24"/>
          <w:u w:val="single"/>
        </w:rPr>
      </w:pPr>
      <w:r>
        <w:rPr>
          <w:rFonts w:hint="eastAsia" w:ascii="宋体" w:hAnsi="宋体" w:eastAsia="宋体" w:cs="宋体"/>
          <w:sz w:val="24"/>
          <w:szCs w:val="24"/>
        </w:rPr>
        <w:t>合同当事人关于暂列金额使用的约定：</w:t>
      </w:r>
      <w:r>
        <w:rPr>
          <w:rFonts w:hint="eastAsia" w:ascii="宋体" w:hAnsi="宋体" w:eastAsia="宋体" w:cs="宋体"/>
          <w:kern w:val="2"/>
          <w:sz w:val="24"/>
          <w:szCs w:val="24"/>
          <w:u w:val="single"/>
        </w:rPr>
        <w:t>暂列金额归发包人所有或使用，暂列金额应按发包人的要求使用</w:t>
      </w:r>
      <w:r>
        <w:rPr>
          <w:rFonts w:hint="eastAsia" w:ascii="宋体" w:hAnsi="宋体" w:eastAsia="宋体" w:cs="宋体"/>
          <w:kern w:val="2"/>
          <w:sz w:val="24"/>
          <w:szCs w:val="24"/>
          <w:u w:val="single"/>
          <w:lang w:eastAsia="zh-CN"/>
        </w:rPr>
        <w:t>，</w:t>
      </w:r>
      <w:r>
        <w:rPr>
          <w:rFonts w:hint="eastAsia" w:ascii="宋体" w:hAnsi="宋体" w:eastAsia="宋体" w:cs="宋体"/>
          <w:kern w:val="2"/>
          <w:sz w:val="24"/>
          <w:szCs w:val="24"/>
          <w:u w:val="single"/>
        </w:rPr>
        <w:t>发包人的要求通过监理人发出。</w:t>
      </w:r>
    </w:p>
    <w:p w14:paraId="0207AB8E">
      <w:pPr>
        <w:keepNext/>
        <w:keepLines/>
        <w:pageBreakBefore w:val="0"/>
        <w:widowControl w:val="0"/>
        <w:kinsoku/>
        <w:wordWrap/>
        <w:overflowPunct/>
        <w:topLinePunct w:val="0"/>
        <w:bidi w:val="0"/>
        <w:adjustRightInd/>
        <w:snapToGrid/>
        <w:spacing w:line="360" w:lineRule="auto"/>
        <w:ind w:left="0" w:leftChars="0" w:firstLine="482" w:firstLineChars="200"/>
        <w:jc w:val="left"/>
        <w:textAlignment w:val="auto"/>
        <w:outlineLvl w:val="3"/>
        <w:rPr>
          <w:rFonts w:hint="eastAsia" w:ascii="宋体" w:hAnsi="宋体" w:eastAsia="宋体" w:cs="宋体"/>
          <w:b/>
          <w:bCs/>
          <w:kern w:val="2"/>
          <w:sz w:val="24"/>
          <w:szCs w:val="24"/>
        </w:rPr>
      </w:pPr>
      <w:bookmarkStart w:id="878" w:name="_Toc351203643"/>
      <w:r>
        <w:rPr>
          <w:rFonts w:hint="eastAsia" w:ascii="宋体" w:hAnsi="宋体" w:eastAsia="宋体" w:cs="宋体"/>
          <w:b/>
          <w:bCs/>
          <w:kern w:val="2"/>
          <w:sz w:val="24"/>
          <w:szCs w:val="24"/>
        </w:rPr>
        <w:t>11. 价格调整</w:t>
      </w:r>
      <w:bookmarkEnd w:id="878"/>
    </w:p>
    <w:p w14:paraId="1A960A57">
      <w:pPr>
        <w:pageBreakBefore w:val="0"/>
        <w:widowControl w:val="0"/>
        <w:kinsoku/>
        <w:wordWrap/>
        <w:overflowPunct/>
        <w:topLinePunct w:val="0"/>
        <w:bidi w:val="0"/>
        <w:adjustRightInd/>
        <w:snapToGrid/>
        <w:spacing w:line="360" w:lineRule="auto"/>
        <w:ind w:left="0" w:leftChars="0" w:firstLine="482" w:firstLineChars="200"/>
        <w:jc w:val="left"/>
        <w:textAlignment w:val="auto"/>
        <w:rPr>
          <w:rFonts w:hint="eastAsia" w:ascii="宋体" w:hAnsi="宋体" w:eastAsia="宋体" w:cs="宋体"/>
          <w:b/>
          <w:bCs/>
          <w:kern w:val="2"/>
          <w:sz w:val="24"/>
          <w:szCs w:val="24"/>
        </w:rPr>
      </w:pPr>
      <w:bookmarkStart w:id="879" w:name="_Toc296503201"/>
      <w:bookmarkStart w:id="880" w:name="_Toc303539157"/>
      <w:bookmarkStart w:id="881" w:name="_Toc297048387"/>
      <w:bookmarkStart w:id="882" w:name="_Toc297216209"/>
      <w:bookmarkStart w:id="883" w:name="_Toc292559406"/>
      <w:bookmarkStart w:id="884" w:name="_Toc296891029"/>
      <w:bookmarkStart w:id="885" w:name="_Toc304295577"/>
      <w:bookmarkStart w:id="886" w:name="_Toc296347200"/>
      <w:bookmarkStart w:id="887" w:name="_Toc300935000"/>
      <w:bookmarkStart w:id="888" w:name="_Toc296944540"/>
      <w:bookmarkStart w:id="889" w:name="_Toc312678039"/>
      <w:bookmarkStart w:id="890" w:name="_Toc297123550"/>
      <w:bookmarkStart w:id="891" w:name="_Toc292559911"/>
      <w:bookmarkStart w:id="892" w:name="_Toc296891241"/>
      <w:bookmarkStart w:id="893" w:name="_Toc297120501"/>
      <w:bookmarkStart w:id="894" w:name="_Toc296346702"/>
      <w:r>
        <w:rPr>
          <w:rFonts w:hint="eastAsia" w:ascii="宋体" w:hAnsi="宋体" w:eastAsia="宋体" w:cs="宋体"/>
          <w:b/>
          <w:bCs/>
          <w:kern w:val="2"/>
          <w:sz w:val="24"/>
          <w:szCs w:val="24"/>
        </w:rPr>
        <w:t>11.1 市场价格波动引起的调整</w:t>
      </w:r>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p>
    <w:p w14:paraId="55EA1207">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sz w:val="24"/>
          <w:szCs w:val="24"/>
          <w:highlight w:val="none"/>
        </w:rPr>
        <w:t>市场价格波动是否调整合同价格的约定：</w:t>
      </w:r>
      <w:r>
        <w:rPr>
          <w:rFonts w:hint="eastAsia" w:ascii="宋体" w:hAnsi="宋体" w:cs="宋体"/>
          <w:sz w:val="24"/>
          <w:szCs w:val="24"/>
          <w:highlight w:val="none"/>
          <w:u w:val="single"/>
          <w:lang w:eastAsia="zh-CN"/>
        </w:rPr>
        <w:t>不</w:t>
      </w:r>
      <w:r>
        <w:rPr>
          <w:rFonts w:hint="eastAsia" w:ascii="宋体" w:hAnsi="宋体" w:eastAsia="宋体" w:cs="宋体"/>
          <w:kern w:val="2"/>
          <w:sz w:val="24"/>
          <w:szCs w:val="24"/>
          <w:highlight w:val="none"/>
          <w:u w:val="single"/>
        </w:rPr>
        <w:t>调整</w:t>
      </w:r>
      <w:r>
        <w:rPr>
          <w:rFonts w:hint="eastAsia" w:ascii="宋体" w:hAnsi="宋体" w:eastAsia="宋体" w:cs="宋体"/>
          <w:kern w:val="2"/>
          <w:sz w:val="24"/>
          <w:szCs w:val="24"/>
          <w:highlight w:val="none"/>
        </w:rPr>
        <w:t>。</w:t>
      </w:r>
    </w:p>
    <w:p w14:paraId="0E82CB13">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11.2措施项目费</w:t>
      </w:r>
    </w:p>
    <w:p w14:paraId="008FBAC0">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措施项目是指为完成工程项目施工，发生于该工程施工前和施工过程中技术、生活、安全等方面的非工程实体项目。措施项目费包括并不仅限于如下所列内容：现场安全文明施工措施费（为不可竞争费用）、地下管线的保护费用、甲供材料设备（如有）的施工现场保管费、甲供及乙供材料和设备的场内上下力费及二次搬运费、临时设施砌筑费、现场的洗车台制作、废弃物场内外运输等费用、各级政府相关管理部门对施工现场进行的有关市政工程安全防护、文明施工的各种检查而发生的费用、技术措施费、临时设施费、大型机械设备进出场及安拆费、赶工措施费、脚手架、垂直运输费、材料及机械设备的租赁费、工程用水加压措施费、白天及夜间照明及夜间施工增加费、承包人进入现场的开办费用、已完工程及设备保护费、招标文件和合同条款中包括的其他所有费用，以及承包人考虑应增加的其它措施费等。承包人在投标报价时应该将所有措施项目费考虑在内，费用标准自定，以包干形式计入（安全文明施工措施费除外），无论在投标报价中是否单独列出均由承包人承担，结算时与分部分项工程量变化、现场签证无关，不再调整。</w:t>
      </w:r>
    </w:p>
    <w:bookmarkEnd w:id="548"/>
    <w:bookmarkEnd w:id="549"/>
    <w:bookmarkEnd w:id="550"/>
    <w:bookmarkEnd w:id="551"/>
    <w:bookmarkEnd w:id="552"/>
    <w:bookmarkEnd w:id="553"/>
    <w:p w14:paraId="3400BF1F">
      <w:pPr>
        <w:keepNext/>
        <w:keepLines/>
        <w:pageBreakBefore w:val="0"/>
        <w:widowControl w:val="0"/>
        <w:kinsoku/>
        <w:wordWrap/>
        <w:overflowPunct/>
        <w:topLinePunct w:val="0"/>
        <w:bidi w:val="0"/>
        <w:adjustRightInd/>
        <w:snapToGrid/>
        <w:spacing w:line="360" w:lineRule="auto"/>
        <w:ind w:left="0" w:leftChars="0" w:firstLine="482" w:firstLineChars="200"/>
        <w:jc w:val="left"/>
        <w:textAlignment w:val="auto"/>
        <w:outlineLvl w:val="3"/>
        <w:rPr>
          <w:rFonts w:hint="eastAsia" w:ascii="宋体" w:hAnsi="宋体" w:eastAsia="宋体" w:cs="宋体"/>
          <w:b/>
          <w:bCs/>
          <w:kern w:val="2"/>
          <w:sz w:val="24"/>
          <w:szCs w:val="24"/>
        </w:rPr>
      </w:pPr>
      <w:bookmarkStart w:id="895" w:name="_Toc296944544"/>
      <w:bookmarkStart w:id="896" w:name="_Toc296346706"/>
      <w:bookmarkStart w:id="897" w:name="_Toc292559410"/>
      <w:bookmarkStart w:id="898" w:name="_Toc292559915"/>
      <w:bookmarkStart w:id="899" w:name="_Toc297048391"/>
      <w:bookmarkStart w:id="900" w:name="_Toc297120505"/>
      <w:bookmarkStart w:id="901" w:name="_Toc296891245"/>
      <w:bookmarkStart w:id="902" w:name="_Toc296503205"/>
      <w:bookmarkStart w:id="903" w:name="_Toc296891033"/>
      <w:bookmarkStart w:id="904" w:name="_Toc296347204"/>
      <w:bookmarkStart w:id="905" w:name="_Toc312678040"/>
      <w:bookmarkStart w:id="906" w:name="_Toc297216211"/>
      <w:bookmarkStart w:id="907" w:name="_Toc297123552"/>
      <w:bookmarkStart w:id="908" w:name="_Toc351203644"/>
      <w:bookmarkStart w:id="909" w:name="_Toc303539159"/>
      <w:bookmarkStart w:id="910" w:name="_Toc304295579"/>
      <w:bookmarkStart w:id="911" w:name="_Toc300935002"/>
      <w:r>
        <w:rPr>
          <w:rFonts w:hint="eastAsia" w:ascii="宋体" w:hAnsi="宋体" w:eastAsia="宋体" w:cs="宋体"/>
          <w:b/>
          <w:bCs/>
          <w:kern w:val="2"/>
          <w:sz w:val="24"/>
          <w:szCs w:val="24"/>
        </w:rPr>
        <w:t xml:space="preserve">12. </w:t>
      </w:r>
      <w:bookmarkEnd w:id="895"/>
      <w:bookmarkEnd w:id="896"/>
      <w:bookmarkEnd w:id="897"/>
      <w:bookmarkEnd w:id="898"/>
      <w:bookmarkEnd w:id="899"/>
      <w:bookmarkEnd w:id="900"/>
      <w:bookmarkEnd w:id="901"/>
      <w:bookmarkEnd w:id="902"/>
      <w:bookmarkEnd w:id="903"/>
      <w:bookmarkEnd w:id="904"/>
      <w:r>
        <w:rPr>
          <w:rFonts w:hint="eastAsia" w:ascii="宋体" w:hAnsi="宋体" w:eastAsia="宋体" w:cs="宋体"/>
          <w:b/>
          <w:bCs/>
          <w:kern w:val="2"/>
          <w:sz w:val="24"/>
          <w:szCs w:val="24"/>
        </w:rPr>
        <w:t>合同价格、计量与支付</w:t>
      </w:r>
      <w:bookmarkEnd w:id="905"/>
      <w:bookmarkEnd w:id="906"/>
      <w:bookmarkEnd w:id="907"/>
      <w:bookmarkEnd w:id="908"/>
      <w:bookmarkEnd w:id="909"/>
      <w:bookmarkEnd w:id="910"/>
      <w:bookmarkEnd w:id="911"/>
    </w:p>
    <w:p w14:paraId="1283EE70">
      <w:pPr>
        <w:pageBreakBefore w:val="0"/>
        <w:widowControl w:val="0"/>
        <w:kinsoku/>
        <w:wordWrap/>
        <w:overflowPunct/>
        <w:topLinePunct w:val="0"/>
        <w:bidi w:val="0"/>
        <w:adjustRightInd/>
        <w:snapToGrid/>
        <w:spacing w:line="360" w:lineRule="auto"/>
        <w:ind w:left="0" w:leftChars="0" w:firstLine="482" w:firstLineChars="200"/>
        <w:jc w:val="left"/>
        <w:textAlignment w:val="auto"/>
        <w:rPr>
          <w:rFonts w:hint="eastAsia" w:ascii="宋体" w:hAnsi="宋体" w:eastAsia="宋体" w:cs="宋体"/>
          <w:b/>
          <w:bCs/>
          <w:kern w:val="2"/>
          <w:sz w:val="24"/>
          <w:szCs w:val="24"/>
        </w:rPr>
      </w:pPr>
      <w:bookmarkStart w:id="912" w:name="_Toc292559411"/>
      <w:bookmarkStart w:id="913" w:name="_Toc292559916"/>
      <w:bookmarkStart w:id="914" w:name="_Toc267251461"/>
      <w:bookmarkStart w:id="915" w:name="_Toc296891034"/>
      <w:bookmarkStart w:id="916" w:name="_Toc296347205"/>
      <w:bookmarkStart w:id="917" w:name="_Toc296944545"/>
      <w:bookmarkStart w:id="918" w:name="_Toc297120506"/>
      <w:bookmarkStart w:id="919" w:name="_Toc296891246"/>
      <w:bookmarkStart w:id="920" w:name="_Toc297048392"/>
      <w:bookmarkStart w:id="921" w:name="_Toc296503206"/>
      <w:bookmarkStart w:id="922" w:name="_Toc296346707"/>
      <w:bookmarkStart w:id="923" w:name="_Toc297216212"/>
      <w:bookmarkStart w:id="924" w:name="_Toc300935003"/>
      <w:bookmarkStart w:id="925" w:name="_Toc297123553"/>
      <w:bookmarkStart w:id="926" w:name="_Toc304295580"/>
      <w:bookmarkStart w:id="927" w:name="_Toc312678041"/>
      <w:bookmarkStart w:id="928" w:name="_Toc303539160"/>
      <w:r>
        <w:rPr>
          <w:rFonts w:hint="eastAsia" w:ascii="宋体" w:hAnsi="宋体" w:eastAsia="宋体" w:cs="宋体"/>
          <w:b/>
          <w:bCs/>
          <w:kern w:val="2"/>
          <w:sz w:val="24"/>
          <w:szCs w:val="24"/>
        </w:rPr>
        <w:t>12.1 合</w:t>
      </w:r>
      <w:bookmarkEnd w:id="912"/>
      <w:bookmarkEnd w:id="913"/>
      <w:bookmarkEnd w:id="914"/>
      <w:r>
        <w:rPr>
          <w:rFonts w:hint="eastAsia" w:ascii="宋体" w:hAnsi="宋体" w:eastAsia="宋体" w:cs="宋体"/>
          <w:b/>
          <w:bCs/>
          <w:kern w:val="2"/>
          <w:sz w:val="24"/>
          <w:szCs w:val="24"/>
        </w:rPr>
        <w:t>同价</w:t>
      </w:r>
      <w:bookmarkEnd w:id="915"/>
      <w:bookmarkEnd w:id="916"/>
      <w:bookmarkEnd w:id="917"/>
      <w:bookmarkEnd w:id="918"/>
      <w:bookmarkEnd w:id="919"/>
      <w:bookmarkEnd w:id="920"/>
      <w:bookmarkEnd w:id="921"/>
      <w:bookmarkEnd w:id="922"/>
      <w:r>
        <w:rPr>
          <w:rFonts w:hint="eastAsia" w:ascii="宋体" w:hAnsi="宋体" w:eastAsia="宋体" w:cs="宋体"/>
          <w:b/>
          <w:bCs/>
          <w:kern w:val="2"/>
          <w:sz w:val="24"/>
          <w:szCs w:val="24"/>
        </w:rPr>
        <w:t>格形式</w:t>
      </w:r>
      <w:bookmarkEnd w:id="923"/>
      <w:bookmarkEnd w:id="924"/>
      <w:bookmarkEnd w:id="925"/>
      <w:bookmarkEnd w:id="926"/>
      <w:bookmarkEnd w:id="927"/>
      <w:bookmarkEnd w:id="928"/>
    </w:p>
    <w:p w14:paraId="4EF39B28">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1、单价合同。</w:t>
      </w:r>
    </w:p>
    <w:p w14:paraId="235F2723">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综合单价包含的风险范围：</w:t>
      </w:r>
    </w:p>
    <w:p w14:paraId="7C12478E">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u w:val="single"/>
        </w:rPr>
      </w:pPr>
      <w:r>
        <w:rPr>
          <w:rFonts w:hint="eastAsia" w:ascii="宋体" w:hAnsi="宋体" w:eastAsia="宋体" w:cs="宋体"/>
          <w:kern w:val="2"/>
          <w:sz w:val="24"/>
          <w:szCs w:val="24"/>
          <w:u w:val="single"/>
        </w:rPr>
        <w:t>（1）承包人须完全承担建设项目的技术和管理风险包括达到图纸预期效果的风险；</w:t>
      </w:r>
    </w:p>
    <w:p w14:paraId="4EBFFF63">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u w:val="single"/>
        </w:rPr>
      </w:pPr>
      <w:r>
        <w:rPr>
          <w:rFonts w:hint="eastAsia" w:ascii="宋体" w:hAnsi="宋体" w:eastAsia="宋体" w:cs="宋体"/>
          <w:kern w:val="2"/>
          <w:sz w:val="24"/>
          <w:szCs w:val="24"/>
          <w:u w:val="single"/>
        </w:rPr>
        <w:t>（2）承包人有承限度的承担市场风险，详见合同专用条款第11.1款；</w:t>
      </w:r>
    </w:p>
    <w:p w14:paraId="19F12F7A">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u w:val="single"/>
        </w:rPr>
      </w:pPr>
      <w:r>
        <w:rPr>
          <w:rFonts w:hint="eastAsia" w:ascii="宋体" w:hAnsi="宋体" w:eastAsia="宋体" w:cs="宋体"/>
          <w:kern w:val="2"/>
          <w:sz w:val="24"/>
          <w:szCs w:val="24"/>
          <w:u w:val="single"/>
        </w:rPr>
        <w:t>（3）发包人须完全承担法律、法规、规章和政策发生变化的风险，人工费调整的风险（详见合同专业条款第11.1（1）款），由政府定价或政府指导价的原材料价格调整的风险（详见合同专业条款第11.1（1）款）；</w:t>
      </w:r>
    </w:p>
    <w:p w14:paraId="4314BF2F">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u w:val="single"/>
        </w:rPr>
      </w:pPr>
      <w:r>
        <w:rPr>
          <w:rFonts w:hint="eastAsia" w:ascii="宋体" w:hAnsi="宋体" w:eastAsia="宋体" w:cs="宋体"/>
          <w:kern w:val="2"/>
          <w:sz w:val="24"/>
          <w:szCs w:val="24"/>
          <w:u w:val="single"/>
        </w:rPr>
        <w:t>（4）对于不可抗力的风险发包人和承包人各自承担各自损失。</w:t>
      </w:r>
    </w:p>
    <w:p w14:paraId="36EE039F">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cs="宋体"/>
          <w:kern w:val="2"/>
          <w:sz w:val="24"/>
          <w:szCs w:val="24"/>
          <w:highlight w:val="none"/>
          <w:u w:val="single"/>
          <w:lang w:eastAsia="zh-CN"/>
        </w:rPr>
      </w:pPr>
      <w:r>
        <w:rPr>
          <w:rFonts w:hint="eastAsia" w:ascii="宋体" w:hAnsi="宋体" w:cs="宋体"/>
          <w:kern w:val="2"/>
          <w:sz w:val="24"/>
          <w:szCs w:val="24"/>
          <w:highlight w:val="none"/>
          <w:u w:val="single"/>
          <w:lang w:eastAsia="zh-CN"/>
        </w:rPr>
        <w:t>（</w:t>
      </w:r>
      <w:r>
        <w:rPr>
          <w:rFonts w:hint="eastAsia" w:ascii="宋体" w:hAnsi="宋体" w:cs="宋体"/>
          <w:kern w:val="2"/>
          <w:sz w:val="24"/>
          <w:szCs w:val="24"/>
          <w:highlight w:val="none"/>
          <w:u w:val="single"/>
          <w:lang w:val="en-US" w:eastAsia="zh-CN"/>
        </w:rPr>
        <w:t>5</w:t>
      </w:r>
      <w:r>
        <w:rPr>
          <w:rFonts w:hint="eastAsia" w:ascii="宋体" w:hAnsi="宋体" w:cs="宋体"/>
          <w:kern w:val="2"/>
          <w:sz w:val="24"/>
          <w:szCs w:val="24"/>
          <w:highlight w:val="none"/>
          <w:u w:val="single"/>
          <w:lang w:eastAsia="zh-CN"/>
        </w:rPr>
        <w:t>）</w:t>
      </w:r>
      <w:r>
        <w:rPr>
          <w:rFonts w:hint="eastAsia" w:ascii="宋体" w:hAnsi="宋体" w:eastAsia="宋体" w:cs="宋体"/>
          <w:szCs w:val="24"/>
          <w:highlight w:val="none"/>
          <w:u w:val="single"/>
        </w:rPr>
        <w:t>对清单及图纸中缺少的必要施工工艺及步骤，</w:t>
      </w:r>
      <w:r>
        <w:rPr>
          <w:rFonts w:hint="eastAsia" w:ascii="宋体" w:hAnsi="宋体" w:cs="宋体"/>
          <w:szCs w:val="24"/>
          <w:highlight w:val="none"/>
          <w:u w:val="single"/>
          <w:lang w:val="en-US" w:eastAsia="zh-CN"/>
        </w:rPr>
        <w:t>承包人应在投标前</w:t>
      </w:r>
      <w:r>
        <w:rPr>
          <w:rFonts w:hint="eastAsia" w:ascii="宋体" w:hAnsi="宋体" w:eastAsia="宋体" w:cs="宋体"/>
          <w:szCs w:val="24"/>
          <w:highlight w:val="none"/>
          <w:u w:val="single"/>
        </w:rPr>
        <w:t>根据现场的实际情况提出异议的，</w:t>
      </w:r>
      <w:r>
        <w:rPr>
          <w:rFonts w:hint="eastAsia" w:ascii="宋体" w:hAnsi="宋体" w:cs="宋体"/>
          <w:szCs w:val="24"/>
          <w:highlight w:val="none"/>
          <w:u w:val="single"/>
          <w:lang w:val="en-US" w:eastAsia="zh-CN"/>
        </w:rPr>
        <w:t>未提出异议的，中标后</w:t>
      </w:r>
      <w:r>
        <w:rPr>
          <w:rFonts w:hint="eastAsia" w:ascii="宋体" w:hAnsi="宋体" w:eastAsia="宋体" w:cs="宋体"/>
          <w:szCs w:val="24"/>
          <w:highlight w:val="none"/>
          <w:u w:val="single"/>
        </w:rPr>
        <w:t>增补项作为默认包含项</w:t>
      </w:r>
      <w:r>
        <w:rPr>
          <w:rFonts w:hint="eastAsia" w:ascii="宋体" w:hAnsi="宋体" w:cs="宋体"/>
          <w:szCs w:val="24"/>
          <w:highlight w:val="none"/>
          <w:u w:val="single"/>
          <w:lang w:eastAsia="zh-CN"/>
        </w:rPr>
        <w:t>，</w:t>
      </w:r>
      <w:r>
        <w:rPr>
          <w:rFonts w:hint="eastAsia" w:ascii="宋体" w:hAnsi="宋体" w:cs="宋体"/>
          <w:szCs w:val="24"/>
          <w:highlight w:val="none"/>
          <w:u w:val="single"/>
          <w:lang w:val="en-US" w:eastAsia="zh-CN"/>
        </w:rPr>
        <w:t>承包人</w:t>
      </w:r>
      <w:r>
        <w:rPr>
          <w:rFonts w:hint="eastAsia" w:ascii="宋体" w:hAnsi="宋体" w:eastAsia="宋体" w:cs="宋体"/>
          <w:szCs w:val="24"/>
          <w:highlight w:val="none"/>
          <w:u w:val="single"/>
        </w:rPr>
        <w:t>不得以不完全了解施工现场</w:t>
      </w:r>
      <w:r>
        <w:rPr>
          <w:rFonts w:hint="eastAsia" w:ascii="宋体" w:hAnsi="宋体" w:cs="宋体"/>
          <w:szCs w:val="24"/>
          <w:highlight w:val="none"/>
          <w:u w:val="single"/>
          <w:lang w:eastAsia="zh-CN"/>
        </w:rPr>
        <w:t>、</w:t>
      </w:r>
      <w:r>
        <w:rPr>
          <w:rFonts w:hint="eastAsia" w:ascii="宋体" w:hAnsi="宋体" w:cs="宋体"/>
          <w:szCs w:val="24"/>
          <w:highlight w:val="none"/>
          <w:u w:val="single"/>
          <w:lang w:val="en-US" w:eastAsia="zh-CN"/>
        </w:rPr>
        <w:t>图纸或清单缺项</w:t>
      </w:r>
      <w:r>
        <w:rPr>
          <w:rFonts w:hint="eastAsia" w:ascii="宋体" w:hAnsi="宋体" w:eastAsia="宋体" w:cs="宋体"/>
          <w:szCs w:val="24"/>
          <w:highlight w:val="none"/>
          <w:u w:val="single"/>
        </w:rPr>
        <w:t>为由，而提出额外的赔偿、增加费用和延长工期等要求，对此</w:t>
      </w:r>
      <w:r>
        <w:rPr>
          <w:rFonts w:hint="eastAsia" w:ascii="宋体" w:hAnsi="宋体" w:cs="宋体"/>
          <w:szCs w:val="24"/>
          <w:highlight w:val="none"/>
          <w:u w:val="single"/>
          <w:lang w:val="en-US" w:eastAsia="zh-CN"/>
        </w:rPr>
        <w:t>发包人</w:t>
      </w:r>
      <w:r>
        <w:rPr>
          <w:rFonts w:hint="eastAsia" w:ascii="宋体" w:hAnsi="宋体" w:eastAsia="宋体" w:cs="宋体"/>
          <w:szCs w:val="24"/>
          <w:highlight w:val="none"/>
          <w:u w:val="single"/>
        </w:rPr>
        <w:t>一概不予采纳</w:t>
      </w:r>
      <w:r>
        <w:rPr>
          <w:rFonts w:hint="eastAsia" w:ascii="宋体" w:hAnsi="宋体" w:cs="宋体"/>
          <w:szCs w:val="24"/>
          <w:highlight w:val="none"/>
          <w:u w:val="single"/>
          <w:lang w:val="en-US" w:eastAsia="zh-CN"/>
        </w:rPr>
        <w:t>的风险</w:t>
      </w:r>
      <w:r>
        <w:rPr>
          <w:rFonts w:hint="eastAsia" w:ascii="宋体" w:hAnsi="宋体" w:cs="宋体"/>
          <w:kern w:val="2"/>
          <w:sz w:val="24"/>
          <w:szCs w:val="24"/>
          <w:highlight w:val="none"/>
          <w:u w:val="single"/>
          <w:lang w:eastAsia="zh-CN"/>
        </w:rPr>
        <w:t>。</w:t>
      </w:r>
    </w:p>
    <w:p w14:paraId="5BEFEF11">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cs="宋体"/>
          <w:kern w:val="2"/>
          <w:sz w:val="24"/>
          <w:szCs w:val="24"/>
          <w:highlight w:val="none"/>
          <w:u w:val="single"/>
          <w:lang w:val="en-US" w:eastAsia="zh-CN"/>
        </w:rPr>
      </w:pPr>
      <w:r>
        <w:rPr>
          <w:rFonts w:hint="eastAsia" w:ascii="宋体" w:hAnsi="宋体" w:cs="宋体"/>
          <w:kern w:val="2"/>
          <w:sz w:val="24"/>
          <w:szCs w:val="24"/>
          <w:highlight w:val="none"/>
          <w:u w:val="single"/>
          <w:lang w:val="en-US" w:eastAsia="zh-CN"/>
        </w:rPr>
        <w:t>（6）除发包人同意的设计变更以外最终支付的审定价不得超过合同价的风险。</w:t>
      </w:r>
    </w:p>
    <w:p w14:paraId="525CA626">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default" w:ascii="宋体" w:hAnsi="宋体" w:cs="宋体"/>
          <w:kern w:val="2"/>
          <w:sz w:val="24"/>
          <w:szCs w:val="24"/>
          <w:highlight w:val="none"/>
          <w:u w:val="single"/>
          <w:lang w:val="en-US" w:eastAsia="zh-CN"/>
        </w:rPr>
      </w:pPr>
      <w:r>
        <w:rPr>
          <w:rFonts w:hint="eastAsia" w:ascii="宋体" w:hAnsi="宋体" w:cs="宋体"/>
          <w:kern w:val="2"/>
          <w:sz w:val="24"/>
          <w:szCs w:val="24"/>
          <w:highlight w:val="none"/>
          <w:u w:val="single"/>
          <w:lang w:val="en-US" w:eastAsia="zh-CN"/>
        </w:rPr>
        <w:t>（7）审定价超过合同价无法支付的风险。</w:t>
      </w:r>
    </w:p>
    <w:p w14:paraId="7E04D35E">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u w:val="single"/>
        </w:rPr>
      </w:pPr>
      <w:r>
        <w:rPr>
          <w:rFonts w:hint="eastAsia" w:ascii="宋体" w:hAnsi="宋体" w:eastAsia="宋体" w:cs="宋体"/>
          <w:kern w:val="2"/>
          <w:sz w:val="24"/>
          <w:szCs w:val="24"/>
        </w:rPr>
        <w:t>风险费用的计算方法：</w:t>
      </w:r>
      <w:r>
        <w:rPr>
          <w:rFonts w:hint="eastAsia" w:ascii="宋体" w:hAnsi="宋体" w:eastAsia="宋体" w:cs="宋体"/>
          <w:kern w:val="2"/>
          <w:sz w:val="24"/>
          <w:szCs w:val="24"/>
          <w:u w:val="single"/>
        </w:rPr>
        <w:t>承包人在投标报价时已经知晓上述风险范围，已经考虑相应的风险费用计入报价,除发包人规定的和政策性文件规定的可以调整的范围外，其余均不予调差。</w:t>
      </w:r>
    </w:p>
    <w:p w14:paraId="6E599699">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风险范围以外合同价格的调整方法：</w:t>
      </w:r>
    </w:p>
    <w:p w14:paraId="486C1BDB">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u w:val="single"/>
        </w:rPr>
      </w:pPr>
      <w:r>
        <w:rPr>
          <w:rFonts w:hint="eastAsia" w:ascii="宋体" w:hAnsi="宋体" w:eastAsia="宋体" w:cs="宋体"/>
          <w:kern w:val="2"/>
          <w:sz w:val="24"/>
          <w:szCs w:val="24"/>
          <w:u w:val="single"/>
        </w:rPr>
        <w:t>（1）发包人认可的设计变更；</w:t>
      </w:r>
    </w:p>
    <w:p w14:paraId="0602B7C9">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u w:val="single"/>
        </w:rPr>
      </w:pPr>
      <w:r>
        <w:rPr>
          <w:rFonts w:hint="eastAsia" w:ascii="宋体" w:hAnsi="宋体" w:eastAsia="宋体" w:cs="宋体"/>
          <w:kern w:val="2"/>
          <w:sz w:val="24"/>
          <w:szCs w:val="24"/>
          <w:u w:val="single"/>
        </w:rPr>
        <w:t>（2）发包人、监理均认可的现场签证；</w:t>
      </w:r>
    </w:p>
    <w:p w14:paraId="618AAFF2">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u w:val="single"/>
        </w:rPr>
      </w:pPr>
      <w:r>
        <w:rPr>
          <w:rFonts w:hint="eastAsia" w:ascii="宋体" w:hAnsi="宋体" w:eastAsia="宋体" w:cs="宋体"/>
          <w:kern w:val="2"/>
          <w:sz w:val="24"/>
          <w:szCs w:val="24"/>
          <w:u w:val="single"/>
        </w:rPr>
        <w:t>（3）发包人及监理认可的材料代用（材料代用引起的量差和价差）；</w:t>
      </w:r>
    </w:p>
    <w:p w14:paraId="78CEEB5A">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u w:val="single"/>
        </w:rPr>
      </w:pPr>
      <w:r>
        <w:rPr>
          <w:rFonts w:hint="eastAsia" w:ascii="宋体" w:hAnsi="宋体" w:eastAsia="宋体" w:cs="宋体"/>
          <w:kern w:val="2"/>
          <w:sz w:val="24"/>
          <w:szCs w:val="24"/>
          <w:u w:val="single"/>
        </w:rPr>
        <w:t>（4）工程量清单中已有但实际施工中未发生的项目（扣减）；</w:t>
      </w:r>
    </w:p>
    <w:p w14:paraId="7C0DA24D">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u w:val="single"/>
        </w:rPr>
      </w:pPr>
      <w:r>
        <w:rPr>
          <w:rFonts w:hint="eastAsia" w:ascii="宋体" w:hAnsi="宋体" w:eastAsia="宋体" w:cs="宋体"/>
          <w:kern w:val="2"/>
          <w:sz w:val="24"/>
          <w:szCs w:val="24"/>
          <w:u w:val="single"/>
        </w:rPr>
        <w:t>（5）其它不可抗力造成的意外情况，调整前需经政府相关部门认可；</w:t>
      </w:r>
    </w:p>
    <w:p w14:paraId="661261A3">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u w:val="single"/>
        </w:rPr>
      </w:pPr>
      <w:r>
        <w:rPr>
          <w:rFonts w:hint="eastAsia" w:ascii="宋体" w:hAnsi="宋体" w:eastAsia="宋体" w:cs="宋体"/>
          <w:kern w:val="2"/>
          <w:sz w:val="24"/>
          <w:szCs w:val="24"/>
          <w:u w:val="single"/>
        </w:rPr>
        <w:t>（6）对设计变更、签证部分：按照10.4.1 变更估价原则执行。</w:t>
      </w:r>
    </w:p>
    <w:p w14:paraId="77BFD2C8">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highlight w:val="none"/>
          <w:u w:val="single"/>
          <w:lang w:eastAsia="zh-CN"/>
        </w:rPr>
      </w:pPr>
      <w:r>
        <w:rPr>
          <w:rFonts w:hint="eastAsia" w:ascii="宋体" w:hAnsi="宋体" w:cs="宋体"/>
          <w:kern w:val="2"/>
          <w:sz w:val="24"/>
          <w:szCs w:val="24"/>
          <w:highlight w:val="none"/>
          <w:u w:val="single"/>
          <w:lang w:eastAsia="zh-CN"/>
        </w:rPr>
        <w:t>（</w:t>
      </w:r>
      <w:r>
        <w:rPr>
          <w:rFonts w:hint="eastAsia" w:ascii="宋体" w:hAnsi="宋体" w:cs="宋体"/>
          <w:kern w:val="2"/>
          <w:sz w:val="24"/>
          <w:szCs w:val="24"/>
          <w:highlight w:val="none"/>
          <w:u w:val="single"/>
          <w:lang w:val="en-US" w:eastAsia="zh-CN"/>
        </w:rPr>
        <w:t>7</w:t>
      </w:r>
      <w:r>
        <w:rPr>
          <w:rFonts w:hint="eastAsia" w:ascii="宋体" w:hAnsi="宋体" w:cs="宋体"/>
          <w:kern w:val="2"/>
          <w:sz w:val="24"/>
          <w:szCs w:val="24"/>
          <w:highlight w:val="none"/>
          <w:u w:val="single"/>
          <w:lang w:eastAsia="zh-CN"/>
        </w:rPr>
        <w:t>）材料价及信息价不调整的风险。</w:t>
      </w:r>
    </w:p>
    <w:p w14:paraId="5C5A792D">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 xml:space="preserve">2、总价合同： </w:t>
      </w:r>
      <w:r>
        <w:rPr>
          <w:rFonts w:hint="eastAsia" w:ascii="宋体" w:hAnsi="宋体" w:eastAsia="宋体" w:cs="宋体"/>
          <w:kern w:val="2"/>
          <w:sz w:val="24"/>
          <w:szCs w:val="24"/>
          <w:u w:val="single"/>
        </w:rPr>
        <w:t>不采用。</w:t>
      </w:r>
    </w:p>
    <w:p w14:paraId="15B43F91">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 xml:space="preserve">3、其他价格方式： </w:t>
      </w:r>
      <w:r>
        <w:rPr>
          <w:rFonts w:hint="eastAsia" w:ascii="宋体" w:hAnsi="宋体" w:eastAsia="宋体" w:cs="宋体"/>
          <w:kern w:val="2"/>
          <w:sz w:val="24"/>
          <w:szCs w:val="24"/>
          <w:u w:val="single"/>
        </w:rPr>
        <w:t>不采用。</w:t>
      </w:r>
    </w:p>
    <w:p w14:paraId="6D158A54">
      <w:pPr>
        <w:pageBreakBefore w:val="0"/>
        <w:widowControl w:val="0"/>
        <w:kinsoku/>
        <w:wordWrap/>
        <w:overflowPunct/>
        <w:topLinePunct w:val="0"/>
        <w:bidi w:val="0"/>
        <w:adjustRightInd/>
        <w:snapToGrid/>
        <w:spacing w:line="360" w:lineRule="auto"/>
        <w:ind w:left="0" w:leftChars="0" w:firstLine="482" w:firstLineChars="200"/>
        <w:jc w:val="left"/>
        <w:textAlignment w:val="auto"/>
        <w:rPr>
          <w:rFonts w:hint="eastAsia" w:ascii="宋体" w:hAnsi="宋体" w:eastAsia="宋体" w:cs="宋体"/>
          <w:b/>
          <w:bCs/>
          <w:kern w:val="2"/>
          <w:sz w:val="24"/>
          <w:szCs w:val="24"/>
        </w:rPr>
      </w:pPr>
      <w:bookmarkStart w:id="929" w:name="_Toc312678042"/>
      <w:bookmarkStart w:id="930" w:name="_Toc303539161"/>
      <w:bookmarkStart w:id="931" w:name="_Toc304295581"/>
      <w:bookmarkStart w:id="932" w:name="_Toc300935004"/>
      <w:bookmarkStart w:id="933" w:name="_Toc297216213"/>
      <w:bookmarkStart w:id="934" w:name="_Toc297123554"/>
      <w:bookmarkStart w:id="935" w:name="_Toc292559412"/>
      <w:bookmarkStart w:id="936" w:name="_Toc292559917"/>
      <w:bookmarkStart w:id="937" w:name="_Toc296891247"/>
      <w:bookmarkStart w:id="938" w:name="_Toc296347206"/>
      <w:bookmarkStart w:id="939" w:name="_Toc296891035"/>
      <w:bookmarkStart w:id="940" w:name="_Toc296944546"/>
      <w:bookmarkStart w:id="941" w:name="_Toc297048393"/>
      <w:bookmarkStart w:id="942" w:name="_Toc296346708"/>
      <w:bookmarkStart w:id="943" w:name="_Toc297120507"/>
      <w:bookmarkStart w:id="944" w:name="_Toc296503207"/>
      <w:r>
        <w:rPr>
          <w:rFonts w:hint="eastAsia" w:ascii="宋体" w:hAnsi="宋体" w:eastAsia="宋体" w:cs="宋体"/>
          <w:b/>
          <w:bCs/>
          <w:kern w:val="2"/>
          <w:sz w:val="24"/>
          <w:szCs w:val="24"/>
        </w:rPr>
        <w:t>12.2 预付款</w:t>
      </w:r>
      <w:bookmarkEnd w:id="929"/>
      <w:bookmarkEnd w:id="930"/>
      <w:bookmarkEnd w:id="931"/>
      <w:bookmarkEnd w:id="932"/>
      <w:bookmarkEnd w:id="933"/>
      <w:bookmarkEnd w:id="934"/>
    </w:p>
    <w:p w14:paraId="490411F3">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12.2.1 预付款的支付</w:t>
      </w:r>
    </w:p>
    <w:p w14:paraId="2EFBB04D">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预付款支付比例或金额：</w:t>
      </w:r>
      <w:r>
        <w:rPr>
          <w:rFonts w:hint="eastAsia" w:ascii="宋体" w:hAnsi="宋体" w:eastAsia="宋体" w:cs="宋体"/>
          <w:kern w:val="2"/>
          <w:sz w:val="24"/>
          <w:szCs w:val="24"/>
          <w:u w:val="single"/>
        </w:rPr>
        <w:t>付合同基准价的30%（含安全文明施工措施费的60%）（合同基准价=承包人的投标总价-暂列金-甲供材-发包人代缴费用）。</w:t>
      </w:r>
    </w:p>
    <w:p w14:paraId="2D148D65">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预付款支付期限：</w:t>
      </w:r>
      <w:r>
        <w:rPr>
          <w:rFonts w:hint="eastAsia" w:ascii="宋体" w:hAnsi="宋体" w:eastAsia="宋体" w:cs="宋体"/>
          <w:kern w:val="2"/>
          <w:sz w:val="24"/>
          <w:szCs w:val="24"/>
          <w:u w:val="single"/>
        </w:rPr>
        <w:t>详见支付条款。</w:t>
      </w:r>
    </w:p>
    <w:p w14:paraId="074EB267">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预付款扣回的方式：</w:t>
      </w:r>
      <w:r>
        <w:rPr>
          <w:rFonts w:hint="eastAsia" w:ascii="宋体" w:hAnsi="宋体" w:eastAsia="宋体" w:cs="宋体"/>
          <w:kern w:val="2"/>
          <w:sz w:val="24"/>
          <w:szCs w:val="24"/>
          <w:u w:val="single"/>
        </w:rPr>
        <w:t>不另行扣回，在第一次付款时抵做工程款</w:t>
      </w:r>
      <w:r>
        <w:rPr>
          <w:rFonts w:hint="eastAsia" w:ascii="宋体" w:hAnsi="宋体" w:eastAsia="宋体" w:cs="宋体"/>
          <w:kern w:val="2"/>
          <w:sz w:val="24"/>
          <w:szCs w:val="24"/>
        </w:rPr>
        <w:t>。</w:t>
      </w:r>
      <w:bookmarkEnd w:id="935"/>
      <w:bookmarkEnd w:id="936"/>
      <w:bookmarkEnd w:id="937"/>
      <w:bookmarkEnd w:id="938"/>
      <w:bookmarkEnd w:id="939"/>
      <w:bookmarkEnd w:id="940"/>
      <w:bookmarkEnd w:id="941"/>
      <w:bookmarkEnd w:id="942"/>
      <w:bookmarkEnd w:id="943"/>
      <w:bookmarkEnd w:id="944"/>
    </w:p>
    <w:p w14:paraId="37235105">
      <w:pPr>
        <w:pageBreakBefore w:val="0"/>
        <w:widowControl w:val="0"/>
        <w:kinsoku/>
        <w:wordWrap/>
        <w:overflowPunct/>
        <w:topLinePunct w:val="0"/>
        <w:bidi w:val="0"/>
        <w:adjustRightInd/>
        <w:snapToGrid/>
        <w:spacing w:line="360" w:lineRule="auto"/>
        <w:ind w:left="0" w:leftChars="0" w:firstLine="482" w:firstLineChars="200"/>
        <w:jc w:val="left"/>
        <w:textAlignment w:val="auto"/>
        <w:rPr>
          <w:rFonts w:hint="eastAsia" w:ascii="宋体" w:hAnsi="宋体" w:eastAsia="宋体" w:cs="宋体"/>
          <w:b/>
          <w:bCs/>
          <w:kern w:val="2"/>
          <w:sz w:val="24"/>
          <w:szCs w:val="24"/>
        </w:rPr>
      </w:pPr>
      <w:r>
        <w:rPr>
          <w:rFonts w:hint="eastAsia" w:ascii="宋体" w:hAnsi="宋体" w:eastAsia="宋体" w:cs="宋体"/>
          <w:b/>
          <w:bCs/>
          <w:kern w:val="2"/>
          <w:sz w:val="24"/>
          <w:szCs w:val="24"/>
        </w:rPr>
        <w:t>12.3 计量</w:t>
      </w:r>
    </w:p>
    <w:p w14:paraId="328A330A">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12.3.1 计量原则</w:t>
      </w:r>
    </w:p>
    <w:p w14:paraId="0C799F86">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工程量计算规则：</w:t>
      </w:r>
      <w:r>
        <w:rPr>
          <w:rFonts w:hint="eastAsia" w:ascii="宋体" w:hAnsi="宋体" w:eastAsia="宋体" w:cs="宋体"/>
          <w:kern w:val="2"/>
          <w:sz w:val="24"/>
          <w:szCs w:val="24"/>
          <w:u w:val="single"/>
        </w:rPr>
        <w:t>符合《建设工程工程量清单计价规范》GB50500－2013系列文件及2014版《江苏省建筑与装饰工程计价定额》、2014版《江苏省安装工程计价定额》、2014版《江苏省市政工程计价定额》、2014版《江苏省建设工程费用定额》等</w:t>
      </w:r>
      <w:r>
        <w:rPr>
          <w:rFonts w:hint="eastAsia" w:ascii="宋体" w:hAnsi="宋体" w:eastAsia="宋体" w:cs="宋体"/>
          <w:kern w:val="2"/>
          <w:sz w:val="24"/>
          <w:szCs w:val="24"/>
        </w:rPr>
        <w:t>。</w:t>
      </w:r>
    </w:p>
    <w:p w14:paraId="7ABBC2DB">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12.3.2 计量周期</w:t>
      </w:r>
    </w:p>
    <w:p w14:paraId="366CA185">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关于计量周期的约定：</w:t>
      </w:r>
      <w:r>
        <w:rPr>
          <w:rFonts w:hint="eastAsia" w:ascii="宋体" w:hAnsi="宋体" w:eastAsia="宋体" w:cs="宋体"/>
          <w:kern w:val="2"/>
          <w:sz w:val="24"/>
          <w:szCs w:val="24"/>
          <w:u w:val="single"/>
        </w:rPr>
        <w:t>每周为一个计量周期，每月做一次汇总</w:t>
      </w:r>
      <w:r>
        <w:rPr>
          <w:rFonts w:hint="eastAsia" w:ascii="宋体" w:hAnsi="宋体" w:eastAsia="宋体" w:cs="宋体"/>
          <w:kern w:val="2"/>
          <w:sz w:val="24"/>
          <w:szCs w:val="24"/>
        </w:rPr>
        <w:t>。</w:t>
      </w:r>
    </w:p>
    <w:p w14:paraId="79F32C52">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12.3.3 单价合同的计量</w:t>
      </w:r>
    </w:p>
    <w:p w14:paraId="547E18AC">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u w:val="single"/>
        </w:rPr>
      </w:pPr>
      <w:r>
        <w:rPr>
          <w:rFonts w:hint="eastAsia" w:ascii="宋体" w:hAnsi="宋体" w:eastAsia="宋体" w:cs="宋体"/>
          <w:kern w:val="2"/>
          <w:sz w:val="24"/>
          <w:szCs w:val="24"/>
        </w:rPr>
        <w:t>关于单价合同计量的约定：</w:t>
      </w:r>
      <w:r>
        <w:rPr>
          <w:rFonts w:hint="eastAsia" w:ascii="宋体" w:hAnsi="宋体" w:eastAsia="宋体" w:cs="宋体"/>
          <w:sz w:val="24"/>
          <w:szCs w:val="24"/>
          <w:u w:val="single"/>
        </w:rPr>
        <w:t>工程计量时，若发现招标工程量清单中出现缺项、工程量偏差，或因工程变更引起工程量的增减，应按承包人在履行合同过程中实际完成的工程量计量，允许调整合同价格的工程量偏差范围按本专用合同条款执行；其他按通用合同条款执行。（1）承包人应于每月 15 日向监理人报送上月15 日至当月 14 日已完成的工程量报告，并附具进度款申请单、已完工程量报表和有关资料。（2）监理人应在收到承包人提交的工程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2E1D34B5">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12.3.4 总价合同的计量</w:t>
      </w:r>
    </w:p>
    <w:p w14:paraId="1BADA8FB">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关于总价合同计量的约定：</w:t>
      </w:r>
      <w:r>
        <w:rPr>
          <w:rFonts w:hint="eastAsia" w:ascii="宋体" w:hAnsi="宋体" w:eastAsia="宋体" w:cs="宋体"/>
          <w:kern w:val="2"/>
          <w:sz w:val="24"/>
          <w:szCs w:val="24"/>
          <w:u w:val="single"/>
        </w:rPr>
        <w:t>无</w:t>
      </w:r>
      <w:r>
        <w:rPr>
          <w:rFonts w:hint="eastAsia" w:ascii="宋体" w:hAnsi="宋体" w:eastAsia="宋体" w:cs="宋体"/>
          <w:kern w:val="2"/>
          <w:sz w:val="24"/>
          <w:szCs w:val="24"/>
        </w:rPr>
        <w:t>。</w:t>
      </w:r>
    </w:p>
    <w:p w14:paraId="2680D731">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12.3.5总价合同采用支付分解表计量支付的，是否适用第</w:t>
      </w:r>
      <w:r>
        <w:rPr>
          <w:rFonts w:hint="eastAsia" w:ascii="宋体" w:hAnsi="宋体" w:eastAsia="宋体" w:cs="宋体"/>
          <w:sz w:val="24"/>
          <w:szCs w:val="24"/>
        </w:rPr>
        <w:t xml:space="preserve">12.3.4 </w:t>
      </w:r>
      <w:r>
        <w:rPr>
          <w:rFonts w:hint="eastAsia" w:ascii="宋体" w:hAnsi="宋体" w:eastAsia="宋体" w:cs="宋体"/>
          <w:kern w:val="2"/>
          <w:sz w:val="24"/>
          <w:szCs w:val="24"/>
        </w:rPr>
        <w:t>项</w:t>
      </w:r>
      <w:r>
        <w:rPr>
          <w:rFonts w:hint="eastAsia" w:ascii="宋体" w:hAnsi="宋体" w:eastAsia="宋体" w:cs="宋体"/>
          <w:sz w:val="24"/>
          <w:szCs w:val="24"/>
        </w:rPr>
        <w:t>〔总价合同的计量〕</w:t>
      </w:r>
      <w:r>
        <w:rPr>
          <w:rFonts w:hint="eastAsia" w:ascii="宋体" w:hAnsi="宋体" w:eastAsia="宋体" w:cs="宋体"/>
          <w:kern w:val="2"/>
          <w:sz w:val="24"/>
          <w:szCs w:val="24"/>
        </w:rPr>
        <w:t>约定进行计量：</w:t>
      </w:r>
      <w:r>
        <w:rPr>
          <w:rFonts w:hint="eastAsia" w:ascii="宋体" w:hAnsi="宋体" w:eastAsia="宋体" w:cs="宋体"/>
          <w:kern w:val="2"/>
          <w:sz w:val="24"/>
          <w:szCs w:val="24"/>
          <w:u w:val="single"/>
        </w:rPr>
        <w:t>无</w:t>
      </w:r>
      <w:r>
        <w:rPr>
          <w:rFonts w:hint="eastAsia" w:ascii="宋体" w:hAnsi="宋体" w:eastAsia="宋体" w:cs="宋体"/>
          <w:kern w:val="2"/>
          <w:sz w:val="24"/>
          <w:szCs w:val="24"/>
        </w:rPr>
        <w:t>。</w:t>
      </w:r>
    </w:p>
    <w:p w14:paraId="2D67C6FE">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12.3.6 其他价格形式合同的计量</w:t>
      </w:r>
    </w:p>
    <w:p w14:paraId="7EDC094D">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rPr>
        <w:t>其他价格形式的计量方式和程序：</w:t>
      </w:r>
      <w:r>
        <w:rPr>
          <w:rFonts w:hint="eastAsia" w:ascii="宋体" w:hAnsi="宋体" w:eastAsia="宋体" w:cs="宋体"/>
          <w:kern w:val="2"/>
          <w:sz w:val="24"/>
          <w:szCs w:val="24"/>
          <w:u w:val="single"/>
        </w:rPr>
        <w:t>无</w:t>
      </w:r>
      <w:r>
        <w:rPr>
          <w:rFonts w:hint="eastAsia" w:ascii="宋体" w:hAnsi="宋体" w:eastAsia="宋体" w:cs="宋体"/>
          <w:kern w:val="2"/>
          <w:sz w:val="24"/>
          <w:szCs w:val="24"/>
        </w:rPr>
        <w:t>。</w:t>
      </w:r>
    </w:p>
    <w:p w14:paraId="42BBB95E">
      <w:pPr>
        <w:pageBreakBefore w:val="0"/>
        <w:widowControl w:val="0"/>
        <w:kinsoku/>
        <w:wordWrap/>
        <w:overflowPunct/>
        <w:topLinePunct w:val="0"/>
        <w:bidi w:val="0"/>
        <w:adjustRightInd/>
        <w:snapToGrid/>
        <w:spacing w:line="360" w:lineRule="auto"/>
        <w:ind w:left="0" w:leftChars="0" w:firstLine="482" w:firstLineChars="200"/>
        <w:jc w:val="left"/>
        <w:textAlignment w:val="auto"/>
        <w:rPr>
          <w:rFonts w:hint="eastAsia" w:ascii="宋体" w:hAnsi="宋体" w:eastAsia="宋体" w:cs="宋体"/>
          <w:b/>
          <w:bCs/>
          <w:kern w:val="2"/>
          <w:sz w:val="24"/>
          <w:szCs w:val="24"/>
        </w:rPr>
      </w:pPr>
      <w:r>
        <w:rPr>
          <w:rFonts w:hint="eastAsia" w:ascii="宋体" w:hAnsi="宋体" w:eastAsia="宋体" w:cs="宋体"/>
          <w:b/>
          <w:bCs/>
          <w:kern w:val="2"/>
          <w:sz w:val="24"/>
          <w:szCs w:val="24"/>
        </w:rPr>
        <w:t>12.4 工程进度款支付</w:t>
      </w:r>
    </w:p>
    <w:p w14:paraId="1CAE2052">
      <w:pPr>
        <w:pageBreakBefore w:val="0"/>
        <w:widowControl w:val="0"/>
        <w:kinsoku/>
        <w:wordWrap/>
        <w:overflowPunct/>
        <w:topLinePunct w:val="0"/>
        <w:bidi w:val="0"/>
        <w:adjustRightInd/>
        <w:snapToGrid/>
        <w:spacing w:line="360" w:lineRule="auto"/>
        <w:ind w:left="0" w:leftChars="0" w:firstLine="480" w:firstLineChars="200"/>
        <w:jc w:val="left"/>
        <w:textAlignment w:val="auto"/>
        <w:rPr>
          <w:rFonts w:hint="eastAsia" w:ascii="宋体" w:hAnsi="宋体" w:eastAsia="宋体" w:cs="宋体"/>
          <w:b w:val="0"/>
          <w:bCs w:val="0"/>
          <w:kern w:val="2"/>
          <w:sz w:val="24"/>
          <w:szCs w:val="24"/>
        </w:rPr>
      </w:pPr>
      <w:bookmarkStart w:id="945" w:name="_Toc296944550"/>
      <w:bookmarkStart w:id="946" w:name="_Toc296891039"/>
      <w:bookmarkStart w:id="947" w:name="_Toc303539163"/>
      <w:bookmarkStart w:id="948" w:name="_Toc297216215"/>
      <w:bookmarkStart w:id="949" w:name="_Toc300935006"/>
      <w:bookmarkStart w:id="950" w:name="_Toc297120511"/>
      <w:bookmarkStart w:id="951" w:name="_Toc292559416"/>
      <w:bookmarkStart w:id="952" w:name="_Toc296346712"/>
      <w:bookmarkStart w:id="953" w:name="_Toc297123556"/>
      <w:bookmarkStart w:id="954" w:name="_Toc296347210"/>
      <w:bookmarkStart w:id="955" w:name="_Toc297048397"/>
      <w:bookmarkStart w:id="956" w:name="_Toc296503211"/>
      <w:bookmarkStart w:id="957" w:name="_Toc292559921"/>
      <w:bookmarkStart w:id="958" w:name="_Toc296891251"/>
      <w:r>
        <w:rPr>
          <w:rFonts w:hint="eastAsia" w:ascii="宋体" w:hAnsi="宋体" w:eastAsia="宋体" w:cs="宋体"/>
          <w:b w:val="0"/>
          <w:bCs w:val="0"/>
          <w:kern w:val="2"/>
          <w:sz w:val="24"/>
          <w:szCs w:val="24"/>
        </w:rPr>
        <w:t>12.4.1 付款周期</w:t>
      </w:r>
    </w:p>
    <w:p w14:paraId="7D5BE1D7">
      <w:pPr>
        <w:spacing w:line="440" w:lineRule="exact"/>
        <w:ind w:firstLine="480"/>
        <w:rPr>
          <w:rFonts w:ascii="宋体" w:hAnsi="宋体"/>
          <w:color w:val="000000"/>
          <w:szCs w:val="21"/>
        </w:rPr>
      </w:pPr>
      <w:r>
        <w:rPr>
          <w:rFonts w:hint="eastAsia" w:ascii="宋体" w:hAnsi="宋体"/>
          <w:color w:val="000000"/>
          <w:szCs w:val="21"/>
        </w:rPr>
        <w:t>关于付款周期的约定：</w:t>
      </w:r>
    </w:p>
    <w:p w14:paraId="620C48BB">
      <w:pPr>
        <w:spacing w:line="440" w:lineRule="exact"/>
        <w:ind w:firstLine="480"/>
        <w:rPr>
          <w:rFonts w:hint="eastAsia" w:ascii="宋体" w:hAnsi="宋体"/>
          <w:highlight w:val="none"/>
          <w:u w:val="single"/>
        </w:rPr>
      </w:pPr>
      <w:r>
        <w:rPr>
          <w:rFonts w:hint="eastAsia" w:ascii="宋体" w:hAnsi="宋体"/>
          <w:highlight w:val="none"/>
          <w:u w:val="single"/>
        </w:rPr>
        <w:t>1.合同签订，承包人进场施工后14日内，发包人支付签约合同价30%的预付款：（含安全文明施工措施费的60%）（合同基准价=承包人的投标总价-暂列金-甲供材-发包人代缴费用）；</w:t>
      </w:r>
    </w:p>
    <w:p w14:paraId="76A894F3">
      <w:pPr>
        <w:spacing w:line="440" w:lineRule="exact"/>
        <w:ind w:firstLine="480"/>
        <w:rPr>
          <w:rFonts w:hint="eastAsia" w:ascii="宋体" w:hAnsi="宋体"/>
          <w:highlight w:val="none"/>
          <w:u w:val="single"/>
        </w:rPr>
      </w:pPr>
      <w:r>
        <w:rPr>
          <w:rFonts w:hint="eastAsia" w:ascii="宋体" w:hAnsi="宋体"/>
          <w:highlight w:val="none"/>
          <w:u w:val="single"/>
        </w:rPr>
        <w:t>2.工程量完成至60%，经监理单位、审计单位、业主单位审核后，付至签约合同价50%（合同基准价=承包人的投标总价-暂列金-甲供材-发包人代缴费用）；</w:t>
      </w:r>
    </w:p>
    <w:p w14:paraId="015BA130">
      <w:pPr>
        <w:spacing w:line="440" w:lineRule="exact"/>
        <w:ind w:firstLine="480"/>
        <w:rPr>
          <w:rFonts w:hint="eastAsia" w:ascii="宋体" w:hAnsi="宋体"/>
          <w:highlight w:val="none"/>
          <w:u w:val="single"/>
        </w:rPr>
      </w:pPr>
      <w:r>
        <w:rPr>
          <w:rFonts w:hint="eastAsia" w:ascii="宋体" w:hAnsi="宋体"/>
          <w:highlight w:val="none"/>
          <w:u w:val="single"/>
        </w:rPr>
        <w:t>3.工程竣工，承包人按照要求提交全部竣工验收资料，由发包人组织竣工验收。验</w:t>
      </w:r>
      <w:r>
        <w:rPr>
          <w:rFonts w:hint="eastAsia" w:ascii="宋体" w:hAnsi="宋体"/>
          <w:highlight w:val="none"/>
          <w:u w:val="single"/>
          <w:lang w:eastAsia="zh-CN"/>
        </w:rPr>
        <w:t>收</w:t>
      </w:r>
      <w:r>
        <w:rPr>
          <w:rFonts w:hint="eastAsia" w:ascii="宋体" w:hAnsi="宋体"/>
          <w:highlight w:val="none"/>
          <w:u w:val="single"/>
        </w:rPr>
        <w:t>合格后支付至签约合同价的70%（同时扣除全部甲供材料款、预付款、暂列金和应扣的相关费用后）；</w:t>
      </w:r>
    </w:p>
    <w:p w14:paraId="66B3C3A8">
      <w:pPr>
        <w:spacing w:line="440" w:lineRule="exact"/>
        <w:ind w:firstLine="480"/>
        <w:rPr>
          <w:rFonts w:hint="eastAsia" w:ascii="宋体" w:hAnsi="宋体"/>
          <w:highlight w:val="none"/>
          <w:u w:val="single"/>
        </w:rPr>
      </w:pPr>
      <w:r>
        <w:rPr>
          <w:rFonts w:hint="eastAsia" w:ascii="宋体" w:hAnsi="宋体"/>
          <w:highlight w:val="none"/>
          <w:u w:val="single"/>
        </w:rPr>
        <w:t>4.承包人按照要求提交全部竣工结算资料，由发包人组织审计部门进行竣工结算审计。竣工结算经审计部门审计结束，并按照要求提交所有竣工资料后，付至工程结算审定价款（扣除全部甲供材料款和应扣的相关费用后）的97%；余款（结算审计价款的3%）作为质保金，质保期满后十五日内付清（保修金不计利息，并扣除维修费用）。</w:t>
      </w:r>
    </w:p>
    <w:p w14:paraId="2E9F641E">
      <w:pPr>
        <w:spacing w:line="440" w:lineRule="exact"/>
        <w:ind w:firstLine="480"/>
        <w:rPr>
          <w:rFonts w:ascii="宋体" w:hAnsi="宋体"/>
          <w:szCs w:val="21"/>
          <w:u w:val="single"/>
        </w:rPr>
      </w:pPr>
      <w:r>
        <w:rPr>
          <w:rFonts w:hint="eastAsia" w:ascii="宋体" w:hAnsi="宋体"/>
          <w:szCs w:val="21"/>
          <w:u w:val="single"/>
        </w:rPr>
        <w:t>注：</w:t>
      </w:r>
    </w:p>
    <w:p w14:paraId="06B02F45">
      <w:pPr>
        <w:spacing w:line="440" w:lineRule="exact"/>
        <w:ind w:firstLine="480"/>
        <w:rPr>
          <w:rFonts w:ascii="宋体" w:hAnsi="宋体"/>
          <w:szCs w:val="21"/>
          <w:u w:val="single"/>
        </w:rPr>
      </w:pPr>
      <w:r>
        <w:rPr>
          <w:rFonts w:hint="eastAsia" w:ascii="宋体" w:hAnsi="宋体"/>
          <w:szCs w:val="21"/>
          <w:u w:val="single"/>
        </w:rPr>
        <w:t>（1）所有工程支付款必须由监理签字确认的有效工程量，发包人才予办理工程款支付的手续；</w:t>
      </w:r>
    </w:p>
    <w:p w14:paraId="7AD982FA">
      <w:pPr>
        <w:spacing w:line="440" w:lineRule="exact"/>
        <w:ind w:firstLine="480"/>
        <w:rPr>
          <w:rFonts w:ascii="宋体" w:hAnsi="宋体"/>
          <w:szCs w:val="21"/>
          <w:u w:val="single"/>
        </w:rPr>
      </w:pPr>
      <w:r>
        <w:rPr>
          <w:rFonts w:hint="eastAsia" w:ascii="宋体" w:hAnsi="宋体"/>
          <w:szCs w:val="21"/>
          <w:u w:val="single"/>
        </w:rPr>
        <w:t>（2）每次付款前，承包人必须提供符合国家规定的增值税专用发票；</w:t>
      </w:r>
    </w:p>
    <w:p w14:paraId="192F1C1E">
      <w:pPr>
        <w:spacing w:line="440" w:lineRule="exact"/>
        <w:ind w:firstLine="480"/>
        <w:rPr>
          <w:rFonts w:hint="eastAsia" w:ascii="宋体" w:hAnsi="宋体"/>
          <w:szCs w:val="21"/>
          <w:u w:val="single"/>
        </w:rPr>
      </w:pPr>
      <w:r>
        <w:rPr>
          <w:rFonts w:hint="eastAsia" w:ascii="宋体" w:hAnsi="宋体"/>
          <w:szCs w:val="21"/>
          <w:u w:val="single"/>
        </w:rPr>
        <w:t>（3）所有合同外增加的工作内容和工程变更调整的价款，一律不作为进度款支付的计算基数，待竣工结算审计后与工程款同期结算。</w:t>
      </w:r>
    </w:p>
    <w:p w14:paraId="4C29DD0E">
      <w:pPr>
        <w:spacing w:line="440" w:lineRule="exact"/>
        <w:ind w:firstLine="480"/>
        <w:rPr>
          <w:rFonts w:hint="eastAsia" w:ascii="宋体" w:hAnsi="宋体"/>
          <w:szCs w:val="21"/>
          <w:highlight w:val="none"/>
          <w:u w:val="single"/>
        </w:rPr>
      </w:pPr>
      <w:r>
        <w:rPr>
          <w:rFonts w:hint="eastAsia" w:ascii="宋体" w:hAnsi="宋体"/>
          <w:szCs w:val="21"/>
          <w:highlight w:val="none"/>
          <w:u w:val="single"/>
          <w:lang w:eastAsia="zh-CN"/>
        </w:rPr>
        <w:t>（</w:t>
      </w:r>
      <w:r>
        <w:rPr>
          <w:rFonts w:hint="eastAsia" w:ascii="宋体" w:hAnsi="宋体"/>
          <w:szCs w:val="21"/>
          <w:highlight w:val="none"/>
          <w:u w:val="single"/>
          <w:lang w:val="en-US" w:eastAsia="zh-CN"/>
        </w:rPr>
        <w:t>4</w:t>
      </w:r>
      <w:r>
        <w:rPr>
          <w:rFonts w:hint="eastAsia" w:ascii="宋体" w:hAnsi="宋体"/>
          <w:szCs w:val="21"/>
          <w:highlight w:val="none"/>
          <w:u w:val="single"/>
          <w:lang w:eastAsia="zh-CN"/>
        </w:rPr>
        <w:t>）付款约定第</w:t>
      </w:r>
      <w:r>
        <w:rPr>
          <w:rFonts w:hint="eastAsia" w:ascii="宋体" w:hAnsi="宋体"/>
          <w:szCs w:val="21"/>
          <w:highlight w:val="none"/>
          <w:u w:val="single"/>
          <w:lang w:val="en-US" w:eastAsia="zh-CN"/>
        </w:rPr>
        <w:t>2点为考虑年底农民工工资保障问题，特增加过程中付款，此项支付完成，承包人不得就农民工工资问题向发包人提出异议，若后续仍出现农民工工资拖欠、纠纷等问题，全部责任由承包人自行承担。</w:t>
      </w:r>
    </w:p>
    <w:bookmarkEnd w:id="55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p w14:paraId="37FA3803">
      <w:pPr>
        <w:spacing w:line="440" w:lineRule="exact"/>
        <w:ind w:firstLine="480"/>
        <w:rPr>
          <w:rFonts w:ascii="宋体" w:hAnsi="宋体"/>
          <w:color w:val="000000"/>
          <w:szCs w:val="21"/>
        </w:rPr>
      </w:pPr>
      <w:bookmarkStart w:id="959" w:name="_Toc351203645"/>
      <w:bookmarkStart w:id="960" w:name="_Toc312678053"/>
      <w:bookmarkStart w:id="961" w:name="_Toc297216223"/>
      <w:bookmarkStart w:id="962" w:name="_Toc303539172"/>
      <w:bookmarkStart w:id="963" w:name="_Toc296346720"/>
      <w:bookmarkStart w:id="964" w:name="_Toc292559424"/>
      <w:bookmarkStart w:id="965" w:name="_Toc297120519"/>
      <w:bookmarkStart w:id="966" w:name="_Toc296891259"/>
      <w:bookmarkStart w:id="967" w:name="_Toc304295593"/>
      <w:bookmarkStart w:id="968" w:name="_Toc296347218"/>
      <w:bookmarkStart w:id="969" w:name="_Toc296944558"/>
      <w:bookmarkStart w:id="970" w:name="_Toc296891047"/>
      <w:bookmarkStart w:id="971" w:name="_Toc297048405"/>
      <w:bookmarkStart w:id="972" w:name="_Toc292559929"/>
      <w:bookmarkStart w:id="973" w:name="_Toc296503219"/>
      <w:bookmarkStart w:id="974" w:name="_Toc297123564"/>
      <w:bookmarkStart w:id="975" w:name="_Toc300935015"/>
      <w:r>
        <w:rPr>
          <w:rFonts w:hint="eastAsia" w:ascii="宋体" w:hAnsi="宋体"/>
          <w:color w:val="000000"/>
          <w:szCs w:val="21"/>
        </w:rPr>
        <w:t>12.4.2 进度付款申请单的编制</w:t>
      </w:r>
    </w:p>
    <w:p w14:paraId="7EA8E4CD">
      <w:pPr>
        <w:spacing w:line="440" w:lineRule="exact"/>
        <w:ind w:firstLine="480"/>
        <w:rPr>
          <w:rFonts w:ascii="宋体" w:hAnsi="宋体"/>
          <w:color w:val="000000"/>
          <w:szCs w:val="21"/>
        </w:rPr>
      </w:pPr>
      <w:r>
        <w:rPr>
          <w:rFonts w:hint="eastAsia" w:ascii="宋体" w:hAnsi="宋体"/>
          <w:color w:val="000000"/>
          <w:szCs w:val="21"/>
        </w:rPr>
        <w:t>关于进度付款申请单编制的约定：</w:t>
      </w:r>
    </w:p>
    <w:p w14:paraId="05C7E3F0">
      <w:pPr>
        <w:spacing w:line="440" w:lineRule="exact"/>
        <w:ind w:firstLine="480"/>
        <w:rPr>
          <w:rFonts w:ascii="宋体" w:hAnsi="宋体"/>
          <w:szCs w:val="21"/>
          <w:u w:val="single"/>
        </w:rPr>
      </w:pPr>
      <w:r>
        <w:rPr>
          <w:rFonts w:hint="eastAsia" w:ascii="宋体" w:hAnsi="宋体"/>
          <w:szCs w:val="21"/>
          <w:u w:val="single"/>
        </w:rPr>
        <w:t>（1）截至本次付款周期已完成工作对应的金额；</w:t>
      </w:r>
    </w:p>
    <w:p w14:paraId="1D8D1104">
      <w:pPr>
        <w:spacing w:line="440" w:lineRule="exact"/>
        <w:ind w:firstLine="480"/>
        <w:rPr>
          <w:rFonts w:ascii="宋体" w:hAnsi="宋体"/>
          <w:szCs w:val="21"/>
          <w:u w:val="single"/>
        </w:rPr>
      </w:pPr>
      <w:r>
        <w:rPr>
          <w:rFonts w:hint="eastAsia" w:ascii="宋体" w:hAnsi="宋体"/>
          <w:szCs w:val="21"/>
          <w:u w:val="single"/>
        </w:rPr>
        <w:t>（2）变更应增加和扣减的变更金额；</w:t>
      </w:r>
    </w:p>
    <w:p w14:paraId="20FC5AB3">
      <w:pPr>
        <w:spacing w:line="440" w:lineRule="exact"/>
        <w:ind w:firstLine="480"/>
        <w:rPr>
          <w:rFonts w:ascii="宋体" w:hAnsi="宋体"/>
          <w:szCs w:val="21"/>
          <w:u w:val="single"/>
        </w:rPr>
      </w:pPr>
      <w:r>
        <w:rPr>
          <w:rFonts w:hint="eastAsia" w:ascii="宋体" w:hAnsi="宋体"/>
          <w:szCs w:val="21"/>
          <w:u w:val="single"/>
        </w:rPr>
        <w:t>（3）预付款约定应支付的预付款和扣减的返还预付款；</w:t>
      </w:r>
    </w:p>
    <w:p w14:paraId="20806718">
      <w:pPr>
        <w:spacing w:line="440" w:lineRule="exact"/>
        <w:ind w:firstLine="480"/>
        <w:rPr>
          <w:rFonts w:ascii="宋体" w:hAnsi="宋体"/>
          <w:szCs w:val="21"/>
          <w:u w:val="single"/>
        </w:rPr>
      </w:pPr>
      <w:r>
        <w:rPr>
          <w:rFonts w:hint="eastAsia" w:ascii="宋体" w:hAnsi="宋体"/>
          <w:szCs w:val="21"/>
          <w:u w:val="single"/>
        </w:rPr>
        <w:t>（4）索赔应增加和扣减的索赔金额；</w:t>
      </w:r>
    </w:p>
    <w:p w14:paraId="44D1BABD">
      <w:pPr>
        <w:spacing w:line="440" w:lineRule="exact"/>
        <w:ind w:firstLine="480"/>
        <w:rPr>
          <w:rFonts w:ascii="宋体" w:hAnsi="宋体"/>
          <w:szCs w:val="21"/>
          <w:u w:val="single"/>
        </w:rPr>
      </w:pPr>
      <w:r>
        <w:rPr>
          <w:rFonts w:hint="eastAsia" w:ascii="宋体" w:hAnsi="宋体"/>
          <w:szCs w:val="21"/>
          <w:u w:val="single"/>
        </w:rPr>
        <w:t>（5）对已签发的进度款支付证书中出现错误的修正，应在本次进度付款中支付或扣除的金额；</w:t>
      </w:r>
    </w:p>
    <w:p w14:paraId="5846BF0E">
      <w:pPr>
        <w:spacing w:line="440" w:lineRule="exact"/>
        <w:ind w:firstLine="480"/>
        <w:rPr>
          <w:rFonts w:ascii="宋体" w:hAnsi="宋体"/>
          <w:color w:val="000000"/>
          <w:szCs w:val="21"/>
        </w:rPr>
      </w:pPr>
      <w:r>
        <w:rPr>
          <w:rFonts w:hint="eastAsia" w:ascii="宋体" w:hAnsi="宋体"/>
          <w:szCs w:val="21"/>
          <w:u w:val="single"/>
        </w:rPr>
        <w:t>（6）根据合同约定应增加和扣减的其他金额</w:t>
      </w:r>
      <w:r>
        <w:rPr>
          <w:rFonts w:hint="eastAsia" w:ascii="宋体" w:hAnsi="宋体"/>
          <w:color w:val="000000"/>
          <w:szCs w:val="21"/>
        </w:rPr>
        <w:t>。</w:t>
      </w:r>
    </w:p>
    <w:p w14:paraId="5CB5058E">
      <w:pPr>
        <w:spacing w:line="440" w:lineRule="exact"/>
        <w:ind w:firstLine="480"/>
        <w:rPr>
          <w:rFonts w:ascii="宋体" w:hAnsi="宋体"/>
          <w:color w:val="000000"/>
          <w:szCs w:val="21"/>
        </w:rPr>
      </w:pPr>
      <w:r>
        <w:rPr>
          <w:rFonts w:hint="eastAsia" w:ascii="宋体" w:hAnsi="宋体"/>
          <w:color w:val="000000"/>
          <w:szCs w:val="21"/>
        </w:rPr>
        <w:t>12.4.3 进度付款申请单的提交</w:t>
      </w:r>
    </w:p>
    <w:p w14:paraId="74BC876D">
      <w:pPr>
        <w:autoSpaceDE w:val="0"/>
        <w:autoSpaceDN w:val="0"/>
        <w:spacing w:line="440" w:lineRule="exact"/>
        <w:ind w:firstLine="480"/>
        <w:rPr>
          <w:rFonts w:ascii="宋体" w:hAnsi="宋体"/>
          <w:color w:val="000000"/>
          <w:szCs w:val="21"/>
        </w:rPr>
      </w:pPr>
      <w:r>
        <w:rPr>
          <w:rFonts w:hint="eastAsia" w:ascii="宋体" w:hAnsi="宋体"/>
          <w:color w:val="000000"/>
          <w:szCs w:val="21"/>
        </w:rPr>
        <w:t>（1）单价合同进度付款申请单提交的约定：</w:t>
      </w:r>
      <w:r>
        <w:rPr>
          <w:rFonts w:hint="eastAsia" w:ascii="宋体" w:hAnsi="宋体"/>
          <w:color w:val="000000"/>
          <w:szCs w:val="21"/>
          <w:highlight w:val="none"/>
          <w:u w:val="single"/>
        </w:rPr>
        <w:t>按月向监理人提交，并附上已完成工程量报表和有关资料</w:t>
      </w:r>
      <w:r>
        <w:rPr>
          <w:rFonts w:hint="eastAsia" w:ascii="宋体" w:hAnsi="宋体"/>
          <w:szCs w:val="21"/>
          <w:highlight w:val="none"/>
          <w:u w:val="single"/>
        </w:rPr>
        <w:t>。</w:t>
      </w:r>
    </w:p>
    <w:p w14:paraId="131F20CC">
      <w:pPr>
        <w:spacing w:line="440" w:lineRule="exact"/>
        <w:ind w:firstLine="480"/>
        <w:rPr>
          <w:rFonts w:ascii="宋体" w:hAnsi="宋体"/>
          <w:color w:val="000000"/>
          <w:szCs w:val="21"/>
        </w:rPr>
      </w:pPr>
      <w:r>
        <w:rPr>
          <w:rFonts w:hint="eastAsia" w:ascii="宋体" w:hAnsi="宋体"/>
          <w:color w:val="000000"/>
          <w:szCs w:val="21"/>
        </w:rPr>
        <w:t>（2）总价合同进度付款申请单提交的约定：</w:t>
      </w:r>
      <w:r>
        <w:rPr>
          <w:rFonts w:hint="eastAsia" w:ascii="宋体" w:hAnsi="宋体"/>
          <w:color w:val="000000"/>
          <w:szCs w:val="21"/>
          <w:u w:val="single"/>
          <w:lang w:eastAsia="zh-CN"/>
        </w:rPr>
        <w:t>不采用</w:t>
      </w:r>
      <w:r>
        <w:rPr>
          <w:rFonts w:hint="eastAsia" w:ascii="宋体" w:hAnsi="宋体"/>
          <w:color w:val="000000"/>
          <w:szCs w:val="21"/>
        </w:rPr>
        <w:t>。</w:t>
      </w:r>
    </w:p>
    <w:p w14:paraId="5511C471">
      <w:pPr>
        <w:spacing w:line="440" w:lineRule="exact"/>
        <w:ind w:firstLine="480"/>
        <w:rPr>
          <w:rFonts w:ascii="宋体" w:hAnsi="宋体"/>
          <w:color w:val="000000"/>
          <w:szCs w:val="21"/>
        </w:rPr>
      </w:pPr>
      <w:r>
        <w:rPr>
          <w:rFonts w:hint="eastAsia" w:ascii="宋体" w:hAnsi="宋体"/>
          <w:color w:val="000000"/>
          <w:szCs w:val="21"/>
        </w:rPr>
        <w:t>（3）其他价格形式合同进度付款申请单提交的约定：</w:t>
      </w:r>
      <w:r>
        <w:rPr>
          <w:rFonts w:hint="eastAsia" w:ascii="宋体" w:hAnsi="宋体"/>
          <w:color w:val="000000"/>
          <w:szCs w:val="21"/>
          <w:u w:val="single"/>
        </w:rPr>
        <w:t>不采用</w:t>
      </w:r>
      <w:r>
        <w:rPr>
          <w:rFonts w:hint="eastAsia" w:ascii="宋体" w:hAnsi="宋体"/>
          <w:color w:val="000000"/>
          <w:szCs w:val="21"/>
        </w:rPr>
        <w:t>。</w:t>
      </w:r>
    </w:p>
    <w:p w14:paraId="1E5F1813">
      <w:pPr>
        <w:spacing w:line="440" w:lineRule="exact"/>
        <w:ind w:firstLine="480"/>
        <w:rPr>
          <w:rFonts w:ascii="宋体" w:hAnsi="宋体"/>
          <w:color w:val="000000"/>
          <w:szCs w:val="21"/>
        </w:rPr>
      </w:pPr>
      <w:r>
        <w:rPr>
          <w:rFonts w:hint="eastAsia" w:ascii="宋体" w:hAnsi="宋体"/>
          <w:color w:val="000000"/>
          <w:szCs w:val="21"/>
        </w:rPr>
        <w:t>12.4.4 进度款审核和支付</w:t>
      </w:r>
    </w:p>
    <w:p w14:paraId="1FEAB082">
      <w:pPr>
        <w:spacing w:line="440" w:lineRule="exact"/>
        <w:ind w:left="0" w:leftChars="0" w:firstLine="480" w:firstLineChars="200"/>
        <w:rPr>
          <w:rFonts w:ascii="宋体" w:hAnsi="宋体"/>
          <w:color w:val="000000"/>
          <w:szCs w:val="21"/>
        </w:rPr>
      </w:pPr>
      <w:r>
        <w:rPr>
          <w:rFonts w:hint="eastAsia" w:ascii="宋体" w:hAnsi="宋体"/>
          <w:color w:val="000000"/>
          <w:szCs w:val="21"/>
        </w:rPr>
        <w:t>（1）监理人审查并报送发包人的期限：监理人应在收到承包人进度付款申请单以及相关资料后7天内完成审查并报送发包人。</w:t>
      </w:r>
    </w:p>
    <w:p w14:paraId="3E6A62EF">
      <w:pPr>
        <w:spacing w:line="440" w:lineRule="exact"/>
        <w:ind w:firstLine="600" w:firstLineChars="250"/>
        <w:rPr>
          <w:rFonts w:ascii="宋体" w:hAnsi="宋体"/>
          <w:color w:val="000000"/>
          <w:szCs w:val="21"/>
        </w:rPr>
      </w:pPr>
      <w:r>
        <w:rPr>
          <w:rFonts w:hint="eastAsia" w:ascii="宋体" w:hAnsi="宋体"/>
          <w:color w:val="000000"/>
          <w:szCs w:val="21"/>
        </w:rPr>
        <w:t>发包人完成审批并签发进度款支付证书的期限：发包人应在收到后14天内完成审批并签发进度款支付证书。</w:t>
      </w:r>
    </w:p>
    <w:p w14:paraId="66A10CE4">
      <w:pPr>
        <w:spacing w:line="440" w:lineRule="exact"/>
        <w:ind w:firstLine="600" w:firstLineChars="250"/>
        <w:rPr>
          <w:rFonts w:ascii="宋体" w:hAnsi="宋体"/>
          <w:color w:val="000000"/>
          <w:szCs w:val="21"/>
        </w:rPr>
      </w:pPr>
      <w:r>
        <w:rPr>
          <w:rFonts w:hint="eastAsia" w:ascii="宋体" w:hAnsi="宋体"/>
          <w:color w:val="000000"/>
          <w:szCs w:val="21"/>
        </w:rPr>
        <w:t>（2）发包人支付进度款的期限：发包人应在进度款支付证书签发后14天内完成支付。</w:t>
      </w:r>
    </w:p>
    <w:p w14:paraId="2D4C8135">
      <w:pPr>
        <w:spacing w:line="440" w:lineRule="exact"/>
        <w:ind w:firstLine="600" w:firstLineChars="250"/>
        <w:rPr>
          <w:rFonts w:ascii="宋体" w:hAnsi="宋体"/>
          <w:color w:val="000000"/>
          <w:szCs w:val="21"/>
        </w:rPr>
      </w:pPr>
      <w:r>
        <w:rPr>
          <w:rFonts w:hint="eastAsia" w:ascii="宋体" w:hAnsi="宋体"/>
          <w:color w:val="000000"/>
          <w:szCs w:val="21"/>
        </w:rPr>
        <w:t>发包人逾期支付进度款的违约金的计算方式：按通用条款执行。</w:t>
      </w:r>
    </w:p>
    <w:p w14:paraId="35295C43">
      <w:pPr>
        <w:spacing w:line="440" w:lineRule="exact"/>
        <w:ind w:firstLine="480"/>
        <w:rPr>
          <w:rFonts w:ascii="宋体" w:hAnsi="宋体"/>
          <w:color w:val="000000"/>
          <w:szCs w:val="21"/>
        </w:rPr>
      </w:pPr>
      <w:r>
        <w:rPr>
          <w:rFonts w:hint="eastAsia" w:ascii="宋体" w:hAnsi="宋体"/>
          <w:color w:val="000000"/>
          <w:szCs w:val="21"/>
        </w:rPr>
        <w:t>12.4.6 支付分解表的编制</w:t>
      </w:r>
    </w:p>
    <w:p w14:paraId="4DCF0C2E">
      <w:pPr>
        <w:spacing w:line="440" w:lineRule="exact"/>
        <w:ind w:firstLine="480"/>
        <w:rPr>
          <w:rFonts w:ascii="宋体" w:hAnsi="宋体"/>
          <w:color w:val="000000"/>
          <w:szCs w:val="21"/>
        </w:rPr>
      </w:pPr>
      <w:r>
        <w:rPr>
          <w:rFonts w:hint="eastAsia" w:ascii="宋体" w:hAnsi="宋体"/>
          <w:color w:val="000000"/>
          <w:szCs w:val="21"/>
        </w:rPr>
        <w:t>2、总价合同支付分解表的编制与审批：按通用条款执行。</w:t>
      </w:r>
    </w:p>
    <w:p w14:paraId="1696271F">
      <w:pPr>
        <w:spacing w:line="440" w:lineRule="exact"/>
        <w:ind w:firstLine="480"/>
        <w:rPr>
          <w:rFonts w:ascii="宋体" w:hAnsi="宋体"/>
          <w:color w:val="000000"/>
          <w:szCs w:val="21"/>
        </w:rPr>
      </w:pPr>
      <w:r>
        <w:rPr>
          <w:rFonts w:hint="eastAsia" w:ascii="宋体" w:hAnsi="宋体"/>
          <w:color w:val="000000"/>
          <w:szCs w:val="21"/>
        </w:rPr>
        <w:t>3、单价合同的总价项目支付分解表的编制与审批：按通用条款执行。</w:t>
      </w:r>
    </w:p>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p w14:paraId="4A452ED9">
      <w:pPr>
        <w:keepNext/>
        <w:keepLines/>
        <w:spacing w:before="120" w:after="120" w:line="440" w:lineRule="exact"/>
        <w:ind w:firstLine="482"/>
        <w:outlineLvl w:val="3"/>
        <w:rPr>
          <w:rFonts w:ascii="宋体" w:hAnsi="宋体" w:eastAsia="宋体" w:cs="宋体"/>
          <w:b/>
          <w:color w:val="000000"/>
        </w:rPr>
      </w:pPr>
      <w:r>
        <w:rPr>
          <w:rFonts w:hint="eastAsia" w:ascii="宋体" w:hAnsi="宋体" w:eastAsia="宋体" w:cs="宋体"/>
          <w:b/>
          <w:color w:val="000000"/>
        </w:rPr>
        <w:t>13.验收和工程试车</w:t>
      </w:r>
    </w:p>
    <w:p w14:paraId="72D5273F">
      <w:pPr>
        <w:spacing w:after="120" w:line="440" w:lineRule="exact"/>
        <w:ind w:firstLine="482"/>
        <w:rPr>
          <w:rFonts w:ascii="宋体" w:hAnsi="宋体" w:eastAsia="宋体" w:cs="宋体"/>
          <w:b/>
          <w:color w:val="000000"/>
        </w:rPr>
      </w:pPr>
      <w:r>
        <w:rPr>
          <w:rFonts w:hint="eastAsia" w:ascii="宋体" w:hAnsi="宋体" w:eastAsia="宋体" w:cs="宋体"/>
          <w:b/>
          <w:color w:val="000000"/>
        </w:rPr>
        <w:t>13.1 分部分项工程验收</w:t>
      </w:r>
    </w:p>
    <w:p w14:paraId="227E1CA9">
      <w:pPr>
        <w:spacing w:line="440" w:lineRule="exact"/>
        <w:ind w:firstLine="480"/>
        <w:rPr>
          <w:rFonts w:ascii="宋体" w:hAnsi="宋体" w:eastAsia="宋体" w:cs="宋体"/>
          <w:szCs w:val="21"/>
        </w:rPr>
      </w:pPr>
      <w:r>
        <w:rPr>
          <w:rFonts w:hint="eastAsia" w:ascii="宋体" w:hAnsi="宋体" w:eastAsia="宋体" w:cs="宋体"/>
          <w:szCs w:val="21"/>
        </w:rPr>
        <w:t>13.1.2监理人不能按时进行验收时，应提前</w:t>
      </w:r>
      <w:r>
        <w:rPr>
          <w:rFonts w:hint="eastAsia" w:ascii="宋体" w:hAnsi="宋体" w:eastAsia="宋体" w:cs="宋体"/>
          <w:szCs w:val="21"/>
          <w:u w:val="single"/>
        </w:rPr>
        <w:t>24</w:t>
      </w:r>
      <w:r>
        <w:rPr>
          <w:rFonts w:hint="eastAsia" w:ascii="宋体" w:hAnsi="宋体" w:eastAsia="宋体" w:cs="宋体"/>
          <w:szCs w:val="21"/>
        </w:rPr>
        <w:t>小时提交书面延期要求。</w:t>
      </w:r>
    </w:p>
    <w:p w14:paraId="74867E89">
      <w:pPr>
        <w:spacing w:line="440" w:lineRule="exact"/>
        <w:ind w:firstLine="480"/>
        <w:rPr>
          <w:rFonts w:ascii="宋体" w:hAnsi="宋体" w:eastAsia="宋体" w:cs="宋体"/>
          <w:b/>
          <w:color w:val="000000"/>
          <w:szCs w:val="21"/>
        </w:rPr>
      </w:pPr>
      <w:r>
        <w:rPr>
          <w:rFonts w:hint="eastAsia" w:ascii="宋体" w:hAnsi="宋体" w:eastAsia="宋体" w:cs="宋体"/>
          <w:szCs w:val="21"/>
        </w:rPr>
        <w:t>关于延期最长不得超过：</w:t>
      </w:r>
      <w:r>
        <w:rPr>
          <w:rFonts w:hint="eastAsia" w:ascii="宋体" w:hAnsi="宋体" w:eastAsia="宋体" w:cs="宋体"/>
          <w:szCs w:val="21"/>
          <w:u w:val="single"/>
        </w:rPr>
        <w:t>48</w:t>
      </w:r>
      <w:r>
        <w:rPr>
          <w:rFonts w:hint="eastAsia" w:ascii="宋体" w:hAnsi="宋体" w:eastAsia="宋体" w:cs="宋体"/>
          <w:szCs w:val="21"/>
        </w:rPr>
        <w:t>小时。</w:t>
      </w:r>
    </w:p>
    <w:p w14:paraId="5C434F7B">
      <w:pPr>
        <w:spacing w:after="120" w:line="440" w:lineRule="exact"/>
        <w:ind w:firstLine="482"/>
        <w:rPr>
          <w:rFonts w:ascii="宋体" w:hAnsi="宋体" w:eastAsia="宋体" w:cs="宋体"/>
          <w:b/>
          <w:color w:val="000000"/>
        </w:rPr>
      </w:pPr>
      <w:bookmarkStart w:id="976" w:name="_Toc297216224"/>
      <w:bookmarkStart w:id="977" w:name="_Toc297048409"/>
      <w:bookmarkStart w:id="978" w:name="_Toc296503223"/>
      <w:bookmarkStart w:id="979" w:name="_Toc297120523"/>
      <w:bookmarkStart w:id="980" w:name="_Toc296346724"/>
      <w:bookmarkStart w:id="981" w:name="_Toc304295596"/>
      <w:bookmarkStart w:id="982" w:name="_Toc300935016"/>
      <w:bookmarkStart w:id="983" w:name="_Toc312678056"/>
      <w:bookmarkStart w:id="984" w:name="_Toc296347222"/>
      <w:bookmarkStart w:id="985" w:name="_Toc303539173"/>
      <w:bookmarkStart w:id="986" w:name="_Toc296891051"/>
      <w:bookmarkStart w:id="987" w:name="_Toc296891263"/>
      <w:bookmarkStart w:id="988" w:name="_Toc297123565"/>
      <w:bookmarkStart w:id="989" w:name="_Toc292559428"/>
      <w:bookmarkStart w:id="990" w:name="_Toc296944562"/>
      <w:bookmarkStart w:id="991" w:name="_Toc292559933"/>
      <w:bookmarkStart w:id="992" w:name="_Toc267251476"/>
      <w:bookmarkStart w:id="993" w:name="_Toc267251473"/>
      <w:bookmarkStart w:id="994" w:name="_Toc267251471"/>
      <w:bookmarkStart w:id="995" w:name="_Toc267251470"/>
      <w:bookmarkStart w:id="996" w:name="_Toc267251472"/>
      <w:bookmarkStart w:id="997" w:name="_Toc267251475"/>
      <w:bookmarkStart w:id="998" w:name="_Toc267251474"/>
      <w:r>
        <w:rPr>
          <w:rFonts w:hint="eastAsia" w:ascii="宋体" w:hAnsi="宋体" w:eastAsia="宋体" w:cs="宋体"/>
          <w:b/>
          <w:color w:val="000000"/>
        </w:rPr>
        <w:t>13.2 竣工验收</w:t>
      </w:r>
    </w:p>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p w14:paraId="61D9779E">
      <w:pPr>
        <w:spacing w:line="440" w:lineRule="exact"/>
        <w:ind w:firstLine="480"/>
        <w:rPr>
          <w:rFonts w:ascii="宋体" w:hAnsi="宋体" w:eastAsia="宋体" w:cs="宋体"/>
          <w:color w:val="000000"/>
          <w:szCs w:val="21"/>
        </w:rPr>
      </w:pPr>
      <w:bookmarkStart w:id="999" w:name="_Toc280868704"/>
      <w:bookmarkStart w:id="1000" w:name="_Toc280868705"/>
      <w:bookmarkStart w:id="1001" w:name="_Toc280868706"/>
      <w:bookmarkStart w:id="1002" w:name="_Toc280868707"/>
      <w:bookmarkStart w:id="1003" w:name="_Toc280868708"/>
      <w:bookmarkStart w:id="1004" w:name="_Toc280868709"/>
      <w:r>
        <w:rPr>
          <w:rFonts w:hint="eastAsia" w:ascii="宋体" w:hAnsi="宋体" w:eastAsia="宋体" w:cs="宋体"/>
          <w:color w:val="000000"/>
          <w:szCs w:val="21"/>
        </w:rPr>
        <w:t>13.2.2竣工验收程序</w:t>
      </w:r>
    </w:p>
    <w:bookmarkEnd w:id="999"/>
    <w:p w14:paraId="471CCC28">
      <w:pPr>
        <w:spacing w:line="440" w:lineRule="exact"/>
        <w:ind w:left="4800" w:leftChars="200" w:hanging="4320" w:hangingChars="1800"/>
        <w:rPr>
          <w:rFonts w:ascii="宋体" w:hAnsi="宋体" w:eastAsia="宋体" w:cs="宋体"/>
          <w:color w:val="000000"/>
          <w:szCs w:val="21"/>
        </w:rPr>
      </w:pPr>
      <w:r>
        <w:rPr>
          <w:rFonts w:hint="eastAsia" w:ascii="宋体" w:hAnsi="宋体" w:eastAsia="宋体" w:cs="宋体"/>
          <w:color w:val="000000"/>
          <w:szCs w:val="21"/>
        </w:rPr>
        <w:t>关于竣工验收程序的约定：</w:t>
      </w:r>
      <w:r>
        <w:rPr>
          <w:rFonts w:hint="eastAsia" w:ascii="宋体" w:hAnsi="宋体" w:eastAsia="宋体" w:cs="宋体"/>
          <w:color w:val="000000"/>
          <w:szCs w:val="21"/>
          <w:u w:val="single"/>
        </w:rPr>
        <w:t>按照通用合同条款执行</w:t>
      </w:r>
      <w:r>
        <w:rPr>
          <w:rFonts w:hint="eastAsia" w:ascii="宋体" w:hAnsi="宋体" w:eastAsia="宋体" w:cs="宋体"/>
          <w:color w:val="000000"/>
          <w:szCs w:val="21"/>
        </w:rPr>
        <w:t>。</w:t>
      </w:r>
    </w:p>
    <w:p w14:paraId="18CE7CA4">
      <w:pPr>
        <w:spacing w:line="440" w:lineRule="exact"/>
        <w:ind w:firstLine="480"/>
        <w:rPr>
          <w:rFonts w:ascii="宋体" w:hAnsi="宋体" w:eastAsia="宋体" w:cs="宋体"/>
          <w:color w:val="000000"/>
          <w:szCs w:val="21"/>
        </w:rPr>
      </w:pPr>
      <w:r>
        <w:rPr>
          <w:rFonts w:hint="eastAsia" w:ascii="宋体" w:hAnsi="宋体" w:eastAsia="宋体" w:cs="宋体"/>
          <w:color w:val="000000"/>
          <w:szCs w:val="21"/>
        </w:rPr>
        <w:t>发包人不按照本项约定组织竣工验收、颁发工程接收证书的违约金的计算方法：</w:t>
      </w:r>
      <w:r>
        <w:rPr>
          <w:rFonts w:hint="eastAsia" w:ascii="宋体" w:hAnsi="宋体" w:eastAsia="宋体" w:cs="宋体"/>
          <w:color w:val="000000"/>
          <w:szCs w:val="21"/>
          <w:u w:val="single"/>
        </w:rPr>
        <w:t>无</w:t>
      </w:r>
      <w:r>
        <w:rPr>
          <w:rFonts w:hint="eastAsia" w:ascii="宋体" w:hAnsi="宋体" w:eastAsia="宋体" w:cs="宋体"/>
          <w:color w:val="000000"/>
          <w:szCs w:val="21"/>
        </w:rPr>
        <w:t>。</w:t>
      </w:r>
    </w:p>
    <w:bookmarkEnd w:id="1000"/>
    <w:p w14:paraId="7CA83675">
      <w:pPr>
        <w:spacing w:line="440" w:lineRule="exact"/>
        <w:ind w:firstLine="480"/>
        <w:rPr>
          <w:rFonts w:ascii="宋体" w:hAnsi="宋体" w:eastAsia="宋体" w:cs="宋体"/>
          <w:color w:val="000000"/>
          <w:szCs w:val="21"/>
        </w:rPr>
      </w:pPr>
      <w:r>
        <w:rPr>
          <w:rFonts w:hint="eastAsia" w:ascii="宋体" w:hAnsi="宋体" w:eastAsia="宋体" w:cs="宋体"/>
          <w:color w:val="000000"/>
          <w:szCs w:val="21"/>
        </w:rPr>
        <w:t>13.2.5移交、接收全部与部分工程</w:t>
      </w:r>
    </w:p>
    <w:bookmarkEnd w:id="1001"/>
    <w:p w14:paraId="3A02320A">
      <w:pPr>
        <w:spacing w:line="440" w:lineRule="exact"/>
        <w:ind w:firstLine="480"/>
        <w:rPr>
          <w:rFonts w:ascii="宋体" w:hAnsi="宋体" w:eastAsia="宋体" w:cs="宋体"/>
          <w:color w:val="000000"/>
          <w:szCs w:val="21"/>
        </w:rPr>
      </w:pPr>
      <w:r>
        <w:rPr>
          <w:rFonts w:hint="eastAsia" w:ascii="宋体" w:hAnsi="宋体" w:eastAsia="宋体" w:cs="宋体"/>
          <w:color w:val="000000"/>
          <w:szCs w:val="21"/>
        </w:rPr>
        <w:t>承包人向发包人移交工程的期限：</w:t>
      </w:r>
      <w:r>
        <w:rPr>
          <w:rFonts w:hint="eastAsia" w:ascii="宋体" w:hAnsi="宋体" w:eastAsia="宋体" w:cs="宋体"/>
          <w:color w:val="000000"/>
          <w:szCs w:val="21"/>
          <w:u w:val="single"/>
        </w:rPr>
        <w:t>按照发包人要求，或竣工验收合格后28天内</w:t>
      </w:r>
      <w:r>
        <w:rPr>
          <w:rFonts w:hint="eastAsia" w:ascii="宋体" w:hAnsi="宋体" w:eastAsia="宋体" w:cs="宋体"/>
          <w:color w:val="000000"/>
          <w:szCs w:val="21"/>
        </w:rPr>
        <w:t>。</w:t>
      </w:r>
    </w:p>
    <w:p w14:paraId="1A4BF99E">
      <w:pPr>
        <w:spacing w:line="440" w:lineRule="exact"/>
        <w:ind w:firstLine="480"/>
        <w:rPr>
          <w:rFonts w:ascii="宋体" w:hAnsi="宋体" w:eastAsia="宋体" w:cs="宋体"/>
          <w:color w:val="000000"/>
          <w:szCs w:val="21"/>
          <w:u w:val="single"/>
        </w:rPr>
      </w:pPr>
      <w:r>
        <w:rPr>
          <w:rFonts w:hint="eastAsia" w:ascii="宋体" w:hAnsi="宋体" w:eastAsia="宋体" w:cs="宋体"/>
          <w:color w:val="000000"/>
          <w:szCs w:val="21"/>
        </w:rPr>
        <w:t>发包人未按本合同约定接收全部或部分工程的，违约金的计算方法为：</w:t>
      </w:r>
      <w:r>
        <w:rPr>
          <w:rFonts w:hint="eastAsia" w:ascii="宋体" w:hAnsi="宋体" w:eastAsia="宋体" w:cs="宋体"/>
          <w:color w:val="000000"/>
          <w:szCs w:val="21"/>
          <w:u w:val="single"/>
        </w:rPr>
        <w:t>按通用条款执行</w:t>
      </w:r>
      <w:r>
        <w:rPr>
          <w:rFonts w:hint="eastAsia" w:ascii="宋体" w:hAnsi="宋体" w:eastAsia="宋体" w:cs="宋体"/>
          <w:color w:val="000000"/>
          <w:szCs w:val="21"/>
        </w:rPr>
        <w:t>。</w:t>
      </w:r>
    </w:p>
    <w:bookmarkEnd w:id="1002"/>
    <w:p w14:paraId="1625DCB5">
      <w:pPr>
        <w:spacing w:line="440" w:lineRule="exact"/>
        <w:ind w:firstLine="480"/>
        <w:rPr>
          <w:rFonts w:ascii="宋体" w:hAnsi="宋体" w:eastAsia="宋体" w:cs="宋体"/>
          <w:color w:val="000000"/>
          <w:szCs w:val="21"/>
        </w:rPr>
      </w:pPr>
      <w:r>
        <w:rPr>
          <w:rFonts w:hint="eastAsia" w:ascii="宋体" w:hAnsi="宋体" w:eastAsia="宋体" w:cs="宋体"/>
          <w:color w:val="000000"/>
          <w:szCs w:val="21"/>
        </w:rPr>
        <w:t>承包人未按时移交工程的，违约金的计算方法为：</w:t>
      </w:r>
      <w:r>
        <w:rPr>
          <w:rFonts w:hint="eastAsia" w:ascii="宋体" w:hAnsi="宋体" w:eastAsia="宋体" w:cs="宋体"/>
          <w:color w:val="000000"/>
          <w:szCs w:val="21"/>
          <w:u w:val="single"/>
        </w:rPr>
        <w:t>按照5000元/天支付违约金</w:t>
      </w:r>
      <w:r>
        <w:rPr>
          <w:rFonts w:hint="eastAsia" w:ascii="宋体" w:hAnsi="宋体" w:eastAsia="宋体" w:cs="宋体"/>
          <w:color w:val="000000"/>
          <w:szCs w:val="21"/>
        </w:rPr>
        <w:t>。</w:t>
      </w:r>
    </w:p>
    <w:p w14:paraId="1972DA9B">
      <w:pPr>
        <w:spacing w:after="120" w:line="440" w:lineRule="exact"/>
        <w:ind w:firstLine="482"/>
        <w:rPr>
          <w:rFonts w:ascii="宋体" w:hAnsi="宋体" w:eastAsia="宋体" w:cs="宋体"/>
          <w:b/>
          <w:color w:val="000000"/>
        </w:rPr>
      </w:pPr>
      <w:r>
        <w:rPr>
          <w:rFonts w:hint="eastAsia" w:ascii="宋体" w:hAnsi="宋体" w:eastAsia="宋体" w:cs="宋体"/>
          <w:b/>
          <w:color w:val="000000"/>
        </w:rPr>
        <w:t>13.3 工程试车</w:t>
      </w:r>
    </w:p>
    <w:bookmarkEnd w:id="1003"/>
    <w:p w14:paraId="01CD4B4C">
      <w:pPr>
        <w:spacing w:line="440" w:lineRule="exact"/>
        <w:ind w:firstLine="480"/>
        <w:rPr>
          <w:rFonts w:ascii="宋体" w:hAnsi="宋体" w:eastAsia="宋体" w:cs="宋体"/>
          <w:color w:val="000000"/>
          <w:szCs w:val="21"/>
        </w:rPr>
      </w:pPr>
      <w:r>
        <w:rPr>
          <w:rFonts w:hint="eastAsia" w:ascii="宋体" w:hAnsi="宋体" w:eastAsia="宋体" w:cs="宋体"/>
          <w:color w:val="000000"/>
          <w:szCs w:val="21"/>
        </w:rPr>
        <w:t>13.3.1 试车程序</w:t>
      </w:r>
    </w:p>
    <w:p w14:paraId="5924DEE4">
      <w:pPr>
        <w:spacing w:line="440" w:lineRule="exact"/>
        <w:ind w:firstLine="480"/>
        <w:rPr>
          <w:rFonts w:ascii="宋体" w:hAnsi="宋体" w:eastAsia="宋体" w:cs="宋体"/>
          <w:color w:val="000000"/>
          <w:szCs w:val="21"/>
        </w:rPr>
      </w:pPr>
      <w:r>
        <w:rPr>
          <w:rFonts w:hint="eastAsia" w:ascii="宋体" w:hAnsi="宋体" w:eastAsia="宋体" w:cs="宋体"/>
          <w:color w:val="000000"/>
          <w:szCs w:val="21"/>
        </w:rPr>
        <w:t>工程试车内容：</w:t>
      </w:r>
      <w:r>
        <w:rPr>
          <w:rFonts w:hint="eastAsia" w:ascii="宋体" w:hAnsi="宋体" w:eastAsia="宋体" w:cs="宋体"/>
          <w:color w:val="000000"/>
          <w:szCs w:val="21"/>
          <w:u w:val="single"/>
        </w:rPr>
        <w:t xml:space="preserve">无 </w:t>
      </w:r>
      <w:r>
        <w:rPr>
          <w:rFonts w:hint="eastAsia" w:ascii="宋体" w:hAnsi="宋体" w:eastAsia="宋体" w:cs="宋体"/>
          <w:color w:val="000000"/>
          <w:szCs w:val="21"/>
        </w:rPr>
        <w:t>。</w:t>
      </w:r>
    </w:p>
    <w:p w14:paraId="756D2AF7">
      <w:pPr>
        <w:spacing w:line="440" w:lineRule="exact"/>
        <w:ind w:firstLine="480"/>
        <w:rPr>
          <w:rFonts w:ascii="宋体" w:hAnsi="宋体" w:eastAsia="宋体" w:cs="宋体"/>
          <w:color w:val="000000"/>
          <w:szCs w:val="21"/>
        </w:rPr>
      </w:pPr>
      <w:r>
        <w:rPr>
          <w:rFonts w:hint="eastAsia" w:ascii="宋体" w:hAnsi="宋体" w:eastAsia="宋体" w:cs="宋体"/>
          <w:color w:val="000000"/>
          <w:szCs w:val="21"/>
        </w:rPr>
        <w:t>（1）单机无负荷试车费用由</w:t>
      </w:r>
      <w:r>
        <w:rPr>
          <w:rFonts w:hint="eastAsia" w:ascii="宋体" w:hAnsi="宋体" w:eastAsia="宋体" w:cs="宋体"/>
          <w:color w:val="000000"/>
          <w:szCs w:val="21"/>
          <w:u w:val="single"/>
        </w:rPr>
        <w:t>/</w:t>
      </w:r>
      <w:r>
        <w:rPr>
          <w:rFonts w:hint="eastAsia" w:ascii="宋体" w:hAnsi="宋体" w:eastAsia="宋体" w:cs="宋体"/>
          <w:color w:val="000000"/>
          <w:szCs w:val="21"/>
        </w:rPr>
        <w:t>承担；</w:t>
      </w:r>
    </w:p>
    <w:p w14:paraId="126D7578">
      <w:pPr>
        <w:spacing w:line="440" w:lineRule="exact"/>
        <w:ind w:firstLine="480"/>
        <w:rPr>
          <w:rFonts w:ascii="宋体" w:hAnsi="宋体" w:eastAsia="宋体" w:cs="宋体"/>
          <w:color w:val="000000"/>
          <w:szCs w:val="21"/>
        </w:rPr>
      </w:pPr>
      <w:r>
        <w:rPr>
          <w:rFonts w:hint="eastAsia" w:ascii="宋体" w:hAnsi="宋体" w:eastAsia="宋体" w:cs="宋体"/>
          <w:color w:val="000000"/>
          <w:szCs w:val="21"/>
        </w:rPr>
        <w:t>（2）无负荷联动试车费用由</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承担。</w:t>
      </w:r>
    </w:p>
    <w:p w14:paraId="37F481FE">
      <w:pPr>
        <w:spacing w:line="440" w:lineRule="exact"/>
        <w:ind w:firstLine="480"/>
        <w:rPr>
          <w:rFonts w:ascii="宋体" w:hAnsi="宋体" w:eastAsia="宋体" w:cs="宋体"/>
          <w:color w:val="000000"/>
          <w:szCs w:val="21"/>
        </w:rPr>
      </w:pPr>
      <w:r>
        <w:rPr>
          <w:rFonts w:hint="eastAsia" w:ascii="宋体" w:hAnsi="宋体" w:eastAsia="宋体" w:cs="宋体"/>
          <w:color w:val="000000"/>
          <w:szCs w:val="21"/>
        </w:rPr>
        <w:t>13.3.3 投料试车</w:t>
      </w:r>
    </w:p>
    <w:p w14:paraId="7D28BB8D">
      <w:pPr>
        <w:spacing w:line="440" w:lineRule="exact"/>
        <w:ind w:firstLine="480"/>
        <w:rPr>
          <w:rFonts w:ascii="宋体" w:hAnsi="宋体" w:eastAsia="宋体" w:cs="宋体"/>
          <w:color w:val="000000"/>
          <w:sz w:val="30"/>
          <w:szCs w:val="32"/>
        </w:rPr>
      </w:pPr>
      <w:r>
        <w:rPr>
          <w:rFonts w:hint="eastAsia" w:ascii="宋体" w:hAnsi="宋体" w:eastAsia="宋体" w:cs="宋体"/>
          <w:color w:val="000000"/>
          <w:szCs w:val="21"/>
        </w:rPr>
        <w:t>关于投料试车相关事项的约定：</w:t>
      </w:r>
      <w:r>
        <w:rPr>
          <w:rFonts w:hint="eastAsia" w:ascii="宋体" w:hAnsi="宋体" w:eastAsia="宋体" w:cs="宋体"/>
          <w:color w:val="000000"/>
          <w:szCs w:val="21"/>
          <w:u w:val="single"/>
        </w:rPr>
        <w:t xml:space="preserve">  无</w:t>
      </w:r>
      <w:r>
        <w:rPr>
          <w:rFonts w:hint="eastAsia" w:ascii="宋体" w:hAnsi="宋体" w:eastAsia="宋体" w:cs="宋体"/>
          <w:color w:val="000000"/>
          <w:szCs w:val="21"/>
        </w:rPr>
        <w:t>。</w:t>
      </w:r>
    </w:p>
    <w:p w14:paraId="4B9DE607">
      <w:pPr>
        <w:spacing w:after="120" w:line="440" w:lineRule="exact"/>
        <w:ind w:firstLine="482"/>
        <w:outlineLvl w:val="0"/>
        <w:rPr>
          <w:rFonts w:ascii="宋体" w:hAnsi="宋体" w:eastAsia="宋体" w:cs="宋体"/>
          <w:b/>
          <w:color w:val="000000"/>
        </w:rPr>
      </w:pPr>
      <w:bookmarkStart w:id="1005" w:name="_Toc36797940"/>
      <w:r>
        <w:rPr>
          <w:rFonts w:hint="eastAsia" w:ascii="宋体" w:hAnsi="宋体" w:eastAsia="宋体" w:cs="宋体"/>
          <w:b/>
          <w:color w:val="000000"/>
        </w:rPr>
        <w:t>13.6 竣工退场</w:t>
      </w:r>
      <w:bookmarkEnd w:id="1005"/>
    </w:p>
    <w:p w14:paraId="58FCC6AB">
      <w:pPr>
        <w:spacing w:line="440" w:lineRule="exact"/>
        <w:ind w:firstLine="480"/>
        <w:rPr>
          <w:rFonts w:ascii="宋体" w:hAnsi="宋体" w:eastAsia="宋体" w:cs="宋体"/>
          <w:color w:val="000000"/>
          <w:szCs w:val="21"/>
        </w:rPr>
      </w:pPr>
      <w:r>
        <w:rPr>
          <w:rFonts w:hint="eastAsia" w:ascii="宋体" w:hAnsi="宋体" w:eastAsia="宋体" w:cs="宋体"/>
          <w:color w:val="000000"/>
          <w:szCs w:val="21"/>
        </w:rPr>
        <w:t>13.6.1 竣工退场</w:t>
      </w:r>
    </w:p>
    <w:p w14:paraId="338DA046">
      <w:pPr>
        <w:spacing w:line="440" w:lineRule="exact"/>
        <w:ind w:firstLine="480"/>
        <w:rPr>
          <w:rFonts w:ascii="宋体" w:hAnsi="宋体" w:eastAsia="宋体" w:cs="宋体"/>
          <w:color w:val="000000"/>
          <w:szCs w:val="21"/>
        </w:rPr>
      </w:pPr>
      <w:r>
        <w:rPr>
          <w:rFonts w:hint="eastAsia" w:ascii="宋体" w:hAnsi="宋体" w:eastAsia="宋体" w:cs="宋体"/>
          <w:color w:val="000000"/>
          <w:szCs w:val="21"/>
        </w:rPr>
        <w:t>承包人完成竣工退场的期限：</w:t>
      </w:r>
      <w:r>
        <w:rPr>
          <w:rFonts w:hint="eastAsia" w:ascii="宋体" w:hAnsi="宋体" w:eastAsia="宋体" w:cs="宋体"/>
          <w:szCs w:val="21"/>
          <w:u w:val="single"/>
        </w:rPr>
        <w:t>30天</w:t>
      </w:r>
      <w:r>
        <w:rPr>
          <w:rFonts w:hint="eastAsia" w:ascii="宋体" w:hAnsi="宋体" w:eastAsia="宋体" w:cs="宋体"/>
          <w:color w:val="000000"/>
          <w:szCs w:val="21"/>
        </w:rPr>
        <w:t>。</w:t>
      </w:r>
    </w:p>
    <w:p w14:paraId="56CB077E">
      <w:pPr>
        <w:keepNext/>
        <w:keepLines/>
        <w:spacing w:before="120" w:after="120" w:line="440" w:lineRule="exact"/>
        <w:ind w:firstLine="482"/>
        <w:outlineLvl w:val="3"/>
        <w:rPr>
          <w:rFonts w:ascii="宋体" w:hAnsi="宋体" w:eastAsia="宋体" w:cs="宋体"/>
          <w:b/>
          <w:color w:val="000000"/>
        </w:rPr>
      </w:pPr>
      <w:bookmarkStart w:id="1006" w:name="_Toc351203646"/>
      <w:r>
        <w:rPr>
          <w:rFonts w:hint="eastAsia" w:ascii="宋体" w:hAnsi="宋体" w:eastAsia="宋体" w:cs="宋体"/>
          <w:b/>
          <w:color w:val="000000"/>
        </w:rPr>
        <w:t>14. 竣工结算</w:t>
      </w:r>
      <w:bookmarkEnd w:id="1006"/>
    </w:p>
    <w:p w14:paraId="0C73C8FA">
      <w:pPr>
        <w:spacing w:after="120" w:line="440" w:lineRule="exact"/>
        <w:ind w:firstLine="482"/>
        <w:rPr>
          <w:rFonts w:ascii="宋体" w:hAnsi="宋体" w:eastAsia="宋体" w:cs="宋体"/>
          <w:b/>
          <w:color w:val="000000"/>
        </w:rPr>
      </w:pPr>
      <w:r>
        <w:rPr>
          <w:rFonts w:hint="eastAsia" w:ascii="宋体" w:hAnsi="宋体" w:eastAsia="宋体" w:cs="宋体"/>
          <w:b/>
          <w:color w:val="000000"/>
        </w:rPr>
        <w:t>14.1 竣工结算申请</w:t>
      </w:r>
    </w:p>
    <w:p w14:paraId="03AB22A3">
      <w:pPr>
        <w:spacing w:line="440" w:lineRule="exact"/>
        <w:ind w:firstLine="480"/>
        <w:rPr>
          <w:rFonts w:ascii="宋体" w:hAnsi="宋体" w:eastAsia="宋体" w:cs="宋体"/>
          <w:color w:val="000000"/>
          <w:szCs w:val="21"/>
        </w:rPr>
      </w:pPr>
      <w:r>
        <w:rPr>
          <w:rFonts w:hint="eastAsia" w:ascii="宋体" w:hAnsi="宋体" w:eastAsia="宋体" w:cs="宋体"/>
          <w:szCs w:val="21"/>
        </w:rPr>
        <w:t>承包人提交竣工结算申请单的期限：</w:t>
      </w:r>
      <w:r>
        <w:rPr>
          <w:rFonts w:hint="eastAsia" w:ascii="宋体" w:hAnsi="宋体" w:eastAsia="宋体" w:cs="宋体"/>
          <w:szCs w:val="21"/>
          <w:u w:val="single"/>
        </w:rPr>
        <w:t>承包人应在工程竣工验收合格后28天内向发包人提交竣工结算申请书。</w:t>
      </w:r>
      <w:r>
        <w:rPr>
          <w:rFonts w:hint="eastAsia" w:ascii="宋体" w:hAnsi="宋体" w:eastAsia="宋体" w:cs="宋体"/>
          <w:color w:val="000000"/>
          <w:szCs w:val="21"/>
        </w:rPr>
        <w:t>。</w:t>
      </w:r>
    </w:p>
    <w:p w14:paraId="4E058E0B">
      <w:pPr>
        <w:spacing w:line="440" w:lineRule="exact"/>
        <w:ind w:firstLine="480"/>
        <w:rPr>
          <w:rFonts w:ascii="宋体" w:hAnsi="宋体" w:eastAsia="宋体" w:cs="宋体"/>
          <w:color w:val="000000"/>
          <w:szCs w:val="21"/>
        </w:rPr>
      </w:pPr>
      <w:r>
        <w:rPr>
          <w:rFonts w:hint="eastAsia" w:ascii="宋体" w:hAnsi="宋体" w:eastAsia="宋体" w:cs="宋体"/>
          <w:color w:val="000000"/>
          <w:szCs w:val="21"/>
        </w:rPr>
        <w:t>竣工结算申请单应包括的内容：</w:t>
      </w:r>
    </w:p>
    <w:p w14:paraId="69E0A34E">
      <w:pPr>
        <w:autoSpaceDE w:val="0"/>
        <w:autoSpaceDN w:val="0"/>
        <w:spacing w:line="440" w:lineRule="exact"/>
        <w:ind w:firstLine="480"/>
        <w:rPr>
          <w:rFonts w:ascii="宋体" w:hAnsi="宋体" w:eastAsia="宋体" w:cs="宋体"/>
          <w:szCs w:val="21"/>
          <w:u w:val="single"/>
        </w:rPr>
      </w:pPr>
      <w:r>
        <w:rPr>
          <w:rFonts w:hint="eastAsia" w:ascii="宋体" w:hAnsi="宋体" w:eastAsia="宋体" w:cs="宋体"/>
          <w:szCs w:val="21"/>
          <w:u w:val="single"/>
        </w:rPr>
        <w:t>（1）竣工结算书原件、工程量计算书。</w:t>
      </w:r>
    </w:p>
    <w:p w14:paraId="5F63741C">
      <w:pPr>
        <w:autoSpaceDE w:val="0"/>
        <w:autoSpaceDN w:val="0"/>
        <w:spacing w:line="440" w:lineRule="exact"/>
        <w:ind w:firstLine="480"/>
        <w:rPr>
          <w:rFonts w:ascii="宋体" w:hAnsi="宋体" w:eastAsia="宋体" w:cs="宋体"/>
          <w:szCs w:val="21"/>
          <w:u w:val="single"/>
        </w:rPr>
      </w:pPr>
      <w:r>
        <w:rPr>
          <w:rFonts w:hint="eastAsia" w:ascii="宋体" w:hAnsi="宋体" w:eastAsia="宋体" w:cs="宋体"/>
          <w:szCs w:val="21"/>
          <w:u w:val="single"/>
        </w:rPr>
        <w:t>（2）施工合同原件、中标通知书复印件。</w:t>
      </w:r>
    </w:p>
    <w:p w14:paraId="52C2F30E">
      <w:pPr>
        <w:autoSpaceDE w:val="0"/>
        <w:autoSpaceDN w:val="0"/>
        <w:spacing w:line="440" w:lineRule="exact"/>
        <w:ind w:firstLine="480"/>
        <w:rPr>
          <w:rFonts w:ascii="宋体" w:hAnsi="宋体" w:eastAsia="宋体" w:cs="宋体"/>
          <w:szCs w:val="21"/>
          <w:u w:val="single"/>
        </w:rPr>
      </w:pPr>
      <w:r>
        <w:rPr>
          <w:rFonts w:hint="eastAsia" w:ascii="宋体" w:hAnsi="宋体" w:eastAsia="宋体" w:cs="宋体"/>
          <w:szCs w:val="21"/>
          <w:u w:val="single"/>
        </w:rPr>
        <w:t>（3）招标文件、招标答疑、投标文件。</w:t>
      </w:r>
    </w:p>
    <w:p w14:paraId="069278FD">
      <w:pPr>
        <w:autoSpaceDE w:val="0"/>
        <w:autoSpaceDN w:val="0"/>
        <w:spacing w:line="440" w:lineRule="exact"/>
        <w:ind w:firstLine="480"/>
        <w:rPr>
          <w:rFonts w:ascii="宋体" w:hAnsi="宋体" w:eastAsia="宋体" w:cs="宋体"/>
          <w:szCs w:val="21"/>
          <w:u w:val="single"/>
        </w:rPr>
      </w:pPr>
      <w:r>
        <w:rPr>
          <w:rFonts w:hint="eastAsia" w:ascii="宋体" w:hAnsi="宋体" w:eastAsia="宋体" w:cs="宋体"/>
          <w:szCs w:val="21"/>
          <w:u w:val="single"/>
        </w:rPr>
        <w:t>（4）竣工图纸（蓝图）；</w:t>
      </w:r>
    </w:p>
    <w:p w14:paraId="1AA76D70">
      <w:pPr>
        <w:autoSpaceDE w:val="0"/>
        <w:autoSpaceDN w:val="0"/>
        <w:spacing w:line="440" w:lineRule="exact"/>
        <w:ind w:firstLine="480"/>
        <w:rPr>
          <w:rFonts w:ascii="宋体" w:hAnsi="宋体" w:eastAsia="宋体" w:cs="宋体"/>
          <w:szCs w:val="21"/>
          <w:u w:val="single"/>
        </w:rPr>
      </w:pPr>
      <w:r>
        <w:rPr>
          <w:rFonts w:hint="eastAsia" w:ascii="宋体" w:hAnsi="宋体" w:eastAsia="宋体" w:cs="宋体"/>
          <w:szCs w:val="21"/>
          <w:u w:val="single"/>
        </w:rPr>
        <w:t>（5）竣工资料原件（包括开竣工报告、分部分项工程验收记录以及材料检测等资料，经监理核查装订成册，拟报档案管存档的资料）；</w:t>
      </w:r>
    </w:p>
    <w:p w14:paraId="189F4CFB">
      <w:pPr>
        <w:autoSpaceDE w:val="0"/>
        <w:autoSpaceDN w:val="0"/>
        <w:spacing w:line="440" w:lineRule="exact"/>
        <w:ind w:firstLine="480"/>
        <w:rPr>
          <w:rFonts w:ascii="宋体" w:hAnsi="宋体" w:eastAsia="宋体" w:cs="宋体"/>
          <w:szCs w:val="21"/>
          <w:u w:val="single"/>
        </w:rPr>
      </w:pPr>
      <w:r>
        <w:rPr>
          <w:rFonts w:hint="eastAsia" w:ascii="宋体" w:hAnsi="宋体" w:eastAsia="宋体" w:cs="宋体"/>
          <w:szCs w:val="21"/>
          <w:u w:val="single"/>
        </w:rPr>
        <w:t>（6）设计变更、工程签证、图纸会审、会议纪要等结算资料；</w:t>
      </w:r>
    </w:p>
    <w:p w14:paraId="1A96E6E4">
      <w:pPr>
        <w:autoSpaceDE w:val="0"/>
        <w:autoSpaceDN w:val="0"/>
        <w:spacing w:line="440" w:lineRule="exact"/>
        <w:ind w:firstLine="480"/>
        <w:rPr>
          <w:rFonts w:ascii="宋体" w:hAnsi="宋体" w:eastAsia="宋体" w:cs="宋体"/>
          <w:szCs w:val="21"/>
          <w:u w:val="single"/>
        </w:rPr>
      </w:pPr>
      <w:r>
        <w:rPr>
          <w:rFonts w:hint="eastAsia" w:ascii="宋体" w:hAnsi="宋体" w:eastAsia="宋体" w:cs="宋体"/>
          <w:szCs w:val="21"/>
          <w:u w:val="single"/>
        </w:rPr>
        <w:t>（7）电子文件（包括投标报价、竣工结算书、施工图纸等）；</w:t>
      </w:r>
    </w:p>
    <w:p w14:paraId="5200F836">
      <w:pPr>
        <w:autoSpaceDE w:val="0"/>
        <w:autoSpaceDN w:val="0"/>
        <w:spacing w:line="440" w:lineRule="exact"/>
        <w:ind w:firstLine="480"/>
        <w:rPr>
          <w:rFonts w:ascii="宋体" w:hAnsi="宋体" w:eastAsia="宋体" w:cs="宋体"/>
          <w:szCs w:val="21"/>
        </w:rPr>
      </w:pPr>
      <w:r>
        <w:rPr>
          <w:rFonts w:hint="eastAsia" w:ascii="宋体" w:hAnsi="宋体" w:eastAsia="宋体" w:cs="宋体"/>
          <w:szCs w:val="21"/>
          <w:u w:val="single"/>
        </w:rPr>
        <w:t>（8）甲供材料结算单、水电费结算单（如有）。</w:t>
      </w:r>
    </w:p>
    <w:p w14:paraId="435F2A7D">
      <w:pPr>
        <w:spacing w:after="120" w:line="440" w:lineRule="exact"/>
        <w:ind w:firstLine="482"/>
        <w:outlineLvl w:val="0"/>
        <w:rPr>
          <w:rFonts w:ascii="宋体" w:hAnsi="宋体" w:eastAsia="宋体" w:cs="宋体"/>
          <w:b/>
          <w:color w:val="000000"/>
        </w:rPr>
      </w:pPr>
      <w:bookmarkStart w:id="1007" w:name="_Toc36797941"/>
      <w:r>
        <w:rPr>
          <w:rFonts w:hint="eastAsia" w:ascii="宋体" w:hAnsi="宋体" w:eastAsia="宋体" w:cs="宋体"/>
          <w:b/>
          <w:color w:val="000000"/>
        </w:rPr>
        <w:t>14.2 竣工结算审核</w:t>
      </w:r>
      <w:bookmarkEnd w:id="1007"/>
    </w:p>
    <w:p w14:paraId="3E8AE7D1">
      <w:pPr>
        <w:spacing w:line="440" w:lineRule="exact"/>
        <w:ind w:firstLine="480"/>
        <w:rPr>
          <w:rFonts w:ascii="宋体" w:hAnsi="宋体" w:eastAsia="宋体" w:cs="宋体"/>
          <w:szCs w:val="21"/>
        </w:rPr>
      </w:pPr>
      <w:r>
        <w:rPr>
          <w:rFonts w:hint="eastAsia" w:ascii="宋体" w:hAnsi="宋体" w:eastAsia="宋体" w:cs="宋体"/>
          <w:szCs w:val="21"/>
        </w:rPr>
        <w:t>发包人审批竣工付款申请单的期限：</w:t>
      </w:r>
      <w:r>
        <w:rPr>
          <w:rFonts w:hint="eastAsia" w:ascii="宋体" w:hAnsi="宋体" w:eastAsia="宋体" w:cs="宋体"/>
          <w:szCs w:val="21"/>
          <w:u w:val="single"/>
        </w:rPr>
        <w:t>按通用条款执行</w:t>
      </w:r>
      <w:r>
        <w:rPr>
          <w:rFonts w:hint="eastAsia" w:ascii="宋体" w:hAnsi="宋体" w:eastAsia="宋体" w:cs="宋体"/>
          <w:color w:val="000000"/>
          <w:szCs w:val="21"/>
        </w:rPr>
        <w:t>。</w:t>
      </w:r>
    </w:p>
    <w:p w14:paraId="5C4E9C52">
      <w:pPr>
        <w:spacing w:line="440" w:lineRule="exact"/>
        <w:ind w:firstLine="480"/>
        <w:rPr>
          <w:rFonts w:ascii="宋体" w:hAnsi="宋体" w:eastAsia="宋体" w:cs="宋体"/>
          <w:color w:val="000000"/>
          <w:szCs w:val="21"/>
        </w:rPr>
      </w:pPr>
      <w:r>
        <w:rPr>
          <w:rFonts w:hint="eastAsia" w:ascii="宋体" w:hAnsi="宋体" w:eastAsia="宋体" w:cs="宋体"/>
          <w:szCs w:val="21"/>
        </w:rPr>
        <w:t>发包人完成竣工付款的期限：</w:t>
      </w:r>
      <w:r>
        <w:rPr>
          <w:rFonts w:hint="eastAsia" w:ascii="宋体" w:hAnsi="宋体" w:eastAsia="宋体" w:cs="宋体"/>
          <w:szCs w:val="21"/>
          <w:u w:val="single"/>
        </w:rPr>
        <w:t>按通用条款执行</w:t>
      </w:r>
      <w:r>
        <w:rPr>
          <w:rFonts w:hint="eastAsia" w:ascii="宋体" w:hAnsi="宋体" w:eastAsia="宋体" w:cs="宋体"/>
          <w:color w:val="000000"/>
          <w:szCs w:val="21"/>
        </w:rPr>
        <w:t>。</w:t>
      </w:r>
    </w:p>
    <w:p w14:paraId="37347113">
      <w:pPr>
        <w:spacing w:line="440" w:lineRule="exact"/>
        <w:ind w:firstLine="480"/>
        <w:rPr>
          <w:rFonts w:ascii="宋体" w:hAnsi="宋体" w:eastAsia="宋体" w:cs="宋体"/>
          <w:color w:val="000000"/>
          <w:szCs w:val="21"/>
        </w:rPr>
      </w:pPr>
      <w:r>
        <w:rPr>
          <w:rFonts w:hint="eastAsia" w:ascii="宋体" w:hAnsi="宋体" w:eastAsia="宋体" w:cs="宋体"/>
          <w:color w:val="000000"/>
          <w:szCs w:val="21"/>
        </w:rPr>
        <w:t>关于竣工付款证书异议部分复核的方式和程序：</w:t>
      </w:r>
      <w:r>
        <w:rPr>
          <w:rFonts w:hint="eastAsia" w:ascii="宋体" w:hAnsi="宋体" w:eastAsia="宋体" w:cs="宋体"/>
          <w:szCs w:val="21"/>
          <w:u w:val="single"/>
        </w:rPr>
        <w:t>承包人送审金额与审计单位最终核定额对比，如审减金额超过 10 % (不含10%)，全部审计费用由工程项目承包人承担；承包人送审金额与审计单位最终核定额对比，如审减金额未超过 10 % ，审计费用由工程项目发包人正常支付。</w:t>
      </w:r>
    </w:p>
    <w:p w14:paraId="72B5CCD6">
      <w:pPr>
        <w:spacing w:after="120" w:line="440" w:lineRule="exact"/>
        <w:ind w:firstLine="482"/>
        <w:rPr>
          <w:rFonts w:ascii="宋体" w:hAnsi="宋体" w:eastAsia="宋体" w:cs="宋体"/>
          <w:b/>
          <w:color w:val="000000"/>
        </w:rPr>
      </w:pPr>
      <w:r>
        <w:rPr>
          <w:rFonts w:hint="eastAsia" w:ascii="宋体" w:hAnsi="宋体" w:eastAsia="宋体" w:cs="宋体"/>
          <w:b/>
          <w:color w:val="000000"/>
        </w:rPr>
        <w:t>14.4 最终结清</w:t>
      </w:r>
    </w:p>
    <w:p w14:paraId="7EA5DD05">
      <w:pPr>
        <w:spacing w:line="440" w:lineRule="exact"/>
        <w:ind w:firstLine="480"/>
        <w:rPr>
          <w:rFonts w:ascii="宋体" w:hAnsi="宋体" w:eastAsia="宋体" w:cs="宋体"/>
          <w:color w:val="000000"/>
          <w:szCs w:val="21"/>
        </w:rPr>
      </w:pPr>
      <w:r>
        <w:rPr>
          <w:rFonts w:hint="eastAsia" w:ascii="宋体" w:hAnsi="宋体" w:eastAsia="宋体" w:cs="宋体"/>
          <w:color w:val="000000"/>
          <w:szCs w:val="21"/>
        </w:rPr>
        <w:t>14.4.1 最终结清申请单</w:t>
      </w:r>
    </w:p>
    <w:p w14:paraId="3246B925">
      <w:pPr>
        <w:spacing w:line="440" w:lineRule="exact"/>
        <w:ind w:firstLine="480"/>
        <w:rPr>
          <w:rFonts w:ascii="宋体" w:hAnsi="宋体" w:eastAsia="宋体" w:cs="宋体"/>
          <w:color w:val="000000"/>
          <w:szCs w:val="21"/>
        </w:rPr>
      </w:pPr>
      <w:r>
        <w:rPr>
          <w:rFonts w:hint="eastAsia" w:ascii="宋体" w:hAnsi="宋体" w:eastAsia="宋体" w:cs="宋体"/>
          <w:color w:val="000000"/>
          <w:szCs w:val="21"/>
        </w:rPr>
        <w:t>承包人提交最终结清申请单的份数：</w:t>
      </w:r>
      <w:r>
        <w:rPr>
          <w:rFonts w:hint="eastAsia" w:ascii="宋体" w:hAnsi="宋体" w:eastAsia="宋体" w:cs="宋体"/>
          <w:szCs w:val="21"/>
          <w:u w:val="single"/>
        </w:rPr>
        <w:t>两份纸质版文件，电子版一份</w:t>
      </w:r>
      <w:r>
        <w:rPr>
          <w:rFonts w:hint="eastAsia" w:ascii="宋体" w:hAnsi="宋体" w:eastAsia="宋体" w:cs="宋体"/>
          <w:color w:val="000000"/>
          <w:szCs w:val="21"/>
        </w:rPr>
        <w:t>。</w:t>
      </w:r>
    </w:p>
    <w:p w14:paraId="3890CAA7">
      <w:pPr>
        <w:spacing w:line="440" w:lineRule="exact"/>
        <w:ind w:firstLine="480"/>
        <w:rPr>
          <w:rFonts w:ascii="宋体" w:hAnsi="宋体" w:eastAsia="宋体" w:cs="宋体"/>
          <w:szCs w:val="21"/>
        </w:rPr>
      </w:pPr>
      <w:r>
        <w:rPr>
          <w:rFonts w:hint="eastAsia" w:ascii="宋体" w:hAnsi="宋体" w:eastAsia="宋体" w:cs="宋体"/>
          <w:color w:val="000000"/>
          <w:szCs w:val="21"/>
        </w:rPr>
        <w:t>承包人提交最终结算申请单的期限：</w:t>
      </w:r>
      <w:r>
        <w:rPr>
          <w:rFonts w:hint="eastAsia" w:ascii="宋体" w:hAnsi="宋体" w:eastAsia="宋体" w:cs="宋体"/>
          <w:szCs w:val="21"/>
          <w:u w:val="single"/>
        </w:rPr>
        <w:t>缺陷责任期到期后30天内</w:t>
      </w:r>
      <w:r>
        <w:rPr>
          <w:rFonts w:hint="eastAsia" w:ascii="宋体" w:hAnsi="宋体" w:eastAsia="宋体" w:cs="宋体"/>
          <w:color w:val="000000"/>
          <w:szCs w:val="21"/>
        </w:rPr>
        <w:t>。</w:t>
      </w:r>
    </w:p>
    <w:p w14:paraId="059B9333">
      <w:pPr>
        <w:spacing w:line="440" w:lineRule="exact"/>
        <w:ind w:firstLine="480"/>
        <w:rPr>
          <w:rFonts w:ascii="宋体" w:hAnsi="宋体" w:eastAsia="宋体" w:cs="宋体"/>
          <w:szCs w:val="21"/>
        </w:rPr>
      </w:pPr>
      <w:r>
        <w:rPr>
          <w:rFonts w:hint="eastAsia" w:ascii="宋体" w:hAnsi="宋体" w:eastAsia="宋体" w:cs="宋体"/>
          <w:szCs w:val="21"/>
        </w:rPr>
        <w:t>14.4.2 最终结清证书和支付</w:t>
      </w:r>
    </w:p>
    <w:p w14:paraId="17E9FC78">
      <w:pPr>
        <w:spacing w:line="440" w:lineRule="exact"/>
        <w:ind w:firstLine="480"/>
        <w:rPr>
          <w:rFonts w:ascii="宋体" w:hAnsi="宋体" w:eastAsia="宋体" w:cs="宋体"/>
          <w:szCs w:val="21"/>
        </w:rPr>
      </w:pPr>
      <w:r>
        <w:rPr>
          <w:rFonts w:hint="eastAsia" w:ascii="宋体" w:hAnsi="宋体" w:eastAsia="宋体" w:cs="宋体"/>
          <w:szCs w:val="21"/>
        </w:rPr>
        <w:t>（1）发包人完成最终结清申请单的审批并颁发最终结清证书的期限：</w:t>
      </w:r>
      <w:r>
        <w:rPr>
          <w:rFonts w:hint="eastAsia" w:ascii="宋体" w:hAnsi="宋体" w:eastAsia="宋体" w:cs="宋体"/>
          <w:szCs w:val="21"/>
          <w:u w:val="single"/>
        </w:rPr>
        <w:t>收到最终结算申请书后90天内</w:t>
      </w:r>
      <w:r>
        <w:rPr>
          <w:rFonts w:hint="eastAsia" w:ascii="宋体" w:hAnsi="宋体" w:eastAsia="宋体" w:cs="宋体"/>
          <w:color w:val="000000"/>
          <w:szCs w:val="21"/>
        </w:rPr>
        <w:t>。</w:t>
      </w:r>
    </w:p>
    <w:p w14:paraId="2A73E355">
      <w:pPr>
        <w:spacing w:line="440" w:lineRule="exact"/>
        <w:ind w:firstLine="480"/>
        <w:rPr>
          <w:rFonts w:ascii="宋体" w:hAnsi="宋体" w:eastAsia="宋体" w:cs="宋体"/>
          <w:szCs w:val="21"/>
        </w:rPr>
      </w:pPr>
      <w:r>
        <w:rPr>
          <w:rFonts w:hint="eastAsia" w:ascii="宋体" w:hAnsi="宋体" w:eastAsia="宋体" w:cs="宋体"/>
          <w:szCs w:val="21"/>
        </w:rPr>
        <w:t>（2）发包人完成支付的期限：</w:t>
      </w:r>
      <w:r>
        <w:rPr>
          <w:rFonts w:hint="eastAsia" w:ascii="宋体" w:hAnsi="宋体" w:eastAsia="宋体" w:cs="宋体"/>
          <w:szCs w:val="21"/>
          <w:u w:val="single"/>
        </w:rPr>
        <w:t>最终结算申请书定审后30天内</w:t>
      </w:r>
      <w:r>
        <w:rPr>
          <w:rFonts w:hint="eastAsia" w:ascii="宋体" w:hAnsi="宋体" w:eastAsia="宋体" w:cs="宋体"/>
          <w:color w:val="000000"/>
          <w:szCs w:val="21"/>
        </w:rPr>
        <w:t>。</w:t>
      </w:r>
    </w:p>
    <w:bookmarkEnd w:id="992"/>
    <w:bookmarkEnd w:id="993"/>
    <w:bookmarkEnd w:id="994"/>
    <w:bookmarkEnd w:id="995"/>
    <w:bookmarkEnd w:id="996"/>
    <w:bookmarkEnd w:id="997"/>
    <w:bookmarkEnd w:id="998"/>
    <w:bookmarkEnd w:id="1004"/>
    <w:p w14:paraId="6093EF73">
      <w:pPr>
        <w:keepNext/>
        <w:keepLines/>
        <w:spacing w:before="120" w:after="120" w:line="440" w:lineRule="exact"/>
        <w:ind w:firstLine="482"/>
        <w:outlineLvl w:val="3"/>
        <w:rPr>
          <w:rFonts w:ascii="宋体" w:hAnsi="宋体" w:eastAsia="宋体" w:cs="宋体"/>
          <w:b/>
          <w:color w:val="000000"/>
        </w:rPr>
      </w:pPr>
      <w:bookmarkStart w:id="1008" w:name="_Toc351203647"/>
      <w:bookmarkStart w:id="1009" w:name="_Toc267251483"/>
      <w:bookmarkStart w:id="1010" w:name="_Toc267251484"/>
      <w:bookmarkStart w:id="1011" w:name="_Toc267251482"/>
      <w:bookmarkStart w:id="1012" w:name="_Toc267251485"/>
      <w:bookmarkStart w:id="1013" w:name="_Toc267251486"/>
      <w:bookmarkStart w:id="1014" w:name="_Toc267251490"/>
      <w:bookmarkStart w:id="1015" w:name="_Toc267251488"/>
      <w:bookmarkStart w:id="1016" w:name="_Toc267251489"/>
      <w:bookmarkStart w:id="1017" w:name="_Toc267251492"/>
      <w:bookmarkStart w:id="1018" w:name="_Toc267251497"/>
      <w:bookmarkStart w:id="1019" w:name="_Toc267251499"/>
      <w:bookmarkStart w:id="1020" w:name="_Toc267251501"/>
      <w:bookmarkStart w:id="1021" w:name="_Toc267251494"/>
      <w:bookmarkStart w:id="1022" w:name="_Toc267251495"/>
      <w:bookmarkStart w:id="1023" w:name="_Toc267251496"/>
      <w:bookmarkStart w:id="1024" w:name="_Toc267251503"/>
      <w:bookmarkStart w:id="1025" w:name="_Toc267251502"/>
      <w:bookmarkStart w:id="1026" w:name="_Toc267251491"/>
      <w:bookmarkStart w:id="1027" w:name="_Toc267251498"/>
      <w:bookmarkStart w:id="1028" w:name="_Toc267251493"/>
      <w:bookmarkStart w:id="1029" w:name="_Toc267251506"/>
      <w:bookmarkStart w:id="1030" w:name="_Toc267251504"/>
      <w:bookmarkStart w:id="1031" w:name="_Toc267251507"/>
      <w:bookmarkStart w:id="1032" w:name="_Toc267251508"/>
      <w:bookmarkStart w:id="1033" w:name="_Toc267251515"/>
      <w:bookmarkStart w:id="1034" w:name="_Toc267251511"/>
      <w:bookmarkStart w:id="1035" w:name="_Toc267251509"/>
      <w:bookmarkStart w:id="1036" w:name="_Toc267251514"/>
      <w:bookmarkStart w:id="1037" w:name="_Toc267251513"/>
      <w:bookmarkStart w:id="1038" w:name="_Toc267251510"/>
      <w:r>
        <w:rPr>
          <w:rFonts w:hint="eastAsia" w:ascii="宋体" w:hAnsi="宋体" w:eastAsia="宋体" w:cs="宋体"/>
          <w:b/>
          <w:color w:val="000000"/>
        </w:rPr>
        <w:t>15. 缺陷责任期与保修</w:t>
      </w:r>
      <w:bookmarkEnd w:id="1008"/>
    </w:p>
    <w:p w14:paraId="064AF7A5">
      <w:pPr>
        <w:spacing w:after="120" w:line="440" w:lineRule="exact"/>
        <w:ind w:firstLine="482"/>
        <w:rPr>
          <w:rFonts w:ascii="宋体" w:hAnsi="宋体" w:eastAsia="宋体" w:cs="宋体"/>
          <w:b/>
          <w:color w:val="000000"/>
        </w:rPr>
      </w:pPr>
      <w:r>
        <w:rPr>
          <w:rFonts w:hint="eastAsia" w:ascii="宋体" w:hAnsi="宋体" w:eastAsia="宋体" w:cs="宋体"/>
          <w:b/>
          <w:color w:val="000000"/>
        </w:rPr>
        <w:t>15.1工程保修原则</w:t>
      </w:r>
    </w:p>
    <w:p w14:paraId="5A8AAEB3">
      <w:pPr>
        <w:spacing w:line="440" w:lineRule="exact"/>
        <w:ind w:firstLine="480"/>
        <w:rPr>
          <w:rFonts w:ascii="宋体" w:hAnsi="宋体" w:eastAsia="宋体" w:cs="宋体"/>
          <w:szCs w:val="21"/>
          <w:u w:val="single"/>
        </w:rPr>
      </w:pPr>
      <w:r>
        <w:rPr>
          <w:rFonts w:hint="eastAsia" w:ascii="宋体" w:hAnsi="宋体" w:eastAsia="宋体" w:cs="宋体"/>
          <w:szCs w:val="21"/>
          <w:u w:val="single"/>
        </w:rPr>
        <w:t>在工程移交发包人后，因承包人原因产生的质量缺陷，承包人应承担质量缺陷责任和保修义务。缺陷责任期届满，承包人仍应按合同约定的各部位保修年限承担保修义务。</w:t>
      </w:r>
    </w:p>
    <w:p w14:paraId="3F327BE0">
      <w:pPr>
        <w:spacing w:after="120" w:line="440" w:lineRule="exact"/>
        <w:ind w:firstLine="482"/>
        <w:rPr>
          <w:rFonts w:ascii="宋体" w:hAnsi="宋体" w:eastAsia="宋体" w:cs="宋体"/>
          <w:b/>
          <w:color w:val="000000"/>
        </w:rPr>
      </w:pPr>
      <w:r>
        <w:rPr>
          <w:rFonts w:hint="eastAsia" w:ascii="宋体" w:hAnsi="宋体" w:eastAsia="宋体" w:cs="宋体"/>
          <w:b/>
          <w:color w:val="000000"/>
        </w:rPr>
        <w:t>15.2缺陷责任期</w:t>
      </w:r>
      <w:bookmarkEnd w:id="1009"/>
    </w:p>
    <w:p w14:paraId="7AB5D92C">
      <w:pPr>
        <w:spacing w:line="440" w:lineRule="exact"/>
        <w:ind w:firstLine="480"/>
        <w:rPr>
          <w:rFonts w:ascii="宋体" w:hAnsi="宋体" w:eastAsia="宋体" w:cs="宋体"/>
          <w:color w:val="000000"/>
          <w:szCs w:val="21"/>
        </w:rPr>
      </w:pPr>
      <w:r>
        <w:rPr>
          <w:rFonts w:hint="eastAsia" w:ascii="宋体" w:hAnsi="宋体" w:eastAsia="宋体" w:cs="宋体"/>
          <w:color w:val="000000"/>
          <w:szCs w:val="21"/>
        </w:rPr>
        <w:t>15.2.1缺陷责任期的具体期限：</w:t>
      </w:r>
      <w:r>
        <w:rPr>
          <w:rFonts w:hint="eastAsia" w:ascii="宋体" w:hAnsi="宋体" w:eastAsia="宋体" w:cs="宋体"/>
          <w:szCs w:val="21"/>
          <w:u w:val="single"/>
        </w:rPr>
        <w:t>按通用条款执行</w:t>
      </w:r>
      <w:r>
        <w:rPr>
          <w:rFonts w:hint="eastAsia" w:ascii="宋体" w:hAnsi="宋体" w:eastAsia="宋体" w:cs="宋体"/>
          <w:color w:val="000000"/>
          <w:szCs w:val="21"/>
        </w:rPr>
        <w:t>。</w:t>
      </w:r>
    </w:p>
    <w:p w14:paraId="421FF313">
      <w:pPr>
        <w:spacing w:after="120" w:line="440" w:lineRule="exact"/>
        <w:ind w:firstLine="482"/>
        <w:outlineLvl w:val="0"/>
        <w:rPr>
          <w:rFonts w:ascii="宋体" w:hAnsi="宋体" w:eastAsia="宋体" w:cs="宋体"/>
          <w:b/>
          <w:color w:val="000000"/>
        </w:rPr>
      </w:pPr>
      <w:bookmarkStart w:id="1039" w:name="_Toc36797942"/>
      <w:r>
        <w:rPr>
          <w:rFonts w:hint="eastAsia" w:ascii="宋体" w:hAnsi="宋体" w:eastAsia="宋体" w:cs="宋体"/>
          <w:b/>
          <w:color w:val="000000"/>
        </w:rPr>
        <w:t>15.3 质量保证金</w:t>
      </w:r>
      <w:bookmarkEnd w:id="1039"/>
    </w:p>
    <w:p w14:paraId="50C44CA2">
      <w:pPr>
        <w:spacing w:line="440" w:lineRule="exact"/>
        <w:ind w:firstLine="480"/>
        <w:rPr>
          <w:rFonts w:ascii="宋体" w:hAnsi="宋体" w:eastAsia="宋体" w:cs="宋体"/>
          <w:color w:val="000000"/>
          <w:szCs w:val="21"/>
        </w:rPr>
      </w:pPr>
      <w:r>
        <w:rPr>
          <w:rFonts w:hint="eastAsia" w:ascii="宋体" w:hAnsi="宋体" w:eastAsia="宋体" w:cs="宋体"/>
          <w:color w:val="000000"/>
          <w:szCs w:val="21"/>
        </w:rPr>
        <w:t>关于是否扣留质量保证金的约定：</w:t>
      </w:r>
      <w:r>
        <w:rPr>
          <w:rFonts w:hint="eastAsia" w:ascii="宋体" w:hAnsi="宋体" w:eastAsia="宋体" w:cs="宋体"/>
          <w:szCs w:val="21"/>
          <w:u w:val="single"/>
        </w:rPr>
        <w:t>结算审计价款的</w:t>
      </w:r>
      <w:r>
        <w:rPr>
          <w:rFonts w:hint="eastAsia" w:ascii="宋体" w:hAnsi="宋体" w:cs="宋体"/>
          <w:szCs w:val="21"/>
          <w:u w:val="single"/>
          <w:lang w:val="en-US" w:eastAsia="zh-CN"/>
        </w:rPr>
        <w:t>3</w:t>
      </w:r>
      <w:r>
        <w:rPr>
          <w:rFonts w:hint="eastAsia" w:ascii="宋体" w:hAnsi="宋体" w:eastAsia="宋体" w:cs="宋体"/>
          <w:szCs w:val="21"/>
          <w:u w:val="single"/>
        </w:rPr>
        <w:t>%</w:t>
      </w:r>
      <w:r>
        <w:rPr>
          <w:rFonts w:hint="eastAsia" w:ascii="宋体" w:hAnsi="宋体" w:eastAsia="宋体" w:cs="宋体"/>
          <w:szCs w:val="21"/>
        </w:rPr>
        <w:t>。在工程项目竣工前，承包人按专用合同条款第3.7条提供履约担保的，发包人不得同时预留工程质量保证金。</w:t>
      </w:r>
    </w:p>
    <w:p w14:paraId="069BC1C2">
      <w:pPr>
        <w:spacing w:line="440" w:lineRule="exact"/>
        <w:ind w:firstLine="480"/>
        <w:outlineLvl w:val="0"/>
        <w:rPr>
          <w:rFonts w:ascii="宋体" w:hAnsi="宋体" w:eastAsia="宋体" w:cs="宋体"/>
          <w:color w:val="000000"/>
          <w:szCs w:val="21"/>
        </w:rPr>
      </w:pPr>
      <w:bookmarkStart w:id="1040" w:name="_Toc36797943"/>
      <w:r>
        <w:rPr>
          <w:rFonts w:hint="eastAsia" w:ascii="宋体" w:hAnsi="宋体" w:eastAsia="宋体" w:cs="宋体"/>
          <w:color w:val="000000"/>
          <w:szCs w:val="21"/>
        </w:rPr>
        <w:t>15.3.1 承包人提供质量保证金的方式</w:t>
      </w:r>
      <w:bookmarkEnd w:id="1040"/>
    </w:p>
    <w:p w14:paraId="7CB8D0B3">
      <w:pPr>
        <w:spacing w:line="440" w:lineRule="exact"/>
        <w:ind w:firstLine="480"/>
        <w:rPr>
          <w:rFonts w:ascii="宋体" w:hAnsi="宋体" w:eastAsia="宋体" w:cs="宋体"/>
          <w:color w:val="000000"/>
          <w:szCs w:val="21"/>
        </w:rPr>
      </w:pPr>
      <w:r>
        <w:rPr>
          <w:rFonts w:hint="eastAsia" w:ascii="宋体" w:hAnsi="宋体" w:eastAsia="宋体" w:cs="宋体"/>
          <w:color w:val="000000"/>
          <w:szCs w:val="21"/>
        </w:rPr>
        <w:t>质量保证金采用以下第</w:t>
      </w:r>
      <w:r>
        <w:rPr>
          <w:rFonts w:hint="eastAsia" w:ascii="宋体" w:hAnsi="宋体" w:cs="宋体"/>
          <w:color w:val="000000"/>
          <w:szCs w:val="21"/>
          <w:u w:val="single"/>
          <w:lang w:val="en-US" w:eastAsia="zh-CN"/>
        </w:rPr>
        <w:t>（2）</w:t>
      </w:r>
      <w:r>
        <w:rPr>
          <w:rFonts w:hint="eastAsia" w:ascii="宋体" w:hAnsi="宋体" w:eastAsia="宋体" w:cs="宋体"/>
          <w:color w:val="000000"/>
          <w:szCs w:val="21"/>
        </w:rPr>
        <w:t>种方式：</w:t>
      </w:r>
    </w:p>
    <w:p w14:paraId="6B44E356">
      <w:pPr>
        <w:autoSpaceDE w:val="0"/>
        <w:autoSpaceDN w:val="0"/>
        <w:spacing w:line="440" w:lineRule="exact"/>
        <w:ind w:firstLine="480"/>
        <w:rPr>
          <w:rFonts w:ascii="宋体" w:hAnsi="宋体" w:eastAsia="宋体" w:cs="宋体"/>
          <w:color w:val="000000"/>
          <w:szCs w:val="21"/>
        </w:rPr>
      </w:pPr>
      <w:r>
        <w:rPr>
          <w:rFonts w:hint="eastAsia" w:ascii="宋体" w:hAnsi="宋体" w:eastAsia="宋体" w:cs="宋体"/>
          <w:color w:val="000000"/>
          <w:szCs w:val="21"/>
        </w:rPr>
        <w:t>（1）质量保证金保函，保证金额为：</w:t>
      </w:r>
      <w:r>
        <w:rPr>
          <w:rFonts w:hint="eastAsia" w:ascii="宋体" w:hAnsi="宋体" w:eastAsia="宋体" w:cs="宋体"/>
          <w:szCs w:val="21"/>
          <w:u w:val="single"/>
        </w:rPr>
        <w:t>审定结算价</w:t>
      </w:r>
      <w:r>
        <w:rPr>
          <w:rFonts w:hint="eastAsia" w:ascii="宋体" w:hAnsi="宋体" w:cs="宋体"/>
          <w:szCs w:val="21"/>
          <w:u w:val="single"/>
          <w:lang w:val="en-US" w:eastAsia="zh-CN"/>
        </w:rPr>
        <w:t>3</w:t>
      </w:r>
      <w:r>
        <w:rPr>
          <w:rFonts w:hint="eastAsia" w:ascii="宋体" w:hAnsi="宋体" w:eastAsia="宋体" w:cs="宋体"/>
          <w:szCs w:val="21"/>
          <w:u w:val="single"/>
        </w:rPr>
        <w:t>%</w:t>
      </w:r>
      <w:r>
        <w:rPr>
          <w:rFonts w:hint="eastAsia" w:ascii="宋体" w:hAnsi="宋体" w:eastAsia="宋体" w:cs="宋体"/>
          <w:color w:val="000000"/>
          <w:szCs w:val="21"/>
        </w:rPr>
        <w:t>；</w:t>
      </w:r>
    </w:p>
    <w:p w14:paraId="200F91CE">
      <w:pPr>
        <w:autoSpaceDE w:val="0"/>
        <w:autoSpaceDN w:val="0"/>
        <w:spacing w:line="440" w:lineRule="exact"/>
        <w:ind w:firstLine="480"/>
        <w:rPr>
          <w:rFonts w:ascii="宋体" w:hAnsi="宋体" w:eastAsia="宋体" w:cs="宋体"/>
          <w:color w:val="000000"/>
          <w:szCs w:val="21"/>
        </w:rPr>
      </w:pPr>
      <w:r>
        <w:rPr>
          <w:rFonts w:hint="eastAsia" w:ascii="宋体" w:hAnsi="宋体" w:eastAsia="宋体" w:cs="宋体"/>
          <w:color w:val="000000"/>
          <w:szCs w:val="21"/>
        </w:rPr>
        <w:t>（2）</w:t>
      </w:r>
      <w:r>
        <w:rPr>
          <w:rFonts w:hint="eastAsia" w:ascii="宋体" w:hAnsi="宋体" w:eastAsia="宋体" w:cs="宋体"/>
          <w:szCs w:val="21"/>
          <w:u w:val="single"/>
        </w:rPr>
        <w:t>审定结算价</w:t>
      </w:r>
      <w:r>
        <w:rPr>
          <w:rFonts w:hint="eastAsia" w:ascii="宋体" w:hAnsi="宋体" w:cs="宋体"/>
          <w:szCs w:val="21"/>
          <w:u w:val="single"/>
          <w:lang w:val="en-US" w:eastAsia="zh-CN"/>
        </w:rPr>
        <w:t>3</w:t>
      </w:r>
      <w:r>
        <w:rPr>
          <w:rFonts w:hint="eastAsia" w:ascii="宋体" w:hAnsi="宋体" w:eastAsia="宋体" w:cs="宋体"/>
          <w:szCs w:val="21"/>
          <w:u w:val="single"/>
        </w:rPr>
        <w:t>%</w:t>
      </w:r>
      <w:r>
        <w:rPr>
          <w:rFonts w:hint="eastAsia" w:ascii="宋体" w:hAnsi="宋体" w:eastAsia="宋体" w:cs="宋体"/>
          <w:color w:val="000000"/>
          <w:szCs w:val="21"/>
        </w:rPr>
        <w:t>的工程款；</w:t>
      </w:r>
    </w:p>
    <w:p w14:paraId="16D98EBD">
      <w:pPr>
        <w:autoSpaceDE w:val="0"/>
        <w:autoSpaceDN w:val="0"/>
        <w:spacing w:line="440" w:lineRule="exact"/>
        <w:ind w:firstLine="480"/>
        <w:rPr>
          <w:rFonts w:ascii="宋体" w:hAnsi="宋体" w:eastAsia="宋体" w:cs="宋体"/>
          <w:color w:val="000000"/>
          <w:szCs w:val="21"/>
        </w:rPr>
      </w:pPr>
      <w:r>
        <w:rPr>
          <w:rFonts w:hint="eastAsia" w:ascii="宋体" w:hAnsi="宋体" w:eastAsia="宋体" w:cs="宋体"/>
          <w:color w:val="000000"/>
          <w:szCs w:val="21"/>
        </w:rPr>
        <w:t>（3）其他方式:</w:t>
      </w:r>
      <w:r>
        <w:rPr>
          <w:rFonts w:hint="eastAsia" w:ascii="宋体" w:hAnsi="宋体" w:eastAsia="宋体" w:cs="宋体"/>
          <w:color w:val="000000"/>
          <w:szCs w:val="21"/>
          <w:u w:val="single"/>
        </w:rPr>
        <w:t>无</w:t>
      </w:r>
      <w:r>
        <w:rPr>
          <w:rFonts w:hint="eastAsia" w:ascii="宋体" w:hAnsi="宋体" w:eastAsia="宋体" w:cs="宋体"/>
          <w:color w:val="000000"/>
          <w:szCs w:val="21"/>
        </w:rPr>
        <w:t>。</w:t>
      </w:r>
    </w:p>
    <w:p w14:paraId="425DA4D2">
      <w:pPr>
        <w:spacing w:line="440" w:lineRule="exact"/>
        <w:ind w:firstLine="480"/>
        <w:outlineLvl w:val="0"/>
        <w:rPr>
          <w:rFonts w:ascii="宋体" w:hAnsi="宋体" w:eastAsia="宋体" w:cs="宋体"/>
          <w:color w:val="000000"/>
          <w:szCs w:val="21"/>
        </w:rPr>
      </w:pPr>
      <w:bookmarkStart w:id="1041" w:name="_Toc36797944"/>
      <w:r>
        <w:rPr>
          <w:rFonts w:hint="eastAsia" w:ascii="宋体" w:hAnsi="宋体" w:eastAsia="宋体" w:cs="宋体"/>
          <w:color w:val="000000"/>
          <w:szCs w:val="21"/>
        </w:rPr>
        <w:t>15.3.2 质量保证金的扣留</w:t>
      </w:r>
      <w:bookmarkEnd w:id="1041"/>
    </w:p>
    <w:p w14:paraId="1464075A">
      <w:pPr>
        <w:spacing w:line="440" w:lineRule="exact"/>
        <w:ind w:firstLine="480"/>
        <w:rPr>
          <w:rFonts w:ascii="宋体" w:hAnsi="宋体" w:eastAsia="宋体" w:cs="宋体"/>
          <w:color w:val="000000"/>
          <w:szCs w:val="21"/>
        </w:rPr>
      </w:pPr>
      <w:r>
        <w:rPr>
          <w:rFonts w:hint="eastAsia" w:ascii="宋体" w:hAnsi="宋体" w:eastAsia="宋体" w:cs="宋体"/>
          <w:color w:val="000000"/>
          <w:szCs w:val="21"/>
        </w:rPr>
        <w:t>质量保证金的扣留采取以下第</w:t>
      </w:r>
      <w:r>
        <w:rPr>
          <w:rFonts w:hint="eastAsia" w:ascii="宋体" w:hAnsi="宋体" w:eastAsia="宋体" w:cs="宋体"/>
          <w:color w:val="000000"/>
          <w:szCs w:val="21"/>
          <w:u w:val="single"/>
        </w:rPr>
        <w:t>（</w:t>
      </w:r>
      <w:r>
        <w:rPr>
          <w:rFonts w:hint="eastAsia" w:ascii="宋体" w:hAnsi="宋体" w:cs="宋体"/>
          <w:color w:val="000000"/>
          <w:szCs w:val="21"/>
          <w:u w:val="single"/>
          <w:lang w:val="en-US" w:eastAsia="zh-CN"/>
        </w:rPr>
        <w:t>2</w:t>
      </w:r>
      <w:r>
        <w:rPr>
          <w:rFonts w:hint="eastAsia" w:ascii="宋体" w:hAnsi="宋体" w:eastAsia="宋体" w:cs="宋体"/>
          <w:color w:val="000000"/>
          <w:szCs w:val="21"/>
          <w:u w:val="single"/>
        </w:rPr>
        <w:t>）</w:t>
      </w:r>
      <w:r>
        <w:rPr>
          <w:rFonts w:hint="eastAsia" w:ascii="宋体" w:hAnsi="宋体" w:eastAsia="宋体" w:cs="宋体"/>
          <w:color w:val="000000"/>
          <w:szCs w:val="21"/>
        </w:rPr>
        <w:t>种方式：</w:t>
      </w:r>
    </w:p>
    <w:p w14:paraId="02A2E476">
      <w:pPr>
        <w:autoSpaceDE w:val="0"/>
        <w:autoSpaceDN w:val="0"/>
        <w:spacing w:line="440" w:lineRule="exact"/>
        <w:ind w:firstLine="480"/>
        <w:rPr>
          <w:rFonts w:ascii="宋体" w:hAnsi="宋体" w:eastAsia="宋体" w:cs="宋体"/>
          <w:color w:val="000000"/>
          <w:szCs w:val="21"/>
        </w:rPr>
      </w:pPr>
      <w:r>
        <w:rPr>
          <w:rFonts w:hint="eastAsia" w:ascii="宋体" w:hAnsi="宋体" w:eastAsia="宋体" w:cs="宋体"/>
          <w:color w:val="000000"/>
          <w:szCs w:val="21"/>
        </w:rPr>
        <w:t>（1）在支付工程进度款时逐次扣留，在此情形下，质量保证金的计算基数不包括预付款的支付、扣回以及价格调整的金额；</w:t>
      </w:r>
    </w:p>
    <w:p w14:paraId="72909B70">
      <w:pPr>
        <w:autoSpaceDE w:val="0"/>
        <w:autoSpaceDN w:val="0"/>
        <w:spacing w:line="440" w:lineRule="exact"/>
        <w:ind w:firstLine="480"/>
        <w:outlineLvl w:val="0"/>
        <w:rPr>
          <w:rFonts w:ascii="宋体" w:hAnsi="宋体" w:eastAsia="宋体" w:cs="宋体"/>
          <w:color w:val="000000"/>
          <w:szCs w:val="21"/>
        </w:rPr>
      </w:pPr>
      <w:bookmarkStart w:id="1042" w:name="_Toc36797945"/>
      <w:r>
        <w:rPr>
          <w:rFonts w:hint="eastAsia" w:ascii="宋体" w:hAnsi="宋体" w:eastAsia="宋体" w:cs="宋体"/>
          <w:color w:val="000000"/>
          <w:szCs w:val="21"/>
        </w:rPr>
        <w:t>（2）工程竣工结算时一次性扣留质量保证金；</w:t>
      </w:r>
      <w:bookmarkEnd w:id="1042"/>
    </w:p>
    <w:p w14:paraId="3B9D2985">
      <w:pPr>
        <w:autoSpaceDE w:val="0"/>
        <w:autoSpaceDN w:val="0"/>
        <w:spacing w:line="440" w:lineRule="exact"/>
        <w:ind w:firstLine="480"/>
        <w:rPr>
          <w:rFonts w:ascii="宋体" w:hAnsi="宋体" w:eastAsia="宋体" w:cs="宋体"/>
          <w:color w:val="000000"/>
          <w:szCs w:val="21"/>
        </w:rPr>
      </w:pPr>
      <w:r>
        <w:rPr>
          <w:rFonts w:hint="eastAsia" w:ascii="宋体" w:hAnsi="宋体" w:eastAsia="宋体" w:cs="宋体"/>
          <w:color w:val="000000"/>
          <w:szCs w:val="21"/>
        </w:rPr>
        <w:t>（3）其他扣留方式:</w:t>
      </w:r>
      <w:r>
        <w:rPr>
          <w:rFonts w:hint="eastAsia" w:ascii="宋体" w:hAnsi="宋体" w:cs="宋体"/>
          <w:color w:val="000000"/>
          <w:szCs w:val="21"/>
          <w:u w:val="single"/>
          <w:lang w:val="en-US" w:eastAsia="zh-CN"/>
        </w:rPr>
        <w:t xml:space="preserve">     </w:t>
      </w:r>
      <w:r>
        <w:rPr>
          <w:rFonts w:hint="eastAsia" w:ascii="宋体" w:hAnsi="宋体" w:eastAsia="宋体" w:cs="宋体"/>
          <w:color w:val="000000"/>
          <w:szCs w:val="21"/>
        </w:rPr>
        <w:t>。</w:t>
      </w:r>
    </w:p>
    <w:p w14:paraId="63DA0F39">
      <w:pPr>
        <w:spacing w:line="440" w:lineRule="exact"/>
        <w:ind w:firstLine="480"/>
        <w:rPr>
          <w:rFonts w:ascii="宋体" w:hAnsi="宋体" w:eastAsia="宋体" w:cs="宋体"/>
          <w:color w:val="000000"/>
          <w:szCs w:val="21"/>
        </w:rPr>
      </w:pPr>
      <w:r>
        <w:rPr>
          <w:rFonts w:hint="eastAsia" w:ascii="宋体" w:hAnsi="宋体" w:eastAsia="宋体" w:cs="宋体"/>
          <w:color w:val="000000"/>
          <w:szCs w:val="21"/>
        </w:rPr>
        <w:t>关于质量保证金的补充约定：</w:t>
      </w:r>
      <w:r>
        <w:rPr>
          <w:rFonts w:hint="eastAsia" w:ascii="宋体" w:hAnsi="宋体" w:eastAsia="宋体" w:cs="宋体"/>
          <w:szCs w:val="21"/>
          <w:u w:val="single"/>
        </w:rPr>
        <w:t>无</w:t>
      </w:r>
      <w:r>
        <w:rPr>
          <w:rFonts w:hint="eastAsia" w:ascii="宋体" w:hAnsi="宋体" w:eastAsia="宋体" w:cs="宋体"/>
          <w:color w:val="000000"/>
          <w:szCs w:val="21"/>
        </w:rPr>
        <w:t>。</w:t>
      </w:r>
    </w:p>
    <w:bookmarkEnd w:id="1010"/>
    <w:bookmarkEnd w:id="1011"/>
    <w:p w14:paraId="787F314E">
      <w:pPr>
        <w:spacing w:after="120" w:line="440" w:lineRule="exact"/>
        <w:ind w:firstLine="482"/>
        <w:rPr>
          <w:rFonts w:ascii="宋体" w:hAnsi="宋体" w:eastAsia="宋体" w:cs="宋体"/>
          <w:b/>
          <w:color w:val="000000"/>
        </w:rPr>
      </w:pPr>
      <w:r>
        <w:rPr>
          <w:rFonts w:hint="eastAsia" w:ascii="宋体" w:hAnsi="宋体" w:eastAsia="宋体" w:cs="宋体"/>
          <w:b/>
          <w:color w:val="000000"/>
        </w:rPr>
        <w:t>15.4保修</w:t>
      </w:r>
    </w:p>
    <w:bookmarkEnd w:id="1012"/>
    <w:p w14:paraId="3710BC4C">
      <w:pPr>
        <w:spacing w:line="440" w:lineRule="exact"/>
        <w:ind w:firstLine="468" w:firstLineChars="195"/>
        <w:rPr>
          <w:rFonts w:ascii="宋体" w:hAnsi="宋体" w:eastAsia="宋体" w:cs="宋体"/>
          <w:color w:val="000000"/>
          <w:szCs w:val="21"/>
        </w:rPr>
      </w:pPr>
      <w:r>
        <w:rPr>
          <w:rFonts w:hint="eastAsia" w:ascii="宋体" w:hAnsi="宋体" w:eastAsia="宋体" w:cs="宋体"/>
          <w:color w:val="000000"/>
          <w:szCs w:val="21"/>
        </w:rPr>
        <w:t>15.4.1 保修责任</w:t>
      </w:r>
    </w:p>
    <w:p w14:paraId="448ABD29">
      <w:pPr>
        <w:spacing w:line="440" w:lineRule="exact"/>
        <w:ind w:firstLine="480"/>
        <w:rPr>
          <w:rFonts w:ascii="宋体" w:hAnsi="宋体" w:eastAsia="宋体" w:cs="宋体"/>
          <w:color w:val="000000"/>
          <w:szCs w:val="21"/>
        </w:rPr>
      </w:pPr>
      <w:r>
        <w:rPr>
          <w:rFonts w:hint="eastAsia" w:ascii="宋体" w:hAnsi="宋体" w:eastAsia="宋体" w:cs="宋体"/>
          <w:color w:val="000000"/>
          <w:szCs w:val="21"/>
        </w:rPr>
        <w:t>工程保修期为：</w:t>
      </w:r>
      <w:r>
        <w:rPr>
          <w:rFonts w:hint="eastAsia" w:ascii="宋体" w:hAnsi="宋体" w:eastAsia="宋体" w:cs="宋体"/>
          <w:szCs w:val="21"/>
          <w:u w:val="single"/>
        </w:rPr>
        <w:t>从工程竣工验收合格之日起算，不得低于建设工程质量管理条例要求，具体分部分项工程的保修期详见《工程质量保修书》，在工程保修期内，承包人应当根据有关法律规定以及合同约定承担保修责任。</w:t>
      </w:r>
    </w:p>
    <w:p w14:paraId="48C50C11">
      <w:pPr>
        <w:spacing w:line="440" w:lineRule="exact"/>
        <w:ind w:firstLine="468" w:firstLineChars="195"/>
        <w:rPr>
          <w:rFonts w:ascii="宋体" w:hAnsi="宋体" w:eastAsia="宋体" w:cs="宋体"/>
          <w:color w:val="000000"/>
          <w:szCs w:val="21"/>
        </w:rPr>
      </w:pPr>
      <w:r>
        <w:rPr>
          <w:rFonts w:hint="eastAsia" w:ascii="宋体" w:hAnsi="宋体" w:eastAsia="宋体" w:cs="宋体"/>
          <w:color w:val="000000"/>
          <w:szCs w:val="21"/>
        </w:rPr>
        <w:t>15.4.3 修复通知</w:t>
      </w:r>
    </w:p>
    <w:p w14:paraId="46CF54E2">
      <w:pPr>
        <w:spacing w:line="440" w:lineRule="exact"/>
        <w:ind w:firstLine="480"/>
        <w:rPr>
          <w:rFonts w:ascii="宋体" w:hAnsi="宋体" w:eastAsia="宋体" w:cs="宋体"/>
          <w:color w:val="000000"/>
          <w:szCs w:val="21"/>
        </w:rPr>
      </w:pPr>
      <w:r>
        <w:rPr>
          <w:rFonts w:hint="eastAsia" w:ascii="宋体" w:hAnsi="宋体" w:eastAsia="宋体" w:cs="宋体"/>
          <w:color w:val="000000"/>
          <w:szCs w:val="21"/>
        </w:rPr>
        <w:t>承包人收到保修通知并到达工程现场的合理时间：</w:t>
      </w:r>
      <w:r>
        <w:rPr>
          <w:rFonts w:hint="eastAsia" w:ascii="宋体" w:hAnsi="宋体" w:eastAsia="宋体" w:cs="宋体"/>
          <w:szCs w:val="21"/>
          <w:u w:val="single"/>
        </w:rPr>
        <w:t>48小时内</w:t>
      </w:r>
      <w:r>
        <w:rPr>
          <w:rFonts w:hint="eastAsia" w:ascii="宋体" w:hAnsi="宋体" w:eastAsia="宋体" w:cs="宋体"/>
          <w:color w:val="000000"/>
          <w:szCs w:val="21"/>
        </w:rPr>
        <w:t>。</w:t>
      </w:r>
    </w:p>
    <w:bookmarkEnd w:id="1013"/>
    <w:bookmarkEnd w:id="1014"/>
    <w:bookmarkEnd w:id="1015"/>
    <w:bookmarkEnd w:id="1016"/>
    <w:p w14:paraId="7CF9FAE4">
      <w:pPr>
        <w:keepNext/>
        <w:keepLines/>
        <w:spacing w:before="120" w:after="120" w:line="440" w:lineRule="exact"/>
        <w:ind w:firstLine="482"/>
        <w:outlineLvl w:val="3"/>
        <w:rPr>
          <w:rFonts w:ascii="宋体" w:hAnsi="宋体" w:eastAsia="宋体" w:cs="宋体"/>
          <w:b/>
          <w:color w:val="000000"/>
        </w:rPr>
      </w:pPr>
      <w:bookmarkStart w:id="1043" w:name="_Toc351203648"/>
      <w:bookmarkStart w:id="1044" w:name="_Toc280868717"/>
      <w:bookmarkStart w:id="1045" w:name="_Toc280868718"/>
      <w:r>
        <w:rPr>
          <w:rFonts w:hint="eastAsia" w:ascii="宋体" w:hAnsi="宋体" w:eastAsia="宋体" w:cs="宋体"/>
          <w:b/>
          <w:color w:val="000000"/>
        </w:rPr>
        <w:t>16. 违约</w:t>
      </w:r>
      <w:bookmarkEnd w:id="1043"/>
    </w:p>
    <w:p w14:paraId="336A541F">
      <w:pPr>
        <w:spacing w:after="120" w:line="440" w:lineRule="exact"/>
        <w:ind w:firstLine="482"/>
        <w:outlineLvl w:val="0"/>
        <w:rPr>
          <w:rFonts w:ascii="宋体" w:hAnsi="宋体" w:eastAsia="宋体" w:cs="宋体"/>
          <w:b/>
          <w:color w:val="000000"/>
        </w:rPr>
      </w:pPr>
      <w:bookmarkStart w:id="1046" w:name="_Toc36797946"/>
      <w:r>
        <w:rPr>
          <w:rFonts w:hint="eastAsia" w:ascii="宋体" w:hAnsi="宋体" w:eastAsia="宋体" w:cs="宋体"/>
          <w:b/>
          <w:color w:val="000000"/>
        </w:rPr>
        <w:t>16.1 发包人违约</w:t>
      </w:r>
      <w:bookmarkEnd w:id="1046"/>
    </w:p>
    <w:p w14:paraId="6F881607">
      <w:pPr>
        <w:spacing w:line="440" w:lineRule="exact"/>
        <w:ind w:firstLine="480"/>
        <w:rPr>
          <w:rFonts w:ascii="宋体" w:hAnsi="宋体" w:eastAsia="宋体" w:cs="宋体"/>
          <w:color w:val="000000"/>
          <w:szCs w:val="21"/>
        </w:rPr>
      </w:pPr>
      <w:r>
        <w:rPr>
          <w:rFonts w:hint="eastAsia" w:ascii="宋体" w:hAnsi="宋体" w:eastAsia="宋体" w:cs="宋体"/>
          <w:color w:val="000000"/>
          <w:szCs w:val="21"/>
        </w:rPr>
        <w:t>16.1.1发包人违约的情形</w:t>
      </w:r>
    </w:p>
    <w:p w14:paraId="5392697D">
      <w:pPr>
        <w:spacing w:line="440" w:lineRule="exact"/>
        <w:ind w:left="1200" w:leftChars="200" w:hanging="720" w:hangingChars="300"/>
        <w:rPr>
          <w:rFonts w:ascii="宋体" w:hAnsi="宋体" w:eastAsia="宋体" w:cs="宋体"/>
          <w:color w:val="000000"/>
          <w:szCs w:val="21"/>
        </w:rPr>
      </w:pPr>
      <w:r>
        <w:rPr>
          <w:rFonts w:hint="eastAsia" w:ascii="宋体" w:hAnsi="宋体" w:eastAsia="宋体" w:cs="宋体"/>
          <w:color w:val="000000"/>
          <w:szCs w:val="21"/>
        </w:rPr>
        <w:t>发包人违约的其他情形：</w:t>
      </w:r>
      <w:r>
        <w:rPr>
          <w:rFonts w:hint="eastAsia" w:ascii="宋体" w:hAnsi="宋体" w:eastAsia="宋体" w:cs="宋体"/>
          <w:color w:val="000000"/>
          <w:szCs w:val="21"/>
          <w:u w:val="single"/>
        </w:rPr>
        <w:t>无</w:t>
      </w:r>
      <w:r>
        <w:rPr>
          <w:rFonts w:hint="eastAsia" w:ascii="宋体" w:hAnsi="宋体" w:eastAsia="宋体" w:cs="宋体"/>
          <w:color w:val="000000"/>
          <w:szCs w:val="21"/>
        </w:rPr>
        <w:t>。</w:t>
      </w:r>
    </w:p>
    <w:p w14:paraId="4BED159D">
      <w:pPr>
        <w:spacing w:line="440" w:lineRule="exact"/>
        <w:ind w:left="1200" w:hanging="1200" w:hangingChars="500"/>
        <w:rPr>
          <w:rFonts w:ascii="宋体" w:hAnsi="宋体" w:eastAsia="宋体" w:cs="宋体"/>
          <w:color w:val="000000"/>
          <w:szCs w:val="21"/>
        </w:rPr>
      </w:pPr>
      <w:r>
        <w:rPr>
          <w:rFonts w:hint="eastAsia" w:ascii="宋体" w:hAnsi="宋体" w:eastAsia="宋体" w:cs="宋体"/>
          <w:color w:val="000000"/>
          <w:szCs w:val="21"/>
        </w:rPr>
        <w:t xml:space="preserve">    16.1.2 发包人违约的责任</w:t>
      </w:r>
    </w:p>
    <w:p w14:paraId="371DB0EC">
      <w:pPr>
        <w:spacing w:line="440" w:lineRule="exact"/>
        <w:ind w:firstLine="480"/>
        <w:rPr>
          <w:rFonts w:ascii="宋体" w:hAnsi="宋体" w:eastAsia="宋体" w:cs="宋体"/>
          <w:color w:val="000000"/>
          <w:szCs w:val="21"/>
        </w:rPr>
      </w:pPr>
      <w:r>
        <w:rPr>
          <w:rFonts w:hint="eastAsia" w:ascii="宋体" w:hAnsi="宋体" w:eastAsia="宋体" w:cs="宋体"/>
          <w:color w:val="000000"/>
          <w:szCs w:val="21"/>
        </w:rPr>
        <w:t>发包人违约责任的承担方式和计算方法：</w:t>
      </w:r>
    </w:p>
    <w:p w14:paraId="2C5E2C6E">
      <w:pPr>
        <w:spacing w:line="440" w:lineRule="exact"/>
        <w:ind w:firstLine="480"/>
        <w:rPr>
          <w:rFonts w:ascii="宋体" w:hAnsi="宋体" w:eastAsia="宋体" w:cs="宋体"/>
          <w:color w:val="000000"/>
          <w:szCs w:val="21"/>
          <w:u w:val="single"/>
        </w:rPr>
      </w:pPr>
      <w:r>
        <w:rPr>
          <w:rFonts w:ascii="宋体" w:hAnsi="宋体" w:eastAsia="宋体" w:cs="宋体"/>
          <w:color w:val="000000"/>
          <w:szCs w:val="21"/>
        </w:rPr>
        <w:t>（1）因发包人原因未能在计划开工日期前7天内下达开工通知的违约责任：</w:t>
      </w:r>
      <w:r>
        <w:rPr>
          <w:rFonts w:hint="eastAsia" w:ascii="宋体" w:hAnsi="宋体" w:eastAsia="宋体" w:cs="宋体"/>
          <w:color w:val="000000"/>
          <w:szCs w:val="21"/>
          <w:u w:val="single"/>
        </w:rPr>
        <w:t>相应工期顺延</w:t>
      </w:r>
      <w:r>
        <w:rPr>
          <w:rFonts w:ascii="宋体" w:hAnsi="宋体" w:eastAsia="宋体" w:cs="宋体"/>
          <w:color w:val="000000"/>
          <w:szCs w:val="21"/>
        </w:rPr>
        <w:t>。</w:t>
      </w:r>
    </w:p>
    <w:p w14:paraId="02CDBC7F">
      <w:pPr>
        <w:spacing w:line="440" w:lineRule="exact"/>
        <w:ind w:firstLine="480"/>
        <w:rPr>
          <w:rFonts w:ascii="宋体" w:hAnsi="宋体" w:eastAsia="宋体" w:cs="宋体"/>
          <w:color w:val="000000"/>
          <w:szCs w:val="21"/>
          <w:u w:val="single"/>
        </w:rPr>
      </w:pPr>
      <w:r>
        <w:rPr>
          <w:rFonts w:ascii="宋体" w:hAnsi="宋体" w:eastAsia="宋体" w:cs="宋体"/>
          <w:color w:val="000000"/>
          <w:szCs w:val="21"/>
        </w:rPr>
        <w:t>（2）因发包人原因未能按合同约定支付合同价款的违约责任：</w:t>
      </w:r>
      <w:r>
        <w:rPr>
          <w:rFonts w:hint="eastAsia" w:ascii="宋体" w:hAnsi="宋体" w:eastAsia="宋体" w:cs="宋体"/>
          <w:color w:val="000000"/>
          <w:szCs w:val="21"/>
          <w:u w:val="single"/>
        </w:rPr>
        <w:t>按照中国人民银行发布的同期同类贷款基准利率支付违约金。</w:t>
      </w:r>
    </w:p>
    <w:p w14:paraId="7B4B888D">
      <w:pPr>
        <w:spacing w:line="440" w:lineRule="exact"/>
        <w:ind w:firstLine="480"/>
        <w:rPr>
          <w:rFonts w:ascii="宋体" w:hAnsi="宋体" w:eastAsia="宋体" w:cs="宋体"/>
          <w:color w:val="000000"/>
          <w:szCs w:val="21"/>
        </w:rPr>
      </w:pPr>
      <w:r>
        <w:rPr>
          <w:rFonts w:ascii="宋体" w:hAnsi="宋体" w:eastAsia="宋体" w:cs="宋体"/>
          <w:color w:val="000000"/>
          <w:szCs w:val="21"/>
        </w:rPr>
        <w:t>（3）发包人违反第10.1款</w:t>
      </w:r>
      <w:r>
        <w:rPr>
          <w:rFonts w:hint="eastAsia" w:ascii="宋体" w:hAnsi="宋体" w:eastAsia="宋体" w:cs="宋体"/>
          <w:color w:val="000000"/>
          <w:szCs w:val="21"/>
        </w:rPr>
        <w:t>〔</w:t>
      </w:r>
      <w:r>
        <w:rPr>
          <w:rFonts w:ascii="宋体" w:hAnsi="宋体" w:eastAsia="宋体" w:cs="宋体"/>
          <w:color w:val="000000"/>
          <w:szCs w:val="21"/>
        </w:rPr>
        <w:t>变更的范围</w:t>
      </w:r>
      <w:r>
        <w:rPr>
          <w:rFonts w:hint="eastAsia" w:ascii="宋体" w:hAnsi="宋体" w:eastAsia="宋体" w:cs="宋体"/>
          <w:color w:val="000000"/>
          <w:szCs w:val="21"/>
        </w:rPr>
        <w:t>〕</w:t>
      </w:r>
      <w:r>
        <w:rPr>
          <w:rFonts w:ascii="宋体" w:hAnsi="宋体" w:eastAsia="宋体" w:cs="宋体"/>
          <w:color w:val="000000"/>
          <w:szCs w:val="21"/>
        </w:rPr>
        <w:t>第（2）项约定，自行实施被取消的工作或转由他人实施的违约责任：</w:t>
      </w:r>
      <w:r>
        <w:rPr>
          <w:rFonts w:hint="eastAsia" w:ascii="宋体" w:hAnsi="宋体" w:eastAsia="宋体" w:cs="宋体"/>
          <w:color w:val="000000"/>
          <w:szCs w:val="21"/>
          <w:u w:val="single"/>
        </w:rPr>
        <w:t>按通用条款执行</w:t>
      </w:r>
      <w:r>
        <w:rPr>
          <w:rFonts w:ascii="宋体" w:hAnsi="宋体" w:eastAsia="宋体" w:cs="宋体"/>
          <w:color w:val="000000"/>
          <w:szCs w:val="21"/>
        </w:rPr>
        <w:t>。</w:t>
      </w:r>
    </w:p>
    <w:p w14:paraId="579B3839">
      <w:pPr>
        <w:spacing w:line="440" w:lineRule="exact"/>
        <w:ind w:firstLine="480"/>
        <w:rPr>
          <w:rFonts w:ascii="宋体" w:hAnsi="宋体" w:eastAsia="宋体" w:cs="宋体"/>
          <w:color w:val="000000"/>
          <w:szCs w:val="21"/>
        </w:rPr>
      </w:pPr>
      <w:r>
        <w:rPr>
          <w:rFonts w:ascii="宋体" w:hAnsi="宋体" w:eastAsia="宋体" w:cs="宋体"/>
          <w:color w:val="000000"/>
          <w:szCs w:val="21"/>
        </w:rPr>
        <w:t>（4）发包人提供的材料、工程设备的规格、数量或质量不符合合同约定，或因发包人原因导致交货日期延误或交货地点变更等情况的违约责任：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Cs w:val="21"/>
          <w:u w:val="single"/>
        </w:rPr>
        <w:t>如造成工期延误的，工期相应顺延并赔偿给承包人造成的直接经济损失</w:t>
      </w:r>
      <w:r>
        <w:rPr>
          <w:rFonts w:ascii="宋体" w:hAnsi="宋体" w:eastAsia="宋体" w:cs="宋体"/>
          <w:color w:val="000000"/>
          <w:szCs w:val="21"/>
        </w:rPr>
        <w:t>。</w:t>
      </w:r>
    </w:p>
    <w:p w14:paraId="5CEA4269">
      <w:pPr>
        <w:spacing w:line="440" w:lineRule="exact"/>
        <w:ind w:firstLine="480"/>
        <w:rPr>
          <w:rFonts w:ascii="宋体" w:hAnsi="宋体" w:eastAsia="宋体" w:cs="宋体"/>
          <w:color w:val="000000"/>
          <w:szCs w:val="21"/>
        </w:rPr>
      </w:pPr>
      <w:r>
        <w:rPr>
          <w:rFonts w:ascii="宋体" w:hAnsi="宋体" w:eastAsia="宋体" w:cs="宋体"/>
          <w:color w:val="000000"/>
          <w:szCs w:val="21"/>
        </w:rPr>
        <w:t>（5）因发包人违反合同约定造成暂停施工的违约责任：</w:t>
      </w:r>
      <w:r>
        <w:rPr>
          <w:rFonts w:hint="eastAsia" w:ascii="宋体" w:hAnsi="宋体" w:eastAsia="宋体" w:cs="宋体"/>
          <w:color w:val="000000"/>
          <w:szCs w:val="21"/>
          <w:u w:val="single"/>
        </w:rPr>
        <w:t>如造成工期延误的，工期相应顺延并赔偿给承包人造成的直接经济损失</w:t>
      </w:r>
      <w:r>
        <w:rPr>
          <w:rFonts w:ascii="宋体" w:hAnsi="宋体" w:eastAsia="宋体" w:cs="宋体"/>
          <w:color w:val="000000"/>
          <w:szCs w:val="21"/>
        </w:rPr>
        <w:t>。</w:t>
      </w:r>
    </w:p>
    <w:p w14:paraId="1B9D3DEB">
      <w:pPr>
        <w:spacing w:line="440" w:lineRule="exact"/>
        <w:ind w:firstLine="480"/>
        <w:rPr>
          <w:rFonts w:ascii="宋体" w:hAnsi="宋体" w:eastAsia="宋体" w:cs="宋体"/>
          <w:color w:val="000000"/>
          <w:szCs w:val="21"/>
        </w:rPr>
      </w:pPr>
      <w:r>
        <w:rPr>
          <w:rFonts w:ascii="宋体" w:hAnsi="宋体" w:eastAsia="宋体" w:cs="宋体"/>
          <w:color w:val="000000"/>
          <w:szCs w:val="21"/>
        </w:rPr>
        <w:t>（6）发包人无正当理由没有在约定期限内发出复工指示，导致承包人无法复工的违约责任：</w:t>
      </w:r>
      <w:r>
        <w:rPr>
          <w:rFonts w:hint="eastAsia" w:ascii="宋体" w:hAnsi="宋体" w:eastAsia="宋体" w:cs="宋体"/>
          <w:color w:val="000000"/>
          <w:szCs w:val="21"/>
          <w:u w:val="single"/>
        </w:rPr>
        <w:t>如造成工期延误的，工期相应顺延并赔偿给承包人造成的直接经济损失</w:t>
      </w:r>
      <w:r>
        <w:rPr>
          <w:rFonts w:ascii="宋体" w:hAnsi="宋体" w:eastAsia="宋体" w:cs="宋体"/>
          <w:color w:val="000000"/>
          <w:szCs w:val="21"/>
        </w:rPr>
        <w:t>。</w:t>
      </w:r>
    </w:p>
    <w:p w14:paraId="3E0EAFCE">
      <w:pPr>
        <w:spacing w:line="440" w:lineRule="exact"/>
        <w:ind w:firstLine="480"/>
        <w:rPr>
          <w:rFonts w:ascii="宋体" w:hAnsi="宋体" w:eastAsia="宋体" w:cs="宋体"/>
          <w:color w:val="000000"/>
          <w:szCs w:val="21"/>
        </w:rPr>
      </w:pPr>
      <w:r>
        <w:rPr>
          <w:rFonts w:ascii="宋体" w:hAnsi="宋体" w:eastAsia="宋体" w:cs="宋体"/>
          <w:color w:val="000000"/>
          <w:szCs w:val="21"/>
        </w:rPr>
        <w:t>（7）</w:t>
      </w:r>
      <w:r>
        <w:rPr>
          <w:rFonts w:hint="eastAsia" w:ascii="宋体" w:hAnsi="宋体" w:eastAsia="宋体" w:cs="宋体"/>
          <w:color w:val="000000"/>
          <w:szCs w:val="21"/>
        </w:rPr>
        <w:t>其他：</w:t>
      </w:r>
      <w:r>
        <w:rPr>
          <w:rFonts w:hint="eastAsia" w:ascii="宋体" w:hAnsi="宋体" w:eastAsia="宋体" w:cs="宋体"/>
          <w:color w:val="000000"/>
          <w:szCs w:val="21"/>
          <w:u w:val="single"/>
        </w:rPr>
        <w:t xml:space="preserve">无  </w:t>
      </w:r>
      <w:r>
        <w:rPr>
          <w:rFonts w:ascii="宋体" w:hAnsi="宋体" w:eastAsia="宋体" w:cs="宋体"/>
          <w:color w:val="000000"/>
          <w:szCs w:val="21"/>
        </w:rPr>
        <w:t>。</w:t>
      </w:r>
    </w:p>
    <w:p w14:paraId="4BFD8472">
      <w:pPr>
        <w:spacing w:line="440" w:lineRule="exact"/>
        <w:ind w:firstLine="480"/>
        <w:rPr>
          <w:rFonts w:ascii="宋体" w:hAnsi="宋体" w:eastAsia="宋体" w:cs="宋体"/>
          <w:color w:val="000000"/>
          <w:szCs w:val="21"/>
        </w:rPr>
      </w:pPr>
      <w:r>
        <w:rPr>
          <w:rFonts w:hint="eastAsia" w:ascii="宋体" w:hAnsi="宋体" w:eastAsia="宋体" w:cs="宋体"/>
          <w:color w:val="000000"/>
          <w:szCs w:val="21"/>
        </w:rPr>
        <w:t>16.1.3 因发包人违约解除合同</w:t>
      </w:r>
    </w:p>
    <w:p w14:paraId="6C73E1E9">
      <w:pPr>
        <w:autoSpaceDE w:val="0"/>
        <w:autoSpaceDN w:val="0"/>
        <w:spacing w:line="440" w:lineRule="exact"/>
        <w:ind w:firstLine="480"/>
        <w:rPr>
          <w:rFonts w:ascii="宋体" w:hAnsi="宋体" w:eastAsia="宋体" w:cs="宋体"/>
          <w:color w:val="000000"/>
          <w:szCs w:val="21"/>
        </w:rPr>
      </w:pPr>
      <w:r>
        <w:rPr>
          <w:rFonts w:hint="eastAsia" w:ascii="宋体" w:hAnsi="宋体" w:eastAsia="宋体" w:cs="宋体"/>
          <w:color w:val="000000"/>
          <w:szCs w:val="21"/>
        </w:rPr>
        <w:t>承包人违约的其他情形：承包人项目经理及其他主要管理人员未按投标文件承诺驻场，或未经发包人许可擅自更换项目经理及其他主要管理人员。</w:t>
      </w:r>
    </w:p>
    <w:p w14:paraId="72674F23">
      <w:pPr>
        <w:spacing w:after="120" w:line="440" w:lineRule="exact"/>
        <w:ind w:firstLine="482"/>
        <w:outlineLvl w:val="0"/>
        <w:rPr>
          <w:rFonts w:ascii="宋体" w:hAnsi="宋体" w:eastAsia="宋体" w:cs="宋体"/>
          <w:b/>
          <w:color w:val="000000"/>
        </w:rPr>
      </w:pPr>
      <w:bookmarkStart w:id="1047" w:name="_Toc36797947"/>
      <w:r>
        <w:rPr>
          <w:rFonts w:hint="eastAsia" w:ascii="宋体" w:hAnsi="宋体" w:eastAsia="宋体" w:cs="宋体"/>
          <w:b/>
          <w:color w:val="000000"/>
        </w:rPr>
        <w:t>16.2 承包人违约</w:t>
      </w:r>
      <w:bookmarkEnd w:id="1047"/>
    </w:p>
    <w:p w14:paraId="41AC21FF">
      <w:pPr>
        <w:spacing w:line="440" w:lineRule="exact"/>
        <w:ind w:firstLine="480"/>
        <w:rPr>
          <w:rFonts w:ascii="宋体" w:hAnsi="宋体" w:eastAsia="宋体" w:cs="宋体"/>
          <w:color w:val="000000"/>
          <w:szCs w:val="21"/>
        </w:rPr>
      </w:pPr>
      <w:r>
        <w:rPr>
          <w:rFonts w:ascii="宋体" w:hAnsi="宋体" w:eastAsia="宋体" w:cs="宋体"/>
          <w:color w:val="000000"/>
          <w:szCs w:val="21"/>
        </w:rPr>
        <w:t>16.2.1 承包人违约的情形</w:t>
      </w:r>
    </w:p>
    <w:p w14:paraId="572C02E4">
      <w:pPr>
        <w:spacing w:line="440" w:lineRule="exact"/>
        <w:ind w:firstLine="480"/>
        <w:rPr>
          <w:rFonts w:ascii="宋体" w:hAnsi="宋体" w:eastAsia="宋体" w:cs="宋体"/>
          <w:color w:val="000000"/>
          <w:szCs w:val="21"/>
        </w:rPr>
      </w:pPr>
      <w:r>
        <w:rPr>
          <w:rFonts w:ascii="宋体" w:hAnsi="宋体" w:eastAsia="宋体" w:cs="宋体"/>
          <w:color w:val="000000"/>
          <w:szCs w:val="21"/>
        </w:rPr>
        <w:t>承包人违约的其他情形：</w:t>
      </w:r>
      <w:r>
        <w:rPr>
          <w:rFonts w:hint="eastAsia" w:ascii="宋体" w:hAnsi="宋体" w:eastAsia="宋体" w:cs="宋体"/>
          <w:color w:val="000000"/>
          <w:szCs w:val="21"/>
          <w:u w:val="single"/>
        </w:rPr>
        <w:t>承包人项目经理及其他主要管理人员未按投标文件承诺驻场，或未经发包人许可擅自更换项目经理及其他主要管理人员</w:t>
      </w:r>
      <w:r>
        <w:rPr>
          <w:rFonts w:ascii="宋体" w:hAnsi="宋体" w:eastAsia="宋体" w:cs="宋体"/>
          <w:color w:val="000000"/>
          <w:szCs w:val="21"/>
        </w:rPr>
        <w:t>。</w:t>
      </w:r>
    </w:p>
    <w:p w14:paraId="2172AF7B">
      <w:pPr>
        <w:spacing w:line="440" w:lineRule="exact"/>
        <w:ind w:firstLine="480"/>
        <w:rPr>
          <w:rFonts w:ascii="宋体" w:hAnsi="宋体" w:eastAsia="宋体" w:cs="宋体"/>
          <w:color w:val="000000"/>
          <w:szCs w:val="21"/>
        </w:rPr>
      </w:pPr>
      <w:r>
        <w:rPr>
          <w:rFonts w:ascii="宋体" w:hAnsi="宋体" w:eastAsia="宋体" w:cs="宋体"/>
          <w:color w:val="000000"/>
          <w:szCs w:val="21"/>
        </w:rPr>
        <w:t>16.2.2承包人违约的责任</w:t>
      </w:r>
    </w:p>
    <w:p w14:paraId="4262F2D2">
      <w:pPr>
        <w:spacing w:line="440" w:lineRule="exact"/>
        <w:ind w:firstLine="480"/>
        <w:rPr>
          <w:rFonts w:ascii="宋体" w:hAnsi="宋体" w:eastAsia="宋体" w:cs="宋体"/>
          <w:color w:val="000000"/>
          <w:szCs w:val="21"/>
        </w:rPr>
      </w:pPr>
      <w:r>
        <w:rPr>
          <w:rFonts w:ascii="宋体" w:hAnsi="宋体" w:eastAsia="宋体" w:cs="宋体"/>
          <w:color w:val="000000"/>
          <w:szCs w:val="21"/>
        </w:rPr>
        <w:t>承包人违约责任的承担方式和计算方法：</w:t>
      </w:r>
    </w:p>
    <w:p w14:paraId="788B66B2">
      <w:pPr>
        <w:spacing w:line="440" w:lineRule="exact"/>
        <w:ind w:firstLine="480"/>
        <w:rPr>
          <w:rFonts w:ascii="宋体" w:hAnsi="宋体" w:eastAsia="宋体" w:cs="宋体"/>
          <w:color w:val="000000"/>
          <w:szCs w:val="21"/>
          <w:u w:val="single"/>
        </w:rPr>
      </w:pPr>
      <w:r>
        <w:rPr>
          <w:rFonts w:hint="eastAsia" w:ascii="宋体" w:hAnsi="宋体" w:eastAsia="宋体" w:cs="宋体"/>
          <w:color w:val="000000"/>
          <w:szCs w:val="21"/>
          <w:u w:val="single"/>
        </w:rPr>
        <w:t>（1）</w:t>
      </w:r>
      <w:r>
        <w:rPr>
          <w:rFonts w:ascii="宋体" w:hAnsi="宋体" w:eastAsia="宋体" w:cs="宋体"/>
          <w:color w:val="000000"/>
          <w:szCs w:val="21"/>
          <w:u w:val="single"/>
        </w:rPr>
        <w:t>承包人提交竣工</w:t>
      </w:r>
      <w:r>
        <w:rPr>
          <w:rFonts w:hint="eastAsia" w:ascii="宋体" w:hAnsi="宋体" w:eastAsia="宋体" w:cs="宋体"/>
          <w:color w:val="000000"/>
          <w:szCs w:val="21"/>
          <w:u w:val="single"/>
        </w:rPr>
        <w:t>结算</w:t>
      </w:r>
      <w:r>
        <w:rPr>
          <w:rFonts w:ascii="宋体" w:hAnsi="宋体" w:eastAsia="宋体" w:cs="宋体"/>
          <w:color w:val="000000"/>
          <w:szCs w:val="21"/>
          <w:u w:val="single"/>
        </w:rPr>
        <w:t>申请单的期限</w:t>
      </w:r>
      <w:r>
        <w:rPr>
          <w:rFonts w:hint="eastAsia" w:ascii="宋体" w:hAnsi="宋体" w:eastAsia="宋体" w:cs="宋体"/>
          <w:color w:val="000000"/>
          <w:szCs w:val="21"/>
          <w:u w:val="single"/>
        </w:rPr>
        <w:t>延误，按照2000元/天向发包人支付违约金。</w:t>
      </w:r>
    </w:p>
    <w:p w14:paraId="4439E53B">
      <w:pPr>
        <w:spacing w:line="440" w:lineRule="exact"/>
        <w:ind w:firstLine="480"/>
        <w:rPr>
          <w:rFonts w:ascii="宋体" w:hAnsi="宋体" w:eastAsia="宋体" w:cs="宋体"/>
          <w:color w:val="000000"/>
          <w:szCs w:val="21"/>
          <w:u w:val="single"/>
        </w:rPr>
      </w:pPr>
      <w:r>
        <w:rPr>
          <w:rFonts w:hint="eastAsia" w:ascii="宋体" w:hAnsi="宋体" w:eastAsia="宋体" w:cs="宋体"/>
          <w:color w:val="000000"/>
          <w:szCs w:val="21"/>
          <w:u w:val="single"/>
        </w:rPr>
        <w:t>（2）因承包人自身原因造成工期延误，按合同专用条款7.5.2执行。</w:t>
      </w:r>
    </w:p>
    <w:p w14:paraId="7D9E4A67">
      <w:pPr>
        <w:spacing w:line="440" w:lineRule="exact"/>
        <w:ind w:firstLine="480"/>
        <w:rPr>
          <w:rFonts w:ascii="宋体" w:hAnsi="宋体" w:eastAsia="宋体" w:cs="宋体"/>
          <w:color w:val="000000"/>
          <w:szCs w:val="21"/>
          <w:u w:val="single"/>
        </w:rPr>
      </w:pPr>
      <w:r>
        <w:rPr>
          <w:rFonts w:hint="eastAsia" w:ascii="宋体" w:hAnsi="宋体" w:eastAsia="宋体" w:cs="宋体"/>
          <w:color w:val="000000"/>
          <w:szCs w:val="21"/>
          <w:u w:val="single"/>
        </w:rPr>
        <w:t>（3）</w:t>
      </w:r>
      <w:r>
        <w:rPr>
          <w:rFonts w:ascii="宋体" w:hAnsi="宋体" w:eastAsia="宋体" w:cs="宋体"/>
          <w:color w:val="000000"/>
          <w:szCs w:val="21"/>
          <w:u w:val="single"/>
        </w:rPr>
        <w:t>承包人承担因其</w:t>
      </w:r>
      <w:r>
        <w:rPr>
          <w:rFonts w:hint="eastAsia" w:ascii="宋体" w:hAnsi="宋体" w:eastAsia="宋体" w:cs="宋体"/>
          <w:color w:val="000000"/>
          <w:szCs w:val="21"/>
          <w:u w:val="single"/>
        </w:rPr>
        <w:t>自身</w:t>
      </w:r>
      <w:r>
        <w:rPr>
          <w:rFonts w:ascii="宋体" w:hAnsi="宋体" w:eastAsia="宋体" w:cs="宋体"/>
          <w:color w:val="000000"/>
          <w:szCs w:val="21"/>
          <w:u w:val="single"/>
        </w:rPr>
        <w:t>违约行为而增加的费用和</w:t>
      </w:r>
      <w:r>
        <w:rPr>
          <w:rFonts w:hint="eastAsia" w:ascii="宋体" w:hAnsi="宋体" w:eastAsia="宋体" w:cs="宋体"/>
          <w:color w:val="000000"/>
          <w:szCs w:val="21"/>
          <w:u w:val="single"/>
        </w:rPr>
        <w:t>（</w:t>
      </w:r>
      <w:r>
        <w:rPr>
          <w:rFonts w:ascii="宋体" w:hAnsi="宋体" w:eastAsia="宋体" w:cs="宋体"/>
          <w:color w:val="000000"/>
          <w:szCs w:val="21"/>
          <w:u w:val="single"/>
        </w:rPr>
        <w:t>或</w:t>
      </w:r>
      <w:r>
        <w:rPr>
          <w:rFonts w:hint="eastAsia" w:ascii="宋体" w:hAnsi="宋体" w:eastAsia="宋体" w:cs="宋体"/>
          <w:color w:val="000000"/>
          <w:szCs w:val="21"/>
          <w:u w:val="single"/>
        </w:rPr>
        <w:t>）</w:t>
      </w:r>
      <w:r>
        <w:rPr>
          <w:rFonts w:ascii="宋体" w:hAnsi="宋体" w:eastAsia="宋体" w:cs="宋体"/>
          <w:color w:val="000000"/>
          <w:szCs w:val="21"/>
          <w:u w:val="single"/>
        </w:rPr>
        <w:t>延误的工期</w:t>
      </w:r>
    </w:p>
    <w:p w14:paraId="1B8522DF">
      <w:pPr>
        <w:spacing w:line="440" w:lineRule="exact"/>
        <w:ind w:firstLine="480"/>
        <w:rPr>
          <w:rFonts w:ascii="宋体" w:hAnsi="宋体" w:eastAsia="宋体" w:cs="宋体"/>
          <w:color w:val="000000"/>
          <w:szCs w:val="21"/>
        </w:rPr>
      </w:pPr>
      <w:r>
        <w:rPr>
          <w:rFonts w:ascii="宋体" w:hAnsi="宋体" w:eastAsia="宋体" w:cs="宋体"/>
          <w:color w:val="000000"/>
          <w:szCs w:val="21"/>
        </w:rPr>
        <w:t>16.2.3 因承包人违约解除合同</w:t>
      </w:r>
    </w:p>
    <w:p w14:paraId="40B54AAD">
      <w:pPr>
        <w:spacing w:line="440" w:lineRule="exact"/>
        <w:ind w:firstLine="480"/>
        <w:rPr>
          <w:rFonts w:ascii="宋体" w:hAnsi="宋体" w:eastAsia="宋体" w:cs="宋体"/>
          <w:color w:val="000000"/>
          <w:szCs w:val="21"/>
        </w:rPr>
      </w:pPr>
      <w:r>
        <w:rPr>
          <w:rFonts w:ascii="宋体" w:hAnsi="宋体" w:eastAsia="宋体" w:cs="宋体"/>
          <w:color w:val="000000"/>
          <w:szCs w:val="21"/>
        </w:rPr>
        <w:t>关于承包人违约解除合同的特别约定：</w:t>
      </w:r>
      <w:r>
        <w:rPr>
          <w:rFonts w:hint="eastAsia" w:ascii="宋体" w:hAnsi="宋体" w:eastAsia="宋体" w:cs="宋体"/>
          <w:color w:val="000000"/>
          <w:szCs w:val="21"/>
          <w:u w:val="single"/>
        </w:rPr>
        <w:t>按通用条款执行。</w:t>
      </w:r>
    </w:p>
    <w:p w14:paraId="23478644">
      <w:pPr>
        <w:spacing w:line="440" w:lineRule="exact"/>
        <w:ind w:firstLine="480"/>
        <w:rPr>
          <w:rFonts w:ascii="宋体" w:hAnsi="宋体" w:eastAsia="宋体" w:cs="宋体"/>
          <w:szCs w:val="21"/>
          <w:u w:val="single"/>
        </w:rPr>
      </w:pPr>
      <w:r>
        <w:rPr>
          <w:rFonts w:ascii="宋体" w:hAnsi="宋体" w:eastAsia="宋体" w:cs="宋体"/>
          <w:color w:val="000000"/>
          <w:szCs w:val="21"/>
        </w:rPr>
        <w:t>发包人</w:t>
      </w:r>
      <w:r>
        <w:rPr>
          <w:rFonts w:hint="eastAsia" w:ascii="宋体" w:hAnsi="宋体" w:eastAsia="宋体" w:cs="宋体"/>
          <w:color w:val="000000"/>
          <w:szCs w:val="21"/>
        </w:rPr>
        <w:t>继续</w:t>
      </w:r>
      <w:r>
        <w:rPr>
          <w:rFonts w:ascii="宋体" w:hAnsi="宋体" w:eastAsia="宋体" w:cs="宋体"/>
          <w:color w:val="000000"/>
          <w:szCs w:val="21"/>
        </w:rPr>
        <w:t>使用承包人在施工现场的材料、设备、临时工程、承包人文件和由承包人或以其名义编制的其他文件</w:t>
      </w:r>
      <w:r>
        <w:rPr>
          <w:rFonts w:hint="eastAsia" w:ascii="宋体" w:hAnsi="宋体" w:eastAsia="宋体" w:cs="宋体"/>
          <w:color w:val="000000"/>
          <w:szCs w:val="21"/>
        </w:rPr>
        <w:t>的费用承担方式</w:t>
      </w:r>
      <w:r>
        <w:rPr>
          <w:rFonts w:ascii="宋体" w:hAnsi="宋体" w:eastAsia="宋体" w:cs="宋体"/>
          <w:color w:val="000000"/>
          <w:szCs w:val="21"/>
        </w:rPr>
        <w:t>：</w:t>
      </w:r>
      <w:r>
        <w:rPr>
          <w:rFonts w:hint="eastAsia" w:ascii="宋体" w:hAnsi="宋体" w:eastAsia="宋体" w:cs="宋体"/>
          <w:color w:val="000000"/>
          <w:szCs w:val="21"/>
          <w:u w:val="single"/>
        </w:rPr>
        <w:t>按通用条款执行。</w:t>
      </w:r>
    </w:p>
    <w:p w14:paraId="1BEB4525">
      <w:pPr>
        <w:spacing w:line="440" w:lineRule="exact"/>
        <w:ind w:firstLine="480"/>
        <w:rPr>
          <w:rFonts w:ascii="宋体" w:hAnsi="宋体" w:eastAsia="宋体" w:cs="宋体"/>
          <w:color w:val="000000"/>
          <w:szCs w:val="21"/>
        </w:rPr>
      </w:pPr>
      <w:r>
        <w:rPr>
          <w:rFonts w:hint="eastAsia" w:ascii="宋体" w:hAnsi="宋体" w:eastAsia="宋体" w:cs="宋体"/>
          <w:color w:val="000000"/>
          <w:szCs w:val="21"/>
        </w:rPr>
        <w:t>16.2.4 因承包人违约解除合同</w:t>
      </w:r>
    </w:p>
    <w:p w14:paraId="628F6644">
      <w:pPr>
        <w:spacing w:line="440" w:lineRule="exact"/>
        <w:ind w:firstLine="480"/>
        <w:rPr>
          <w:rFonts w:ascii="宋体" w:hAnsi="宋体" w:eastAsia="宋体" w:cs="宋体"/>
          <w:color w:val="000000"/>
          <w:szCs w:val="21"/>
        </w:rPr>
      </w:pPr>
      <w:r>
        <w:rPr>
          <w:rFonts w:hint="eastAsia" w:ascii="宋体" w:hAnsi="宋体" w:eastAsia="宋体" w:cs="宋体"/>
          <w:color w:val="000000"/>
          <w:szCs w:val="21"/>
        </w:rPr>
        <w:t>关于承包人违约解除合同的特别约定：</w:t>
      </w:r>
    </w:p>
    <w:p w14:paraId="3151B4F0">
      <w:pPr>
        <w:spacing w:line="440" w:lineRule="exact"/>
        <w:ind w:firstLine="480"/>
        <w:rPr>
          <w:rFonts w:ascii="宋体" w:hAnsi="宋体" w:eastAsia="宋体" w:cs="宋体"/>
          <w:szCs w:val="21"/>
        </w:rPr>
      </w:pPr>
      <w:r>
        <w:rPr>
          <w:rFonts w:hint="eastAsia" w:ascii="宋体" w:hAnsi="宋体" w:eastAsia="宋体" w:cs="宋体"/>
          <w:szCs w:val="21"/>
        </w:rPr>
        <w:t>1、如有下列情况之一发生，发包人有权书面通知解除合同，通知自送达承包人或其在现场的项目经理部七日后生效：</w:t>
      </w:r>
    </w:p>
    <w:p w14:paraId="3C590A0E">
      <w:pPr>
        <w:spacing w:line="440" w:lineRule="exact"/>
        <w:ind w:firstLine="480"/>
        <w:rPr>
          <w:rFonts w:ascii="宋体" w:hAnsi="宋体" w:eastAsia="宋体" w:cs="宋体"/>
          <w:szCs w:val="21"/>
          <w:u w:val="single"/>
        </w:rPr>
      </w:pPr>
      <w:r>
        <w:rPr>
          <w:rFonts w:hint="eastAsia" w:ascii="宋体" w:hAnsi="宋体" w:eastAsia="宋体" w:cs="宋体"/>
          <w:szCs w:val="21"/>
          <w:u w:val="single"/>
        </w:rPr>
        <w:t>①承包人在施工过程中擅自停工、窝工行为，经发包人书面催告后5日内仍不正常施工的，或其他因承包人之原因致使合同约定的工期根本无法达到要求的；</w:t>
      </w:r>
    </w:p>
    <w:p w14:paraId="0F7FA47A">
      <w:pPr>
        <w:spacing w:line="440" w:lineRule="exact"/>
        <w:ind w:firstLine="480"/>
        <w:rPr>
          <w:rFonts w:ascii="宋体" w:hAnsi="宋体" w:eastAsia="宋体" w:cs="宋体"/>
          <w:szCs w:val="21"/>
          <w:u w:val="single"/>
        </w:rPr>
      </w:pPr>
      <w:r>
        <w:rPr>
          <w:rFonts w:hint="eastAsia" w:ascii="宋体" w:hAnsi="宋体" w:eastAsia="宋体" w:cs="宋体"/>
          <w:szCs w:val="21"/>
          <w:u w:val="single"/>
        </w:rPr>
        <w:t>②承包人施工质量无法达到合格要求,经监理工程师要求整改却无正当理由拒绝整改的或者整改后仍不合格的；</w:t>
      </w:r>
    </w:p>
    <w:p w14:paraId="4CA28769">
      <w:pPr>
        <w:spacing w:line="440" w:lineRule="exact"/>
        <w:ind w:firstLine="480"/>
        <w:rPr>
          <w:rFonts w:ascii="宋体" w:hAnsi="宋体" w:eastAsia="宋体" w:cs="宋体"/>
          <w:szCs w:val="21"/>
          <w:u w:val="single"/>
        </w:rPr>
      </w:pPr>
      <w:r>
        <w:rPr>
          <w:rFonts w:hint="eastAsia" w:ascii="宋体" w:hAnsi="宋体" w:eastAsia="宋体" w:cs="宋体"/>
          <w:szCs w:val="21"/>
          <w:u w:val="single"/>
        </w:rPr>
        <w:t>③承包人擅自更换本工程项目经理的，经发包人提出异议后七日内不予纠正的。</w:t>
      </w:r>
    </w:p>
    <w:p w14:paraId="128B79D4">
      <w:pPr>
        <w:spacing w:line="440" w:lineRule="exact"/>
        <w:ind w:firstLine="480"/>
        <w:rPr>
          <w:rFonts w:ascii="宋体" w:hAnsi="宋体" w:eastAsia="宋体" w:cs="宋体"/>
          <w:szCs w:val="21"/>
          <w:u w:val="single"/>
        </w:rPr>
      </w:pPr>
      <w:r>
        <w:rPr>
          <w:rFonts w:hint="eastAsia" w:ascii="宋体" w:hAnsi="宋体" w:eastAsia="宋体" w:cs="宋体"/>
          <w:szCs w:val="21"/>
          <w:u w:val="single"/>
        </w:rPr>
        <w:t>④若承包人没有在规定时间之内执行发包人指令，而在收到发包人催促执行的书面通知后7日之内，承包人仍未执行。发包人有权解除合同，造成发包人直接损失或间接损失的，作为债务向承包人追讨。</w:t>
      </w:r>
    </w:p>
    <w:p w14:paraId="2345C4E2">
      <w:pPr>
        <w:spacing w:line="440" w:lineRule="exact"/>
        <w:ind w:firstLine="480"/>
        <w:rPr>
          <w:rFonts w:ascii="宋体" w:hAnsi="宋体" w:eastAsia="宋体" w:cs="宋体"/>
          <w:szCs w:val="21"/>
          <w:u w:val="single"/>
        </w:rPr>
      </w:pPr>
      <w:r>
        <w:rPr>
          <w:rFonts w:hint="eastAsia" w:ascii="宋体" w:hAnsi="宋体" w:eastAsia="宋体" w:cs="宋体"/>
          <w:szCs w:val="21"/>
          <w:u w:val="single"/>
        </w:rPr>
        <w:t>⑤因承包人原因工程出现死亡事故，承包人承担违约金50万元，自行单方向死者家属承担一切经济赔偿费用，并不得延长工期。如发现人员死亡、火灾等工程建设重大事故，发包人有权解除合同。</w:t>
      </w:r>
    </w:p>
    <w:p w14:paraId="2C0FAF99">
      <w:pPr>
        <w:spacing w:line="440" w:lineRule="exact"/>
        <w:ind w:firstLine="480"/>
        <w:rPr>
          <w:rFonts w:ascii="宋体" w:hAnsi="宋体" w:eastAsia="宋体" w:cs="宋体"/>
          <w:szCs w:val="21"/>
          <w:u w:val="single"/>
        </w:rPr>
      </w:pPr>
      <w:r>
        <w:rPr>
          <w:rFonts w:hint="eastAsia" w:ascii="宋体" w:hAnsi="宋体" w:eastAsia="宋体" w:cs="宋体"/>
          <w:szCs w:val="21"/>
          <w:u w:val="single"/>
        </w:rPr>
        <w:t>⑥承包人不得以任何理由（非发包人原因）擅自停工，对发包人的复工通知应积极响应，连续收到三次复工通知书拒不复工的，发包人将与其解除合同关系，并拒付工程款，没收履约保证金，并追究承包人相应经济和法律责任。</w:t>
      </w:r>
    </w:p>
    <w:p w14:paraId="3D5727BD">
      <w:pPr>
        <w:spacing w:line="440" w:lineRule="exact"/>
        <w:ind w:firstLine="480"/>
        <w:rPr>
          <w:rFonts w:ascii="宋体" w:hAnsi="宋体" w:eastAsia="宋体" w:cs="宋体"/>
          <w:color w:val="0000FF"/>
          <w:szCs w:val="21"/>
          <w:u w:val="single"/>
        </w:rPr>
      </w:pPr>
      <w:r>
        <w:rPr>
          <w:rFonts w:hint="eastAsia" w:ascii="宋体" w:hAnsi="宋体" w:eastAsia="宋体" w:cs="宋体"/>
          <w:szCs w:val="21"/>
          <w:u w:val="single"/>
        </w:rPr>
        <w:t>⑦承包人因主要机械和主要材料延迟进场超过20日，经发包方催告后7日内仍未进场的；或者承包方未按投标计划投入施工机械及人工，经发包方催告后15日内仍未解决的；或者非发包方原因，承包人累计延误工期达60天的。</w:t>
      </w:r>
    </w:p>
    <w:p w14:paraId="62E00C12">
      <w:pPr>
        <w:spacing w:line="440" w:lineRule="exact"/>
        <w:ind w:firstLine="480"/>
        <w:rPr>
          <w:rFonts w:ascii="宋体" w:hAnsi="宋体" w:eastAsia="宋体" w:cs="宋体"/>
          <w:szCs w:val="21"/>
        </w:rPr>
      </w:pPr>
      <w:r>
        <w:rPr>
          <w:rFonts w:hint="eastAsia" w:ascii="宋体" w:hAnsi="宋体" w:eastAsia="宋体" w:cs="宋体"/>
          <w:szCs w:val="21"/>
        </w:rPr>
        <w:t>2、合同解除后的处理</w:t>
      </w:r>
    </w:p>
    <w:p w14:paraId="508FEFC1">
      <w:pPr>
        <w:spacing w:line="440" w:lineRule="exact"/>
        <w:ind w:firstLine="480"/>
        <w:rPr>
          <w:rFonts w:ascii="宋体" w:hAnsi="宋体" w:eastAsia="宋体" w:cs="宋体"/>
          <w:szCs w:val="21"/>
          <w:u w:val="single"/>
        </w:rPr>
      </w:pPr>
      <w:r>
        <w:rPr>
          <w:rFonts w:hint="eastAsia" w:ascii="宋体" w:hAnsi="宋体" w:eastAsia="宋体" w:cs="宋体"/>
          <w:szCs w:val="21"/>
          <w:u w:val="single"/>
        </w:rPr>
        <w:t>发包人提出解除之日起24小时内，承包人需一次性向发包人同时提供材料采购合同，如超过24小时，发包人仍未提供材料采购合同等未来将据此索赔的合同，发包人将不再确认该合同的有效性。</w:t>
      </w:r>
    </w:p>
    <w:p w14:paraId="1A08824D">
      <w:pPr>
        <w:spacing w:line="440" w:lineRule="exact"/>
        <w:ind w:firstLine="480"/>
        <w:rPr>
          <w:rFonts w:ascii="宋体" w:hAnsi="宋体" w:eastAsia="宋体" w:cs="宋体"/>
          <w:szCs w:val="21"/>
          <w:u w:val="single"/>
        </w:rPr>
      </w:pPr>
      <w:r>
        <w:rPr>
          <w:rFonts w:hint="eastAsia" w:ascii="宋体" w:hAnsi="宋体" w:eastAsia="宋体" w:cs="宋体"/>
          <w:szCs w:val="21"/>
          <w:u w:val="single"/>
        </w:rPr>
        <w:t>承包人违反本合同专用条款第16.2条约定，发包人依约解除合同的，承包人因此给发包人造成损失的（包括但不限于发包人重新招标或者直接发包给第三人发生的费用、发包人自己或者第三人完成本合同内容需要支付的材料款、工程款、需要额外增加的赶工费、需要额外增加的材料采购费等费用），发包人有权自承包人应付未付款中予以直接扣减，不足部份，承包人应予以全额赔偿。</w:t>
      </w:r>
    </w:p>
    <w:p w14:paraId="2017D1DC">
      <w:pPr>
        <w:spacing w:line="440" w:lineRule="exact"/>
        <w:ind w:firstLine="480"/>
        <w:rPr>
          <w:rFonts w:ascii="宋体" w:hAnsi="宋体" w:eastAsia="宋体" w:cs="宋体"/>
          <w:szCs w:val="21"/>
          <w:u w:val="single"/>
        </w:rPr>
      </w:pPr>
      <w:r>
        <w:rPr>
          <w:rFonts w:hint="eastAsia" w:ascii="宋体" w:hAnsi="宋体" w:eastAsia="宋体" w:cs="宋体"/>
          <w:szCs w:val="21"/>
          <w:u w:val="single"/>
        </w:rPr>
        <w:t>合同解除后，承包人应于接到发包人通知后15日内做好现场安全、工程保护并退出工地现场。如逾期仍未撤离完毕，应赔偿发包人每日1万元的赔偿金。同时，发包人有权采取强制手段清理现场。为此发生的费用从未付工程款中扣除。</w:t>
      </w:r>
    </w:p>
    <w:p w14:paraId="1A4B40ED">
      <w:pPr>
        <w:spacing w:line="440" w:lineRule="exact"/>
        <w:ind w:firstLine="480"/>
        <w:rPr>
          <w:rFonts w:ascii="宋体" w:hAnsi="宋体" w:eastAsia="宋体" w:cs="宋体"/>
          <w:szCs w:val="21"/>
          <w:u w:val="single"/>
        </w:rPr>
      </w:pPr>
      <w:r>
        <w:rPr>
          <w:rFonts w:hint="eastAsia" w:ascii="宋体" w:hAnsi="宋体" w:eastAsia="宋体" w:cs="宋体"/>
          <w:szCs w:val="21"/>
          <w:u w:val="single"/>
        </w:rPr>
        <w:t>合同的解除并不解除承包人对已完工工程的质量责任和保修责任以及合同履行过程中的违约责任。</w:t>
      </w:r>
    </w:p>
    <w:p w14:paraId="52F466FE">
      <w:pPr>
        <w:spacing w:before="120" w:after="120" w:line="440" w:lineRule="exact"/>
        <w:ind w:firstLine="480"/>
        <w:rPr>
          <w:rFonts w:ascii="宋体" w:hAnsi="宋体" w:eastAsia="宋体" w:cs="宋体"/>
          <w:color w:val="000000"/>
          <w:szCs w:val="21"/>
        </w:rPr>
      </w:pPr>
      <w:r>
        <w:rPr>
          <w:rFonts w:hint="eastAsia" w:ascii="宋体" w:hAnsi="宋体" w:eastAsia="宋体" w:cs="宋体"/>
          <w:color w:val="000000"/>
          <w:szCs w:val="21"/>
        </w:rPr>
        <w:t>发包人继续使用承包人在施工现场的材料、设备、临时工程、承包人文件和由承包人或以其名义编制的其他文件的费用承担方式：</w:t>
      </w:r>
      <w:r>
        <w:rPr>
          <w:rFonts w:hint="eastAsia" w:ascii="宋体" w:hAnsi="宋体" w:eastAsia="宋体" w:cs="宋体"/>
          <w:szCs w:val="21"/>
          <w:u w:val="single"/>
        </w:rPr>
        <w:t>承包人</w:t>
      </w:r>
      <w:r>
        <w:rPr>
          <w:rFonts w:hint="eastAsia" w:ascii="宋体" w:hAnsi="宋体" w:eastAsia="宋体" w:cs="宋体"/>
          <w:color w:val="000000"/>
          <w:szCs w:val="21"/>
        </w:rPr>
        <w:t>。</w:t>
      </w:r>
    </w:p>
    <w:p w14:paraId="649BDAD1">
      <w:pPr>
        <w:keepNext/>
        <w:keepLines/>
        <w:spacing w:before="120" w:after="120" w:line="440" w:lineRule="exact"/>
        <w:ind w:firstLine="482"/>
        <w:outlineLvl w:val="3"/>
        <w:rPr>
          <w:rFonts w:ascii="宋体" w:hAnsi="宋体" w:eastAsia="宋体" w:cs="宋体"/>
          <w:b/>
          <w:color w:val="000000"/>
        </w:rPr>
      </w:pPr>
      <w:bookmarkStart w:id="1048" w:name="_Toc351203649"/>
      <w:r>
        <w:rPr>
          <w:rFonts w:hint="eastAsia" w:ascii="宋体" w:hAnsi="宋体" w:eastAsia="宋体" w:cs="宋体"/>
          <w:b/>
          <w:color w:val="000000"/>
        </w:rPr>
        <w:t>17. 不可抗力</w:t>
      </w:r>
      <w:bookmarkEnd w:id="1044"/>
      <w:bookmarkEnd w:id="1048"/>
    </w:p>
    <w:p w14:paraId="3D1A0635">
      <w:pPr>
        <w:spacing w:after="120" w:line="440" w:lineRule="exact"/>
        <w:ind w:firstLine="482"/>
        <w:rPr>
          <w:rFonts w:ascii="宋体" w:hAnsi="宋体" w:eastAsia="宋体" w:cs="宋体"/>
          <w:b/>
          <w:color w:val="000000"/>
        </w:rPr>
      </w:pPr>
      <w:r>
        <w:rPr>
          <w:rFonts w:hint="eastAsia" w:ascii="宋体" w:hAnsi="宋体" w:eastAsia="宋体" w:cs="宋体"/>
          <w:b/>
          <w:color w:val="000000"/>
        </w:rPr>
        <w:t>17.1 不可抗力的确认</w:t>
      </w:r>
    </w:p>
    <w:p w14:paraId="76A61652">
      <w:pPr>
        <w:spacing w:line="440" w:lineRule="exact"/>
        <w:ind w:firstLine="480"/>
        <w:rPr>
          <w:rFonts w:ascii="宋体" w:hAnsi="宋体" w:eastAsia="宋体" w:cs="宋体"/>
          <w:color w:val="000000"/>
          <w:szCs w:val="21"/>
          <w:u w:val="single"/>
        </w:rPr>
      </w:pPr>
      <w:r>
        <w:rPr>
          <w:rFonts w:hint="eastAsia" w:ascii="宋体" w:hAnsi="宋体" w:eastAsia="宋体" w:cs="宋体"/>
          <w:color w:val="000000"/>
          <w:szCs w:val="21"/>
        </w:rPr>
        <w:t>除通用合同条款约定的不可抗力事件之外，视为不可抗力的其他情形：</w:t>
      </w:r>
      <w:r>
        <w:rPr>
          <w:rFonts w:hint="eastAsia" w:ascii="宋体" w:hAnsi="宋体" w:eastAsia="宋体" w:cs="宋体"/>
          <w:color w:val="000000"/>
          <w:szCs w:val="21"/>
          <w:u w:val="single"/>
        </w:rPr>
        <w:t>①不可抗力包括因战争、动乱、空中飞行物体坠落或其他非发包人承包人责任造成的爆炸、火灾，以及以下方面的自然灾害：</w:t>
      </w:r>
    </w:p>
    <w:p w14:paraId="3CBD021F">
      <w:pPr>
        <w:spacing w:line="440" w:lineRule="exact"/>
        <w:ind w:firstLine="480"/>
        <w:rPr>
          <w:rFonts w:ascii="宋体" w:hAnsi="宋体" w:eastAsia="宋体" w:cs="宋体"/>
          <w:color w:val="000000"/>
          <w:szCs w:val="21"/>
          <w:u w:val="single"/>
        </w:rPr>
      </w:pPr>
      <w:r>
        <w:rPr>
          <w:rFonts w:hint="eastAsia" w:ascii="宋体" w:hAnsi="宋体" w:eastAsia="宋体" w:cs="宋体"/>
          <w:color w:val="000000"/>
          <w:szCs w:val="21"/>
          <w:u w:val="single"/>
        </w:rPr>
        <w:t>1.1 烈度为6级以上的地震；</w:t>
      </w:r>
    </w:p>
    <w:p w14:paraId="1AA4A5FC">
      <w:pPr>
        <w:spacing w:line="440" w:lineRule="exact"/>
        <w:ind w:firstLine="480"/>
        <w:rPr>
          <w:rFonts w:ascii="宋体" w:hAnsi="宋体" w:eastAsia="宋体" w:cs="宋体"/>
          <w:color w:val="000000"/>
          <w:szCs w:val="21"/>
          <w:u w:val="single"/>
        </w:rPr>
      </w:pPr>
      <w:r>
        <w:rPr>
          <w:rFonts w:hint="eastAsia" w:ascii="宋体" w:hAnsi="宋体" w:eastAsia="宋体" w:cs="宋体"/>
          <w:color w:val="000000"/>
          <w:szCs w:val="21"/>
          <w:u w:val="single"/>
        </w:rPr>
        <w:t>1.2 6级以上持续24小时的大风；</w:t>
      </w:r>
    </w:p>
    <w:p w14:paraId="780AD483">
      <w:pPr>
        <w:spacing w:line="440" w:lineRule="exact"/>
        <w:ind w:firstLine="480"/>
        <w:rPr>
          <w:rFonts w:ascii="宋体" w:hAnsi="宋体" w:eastAsia="宋体" w:cs="宋体"/>
          <w:color w:val="000000"/>
          <w:szCs w:val="21"/>
          <w:u w:val="single"/>
        </w:rPr>
      </w:pPr>
      <w:r>
        <w:rPr>
          <w:rFonts w:hint="eastAsia" w:ascii="宋体" w:hAnsi="宋体" w:eastAsia="宋体" w:cs="宋体"/>
          <w:color w:val="000000"/>
          <w:szCs w:val="21"/>
          <w:u w:val="single"/>
        </w:rPr>
        <w:t>1.3 持续降雨24小时且降雨量200mm以上；下雪为30mm以上；</w:t>
      </w:r>
    </w:p>
    <w:p w14:paraId="449916F7">
      <w:pPr>
        <w:spacing w:line="440" w:lineRule="exact"/>
        <w:ind w:firstLine="480"/>
        <w:rPr>
          <w:rFonts w:ascii="宋体" w:hAnsi="宋体" w:eastAsia="宋体" w:cs="宋体"/>
          <w:color w:val="000000"/>
          <w:szCs w:val="21"/>
          <w:u w:val="single"/>
        </w:rPr>
      </w:pPr>
      <w:r>
        <w:rPr>
          <w:rFonts w:hint="eastAsia" w:ascii="宋体" w:hAnsi="宋体" w:eastAsia="宋体" w:cs="宋体"/>
          <w:color w:val="000000"/>
          <w:szCs w:val="21"/>
          <w:u w:val="single"/>
        </w:rPr>
        <w:t>1.4 （40℃）及以上持续24小时的高温；</w:t>
      </w:r>
    </w:p>
    <w:p w14:paraId="5DDD8DC5">
      <w:pPr>
        <w:spacing w:line="440" w:lineRule="exact"/>
        <w:ind w:firstLine="480"/>
        <w:rPr>
          <w:rFonts w:ascii="宋体" w:hAnsi="宋体" w:eastAsia="宋体" w:cs="宋体"/>
          <w:color w:val="000000"/>
          <w:szCs w:val="21"/>
          <w:u w:val="single"/>
        </w:rPr>
      </w:pPr>
      <w:r>
        <w:rPr>
          <w:rFonts w:hint="eastAsia" w:ascii="宋体" w:hAnsi="宋体" w:eastAsia="宋体" w:cs="宋体"/>
          <w:color w:val="000000"/>
          <w:szCs w:val="21"/>
          <w:u w:val="single"/>
        </w:rPr>
        <w:t xml:space="preserve">②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不可抗事件持续发生，承包人应每隔7天向监理报告一次受害情况。不可抗力事件结束后14天内，承包人向监理提交清理和修复费用的正式报告及有关资料。 </w:t>
      </w:r>
    </w:p>
    <w:p w14:paraId="6FBD0CBA">
      <w:pPr>
        <w:spacing w:line="440" w:lineRule="exact"/>
        <w:ind w:firstLine="480"/>
        <w:rPr>
          <w:rFonts w:ascii="宋体" w:hAnsi="宋体" w:eastAsia="宋体" w:cs="宋体"/>
          <w:color w:val="000000"/>
          <w:szCs w:val="21"/>
          <w:u w:val="single"/>
        </w:rPr>
      </w:pPr>
      <w:r>
        <w:rPr>
          <w:rFonts w:hint="eastAsia" w:ascii="宋体" w:hAnsi="宋体" w:eastAsia="宋体" w:cs="宋体"/>
          <w:color w:val="000000"/>
          <w:szCs w:val="21"/>
          <w:u w:val="single"/>
        </w:rPr>
        <w:t xml:space="preserve">③因不可抗力事件导致的费用由双方按以下方法分别承担： </w:t>
      </w:r>
    </w:p>
    <w:p w14:paraId="36267DD0">
      <w:pPr>
        <w:spacing w:line="440" w:lineRule="exact"/>
        <w:ind w:firstLine="480"/>
        <w:rPr>
          <w:rFonts w:ascii="宋体" w:hAnsi="宋体" w:eastAsia="宋体" w:cs="宋体"/>
          <w:color w:val="000000"/>
          <w:szCs w:val="21"/>
          <w:u w:val="single"/>
        </w:rPr>
      </w:pPr>
      <w:r>
        <w:rPr>
          <w:rFonts w:hint="eastAsia" w:ascii="宋体" w:hAnsi="宋体" w:eastAsia="宋体" w:cs="宋体"/>
          <w:color w:val="000000"/>
          <w:szCs w:val="21"/>
          <w:u w:val="single"/>
        </w:rPr>
        <w:t xml:space="preserve">3.1 工程本身（承包人施工质量未达标准除外）的损害、因工程损害导致第三人人员伤亡和财产损失以及运至施工场地用于施工的材料和待安装的设备的损害、清理、修复费用，由发包人承担； </w:t>
      </w:r>
    </w:p>
    <w:p w14:paraId="4E152CB6">
      <w:pPr>
        <w:spacing w:line="440" w:lineRule="exact"/>
        <w:ind w:firstLine="480"/>
        <w:rPr>
          <w:rFonts w:ascii="宋体" w:hAnsi="宋体" w:eastAsia="宋体" w:cs="宋体"/>
          <w:color w:val="000000"/>
          <w:szCs w:val="21"/>
          <w:u w:val="single"/>
        </w:rPr>
      </w:pPr>
      <w:r>
        <w:rPr>
          <w:rFonts w:hint="eastAsia" w:ascii="宋体" w:hAnsi="宋体" w:eastAsia="宋体" w:cs="宋体"/>
          <w:color w:val="000000"/>
          <w:szCs w:val="21"/>
          <w:u w:val="single"/>
        </w:rPr>
        <w:t xml:space="preserve">3.2 发包人、承包人人员伤亡由其所在单位负责，并承担相应费用； </w:t>
      </w:r>
    </w:p>
    <w:p w14:paraId="7A7EB0BC">
      <w:pPr>
        <w:spacing w:line="440" w:lineRule="exact"/>
        <w:ind w:firstLine="480"/>
        <w:rPr>
          <w:rFonts w:ascii="宋体" w:hAnsi="宋体" w:eastAsia="宋体" w:cs="宋体"/>
          <w:color w:val="000000"/>
          <w:szCs w:val="21"/>
          <w:u w:val="single"/>
        </w:rPr>
      </w:pPr>
      <w:r>
        <w:rPr>
          <w:rFonts w:hint="eastAsia" w:ascii="宋体" w:hAnsi="宋体" w:eastAsia="宋体" w:cs="宋体"/>
          <w:color w:val="000000"/>
          <w:szCs w:val="21"/>
          <w:u w:val="single"/>
        </w:rPr>
        <w:t xml:space="preserve">3.3 承包人机械设备损坏及停工损失，由承包人承担； </w:t>
      </w:r>
    </w:p>
    <w:p w14:paraId="49F6E7BF">
      <w:pPr>
        <w:spacing w:line="440" w:lineRule="exact"/>
        <w:ind w:firstLine="480"/>
        <w:rPr>
          <w:rFonts w:ascii="宋体" w:hAnsi="宋体" w:eastAsia="宋体" w:cs="宋体"/>
          <w:color w:val="000000"/>
          <w:szCs w:val="21"/>
          <w:u w:val="single"/>
        </w:rPr>
      </w:pPr>
      <w:r>
        <w:rPr>
          <w:rFonts w:hint="eastAsia" w:ascii="宋体" w:hAnsi="宋体" w:eastAsia="宋体" w:cs="宋体"/>
          <w:color w:val="000000"/>
          <w:szCs w:val="21"/>
          <w:u w:val="single"/>
        </w:rPr>
        <w:t xml:space="preserve">3.4 停工期间，承包人应监理要求留在施工场地的必要的管理人员及保卫人员的费用由发包人承担； </w:t>
      </w:r>
    </w:p>
    <w:p w14:paraId="1984B03E">
      <w:pPr>
        <w:spacing w:line="440" w:lineRule="exact"/>
        <w:ind w:firstLine="480"/>
        <w:rPr>
          <w:rFonts w:ascii="宋体" w:hAnsi="宋体" w:eastAsia="宋体" w:cs="宋体"/>
          <w:color w:val="000000"/>
          <w:szCs w:val="21"/>
          <w:u w:val="single"/>
        </w:rPr>
      </w:pPr>
      <w:r>
        <w:rPr>
          <w:rFonts w:hint="eastAsia" w:ascii="宋体" w:hAnsi="宋体" w:eastAsia="宋体" w:cs="宋体"/>
          <w:color w:val="000000"/>
          <w:szCs w:val="21"/>
          <w:u w:val="single"/>
        </w:rPr>
        <w:t>3.5 因合同一方迟延履行合同后发生不可抗力的，不能免除迟延履行方的相应责任。</w:t>
      </w:r>
    </w:p>
    <w:p w14:paraId="590DCE6B">
      <w:pPr>
        <w:spacing w:after="120" w:line="440" w:lineRule="exact"/>
        <w:ind w:firstLine="482"/>
        <w:outlineLvl w:val="0"/>
        <w:rPr>
          <w:rFonts w:ascii="宋体" w:hAnsi="宋体" w:eastAsia="宋体" w:cs="宋体"/>
          <w:b/>
          <w:color w:val="000000"/>
        </w:rPr>
      </w:pPr>
      <w:bookmarkStart w:id="1049" w:name="_Toc36797948"/>
      <w:r>
        <w:rPr>
          <w:rFonts w:hint="eastAsia" w:ascii="宋体" w:hAnsi="宋体" w:eastAsia="宋体" w:cs="宋体"/>
          <w:b/>
          <w:color w:val="000000"/>
        </w:rPr>
        <w:t>17.4 因不可抗力解除合同</w:t>
      </w:r>
      <w:bookmarkEnd w:id="1049"/>
    </w:p>
    <w:p w14:paraId="39EDF92A">
      <w:pPr>
        <w:spacing w:line="440" w:lineRule="exact"/>
        <w:ind w:firstLine="480"/>
        <w:rPr>
          <w:rFonts w:ascii="宋体" w:hAnsi="宋体" w:eastAsia="宋体" w:cs="宋体"/>
          <w:color w:val="000000"/>
          <w:szCs w:val="21"/>
        </w:rPr>
      </w:pPr>
      <w:r>
        <w:rPr>
          <w:rFonts w:hint="eastAsia" w:ascii="宋体" w:hAnsi="宋体" w:eastAsia="宋体" w:cs="宋体"/>
          <w:color w:val="000000"/>
          <w:szCs w:val="21"/>
        </w:rPr>
        <w:t>合同解除后，发包人应在商定或确定发包人应支付款项后</w:t>
      </w:r>
      <w:r>
        <w:rPr>
          <w:rFonts w:hint="eastAsia" w:ascii="宋体" w:hAnsi="宋体" w:eastAsia="宋体" w:cs="宋体"/>
          <w:szCs w:val="21"/>
          <w:u w:val="single"/>
        </w:rPr>
        <w:t>28</w:t>
      </w:r>
      <w:r>
        <w:rPr>
          <w:rFonts w:hint="eastAsia" w:ascii="宋体" w:hAnsi="宋体" w:eastAsia="宋体" w:cs="宋体"/>
          <w:color w:val="000000"/>
          <w:szCs w:val="21"/>
        </w:rPr>
        <w:t>天内完成款项的支付。</w:t>
      </w:r>
    </w:p>
    <w:p w14:paraId="63C4447E">
      <w:pPr>
        <w:keepNext/>
        <w:keepLines/>
        <w:spacing w:before="120" w:after="120" w:line="440" w:lineRule="exact"/>
        <w:ind w:firstLine="482"/>
        <w:outlineLvl w:val="3"/>
        <w:rPr>
          <w:rFonts w:ascii="宋体" w:hAnsi="宋体" w:eastAsia="宋体" w:cs="宋体"/>
          <w:b/>
          <w:color w:val="000000"/>
        </w:rPr>
      </w:pPr>
      <w:bookmarkStart w:id="1050" w:name="_Toc351203650"/>
      <w:r>
        <w:rPr>
          <w:rFonts w:hint="eastAsia" w:ascii="宋体" w:hAnsi="宋体" w:eastAsia="宋体" w:cs="宋体"/>
          <w:b/>
          <w:color w:val="000000"/>
        </w:rPr>
        <w:t>18. 保险</w:t>
      </w:r>
      <w:bookmarkEnd w:id="1050"/>
    </w:p>
    <w:bookmarkEnd w:id="1045"/>
    <w:p w14:paraId="21EF85CC">
      <w:pPr>
        <w:spacing w:after="120" w:line="440" w:lineRule="exact"/>
        <w:ind w:firstLine="482"/>
        <w:rPr>
          <w:rFonts w:ascii="宋体" w:hAnsi="宋体" w:eastAsia="宋体" w:cs="宋体"/>
          <w:b/>
          <w:color w:val="000000"/>
        </w:rPr>
      </w:pPr>
      <w:r>
        <w:rPr>
          <w:rFonts w:hint="eastAsia" w:ascii="宋体" w:hAnsi="宋体" w:eastAsia="宋体" w:cs="宋体"/>
          <w:b/>
          <w:color w:val="000000"/>
        </w:rPr>
        <w:t>18.1 工程保险</w:t>
      </w:r>
    </w:p>
    <w:p w14:paraId="6C06B073">
      <w:pPr>
        <w:spacing w:line="440" w:lineRule="exact"/>
        <w:ind w:firstLine="480"/>
        <w:rPr>
          <w:rFonts w:ascii="宋体" w:hAnsi="宋体" w:eastAsia="宋体" w:cs="宋体"/>
          <w:color w:val="000000"/>
          <w:szCs w:val="21"/>
        </w:rPr>
      </w:pPr>
      <w:r>
        <w:rPr>
          <w:rFonts w:hint="eastAsia" w:ascii="宋体" w:hAnsi="宋体" w:eastAsia="宋体" w:cs="宋体"/>
          <w:color w:val="000000"/>
          <w:szCs w:val="21"/>
        </w:rPr>
        <w:t>关于工程保险的特别约定：</w:t>
      </w:r>
      <w:r>
        <w:rPr>
          <w:rFonts w:hint="eastAsia" w:ascii="宋体" w:hAnsi="宋体" w:eastAsia="宋体" w:cs="宋体"/>
          <w:color w:val="000000"/>
          <w:szCs w:val="21"/>
          <w:u w:val="single"/>
        </w:rPr>
        <w:t>由承包人办理工程一切险和第三者责任险，并支付相应保费</w:t>
      </w:r>
      <w:r>
        <w:rPr>
          <w:rFonts w:hint="eastAsia" w:ascii="宋体" w:hAnsi="宋体" w:eastAsia="宋体" w:cs="宋体"/>
          <w:color w:val="000000"/>
          <w:szCs w:val="21"/>
        </w:rPr>
        <w:t>。</w:t>
      </w:r>
    </w:p>
    <w:p w14:paraId="16994C83">
      <w:pPr>
        <w:spacing w:after="120" w:line="440" w:lineRule="exact"/>
        <w:ind w:firstLine="482"/>
        <w:outlineLvl w:val="0"/>
        <w:rPr>
          <w:rFonts w:ascii="宋体" w:hAnsi="宋体" w:eastAsia="宋体" w:cs="宋体"/>
          <w:b/>
          <w:color w:val="000000"/>
        </w:rPr>
      </w:pPr>
      <w:bookmarkStart w:id="1051" w:name="_Toc36797949"/>
      <w:r>
        <w:rPr>
          <w:rFonts w:hint="eastAsia" w:ascii="宋体" w:hAnsi="宋体" w:eastAsia="宋体" w:cs="宋体"/>
          <w:b/>
          <w:color w:val="000000"/>
        </w:rPr>
        <w:t>18.3 其他保险</w:t>
      </w:r>
      <w:bookmarkEnd w:id="1051"/>
    </w:p>
    <w:p w14:paraId="37E800D0">
      <w:pPr>
        <w:spacing w:line="440" w:lineRule="exact"/>
        <w:ind w:firstLine="480"/>
        <w:rPr>
          <w:rFonts w:ascii="宋体" w:hAnsi="宋体" w:eastAsia="宋体" w:cs="宋体"/>
          <w:color w:val="000000"/>
          <w:szCs w:val="21"/>
        </w:rPr>
      </w:pPr>
      <w:r>
        <w:rPr>
          <w:rFonts w:hint="eastAsia" w:ascii="宋体" w:hAnsi="宋体" w:eastAsia="宋体" w:cs="宋体"/>
          <w:color w:val="000000"/>
          <w:szCs w:val="21"/>
        </w:rPr>
        <w:t>关于其他保险的约定：</w:t>
      </w:r>
    </w:p>
    <w:p w14:paraId="44960BD3">
      <w:pPr>
        <w:spacing w:line="440" w:lineRule="exact"/>
        <w:ind w:firstLine="480"/>
        <w:rPr>
          <w:rFonts w:ascii="宋体" w:hAnsi="宋体" w:eastAsia="宋体" w:cs="宋体"/>
          <w:szCs w:val="21"/>
          <w:u w:val="single"/>
        </w:rPr>
      </w:pPr>
      <w:r>
        <w:rPr>
          <w:rFonts w:hint="eastAsia" w:ascii="宋体" w:hAnsi="宋体" w:eastAsia="宋体" w:cs="宋体"/>
          <w:szCs w:val="21"/>
          <w:u w:val="single"/>
        </w:rPr>
        <w:t>（1）承包人须依法对其应投保的人身、财产（包括但不限于对本工程施工作业人员的生命财产和施工机械设备）办理保险，并支付保险费用。</w:t>
      </w:r>
    </w:p>
    <w:p w14:paraId="39580280">
      <w:pPr>
        <w:spacing w:line="440" w:lineRule="exact"/>
        <w:ind w:firstLine="480"/>
        <w:rPr>
          <w:rFonts w:ascii="宋体" w:hAnsi="宋体" w:eastAsia="宋体" w:cs="宋体"/>
          <w:szCs w:val="21"/>
          <w:u w:val="single"/>
        </w:rPr>
      </w:pPr>
      <w:r>
        <w:rPr>
          <w:rFonts w:hint="eastAsia" w:ascii="宋体" w:hAnsi="宋体" w:eastAsia="宋体" w:cs="宋体"/>
          <w:szCs w:val="21"/>
          <w:u w:val="single"/>
        </w:rPr>
        <w:t>（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p>
    <w:p w14:paraId="7789A413">
      <w:pPr>
        <w:spacing w:line="440" w:lineRule="exact"/>
        <w:ind w:firstLine="480"/>
        <w:rPr>
          <w:rFonts w:ascii="宋体" w:hAnsi="宋体" w:eastAsia="宋体" w:cs="宋体"/>
          <w:szCs w:val="21"/>
          <w:u w:val="single"/>
        </w:rPr>
      </w:pPr>
      <w:r>
        <w:rPr>
          <w:rFonts w:hint="eastAsia" w:ascii="宋体" w:hAnsi="宋体" w:eastAsia="宋体" w:cs="宋体"/>
          <w:szCs w:val="21"/>
          <w:u w:val="single"/>
        </w:rPr>
        <w:t>（3）承包人须对与本工程有关或本工程进行期间发生或本工程引致的人身伤亡及财产损坏负费用、损失、索偿或诉讼等法律责任，并须保障发包人免负该等责任，除非有关伤亡是发包人所引致的。</w:t>
      </w:r>
    </w:p>
    <w:p w14:paraId="3661FAF0">
      <w:pPr>
        <w:spacing w:line="440" w:lineRule="exact"/>
        <w:ind w:firstLine="480"/>
        <w:rPr>
          <w:rFonts w:ascii="宋体" w:hAnsi="宋体" w:eastAsia="宋体" w:cs="宋体"/>
          <w:szCs w:val="21"/>
          <w:u w:val="single"/>
        </w:rPr>
      </w:pPr>
      <w:r>
        <w:rPr>
          <w:rFonts w:hint="eastAsia" w:ascii="宋体" w:hAnsi="宋体" w:eastAsia="宋体" w:cs="宋体"/>
          <w:szCs w:val="21"/>
        </w:rPr>
        <w:t>承包人是否应为其施工设备等办理财产保险：</w:t>
      </w:r>
      <w:r>
        <w:rPr>
          <w:rFonts w:hint="eastAsia" w:ascii="宋体" w:hAnsi="宋体" w:eastAsia="宋体" w:cs="宋体"/>
          <w:szCs w:val="21"/>
          <w:u w:val="single"/>
        </w:rPr>
        <w:t>应该，费用由承包人承担。</w:t>
      </w:r>
    </w:p>
    <w:p w14:paraId="7051B283">
      <w:pPr>
        <w:spacing w:line="440" w:lineRule="exact"/>
        <w:ind w:firstLine="482"/>
        <w:rPr>
          <w:rFonts w:ascii="宋体" w:hAnsi="宋体" w:eastAsia="宋体" w:cs="宋体"/>
          <w:b/>
          <w:color w:val="000000"/>
        </w:rPr>
      </w:pPr>
      <w:r>
        <w:rPr>
          <w:rFonts w:hint="eastAsia" w:ascii="宋体" w:hAnsi="宋体" w:eastAsia="宋体" w:cs="宋体"/>
          <w:b/>
          <w:color w:val="000000"/>
        </w:rPr>
        <w:t>18.7 通知义务</w:t>
      </w:r>
    </w:p>
    <w:p w14:paraId="6A3468A0">
      <w:pPr>
        <w:spacing w:line="440" w:lineRule="exact"/>
        <w:ind w:firstLine="480"/>
        <w:rPr>
          <w:rFonts w:ascii="宋体" w:hAnsi="宋体" w:eastAsia="宋体" w:cs="宋体"/>
          <w:color w:val="000000"/>
          <w:szCs w:val="21"/>
        </w:rPr>
      </w:pPr>
      <w:r>
        <w:rPr>
          <w:rFonts w:hint="eastAsia" w:ascii="宋体" w:hAnsi="宋体" w:eastAsia="宋体" w:cs="宋体"/>
          <w:color w:val="000000"/>
          <w:szCs w:val="21"/>
        </w:rPr>
        <w:t>关于变更保险合同时的通知义务的约定：</w:t>
      </w:r>
      <w:r>
        <w:rPr>
          <w:rFonts w:hint="eastAsia" w:ascii="宋体" w:hAnsi="宋体" w:eastAsia="宋体" w:cs="宋体"/>
          <w:szCs w:val="21"/>
          <w:u w:val="single"/>
        </w:rPr>
        <w:t>按照通用合同条款执行</w:t>
      </w:r>
      <w:r>
        <w:rPr>
          <w:rFonts w:hint="eastAsia" w:ascii="宋体" w:hAnsi="宋体" w:eastAsia="宋体" w:cs="宋体"/>
          <w:color w:val="000000"/>
          <w:szCs w:val="21"/>
        </w:rPr>
        <w:t>。</w:t>
      </w:r>
    </w:p>
    <w:bookmarkEnd w:id="1017"/>
    <w:bookmarkEnd w:id="1018"/>
    <w:bookmarkEnd w:id="1019"/>
    <w:bookmarkEnd w:id="1020"/>
    <w:bookmarkEnd w:id="1021"/>
    <w:bookmarkEnd w:id="1022"/>
    <w:bookmarkEnd w:id="1023"/>
    <w:bookmarkEnd w:id="1024"/>
    <w:bookmarkEnd w:id="1025"/>
    <w:bookmarkEnd w:id="1026"/>
    <w:bookmarkEnd w:id="1027"/>
    <w:bookmarkEnd w:id="1028"/>
    <w:p w14:paraId="72A976F0">
      <w:pPr>
        <w:keepNext/>
        <w:keepLines/>
        <w:spacing w:before="120" w:after="120" w:line="440" w:lineRule="exact"/>
        <w:ind w:firstLine="482"/>
        <w:outlineLvl w:val="3"/>
        <w:rPr>
          <w:rFonts w:ascii="宋体" w:hAnsi="宋体" w:eastAsia="宋体" w:cs="宋体"/>
          <w:b/>
          <w:color w:val="000000"/>
        </w:rPr>
      </w:pPr>
      <w:bookmarkStart w:id="1052" w:name="_Toc351203651"/>
      <w:r>
        <w:rPr>
          <w:rFonts w:hint="eastAsia" w:ascii="宋体" w:hAnsi="宋体" w:eastAsia="宋体" w:cs="宋体"/>
          <w:b/>
          <w:color w:val="000000"/>
        </w:rPr>
        <w:t>20. 争议解决</w:t>
      </w:r>
      <w:bookmarkEnd w:id="1052"/>
    </w:p>
    <w:bookmarkEnd w:id="1029"/>
    <w:bookmarkEnd w:id="1030"/>
    <w:p w14:paraId="20ABAF03">
      <w:pPr>
        <w:spacing w:after="120" w:line="440" w:lineRule="exact"/>
        <w:ind w:firstLine="482"/>
        <w:outlineLvl w:val="0"/>
        <w:rPr>
          <w:rFonts w:ascii="宋体" w:hAnsi="宋体" w:eastAsia="宋体" w:cs="宋体"/>
          <w:b/>
          <w:color w:val="000000"/>
        </w:rPr>
      </w:pPr>
      <w:bookmarkStart w:id="1053" w:name="_Toc36797950"/>
      <w:r>
        <w:rPr>
          <w:rFonts w:hint="eastAsia" w:ascii="宋体" w:hAnsi="宋体" w:eastAsia="宋体" w:cs="宋体"/>
          <w:b/>
          <w:color w:val="000000"/>
        </w:rPr>
        <w:t>20.3 争</w:t>
      </w:r>
      <w:bookmarkEnd w:id="1031"/>
      <w:r>
        <w:rPr>
          <w:rFonts w:hint="eastAsia" w:ascii="宋体" w:hAnsi="宋体" w:eastAsia="宋体" w:cs="宋体"/>
          <w:b/>
          <w:color w:val="000000"/>
        </w:rPr>
        <w:t>议评审</w:t>
      </w:r>
      <w:bookmarkEnd w:id="1053"/>
    </w:p>
    <w:p w14:paraId="27953D91">
      <w:pPr>
        <w:spacing w:line="440" w:lineRule="exact"/>
        <w:ind w:left="170" w:leftChars="71" w:firstLine="360" w:firstLineChars="150"/>
        <w:rPr>
          <w:rFonts w:ascii="宋体" w:hAnsi="宋体" w:eastAsia="宋体" w:cs="宋体"/>
          <w:color w:val="000000"/>
          <w:szCs w:val="21"/>
        </w:rPr>
      </w:pPr>
      <w:r>
        <w:rPr>
          <w:rFonts w:hint="eastAsia" w:ascii="宋体" w:hAnsi="宋体" w:eastAsia="宋体" w:cs="宋体"/>
          <w:color w:val="000000"/>
          <w:szCs w:val="21"/>
        </w:rPr>
        <w:t>合同当事人是否同意将工程争议提交争议评审小组决定：</w:t>
      </w:r>
      <w:r>
        <w:rPr>
          <w:rFonts w:hint="eastAsia" w:ascii="宋体" w:hAnsi="宋体" w:eastAsia="宋体" w:cs="宋体"/>
          <w:color w:val="000000"/>
          <w:szCs w:val="21"/>
          <w:u w:val="single"/>
        </w:rPr>
        <w:t xml:space="preserve"> 否 。 </w:t>
      </w:r>
    </w:p>
    <w:p w14:paraId="2629F09E">
      <w:pPr>
        <w:spacing w:after="120" w:line="440" w:lineRule="exact"/>
        <w:ind w:firstLine="482"/>
        <w:outlineLvl w:val="0"/>
        <w:rPr>
          <w:rFonts w:ascii="宋体" w:hAnsi="宋体" w:eastAsia="宋体" w:cs="宋体"/>
          <w:b/>
          <w:color w:val="000000"/>
        </w:rPr>
      </w:pPr>
      <w:bookmarkStart w:id="1054" w:name="_Toc36797951"/>
      <w:r>
        <w:rPr>
          <w:rFonts w:hint="eastAsia" w:ascii="宋体" w:hAnsi="宋体" w:eastAsia="宋体" w:cs="宋体"/>
          <w:b/>
          <w:color w:val="000000"/>
        </w:rPr>
        <w:t>20.4仲裁或诉讼</w:t>
      </w:r>
      <w:bookmarkEnd w:id="1032"/>
      <w:bookmarkEnd w:id="1054"/>
    </w:p>
    <w:p w14:paraId="01A488A8">
      <w:pPr>
        <w:spacing w:after="120" w:line="440" w:lineRule="exact"/>
        <w:ind w:firstLine="480"/>
        <w:rPr>
          <w:rFonts w:ascii="宋体" w:hAnsi="宋体" w:eastAsia="宋体" w:cs="宋体"/>
          <w:color w:val="000000"/>
          <w:szCs w:val="21"/>
        </w:rPr>
      </w:pPr>
      <w:r>
        <w:rPr>
          <w:rFonts w:hint="eastAsia" w:ascii="宋体" w:hAnsi="宋体" w:eastAsia="宋体" w:cs="宋体"/>
          <w:color w:val="000000"/>
          <w:szCs w:val="21"/>
        </w:rPr>
        <w:t>因合同及合同有关事项发生的争议，按下列第</w:t>
      </w:r>
      <w:r>
        <w:rPr>
          <w:rFonts w:hint="eastAsia" w:ascii="宋体" w:hAnsi="宋体" w:eastAsia="宋体" w:cs="宋体"/>
          <w:color w:val="000000"/>
          <w:szCs w:val="21"/>
          <w:u w:val="single"/>
        </w:rPr>
        <w:t>（2）</w:t>
      </w:r>
      <w:r>
        <w:rPr>
          <w:rFonts w:hint="eastAsia" w:ascii="宋体" w:hAnsi="宋体" w:eastAsia="宋体" w:cs="宋体"/>
          <w:color w:val="000000"/>
          <w:szCs w:val="21"/>
        </w:rPr>
        <w:t>种方式解决：</w:t>
      </w:r>
    </w:p>
    <w:p w14:paraId="474326BE">
      <w:pPr>
        <w:spacing w:line="440" w:lineRule="exact"/>
        <w:ind w:firstLine="480"/>
        <w:rPr>
          <w:rFonts w:ascii="宋体" w:hAnsi="宋体" w:eastAsia="宋体" w:cs="宋体"/>
          <w:color w:val="000000"/>
          <w:szCs w:val="21"/>
        </w:rPr>
      </w:pPr>
      <w:r>
        <w:rPr>
          <w:rFonts w:hint="eastAsia" w:ascii="宋体" w:hAnsi="宋体" w:eastAsia="宋体" w:cs="宋体"/>
          <w:color w:val="000000"/>
          <w:szCs w:val="21"/>
        </w:rPr>
        <w:t>（1）向仲裁委员会申请仲裁；</w:t>
      </w:r>
    </w:p>
    <w:p w14:paraId="127FC71E">
      <w:pPr>
        <w:spacing w:line="440" w:lineRule="exact"/>
        <w:ind w:firstLine="480"/>
        <w:rPr>
          <w:rFonts w:ascii="宋体" w:hAnsi="宋体" w:eastAsia="宋体" w:cs="宋体"/>
          <w:color w:val="000000"/>
          <w:szCs w:val="21"/>
        </w:rPr>
      </w:pPr>
      <w:r>
        <w:rPr>
          <w:rFonts w:hint="eastAsia" w:ascii="宋体" w:hAnsi="宋体" w:eastAsia="宋体" w:cs="宋体"/>
          <w:color w:val="000000"/>
          <w:szCs w:val="21"/>
        </w:rPr>
        <w:t>（2）向</w:t>
      </w:r>
      <w:r>
        <w:rPr>
          <w:rFonts w:hint="eastAsia" w:ascii="宋体" w:hAnsi="宋体" w:eastAsia="宋体" w:cs="宋体"/>
          <w:szCs w:val="21"/>
          <w:u w:val="single"/>
        </w:rPr>
        <w:t>工程所在地</w:t>
      </w:r>
      <w:r>
        <w:rPr>
          <w:rFonts w:hint="eastAsia" w:ascii="宋体" w:hAnsi="宋体" w:eastAsia="宋体" w:cs="宋体"/>
          <w:color w:val="000000"/>
          <w:szCs w:val="21"/>
        </w:rPr>
        <w:t>人民法院起诉。</w:t>
      </w:r>
      <w:bookmarkEnd w:id="1033"/>
      <w:bookmarkEnd w:id="1034"/>
      <w:bookmarkEnd w:id="1035"/>
      <w:bookmarkEnd w:id="1036"/>
      <w:bookmarkEnd w:id="1037"/>
      <w:bookmarkEnd w:id="1038"/>
    </w:p>
    <w:p w14:paraId="4388181F">
      <w:pPr>
        <w:pageBreakBefore w:val="0"/>
        <w:kinsoku/>
        <w:wordWrap/>
        <w:overflowPunct/>
        <w:topLinePunct w:val="0"/>
        <w:bidi w:val="0"/>
        <w:spacing w:line="360" w:lineRule="auto"/>
        <w:ind w:left="0" w:leftChars="0" w:firstLine="480" w:firstLineChars="200"/>
        <w:jc w:val="left"/>
        <w:textAlignment w:val="auto"/>
        <w:rPr>
          <w:rFonts w:hint="eastAsia" w:ascii="宋体" w:hAnsi="宋体" w:eastAsia="宋体" w:cs="宋体"/>
          <w:b/>
          <w:color w:val="000000"/>
          <w:sz w:val="28"/>
          <w:szCs w:val="28"/>
        </w:rPr>
      </w:pPr>
      <w:r>
        <w:rPr>
          <w:rFonts w:hint="eastAsia" w:ascii="宋体" w:hAnsi="宋体"/>
          <w:color w:val="000000"/>
          <w:szCs w:val="21"/>
        </w:rPr>
        <w:br w:type="page"/>
      </w:r>
      <w:r>
        <w:rPr>
          <w:rFonts w:hint="eastAsia" w:ascii="宋体" w:hAnsi="宋体" w:eastAsia="宋体" w:cs="宋体"/>
          <w:b/>
          <w:color w:val="000000"/>
          <w:sz w:val="28"/>
          <w:szCs w:val="28"/>
        </w:rPr>
        <w:t>附件</w:t>
      </w:r>
      <w:bookmarkEnd w:id="107"/>
    </w:p>
    <w:p w14:paraId="6F0F2A94">
      <w:pPr>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协议书附件：</w:t>
      </w:r>
    </w:p>
    <w:p w14:paraId="56259FA4">
      <w:pPr>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附件1：承包人承揽工程项目一览表</w:t>
      </w:r>
    </w:p>
    <w:p w14:paraId="6000DE74">
      <w:pPr>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专用合同条款附件：</w:t>
      </w:r>
    </w:p>
    <w:p w14:paraId="5FE6A7EE">
      <w:pPr>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附件2：发包人供应材料设备一览表</w:t>
      </w:r>
    </w:p>
    <w:p w14:paraId="2FB3A42E">
      <w:pPr>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附件3：工程质量保修书</w:t>
      </w:r>
    </w:p>
    <w:p w14:paraId="12FE4315">
      <w:pPr>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附件4：主要建设工程文件目录</w:t>
      </w:r>
    </w:p>
    <w:p w14:paraId="5E147294">
      <w:pPr>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附件5：承包人用于本工程施工的机械设备表</w:t>
      </w:r>
    </w:p>
    <w:p w14:paraId="37A2FCBB">
      <w:pPr>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附件6：承包人主要施工管理人员表</w:t>
      </w:r>
    </w:p>
    <w:p w14:paraId="2203ECEF">
      <w:pPr>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附件7：分包人主要施工管理人员表</w:t>
      </w:r>
    </w:p>
    <w:p w14:paraId="2E734250">
      <w:pPr>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附件8：履约担保格式</w:t>
      </w:r>
    </w:p>
    <w:p w14:paraId="33C716FD">
      <w:pPr>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附件9：预付款担保格式</w:t>
      </w:r>
    </w:p>
    <w:p w14:paraId="3FD36B84">
      <w:pPr>
        <w:ind w:firstLine="600"/>
        <w:rPr>
          <w:rFonts w:hint="eastAsia" w:ascii="宋体" w:hAnsi="宋体" w:eastAsia="宋体" w:cs="宋体"/>
          <w:color w:val="000000"/>
          <w:sz w:val="24"/>
          <w:szCs w:val="24"/>
        </w:rPr>
      </w:pPr>
      <w:r>
        <w:rPr>
          <w:rFonts w:hint="eastAsia" w:ascii="宋体" w:hAnsi="宋体" w:eastAsia="宋体" w:cs="宋体"/>
          <w:color w:val="000000"/>
          <w:sz w:val="24"/>
          <w:szCs w:val="24"/>
        </w:rPr>
        <w:t>附件10：支付担保格式</w:t>
      </w:r>
    </w:p>
    <w:p w14:paraId="7138C06B">
      <w:pPr>
        <w:ind w:firstLine="600"/>
        <w:rPr>
          <w:rFonts w:hint="eastAsia" w:ascii="宋体" w:hAnsi="宋体" w:eastAsia="宋体" w:cs="宋体"/>
          <w:color w:val="000000"/>
          <w:sz w:val="24"/>
          <w:szCs w:val="24"/>
        </w:rPr>
        <w:sectPr>
          <w:headerReference r:id="rId17" w:type="first"/>
          <w:footerReference r:id="rId20" w:type="first"/>
          <w:headerReference r:id="rId15" w:type="default"/>
          <w:footerReference r:id="rId18" w:type="default"/>
          <w:headerReference r:id="rId16" w:type="even"/>
          <w:footerReference r:id="rId19" w:type="even"/>
          <w:pgSz w:w="11906" w:h="16838"/>
          <w:pgMar w:top="1418" w:right="1255" w:bottom="1418" w:left="1291" w:header="851" w:footer="992" w:gutter="0"/>
          <w:cols w:space="720" w:num="1"/>
          <w:titlePg/>
          <w:docGrid w:type="lines" w:linePitch="312" w:charSpace="0"/>
        </w:sectPr>
      </w:pPr>
      <w:r>
        <w:rPr>
          <w:rFonts w:hint="eastAsia" w:ascii="宋体" w:hAnsi="宋体" w:eastAsia="宋体" w:cs="宋体"/>
          <w:color w:val="000000"/>
          <w:sz w:val="24"/>
          <w:szCs w:val="24"/>
        </w:rPr>
        <w:t>附件11：暂估价一览表</w:t>
      </w:r>
    </w:p>
    <w:p w14:paraId="566593EA">
      <w:pPr>
        <w:spacing w:beforeLines="50" w:afterLines="50" w:line="440" w:lineRule="exact"/>
        <w:ind w:firstLine="600"/>
        <w:rPr>
          <w:rFonts w:ascii="仿宋_GB2312" w:hAnsi="Calibri" w:eastAsia="仿宋_GB2312"/>
          <w:color w:val="000000"/>
          <w:sz w:val="30"/>
          <w:szCs w:val="30"/>
        </w:rPr>
      </w:pPr>
      <w:r>
        <w:rPr>
          <w:rFonts w:hint="eastAsia" w:ascii="仿宋_GB2312" w:hAnsi="Calibri" w:eastAsia="仿宋_GB2312"/>
          <w:color w:val="000000"/>
          <w:sz w:val="30"/>
          <w:szCs w:val="30"/>
        </w:rPr>
        <w:t>附件1：</w:t>
      </w:r>
    </w:p>
    <w:p w14:paraId="55643713">
      <w:pPr>
        <w:spacing w:beforeLines="50" w:afterLines="50" w:line="440" w:lineRule="exact"/>
        <w:ind w:firstLine="480"/>
        <w:jc w:val="center"/>
        <w:rPr>
          <w:rFonts w:asciiTheme="minorEastAsia" w:hAnsiTheme="minorEastAsia" w:eastAsiaTheme="minorEastAsia"/>
          <w:color w:val="000000"/>
          <w:szCs w:val="24"/>
        </w:rPr>
      </w:pPr>
      <w:r>
        <w:rPr>
          <w:rFonts w:asciiTheme="minorEastAsia" w:hAnsiTheme="minorEastAsia" w:eastAsiaTheme="minorEastAsia"/>
          <w:color w:val="000000"/>
          <w:szCs w:val="24"/>
        </w:rPr>
        <w:t>承包人承揽工程项目一览表</w:t>
      </w:r>
    </w:p>
    <w:tbl>
      <w:tblPr>
        <w:tblStyle w:val="59"/>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7F3E74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vAlign w:val="center"/>
          </w:tcPr>
          <w:p w14:paraId="7265FCB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单位工程名称</w:t>
            </w:r>
          </w:p>
        </w:tc>
        <w:tc>
          <w:tcPr>
            <w:tcW w:w="1843" w:type="dxa"/>
            <w:tcBorders>
              <w:top w:val="single" w:color="auto" w:sz="12" w:space="0"/>
              <w:bottom w:val="double" w:color="auto" w:sz="6" w:space="0"/>
            </w:tcBorders>
            <w:vAlign w:val="center"/>
          </w:tcPr>
          <w:p w14:paraId="1409B7C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建设规模</w:t>
            </w:r>
          </w:p>
        </w:tc>
        <w:tc>
          <w:tcPr>
            <w:tcW w:w="1417" w:type="dxa"/>
            <w:tcBorders>
              <w:top w:val="single" w:color="auto" w:sz="12" w:space="0"/>
              <w:bottom w:val="double" w:color="auto" w:sz="6" w:space="0"/>
            </w:tcBorders>
            <w:vAlign w:val="center"/>
          </w:tcPr>
          <w:p w14:paraId="34D0D45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建筑面积(平方米)</w:t>
            </w:r>
          </w:p>
        </w:tc>
        <w:tc>
          <w:tcPr>
            <w:tcW w:w="2410" w:type="dxa"/>
            <w:tcBorders>
              <w:top w:val="single" w:color="auto" w:sz="12" w:space="0"/>
              <w:bottom w:val="double" w:color="auto" w:sz="6" w:space="0"/>
            </w:tcBorders>
            <w:vAlign w:val="center"/>
          </w:tcPr>
          <w:p w14:paraId="027BAA4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结构</w:t>
            </w:r>
            <w:r>
              <w:rPr>
                <w:rFonts w:hint="eastAsia" w:asciiTheme="minorEastAsia" w:hAnsiTheme="minorEastAsia" w:eastAsiaTheme="minorEastAsia"/>
                <w:color w:val="000000"/>
                <w:kern w:val="44"/>
                <w:position w:val="6"/>
                <w:szCs w:val="24"/>
              </w:rPr>
              <w:t>形式</w:t>
            </w:r>
          </w:p>
        </w:tc>
        <w:tc>
          <w:tcPr>
            <w:tcW w:w="850" w:type="dxa"/>
            <w:tcBorders>
              <w:top w:val="single" w:color="auto" w:sz="12" w:space="0"/>
              <w:bottom w:val="double" w:color="auto" w:sz="6" w:space="0"/>
            </w:tcBorders>
            <w:vAlign w:val="center"/>
          </w:tcPr>
          <w:p w14:paraId="710091E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层数</w:t>
            </w:r>
          </w:p>
        </w:tc>
        <w:tc>
          <w:tcPr>
            <w:tcW w:w="1560" w:type="dxa"/>
            <w:tcBorders>
              <w:top w:val="single" w:color="auto" w:sz="12" w:space="0"/>
              <w:bottom w:val="double" w:color="auto" w:sz="6" w:space="0"/>
            </w:tcBorders>
            <w:vAlign w:val="center"/>
          </w:tcPr>
          <w:p w14:paraId="1CACD32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生产能力</w:t>
            </w:r>
          </w:p>
        </w:tc>
        <w:tc>
          <w:tcPr>
            <w:tcW w:w="2126" w:type="dxa"/>
            <w:tcBorders>
              <w:top w:val="single" w:color="auto" w:sz="12" w:space="0"/>
              <w:bottom w:val="double" w:color="auto" w:sz="6" w:space="0"/>
            </w:tcBorders>
            <w:vAlign w:val="center"/>
          </w:tcPr>
          <w:p w14:paraId="6429103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设备安装内容</w:t>
            </w:r>
          </w:p>
        </w:tc>
        <w:tc>
          <w:tcPr>
            <w:tcW w:w="1417" w:type="dxa"/>
            <w:tcBorders>
              <w:top w:val="single" w:color="auto" w:sz="12" w:space="0"/>
              <w:bottom w:val="double" w:color="auto" w:sz="6" w:space="0"/>
            </w:tcBorders>
            <w:vAlign w:val="center"/>
          </w:tcPr>
          <w:p w14:paraId="21A596A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合同价格（元）</w:t>
            </w:r>
          </w:p>
        </w:tc>
        <w:tc>
          <w:tcPr>
            <w:tcW w:w="851" w:type="dxa"/>
            <w:tcBorders>
              <w:top w:val="single" w:color="auto" w:sz="12" w:space="0"/>
              <w:bottom w:val="double" w:color="auto" w:sz="6" w:space="0"/>
            </w:tcBorders>
            <w:vAlign w:val="center"/>
          </w:tcPr>
          <w:p w14:paraId="297EB45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开工日期</w:t>
            </w:r>
          </w:p>
        </w:tc>
        <w:tc>
          <w:tcPr>
            <w:tcW w:w="850" w:type="dxa"/>
            <w:tcBorders>
              <w:top w:val="single" w:color="auto" w:sz="12" w:space="0"/>
              <w:bottom w:val="double" w:color="auto" w:sz="6" w:space="0"/>
            </w:tcBorders>
            <w:vAlign w:val="center"/>
          </w:tcPr>
          <w:p w14:paraId="36C9950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竣工日期</w:t>
            </w:r>
          </w:p>
        </w:tc>
      </w:tr>
      <w:tr w14:paraId="2F652B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vAlign w:val="center"/>
          </w:tcPr>
          <w:p w14:paraId="6AADDCC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843" w:type="dxa"/>
            <w:tcBorders>
              <w:top w:val="double" w:color="auto" w:sz="6" w:space="0"/>
              <w:bottom w:val="single" w:color="auto" w:sz="6" w:space="0"/>
            </w:tcBorders>
            <w:vAlign w:val="center"/>
          </w:tcPr>
          <w:p w14:paraId="47E1A2A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7" w:type="dxa"/>
            <w:tcBorders>
              <w:top w:val="double" w:color="auto" w:sz="6" w:space="0"/>
              <w:bottom w:val="single" w:color="auto" w:sz="6" w:space="0"/>
            </w:tcBorders>
            <w:vAlign w:val="center"/>
          </w:tcPr>
          <w:p w14:paraId="6F08EED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2410" w:type="dxa"/>
            <w:tcBorders>
              <w:top w:val="double" w:color="auto" w:sz="6" w:space="0"/>
              <w:bottom w:val="single" w:color="auto" w:sz="6" w:space="0"/>
            </w:tcBorders>
            <w:vAlign w:val="center"/>
          </w:tcPr>
          <w:p w14:paraId="3B255E5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0" w:type="dxa"/>
            <w:tcBorders>
              <w:top w:val="double" w:color="auto" w:sz="6" w:space="0"/>
              <w:bottom w:val="single" w:color="auto" w:sz="6" w:space="0"/>
            </w:tcBorders>
            <w:vAlign w:val="center"/>
          </w:tcPr>
          <w:p w14:paraId="75A9EAC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560" w:type="dxa"/>
            <w:tcBorders>
              <w:top w:val="double" w:color="auto" w:sz="6" w:space="0"/>
              <w:bottom w:val="single" w:color="auto" w:sz="6" w:space="0"/>
            </w:tcBorders>
            <w:vAlign w:val="center"/>
          </w:tcPr>
          <w:p w14:paraId="78A7BEF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2126" w:type="dxa"/>
            <w:tcBorders>
              <w:top w:val="double" w:color="auto" w:sz="6" w:space="0"/>
              <w:bottom w:val="single" w:color="auto" w:sz="6" w:space="0"/>
            </w:tcBorders>
            <w:vAlign w:val="center"/>
          </w:tcPr>
          <w:p w14:paraId="294261B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7" w:type="dxa"/>
            <w:tcBorders>
              <w:top w:val="double" w:color="auto" w:sz="6" w:space="0"/>
              <w:bottom w:val="single" w:color="auto" w:sz="6" w:space="0"/>
            </w:tcBorders>
            <w:vAlign w:val="center"/>
          </w:tcPr>
          <w:p w14:paraId="2B2A34A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Borders>
              <w:top w:val="double" w:color="auto" w:sz="6" w:space="0"/>
              <w:bottom w:val="single" w:color="auto" w:sz="6" w:space="0"/>
            </w:tcBorders>
            <w:vAlign w:val="center"/>
          </w:tcPr>
          <w:p w14:paraId="4E1C836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0" w:type="dxa"/>
            <w:tcBorders>
              <w:top w:val="double" w:color="auto" w:sz="6" w:space="0"/>
              <w:bottom w:val="single" w:color="auto" w:sz="6" w:space="0"/>
            </w:tcBorders>
            <w:vAlign w:val="center"/>
          </w:tcPr>
          <w:p w14:paraId="05B991C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3AF656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0E7E089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843" w:type="dxa"/>
            <w:tcBorders>
              <w:top w:val="nil"/>
            </w:tcBorders>
            <w:vAlign w:val="center"/>
          </w:tcPr>
          <w:p w14:paraId="6E0619D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7" w:type="dxa"/>
            <w:tcBorders>
              <w:top w:val="nil"/>
            </w:tcBorders>
            <w:vAlign w:val="center"/>
          </w:tcPr>
          <w:p w14:paraId="36EFF74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2410" w:type="dxa"/>
            <w:tcBorders>
              <w:top w:val="nil"/>
            </w:tcBorders>
            <w:vAlign w:val="center"/>
          </w:tcPr>
          <w:p w14:paraId="783EE4A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0" w:type="dxa"/>
            <w:tcBorders>
              <w:top w:val="nil"/>
            </w:tcBorders>
            <w:vAlign w:val="center"/>
          </w:tcPr>
          <w:p w14:paraId="3CB64B2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560" w:type="dxa"/>
            <w:tcBorders>
              <w:top w:val="nil"/>
            </w:tcBorders>
            <w:vAlign w:val="center"/>
          </w:tcPr>
          <w:p w14:paraId="1A42D0D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2126" w:type="dxa"/>
            <w:tcBorders>
              <w:top w:val="nil"/>
            </w:tcBorders>
            <w:vAlign w:val="center"/>
          </w:tcPr>
          <w:p w14:paraId="09250D4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7" w:type="dxa"/>
            <w:tcBorders>
              <w:top w:val="nil"/>
            </w:tcBorders>
            <w:vAlign w:val="center"/>
          </w:tcPr>
          <w:p w14:paraId="2870635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Borders>
              <w:top w:val="nil"/>
            </w:tcBorders>
            <w:vAlign w:val="center"/>
          </w:tcPr>
          <w:p w14:paraId="22313BA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0" w:type="dxa"/>
            <w:tcBorders>
              <w:top w:val="nil"/>
            </w:tcBorders>
            <w:vAlign w:val="center"/>
          </w:tcPr>
          <w:p w14:paraId="02E2555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0CFA73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765066D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843" w:type="dxa"/>
            <w:tcBorders>
              <w:top w:val="nil"/>
            </w:tcBorders>
            <w:vAlign w:val="center"/>
          </w:tcPr>
          <w:p w14:paraId="4F91E89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7" w:type="dxa"/>
            <w:tcBorders>
              <w:top w:val="nil"/>
            </w:tcBorders>
            <w:vAlign w:val="center"/>
          </w:tcPr>
          <w:p w14:paraId="680DD4D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2410" w:type="dxa"/>
            <w:tcBorders>
              <w:top w:val="nil"/>
            </w:tcBorders>
            <w:vAlign w:val="center"/>
          </w:tcPr>
          <w:p w14:paraId="4BEA11E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0" w:type="dxa"/>
            <w:tcBorders>
              <w:top w:val="nil"/>
            </w:tcBorders>
            <w:vAlign w:val="center"/>
          </w:tcPr>
          <w:p w14:paraId="04DDF79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560" w:type="dxa"/>
            <w:tcBorders>
              <w:top w:val="nil"/>
            </w:tcBorders>
            <w:vAlign w:val="center"/>
          </w:tcPr>
          <w:p w14:paraId="58314B6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2126" w:type="dxa"/>
            <w:tcBorders>
              <w:top w:val="nil"/>
            </w:tcBorders>
            <w:vAlign w:val="center"/>
          </w:tcPr>
          <w:p w14:paraId="38B40C0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7" w:type="dxa"/>
            <w:tcBorders>
              <w:top w:val="nil"/>
            </w:tcBorders>
            <w:vAlign w:val="center"/>
          </w:tcPr>
          <w:p w14:paraId="066177A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Borders>
              <w:top w:val="nil"/>
            </w:tcBorders>
            <w:vAlign w:val="center"/>
          </w:tcPr>
          <w:p w14:paraId="0A7BF82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0" w:type="dxa"/>
            <w:tcBorders>
              <w:top w:val="nil"/>
            </w:tcBorders>
            <w:vAlign w:val="center"/>
          </w:tcPr>
          <w:p w14:paraId="6AADB6D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57866A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1D7D68D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843" w:type="dxa"/>
            <w:vAlign w:val="center"/>
          </w:tcPr>
          <w:p w14:paraId="47935B7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7" w:type="dxa"/>
            <w:vAlign w:val="center"/>
          </w:tcPr>
          <w:p w14:paraId="1F40A8F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2410" w:type="dxa"/>
            <w:vAlign w:val="center"/>
          </w:tcPr>
          <w:p w14:paraId="62976F9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0" w:type="dxa"/>
            <w:vAlign w:val="center"/>
          </w:tcPr>
          <w:p w14:paraId="5469426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560" w:type="dxa"/>
            <w:vAlign w:val="center"/>
          </w:tcPr>
          <w:p w14:paraId="5E1C0EA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2126" w:type="dxa"/>
            <w:vAlign w:val="center"/>
          </w:tcPr>
          <w:p w14:paraId="0829A6B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7" w:type="dxa"/>
            <w:vAlign w:val="center"/>
          </w:tcPr>
          <w:p w14:paraId="025CAB6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vAlign w:val="center"/>
          </w:tcPr>
          <w:p w14:paraId="7D334BC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0" w:type="dxa"/>
            <w:vAlign w:val="center"/>
          </w:tcPr>
          <w:p w14:paraId="79EC3C9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61AE9A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0CBBAA6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843" w:type="dxa"/>
            <w:tcBorders>
              <w:top w:val="nil"/>
            </w:tcBorders>
            <w:vAlign w:val="center"/>
          </w:tcPr>
          <w:p w14:paraId="69872C6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7" w:type="dxa"/>
            <w:tcBorders>
              <w:top w:val="nil"/>
            </w:tcBorders>
            <w:vAlign w:val="center"/>
          </w:tcPr>
          <w:p w14:paraId="6C90AEB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2410" w:type="dxa"/>
            <w:tcBorders>
              <w:top w:val="nil"/>
            </w:tcBorders>
            <w:vAlign w:val="center"/>
          </w:tcPr>
          <w:p w14:paraId="0FB3F7E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0" w:type="dxa"/>
            <w:tcBorders>
              <w:top w:val="nil"/>
            </w:tcBorders>
            <w:vAlign w:val="center"/>
          </w:tcPr>
          <w:p w14:paraId="4583A76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560" w:type="dxa"/>
            <w:tcBorders>
              <w:top w:val="nil"/>
            </w:tcBorders>
            <w:vAlign w:val="center"/>
          </w:tcPr>
          <w:p w14:paraId="54ED2BD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2126" w:type="dxa"/>
            <w:tcBorders>
              <w:top w:val="nil"/>
            </w:tcBorders>
            <w:vAlign w:val="center"/>
          </w:tcPr>
          <w:p w14:paraId="50E94EC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7" w:type="dxa"/>
            <w:tcBorders>
              <w:top w:val="nil"/>
            </w:tcBorders>
            <w:vAlign w:val="center"/>
          </w:tcPr>
          <w:p w14:paraId="65145C8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Borders>
              <w:top w:val="nil"/>
            </w:tcBorders>
            <w:vAlign w:val="center"/>
          </w:tcPr>
          <w:p w14:paraId="43F2134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0" w:type="dxa"/>
            <w:tcBorders>
              <w:top w:val="nil"/>
            </w:tcBorders>
            <w:vAlign w:val="center"/>
          </w:tcPr>
          <w:p w14:paraId="118C383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3E8DE5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58BD392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843" w:type="dxa"/>
            <w:vAlign w:val="center"/>
          </w:tcPr>
          <w:p w14:paraId="449E54F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7" w:type="dxa"/>
            <w:vAlign w:val="center"/>
          </w:tcPr>
          <w:p w14:paraId="6F812B0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2410" w:type="dxa"/>
            <w:vAlign w:val="center"/>
          </w:tcPr>
          <w:p w14:paraId="0798C55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0" w:type="dxa"/>
            <w:vAlign w:val="center"/>
          </w:tcPr>
          <w:p w14:paraId="61B4FF8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560" w:type="dxa"/>
            <w:vAlign w:val="center"/>
          </w:tcPr>
          <w:p w14:paraId="63D2C5F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2126" w:type="dxa"/>
            <w:vAlign w:val="center"/>
          </w:tcPr>
          <w:p w14:paraId="236DD35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7" w:type="dxa"/>
            <w:vAlign w:val="center"/>
          </w:tcPr>
          <w:p w14:paraId="127AB34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vAlign w:val="center"/>
          </w:tcPr>
          <w:p w14:paraId="60147D5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0" w:type="dxa"/>
            <w:vAlign w:val="center"/>
          </w:tcPr>
          <w:p w14:paraId="3FB9CB4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2B6623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bottom w:val="single" w:color="auto" w:sz="4" w:space="0"/>
            </w:tcBorders>
            <w:vAlign w:val="center"/>
          </w:tcPr>
          <w:p w14:paraId="77AC648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843" w:type="dxa"/>
            <w:tcBorders>
              <w:top w:val="nil"/>
              <w:bottom w:val="single" w:color="auto" w:sz="4" w:space="0"/>
            </w:tcBorders>
            <w:vAlign w:val="center"/>
          </w:tcPr>
          <w:p w14:paraId="2889EFD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7" w:type="dxa"/>
            <w:tcBorders>
              <w:top w:val="nil"/>
              <w:bottom w:val="single" w:color="auto" w:sz="4" w:space="0"/>
            </w:tcBorders>
            <w:vAlign w:val="center"/>
          </w:tcPr>
          <w:p w14:paraId="013C696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2410" w:type="dxa"/>
            <w:tcBorders>
              <w:top w:val="nil"/>
              <w:bottom w:val="single" w:color="auto" w:sz="4" w:space="0"/>
            </w:tcBorders>
            <w:vAlign w:val="center"/>
          </w:tcPr>
          <w:p w14:paraId="4362435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0" w:type="dxa"/>
            <w:tcBorders>
              <w:top w:val="nil"/>
              <w:bottom w:val="single" w:color="auto" w:sz="4" w:space="0"/>
            </w:tcBorders>
            <w:vAlign w:val="center"/>
          </w:tcPr>
          <w:p w14:paraId="566EA19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560" w:type="dxa"/>
            <w:tcBorders>
              <w:top w:val="nil"/>
              <w:bottom w:val="single" w:color="auto" w:sz="4" w:space="0"/>
            </w:tcBorders>
            <w:vAlign w:val="center"/>
          </w:tcPr>
          <w:p w14:paraId="1C7C85A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2126" w:type="dxa"/>
            <w:tcBorders>
              <w:top w:val="nil"/>
              <w:bottom w:val="single" w:color="auto" w:sz="4" w:space="0"/>
            </w:tcBorders>
            <w:vAlign w:val="center"/>
          </w:tcPr>
          <w:p w14:paraId="4172946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7" w:type="dxa"/>
            <w:tcBorders>
              <w:top w:val="nil"/>
              <w:bottom w:val="single" w:color="auto" w:sz="4" w:space="0"/>
            </w:tcBorders>
            <w:vAlign w:val="center"/>
          </w:tcPr>
          <w:p w14:paraId="641E38A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Borders>
              <w:top w:val="nil"/>
              <w:bottom w:val="single" w:color="auto" w:sz="4" w:space="0"/>
            </w:tcBorders>
            <w:vAlign w:val="center"/>
          </w:tcPr>
          <w:p w14:paraId="3395479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0" w:type="dxa"/>
            <w:tcBorders>
              <w:top w:val="nil"/>
              <w:bottom w:val="single" w:color="auto" w:sz="4" w:space="0"/>
            </w:tcBorders>
            <w:vAlign w:val="center"/>
          </w:tcPr>
          <w:p w14:paraId="0C164FC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6B096F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single" w:color="auto" w:sz="4" w:space="0"/>
              <w:left w:val="single" w:color="auto" w:sz="4" w:space="0"/>
              <w:bottom w:val="single" w:color="auto" w:sz="4" w:space="0"/>
              <w:right w:val="single" w:color="auto" w:sz="4" w:space="0"/>
            </w:tcBorders>
            <w:vAlign w:val="center"/>
          </w:tcPr>
          <w:p w14:paraId="3A8CFE3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843" w:type="dxa"/>
            <w:tcBorders>
              <w:top w:val="single" w:color="auto" w:sz="4" w:space="0"/>
              <w:left w:val="single" w:color="auto" w:sz="4" w:space="0"/>
              <w:bottom w:val="single" w:color="auto" w:sz="4" w:space="0"/>
              <w:right w:val="single" w:color="auto" w:sz="4" w:space="0"/>
            </w:tcBorders>
            <w:vAlign w:val="center"/>
          </w:tcPr>
          <w:p w14:paraId="382875B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7" w:type="dxa"/>
            <w:tcBorders>
              <w:top w:val="single" w:color="auto" w:sz="4" w:space="0"/>
              <w:left w:val="single" w:color="auto" w:sz="4" w:space="0"/>
              <w:bottom w:val="single" w:color="auto" w:sz="4" w:space="0"/>
              <w:right w:val="single" w:color="auto" w:sz="4" w:space="0"/>
            </w:tcBorders>
            <w:vAlign w:val="center"/>
          </w:tcPr>
          <w:p w14:paraId="11C58D7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2410" w:type="dxa"/>
            <w:tcBorders>
              <w:top w:val="single" w:color="auto" w:sz="4" w:space="0"/>
              <w:left w:val="single" w:color="auto" w:sz="4" w:space="0"/>
              <w:bottom w:val="single" w:color="auto" w:sz="4" w:space="0"/>
              <w:right w:val="single" w:color="auto" w:sz="4" w:space="0"/>
            </w:tcBorders>
            <w:vAlign w:val="center"/>
          </w:tcPr>
          <w:p w14:paraId="02CB061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0" w:type="dxa"/>
            <w:tcBorders>
              <w:top w:val="single" w:color="auto" w:sz="4" w:space="0"/>
              <w:left w:val="single" w:color="auto" w:sz="4" w:space="0"/>
              <w:bottom w:val="single" w:color="auto" w:sz="4" w:space="0"/>
              <w:right w:val="single" w:color="auto" w:sz="4" w:space="0"/>
            </w:tcBorders>
            <w:vAlign w:val="center"/>
          </w:tcPr>
          <w:p w14:paraId="5D6CC63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560" w:type="dxa"/>
            <w:tcBorders>
              <w:top w:val="single" w:color="auto" w:sz="4" w:space="0"/>
              <w:left w:val="single" w:color="auto" w:sz="4" w:space="0"/>
              <w:bottom w:val="single" w:color="auto" w:sz="4" w:space="0"/>
              <w:right w:val="single" w:color="auto" w:sz="4" w:space="0"/>
            </w:tcBorders>
            <w:vAlign w:val="center"/>
          </w:tcPr>
          <w:p w14:paraId="3E70C78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6F12494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7" w:type="dxa"/>
            <w:tcBorders>
              <w:top w:val="single" w:color="auto" w:sz="4" w:space="0"/>
              <w:left w:val="single" w:color="auto" w:sz="4" w:space="0"/>
              <w:bottom w:val="single" w:color="auto" w:sz="4" w:space="0"/>
              <w:right w:val="single" w:color="auto" w:sz="4" w:space="0"/>
            </w:tcBorders>
            <w:vAlign w:val="center"/>
          </w:tcPr>
          <w:p w14:paraId="0A0394A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Borders>
              <w:top w:val="single" w:color="auto" w:sz="4" w:space="0"/>
              <w:left w:val="single" w:color="auto" w:sz="4" w:space="0"/>
              <w:bottom w:val="single" w:color="auto" w:sz="4" w:space="0"/>
              <w:right w:val="single" w:color="auto" w:sz="4" w:space="0"/>
            </w:tcBorders>
            <w:vAlign w:val="center"/>
          </w:tcPr>
          <w:p w14:paraId="48BEF68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0" w:type="dxa"/>
            <w:tcBorders>
              <w:top w:val="single" w:color="auto" w:sz="4" w:space="0"/>
              <w:left w:val="single" w:color="auto" w:sz="4" w:space="0"/>
              <w:bottom w:val="single" w:color="auto" w:sz="4" w:space="0"/>
              <w:right w:val="single" w:color="auto" w:sz="4" w:space="0"/>
            </w:tcBorders>
            <w:vAlign w:val="center"/>
          </w:tcPr>
          <w:p w14:paraId="75C6EC4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40F0F8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single" w:color="auto" w:sz="4" w:space="0"/>
              <w:left w:val="single" w:color="auto" w:sz="4" w:space="0"/>
              <w:bottom w:val="single" w:color="auto" w:sz="4" w:space="0"/>
              <w:right w:val="single" w:color="auto" w:sz="4" w:space="0"/>
            </w:tcBorders>
            <w:vAlign w:val="center"/>
          </w:tcPr>
          <w:p w14:paraId="33F47FB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843" w:type="dxa"/>
            <w:tcBorders>
              <w:top w:val="single" w:color="auto" w:sz="4" w:space="0"/>
              <w:left w:val="single" w:color="auto" w:sz="4" w:space="0"/>
              <w:bottom w:val="single" w:color="auto" w:sz="4" w:space="0"/>
              <w:right w:val="single" w:color="auto" w:sz="4" w:space="0"/>
            </w:tcBorders>
            <w:vAlign w:val="center"/>
          </w:tcPr>
          <w:p w14:paraId="29EEFD5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7" w:type="dxa"/>
            <w:tcBorders>
              <w:top w:val="single" w:color="auto" w:sz="4" w:space="0"/>
              <w:left w:val="single" w:color="auto" w:sz="4" w:space="0"/>
              <w:bottom w:val="single" w:color="auto" w:sz="4" w:space="0"/>
              <w:right w:val="single" w:color="auto" w:sz="4" w:space="0"/>
            </w:tcBorders>
            <w:vAlign w:val="center"/>
          </w:tcPr>
          <w:p w14:paraId="3088F6D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2410" w:type="dxa"/>
            <w:tcBorders>
              <w:top w:val="single" w:color="auto" w:sz="4" w:space="0"/>
              <w:left w:val="single" w:color="auto" w:sz="4" w:space="0"/>
              <w:bottom w:val="single" w:color="auto" w:sz="4" w:space="0"/>
              <w:right w:val="single" w:color="auto" w:sz="4" w:space="0"/>
            </w:tcBorders>
            <w:vAlign w:val="center"/>
          </w:tcPr>
          <w:p w14:paraId="622659A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0" w:type="dxa"/>
            <w:tcBorders>
              <w:top w:val="single" w:color="auto" w:sz="4" w:space="0"/>
              <w:left w:val="single" w:color="auto" w:sz="4" w:space="0"/>
              <w:bottom w:val="single" w:color="auto" w:sz="4" w:space="0"/>
              <w:right w:val="single" w:color="auto" w:sz="4" w:space="0"/>
            </w:tcBorders>
            <w:vAlign w:val="center"/>
          </w:tcPr>
          <w:p w14:paraId="0DC6952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560" w:type="dxa"/>
            <w:tcBorders>
              <w:top w:val="single" w:color="auto" w:sz="4" w:space="0"/>
              <w:left w:val="single" w:color="auto" w:sz="4" w:space="0"/>
              <w:bottom w:val="single" w:color="auto" w:sz="4" w:space="0"/>
              <w:right w:val="single" w:color="auto" w:sz="4" w:space="0"/>
            </w:tcBorders>
            <w:vAlign w:val="center"/>
          </w:tcPr>
          <w:p w14:paraId="34BCA8A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362377F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7" w:type="dxa"/>
            <w:tcBorders>
              <w:top w:val="single" w:color="auto" w:sz="4" w:space="0"/>
              <w:left w:val="single" w:color="auto" w:sz="4" w:space="0"/>
              <w:bottom w:val="single" w:color="auto" w:sz="4" w:space="0"/>
              <w:right w:val="single" w:color="auto" w:sz="4" w:space="0"/>
            </w:tcBorders>
            <w:vAlign w:val="center"/>
          </w:tcPr>
          <w:p w14:paraId="4A6216C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Borders>
              <w:top w:val="single" w:color="auto" w:sz="4" w:space="0"/>
              <w:left w:val="single" w:color="auto" w:sz="4" w:space="0"/>
              <w:bottom w:val="single" w:color="auto" w:sz="4" w:space="0"/>
              <w:right w:val="single" w:color="auto" w:sz="4" w:space="0"/>
            </w:tcBorders>
            <w:vAlign w:val="center"/>
          </w:tcPr>
          <w:p w14:paraId="0609FA2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0" w:type="dxa"/>
            <w:tcBorders>
              <w:top w:val="single" w:color="auto" w:sz="4" w:space="0"/>
              <w:left w:val="single" w:color="auto" w:sz="4" w:space="0"/>
              <w:bottom w:val="single" w:color="auto" w:sz="4" w:space="0"/>
              <w:right w:val="single" w:color="auto" w:sz="4" w:space="0"/>
            </w:tcBorders>
            <w:vAlign w:val="center"/>
          </w:tcPr>
          <w:p w14:paraId="0245EF2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bl>
    <w:p w14:paraId="6B54CDDB">
      <w:pPr>
        <w:spacing w:line="440" w:lineRule="exact"/>
        <w:ind w:firstLine="482"/>
        <w:rPr>
          <w:rFonts w:asciiTheme="minorEastAsia" w:hAnsiTheme="minorEastAsia" w:eastAsiaTheme="minorEastAsia"/>
          <w:b/>
          <w:color w:val="000000"/>
          <w:szCs w:val="24"/>
        </w:rPr>
        <w:sectPr>
          <w:pgSz w:w="16838" w:h="11906" w:orient="landscape"/>
          <w:pgMar w:top="1554" w:right="1418" w:bottom="1531" w:left="1418" w:header="851" w:footer="992" w:gutter="0"/>
          <w:cols w:space="720" w:num="1"/>
          <w:titlePg/>
          <w:docGrid w:type="linesAndChars" w:linePitch="312" w:charSpace="0"/>
        </w:sectPr>
      </w:pPr>
    </w:p>
    <w:p w14:paraId="6ECD5D68">
      <w:pPr>
        <w:spacing w:line="440" w:lineRule="exact"/>
        <w:ind w:firstLine="480"/>
        <w:rPr>
          <w:rFonts w:asciiTheme="minorEastAsia" w:hAnsiTheme="minorEastAsia" w:eastAsiaTheme="minorEastAsia"/>
          <w:color w:val="000000"/>
          <w:szCs w:val="24"/>
        </w:rPr>
      </w:pPr>
      <w:r>
        <w:rPr>
          <w:rFonts w:asciiTheme="minorEastAsia" w:hAnsiTheme="minorEastAsia" w:eastAsiaTheme="minorEastAsia"/>
          <w:color w:val="000000"/>
          <w:szCs w:val="24"/>
        </w:rPr>
        <w:t>附</w:t>
      </w:r>
      <w:bookmarkStart w:id="1055" w:name="_Toc267261692"/>
      <w:bookmarkStart w:id="1056" w:name="_Toc296944564"/>
      <w:bookmarkStart w:id="1057" w:name="_Toc296891053"/>
      <w:bookmarkStart w:id="1058" w:name="_Toc296891265"/>
      <w:bookmarkStart w:id="1059" w:name="_Toc296503225"/>
      <w:bookmarkStart w:id="1060" w:name="_Toc296346726"/>
      <w:bookmarkStart w:id="1061" w:name="_Toc296347224"/>
      <w:r>
        <w:rPr>
          <w:rFonts w:asciiTheme="minorEastAsia" w:hAnsiTheme="minorEastAsia" w:eastAsiaTheme="minorEastAsia"/>
          <w:color w:val="000000"/>
          <w:szCs w:val="24"/>
        </w:rPr>
        <w:t>件2：</w:t>
      </w:r>
    </w:p>
    <w:bookmarkEnd w:id="1055"/>
    <w:bookmarkEnd w:id="1056"/>
    <w:bookmarkEnd w:id="1057"/>
    <w:bookmarkEnd w:id="1058"/>
    <w:bookmarkEnd w:id="1059"/>
    <w:bookmarkEnd w:id="1060"/>
    <w:bookmarkEnd w:id="1061"/>
    <w:p w14:paraId="1E7FA830">
      <w:pPr>
        <w:spacing w:beforeLines="50" w:afterLines="50" w:line="440" w:lineRule="exact"/>
        <w:ind w:firstLine="480"/>
        <w:jc w:val="center"/>
        <w:rPr>
          <w:rFonts w:asciiTheme="minorEastAsia" w:hAnsiTheme="minorEastAsia" w:eastAsiaTheme="minorEastAsia"/>
          <w:color w:val="000000"/>
          <w:szCs w:val="24"/>
        </w:rPr>
      </w:pPr>
      <w:r>
        <w:rPr>
          <w:rFonts w:asciiTheme="minorEastAsia" w:hAnsiTheme="minorEastAsia" w:eastAsiaTheme="minorEastAsia"/>
          <w:color w:val="000000"/>
          <w:szCs w:val="24"/>
        </w:rPr>
        <w:t>发包人供应材料设备一览表</w:t>
      </w:r>
    </w:p>
    <w:tbl>
      <w:tblPr>
        <w:tblStyle w:val="59"/>
        <w:tblW w:w="107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324D70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vAlign w:val="center"/>
          </w:tcPr>
          <w:p w14:paraId="545936E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序号</w:t>
            </w:r>
          </w:p>
        </w:tc>
        <w:tc>
          <w:tcPr>
            <w:tcW w:w="1276" w:type="dxa"/>
            <w:tcBorders>
              <w:top w:val="single" w:color="auto" w:sz="12" w:space="0"/>
              <w:bottom w:val="double" w:color="auto" w:sz="6" w:space="0"/>
            </w:tcBorders>
            <w:vAlign w:val="center"/>
          </w:tcPr>
          <w:p w14:paraId="69E5971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材料、</w:t>
            </w:r>
          </w:p>
          <w:p w14:paraId="49C3276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设备品种</w:t>
            </w:r>
          </w:p>
        </w:tc>
        <w:tc>
          <w:tcPr>
            <w:tcW w:w="1418" w:type="dxa"/>
            <w:tcBorders>
              <w:top w:val="single" w:color="auto" w:sz="12" w:space="0"/>
              <w:bottom w:val="double" w:color="auto" w:sz="6" w:space="0"/>
            </w:tcBorders>
            <w:vAlign w:val="center"/>
          </w:tcPr>
          <w:p w14:paraId="3CC2AC2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规格型号</w:t>
            </w:r>
          </w:p>
        </w:tc>
        <w:tc>
          <w:tcPr>
            <w:tcW w:w="940" w:type="dxa"/>
            <w:tcBorders>
              <w:top w:val="single" w:color="auto" w:sz="12" w:space="0"/>
              <w:bottom w:val="double" w:color="auto" w:sz="6" w:space="0"/>
            </w:tcBorders>
            <w:vAlign w:val="center"/>
          </w:tcPr>
          <w:p w14:paraId="5447FF5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单位</w:t>
            </w:r>
          </w:p>
        </w:tc>
        <w:tc>
          <w:tcPr>
            <w:tcW w:w="851" w:type="dxa"/>
            <w:tcBorders>
              <w:top w:val="single" w:color="auto" w:sz="12" w:space="0"/>
              <w:bottom w:val="double" w:color="auto" w:sz="6" w:space="0"/>
            </w:tcBorders>
            <w:vAlign w:val="center"/>
          </w:tcPr>
          <w:p w14:paraId="1C00E52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数量</w:t>
            </w:r>
          </w:p>
        </w:tc>
        <w:tc>
          <w:tcPr>
            <w:tcW w:w="1044" w:type="dxa"/>
            <w:tcBorders>
              <w:top w:val="single" w:color="auto" w:sz="12" w:space="0"/>
              <w:bottom w:val="double" w:color="auto" w:sz="6" w:space="0"/>
            </w:tcBorders>
            <w:vAlign w:val="center"/>
          </w:tcPr>
          <w:p w14:paraId="21BE180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单价</w:t>
            </w:r>
            <w:r>
              <w:rPr>
                <w:rFonts w:hint="eastAsia" w:asciiTheme="minorEastAsia" w:hAnsiTheme="minorEastAsia" w:eastAsiaTheme="minorEastAsia"/>
                <w:color w:val="000000"/>
                <w:kern w:val="44"/>
                <w:position w:val="6"/>
                <w:szCs w:val="24"/>
              </w:rPr>
              <w:t>（元）</w:t>
            </w:r>
          </w:p>
        </w:tc>
        <w:tc>
          <w:tcPr>
            <w:tcW w:w="992" w:type="dxa"/>
            <w:tcBorders>
              <w:top w:val="single" w:color="auto" w:sz="12" w:space="0"/>
              <w:bottom w:val="double" w:color="auto" w:sz="6" w:space="0"/>
            </w:tcBorders>
            <w:vAlign w:val="center"/>
          </w:tcPr>
          <w:p w14:paraId="7A3558F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质量等级</w:t>
            </w:r>
          </w:p>
        </w:tc>
        <w:tc>
          <w:tcPr>
            <w:tcW w:w="851" w:type="dxa"/>
            <w:tcBorders>
              <w:top w:val="single" w:color="auto" w:sz="12" w:space="0"/>
              <w:bottom w:val="double" w:color="auto" w:sz="6" w:space="0"/>
            </w:tcBorders>
            <w:vAlign w:val="center"/>
          </w:tcPr>
          <w:p w14:paraId="36DF4AD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供应时间</w:t>
            </w:r>
          </w:p>
        </w:tc>
        <w:tc>
          <w:tcPr>
            <w:tcW w:w="1487" w:type="dxa"/>
            <w:tcBorders>
              <w:top w:val="single" w:color="auto" w:sz="12" w:space="0"/>
              <w:bottom w:val="double" w:color="auto" w:sz="6" w:space="0"/>
            </w:tcBorders>
            <w:vAlign w:val="center"/>
          </w:tcPr>
          <w:p w14:paraId="5B6D70C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送达地点</w:t>
            </w:r>
          </w:p>
        </w:tc>
        <w:tc>
          <w:tcPr>
            <w:tcW w:w="992" w:type="dxa"/>
            <w:tcBorders>
              <w:top w:val="single" w:color="auto" w:sz="12" w:space="0"/>
              <w:bottom w:val="double" w:color="auto" w:sz="6" w:space="0"/>
            </w:tcBorders>
            <w:vAlign w:val="center"/>
          </w:tcPr>
          <w:p w14:paraId="2A023C7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备注</w:t>
            </w:r>
          </w:p>
        </w:tc>
      </w:tr>
      <w:tr w14:paraId="498F02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vAlign w:val="center"/>
          </w:tcPr>
          <w:p w14:paraId="4EBE054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tcBorders>
              <w:top w:val="double" w:color="auto" w:sz="6" w:space="0"/>
              <w:bottom w:val="single" w:color="auto" w:sz="6" w:space="0"/>
            </w:tcBorders>
            <w:vAlign w:val="center"/>
          </w:tcPr>
          <w:p w14:paraId="4C1CF67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Borders>
              <w:top w:val="double" w:color="auto" w:sz="6" w:space="0"/>
              <w:bottom w:val="single" w:color="auto" w:sz="6" w:space="0"/>
            </w:tcBorders>
            <w:vAlign w:val="center"/>
          </w:tcPr>
          <w:p w14:paraId="2B8A6A1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940" w:type="dxa"/>
            <w:tcBorders>
              <w:top w:val="double" w:color="auto" w:sz="6" w:space="0"/>
              <w:bottom w:val="single" w:color="auto" w:sz="6" w:space="0"/>
            </w:tcBorders>
            <w:vAlign w:val="center"/>
          </w:tcPr>
          <w:p w14:paraId="76A510C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Borders>
              <w:top w:val="double" w:color="auto" w:sz="6" w:space="0"/>
              <w:bottom w:val="single" w:color="auto" w:sz="6" w:space="0"/>
            </w:tcBorders>
            <w:vAlign w:val="center"/>
          </w:tcPr>
          <w:p w14:paraId="74C19A2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044" w:type="dxa"/>
            <w:tcBorders>
              <w:top w:val="double" w:color="auto" w:sz="6" w:space="0"/>
              <w:bottom w:val="single" w:color="auto" w:sz="6" w:space="0"/>
            </w:tcBorders>
            <w:vAlign w:val="center"/>
          </w:tcPr>
          <w:p w14:paraId="063A991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992" w:type="dxa"/>
            <w:tcBorders>
              <w:top w:val="double" w:color="auto" w:sz="6" w:space="0"/>
              <w:bottom w:val="single" w:color="auto" w:sz="6" w:space="0"/>
            </w:tcBorders>
            <w:vAlign w:val="center"/>
          </w:tcPr>
          <w:p w14:paraId="65FCBFC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Borders>
              <w:top w:val="double" w:color="auto" w:sz="6" w:space="0"/>
              <w:bottom w:val="single" w:color="auto" w:sz="6" w:space="0"/>
            </w:tcBorders>
            <w:vAlign w:val="center"/>
          </w:tcPr>
          <w:p w14:paraId="4837A41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87" w:type="dxa"/>
            <w:tcBorders>
              <w:top w:val="double" w:color="auto" w:sz="6" w:space="0"/>
              <w:bottom w:val="single" w:color="auto" w:sz="6" w:space="0"/>
            </w:tcBorders>
            <w:vAlign w:val="center"/>
          </w:tcPr>
          <w:p w14:paraId="74521EE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992" w:type="dxa"/>
            <w:tcBorders>
              <w:top w:val="double" w:color="auto" w:sz="6" w:space="0"/>
              <w:bottom w:val="single" w:color="auto" w:sz="6" w:space="0"/>
            </w:tcBorders>
            <w:vAlign w:val="center"/>
          </w:tcPr>
          <w:p w14:paraId="73EEE60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021755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vAlign w:val="center"/>
          </w:tcPr>
          <w:p w14:paraId="08AA0DD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tcBorders>
              <w:top w:val="nil"/>
            </w:tcBorders>
            <w:vAlign w:val="center"/>
          </w:tcPr>
          <w:p w14:paraId="747F1EC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Borders>
              <w:top w:val="nil"/>
            </w:tcBorders>
            <w:vAlign w:val="center"/>
          </w:tcPr>
          <w:p w14:paraId="74D93C2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940" w:type="dxa"/>
            <w:tcBorders>
              <w:top w:val="nil"/>
            </w:tcBorders>
            <w:vAlign w:val="center"/>
          </w:tcPr>
          <w:p w14:paraId="3EE280B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Borders>
              <w:top w:val="nil"/>
            </w:tcBorders>
            <w:vAlign w:val="center"/>
          </w:tcPr>
          <w:p w14:paraId="322810B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044" w:type="dxa"/>
            <w:tcBorders>
              <w:top w:val="nil"/>
            </w:tcBorders>
            <w:vAlign w:val="center"/>
          </w:tcPr>
          <w:p w14:paraId="58ACC19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992" w:type="dxa"/>
            <w:tcBorders>
              <w:top w:val="nil"/>
            </w:tcBorders>
            <w:vAlign w:val="center"/>
          </w:tcPr>
          <w:p w14:paraId="6EE1657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Borders>
              <w:top w:val="nil"/>
            </w:tcBorders>
            <w:vAlign w:val="center"/>
          </w:tcPr>
          <w:p w14:paraId="279523B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87" w:type="dxa"/>
            <w:tcBorders>
              <w:top w:val="nil"/>
            </w:tcBorders>
            <w:vAlign w:val="center"/>
          </w:tcPr>
          <w:p w14:paraId="2E55F71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992" w:type="dxa"/>
            <w:tcBorders>
              <w:top w:val="nil"/>
            </w:tcBorders>
            <w:vAlign w:val="center"/>
          </w:tcPr>
          <w:p w14:paraId="65972F6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26D531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FF9207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vAlign w:val="center"/>
          </w:tcPr>
          <w:p w14:paraId="1C2ECD1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vAlign w:val="center"/>
          </w:tcPr>
          <w:p w14:paraId="0D00127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940" w:type="dxa"/>
            <w:vAlign w:val="center"/>
          </w:tcPr>
          <w:p w14:paraId="7DD072B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vAlign w:val="center"/>
          </w:tcPr>
          <w:p w14:paraId="1E76626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044" w:type="dxa"/>
            <w:vAlign w:val="center"/>
          </w:tcPr>
          <w:p w14:paraId="431133A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992" w:type="dxa"/>
            <w:vAlign w:val="center"/>
          </w:tcPr>
          <w:p w14:paraId="4E46773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vAlign w:val="center"/>
          </w:tcPr>
          <w:p w14:paraId="57C4CF6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87" w:type="dxa"/>
            <w:vAlign w:val="center"/>
          </w:tcPr>
          <w:p w14:paraId="0D44B7A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992" w:type="dxa"/>
            <w:vAlign w:val="center"/>
          </w:tcPr>
          <w:p w14:paraId="0E4283C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6F5773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3D3BADB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vAlign w:val="center"/>
          </w:tcPr>
          <w:p w14:paraId="3E7E3B1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vAlign w:val="center"/>
          </w:tcPr>
          <w:p w14:paraId="34C25D6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940" w:type="dxa"/>
            <w:vAlign w:val="center"/>
          </w:tcPr>
          <w:p w14:paraId="4A3F4E2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vAlign w:val="center"/>
          </w:tcPr>
          <w:p w14:paraId="5ABF0B8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044" w:type="dxa"/>
            <w:vAlign w:val="center"/>
          </w:tcPr>
          <w:p w14:paraId="6B3C0E9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992" w:type="dxa"/>
            <w:vAlign w:val="center"/>
          </w:tcPr>
          <w:p w14:paraId="0CFC3D6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vAlign w:val="center"/>
          </w:tcPr>
          <w:p w14:paraId="09C669A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87" w:type="dxa"/>
            <w:vAlign w:val="center"/>
          </w:tcPr>
          <w:p w14:paraId="32FC77B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992" w:type="dxa"/>
            <w:vAlign w:val="center"/>
          </w:tcPr>
          <w:p w14:paraId="2B2C6CE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506775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15054B7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vAlign w:val="center"/>
          </w:tcPr>
          <w:p w14:paraId="65525AD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vAlign w:val="center"/>
          </w:tcPr>
          <w:p w14:paraId="2A24F54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940" w:type="dxa"/>
            <w:vAlign w:val="center"/>
          </w:tcPr>
          <w:p w14:paraId="480680A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vAlign w:val="center"/>
          </w:tcPr>
          <w:p w14:paraId="3A3F4CE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044" w:type="dxa"/>
            <w:vAlign w:val="center"/>
          </w:tcPr>
          <w:p w14:paraId="078C7E8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992" w:type="dxa"/>
            <w:vAlign w:val="center"/>
          </w:tcPr>
          <w:p w14:paraId="68173E4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vAlign w:val="center"/>
          </w:tcPr>
          <w:p w14:paraId="674D516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87" w:type="dxa"/>
            <w:vAlign w:val="center"/>
          </w:tcPr>
          <w:p w14:paraId="2AB8466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992" w:type="dxa"/>
            <w:vAlign w:val="center"/>
          </w:tcPr>
          <w:p w14:paraId="7B5AAAF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40755A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3947F8B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vAlign w:val="center"/>
          </w:tcPr>
          <w:p w14:paraId="0C97796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vAlign w:val="center"/>
          </w:tcPr>
          <w:p w14:paraId="68E8F4B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940" w:type="dxa"/>
            <w:vAlign w:val="center"/>
          </w:tcPr>
          <w:p w14:paraId="605DEE9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vAlign w:val="center"/>
          </w:tcPr>
          <w:p w14:paraId="426E2B0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044" w:type="dxa"/>
            <w:vAlign w:val="center"/>
          </w:tcPr>
          <w:p w14:paraId="24217F6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992" w:type="dxa"/>
            <w:vAlign w:val="center"/>
          </w:tcPr>
          <w:p w14:paraId="6AFDBE4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vAlign w:val="center"/>
          </w:tcPr>
          <w:p w14:paraId="72BA1DF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87" w:type="dxa"/>
            <w:vAlign w:val="center"/>
          </w:tcPr>
          <w:p w14:paraId="7C1565A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992" w:type="dxa"/>
            <w:vAlign w:val="center"/>
          </w:tcPr>
          <w:p w14:paraId="79775D1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0D3A38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3BA7675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vAlign w:val="center"/>
          </w:tcPr>
          <w:p w14:paraId="62E6512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vAlign w:val="center"/>
          </w:tcPr>
          <w:p w14:paraId="049D56E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940" w:type="dxa"/>
            <w:vAlign w:val="center"/>
          </w:tcPr>
          <w:p w14:paraId="46831A7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vAlign w:val="center"/>
          </w:tcPr>
          <w:p w14:paraId="3B9FDB3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044" w:type="dxa"/>
            <w:vAlign w:val="center"/>
          </w:tcPr>
          <w:p w14:paraId="7490554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992" w:type="dxa"/>
            <w:vAlign w:val="center"/>
          </w:tcPr>
          <w:p w14:paraId="7FD8A67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vAlign w:val="center"/>
          </w:tcPr>
          <w:p w14:paraId="2938A27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87" w:type="dxa"/>
            <w:vAlign w:val="center"/>
          </w:tcPr>
          <w:p w14:paraId="4BEDEB5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992" w:type="dxa"/>
            <w:vAlign w:val="center"/>
          </w:tcPr>
          <w:p w14:paraId="1C04A40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6A260A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1B2CD2D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vAlign w:val="center"/>
          </w:tcPr>
          <w:p w14:paraId="3A8F299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vAlign w:val="center"/>
          </w:tcPr>
          <w:p w14:paraId="694C311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940" w:type="dxa"/>
            <w:vAlign w:val="center"/>
          </w:tcPr>
          <w:p w14:paraId="5432FF3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vAlign w:val="center"/>
          </w:tcPr>
          <w:p w14:paraId="7392BD5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044" w:type="dxa"/>
            <w:vAlign w:val="center"/>
          </w:tcPr>
          <w:p w14:paraId="65E1836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992" w:type="dxa"/>
            <w:vAlign w:val="center"/>
          </w:tcPr>
          <w:p w14:paraId="161264E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vAlign w:val="center"/>
          </w:tcPr>
          <w:p w14:paraId="4F3D8BC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87" w:type="dxa"/>
            <w:vAlign w:val="center"/>
          </w:tcPr>
          <w:p w14:paraId="6B83A36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992" w:type="dxa"/>
            <w:vAlign w:val="center"/>
          </w:tcPr>
          <w:p w14:paraId="3583165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60EFBE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11663D05">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1276" w:type="dxa"/>
            <w:vAlign w:val="center"/>
          </w:tcPr>
          <w:p w14:paraId="1EC31F97">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1418" w:type="dxa"/>
            <w:vAlign w:val="center"/>
          </w:tcPr>
          <w:p w14:paraId="28940346">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940" w:type="dxa"/>
            <w:vAlign w:val="center"/>
          </w:tcPr>
          <w:p w14:paraId="308ACF24">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851" w:type="dxa"/>
            <w:vAlign w:val="center"/>
          </w:tcPr>
          <w:p w14:paraId="5EA9BCEF">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1044" w:type="dxa"/>
            <w:vAlign w:val="center"/>
          </w:tcPr>
          <w:p w14:paraId="117B57BC">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992" w:type="dxa"/>
            <w:vAlign w:val="center"/>
          </w:tcPr>
          <w:p w14:paraId="3D31F2F3">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851" w:type="dxa"/>
            <w:vAlign w:val="center"/>
          </w:tcPr>
          <w:p w14:paraId="6C4D83FC">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1487" w:type="dxa"/>
            <w:vAlign w:val="center"/>
          </w:tcPr>
          <w:p w14:paraId="4D9475F5">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992" w:type="dxa"/>
            <w:vAlign w:val="center"/>
          </w:tcPr>
          <w:p w14:paraId="5F4D6AEE">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r>
      <w:tr w14:paraId="639587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2D8BB75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vAlign w:val="center"/>
          </w:tcPr>
          <w:p w14:paraId="5F8AD45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vAlign w:val="center"/>
          </w:tcPr>
          <w:p w14:paraId="3CBCD79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940" w:type="dxa"/>
            <w:vAlign w:val="center"/>
          </w:tcPr>
          <w:p w14:paraId="0B497FE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vAlign w:val="center"/>
          </w:tcPr>
          <w:p w14:paraId="12FAC87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044" w:type="dxa"/>
            <w:vAlign w:val="center"/>
          </w:tcPr>
          <w:p w14:paraId="5E954AE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992" w:type="dxa"/>
            <w:vAlign w:val="center"/>
          </w:tcPr>
          <w:p w14:paraId="45C93F9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vAlign w:val="center"/>
          </w:tcPr>
          <w:p w14:paraId="51AC8C0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87" w:type="dxa"/>
            <w:vAlign w:val="center"/>
          </w:tcPr>
          <w:p w14:paraId="4173AE9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992" w:type="dxa"/>
            <w:vAlign w:val="center"/>
          </w:tcPr>
          <w:p w14:paraId="1EA28CB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14ED8C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4EE250BA">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1276" w:type="dxa"/>
            <w:vAlign w:val="center"/>
          </w:tcPr>
          <w:p w14:paraId="4CF08660">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1418" w:type="dxa"/>
            <w:vAlign w:val="center"/>
          </w:tcPr>
          <w:p w14:paraId="551BE809">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940" w:type="dxa"/>
            <w:vAlign w:val="center"/>
          </w:tcPr>
          <w:p w14:paraId="3B1BE7F2">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851" w:type="dxa"/>
            <w:vAlign w:val="center"/>
          </w:tcPr>
          <w:p w14:paraId="28A8CE97">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1044" w:type="dxa"/>
            <w:vAlign w:val="center"/>
          </w:tcPr>
          <w:p w14:paraId="1B6BBE11">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992" w:type="dxa"/>
            <w:vAlign w:val="center"/>
          </w:tcPr>
          <w:p w14:paraId="4130B382">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851" w:type="dxa"/>
            <w:vAlign w:val="center"/>
          </w:tcPr>
          <w:p w14:paraId="63ADEDD0">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1487" w:type="dxa"/>
            <w:vAlign w:val="center"/>
          </w:tcPr>
          <w:p w14:paraId="5A66DDC8">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992" w:type="dxa"/>
            <w:vAlign w:val="center"/>
          </w:tcPr>
          <w:p w14:paraId="3D162359">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r>
      <w:tr w14:paraId="4B54E5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3DD11F26">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1276" w:type="dxa"/>
            <w:vAlign w:val="center"/>
          </w:tcPr>
          <w:p w14:paraId="7E5E0520">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1418" w:type="dxa"/>
            <w:vAlign w:val="center"/>
          </w:tcPr>
          <w:p w14:paraId="0544BEF1">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940" w:type="dxa"/>
            <w:vAlign w:val="center"/>
          </w:tcPr>
          <w:p w14:paraId="01E8E2B3">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851" w:type="dxa"/>
            <w:vAlign w:val="center"/>
          </w:tcPr>
          <w:p w14:paraId="78ED11C6">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1044" w:type="dxa"/>
            <w:vAlign w:val="center"/>
          </w:tcPr>
          <w:p w14:paraId="224E889C">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992" w:type="dxa"/>
            <w:vAlign w:val="center"/>
          </w:tcPr>
          <w:p w14:paraId="2DE343E2">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851" w:type="dxa"/>
            <w:vAlign w:val="center"/>
          </w:tcPr>
          <w:p w14:paraId="5A4EE5C2">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1487" w:type="dxa"/>
            <w:vAlign w:val="center"/>
          </w:tcPr>
          <w:p w14:paraId="41CC3611">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992" w:type="dxa"/>
            <w:vAlign w:val="center"/>
          </w:tcPr>
          <w:p w14:paraId="1874F68D">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r>
      <w:tr w14:paraId="14B408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30DE78E4">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1276" w:type="dxa"/>
            <w:vAlign w:val="center"/>
          </w:tcPr>
          <w:p w14:paraId="57CC7F5F">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1418" w:type="dxa"/>
            <w:vAlign w:val="center"/>
          </w:tcPr>
          <w:p w14:paraId="2CD8B836">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940" w:type="dxa"/>
            <w:vAlign w:val="center"/>
          </w:tcPr>
          <w:p w14:paraId="73FDABCE">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851" w:type="dxa"/>
            <w:vAlign w:val="center"/>
          </w:tcPr>
          <w:p w14:paraId="3EEF469F">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1044" w:type="dxa"/>
            <w:vAlign w:val="center"/>
          </w:tcPr>
          <w:p w14:paraId="7F396145">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992" w:type="dxa"/>
            <w:vAlign w:val="center"/>
          </w:tcPr>
          <w:p w14:paraId="78507B63">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851" w:type="dxa"/>
            <w:vAlign w:val="center"/>
          </w:tcPr>
          <w:p w14:paraId="625D9448">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1487" w:type="dxa"/>
            <w:vAlign w:val="center"/>
          </w:tcPr>
          <w:p w14:paraId="300F9F53">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992" w:type="dxa"/>
            <w:vAlign w:val="center"/>
          </w:tcPr>
          <w:p w14:paraId="164EE975">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r>
      <w:tr w14:paraId="0BABDA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366B50C6">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1276" w:type="dxa"/>
            <w:vAlign w:val="center"/>
          </w:tcPr>
          <w:p w14:paraId="22672982">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1418" w:type="dxa"/>
            <w:vAlign w:val="center"/>
          </w:tcPr>
          <w:p w14:paraId="1004FBCC">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940" w:type="dxa"/>
            <w:vAlign w:val="center"/>
          </w:tcPr>
          <w:p w14:paraId="6D3DCBD8">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851" w:type="dxa"/>
            <w:vAlign w:val="center"/>
          </w:tcPr>
          <w:p w14:paraId="377A0D5E">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1044" w:type="dxa"/>
            <w:vAlign w:val="center"/>
          </w:tcPr>
          <w:p w14:paraId="2BE78317">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992" w:type="dxa"/>
            <w:vAlign w:val="center"/>
          </w:tcPr>
          <w:p w14:paraId="16304864">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851" w:type="dxa"/>
            <w:vAlign w:val="center"/>
          </w:tcPr>
          <w:p w14:paraId="052F14D5">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1487" w:type="dxa"/>
            <w:vAlign w:val="center"/>
          </w:tcPr>
          <w:p w14:paraId="14E2734D">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992" w:type="dxa"/>
            <w:vAlign w:val="center"/>
          </w:tcPr>
          <w:p w14:paraId="7FF94409">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r>
      <w:tr w14:paraId="06052D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5A8EE6D9">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1276" w:type="dxa"/>
            <w:vAlign w:val="center"/>
          </w:tcPr>
          <w:p w14:paraId="4566B80A">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1418" w:type="dxa"/>
            <w:vAlign w:val="center"/>
          </w:tcPr>
          <w:p w14:paraId="514F3BDE">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940" w:type="dxa"/>
            <w:vAlign w:val="center"/>
          </w:tcPr>
          <w:p w14:paraId="5CD63BD7">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851" w:type="dxa"/>
            <w:vAlign w:val="center"/>
          </w:tcPr>
          <w:p w14:paraId="1FA2D109">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1044" w:type="dxa"/>
            <w:vAlign w:val="center"/>
          </w:tcPr>
          <w:p w14:paraId="39E95FB2">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992" w:type="dxa"/>
            <w:vAlign w:val="center"/>
          </w:tcPr>
          <w:p w14:paraId="2167801D">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851" w:type="dxa"/>
            <w:vAlign w:val="center"/>
          </w:tcPr>
          <w:p w14:paraId="0B9FB1C0">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1487" w:type="dxa"/>
            <w:vAlign w:val="center"/>
          </w:tcPr>
          <w:p w14:paraId="5350DED4">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c>
          <w:tcPr>
            <w:tcW w:w="992" w:type="dxa"/>
            <w:vAlign w:val="center"/>
          </w:tcPr>
          <w:p w14:paraId="395AE5CB">
            <w:pPr>
              <w:keepLines w:val="0"/>
              <w:pageBreakBefore w:val="0"/>
              <w:widowControl/>
              <w:kinsoku/>
              <w:wordWrap/>
              <w:overflowPunct/>
              <w:topLinePunct w:val="0"/>
              <w:autoSpaceDE/>
              <w:autoSpaceDN/>
              <w:bidi w:val="0"/>
              <w:adjustRightInd w:val="0"/>
              <w:snapToGrid w:val="0"/>
              <w:ind w:left="0" w:right="0" w:firstLine="0" w:firstLineChars="0"/>
              <w:jc w:val="center"/>
              <w:textAlignment w:val="auto"/>
              <w:rPr>
                <w:rFonts w:asciiTheme="minorEastAsia" w:hAnsiTheme="minorEastAsia" w:eastAsiaTheme="minorEastAsia"/>
                <w:color w:val="000000"/>
                <w:szCs w:val="24"/>
              </w:rPr>
            </w:pPr>
          </w:p>
        </w:tc>
      </w:tr>
    </w:tbl>
    <w:p w14:paraId="01BD15AA">
      <w:pPr>
        <w:spacing w:line="440" w:lineRule="exact"/>
        <w:ind w:firstLine="480"/>
        <w:rPr>
          <w:rFonts w:asciiTheme="minorEastAsia" w:hAnsiTheme="minorEastAsia" w:eastAsiaTheme="minorEastAsia"/>
          <w:color w:val="000000"/>
          <w:szCs w:val="24"/>
        </w:rPr>
      </w:pPr>
    </w:p>
    <w:p w14:paraId="6461CCAD">
      <w:pPr>
        <w:pStyle w:val="26"/>
        <w:ind w:left="1440" w:firstLine="480"/>
      </w:pPr>
      <w:r>
        <w:br w:type="page"/>
      </w:r>
    </w:p>
    <w:p w14:paraId="5F476309">
      <w:pPr>
        <w:spacing w:line="440" w:lineRule="exact"/>
        <w:ind w:firstLine="480"/>
        <w:rPr>
          <w:rFonts w:asciiTheme="minorEastAsia" w:hAnsiTheme="minorEastAsia" w:eastAsiaTheme="minorEastAsia"/>
          <w:color w:val="000000"/>
          <w:szCs w:val="24"/>
        </w:rPr>
      </w:pPr>
      <w:r>
        <w:rPr>
          <w:rFonts w:asciiTheme="minorEastAsia" w:hAnsiTheme="minorEastAsia" w:eastAsiaTheme="minorEastAsia"/>
          <w:color w:val="000000"/>
          <w:szCs w:val="24"/>
        </w:rPr>
        <w:t>附</w:t>
      </w:r>
      <w:bookmarkStart w:id="1062" w:name="_Toc267261693"/>
      <w:bookmarkStart w:id="1063" w:name="_Toc296944565"/>
      <w:bookmarkStart w:id="1064" w:name="_Toc296891266"/>
      <w:bookmarkStart w:id="1065" w:name="_Toc296346727"/>
      <w:bookmarkStart w:id="1066" w:name="_Toc296503226"/>
      <w:bookmarkStart w:id="1067" w:name="_Toc296891054"/>
      <w:bookmarkStart w:id="1068" w:name="_Toc296347225"/>
      <w:r>
        <w:rPr>
          <w:rFonts w:asciiTheme="minorEastAsia" w:hAnsiTheme="minorEastAsia" w:eastAsiaTheme="minorEastAsia"/>
          <w:color w:val="000000"/>
          <w:szCs w:val="24"/>
        </w:rPr>
        <w:t>件3：</w:t>
      </w:r>
      <w:bookmarkEnd w:id="1062"/>
      <w:bookmarkEnd w:id="1063"/>
      <w:bookmarkEnd w:id="1064"/>
      <w:bookmarkEnd w:id="1065"/>
      <w:bookmarkEnd w:id="1066"/>
      <w:bookmarkEnd w:id="1067"/>
      <w:bookmarkEnd w:id="1068"/>
    </w:p>
    <w:p w14:paraId="643072FA">
      <w:pPr>
        <w:spacing w:beforeLines="50" w:afterLines="50" w:line="440" w:lineRule="exact"/>
        <w:ind w:firstLine="480"/>
        <w:jc w:val="center"/>
        <w:rPr>
          <w:rFonts w:asciiTheme="minorEastAsia" w:hAnsiTheme="minorEastAsia" w:eastAsiaTheme="minorEastAsia"/>
          <w:color w:val="000000"/>
          <w:szCs w:val="24"/>
        </w:rPr>
      </w:pPr>
      <w:r>
        <w:rPr>
          <w:rFonts w:asciiTheme="minorEastAsia" w:hAnsiTheme="minorEastAsia" w:eastAsiaTheme="minorEastAsia"/>
          <w:color w:val="000000"/>
          <w:szCs w:val="24"/>
        </w:rPr>
        <w:t>工程质量保修书</w:t>
      </w:r>
    </w:p>
    <w:p w14:paraId="7B39D015">
      <w:pPr>
        <w:spacing w:line="440" w:lineRule="exact"/>
        <w:ind w:firstLine="480"/>
        <w:rPr>
          <w:rFonts w:asciiTheme="minorEastAsia" w:hAnsiTheme="minorEastAsia" w:eastAsiaTheme="minorEastAsia"/>
          <w:color w:val="000000"/>
          <w:szCs w:val="24"/>
        </w:rPr>
      </w:pPr>
    </w:p>
    <w:p w14:paraId="234155E4">
      <w:pPr>
        <w:spacing w:line="440" w:lineRule="exact"/>
        <w:ind w:firstLine="480"/>
        <w:rPr>
          <w:rFonts w:asciiTheme="minorEastAsia" w:hAnsiTheme="minorEastAsia" w:eastAsiaTheme="minorEastAsia"/>
          <w:szCs w:val="24"/>
        </w:rPr>
      </w:pPr>
      <w:r>
        <w:rPr>
          <w:rFonts w:asciiTheme="minorEastAsia" w:hAnsiTheme="minorEastAsia" w:eastAsiaTheme="minorEastAsia"/>
          <w:color w:val="000000"/>
          <w:szCs w:val="24"/>
        </w:rPr>
        <w:t>发包人（全称）：</w:t>
      </w:r>
    </w:p>
    <w:p w14:paraId="6FB7DDA9">
      <w:pPr>
        <w:spacing w:line="440" w:lineRule="exact"/>
        <w:ind w:firstLine="480"/>
        <w:rPr>
          <w:rFonts w:asciiTheme="minorEastAsia" w:hAnsiTheme="minorEastAsia" w:eastAsiaTheme="minorEastAsia"/>
          <w:szCs w:val="24"/>
        </w:rPr>
      </w:pPr>
      <w:r>
        <w:rPr>
          <w:rFonts w:asciiTheme="minorEastAsia" w:hAnsiTheme="minorEastAsia" w:eastAsiaTheme="minorEastAsia"/>
          <w:szCs w:val="24"/>
        </w:rPr>
        <w:t>承包人（全称）：</w:t>
      </w:r>
    </w:p>
    <w:p w14:paraId="4C5C124F">
      <w:pPr>
        <w:spacing w:line="440" w:lineRule="exact"/>
        <w:ind w:firstLine="480"/>
        <w:rPr>
          <w:rFonts w:asciiTheme="minorEastAsia" w:hAnsiTheme="minorEastAsia" w:eastAsiaTheme="minorEastAsia"/>
          <w:szCs w:val="24"/>
        </w:rPr>
      </w:pPr>
      <w:r>
        <w:rPr>
          <w:rFonts w:asciiTheme="minorEastAsia" w:hAnsiTheme="minorEastAsia" w:eastAsiaTheme="minorEastAsia"/>
          <w:szCs w:val="24"/>
        </w:rPr>
        <w:t>　　发包人和承包人根据《中华人民共和国建筑法》和《建设工程质量管理条例》，经协商一致就（工程全称）签订工程质量保修书。</w:t>
      </w:r>
    </w:p>
    <w:p w14:paraId="7A2579C7">
      <w:pPr>
        <w:spacing w:line="440" w:lineRule="exact"/>
        <w:ind w:firstLine="480"/>
        <w:outlineLvl w:val="0"/>
        <w:rPr>
          <w:rFonts w:asciiTheme="minorEastAsia" w:hAnsiTheme="minorEastAsia" w:eastAsiaTheme="minorEastAsia"/>
          <w:szCs w:val="24"/>
        </w:rPr>
      </w:pPr>
      <w:r>
        <w:rPr>
          <w:rFonts w:asciiTheme="minorEastAsia" w:hAnsiTheme="minorEastAsia" w:eastAsiaTheme="minorEastAsia"/>
          <w:szCs w:val="24"/>
        </w:rPr>
        <w:t>一、工程质量保修范围和内容</w:t>
      </w:r>
    </w:p>
    <w:p w14:paraId="552DC6F5">
      <w:pPr>
        <w:spacing w:line="440" w:lineRule="exact"/>
        <w:ind w:firstLine="480"/>
        <w:rPr>
          <w:rFonts w:asciiTheme="minorEastAsia" w:hAnsiTheme="minorEastAsia" w:eastAsiaTheme="minorEastAsia"/>
          <w:color w:val="000000"/>
          <w:szCs w:val="24"/>
        </w:rPr>
      </w:pPr>
      <w:r>
        <w:rPr>
          <w:rFonts w:asciiTheme="minorEastAsia" w:hAnsiTheme="minorEastAsia" w:eastAsiaTheme="minorEastAsia"/>
          <w:color w:val="000000"/>
          <w:szCs w:val="24"/>
        </w:rPr>
        <w:t>　　承包人在质量保修期内，按照有关法律规定和合同约定，承担工程质量保修责任。</w:t>
      </w:r>
    </w:p>
    <w:p w14:paraId="14A94EFB">
      <w:pPr>
        <w:spacing w:line="440" w:lineRule="exact"/>
        <w:ind w:firstLine="480"/>
        <w:rPr>
          <w:rFonts w:asciiTheme="minorEastAsia" w:hAnsiTheme="minorEastAsia" w:eastAsiaTheme="minorEastAsia"/>
          <w:color w:val="000000"/>
          <w:szCs w:val="24"/>
        </w:rPr>
      </w:pPr>
      <w:r>
        <w:rPr>
          <w:rFonts w:asciiTheme="minorEastAsia" w:hAnsiTheme="minorEastAsia" w:eastAsiaTheme="minorEastAsia"/>
          <w:color w:val="000000"/>
          <w:szCs w:val="24"/>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0F312FA8">
      <w:pPr>
        <w:spacing w:line="440" w:lineRule="exact"/>
        <w:ind w:firstLine="480"/>
        <w:rPr>
          <w:rFonts w:asciiTheme="minorEastAsia" w:hAnsiTheme="minorEastAsia" w:eastAsiaTheme="minorEastAsia"/>
          <w:color w:val="000000"/>
          <w:szCs w:val="24"/>
        </w:rPr>
      </w:pPr>
      <w:r>
        <w:rPr>
          <w:rFonts w:asciiTheme="minorEastAsia" w:hAnsiTheme="minorEastAsia" w:eastAsiaTheme="minorEastAsia"/>
          <w:color w:val="000000"/>
          <w:szCs w:val="24"/>
        </w:rPr>
        <w:t>　　</w:t>
      </w:r>
      <w:r>
        <w:rPr>
          <w:rFonts w:hint="eastAsia" w:asciiTheme="minorEastAsia" w:hAnsiTheme="minorEastAsia" w:eastAsiaTheme="minorEastAsia"/>
          <w:szCs w:val="24"/>
          <w:u w:val="single"/>
        </w:rPr>
        <w:t>但凡非人为原因影响建设项目正常使用的情况均属保修内容。</w:t>
      </w:r>
      <w:r>
        <w:rPr>
          <w:rFonts w:asciiTheme="minorEastAsia" w:hAnsiTheme="minorEastAsia" w:eastAsiaTheme="minorEastAsia"/>
          <w:color w:val="000000"/>
          <w:szCs w:val="24"/>
        </w:rPr>
        <w:t>。</w:t>
      </w:r>
    </w:p>
    <w:p w14:paraId="4AD927F9">
      <w:pPr>
        <w:spacing w:line="440" w:lineRule="exact"/>
        <w:ind w:firstLine="480"/>
        <w:outlineLvl w:val="0"/>
        <w:rPr>
          <w:rFonts w:asciiTheme="minorEastAsia" w:hAnsiTheme="minorEastAsia" w:eastAsiaTheme="minorEastAsia"/>
          <w:color w:val="000000"/>
          <w:szCs w:val="24"/>
        </w:rPr>
      </w:pPr>
      <w:r>
        <w:rPr>
          <w:rFonts w:asciiTheme="minorEastAsia" w:hAnsiTheme="minorEastAsia" w:eastAsiaTheme="minorEastAsia"/>
          <w:color w:val="000000"/>
          <w:szCs w:val="24"/>
        </w:rPr>
        <w:t>二、质量保修期</w:t>
      </w:r>
    </w:p>
    <w:p w14:paraId="22F0FC5C">
      <w:pPr>
        <w:spacing w:line="440" w:lineRule="exact"/>
        <w:ind w:firstLine="480"/>
        <w:rPr>
          <w:rFonts w:asciiTheme="minorEastAsia" w:hAnsiTheme="minorEastAsia" w:eastAsiaTheme="minorEastAsia"/>
          <w:color w:val="000000"/>
          <w:szCs w:val="24"/>
        </w:rPr>
      </w:pPr>
      <w:r>
        <w:rPr>
          <w:rFonts w:asciiTheme="minorEastAsia" w:hAnsiTheme="minorEastAsia" w:eastAsiaTheme="minorEastAsia"/>
          <w:color w:val="000000"/>
          <w:szCs w:val="24"/>
        </w:rPr>
        <w:t>根据《建设工程质量管理条例》及有关规定，工程的质量保修期如下：</w:t>
      </w:r>
    </w:p>
    <w:p w14:paraId="7FB124AC">
      <w:pPr>
        <w:spacing w:line="440" w:lineRule="exact"/>
        <w:ind w:firstLine="480"/>
        <w:rPr>
          <w:rFonts w:asciiTheme="minorEastAsia" w:hAnsiTheme="minorEastAsia" w:eastAsiaTheme="minorEastAsia"/>
          <w:szCs w:val="24"/>
        </w:rPr>
      </w:pPr>
      <w:r>
        <w:rPr>
          <w:rFonts w:hint="eastAsia" w:asciiTheme="minorEastAsia" w:hAnsiTheme="minorEastAsia" w:eastAsiaTheme="minorEastAsia"/>
          <w:szCs w:val="24"/>
        </w:rPr>
        <w:t>1</w:t>
      </w:r>
      <w:r>
        <w:rPr>
          <w:rFonts w:hint="eastAsia" w:asciiTheme="minorEastAsia" w:hAnsiTheme="minorEastAsia" w:eastAsiaTheme="minorEastAsia"/>
          <w:color w:val="000000"/>
          <w:szCs w:val="24"/>
        </w:rPr>
        <w:t>．</w:t>
      </w:r>
      <w:r>
        <w:rPr>
          <w:rFonts w:hint="eastAsia" w:asciiTheme="minorEastAsia" w:hAnsiTheme="minorEastAsia" w:eastAsiaTheme="minorEastAsia"/>
          <w:szCs w:val="24"/>
        </w:rPr>
        <w:t>地基基础工程和主体结构工程为设计文件规定的工程合理使用年限；</w:t>
      </w:r>
    </w:p>
    <w:p w14:paraId="0C632D7C">
      <w:pPr>
        <w:spacing w:line="440" w:lineRule="exact"/>
        <w:ind w:firstLine="480"/>
        <w:rPr>
          <w:rFonts w:asciiTheme="minorEastAsia" w:hAnsiTheme="minorEastAsia" w:eastAsiaTheme="minorEastAsia"/>
          <w:color w:val="000000"/>
          <w:szCs w:val="24"/>
        </w:rPr>
      </w:pPr>
      <w:r>
        <w:rPr>
          <w:rFonts w:hint="eastAsia" w:asciiTheme="minorEastAsia" w:hAnsiTheme="minorEastAsia" w:eastAsiaTheme="minorEastAsia"/>
          <w:color w:val="000000"/>
          <w:szCs w:val="24"/>
        </w:rPr>
        <w:t>2</w:t>
      </w:r>
      <w:r>
        <w:rPr>
          <w:rFonts w:hint="eastAsia" w:asciiTheme="minorEastAsia" w:hAnsiTheme="minorEastAsia" w:eastAsiaTheme="minorEastAsia"/>
          <w:szCs w:val="24"/>
        </w:rPr>
        <w:t>．</w:t>
      </w:r>
      <w:r>
        <w:rPr>
          <w:rFonts w:asciiTheme="minorEastAsia" w:hAnsiTheme="minorEastAsia" w:eastAsiaTheme="minorEastAsia"/>
          <w:color w:val="000000"/>
          <w:szCs w:val="24"/>
        </w:rPr>
        <w:t>屋面防水工程、有防水要求的卫生间、房间和外墙面的防渗</w:t>
      </w:r>
      <w:r>
        <w:rPr>
          <w:rFonts w:hint="eastAsia" w:asciiTheme="minorEastAsia" w:hAnsiTheme="minorEastAsia" w:eastAsiaTheme="minorEastAsia"/>
          <w:color w:val="000000"/>
          <w:szCs w:val="24"/>
        </w:rPr>
        <w:t>为</w:t>
      </w:r>
      <w:r>
        <w:rPr>
          <w:rFonts w:hint="eastAsia" w:asciiTheme="minorEastAsia" w:hAnsiTheme="minorEastAsia" w:eastAsiaTheme="minorEastAsia"/>
          <w:color w:val="000000"/>
          <w:szCs w:val="24"/>
          <w:u w:val="single"/>
        </w:rPr>
        <w:t xml:space="preserve">  5  </w:t>
      </w:r>
      <w:r>
        <w:rPr>
          <w:rFonts w:asciiTheme="minorEastAsia" w:hAnsiTheme="minorEastAsia" w:eastAsiaTheme="minorEastAsia"/>
          <w:color w:val="000000"/>
          <w:szCs w:val="24"/>
        </w:rPr>
        <w:t>年；</w:t>
      </w:r>
    </w:p>
    <w:p w14:paraId="5E4F7D0C">
      <w:pPr>
        <w:spacing w:line="440" w:lineRule="exact"/>
        <w:ind w:firstLine="480"/>
        <w:rPr>
          <w:rFonts w:asciiTheme="minorEastAsia" w:hAnsiTheme="minorEastAsia" w:eastAsiaTheme="minorEastAsia"/>
          <w:color w:val="000000"/>
          <w:szCs w:val="24"/>
        </w:rPr>
      </w:pPr>
      <w:r>
        <w:rPr>
          <w:rFonts w:hint="eastAsia" w:asciiTheme="minorEastAsia" w:hAnsiTheme="minorEastAsia" w:eastAsiaTheme="minorEastAsia"/>
          <w:color w:val="000000"/>
          <w:szCs w:val="24"/>
        </w:rPr>
        <w:t>3</w:t>
      </w:r>
      <w:r>
        <w:rPr>
          <w:rFonts w:hint="eastAsia" w:asciiTheme="minorEastAsia" w:hAnsiTheme="minorEastAsia" w:eastAsiaTheme="minorEastAsia"/>
          <w:szCs w:val="24"/>
        </w:rPr>
        <w:t>．</w:t>
      </w:r>
      <w:r>
        <w:rPr>
          <w:rFonts w:asciiTheme="minorEastAsia" w:hAnsiTheme="minorEastAsia" w:eastAsiaTheme="minorEastAsia"/>
          <w:color w:val="000000"/>
          <w:szCs w:val="24"/>
        </w:rPr>
        <w:t>装修工程为</w:t>
      </w:r>
      <w:r>
        <w:rPr>
          <w:rFonts w:hint="eastAsia" w:asciiTheme="minorEastAsia" w:hAnsiTheme="minorEastAsia" w:eastAsiaTheme="minorEastAsia"/>
          <w:color w:val="000000"/>
          <w:szCs w:val="24"/>
          <w:u w:val="single"/>
        </w:rPr>
        <w:t>2</w:t>
      </w:r>
      <w:r>
        <w:rPr>
          <w:rFonts w:asciiTheme="minorEastAsia" w:hAnsiTheme="minorEastAsia" w:eastAsiaTheme="minorEastAsia"/>
          <w:color w:val="000000"/>
          <w:szCs w:val="24"/>
        </w:rPr>
        <w:t>年；</w:t>
      </w:r>
    </w:p>
    <w:p w14:paraId="6B3A1098">
      <w:pPr>
        <w:spacing w:line="440" w:lineRule="exact"/>
        <w:ind w:firstLine="480"/>
        <w:rPr>
          <w:rFonts w:asciiTheme="minorEastAsia" w:hAnsiTheme="minorEastAsia" w:eastAsiaTheme="minorEastAsia"/>
          <w:color w:val="000000"/>
          <w:szCs w:val="24"/>
        </w:rPr>
      </w:pPr>
      <w:r>
        <w:rPr>
          <w:rFonts w:hint="eastAsia" w:asciiTheme="minorEastAsia" w:hAnsiTheme="minorEastAsia" w:eastAsiaTheme="minorEastAsia"/>
          <w:color w:val="000000"/>
          <w:szCs w:val="24"/>
        </w:rPr>
        <w:t>4</w:t>
      </w:r>
      <w:r>
        <w:rPr>
          <w:rFonts w:hint="eastAsia" w:asciiTheme="minorEastAsia" w:hAnsiTheme="minorEastAsia" w:eastAsiaTheme="minorEastAsia"/>
          <w:szCs w:val="24"/>
        </w:rPr>
        <w:t>．</w:t>
      </w:r>
      <w:r>
        <w:rPr>
          <w:rFonts w:asciiTheme="minorEastAsia" w:hAnsiTheme="minorEastAsia" w:eastAsiaTheme="minorEastAsia"/>
          <w:color w:val="000000"/>
          <w:szCs w:val="24"/>
        </w:rPr>
        <w:t>电气管线、给排水管道、设备安装工程为</w:t>
      </w:r>
      <w:r>
        <w:rPr>
          <w:rFonts w:hint="eastAsia" w:asciiTheme="minorEastAsia" w:hAnsiTheme="minorEastAsia" w:eastAsiaTheme="minorEastAsia"/>
          <w:color w:val="000000"/>
          <w:szCs w:val="24"/>
          <w:u w:val="single"/>
        </w:rPr>
        <w:t>2</w:t>
      </w:r>
      <w:r>
        <w:rPr>
          <w:rFonts w:asciiTheme="minorEastAsia" w:hAnsiTheme="minorEastAsia" w:eastAsiaTheme="minorEastAsia"/>
          <w:color w:val="000000"/>
          <w:szCs w:val="24"/>
        </w:rPr>
        <w:t>年；</w:t>
      </w:r>
    </w:p>
    <w:p w14:paraId="11DCEDCA">
      <w:pPr>
        <w:spacing w:line="440" w:lineRule="exact"/>
        <w:ind w:firstLine="480"/>
        <w:rPr>
          <w:rFonts w:asciiTheme="minorEastAsia" w:hAnsiTheme="minorEastAsia" w:eastAsiaTheme="minorEastAsia"/>
          <w:color w:val="000000"/>
          <w:szCs w:val="24"/>
        </w:rPr>
      </w:pPr>
      <w:r>
        <w:rPr>
          <w:rFonts w:hint="eastAsia" w:asciiTheme="minorEastAsia" w:hAnsiTheme="minorEastAsia" w:eastAsiaTheme="minorEastAsia"/>
          <w:color w:val="000000"/>
          <w:szCs w:val="24"/>
        </w:rPr>
        <w:t>5</w:t>
      </w:r>
      <w:r>
        <w:rPr>
          <w:rFonts w:hint="eastAsia" w:asciiTheme="minorEastAsia" w:hAnsiTheme="minorEastAsia" w:eastAsiaTheme="minorEastAsia"/>
          <w:szCs w:val="24"/>
        </w:rPr>
        <w:t>．</w:t>
      </w:r>
      <w:r>
        <w:rPr>
          <w:rFonts w:asciiTheme="minorEastAsia" w:hAnsiTheme="minorEastAsia" w:eastAsiaTheme="minorEastAsia"/>
          <w:color w:val="000000"/>
          <w:szCs w:val="24"/>
        </w:rPr>
        <w:t>供热与供冷系统为</w:t>
      </w:r>
      <w:r>
        <w:rPr>
          <w:rFonts w:hint="eastAsia" w:asciiTheme="minorEastAsia" w:hAnsiTheme="minorEastAsia" w:eastAsiaTheme="minorEastAsia"/>
          <w:color w:val="000000"/>
          <w:szCs w:val="24"/>
          <w:u w:val="single"/>
        </w:rPr>
        <w:t>2</w:t>
      </w:r>
      <w:r>
        <w:rPr>
          <w:rFonts w:asciiTheme="minorEastAsia" w:hAnsiTheme="minorEastAsia" w:eastAsiaTheme="minorEastAsia"/>
          <w:color w:val="000000"/>
          <w:szCs w:val="24"/>
        </w:rPr>
        <w:t>个采暖期、供冷期；</w:t>
      </w:r>
    </w:p>
    <w:p w14:paraId="306DF6B7">
      <w:pPr>
        <w:spacing w:line="440" w:lineRule="exact"/>
        <w:ind w:firstLine="480"/>
        <w:rPr>
          <w:rFonts w:asciiTheme="minorEastAsia" w:hAnsiTheme="minorEastAsia" w:eastAsiaTheme="minorEastAsia"/>
          <w:color w:val="000000"/>
          <w:szCs w:val="24"/>
        </w:rPr>
      </w:pPr>
      <w:r>
        <w:rPr>
          <w:rFonts w:hint="eastAsia" w:asciiTheme="minorEastAsia" w:hAnsiTheme="minorEastAsia" w:eastAsiaTheme="minorEastAsia"/>
          <w:color w:val="000000"/>
          <w:szCs w:val="24"/>
        </w:rPr>
        <w:t>6</w:t>
      </w:r>
      <w:r>
        <w:rPr>
          <w:rFonts w:hint="eastAsia" w:asciiTheme="minorEastAsia" w:hAnsiTheme="minorEastAsia" w:eastAsiaTheme="minorEastAsia"/>
          <w:szCs w:val="24"/>
        </w:rPr>
        <w:t>．</w:t>
      </w:r>
      <w:r>
        <w:rPr>
          <w:rFonts w:asciiTheme="minorEastAsia" w:hAnsiTheme="minorEastAsia" w:eastAsiaTheme="minorEastAsia"/>
          <w:color w:val="000000"/>
          <w:szCs w:val="24"/>
        </w:rPr>
        <w:t>住宅小区内的给排水设施、道路等配套工程为</w:t>
      </w:r>
      <w:r>
        <w:rPr>
          <w:rFonts w:hint="eastAsia" w:asciiTheme="minorEastAsia" w:hAnsiTheme="minorEastAsia" w:eastAsiaTheme="minorEastAsia"/>
          <w:color w:val="000000"/>
          <w:szCs w:val="24"/>
          <w:u w:val="single"/>
        </w:rPr>
        <w:t>2</w:t>
      </w:r>
      <w:r>
        <w:rPr>
          <w:rFonts w:asciiTheme="minorEastAsia" w:hAnsiTheme="minorEastAsia" w:eastAsiaTheme="minorEastAsia"/>
          <w:color w:val="000000"/>
          <w:szCs w:val="24"/>
        </w:rPr>
        <w:t>年；</w:t>
      </w:r>
    </w:p>
    <w:p w14:paraId="29BE45AD">
      <w:pPr>
        <w:spacing w:line="440" w:lineRule="exact"/>
        <w:ind w:firstLine="480"/>
        <w:rPr>
          <w:rFonts w:asciiTheme="minorEastAsia" w:hAnsiTheme="minorEastAsia" w:eastAsiaTheme="minorEastAsia"/>
          <w:color w:val="000000"/>
          <w:szCs w:val="24"/>
        </w:rPr>
      </w:pPr>
      <w:r>
        <w:rPr>
          <w:rFonts w:hint="eastAsia" w:asciiTheme="minorEastAsia" w:hAnsiTheme="minorEastAsia" w:eastAsiaTheme="minorEastAsia"/>
          <w:color w:val="000000"/>
          <w:szCs w:val="24"/>
          <w:highlight w:val="yellow"/>
        </w:rPr>
        <w:t>7</w:t>
      </w:r>
      <w:r>
        <w:rPr>
          <w:rFonts w:hint="eastAsia" w:asciiTheme="minorEastAsia" w:hAnsiTheme="minorEastAsia" w:eastAsiaTheme="minorEastAsia"/>
          <w:szCs w:val="24"/>
          <w:highlight w:val="yellow"/>
        </w:rPr>
        <w:t>．</w:t>
      </w:r>
      <w:r>
        <w:rPr>
          <w:rFonts w:asciiTheme="minorEastAsia" w:hAnsiTheme="minorEastAsia" w:eastAsiaTheme="minorEastAsia"/>
          <w:color w:val="000000"/>
          <w:szCs w:val="24"/>
          <w:highlight w:val="yellow"/>
        </w:rPr>
        <w:t>其他项目保修期限约定如下：</w:t>
      </w:r>
      <w:r>
        <w:rPr>
          <w:rFonts w:hint="eastAsia" w:asciiTheme="minorEastAsia" w:hAnsiTheme="minorEastAsia" w:eastAsiaTheme="minorEastAsia"/>
          <w:color w:val="000000"/>
          <w:szCs w:val="24"/>
          <w:highlight w:val="yellow"/>
          <w:u w:val="single"/>
        </w:rPr>
        <w:t xml:space="preserve">  </w:t>
      </w:r>
      <w:r>
        <w:rPr>
          <w:rFonts w:hint="eastAsia" w:asciiTheme="minorEastAsia" w:hAnsiTheme="minorEastAsia" w:eastAsiaTheme="minorEastAsia"/>
          <w:color w:val="000000"/>
          <w:szCs w:val="24"/>
          <w:highlight w:val="yellow"/>
          <w:u w:val="single"/>
          <w:lang w:val="en-US" w:eastAsia="zh-CN"/>
        </w:rPr>
        <w:t xml:space="preserve">/   </w:t>
      </w:r>
      <w:r>
        <w:rPr>
          <w:rFonts w:asciiTheme="minorEastAsia" w:hAnsiTheme="minorEastAsia" w:eastAsiaTheme="minorEastAsia"/>
          <w:color w:val="000000"/>
          <w:szCs w:val="24"/>
          <w:highlight w:val="yellow"/>
        </w:rPr>
        <w:t>。</w:t>
      </w:r>
    </w:p>
    <w:p w14:paraId="3A71073E">
      <w:pPr>
        <w:spacing w:line="440" w:lineRule="exact"/>
        <w:ind w:firstLine="480"/>
        <w:rPr>
          <w:rFonts w:asciiTheme="minorEastAsia" w:hAnsiTheme="minorEastAsia" w:eastAsiaTheme="minorEastAsia"/>
          <w:color w:val="000000"/>
          <w:szCs w:val="24"/>
        </w:rPr>
      </w:pPr>
      <w:r>
        <w:rPr>
          <w:rFonts w:asciiTheme="minorEastAsia" w:hAnsiTheme="minorEastAsia" w:eastAsiaTheme="minorEastAsia"/>
          <w:color w:val="000000"/>
          <w:szCs w:val="24"/>
        </w:rPr>
        <w:t>　　质量保修期自工程竣工验收合格之日起计算。</w:t>
      </w:r>
    </w:p>
    <w:p w14:paraId="5131AFB7">
      <w:pPr>
        <w:spacing w:line="440" w:lineRule="exact"/>
        <w:ind w:firstLine="480"/>
        <w:outlineLvl w:val="0"/>
        <w:rPr>
          <w:rFonts w:asciiTheme="minorEastAsia" w:hAnsiTheme="minorEastAsia" w:eastAsiaTheme="minorEastAsia"/>
          <w:color w:val="000000"/>
          <w:szCs w:val="24"/>
        </w:rPr>
      </w:pPr>
      <w:r>
        <w:rPr>
          <w:rFonts w:asciiTheme="minorEastAsia" w:hAnsiTheme="minorEastAsia" w:eastAsiaTheme="minorEastAsia"/>
          <w:color w:val="000000"/>
          <w:szCs w:val="24"/>
        </w:rPr>
        <w:t>三、缺陷责任期</w:t>
      </w:r>
    </w:p>
    <w:p w14:paraId="42715D84">
      <w:pPr>
        <w:spacing w:line="440" w:lineRule="exact"/>
        <w:ind w:firstLine="480"/>
        <w:rPr>
          <w:rFonts w:asciiTheme="minorEastAsia" w:hAnsiTheme="minorEastAsia" w:eastAsiaTheme="minorEastAsia"/>
          <w:color w:val="000000"/>
          <w:szCs w:val="24"/>
        </w:rPr>
      </w:pPr>
      <w:r>
        <w:rPr>
          <w:rFonts w:asciiTheme="minorEastAsia" w:hAnsiTheme="minorEastAsia" w:eastAsiaTheme="minorEastAsia"/>
          <w:color w:val="000000"/>
          <w:szCs w:val="24"/>
        </w:rPr>
        <w:t>工程缺陷责任期为</w:t>
      </w:r>
      <w:r>
        <w:rPr>
          <w:rFonts w:hint="eastAsia" w:asciiTheme="minorEastAsia" w:hAnsiTheme="minorEastAsia" w:eastAsiaTheme="minorEastAsia"/>
          <w:color w:val="000000"/>
          <w:szCs w:val="24"/>
          <w:u w:val="single"/>
        </w:rPr>
        <w:t>24</w:t>
      </w:r>
      <w:r>
        <w:rPr>
          <w:rFonts w:asciiTheme="minorEastAsia" w:hAnsiTheme="minorEastAsia" w:eastAsiaTheme="minorEastAsia"/>
          <w:color w:val="000000"/>
          <w:szCs w:val="24"/>
        </w:rPr>
        <w:t>个月，缺陷责任期自工程</w:t>
      </w:r>
      <w:r>
        <w:rPr>
          <w:rFonts w:hint="eastAsia" w:asciiTheme="minorEastAsia" w:hAnsiTheme="minorEastAsia" w:eastAsiaTheme="minorEastAsia"/>
          <w:color w:val="000000"/>
          <w:szCs w:val="24"/>
        </w:rPr>
        <w:t>通过竣工验收</w:t>
      </w:r>
      <w:r>
        <w:rPr>
          <w:rFonts w:asciiTheme="minorEastAsia" w:hAnsiTheme="minorEastAsia" w:eastAsiaTheme="minorEastAsia"/>
          <w:color w:val="000000"/>
          <w:szCs w:val="24"/>
        </w:rPr>
        <w:t>之日起计算。单位工程先于全部工程进行验收，单位工程缺陷责任期自单位工程验收合格之日起算。</w:t>
      </w:r>
    </w:p>
    <w:p w14:paraId="34C23CB3">
      <w:pPr>
        <w:spacing w:line="440" w:lineRule="exact"/>
        <w:ind w:firstLine="480"/>
        <w:rPr>
          <w:rFonts w:asciiTheme="minorEastAsia" w:hAnsiTheme="minorEastAsia" w:eastAsiaTheme="minorEastAsia"/>
          <w:color w:val="000000"/>
          <w:szCs w:val="24"/>
        </w:rPr>
      </w:pPr>
      <w:r>
        <w:rPr>
          <w:rFonts w:asciiTheme="minorEastAsia" w:hAnsiTheme="minorEastAsia" w:eastAsiaTheme="minorEastAsia"/>
          <w:color w:val="000000"/>
          <w:szCs w:val="24"/>
        </w:rPr>
        <w:t>缺陷责任期终止后，发包人应退还剩余的质量保证金。</w:t>
      </w:r>
    </w:p>
    <w:p w14:paraId="596DEB08">
      <w:pPr>
        <w:spacing w:line="440" w:lineRule="exact"/>
        <w:ind w:firstLine="480"/>
        <w:outlineLvl w:val="0"/>
        <w:rPr>
          <w:rFonts w:asciiTheme="minorEastAsia" w:hAnsiTheme="minorEastAsia" w:eastAsiaTheme="minorEastAsia"/>
          <w:color w:val="000000"/>
          <w:szCs w:val="24"/>
        </w:rPr>
      </w:pPr>
      <w:r>
        <w:rPr>
          <w:rFonts w:asciiTheme="minorEastAsia" w:hAnsiTheme="minorEastAsia" w:eastAsiaTheme="minorEastAsia"/>
          <w:color w:val="000000"/>
          <w:szCs w:val="24"/>
        </w:rPr>
        <w:t>四、质量保修责任</w:t>
      </w:r>
    </w:p>
    <w:p w14:paraId="33FB465E">
      <w:pPr>
        <w:spacing w:line="440" w:lineRule="exact"/>
        <w:ind w:left="120" w:leftChars="50" w:firstLine="491" w:firstLineChars="205"/>
        <w:rPr>
          <w:rFonts w:asciiTheme="minorEastAsia" w:hAnsiTheme="minorEastAsia" w:eastAsiaTheme="minorEastAsia"/>
          <w:color w:val="000000"/>
          <w:szCs w:val="24"/>
        </w:rPr>
      </w:pPr>
      <w:r>
        <w:rPr>
          <w:rFonts w:hint="eastAsia" w:asciiTheme="minorEastAsia" w:hAnsiTheme="minorEastAsia" w:eastAsiaTheme="minorEastAsia"/>
          <w:color w:val="000000"/>
          <w:szCs w:val="24"/>
        </w:rPr>
        <w:t>1</w:t>
      </w:r>
      <w:r>
        <w:rPr>
          <w:rFonts w:hint="eastAsia" w:asciiTheme="minorEastAsia" w:hAnsiTheme="minorEastAsia" w:eastAsiaTheme="minorEastAsia"/>
          <w:szCs w:val="24"/>
        </w:rPr>
        <w:t>．</w:t>
      </w:r>
      <w:r>
        <w:rPr>
          <w:rFonts w:asciiTheme="minorEastAsia" w:hAnsiTheme="minorEastAsia" w:eastAsiaTheme="minorEastAsia"/>
          <w:color w:val="000000"/>
          <w:szCs w:val="24"/>
        </w:rPr>
        <w:t>属于保修范围、内容的项目，承包人应当在接到保修通知之日起7天内派人保修。承包人不在约定期限内派人保修的，发包人可以委托他人修理。</w:t>
      </w:r>
    </w:p>
    <w:p w14:paraId="0C67C230">
      <w:pPr>
        <w:spacing w:line="440" w:lineRule="exact"/>
        <w:ind w:left="120" w:leftChars="50" w:firstLine="491" w:firstLineChars="205"/>
        <w:rPr>
          <w:rFonts w:asciiTheme="minorEastAsia" w:hAnsiTheme="minorEastAsia" w:eastAsiaTheme="minorEastAsia"/>
          <w:color w:val="000000"/>
          <w:szCs w:val="24"/>
        </w:rPr>
      </w:pPr>
      <w:r>
        <w:rPr>
          <w:rFonts w:hint="eastAsia" w:asciiTheme="minorEastAsia" w:hAnsiTheme="minorEastAsia" w:eastAsiaTheme="minorEastAsia"/>
          <w:color w:val="000000"/>
          <w:szCs w:val="24"/>
        </w:rPr>
        <w:t>2</w:t>
      </w:r>
      <w:r>
        <w:rPr>
          <w:rFonts w:hint="eastAsia" w:asciiTheme="minorEastAsia" w:hAnsiTheme="minorEastAsia" w:eastAsiaTheme="minorEastAsia"/>
          <w:szCs w:val="24"/>
        </w:rPr>
        <w:t>．</w:t>
      </w:r>
      <w:r>
        <w:rPr>
          <w:rFonts w:asciiTheme="minorEastAsia" w:hAnsiTheme="minorEastAsia" w:eastAsiaTheme="minorEastAsia"/>
          <w:color w:val="000000"/>
          <w:szCs w:val="24"/>
        </w:rPr>
        <w:t>发生紧急事故需抢修的，承包人在接到事故通知后，应当立即到达事故现场抢修。</w:t>
      </w:r>
    </w:p>
    <w:p w14:paraId="70F8641B">
      <w:pPr>
        <w:spacing w:line="440" w:lineRule="exact"/>
        <w:ind w:left="120" w:leftChars="50" w:firstLine="491" w:firstLineChars="205"/>
        <w:rPr>
          <w:rFonts w:asciiTheme="minorEastAsia" w:hAnsiTheme="minorEastAsia" w:eastAsiaTheme="minorEastAsia"/>
          <w:color w:val="000000"/>
          <w:szCs w:val="24"/>
        </w:rPr>
      </w:pPr>
      <w:r>
        <w:rPr>
          <w:rFonts w:hint="eastAsia" w:asciiTheme="minorEastAsia" w:hAnsiTheme="minorEastAsia" w:eastAsiaTheme="minorEastAsia"/>
          <w:color w:val="000000"/>
          <w:szCs w:val="24"/>
        </w:rPr>
        <w:t>3</w:t>
      </w:r>
      <w:r>
        <w:rPr>
          <w:rFonts w:hint="eastAsia" w:asciiTheme="minorEastAsia" w:hAnsiTheme="minorEastAsia" w:eastAsiaTheme="minorEastAsia"/>
          <w:szCs w:val="24"/>
        </w:rPr>
        <w:t>．</w:t>
      </w:r>
      <w:r>
        <w:rPr>
          <w:rFonts w:asciiTheme="minorEastAsia" w:hAnsiTheme="minorEastAsia" w:eastAsiaTheme="minorEastAsia"/>
          <w:color w:val="000000"/>
          <w:szCs w:val="24"/>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9E669CA">
      <w:pPr>
        <w:spacing w:line="440" w:lineRule="exact"/>
        <w:ind w:left="480" w:leftChars="200" w:firstLine="120" w:firstLineChars="50"/>
        <w:rPr>
          <w:rFonts w:asciiTheme="minorEastAsia" w:hAnsiTheme="minorEastAsia" w:eastAsiaTheme="minorEastAsia"/>
          <w:color w:val="000000"/>
          <w:szCs w:val="24"/>
        </w:rPr>
      </w:pPr>
      <w:r>
        <w:rPr>
          <w:rFonts w:hint="eastAsia" w:asciiTheme="minorEastAsia" w:hAnsiTheme="minorEastAsia" w:eastAsiaTheme="minorEastAsia"/>
          <w:color w:val="000000"/>
          <w:szCs w:val="24"/>
        </w:rPr>
        <w:t>4</w:t>
      </w:r>
      <w:r>
        <w:rPr>
          <w:rFonts w:hint="eastAsia" w:asciiTheme="minorEastAsia" w:hAnsiTheme="minorEastAsia" w:eastAsiaTheme="minorEastAsia"/>
          <w:szCs w:val="24"/>
        </w:rPr>
        <w:t>．</w:t>
      </w:r>
      <w:r>
        <w:rPr>
          <w:rFonts w:asciiTheme="minorEastAsia" w:hAnsiTheme="minorEastAsia" w:eastAsiaTheme="minorEastAsia"/>
          <w:color w:val="000000"/>
          <w:szCs w:val="24"/>
        </w:rPr>
        <w:t>质量保修完成后，由发包人组织验收。</w:t>
      </w:r>
    </w:p>
    <w:p w14:paraId="0DDA6652">
      <w:pPr>
        <w:spacing w:line="440" w:lineRule="exact"/>
        <w:ind w:firstLine="480"/>
        <w:outlineLvl w:val="0"/>
        <w:rPr>
          <w:rFonts w:asciiTheme="minorEastAsia" w:hAnsiTheme="minorEastAsia" w:eastAsiaTheme="minorEastAsia"/>
          <w:color w:val="000000"/>
          <w:szCs w:val="24"/>
        </w:rPr>
      </w:pPr>
      <w:r>
        <w:rPr>
          <w:rFonts w:asciiTheme="minorEastAsia" w:hAnsiTheme="minorEastAsia" w:eastAsiaTheme="minorEastAsia"/>
          <w:color w:val="000000"/>
          <w:szCs w:val="24"/>
        </w:rPr>
        <w:t>五、保修费用</w:t>
      </w:r>
    </w:p>
    <w:p w14:paraId="6E9D8903">
      <w:pPr>
        <w:spacing w:line="440" w:lineRule="exact"/>
        <w:ind w:firstLine="480"/>
        <w:rPr>
          <w:rFonts w:asciiTheme="minorEastAsia" w:hAnsiTheme="minorEastAsia" w:eastAsiaTheme="minorEastAsia"/>
          <w:color w:val="000000"/>
          <w:szCs w:val="24"/>
        </w:rPr>
      </w:pPr>
      <w:r>
        <w:rPr>
          <w:rFonts w:asciiTheme="minorEastAsia" w:hAnsiTheme="minorEastAsia" w:eastAsiaTheme="minorEastAsia"/>
          <w:color w:val="000000"/>
          <w:szCs w:val="24"/>
        </w:rPr>
        <w:t>　　保修费用由造成质量缺陷的责任方承担。</w:t>
      </w:r>
    </w:p>
    <w:p w14:paraId="2CD705FC">
      <w:pPr>
        <w:spacing w:line="440" w:lineRule="exact"/>
        <w:ind w:firstLine="480"/>
        <w:outlineLvl w:val="0"/>
        <w:rPr>
          <w:rFonts w:asciiTheme="minorEastAsia" w:hAnsiTheme="minorEastAsia" w:eastAsiaTheme="minorEastAsia"/>
          <w:color w:val="000000"/>
          <w:szCs w:val="24"/>
        </w:rPr>
      </w:pPr>
      <w:r>
        <w:rPr>
          <w:rFonts w:asciiTheme="minorEastAsia" w:hAnsiTheme="minorEastAsia" w:eastAsiaTheme="minorEastAsia"/>
          <w:color w:val="000000"/>
          <w:szCs w:val="24"/>
        </w:rPr>
        <w:t>六、双方约定的其他工程质量保修事项：</w:t>
      </w:r>
    </w:p>
    <w:p w14:paraId="4E4E4181">
      <w:pPr>
        <w:spacing w:line="440" w:lineRule="exact"/>
        <w:ind w:firstLine="480"/>
        <w:rPr>
          <w:rFonts w:asciiTheme="minorEastAsia" w:hAnsiTheme="minorEastAsia" w:eastAsiaTheme="minorEastAsia"/>
          <w:szCs w:val="24"/>
        </w:rPr>
      </w:pPr>
      <w:r>
        <w:rPr>
          <w:rFonts w:asciiTheme="minorEastAsia" w:hAnsiTheme="minorEastAsia" w:eastAsiaTheme="minorEastAsia"/>
          <w:szCs w:val="24"/>
        </w:rPr>
        <w:t>1、发包人指定</w:t>
      </w:r>
      <w:r>
        <w:rPr>
          <w:rFonts w:hint="eastAsia" w:asciiTheme="minorEastAsia" w:hAnsiTheme="minorEastAsia" w:eastAsiaTheme="minorEastAsia"/>
          <w:szCs w:val="24"/>
        </w:rPr>
        <w:t>发包人现场代表</w:t>
      </w:r>
      <w:r>
        <w:rPr>
          <w:rFonts w:asciiTheme="minorEastAsia" w:hAnsiTheme="minorEastAsia" w:eastAsiaTheme="minorEastAsia"/>
          <w:szCs w:val="24"/>
        </w:rPr>
        <w:t>负责协调保修具体事宜。</w:t>
      </w:r>
    </w:p>
    <w:p w14:paraId="38C051A4">
      <w:pPr>
        <w:spacing w:line="440" w:lineRule="exact"/>
        <w:ind w:firstLine="480"/>
        <w:rPr>
          <w:rFonts w:asciiTheme="minorEastAsia" w:hAnsiTheme="minorEastAsia" w:eastAsiaTheme="minorEastAsia"/>
          <w:szCs w:val="24"/>
        </w:rPr>
      </w:pPr>
      <w:r>
        <w:rPr>
          <w:rFonts w:asciiTheme="minorEastAsia" w:hAnsiTheme="minorEastAsia" w:eastAsiaTheme="minorEastAsia"/>
          <w:szCs w:val="24"/>
        </w:rPr>
        <w:t>2、本工程质量保修书，由施工合同发包人、承包人双方共同签署，作为施工合同附件，其有效期限至保修期满</w:t>
      </w:r>
      <w:r>
        <w:rPr>
          <w:rFonts w:hint="eastAsia" w:asciiTheme="minorEastAsia" w:hAnsiTheme="minorEastAsia" w:eastAsiaTheme="minorEastAsia"/>
          <w:szCs w:val="24"/>
        </w:rPr>
        <w:t>。</w:t>
      </w:r>
    </w:p>
    <w:p w14:paraId="46177CD2">
      <w:pPr>
        <w:spacing w:line="440" w:lineRule="exact"/>
        <w:ind w:firstLine="480"/>
        <w:rPr>
          <w:rFonts w:asciiTheme="minorEastAsia" w:hAnsiTheme="minorEastAsia" w:eastAsiaTheme="minorEastAsia"/>
          <w:szCs w:val="24"/>
        </w:rPr>
      </w:pPr>
      <w:r>
        <w:rPr>
          <w:rFonts w:asciiTheme="minorEastAsia" w:hAnsiTheme="minorEastAsia" w:eastAsiaTheme="minorEastAsia"/>
          <w:szCs w:val="24"/>
        </w:rPr>
        <w:t>3、本保修书经承、发包双方签章后生效，未尽事宜由双方另行签订补充条款进行约定。任何一方不得擅自变更或解除本保修书。  。</w:t>
      </w:r>
    </w:p>
    <w:p w14:paraId="6B4DF56D">
      <w:pPr>
        <w:spacing w:line="440" w:lineRule="exact"/>
        <w:ind w:firstLine="456" w:firstLineChars="190"/>
        <w:rPr>
          <w:rFonts w:asciiTheme="minorEastAsia" w:hAnsiTheme="minorEastAsia" w:eastAsiaTheme="minorEastAsia"/>
          <w:color w:val="000000"/>
          <w:szCs w:val="24"/>
        </w:rPr>
      </w:pPr>
      <w:r>
        <w:rPr>
          <w:rFonts w:asciiTheme="minorEastAsia" w:hAnsiTheme="minorEastAsia" w:eastAsiaTheme="minorEastAsia"/>
          <w:color w:val="000000"/>
          <w:szCs w:val="24"/>
        </w:rPr>
        <w:t>工程质量保修书由发包人、承包人在工程竣工验收前共同签署，作为施工合同附件，其有效期限至保修期满。</w:t>
      </w:r>
    </w:p>
    <w:p w14:paraId="0B09D0DC">
      <w:pPr>
        <w:spacing w:line="440" w:lineRule="exact"/>
        <w:ind w:firstLine="480"/>
        <w:rPr>
          <w:rFonts w:asciiTheme="minorEastAsia" w:hAnsiTheme="minorEastAsia" w:eastAsiaTheme="minorEastAsia"/>
          <w:color w:val="000000"/>
          <w:szCs w:val="24"/>
        </w:rPr>
      </w:pPr>
    </w:p>
    <w:p w14:paraId="25B88F48">
      <w:pPr>
        <w:spacing w:line="440" w:lineRule="exact"/>
        <w:ind w:firstLine="480"/>
        <w:rPr>
          <w:rFonts w:asciiTheme="minorEastAsia" w:hAnsiTheme="minorEastAsia" w:eastAsiaTheme="minorEastAsia"/>
          <w:color w:val="000000"/>
          <w:szCs w:val="24"/>
        </w:rPr>
      </w:pPr>
      <w:r>
        <w:rPr>
          <w:rFonts w:asciiTheme="minorEastAsia" w:hAnsiTheme="minorEastAsia" w:eastAsiaTheme="minorEastAsia"/>
          <w:color w:val="000000"/>
          <w:szCs w:val="24"/>
        </w:rPr>
        <w:t>发包人(公章)：</w:t>
      </w:r>
      <w:r>
        <w:rPr>
          <w:rFonts w:hint="eastAsia" w:asciiTheme="minorEastAsia" w:hAnsiTheme="minorEastAsia" w:eastAsiaTheme="minorEastAsia"/>
          <w:color w:val="000000"/>
          <w:szCs w:val="24"/>
          <w:lang w:val="en-US" w:eastAsia="zh-CN"/>
        </w:rPr>
        <w:t xml:space="preserve">                           </w:t>
      </w:r>
      <w:r>
        <w:rPr>
          <w:rFonts w:asciiTheme="minorEastAsia" w:hAnsiTheme="minorEastAsia" w:eastAsiaTheme="minorEastAsia"/>
          <w:color w:val="000000"/>
          <w:szCs w:val="24"/>
        </w:rPr>
        <w:t>承包人(公章)：</w:t>
      </w:r>
    </w:p>
    <w:p w14:paraId="7818DDDC">
      <w:pPr>
        <w:spacing w:line="440" w:lineRule="exact"/>
        <w:ind w:firstLine="480"/>
        <w:rPr>
          <w:rFonts w:asciiTheme="minorEastAsia" w:hAnsiTheme="minorEastAsia" w:eastAsiaTheme="minorEastAsia"/>
          <w:color w:val="000000"/>
          <w:szCs w:val="24"/>
        </w:rPr>
      </w:pPr>
      <w:r>
        <w:rPr>
          <w:rFonts w:asciiTheme="minorEastAsia" w:hAnsiTheme="minorEastAsia" w:eastAsiaTheme="minorEastAsia"/>
          <w:color w:val="000000"/>
          <w:szCs w:val="24"/>
        </w:rPr>
        <w:t>地  址：</w:t>
      </w:r>
      <w:r>
        <w:rPr>
          <w:rFonts w:hint="eastAsia" w:asciiTheme="minorEastAsia" w:hAnsiTheme="minorEastAsia" w:eastAsiaTheme="minorEastAsia"/>
          <w:color w:val="000000"/>
          <w:szCs w:val="24"/>
          <w:lang w:val="en-US" w:eastAsia="zh-CN"/>
        </w:rPr>
        <w:t xml:space="preserve">                                 </w:t>
      </w:r>
      <w:r>
        <w:rPr>
          <w:rFonts w:asciiTheme="minorEastAsia" w:hAnsiTheme="minorEastAsia" w:eastAsiaTheme="minorEastAsia"/>
          <w:color w:val="000000"/>
          <w:szCs w:val="24"/>
        </w:rPr>
        <w:t>地  址：</w:t>
      </w:r>
    </w:p>
    <w:p w14:paraId="5D514D1D">
      <w:pPr>
        <w:spacing w:line="440" w:lineRule="exact"/>
        <w:ind w:firstLine="480"/>
        <w:rPr>
          <w:rFonts w:asciiTheme="minorEastAsia" w:hAnsiTheme="minorEastAsia" w:eastAsiaTheme="minorEastAsia"/>
          <w:color w:val="000000"/>
          <w:szCs w:val="24"/>
        </w:rPr>
      </w:pPr>
      <w:r>
        <w:rPr>
          <w:rFonts w:asciiTheme="minorEastAsia" w:hAnsiTheme="minorEastAsia" w:eastAsiaTheme="minorEastAsia"/>
          <w:color w:val="000000"/>
          <w:szCs w:val="24"/>
        </w:rPr>
        <w:t>法定代表人(签字)：</w:t>
      </w:r>
      <w:r>
        <w:rPr>
          <w:rFonts w:hint="eastAsia" w:asciiTheme="minorEastAsia" w:hAnsiTheme="minorEastAsia" w:eastAsiaTheme="minorEastAsia"/>
          <w:color w:val="000000"/>
          <w:szCs w:val="24"/>
          <w:lang w:val="en-US" w:eastAsia="zh-CN"/>
        </w:rPr>
        <w:t xml:space="preserve">                       </w:t>
      </w:r>
      <w:r>
        <w:rPr>
          <w:rFonts w:asciiTheme="minorEastAsia" w:hAnsiTheme="minorEastAsia" w:eastAsiaTheme="minorEastAsia"/>
          <w:color w:val="000000"/>
          <w:szCs w:val="24"/>
        </w:rPr>
        <w:t>法定代表人(签字)：</w:t>
      </w:r>
    </w:p>
    <w:p w14:paraId="31DCA3D4">
      <w:pPr>
        <w:spacing w:line="440" w:lineRule="exact"/>
        <w:ind w:firstLine="480"/>
        <w:rPr>
          <w:rFonts w:asciiTheme="minorEastAsia" w:hAnsiTheme="minorEastAsia" w:eastAsiaTheme="minorEastAsia"/>
          <w:color w:val="000000"/>
          <w:szCs w:val="24"/>
        </w:rPr>
      </w:pPr>
      <w:r>
        <w:rPr>
          <w:rFonts w:asciiTheme="minorEastAsia" w:hAnsiTheme="minorEastAsia" w:eastAsiaTheme="minorEastAsia"/>
          <w:color w:val="000000"/>
          <w:szCs w:val="24"/>
        </w:rPr>
        <w:t>委托代理人(签字)：</w:t>
      </w:r>
      <w:r>
        <w:rPr>
          <w:rFonts w:hint="eastAsia" w:asciiTheme="minorEastAsia" w:hAnsiTheme="minorEastAsia" w:eastAsiaTheme="minorEastAsia"/>
          <w:color w:val="000000"/>
          <w:szCs w:val="24"/>
          <w:lang w:val="en-US" w:eastAsia="zh-CN"/>
        </w:rPr>
        <w:t xml:space="preserve">                       </w:t>
      </w:r>
      <w:r>
        <w:rPr>
          <w:rFonts w:asciiTheme="minorEastAsia" w:hAnsiTheme="minorEastAsia" w:eastAsiaTheme="minorEastAsia"/>
          <w:color w:val="000000"/>
          <w:szCs w:val="24"/>
        </w:rPr>
        <w:t>委托代理人(签字)：</w:t>
      </w:r>
    </w:p>
    <w:p w14:paraId="20646E70">
      <w:pPr>
        <w:spacing w:line="440" w:lineRule="exact"/>
        <w:ind w:firstLine="480"/>
        <w:rPr>
          <w:rFonts w:asciiTheme="minorEastAsia" w:hAnsiTheme="minorEastAsia" w:eastAsiaTheme="minorEastAsia"/>
          <w:color w:val="000000"/>
          <w:szCs w:val="24"/>
        </w:rPr>
      </w:pPr>
      <w:r>
        <w:rPr>
          <w:rFonts w:asciiTheme="minorEastAsia" w:hAnsiTheme="minorEastAsia" w:eastAsiaTheme="minorEastAsia"/>
          <w:color w:val="000000"/>
          <w:szCs w:val="24"/>
        </w:rPr>
        <w:t>电  话：</w:t>
      </w:r>
      <w:r>
        <w:rPr>
          <w:rFonts w:hint="eastAsia" w:asciiTheme="minorEastAsia" w:hAnsiTheme="minorEastAsia" w:eastAsiaTheme="minorEastAsia"/>
          <w:color w:val="000000"/>
          <w:szCs w:val="24"/>
          <w:lang w:val="en-US" w:eastAsia="zh-CN"/>
        </w:rPr>
        <w:t xml:space="preserve">                                 </w:t>
      </w:r>
      <w:r>
        <w:rPr>
          <w:rFonts w:asciiTheme="minorEastAsia" w:hAnsiTheme="minorEastAsia" w:eastAsiaTheme="minorEastAsia"/>
          <w:color w:val="000000"/>
          <w:szCs w:val="24"/>
        </w:rPr>
        <w:t>电  话：</w:t>
      </w:r>
    </w:p>
    <w:p w14:paraId="1BC9DE5C">
      <w:pPr>
        <w:spacing w:line="440" w:lineRule="exact"/>
        <w:ind w:firstLine="480"/>
        <w:rPr>
          <w:rFonts w:asciiTheme="minorEastAsia" w:hAnsiTheme="minorEastAsia" w:eastAsiaTheme="minorEastAsia"/>
          <w:color w:val="000000"/>
          <w:szCs w:val="24"/>
        </w:rPr>
      </w:pPr>
      <w:r>
        <w:rPr>
          <w:rFonts w:asciiTheme="minorEastAsia" w:hAnsiTheme="minorEastAsia" w:eastAsiaTheme="minorEastAsia"/>
          <w:color w:val="000000"/>
          <w:szCs w:val="24"/>
        </w:rPr>
        <w:t>传  真：</w:t>
      </w:r>
      <w:r>
        <w:rPr>
          <w:rFonts w:hint="eastAsia" w:asciiTheme="minorEastAsia" w:hAnsiTheme="minorEastAsia" w:eastAsiaTheme="minorEastAsia"/>
          <w:color w:val="000000"/>
          <w:szCs w:val="24"/>
          <w:lang w:val="en-US" w:eastAsia="zh-CN"/>
        </w:rPr>
        <w:t xml:space="preserve">                                 </w:t>
      </w:r>
      <w:r>
        <w:rPr>
          <w:rFonts w:asciiTheme="minorEastAsia" w:hAnsiTheme="minorEastAsia" w:eastAsiaTheme="minorEastAsia"/>
          <w:color w:val="000000"/>
          <w:szCs w:val="24"/>
        </w:rPr>
        <w:t>传  真：</w:t>
      </w:r>
    </w:p>
    <w:p w14:paraId="6F3E07BD">
      <w:pPr>
        <w:spacing w:line="440" w:lineRule="exact"/>
        <w:ind w:firstLine="480"/>
        <w:rPr>
          <w:rFonts w:asciiTheme="minorEastAsia" w:hAnsiTheme="minorEastAsia" w:eastAsiaTheme="minorEastAsia"/>
          <w:color w:val="000000"/>
          <w:szCs w:val="24"/>
        </w:rPr>
      </w:pPr>
      <w:r>
        <w:rPr>
          <w:rFonts w:asciiTheme="minorEastAsia" w:hAnsiTheme="minorEastAsia" w:eastAsiaTheme="minorEastAsia"/>
          <w:color w:val="000000"/>
          <w:szCs w:val="24"/>
        </w:rPr>
        <w:t>开户银行：</w:t>
      </w:r>
      <w:r>
        <w:rPr>
          <w:rFonts w:hint="eastAsia" w:asciiTheme="minorEastAsia" w:hAnsiTheme="minorEastAsia" w:eastAsiaTheme="minorEastAsia"/>
          <w:color w:val="000000"/>
          <w:szCs w:val="24"/>
          <w:lang w:val="en-US" w:eastAsia="zh-CN"/>
        </w:rPr>
        <w:t xml:space="preserve">                               </w:t>
      </w:r>
      <w:r>
        <w:rPr>
          <w:rFonts w:asciiTheme="minorEastAsia" w:hAnsiTheme="minorEastAsia" w:eastAsiaTheme="minorEastAsia"/>
          <w:color w:val="000000"/>
          <w:szCs w:val="24"/>
        </w:rPr>
        <w:t>开户银行：</w:t>
      </w:r>
    </w:p>
    <w:p w14:paraId="1236AB7A">
      <w:pPr>
        <w:spacing w:line="440" w:lineRule="exact"/>
        <w:ind w:firstLine="480"/>
        <w:rPr>
          <w:rFonts w:asciiTheme="minorEastAsia" w:hAnsiTheme="minorEastAsia" w:eastAsiaTheme="minorEastAsia"/>
          <w:color w:val="000000"/>
          <w:szCs w:val="24"/>
        </w:rPr>
      </w:pPr>
      <w:r>
        <w:rPr>
          <w:rFonts w:asciiTheme="minorEastAsia" w:hAnsiTheme="minorEastAsia" w:eastAsiaTheme="minorEastAsia"/>
          <w:color w:val="000000"/>
          <w:szCs w:val="24"/>
        </w:rPr>
        <w:t>账  号：</w:t>
      </w:r>
      <w:r>
        <w:rPr>
          <w:rFonts w:hint="eastAsia" w:asciiTheme="minorEastAsia" w:hAnsiTheme="minorEastAsia" w:eastAsiaTheme="minorEastAsia"/>
          <w:color w:val="000000"/>
          <w:szCs w:val="24"/>
          <w:lang w:val="en-US" w:eastAsia="zh-CN"/>
        </w:rPr>
        <w:t xml:space="preserve">                                 </w:t>
      </w:r>
      <w:r>
        <w:rPr>
          <w:rFonts w:asciiTheme="minorEastAsia" w:hAnsiTheme="minorEastAsia" w:eastAsiaTheme="minorEastAsia"/>
          <w:color w:val="000000"/>
          <w:szCs w:val="24"/>
        </w:rPr>
        <w:t>账 号：</w:t>
      </w:r>
    </w:p>
    <w:p w14:paraId="3FE5DF84">
      <w:pPr>
        <w:spacing w:line="440" w:lineRule="exact"/>
        <w:ind w:firstLine="480"/>
        <w:rPr>
          <w:rFonts w:asciiTheme="minorEastAsia" w:hAnsiTheme="minorEastAsia" w:eastAsiaTheme="minorEastAsia"/>
          <w:color w:val="000000"/>
          <w:szCs w:val="24"/>
        </w:rPr>
        <w:sectPr>
          <w:footerReference r:id="rId23" w:type="first"/>
          <w:headerReference r:id="rId21" w:type="default"/>
          <w:footerReference r:id="rId22" w:type="default"/>
          <w:pgSz w:w="12240" w:h="15840"/>
          <w:pgMar w:top="1418" w:right="1418" w:bottom="1418" w:left="1418" w:header="720" w:footer="720" w:gutter="0"/>
          <w:cols w:space="720" w:num="1"/>
        </w:sectPr>
      </w:pPr>
    </w:p>
    <w:p w14:paraId="0DC2C58B">
      <w:pPr>
        <w:spacing w:line="440" w:lineRule="exact"/>
        <w:ind w:firstLine="480"/>
        <w:rPr>
          <w:rFonts w:asciiTheme="minorEastAsia" w:hAnsiTheme="minorEastAsia" w:eastAsiaTheme="minorEastAsia"/>
          <w:color w:val="000000"/>
          <w:szCs w:val="24"/>
        </w:rPr>
      </w:pPr>
      <w:r>
        <w:rPr>
          <w:rFonts w:asciiTheme="minorEastAsia" w:hAnsiTheme="minorEastAsia" w:eastAsiaTheme="minorEastAsia"/>
          <w:color w:val="000000"/>
          <w:szCs w:val="24"/>
        </w:rPr>
        <w:t>附件4：</w:t>
      </w:r>
    </w:p>
    <w:p w14:paraId="337D89F5">
      <w:pPr>
        <w:spacing w:beforeLines="50" w:afterLines="50" w:line="440" w:lineRule="exact"/>
        <w:ind w:firstLine="480"/>
        <w:jc w:val="center"/>
        <w:rPr>
          <w:rFonts w:asciiTheme="minorEastAsia" w:hAnsiTheme="minorEastAsia" w:eastAsiaTheme="minorEastAsia"/>
          <w:color w:val="000000"/>
          <w:szCs w:val="24"/>
        </w:rPr>
      </w:pPr>
      <w:r>
        <w:rPr>
          <w:rFonts w:asciiTheme="minorEastAsia" w:hAnsiTheme="minorEastAsia" w:eastAsiaTheme="minorEastAsia"/>
          <w:color w:val="000000"/>
          <w:szCs w:val="24"/>
        </w:rPr>
        <w:t>主要建设工程文件目录</w:t>
      </w:r>
    </w:p>
    <w:tbl>
      <w:tblPr>
        <w:tblStyle w:val="5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35A0DE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14:paraId="07DA8F4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文件名称</w:t>
            </w:r>
          </w:p>
        </w:tc>
        <w:tc>
          <w:tcPr>
            <w:tcW w:w="1276" w:type="dxa"/>
            <w:tcBorders>
              <w:top w:val="single" w:color="auto" w:sz="12" w:space="0"/>
              <w:bottom w:val="double" w:color="auto" w:sz="6" w:space="0"/>
            </w:tcBorders>
            <w:vAlign w:val="center"/>
          </w:tcPr>
          <w:p w14:paraId="3979577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套数</w:t>
            </w:r>
          </w:p>
        </w:tc>
        <w:tc>
          <w:tcPr>
            <w:tcW w:w="1450" w:type="dxa"/>
            <w:tcBorders>
              <w:top w:val="single" w:color="auto" w:sz="12" w:space="0"/>
              <w:bottom w:val="double" w:color="auto" w:sz="6" w:space="0"/>
            </w:tcBorders>
            <w:vAlign w:val="center"/>
          </w:tcPr>
          <w:p w14:paraId="5C7AB1E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费用</w:t>
            </w:r>
            <w:r>
              <w:rPr>
                <w:rFonts w:hint="eastAsia" w:asciiTheme="minorEastAsia" w:hAnsiTheme="minorEastAsia" w:eastAsiaTheme="minorEastAsia"/>
                <w:color w:val="000000"/>
                <w:kern w:val="44"/>
                <w:position w:val="6"/>
                <w:szCs w:val="24"/>
              </w:rPr>
              <w:t>（元）</w:t>
            </w:r>
          </w:p>
        </w:tc>
        <w:tc>
          <w:tcPr>
            <w:tcW w:w="1243" w:type="dxa"/>
            <w:tcBorders>
              <w:top w:val="single" w:color="auto" w:sz="12" w:space="0"/>
              <w:bottom w:val="double" w:color="auto" w:sz="6" w:space="0"/>
            </w:tcBorders>
            <w:vAlign w:val="center"/>
          </w:tcPr>
          <w:p w14:paraId="36F8B20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质量</w:t>
            </w:r>
          </w:p>
        </w:tc>
        <w:tc>
          <w:tcPr>
            <w:tcW w:w="1450" w:type="dxa"/>
            <w:tcBorders>
              <w:top w:val="single" w:color="auto" w:sz="12" w:space="0"/>
              <w:bottom w:val="double" w:color="auto" w:sz="6" w:space="0"/>
            </w:tcBorders>
          </w:tcPr>
          <w:p w14:paraId="0C4A5C65">
            <w:pPr>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szCs w:val="24"/>
              </w:rPr>
            </w:pPr>
            <w:r>
              <w:rPr>
                <w:rFonts w:asciiTheme="minorEastAsia" w:hAnsiTheme="minorEastAsia" w:eastAsiaTheme="minorEastAsia"/>
                <w:color w:val="000000"/>
                <w:szCs w:val="24"/>
              </w:rPr>
              <w:t>移交时间</w:t>
            </w:r>
          </w:p>
        </w:tc>
        <w:tc>
          <w:tcPr>
            <w:tcW w:w="1667" w:type="dxa"/>
            <w:tcBorders>
              <w:top w:val="single" w:color="auto" w:sz="12" w:space="0"/>
              <w:bottom w:val="double" w:color="auto" w:sz="6" w:space="0"/>
            </w:tcBorders>
          </w:tcPr>
          <w:p w14:paraId="038025F1">
            <w:pPr>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szCs w:val="24"/>
              </w:rPr>
            </w:pPr>
            <w:r>
              <w:rPr>
                <w:rFonts w:asciiTheme="minorEastAsia" w:hAnsiTheme="minorEastAsia" w:eastAsiaTheme="minorEastAsia"/>
                <w:color w:val="000000"/>
                <w:szCs w:val="24"/>
              </w:rPr>
              <w:t>责任人</w:t>
            </w:r>
          </w:p>
        </w:tc>
      </w:tr>
      <w:tr w14:paraId="466290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4F15CFC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tcBorders>
              <w:top w:val="double" w:color="auto" w:sz="6" w:space="0"/>
              <w:bottom w:val="single" w:color="auto" w:sz="6" w:space="0"/>
            </w:tcBorders>
            <w:vAlign w:val="center"/>
          </w:tcPr>
          <w:p w14:paraId="7A3E929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50" w:type="dxa"/>
            <w:tcBorders>
              <w:top w:val="double" w:color="auto" w:sz="6" w:space="0"/>
              <w:bottom w:val="single" w:color="auto" w:sz="6" w:space="0"/>
            </w:tcBorders>
            <w:vAlign w:val="center"/>
          </w:tcPr>
          <w:p w14:paraId="6020F2D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43" w:type="dxa"/>
            <w:tcBorders>
              <w:top w:val="double" w:color="auto" w:sz="6" w:space="0"/>
              <w:bottom w:val="single" w:color="auto" w:sz="6" w:space="0"/>
            </w:tcBorders>
            <w:vAlign w:val="center"/>
          </w:tcPr>
          <w:p w14:paraId="09F0C8F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50" w:type="dxa"/>
            <w:tcBorders>
              <w:top w:val="double" w:color="auto" w:sz="6" w:space="0"/>
              <w:bottom w:val="single" w:color="auto" w:sz="6" w:space="0"/>
            </w:tcBorders>
            <w:vAlign w:val="center"/>
          </w:tcPr>
          <w:p w14:paraId="1A92821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667" w:type="dxa"/>
            <w:tcBorders>
              <w:top w:val="double" w:color="auto" w:sz="6" w:space="0"/>
              <w:bottom w:val="single" w:color="auto" w:sz="6" w:space="0"/>
            </w:tcBorders>
            <w:vAlign w:val="center"/>
          </w:tcPr>
          <w:p w14:paraId="264DCFF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44933E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0AE476F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tcBorders>
              <w:top w:val="nil"/>
            </w:tcBorders>
            <w:vAlign w:val="center"/>
          </w:tcPr>
          <w:p w14:paraId="4C5AF72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50" w:type="dxa"/>
            <w:tcBorders>
              <w:top w:val="nil"/>
            </w:tcBorders>
            <w:vAlign w:val="center"/>
          </w:tcPr>
          <w:p w14:paraId="519D342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43" w:type="dxa"/>
            <w:tcBorders>
              <w:top w:val="nil"/>
            </w:tcBorders>
            <w:vAlign w:val="center"/>
          </w:tcPr>
          <w:p w14:paraId="085EA79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50" w:type="dxa"/>
            <w:tcBorders>
              <w:top w:val="nil"/>
            </w:tcBorders>
            <w:vAlign w:val="center"/>
          </w:tcPr>
          <w:p w14:paraId="20B9DD7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667" w:type="dxa"/>
            <w:tcBorders>
              <w:top w:val="nil"/>
            </w:tcBorders>
            <w:vAlign w:val="center"/>
          </w:tcPr>
          <w:p w14:paraId="24D4F39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3ADC24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DAAD74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vAlign w:val="center"/>
          </w:tcPr>
          <w:p w14:paraId="794870B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50" w:type="dxa"/>
            <w:vAlign w:val="center"/>
          </w:tcPr>
          <w:p w14:paraId="0220CF6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43" w:type="dxa"/>
            <w:vAlign w:val="center"/>
          </w:tcPr>
          <w:p w14:paraId="73D0A81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50" w:type="dxa"/>
            <w:vAlign w:val="center"/>
          </w:tcPr>
          <w:p w14:paraId="71F0D0C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667" w:type="dxa"/>
            <w:vAlign w:val="center"/>
          </w:tcPr>
          <w:p w14:paraId="4095F29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29E78C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13E2DA0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vAlign w:val="center"/>
          </w:tcPr>
          <w:p w14:paraId="0096D5C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50" w:type="dxa"/>
            <w:vAlign w:val="center"/>
          </w:tcPr>
          <w:p w14:paraId="1F36E26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43" w:type="dxa"/>
            <w:vAlign w:val="center"/>
          </w:tcPr>
          <w:p w14:paraId="75D4D58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50" w:type="dxa"/>
            <w:vAlign w:val="center"/>
          </w:tcPr>
          <w:p w14:paraId="1F212C5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667" w:type="dxa"/>
            <w:vAlign w:val="center"/>
          </w:tcPr>
          <w:p w14:paraId="599C0E9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0B3245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3A76E6D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vAlign w:val="center"/>
          </w:tcPr>
          <w:p w14:paraId="20A3C0F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50" w:type="dxa"/>
            <w:vAlign w:val="center"/>
          </w:tcPr>
          <w:p w14:paraId="6EEAF8F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43" w:type="dxa"/>
            <w:vAlign w:val="center"/>
          </w:tcPr>
          <w:p w14:paraId="2C6B697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50" w:type="dxa"/>
            <w:vAlign w:val="center"/>
          </w:tcPr>
          <w:p w14:paraId="426D81C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667" w:type="dxa"/>
            <w:vAlign w:val="center"/>
          </w:tcPr>
          <w:p w14:paraId="00BEDE3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07D645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12B93DC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vAlign w:val="center"/>
          </w:tcPr>
          <w:p w14:paraId="7C65AA0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50" w:type="dxa"/>
            <w:vAlign w:val="center"/>
          </w:tcPr>
          <w:p w14:paraId="61428A8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43" w:type="dxa"/>
            <w:vAlign w:val="center"/>
          </w:tcPr>
          <w:p w14:paraId="630B667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50" w:type="dxa"/>
            <w:vAlign w:val="center"/>
          </w:tcPr>
          <w:p w14:paraId="6D0503F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667" w:type="dxa"/>
            <w:vAlign w:val="center"/>
          </w:tcPr>
          <w:p w14:paraId="49286CF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4CA384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1781924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vAlign w:val="center"/>
          </w:tcPr>
          <w:p w14:paraId="568796E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50" w:type="dxa"/>
            <w:vAlign w:val="center"/>
          </w:tcPr>
          <w:p w14:paraId="37E2C73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43" w:type="dxa"/>
            <w:vAlign w:val="center"/>
          </w:tcPr>
          <w:p w14:paraId="10C9E32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50" w:type="dxa"/>
            <w:vAlign w:val="center"/>
          </w:tcPr>
          <w:p w14:paraId="31A6403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667" w:type="dxa"/>
            <w:vAlign w:val="center"/>
          </w:tcPr>
          <w:p w14:paraId="0DCF60A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2E421D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3C891AD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vAlign w:val="center"/>
          </w:tcPr>
          <w:p w14:paraId="7DD4277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50" w:type="dxa"/>
            <w:vAlign w:val="center"/>
          </w:tcPr>
          <w:p w14:paraId="6E7214F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43" w:type="dxa"/>
            <w:vAlign w:val="center"/>
          </w:tcPr>
          <w:p w14:paraId="3DD6869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50" w:type="dxa"/>
            <w:vAlign w:val="center"/>
          </w:tcPr>
          <w:p w14:paraId="30CEE6D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667" w:type="dxa"/>
            <w:vAlign w:val="center"/>
          </w:tcPr>
          <w:p w14:paraId="36C9769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3CA8A2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C3A5986">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276" w:type="dxa"/>
          </w:tcPr>
          <w:p w14:paraId="6449BD55">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50" w:type="dxa"/>
          </w:tcPr>
          <w:p w14:paraId="445BED5A">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243" w:type="dxa"/>
          </w:tcPr>
          <w:p w14:paraId="53043A3D">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50" w:type="dxa"/>
          </w:tcPr>
          <w:p w14:paraId="22124DD1">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667" w:type="dxa"/>
          </w:tcPr>
          <w:p w14:paraId="35BD48F0">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r>
      <w:tr w14:paraId="66A805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233DAF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vAlign w:val="center"/>
          </w:tcPr>
          <w:p w14:paraId="07021A0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50" w:type="dxa"/>
            <w:vAlign w:val="center"/>
          </w:tcPr>
          <w:p w14:paraId="1624708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43" w:type="dxa"/>
            <w:vAlign w:val="center"/>
          </w:tcPr>
          <w:p w14:paraId="6A4CAB9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50" w:type="dxa"/>
            <w:vAlign w:val="center"/>
          </w:tcPr>
          <w:p w14:paraId="5272DA9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667" w:type="dxa"/>
            <w:vAlign w:val="center"/>
          </w:tcPr>
          <w:p w14:paraId="2430816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482054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D1D36BA">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276" w:type="dxa"/>
          </w:tcPr>
          <w:p w14:paraId="7F1DB8D5">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50" w:type="dxa"/>
          </w:tcPr>
          <w:p w14:paraId="382D0D5C">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243" w:type="dxa"/>
          </w:tcPr>
          <w:p w14:paraId="72D96B1A">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50" w:type="dxa"/>
          </w:tcPr>
          <w:p w14:paraId="688F6F19">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667" w:type="dxa"/>
          </w:tcPr>
          <w:p w14:paraId="46D78895">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r>
      <w:tr w14:paraId="232789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D345C30">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276" w:type="dxa"/>
          </w:tcPr>
          <w:p w14:paraId="61C8CD34">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50" w:type="dxa"/>
          </w:tcPr>
          <w:p w14:paraId="04532914">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243" w:type="dxa"/>
          </w:tcPr>
          <w:p w14:paraId="4EB4B617">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50" w:type="dxa"/>
          </w:tcPr>
          <w:p w14:paraId="6C5B0E9A">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667" w:type="dxa"/>
          </w:tcPr>
          <w:p w14:paraId="634D4818">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r>
      <w:tr w14:paraId="0041D3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6F5BF65">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276" w:type="dxa"/>
          </w:tcPr>
          <w:p w14:paraId="0BF0EA82">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50" w:type="dxa"/>
          </w:tcPr>
          <w:p w14:paraId="7496E407">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243" w:type="dxa"/>
          </w:tcPr>
          <w:p w14:paraId="3F616EA8">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50" w:type="dxa"/>
          </w:tcPr>
          <w:p w14:paraId="77B79C7F">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667" w:type="dxa"/>
          </w:tcPr>
          <w:p w14:paraId="5018EDDA">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r>
      <w:tr w14:paraId="016AC9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DB1F347">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276" w:type="dxa"/>
          </w:tcPr>
          <w:p w14:paraId="1698C786">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50" w:type="dxa"/>
          </w:tcPr>
          <w:p w14:paraId="577ADC6F">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243" w:type="dxa"/>
          </w:tcPr>
          <w:p w14:paraId="4C5DC889">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50" w:type="dxa"/>
          </w:tcPr>
          <w:p w14:paraId="27989818">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667" w:type="dxa"/>
          </w:tcPr>
          <w:p w14:paraId="350A9364">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r>
      <w:tr w14:paraId="2790A7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2C9EF04">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276" w:type="dxa"/>
          </w:tcPr>
          <w:p w14:paraId="4702A4A5">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50" w:type="dxa"/>
          </w:tcPr>
          <w:p w14:paraId="666535D1">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243" w:type="dxa"/>
          </w:tcPr>
          <w:p w14:paraId="04EFAF5F">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50" w:type="dxa"/>
          </w:tcPr>
          <w:p w14:paraId="2FBFB5FE">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667" w:type="dxa"/>
          </w:tcPr>
          <w:p w14:paraId="4ACE9294">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r>
      <w:tr w14:paraId="1359E1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E82300C">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276" w:type="dxa"/>
          </w:tcPr>
          <w:p w14:paraId="1BA90AEC">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50" w:type="dxa"/>
          </w:tcPr>
          <w:p w14:paraId="14B411F3">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243" w:type="dxa"/>
          </w:tcPr>
          <w:p w14:paraId="2B6ADA1C">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50" w:type="dxa"/>
          </w:tcPr>
          <w:p w14:paraId="4BC38C5F">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667" w:type="dxa"/>
          </w:tcPr>
          <w:p w14:paraId="45C22D8B">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r>
      <w:tr w14:paraId="25459B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378A799">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276" w:type="dxa"/>
          </w:tcPr>
          <w:p w14:paraId="6093926E">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50" w:type="dxa"/>
          </w:tcPr>
          <w:p w14:paraId="2841E182">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243" w:type="dxa"/>
          </w:tcPr>
          <w:p w14:paraId="50555B5F">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50" w:type="dxa"/>
          </w:tcPr>
          <w:p w14:paraId="19B980F5">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667" w:type="dxa"/>
          </w:tcPr>
          <w:p w14:paraId="10F1323C">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r>
      <w:tr w14:paraId="011CD4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A424D16">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276" w:type="dxa"/>
          </w:tcPr>
          <w:p w14:paraId="13FDCAEC">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50" w:type="dxa"/>
          </w:tcPr>
          <w:p w14:paraId="2AF6741A">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243" w:type="dxa"/>
          </w:tcPr>
          <w:p w14:paraId="364ED5F4">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50" w:type="dxa"/>
          </w:tcPr>
          <w:p w14:paraId="44C5AD04">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667" w:type="dxa"/>
          </w:tcPr>
          <w:p w14:paraId="389232B2">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r>
      <w:tr w14:paraId="6F6ECD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63D7679">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276" w:type="dxa"/>
          </w:tcPr>
          <w:p w14:paraId="41ECD503">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50" w:type="dxa"/>
          </w:tcPr>
          <w:p w14:paraId="1BE48AD8">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243" w:type="dxa"/>
          </w:tcPr>
          <w:p w14:paraId="2FFE1342">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50" w:type="dxa"/>
          </w:tcPr>
          <w:p w14:paraId="419E50D3">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667" w:type="dxa"/>
          </w:tcPr>
          <w:p w14:paraId="17C08FBE">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r>
    </w:tbl>
    <w:p w14:paraId="079E2370">
      <w:pPr>
        <w:rPr>
          <w:rFonts w:asciiTheme="minorEastAsia" w:hAnsiTheme="minorEastAsia" w:eastAsiaTheme="minorEastAsia"/>
          <w:color w:val="000000"/>
          <w:szCs w:val="24"/>
        </w:rPr>
      </w:pPr>
      <w:r>
        <w:rPr>
          <w:rFonts w:asciiTheme="minorEastAsia" w:hAnsiTheme="minorEastAsia" w:eastAsiaTheme="minorEastAsia"/>
          <w:color w:val="000000"/>
          <w:szCs w:val="24"/>
        </w:rPr>
        <w:br w:type="page"/>
      </w:r>
    </w:p>
    <w:p w14:paraId="58444D2A">
      <w:pPr>
        <w:spacing w:line="440" w:lineRule="exact"/>
        <w:ind w:firstLine="480"/>
        <w:rPr>
          <w:rFonts w:asciiTheme="minorEastAsia" w:hAnsiTheme="minorEastAsia" w:eastAsiaTheme="minorEastAsia"/>
          <w:color w:val="000000"/>
          <w:szCs w:val="24"/>
        </w:rPr>
      </w:pPr>
      <w:r>
        <w:rPr>
          <w:rFonts w:asciiTheme="minorEastAsia" w:hAnsiTheme="minorEastAsia" w:eastAsiaTheme="minorEastAsia"/>
          <w:color w:val="000000"/>
          <w:szCs w:val="24"/>
        </w:rPr>
        <w:t>附</w:t>
      </w:r>
      <w:bookmarkStart w:id="1069" w:name="_Toc267261698"/>
      <w:bookmarkStart w:id="1070" w:name="_Toc296944566"/>
      <w:bookmarkStart w:id="1071" w:name="_Toc296347226"/>
      <w:bookmarkStart w:id="1072" w:name="_Toc296503227"/>
      <w:bookmarkStart w:id="1073" w:name="_Toc296891055"/>
      <w:bookmarkStart w:id="1074" w:name="_Toc296346728"/>
      <w:bookmarkStart w:id="1075" w:name="_Toc296891267"/>
      <w:r>
        <w:rPr>
          <w:rFonts w:asciiTheme="minorEastAsia" w:hAnsiTheme="minorEastAsia" w:eastAsiaTheme="minorEastAsia"/>
          <w:color w:val="000000"/>
          <w:szCs w:val="24"/>
        </w:rPr>
        <w:t>件5：</w:t>
      </w:r>
    </w:p>
    <w:bookmarkEnd w:id="1069"/>
    <w:bookmarkEnd w:id="1070"/>
    <w:bookmarkEnd w:id="1071"/>
    <w:bookmarkEnd w:id="1072"/>
    <w:bookmarkEnd w:id="1073"/>
    <w:bookmarkEnd w:id="1074"/>
    <w:bookmarkEnd w:id="1075"/>
    <w:p w14:paraId="2756CF90">
      <w:pPr>
        <w:spacing w:beforeLines="50" w:afterLines="50" w:line="440" w:lineRule="exact"/>
        <w:ind w:firstLine="480"/>
        <w:jc w:val="center"/>
        <w:rPr>
          <w:rFonts w:asciiTheme="minorEastAsia" w:hAnsiTheme="minorEastAsia" w:eastAsiaTheme="minorEastAsia"/>
          <w:color w:val="000000"/>
          <w:szCs w:val="24"/>
        </w:rPr>
      </w:pPr>
      <w:r>
        <w:rPr>
          <w:rFonts w:asciiTheme="minorEastAsia" w:hAnsiTheme="minorEastAsia" w:eastAsiaTheme="minorEastAsia"/>
          <w:color w:val="000000"/>
          <w:szCs w:val="24"/>
        </w:rPr>
        <w:t>承包人用于本工程施工的机械设备表</w:t>
      </w:r>
    </w:p>
    <w:tbl>
      <w:tblPr>
        <w:tblStyle w:val="59"/>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037CB4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27CB06E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序号</w:t>
            </w:r>
          </w:p>
        </w:tc>
        <w:tc>
          <w:tcPr>
            <w:tcW w:w="1418" w:type="dxa"/>
            <w:tcBorders>
              <w:top w:val="single" w:color="auto" w:sz="12" w:space="0"/>
              <w:bottom w:val="double" w:color="auto" w:sz="6" w:space="0"/>
            </w:tcBorders>
            <w:vAlign w:val="center"/>
          </w:tcPr>
          <w:p w14:paraId="74331B1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机械或设备名称</w:t>
            </w:r>
          </w:p>
        </w:tc>
        <w:tc>
          <w:tcPr>
            <w:tcW w:w="850" w:type="dxa"/>
            <w:tcBorders>
              <w:top w:val="single" w:color="auto" w:sz="12" w:space="0"/>
              <w:bottom w:val="double" w:color="auto" w:sz="6" w:space="0"/>
            </w:tcBorders>
            <w:vAlign w:val="center"/>
          </w:tcPr>
          <w:p w14:paraId="2457990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规格型号</w:t>
            </w:r>
          </w:p>
        </w:tc>
        <w:tc>
          <w:tcPr>
            <w:tcW w:w="1058" w:type="dxa"/>
            <w:tcBorders>
              <w:top w:val="single" w:color="auto" w:sz="12" w:space="0"/>
              <w:bottom w:val="double" w:color="auto" w:sz="6" w:space="0"/>
            </w:tcBorders>
            <w:vAlign w:val="center"/>
          </w:tcPr>
          <w:p w14:paraId="63DC8D1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数量</w:t>
            </w:r>
          </w:p>
        </w:tc>
        <w:tc>
          <w:tcPr>
            <w:tcW w:w="880" w:type="dxa"/>
            <w:tcBorders>
              <w:top w:val="single" w:color="auto" w:sz="12" w:space="0"/>
              <w:bottom w:val="double" w:color="auto" w:sz="6" w:space="0"/>
            </w:tcBorders>
            <w:vAlign w:val="center"/>
          </w:tcPr>
          <w:p w14:paraId="640466C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产地</w:t>
            </w:r>
          </w:p>
        </w:tc>
        <w:tc>
          <w:tcPr>
            <w:tcW w:w="1020" w:type="dxa"/>
            <w:tcBorders>
              <w:top w:val="single" w:color="auto" w:sz="12" w:space="0"/>
              <w:bottom w:val="double" w:color="auto" w:sz="6" w:space="0"/>
            </w:tcBorders>
            <w:vAlign w:val="center"/>
          </w:tcPr>
          <w:p w14:paraId="6ACA64B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制造年份</w:t>
            </w:r>
          </w:p>
        </w:tc>
        <w:tc>
          <w:tcPr>
            <w:tcW w:w="1480" w:type="dxa"/>
            <w:tcBorders>
              <w:top w:val="single" w:color="auto" w:sz="12" w:space="0"/>
              <w:bottom w:val="double" w:color="auto" w:sz="6" w:space="0"/>
            </w:tcBorders>
            <w:vAlign w:val="center"/>
          </w:tcPr>
          <w:p w14:paraId="40F12B9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额定功率(kW)</w:t>
            </w:r>
          </w:p>
        </w:tc>
        <w:tc>
          <w:tcPr>
            <w:tcW w:w="1020" w:type="dxa"/>
            <w:tcBorders>
              <w:top w:val="single" w:color="auto" w:sz="12" w:space="0"/>
              <w:bottom w:val="double" w:color="auto" w:sz="6" w:space="0"/>
            </w:tcBorders>
            <w:vAlign w:val="center"/>
          </w:tcPr>
          <w:p w14:paraId="07EE440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生产能力</w:t>
            </w:r>
          </w:p>
        </w:tc>
        <w:tc>
          <w:tcPr>
            <w:tcW w:w="921" w:type="dxa"/>
            <w:tcBorders>
              <w:top w:val="single" w:color="auto" w:sz="12" w:space="0"/>
              <w:bottom w:val="double" w:color="auto" w:sz="6" w:space="0"/>
            </w:tcBorders>
            <w:vAlign w:val="center"/>
          </w:tcPr>
          <w:p w14:paraId="64CC83C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备注</w:t>
            </w:r>
          </w:p>
        </w:tc>
      </w:tr>
      <w:tr w14:paraId="56860F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682F990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Borders>
              <w:top w:val="double" w:color="auto" w:sz="6" w:space="0"/>
              <w:bottom w:val="single" w:color="auto" w:sz="6" w:space="0"/>
            </w:tcBorders>
            <w:vAlign w:val="center"/>
          </w:tcPr>
          <w:p w14:paraId="135A1B7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0" w:type="dxa"/>
            <w:tcBorders>
              <w:top w:val="double" w:color="auto" w:sz="6" w:space="0"/>
              <w:bottom w:val="single" w:color="auto" w:sz="6" w:space="0"/>
            </w:tcBorders>
            <w:vAlign w:val="center"/>
          </w:tcPr>
          <w:p w14:paraId="38F4947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058" w:type="dxa"/>
            <w:tcBorders>
              <w:top w:val="double" w:color="auto" w:sz="6" w:space="0"/>
              <w:bottom w:val="single" w:color="auto" w:sz="6" w:space="0"/>
            </w:tcBorders>
            <w:vAlign w:val="center"/>
          </w:tcPr>
          <w:p w14:paraId="6D609EA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80" w:type="dxa"/>
            <w:tcBorders>
              <w:top w:val="double" w:color="auto" w:sz="6" w:space="0"/>
              <w:bottom w:val="single" w:color="auto" w:sz="6" w:space="0"/>
            </w:tcBorders>
            <w:vAlign w:val="center"/>
          </w:tcPr>
          <w:p w14:paraId="065B722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020" w:type="dxa"/>
            <w:tcBorders>
              <w:top w:val="double" w:color="auto" w:sz="6" w:space="0"/>
              <w:bottom w:val="single" w:color="auto" w:sz="6" w:space="0"/>
            </w:tcBorders>
            <w:vAlign w:val="center"/>
          </w:tcPr>
          <w:p w14:paraId="30A186A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80" w:type="dxa"/>
            <w:tcBorders>
              <w:top w:val="double" w:color="auto" w:sz="6" w:space="0"/>
              <w:bottom w:val="single" w:color="auto" w:sz="6" w:space="0"/>
            </w:tcBorders>
            <w:vAlign w:val="center"/>
          </w:tcPr>
          <w:p w14:paraId="194AC20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020" w:type="dxa"/>
            <w:tcBorders>
              <w:top w:val="double" w:color="auto" w:sz="6" w:space="0"/>
              <w:bottom w:val="single" w:color="auto" w:sz="6" w:space="0"/>
            </w:tcBorders>
            <w:vAlign w:val="center"/>
          </w:tcPr>
          <w:p w14:paraId="2446B80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921" w:type="dxa"/>
            <w:tcBorders>
              <w:top w:val="double" w:color="auto" w:sz="6" w:space="0"/>
              <w:bottom w:val="single" w:color="auto" w:sz="6" w:space="0"/>
            </w:tcBorders>
            <w:vAlign w:val="center"/>
          </w:tcPr>
          <w:p w14:paraId="73CE99E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56C3B0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5BE12A9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Borders>
              <w:top w:val="nil"/>
            </w:tcBorders>
            <w:vAlign w:val="center"/>
          </w:tcPr>
          <w:p w14:paraId="4BFCBFD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0" w:type="dxa"/>
            <w:tcBorders>
              <w:top w:val="nil"/>
            </w:tcBorders>
            <w:vAlign w:val="center"/>
          </w:tcPr>
          <w:p w14:paraId="123F955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058" w:type="dxa"/>
            <w:tcBorders>
              <w:top w:val="nil"/>
            </w:tcBorders>
            <w:vAlign w:val="center"/>
          </w:tcPr>
          <w:p w14:paraId="73083AC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80" w:type="dxa"/>
            <w:tcBorders>
              <w:top w:val="nil"/>
            </w:tcBorders>
            <w:vAlign w:val="center"/>
          </w:tcPr>
          <w:p w14:paraId="46FD500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020" w:type="dxa"/>
            <w:tcBorders>
              <w:top w:val="nil"/>
            </w:tcBorders>
            <w:vAlign w:val="center"/>
          </w:tcPr>
          <w:p w14:paraId="43AD8B1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80" w:type="dxa"/>
            <w:tcBorders>
              <w:top w:val="nil"/>
            </w:tcBorders>
            <w:vAlign w:val="center"/>
          </w:tcPr>
          <w:p w14:paraId="7CA03D0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020" w:type="dxa"/>
            <w:tcBorders>
              <w:top w:val="nil"/>
            </w:tcBorders>
            <w:vAlign w:val="center"/>
          </w:tcPr>
          <w:p w14:paraId="5DBA5B4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921" w:type="dxa"/>
            <w:tcBorders>
              <w:top w:val="nil"/>
            </w:tcBorders>
            <w:vAlign w:val="center"/>
          </w:tcPr>
          <w:p w14:paraId="49E7FA2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7FEC6D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A24C3B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vAlign w:val="center"/>
          </w:tcPr>
          <w:p w14:paraId="05A8131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0" w:type="dxa"/>
            <w:vAlign w:val="center"/>
          </w:tcPr>
          <w:p w14:paraId="39A9E5E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058" w:type="dxa"/>
            <w:vAlign w:val="center"/>
          </w:tcPr>
          <w:p w14:paraId="6DB209B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80" w:type="dxa"/>
            <w:vAlign w:val="center"/>
          </w:tcPr>
          <w:p w14:paraId="38BFA3A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020" w:type="dxa"/>
            <w:vAlign w:val="center"/>
          </w:tcPr>
          <w:p w14:paraId="5C801B8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80" w:type="dxa"/>
            <w:vAlign w:val="center"/>
          </w:tcPr>
          <w:p w14:paraId="4FF1341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020" w:type="dxa"/>
            <w:vAlign w:val="center"/>
          </w:tcPr>
          <w:p w14:paraId="7FB9838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921" w:type="dxa"/>
            <w:vAlign w:val="center"/>
          </w:tcPr>
          <w:p w14:paraId="6965876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43FAC3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302B3F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vAlign w:val="center"/>
          </w:tcPr>
          <w:p w14:paraId="2F154B8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0" w:type="dxa"/>
            <w:vAlign w:val="center"/>
          </w:tcPr>
          <w:p w14:paraId="5ADB058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058" w:type="dxa"/>
            <w:vAlign w:val="center"/>
          </w:tcPr>
          <w:p w14:paraId="49E0ACC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80" w:type="dxa"/>
            <w:vAlign w:val="center"/>
          </w:tcPr>
          <w:p w14:paraId="13F3F14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020" w:type="dxa"/>
            <w:vAlign w:val="center"/>
          </w:tcPr>
          <w:p w14:paraId="21FE7BB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80" w:type="dxa"/>
            <w:vAlign w:val="center"/>
          </w:tcPr>
          <w:p w14:paraId="17663EB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020" w:type="dxa"/>
            <w:vAlign w:val="center"/>
          </w:tcPr>
          <w:p w14:paraId="12BE00A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921" w:type="dxa"/>
            <w:vAlign w:val="center"/>
          </w:tcPr>
          <w:p w14:paraId="400FD69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762B58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987A69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vAlign w:val="center"/>
          </w:tcPr>
          <w:p w14:paraId="6D38DEF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0" w:type="dxa"/>
            <w:vAlign w:val="center"/>
          </w:tcPr>
          <w:p w14:paraId="39385C8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058" w:type="dxa"/>
            <w:vAlign w:val="center"/>
          </w:tcPr>
          <w:p w14:paraId="5E12301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80" w:type="dxa"/>
            <w:vAlign w:val="center"/>
          </w:tcPr>
          <w:p w14:paraId="584A07D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020" w:type="dxa"/>
            <w:vAlign w:val="center"/>
          </w:tcPr>
          <w:p w14:paraId="26FDC17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80" w:type="dxa"/>
            <w:vAlign w:val="center"/>
          </w:tcPr>
          <w:p w14:paraId="307802D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020" w:type="dxa"/>
            <w:vAlign w:val="center"/>
          </w:tcPr>
          <w:p w14:paraId="277E3D8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921" w:type="dxa"/>
            <w:vAlign w:val="center"/>
          </w:tcPr>
          <w:p w14:paraId="49BCBC3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316567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5358C1B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vAlign w:val="center"/>
          </w:tcPr>
          <w:p w14:paraId="3D71332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0" w:type="dxa"/>
            <w:vAlign w:val="center"/>
          </w:tcPr>
          <w:p w14:paraId="03C60B9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058" w:type="dxa"/>
            <w:vAlign w:val="center"/>
          </w:tcPr>
          <w:p w14:paraId="2F26D76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80" w:type="dxa"/>
            <w:vAlign w:val="center"/>
          </w:tcPr>
          <w:p w14:paraId="4723AA4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020" w:type="dxa"/>
            <w:vAlign w:val="center"/>
          </w:tcPr>
          <w:p w14:paraId="1655373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80" w:type="dxa"/>
            <w:vAlign w:val="center"/>
          </w:tcPr>
          <w:p w14:paraId="119BC64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020" w:type="dxa"/>
            <w:vAlign w:val="center"/>
          </w:tcPr>
          <w:p w14:paraId="3A7D3BF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921" w:type="dxa"/>
            <w:vAlign w:val="center"/>
          </w:tcPr>
          <w:p w14:paraId="251A394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3C3EC0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0175F3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vAlign w:val="center"/>
          </w:tcPr>
          <w:p w14:paraId="2195AB6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0" w:type="dxa"/>
            <w:vAlign w:val="center"/>
          </w:tcPr>
          <w:p w14:paraId="4D5738C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058" w:type="dxa"/>
            <w:vAlign w:val="center"/>
          </w:tcPr>
          <w:p w14:paraId="4B9E4EA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80" w:type="dxa"/>
            <w:vAlign w:val="center"/>
          </w:tcPr>
          <w:p w14:paraId="0B88D46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020" w:type="dxa"/>
            <w:vAlign w:val="center"/>
          </w:tcPr>
          <w:p w14:paraId="7568075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80" w:type="dxa"/>
            <w:vAlign w:val="center"/>
          </w:tcPr>
          <w:p w14:paraId="6D2CC62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020" w:type="dxa"/>
            <w:vAlign w:val="center"/>
          </w:tcPr>
          <w:p w14:paraId="58ED913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921" w:type="dxa"/>
            <w:vAlign w:val="center"/>
          </w:tcPr>
          <w:p w14:paraId="771E597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474D24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43BB0B7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vAlign w:val="center"/>
          </w:tcPr>
          <w:p w14:paraId="15A0021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0" w:type="dxa"/>
            <w:vAlign w:val="center"/>
          </w:tcPr>
          <w:p w14:paraId="151379F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058" w:type="dxa"/>
            <w:vAlign w:val="center"/>
          </w:tcPr>
          <w:p w14:paraId="2805028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80" w:type="dxa"/>
            <w:vAlign w:val="center"/>
          </w:tcPr>
          <w:p w14:paraId="2B02B92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020" w:type="dxa"/>
            <w:vAlign w:val="center"/>
          </w:tcPr>
          <w:p w14:paraId="0ABCC8C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80" w:type="dxa"/>
            <w:vAlign w:val="center"/>
          </w:tcPr>
          <w:p w14:paraId="7A07579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020" w:type="dxa"/>
            <w:vAlign w:val="center"/>
          </w:tcPr>
          <w:p w14:paraId="2D241FA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921" w:type="dxa"/>
            <w:vAlign w:val="center"/>
          </w:tcPr>
          <w:p w14:paraId="0F863A8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6E3524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0A5E350">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18" w:type="dxa"/>
          </w:tcPr>
          <w:p w14:paraId="333002D8">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850" w:type="dxa"/>
          </w:tcPr>
          <w:p w14:paraId="0D210E5F">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058" w:type="dxa"/>
          </w:tcPr>
          <w:p w14:paraId="12248352">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880" w:type="dxa"/>
          </w:tcPr>
          <w:p w14:paraId="02472546">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020" w:type="dxa"/>
          </w:tcPr>
          <w:p w14:paraId="40D53B24">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80" w:type="dxa"/>
          </w:tcPr>
          <w:p w14:paraId="61DAF322">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020" w:type="dxa"/>
          </w:tcPr>
          <w:p w14:paraId="4325B4F2">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921" w:type="dxa"/>
          </w:tcPr>
          <w:p w14:paraId="42729B23">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r>
      <w:tr w14:paraId="44312D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C60047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vAlign w:val="center"/>
          </w:tcPr>
          <w:p w14:paraId="1623DE8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0" w:type="dxa"/>
            <w:vAlign w:val="center"/>
          </w:tcPr>
          <w:p w14:paraId="24903D1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058" w:type="dxa"/>
            <w:vAlign w:val="center"/>
          </w:tcPr>
          <w:p w14:paraId="452324A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80" w:type="dxa"/>
            <w:vAlign w:val="center"/>
          </w:tcPr>
          <w:p w14:paraId="458F73A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020" w:type="dxa"/>
            <w:vAlign w:val="center"/>
          </w:tcPr>
          <w:p w14:paraId="137E33A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80" w:type="dxa"/>
            <w:vAlign w:val="center"/>
          </w:tcPr>
          <w:p w14:paraId="0425832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020" w:type="dxa"/>
            <w:vAlign w:val="center"/>
          </w:tcPr>
          <w:p w14:paraId="066304D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921" w:type="dxa"/>
            <w:vAlign w:val="center"/>
          </w:tcPr>
          <w:p w14:paraId="4DA0202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2A9BC2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7F9939C">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18" w:type="dxa"/>
          </w:tcPr>
          <w:p w14:paraId="0438069F">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850" w:type="dxa"/>
          </w:tcPr>
          <w:p w14:paraId="561A48EC">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058" w:type="dxa"/>
          </w:tcPr>
          <w:p w14:paraId="76666BED">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880" w:type="dxa"/>
          </w:tcPr>
          <w:p w14:paraId="0DA25ADD">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020" w:type="dxa"/>
          </w:tcPr>
          <w:p w14:paraId="2C1AF79C">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80" w:type="dxa"/>
          </w:tcPr>
          <w:p w14:paraId="13BE439A">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020" w:type="dxa"/>
          </w:tcPr>
          <w:p w14:paraId="2955604E">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921" w:type="dxa"/>
          </w:tcPr>
          <w:p w14:paraId="39E50ABF">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r>
      <w:tr w14:paraId="0C541E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535D837">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18" w:type="dxa"/>
          </w:tcPr>
          <w:p w14:paraId="4A47A37C">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850" w:type="dxa"/>
          </w:tcPr>
          <w:p w14:paraId="602EDE70">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058" w:type="dxa"/>
          </w:tcPr>
          <w:p w14:paraId="0F6492EC">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880" w:type="dxa"/>
          </w:tcPr>
          <w:p w14:paraId="53D5CA12">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020" w:type="dxa"/>
          </w:tcPr>
          <w:p w14:paraId="0A0BA5BB">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80" w:type="dxa"/>
          </w:tcPr>
          <w:p w14:paraId="5006B31F">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020" w:type="dxa"/>
          </w:tcPr>
          <w:p w14:paraId="4ED13E75">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921" w:type="dxa"/>
          </w:tcPr>
          <w:p w14:paraId="01BD0266">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r>
      <w:tr w14:paraId="06C1EB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556D387">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18" w:type="dxa"/>
          </w:tcPr>
          <w:p w14:paraId="76D4F07A">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850" w:type="dxa"/>
          </w:tcPr>
          <w:p w14:paraId="34A5849F">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058" w:type="dxa"/>
          </w:tcPr>
          <w:p w14:paraId="048E86F0">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880" w:type="dxa"/>
          </w:tcPr>
          <w:p w14:paraId="46F11356">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020" w:type="dxa"/>
          </w:tcPr>
          <w:p w14:paraId="1E980688">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80" w:type="dxa"/>
          </w:tcPr>
          <w:p w14:paraId="32EA2ECD">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020" w:type="dxa"/>
          </w:tcPr>
          <w:p w14:paraId="7E2FD734">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921" w:type="dxa"/>
          </w:tcPr>
          <w:p w14:paraId="37227A65">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r>
      <w:tr w14:paraId="444CE1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DC4A29C">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18" w:type="dxa"/>
          </w:tcPr>
          <w:p w14:paraId="74259DD5">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850" w:type="dxa"/>
          </w:tcPr>
          <w:p w14:paraId="6A83F38C">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058" w:type="dxa"/>
          </w:tcPr>
          <w:p w14:paraId="5290C015">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880" w:type="dxa"/>
          </w:tcPr>
          <w:p w14:paraId="5D8F19BC">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020" w:type="dxa"/>
          </w:tcPr>
          <w:p w14:paraId="79AE06FF">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80" w:type="dxa"/>
          </w:tcPr>
          <w:p w14:paraId="5D6A809F">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020" w:type="dxa"/>
          </w:tcPr>
          <w:p w14:paraId="6F2BBFB4">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921" w:type="dxa"/>
          </w:tcPr>
          <w:p w14:paraId="533B689D">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r>
      <w:tr w14:paraId="1E3799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40FDFE1">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18" w:type="dxa"/>
          </w:tcPr>
          <w:p w14:paraId="3A9E0E6C">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850" w:type="dxa"/>
          </w:tcPr>
          <w:p w14:paraId="721B1026">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058" w:type="dxa"/>
          </w:tcPr>
          <w:p w14:paraId="46D558A2">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880" w:type="dxa"/>
          </w:tcPr>
          <w:p w14:paraId="4D37156B">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020" w:type="dxa"/>
          </w:tcPr>
          <w:p w14:paraId="0A3489CE">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80" w:type="dxa"/>
          </w:tcPr>
          <w:p w14:paraId="304CAB10">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020" w:type="dxa"/>
          </w:tcPr>
          <w:p w14:paraId="6CD8A3CA">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921" w:type="dxa"/>
          </w:tcPr>
          <w:p w14:paraId="14B6D6BA">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r>
      <w:tr w14:paraId="6EF060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2031051">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18" w:type="dxa"/>
          </w:tcPr>
          <w:p w14:paraId="75642728">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850" w:type="dxa"/>
          </w:tcPr>
          <w:p w14:paraId="366F2706">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058" w:type="dxa"/>
          </w:tcPr>
          <w:p w14:paraId="6A9B36ED">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880" w:type="dxa"/>
          </w:tcPr>
          <w:p w14:paraId="743B07EE">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020" w:type="dxa"/>
          </w:tcPr>
          <w:p w14:paraId="47CCAA0F">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80" w:type="dxa"/>
          </w:tcPr>
          <w:p w14:paraId="5ECEDFA2">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020" w:type="dxa"/>
          </w:tcPr>
          <w:p w14:paraId="29E202DC">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921" w:type="dxa"/>
          </w:tcPr>
          <w:p w14:paraId="56CACA5E">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r>
      <w:tr w14:paraId="250692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0CC8489">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18" w:type="dxa"/>
          </w:tcPr>
          <w:p w14:paraId="73D16260">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850" w:type="dxa"/>
          </w:tcPr>
          <w:p w14:paraId="0D1B35D6">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058" w:type="dxa"/>
          </w:tcPr>
          <w:p w14:paraId="7DFCB76C">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880" w:type="dxa"/>
          </w:tcPr>
          <w:p w14:paraId="2CF3C83A">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020" w:type="dxa"/>
          </w:tcPr>
          <w:p w14:paraId="269744B9">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80" w:type="dxa"/>
          </w:tcPr>
          <w:p w14:paraId="3718A336">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020" w:type="dxa"/>
          </w:tcPr>
          <w:p w14:paraId="03868B98">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921" w:type="dxa"/>
          </w:tcPr>
          <w:p w14:paraId="16FA80BA">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r>
      <w:tr w14:paraId="7628D5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264B893">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18" w:type="dxa"/>
          </w:tcPr>
          <w:p w14:paraId="5270409A">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850" w:type="dxa"/>
          </w:tcPr>
          <w:p w14:paraId="44425142">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058" w:type="dxa"/>
          </w:tcPr>
          <w:p w14:paraId="2E036165">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880" w:type="dxa"/>
          </w:tcPr>
          <w:p w14:paraId="732E40D0">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020" w:type="dxa"/>
          </w:tcPr>
          <w:p w14:paraId="559941F2">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480" w:type="dxa"/>
          </w:tcPr>
          <w:p w14:paraId="69A59F71">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1020" w:type="dxa"/>
          </w:tcPr>
          <w:p w14:paraId="6F38F3F2">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c>
          <w:tcPr>
            <w:tcW w:w="921" w:type="dxa"/>
          </w:tcPr>
          <w:p w14:paraId="2D7E3188">
            <w:pPr>
              <w:keepLines w:val="0"/>
              <w:pageBreakBefore w:val="0"/>
              <w:widowControl/>
              <w:kinsoku/>
              <w:wordWrap/>
              <w:overflowPunct/>
              <w:topLinePunct w:val="0"/>
              <w:autoSpaceDE/>
              <w:autoSpaceDN/>
              <w:bidi w:val="0"/>
              <w:adjustRightInd w:val="0"/>
              <w:snapToGrid w:val="0"/>
              <w:ind w:left="0" w:right="0" w:firstLine="0" w:firstLineChars="0"/>
              <w:textAlignment w:val="auto"/>
              <w:rPr>
                <w:rFonts w:asciiTheme="minorEastAsia" w:hAnsiTheme="minorEastAsia" w:eastAsiaTheme="minorEastAsia"/>
                <w:color w:val="000000"/>
                <w:szCs w:val="24"/>
              </w:rPr>
            </w:pPr>
          </w:p>
        </w:tc>
      </w:tr>
    </w:tbl>
    <w:p w14:paraId="49E70F0A">
      <w:pPr>
        <w:spacing w:line="440" w:lineRule="exact"/>
        <w:ind w:firstLine="480"/>
        <w:rPr>
          <w:rFonts w:asciiTheme="minorEastAsia" w:hAnsiTheme="minorEastAsia" w:eastAsiaTheme="minorEastAsia"/>
          <w:color w:val="000000"/>
          <w:szCs w:val="24"/>
        </w:rPr>
      </w:pPr>
    </w:p>
    <w:p w14:paraId="779C12A3">
      <w:pPr>
        <w:pStyle w:val="26"/>
        <w:ind w:left="1440" w:firstLine="480"/>
      </w:pPr>
      <w:r>
        <w:br w:type="page"/>
      </w:r>
    </w:p>
    <w:p w14:paraId="1EB304E6">
      <w:pPr>
        <w:spacing w:line="440" w:lineRule="exact"/>
        <w:ind w:firstLine="480"/>
        <w:rPr>
          <w:rFonts w:asciiTheme="minorEastAsia" w:hAnsiTheme="minorEastAsia" w:eastAsiaTheme="minorEastAsia"/>
          <w:color w:val="000000"/>
          <w:szCs w:val="24"/>
        </w:rPr>
      </w:pPr>
      <w:r>
        <w:rPr>
          <w:rFonts w:asciiTheme="minorEastAsia" w:hAnsiTheme="minorEastAsia" w:eastAsiaTheme="minorEastAsia"/>
          <w:color w:val="000000"/>
          <w:szCs w:val="24"/>
        </w:rPr>
        <w:t>附</w:t>
      </w:r>
      <w:bookmarkStart w:id="1076" w:name="_Toc296503228"/>
      <w:bookmarkStart w:id="1077" w:name="_Toc267261699"/>
      <w:bookmarkStart w:id="1078" w:name="_Toc296346729"/>
      <w:bookmarkStart w:id="1079" w:name="_Toc296891056"/>
      <w:bookmarkStart w:id="1080" w:name="_Toc296347227"/>
      <w:bookmarkStart w:id="1081" w:name="_Toc296944567"/>
      <w:bookmarkStart w:id="1082" w:name="_Toc296891268"/>
      <w:r>
        <w:rPr>
          <w:rFonts w:asciiTheme="minorEastAsia" w:hAnsiTheme="minorEastAsia" w:eastAsiaTheme="minorEastAsia"/>
          <w:color w:val="000000"/>
          <w:szCs w:val="24"/>
        </w:rPr>
        <w:t>件6：</w:t>
      </w:r>
    </w:p>
    <w:bookmarkEnd w:id="1076"/>
    <w:bookmarkEnd w:id="1077"/>
    <w:bookmarkEnd w:id="1078"/>
    <w:bookmarkEnd w:id="1079"/>
    <w:bookmarkEnd w:id="1080"/>
    <w:bookmarkEnd w:id="1081"/>
    <w:bookmarkEnd w:id="1082"/>
    <w:p w14:paraId="3F2086EB">
      <w:pPr>
        <w:spacing w:beforeLines="50" w:afterLines="50" w:line="440" w:lineRule="exact"/>
        <w:ind w:firstLine="480"/>
        <w:jc w:val="center"/>
        <w:rPr>
          <w:rFonts w:asciiTheme="minorEastAsia" w:hAnsiTheme="minorEastAsia" w:eastAsiaTheme="minorEastAsia"/>
          <w:color w:val="000000"/>
          <w:szCs w:val="24"/>
        </w:rPr>
      </w:pPr>
      <w:r>
        <w:rPr>
          <w:rFonts w:asciiTheme="minorEastAsia" w:hAnsiTheme="minorEastAsia" w:eastAsiaTheme="minorEastAsia"/>
          <w:color w:val="000000"/>
          <w:szCs w:val="24"/>
        </w:rPr>
        <w:t>承包人主要施工管理人员表</w:t>
      </w:r>
    </w:p>
    <w:tbl>
      <w:tblPr>
        <w:tblStyle w:val="5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00E5C6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79A1B63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名    称</w:t>
            </w:r>
          </w:p>
        </w:tc>
        <w:tc>
          <w:tcPr>
            <w:tcW w:w="1418" w:type="dxa"/>
            <w:tcBorders>
              <w:top w:val="single" w:color="auto" w:sz="12" w:space="0"/>
              <w:bottom w:val="double" w:color="auto" w:sz="6" w:space="0"/>
            </w:tcBorders>
            <w:vAlign w:val="center"/>
          </w:tcPr>
          <w:p w14:paraId="1F6D25C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姓名</w:t>
            </w:r>
          </w:p>
        </w:tc>
        <w:tc>
          <w:tcPr>
            <w:tcW w:w="1134" w:type="dxa"/>
            <w:tcBorders>
              <w:top w:val="single" w:color="auto" w:sz="12" w:space="0"/>
              <w:bottom w:val="double" w:color="auto" w:sz="6" w:space="0"/>
            </w:tcBorders>
            <w:vAlign w:val="center"/>
          </w:tcPr>
          <w:p w14:paraId="42E6D7B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职务</w:t>
            </w:r>
          </w:p>
        </w:tc>
        <w:tc>
          <w:tcPr>
            <w:tcW w:w="1134" w:type="dxa"/>
            <w:tcBorders>
              <w:top w:val="single" w:color="auto" w:sz="12" w:space="0"/>
              <w:bottom w:val="double" w:color="auto" w:sz="6" w:space="0"/>
            </w:tcBorders>
            <w:vAlign w:val="center"/>
          </w:tcPr>
          <w:p w14:paraId="6A303AE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职称</w:t>
            </w:r>
          </w:p>
        </w:tc>
        <w:tc>
          <w:tcPr>
            <w:tcW w:w="4252" w:type="dxa"/>
            <w:tcBorders>
              <w:top w:val="single" w:color="auto" w:sz="12" w:space="0"/>
              <w:bottom w:val="double" w:color="auto" w:sz="6" w:space="0"/>
            </w:tcBorders>
            <w:vAlign w:val="center"/>
          </w:tcPr>
          <w:p w14:paraId="2AF109E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主要资历、经验及承担过的项目</w:t>
            </w:r>
          </w:p>
        </w:tc>
      </w:tr>
      <w:tr w14:paraId="31B55C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587A2FB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一、总部人员</w:t>
            </w:r>
          </w:p>
        </w:tc>
      </w:tr>
      <w:tr w14:paraId="714B0C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05E95E2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项目主管</w:t>
            </w:r>
          </w:p>
        </w:tc>
        <w:tc>
          <w:tcPr>
            <w:tcW w:w="1418" w:type="dxa"/>
            <w:tcBorders>
              <w:top w:val="nil"/>
            </w:tcBorders>
            <w:vAlign w:val="center"/>
          </w:tcPr>
          <w:p w14:paraId="34DA0E6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tcBorders>
              <w:top w:val="nil"/>
            </w:tcBorders>
            <w:vAlign w:val="center"/>
          </w:tcPr>
          <w:p w14:paraId="4852AD9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tcBorders>
              <w:top w:val="nil"/>
            </w:tcBorders>
            <w:vAlign w:val="center"/>
          </w:tcPr>
          <w:p w14:paraId="2C420FA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252" w:type="dxa"/>
            <w:tcBorders>
              <w:top w:val="nil"/>
            </w:tcBorders>
            <w:vAlign w:val="center"/>
          </w:tcPr>
          <w:p w14:paraId="1DE298B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6556A5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3211F5A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vAlign w:val="center"/>
          </w:tcPr>
          <w:p w14:paraId="7577EC6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486F0E2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4B3A923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252" w:type="dxa"/>
            <w:vAlign w:val="center"/>
          </w:tcPr>
          <w:p w14:paraId="3A940DC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26454A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2E8AD38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其他人员</w:t>
            </w:r>
          </w:p>
        </w:tc>
        <w:tc>
          <w:tcPr>
            <w:tcW w:w="1418" w:type="dxa"/>
            <w:vAlign w:val="center"/>
          </w:tcPr>
          <w:p w14:paraId="4099CCC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3CB299F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0E3DA2D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252" w:type="dxa"/>
            <w:vAlign w:val="center"/>
          </w:tcPr>
          <w:p w14:paraId="75F0648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6E70CD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05ECC04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vAlign w:val="center"/>
          </w:tcPr>
          <w:p w14:paraId="3776003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1F4130B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15B9242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252" w:type="dxa"/>
            <w:vAlign w:val="center"/>
          </w:tcPr>
          <w:p w14:paraId="348263C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6B3B65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2F2525F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二、现场人员</w:t>
            </w:r>
          </w:p>
        </w:tc>
      </w:tr>
      <w:tr w14:paraId="25B346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C0F60E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项目经理</w:t>
            </w:r>
          </w:p>
        </w:tc>
        <w:tc>
          <w:tcPr>
            <w:tcW w:w="1418" w:type="dxa"/>
            <w:vAlign w:val="center"/>
          </w:tcPr>
          <w:p w14:paraId="407EEF5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549CBD5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23B1C76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252" w:type="dxa"/>
            <w:vAlign w:val="center"/>
          </w:tcPr>
          <w:p w14:paraId="746CB88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4280CC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96BE20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项目副经理</w:t>
            </w:r>
          </w:p>
        </w:tc>
        <w:tc>
          <w:tcPr>
            <w:tcW w:w="1418" w:type="dxa"/>
            <w:vAlign w:val="center"/>
          </w:tcPr>
          <w:p w14:paraId="4C53AFC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4C88032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025318D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252" w:type="dxa"/>
            <w:vAlign w:val="center"/>
          </w:tcPr>
          <w:p w14:paraId="40F8975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5DD2C8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D16ECD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技术负责人</w:t>
            </w:r>
          </w:p>
        </w:tc>
        <w:tc>
          <w:tcPr>
            <w:tcW w:w="1418" w:type="dxa"/>
            <w:vAlign w:val="center"/>
          </w:tcPr>
          <w:p w14:paraId="78D6D79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1CB07A8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33113A6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252" w:type="dxa"/>
            <w:vAlign w:val="center"/>
          </w:tcPr>
          <w:p w14:paraId="6C97A1B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7001CB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4E6A7D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造价管理</w:t>
            </w:r>
          </w:p>
        </w:tc>
        <w:tc>
          <w:tcPr>
            <w:tcW w:w="1418" w:type="dxa"/>
            <w:vAlign w:val="center"/>
          </w:tcPr>
          <w:p w14:paraId="773045A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30F35AF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2D42E7E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252" w:type="dxa"/>
            <w:vAlign w:val="center"/>
          </w:tcPr>
          <w:p w14:paraId="661E300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393576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4A2859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质量管理</w:t>
            </w:r>
          </w:p>
        </w:tc>
        <w:tc>
          <w:tcPr>
            <w:tcW w:w="1418" w:type="dxa"/>
            <w:vAlign w:val="center"/>
          </w:tcPr>
          <w:p w14:paraId="2E07AC6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2F30F0A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2854F5C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252" w:type="dxa"/>
            <w:vAlign w:val="center"/>
          </w:tcPr>
          <w:p w14:paraId="2DAAE53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0D7B2A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17D5CE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材料管理</w:t>
            </w:r>
          </w:p>
        </w:tc>
        <w:tc>
          <w:tcPr>
            <w:tcW w:w="1418" w:type="dxa"/>
            <w:vAlign w:val="center"/>
          </w:tcPr>
          <w:p w14:paraId="20E69FA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4A9C26E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0216619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252" w:type="dxa"/>
            <w:vAlign w:val="center"/>
          </w:tcPr>
          <w:p w14:paraId="185808F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0D055D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A92A37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计划管理</w:t>
            </w:r>
          </w:p>
        </w:tc>
        <w:tc>
          <w:tcPr>
            <w:tcW w:w="1418" w:type="dxa"/>
            <w:vAlign w:val="center"/>
          </w:tcPr>
          <w:p w14:paraId="75AF763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2BDC8D2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2E03825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252" w:type="dxa"/>
            <w:vAlign w:val="center"/>
          </w:tcPr>
          <w:p w14:paraId="746CE3A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490E0C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7459C4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安全管理</w:t>
            </w:r>
          </w:p>
        </w:tc>
        <w:tc>
          <w:tcPr>
            <w:tcW w:w="1418" w:type="dxa"/>
            <w:vAlign w:val="center"/>
          </w:tcPr>
          <w:p w14:paraId="37C3674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762A04C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02882B0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252" w:type="dxa"/>
            <w:vAlign w:val="center"/>
          </w:tcPr>
          <w:p w14:paraId="45A8ECE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6CA41D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522CDE7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其他人员</w:t>
            </w:r>
          </w:p>
        </w:tc>
        <w:tc>
          <w:tcPr>
            <w:tcW w:w="1418" w:type="dxa"/>
            <w:vAlign w:val="center"/>
          </w:tcPr>
          <w:p w14:paraId="2A026B7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54257AA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2DD3BF4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252" w:type="dxa"/>
            <w:vAlign w:val="center"/>
          </w:tcPr>
          <w:p w14:paraId="3ECFEFC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69AB31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783C487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Borders>
              <w:bottom w:val="nil"/>
            </w:tcBorders>
            <w:vAlign w:val="center"/>
          </w:tcPr>
          <w:p w14:paraId="2571A13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tcBorders>
              <w:bottom w:val="nil"/>
            </w:tcBorders>
            <w:vAlign w:val="center"/>
          </w:tcPr>
          <w:p w14:paraId="16270C2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tcBorders>
              <w:bottom w:val="nil"/>
            </w:tcBorders>
            <w:vAlign w:val="center"/>
          </w:tcPr>
          <w:p w14:paraId="1AB8280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252" w:type="dxa"/>
            <w:tcBorders>
              <w:bottom w:val="nil"/>
            </w:tcBorders>
            <w:vAlign w:val="center"/>
          </w:tcPr>
          <w:p w14:paraId="6C1580C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3E90BF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FCFA4B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vAlign w:val="center"/>
          </w:tcPr>
          <w:p w14:paraId="3AD9D09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04FD95F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0957D9C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252" w:type="dxa"/>
            <w:vAlign w:val="center"/>
          </w:tcPr>
          <w:p w14:paraId="58C1BD2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74B397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344AF49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vAlign w:val="center"/>
          </w:tcPr>
          <w:p w14:paraId="3A6BCED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0E559FE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153E91A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252" w:type="dxa"/>
            <w:vAlign w:val="center"/>
          </w:tcPr>
          <w:p w14:paraId="4520E16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3E9FB6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8E6925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vAlign w:val="center"/>
          </w:tcPr>
          <w:p w14:paraId="5BF94D8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525ECC1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1A0F372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252" w:type="dxa"/>
            <w:vAlign w:val="center"/>
          </w:tcPr>
          <w:p w14:paraId="50BF4F8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016FCA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53574EE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Borders>
              <w:bottom w:val="single" w:color="auto" w:sz="12" w:space="0"/>
            </w:tcBorders>
            <w:vAlign w:val="center"/>
          </w:tcPr>
          <w:p w14:paraId="63CFC9E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tcBorders>
              <w:bottom w:val="single" w:color="auto" w:sz="12" w:space="0"/>
            </w:tcBorders>
            <w:vAlign w:val="center"/>
          </w:tcPr>
          <w:p w14:paraId="1AA00A3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tcBorders>
              <w:bottom w:val="single" w:color="auto" w:sz="12" w:space="0"/>
            </w:tcBorders>
            <w:vAlign w:val="center"/>
          </w:tcPr>
          <w:p w14:paraId="58C1236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252" w:type="dxa"/>
            <w:tcBorders>
              <w:bottom w:val="single" w:color="auto" w:sz="12" w:space="0"/>
            </w:tcBorders>
            <w:vAlign w:val="center"/>
          </w:tcPr>
          <w:p w14:paraId="3CB950F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bl>
    <w:p w14:paraId="2EBE4D33">
      <w:pPr>
        <w:spacing w:line="440" w:lineRule="exact"/>
        <w:ind w:firstLine="480"/>
        <w:rPr>
          <w:rFonts w:asciiTheme="minorEastAsia" w:hAnsiTheme="minorEastAsia" w:eastAsiaTheme="minorEastAsia"/>
          <w:color w:val="000000"/>
          <w:szCs w:val="24"/>
        </w:rPr>
      </w:pPr>
      <w:r>
        <w:rPr>
          <w:rFonts w:asciiTheme="minorEastAsia" w:hAnsiTheme="minorEastAsia" w:eastAsiaTheme="minorEastAsia"/>
          <w:color w:val="000000"/>
          <w:szCs w:val="24"/>
        </w:rPr>
        <w:br w:type="page"/>
      </w:r>
      <w:r>
        <w:rPr>
          <w:rFonts w:asciiTheme="minorEastAsia" w:hAnsiTheme="minorEastAsia" w:eastAsiaTheme="minorEastAsia"/>
          <w:color w:val="000000"/>
          <w:szCs w:val="24"/>
        </w:rPr>
        <w:t>附</w:t>
      </w:r>
      <w:bookmarkStart w:id="1083" w:name="_Toc296347228"/>
      <w:bookmarkStart w:id="1084" w:name="_Toc296503229"/>
      <w:bookmarkStart w:id="1085" w:name="_Toc296944568"/>
      <w:bookmarkStart w:id="1086" w:name="_Toc296891269"/>
      <w:bookmarkStart w:id="1087" w:name="_Toc296346730"/>
      <w:bookmarkStart w:id="1088" w:name="_Toc296891057"/>
      <w:r>
        <w:rPr>
          <w:rFonts w:asciiTheme="minorEastAsia" w:hAnsiTheme="minorEastAsia" w:eastAsiaTheme="minorEastAsia"/>
          <w:color w:val="000000"/>
          <w:szCs w:val="24"/>
        </w:rPr>
        <w:t>件7：</w:t>
      </w:r>
    </w:p>
    <w:bookmarkEnd w:id="1083"/>
    <w:bookmarkEnd w:id="1084"/>
    <w:bookmarkEnd w:id="1085"/>
    <w:bookmarkEnd w:id="1086"/>
    <w:bookmarkEnd w:id="1087"/>
    <w:bookmarkEnd w:id="1088"/>
    <w:p w14:paraId="58CDEE91">
      <w:pPr>
        <w:spacing w:beforeLines="50" w:afterLines="50" w:line="440" w:lineRule="exact"/>
        <w:ind w:firstLine="480"/>
        <w:jc w:val="center"/>
        <w:rPr>
          <w:rFonts w:asciiTheme="minorEastAsia" w:hAnsiTheme="minorEastAsia" w:eastAsiaTheme="minorEastAsia"/>
          <w:color w:val="000000"/>
          <w:szCs w:val="24"/>
        </w:rPr>
      </w:pPr>
      <w:r>
        <w:rPr>
          <w:rFonts w:asciiTheme="minorEastAsia" w:hAnsiTheme="minorEastAsia" w:eastAsiaTheme="minorEastAsia"/>
          <w:color w:val="000000"/>
          <w:szCs w:val="24"/>
        </w:rPr>
        <w:t>分包人主要施工管理人员表</w:t>
      </w:r>
    </w:p>
    <w:tbl>
      <w:tblPr>
        <w:tblStyle w:val="5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651319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43B1826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名    称</w:t>
            </w:r>
          </w:p>
        </w:tc>
        <w:tc>
          <w:tcPr>
            <w:tcW w:w="1418" w:type="dxa"/>
            <w:tcBorders>
              <w:top w:val="single" w:color="auto" w:sz="12" w:space="0"/>
              <w:bottom w:val="double" w:color="auto" w:sz="6" w:space="0"/>
            </w:tcBorders>
            <w:vAlign w:val="center"/>
          </w:tcPr>
          <w:p w14:paraId="46A0EBF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姓名</w:t>
            </w:r>
          </w:p>
        </w:tc>
        <w:tc>
          <w:tcPr>
            <w:tcW w:w="1134" w:type="dxa"/>
            <w:tcBorders>
              <w:top w:val="single" w:color="auto" w:sz="12" w:space="0"/>
              <w:bottom w:val="double" w:color="auto" w:sz="6" w:space="0"/>
            </w:tcBorders>
            <w:vAlign w:val="center"/>
          </w:tcPr>
          <w:p w14:paraId="1B1F6EB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职务</w:t>
            </w:r>
          </w:p>
        </w:tc>
        <w:tc>
          <w:tcPr>
            <w:tcW w:w="1134" w:type="dxa"/>
            <w:tcBorders>
              <w:top w:val="single" w:color="auto" w:sz="12" w:space="0"/>
              <w:bottom w:val="double" w:color="auto" w:sz="6" w:space="0"/>
            </w:tcBorders>
            <w:vAlign w:val="center"/>
          </w:tcPr>
          <w:p w14:paraId="5A773B1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职称</w:t>
            </w:r>
          </w:p>
        </w:tc>
        <w:tc>
          <w:tcPr>
            <w:tcW w:w="4252" w:type="dxa"/>
            <w:tcBorders>
              <w:top w:val="single" w:color="auto" w:sz="12" w:space="0"/>
              <w:bottom w:val="double" w:color="auto" w:sz="6" w:space="0"/>
            </w:tcBorders>
            <w:vAlign w:val="center"/>
          </w:tcPr>
          <w:p w14:paraId="49327F8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主要资历、经验及承担过的项目</w:t>
            </w:r>
          </w:p>
        </w:tc>
      </w:tr>
      <w:tr w14:paraId="0178D9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6AB2C8E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一、总部人员</w:t>
            </w:r>
          </w:p>
        </w:tc>
      </w:tr>
      <w:tr w14:paraId="2F78D4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353BB1B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项目主管</w:t>
            </w:r>
          </w:p>
        </w:tc>
        <w:tc>
          <w:tcPr>
            <w:tcW w:w="1418" w:type="dxa"/>
            <w:tcBorders>
              <w:top w:val="nil"/>
            </w:tcBorders>
            <w:vAlign w:val="center"/>
          </w:tcPr>
          <w:p w14:paraId="28D5ED3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tcBorders>
              <w:top w:val="nil"/>
            </w:tcBorders>
            <w:vAlign w:val="center"/>
          </w:tcPr>
          <w:p w14:paraId="6ED72B7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tcBorders>
              <w:top w:val="nil"/>
            </w:tcBorders>
            <w:vAlign w:val="center"/>
          </w:tcPr>
          <w:p w14:paraId="66EA85D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252" w:type="dxa"/>
            <w:tcBorders>
              <w:top w:val="nil"/>
            </w:tcBorders>
            <w:vAlign w:val="center"/>
          </w:tcPr>
          <w:p w14:paraId="66A8C2A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431180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3FA1465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vAlign w:val="center"/>
          </w:tcPr>
          <w:p w14:paraId="08ADC61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49E1D5A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68BF2F0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252" w:type="dxa"/>
            <w:vAlign w:val="center"/>
          </w:tcPr>
          <w:p w14:paraId="00EDBD4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4937AD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172559A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其他人员</w:t>
            </w:r>
          </w:p>
        </w:tc>
        <w:tc>
          <w:tcPr>
            <w:tcW w:w="1418" w:type="dxa"/>
            <w:vAlign w:val="center"/>
          </w:tcPr>
          <w:p w14:paraId="4896DC3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577AB6D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5776C0E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252" w:type="dxa"/>
            <w:vAlign w:val="center"/>
          </w:tcPr>
          <w:p w14:paraId="2472D75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446DF2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7118741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vAlign w:val="center"/>
          </w:tcPr>
          <w:p w14:paraId="1659C6E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20EC41C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1593506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252" w:type="dxa"/>
            <w:vAlign w:val="center"/>
          </w:tcPr>
          <w:p w14:paraId="17E719B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5EA4CF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365E361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二、现场人员</w:t>
            </w:r>
          </w:p>
        </w:tc>
      </w:tr>
      <w:tr w14:paraId="28FA4F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6B83B4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项目经理</w:t>
            </w:r>
          </w:p>
        </w:tc>
        <w:tc>
          <w:tcPr>
            <w:tcW w:w="1418" w:type="dxa"/>
            <w:vAlign w:val="center"/>
          </w:tcPr>
          <w:p w14:paraId="0B32627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62017B8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053FBAD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252" w:type="dxa"/>
            <w:vAlign w:val="center"/>
          </w:tcPr>
          <w:p w14:paraId="1F518B4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61ADFB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D842AB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项目副经理</w:t>
            </w:r>
          </w:p>
        </w:tc>
        <w:tc>
          <w:tcPr>
            <w:tcW w:w="1418" w:type="dxa"/>
            <w:vAlign w:val="center"/>
          </w:tcPr>
          <w:p w14:paraId="05D57EC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19A9E38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153ADCA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252" w:type="dxa"/>
            <w:vAlign w:val="center"/>
          </w:tcPr>
          <w:p w14:paraId="68CD20A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76DF31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6EFEEF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技术负责人</w:t>
            </w:r>
          </w:p>
        </w:tc>
        <w:tc>
          <w:tcPr>
            <w:tcW w:w="1418" w:type="dxa"/>
            <w:vAlign w:val="center"/>
          </w:tcPr>
          <w:p w14:paraId="30EC5A6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4F24448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6426676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252" w:type="dxa"/>
            <w:vAlign w:val="center"/>
          </w:tcPr>
          <w:p w14:paraId="6C32A15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511557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855CAF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造价管理</w:t>
            </w:r>
          </w:p>
        </w:tc>
        <w:tc>
          <w:tcPr>
            <w:tcW w:w="1418" w:type="dxa"/>
            <w:vAlign w:val="center"/>
          </w:tcPr>
          <w:p w14:paraId="2077A1D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78C1136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6D5460C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252" w:type="dxa"/>
            <w:vAlign w:val="center"/>
          </w:tcPr>
          <w:p w14:paraId="413FC58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146017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91C1CB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质量管理</w:t>
            </w:r>
          </w:p>
        </w:tc>
        <w:tc>
          <w:tcPr>
            <w:tcW w:w="1418" w:type="dxa"/>
            <w:vAlign w:val="center"/>
          </w:tcPr>
          <w:p w14:paraId="01BBB2C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020370B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31A0E2E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252" w:type="dxa"/>
            <w:vAlign w:val="center"/>
          </w:tcPr>
          <w:p w14:paraId="55D1096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3E5800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290914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材料管理</w:t>
            </w:r>
          </w:p>
        </w:tc>
        <w:tc>
          <w:tcPr>
            <w:tcW w:w="1418" w:type="dxa"/>
            <w:vAlign w:val="center"/>
          </w:tcPr>
          <w:p w14:paraId="7AFBE01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08CC1CE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297675A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252" w:type="dxa"/>
            <w:vAlign w:val="center"/>
          </w:tcPr>
          <w:p w14:paraId="7964EA5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69AD16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3363A3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计划管理</w:t>
            </w:r>
          </w:p>
        </w:tc>
        <w:tc>
          <w:tcPr>
            <w:tcW w:w="1418" w:type="dxa"/>
            <w:vAlign w:val="center"/>
          </w:tcPr>
          <w:p w14:paraId="32F33CE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7D57238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1095F2C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252" w:type="dxa"/>
            <w:vAlign w:val="center"/>
          </w:tcPr>
          <w:p w14:paraId="7551321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2DFE0F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AF7ACD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安全管理</w:t>
            </w:r>
          </w:p>
        </w:tc>
        <w:tc>
          <w:tcPr>
            <w:tcW w:w="1418" w:type="dxa"/>
            <w:vAlign w:val="center"/>
          </w:tcPr>
          <w:p w14:paraId="09BB6C3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0577980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0F74BE9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252" w:type="dxa"/>
            <w:vAlign w:val="center"/>
          </w:tcPr>
          <w:p w14:paraId="58D0BCB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3AE65A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01D004A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其他人员</w:t>
            </w:r>
          </w:p>
        </w:tc>
        <w:tc>
          <w:tcPr>
            <w:tcW w:w="1418" w:type="dxa"/>
            <w:vAlign w:val="center"/>
          </w:tcPr>
          <w:p w14:paraId="32B00DE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691937F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03AE102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252" w:type="dxa"/>
            <w:vAlign w:val="center"/>
          </w:tcPr>
          <w:p w14:paraId="6F73B2F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273452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3B1DAFF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Borders>
              <w:bottom w:val="nil"/>
            </w:tcBorders>
            <w:vAlign w:val="center"/>
          </w:tcPr>
          <w:p w14:paraId="2FDC68D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tcBorders>
              <w:bottom w:val="nil"/>
            </w:tcBorders>
            <w:vAlign w:val="center"/>
          </w:tcPr>
          <w:p w14:paraId="7B16F7F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tcBorders>
              <w:bottom w:val="nil"/>
            </w:tcBorders>
            <w:vAlign w:val="center"/>
          </w:tcPr>
          <w:p w14:paraId="7A003DB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252" w:type="dxa"/>
            <w:tcBorders>
              <w:bottom w:val="nil"/>
            </w:tcBorders>
            <w:vAlign w:val="center"/>
          </w:tcPr>
          <w:p w14:paraId="5B58AE8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767F4D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7A0AEB3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vAlign w:val="center"/>
          </w:tcPr>
          <w:p w14:paraId="0AB554C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298CAC7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28DC353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252" w:type="dxa"/>
            <w:vAlign w:val="center"/>
          </w:tcPr>
          <w:p w14:paraId="12378FA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46AA5C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89B8E1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vAlign w:val="center"/>
          </w:tcPr>
          <w:p w14:paraId="0081DDB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55612B1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725351A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252" w:type="dxa"/>
            <w:vAlign w:val="center"/>
          </w:tcPr>
          <w:p w14:paraId="7C54BC1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5C5F0C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20ED90D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vAlign w:val="center"/>
          </w:tcPr>
          <w:p w14:paraId="0D9348D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72BF5D9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vAlign w:val="center"/>
          </w:tcPr>
          <w:p w14:paraId="11DF1B6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252" w:type="dxa"/>
            <w:vAlign w:val="center"/>
          </w:tcPr>
          <w:p w14:paraId="23BA459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4ACE2A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0CE629B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Borders>
              <w:bottom w:val="single" w:color="auto" w:sz="12" w:space="0"/>
            </w:tcBorders>
            <w:vAlign w:val="center"/>
          </w:tcPr>
          <w:p w14:paraId="60A1996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tcBorders>
              <w:bottom w:val="single" w:color="auto" w:sz="12" w:space="0"/>
            </w:tcBorders>
            <w:vAlign w:val="center"/>
          </w:tcPr>
          <w:p w14:paraId="3A00C1E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134" w:type="dxa"/>
            <w:tcBorders>
              <w:bottom w:val="single" w:color="auto" w:sz="12" w:space="0"/>
            </w:tcBorders>
            <w:vAlign w:val="center"/>
          </w:tcPr>
          <w:p w14:paraId="386EB87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252" w:type="dxa"/>
            <w:tcBorders>
              <w:bottom w:val="single" w:color="auto" w:sz="12" w:space="0"/>
            </w:tcBorders>
            <w:vAlign w:val="center"/>
          </w:tcPr>
          <w:p w14:paraId="034D096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bl>
    <w:p w14:paraId="34F41BF6">
      <w:pPr>
        <w:spacing w:line="440" w:lineRule="exact"/>
        <w:ind w:firstLine="480"/>
        <w:rPr>
          <w:rFonts w:asciiTheme="minorEastAsia" w:hAnsiTheme="minorEastAsia" w:eastAsiaTheme="minorEastAsia"/>
          <w:color w:val="000000"/>
          <w:szCs w:val="24"/>
        </w:rPr>
      </w:pPr>
      <w:r>
        <w:rPr>
          <w:rFonts w:asciiTheme="minorEastAsia" w:hAnsiTheme="minorEastAsia" w:eastAsiaTheme="minorEastAsia"/>
          <w:color w:val="000000"/>
          <w:szCs w:val="24"/>
        </w:rPr>
        <w:br w:type="page"/>
      </w:r>
      <w:bookmarkStart w:id="1089" w:name="_Toc267261701"/>
      <w:r>
        <w:rPr>
          <w:rFonts w:asciiTheme="minorEastAsia" w:hAnsiTheme="minorEastAsia" w:eastAsiaTheme="minorEastAsia"/>
          <w:color w:val="000000"/>
          <w:szCs w:val="24"/>
        </w:rPr>
        <w:t>附</w:t>
      </w:r>
      <w:bookmarkStart w:id="1090" w:name="_Toc296891271"/>
      <w:bookmarkStart w:id="1091" w:name="_Toc296891059"/>
      <w:bookmarkStart w:id="1092" w:name="_Toc296347230"/>
      <w:bookmarkStart w:id="1093" w:name="_Toc296346732"/>
      <w:bookmarkStart w:id="1094" w:name="_Toc296944570"/>
      <w:bookmarkStart w:id="1095" w:name="_Toc296503231"/>
      <w:r>
        <w:rPr>
          <w:rFonts w:asciiTheme="minorEastAsia" w:hAnsiTheme="minorEastAsia" w:eastAsiaTheme="minorEastAsia"/>
          <w:color w:val="000000"/>
          <w:szCs w:val="24"/>
        </w:rPr>
        <w:t>件8：</w:t>
      </w:r>
    </w:p>
    <w:bookmarkEnd w:id="1089"/>
    <w:bookmarkEnd w:id="1090"/>
    <w:bookmarkEnd w:id="1091"/>
    <w:bookmarkEnd w:id="1092"/>
    <w:bookmarkEnd w:id="1093"/>
    <w:bookmarkEnd w:id="1094"/>
    <w:bookmarkEnd w:id="1095"/>
    <w:p w14:paraId="7DAEA660">
      <w:pPr>
        <w:spacing w:beforeLines="50" w:afterLines="50" w:line="400" w:lineRule="exact"/>
        <w:ind w:firstLine="480"/>
        <w:jc w:val="center"/>
        <w:rPr>
          <w:rFonts w:asciiTheme="minorEastAsia" w:hAnsiTheme="minorEastAsia" w:eastAsiaTheme="minorEastAsia"/>
          <w:color w:val="000000"/>
          <w:szCs w:val="24"/>
        </w:rPr>
      </w:pPr>
      <w:r>
        <w:rPr>
          <w:rFonts w:asciiTheme="minorEastAsia" w:hAnsiTheme="minorEastAsia" w:eastAsiaTheme="minorEastAsia"/>
          <w:color w:val="000000"/>
          <w:szCs w:val="24"/>
        </w:rPr>
        <w:t>履约担保</w:t>
      </w:r>
    </w:p>
    <w:p w14:paraId="154730AF">
      <w:pPr>
        <w:spacing w:line="400" w:lineRule="exact"/>
        <w:ind w:firstLine="480"/>
        <w:rPr>
          <w:rFonts w:asciiTheme="minorEastAsia" w:hAnsiTheme="minorEastAsia" w:eastAsiaTheme="minorEastAsia"/>
          <w:color w:val="000000"/>
          <w:szCs w:val="24"/>
        </w:rPr>
      </w:pPr>
      <w:r>
        <w:rPr>
          <w:rFonts w:asciiTheme="minorEastAsia" w:hAnsiTheme="minorEastAsia" w:eastAsiaTheme="minorEastAsia"/>
          <w:color w:val="000000"/>
          <w:szCs w:val="24"/>
        </w:rPr>
        <w:t>（发包人名称）：</w:t>
      </w:r>
    </w:p>
    <w:p w14:paraId="4101DDA6">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p>
    <w:p w14:paraId="2F1E50B3">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asciiTheme="minorEastAsia" w:hAnsiTheme="minorEastAsia" w:eastAsiaTheme="minorEastAsia"/>
          <w:color w:val="000000"/>
          <w:szCs w:val="24"/>
        </w:rPr>
        <w:t xml:space="preserve">鉴于（发包人名称，以下简称“发包人”）与（承包人名称）（以下称“承包人”）于年月日就（工程名称）施工及有关事项协商一致共同签订《建设工程施工合同》。我方愿意无条件地、不可撤销地就承包人履行与你方签订的合同，向你方提供连带责任担保。 </w:t>
      </w:r>
    </w:p>
    <w:p w14:paraId="5C8C30FE">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asciiTheme="minorEastAsia" w:hAnsiTheme="minorEastAsia" w:eastAsiaTheme="minorEastAsia"/>
          <w:color w:val="000000"/>
          <w:szCs w:val="24"/>
        </w:rPr>
        <w:t>1. 担保金额人民币（大写）元（¥）。</w:t>
      </w:r>
    </w:p>
    <w:p w14:paraId="33BDF711">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asciiTheme="minorEastAsia" w:hAnsiTheme="minorEastAsia" w:eastAsiaTheme="minorEastAsia"/>
          <w:color w:val="000000"/>
          <w:szCs w:val="24"/>
        </w:rPr>
        <w:t>2. 担保有效期自你方与承包人签订的合同生效之日起至你方签发或应签发工程接收证书之日止。</w:t>
      </w:r>
    </w:p>
    <w:p w14:paraId="1C7890EA">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asciiTheme="minorEastAsia" w:hAnsiTheme="minorEastAsia" w:eastAsiaTheme="minorEastAsia"/>
          <w:color w:val="000000"/>
          <w:szCs w:val="24"/>
        </w:rPr>
        <w:t>3. 在本担保有效期内，因承包人违反合同约定的义务给你方造成经济损失时，我方在收到你方以书面形式提出的在担保金额内的赔偿要求后，在7天内无条件支付。</w:t>
      </w:r>
    </w:p>
    <w:p w14:paraId="1186EA40">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asciiTheme="minorEastAsia" w:hAnsiTheme="minorEastAsia" w:eastAsiaTheme="minorEastAsia"/>
          <w:color w:val="000000"/>
          <w:szCs w:val="24"/>
        </w:rPr>
        <w:t>4. 你方和承包人按合同约定变更合同时，我方承担本担保规定的义务不变。</w:t>
      </w:r>
    </w:p>
    <w:p w14:paraId="4F27A8D0">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asciiTheme="minorEastAsia" w:hAnsiTheme="minorEastAsia" w:eastAsiaTheme="minorEastAsia"/>
          <w:color w:val="000000"/>
          <w:szCs w:val="24"/>
        </w:rPr>
        <w:t>5. 因本保函发生的纠纷，可由双方协商解决，协商不成的，任何一方均可提请仲裁委员会仲裁。</w:t>
      </w:r>
    </w:p>
    <w:p w14:paraId="34F911D2">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asciiTheme="minorEastAsia" w:hAnsiTheme="minorEastAsia" w:eastAsiaTheme="minorEastAsia"/>
          <w:color w:val="000000"/>
          <w:szCs w:val="24"/>
        </w:rPr>
        <w:t>6. 本保函自我方法定代表人（或其授权代理人）签字并加盖公章之日起生效。</w:t>
      </w:r>
    </w:p>
    <w:p w14:paraId="35F7C180">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p>
    <w:p w14:paraId="5E514422">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asciiTheme="minorEastAsia" w:hAnsiTheme="minorEastAsia" w:eastAsiaTheme="minorEastAsia"/>
          <w:color w:val="000000"/>
          <w:szCs w:val="24"/>
        </w:rPr>
        <w:t>担 保 人：（盖单位章）</w:t>
      </w:r>
    </w:p>
    <w:p w14:paraId="04A82E3F">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asciiTheme="minorEastAsia" w:hAnsiTheme="minorEastAsia" w:eastAsiaTheme="minorEastAsia"/>
          <w:color w:val="000000"/>
          <w:szCs w:val="24"/>
        </w:rPr>
        <w:t>法定代表人或其委托代理人：（签字）</w:t>
      </w:r>
    </w:p>
    <w:p w14:paraId="22FCA35D">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asciiTheme="minorEastAsia" w:hAnsiTheme="minorEastAsia" w:eastAsiaTheme="minorEastAsia"/>
          <w:color w:val="000000"/>
          <w:szCs w:val="24"/>
        </w:rPr>
        <w:t>地    址：</w:t>
      </w:r>
    </w:p>
    <w:p w14:paraId="21268391">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asciiTheme="minorEastAsia" w:hAnsiTheme="minorEastAsia" w:eastAsiaTheme="minorEastAsia"/>
          <w:color w:val="000000"/>
          <w:szCs w:val="24"/>
        </w:rPr>
        <w:t>邮政编码：</w:t>
      </w:r>
    </w:p>
    <w:p w14:paraId="449BEC5E">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u w:val="single"/>
        </w:rPr>
      </w:pPr>
      <w:r>
        <w:rPr>
          <w:rFonts w:asciiTheme="minorEastAsia" w:hAnsiTheme="minorEastAsia" w:eastAsiaTheme="minorEastAsia"/>
          <w:color w:val="000000"/>
          <w:szCs w:val="24"/>
        </w:rPr>
        <w:t>电    话：</w:t>
      </w:r>
    </w:p>
    <w:p w14:paraId="466AB89A">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asciiTheme="minorEastAsia" w:hAnsiTheme="minorEastAsia" w:eastAsiaTheme="minorEastAsia"/>
          <w:color w:val="000000"/>
          <w:szCs w:val="24"/>
        </w:rPr>
        <w:t>传    真：</w:t>
      </w:r>
    </w:p>
    <w:p w14:paraId="6A220EF8">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u w:val="single"/>
        </w:rPr>
      </w:pPr>
    </w:p>
    <w:p w14:paraId="6D65DF8D">
      <w:pPr>
        <w:keepNext w:val="0"/>
        <w:keepLines w:val="0"/>
        <w:pageBreakBefore w:val="0"/>
        <w:widowControl/>
        <w:kinsoku/>
        <w:wordWrap/>
        <w:overflowPunct/>
        <w:topLinePunct w:val="0"/>
        <w:autoSpaceDE/>
        <w:autoSpaceDN/>
        <w:bidi w:val="0"/>
        <w:adjustRightInd w:val="0"/>
        <w:snapToGrid w:val="0"/>
        <w:spacing w:line="440" w:lineRule="exact"/>
        <w:ind w:left="1514" w:leftChars="299" w:hanging="796" w:hangingChars="332"/>
        <w:textAlignment w:val="auto"/>
        <w:rPr>
          <w:rFonts w:asciiTheme="minorEastAsia" w:hAnsiTheme="minorEastAsia" w:eastAsiaTheme="minorEastAsia"/>
          <w:color w:val="000000"/>
          <w:szCs w:val="24"/>
        </w:rPr>
      </w:pPr>
      <w:r>
        <w:rPr>
          <w:rFonts w:asciiTheme="minorEastAsia" w:hAnsiTheme="minorEastAsia" w:eastAsiaTheme="minorEastAsia"/>
          <w:color w:val="000000"/>
          <w:szCs w:val="24"/>
        </w:rPr>
        <w:t>年月日</w:t>
      </w:r>
    </w:p>
    <w:p w14:paraId="5CEB2974">
      <w:pPr>
        <w:ind w:firstLine="480"/>
        <w:rPr>
          <w:rFonts w:asciiTheme="minorEastAsia" w:hAnsiTheme="minorEastAsia" w:eastAsiaTheme="minorEastAsia"/>
          <w:color w:val="000000"/>
          <w:szCs w:val="24"/>
        </w:rPr>
      </w:pPr>
      <w:r>
        <w:rPr>
          <w:rFonts w:asciiTheme="minorEastAsia" w:hAnsiTheme="minorEastAsia" w:eastAsiaTheme="minorEastAsia"/>
          <w:color w:val="000000"/>
          <w:szCs w:val="24"/>
        </w:rPr>
        <w:br w:type="page"/>
      </w:r>
      <w:r>
        <w:rPr>
          <w:rFonts w:asciiTheme="minorEastAsia" w:hAnsiTheme="minorEastAsia" w:eastAsiaTheme="minorEastAsia"/>
          <w:color w:val="000000"/>
          <w:szCs w:val="24"/>
        </w:rPr>
        <w:t>附</w:t>
      </w:r>
      <w:bookmarkStart w:id="1096" w:name="_Toc296503232"/>
      <w:bookmarkStart w:id="1097" w:name="_Toc296347231"/>
      <w:bookmarkStart w:id="1098" w:name="_Toc296346733"/>
      <w:bookmarkStart w:id="1099" w:name="_Toc296891272"/>
      <w:bookmarkStart w:id="1100" w:name="_Toc296891060"/>
      <w:bookmarkStart w:id="1101" w:name="_Toc267261702"/>
      <w:bookmarkStart w:id="1102" w:name="_Toc296944571"/>
      <w:r>
        <w:rPr>
          <w:rFonts w:asciiTheme="minorEastAsia" w:hAnsiTheme="minorEastAsia" w:eastAsiaTheme="minorEastAsia"/>
          <w:color w:val="000000"/>
          <w:szCs w:val="24"/>
        </w:rPr>
        <w:t>件9 ：</w:t>
      </w:r>
    </w:p>
    <w:bookmarkEnd w:id="1096"/>
    <w:bookmarkEnd w:id="1097"/>
    <w:bookmarkEnd w:id="1098"/>
    <w:bookmarkEnd w:id="1099"/>
    <w:bookmarkEnd w:id="1100"/>
    <w:bookmarkEnd w:id="1101"/>
    <w:bookmarkEnd w:id="1102"/>
    <w:p w14:paraId="3E54AE96">
      <w:pPr>
        <w:spacing w:beforeLines="50" w:afterLines="50" w:line="400" w:lineRule="exact"/>
        <w:ind w:firstLine="480"/>
        <w:jc w:val="center"/>
        <w:rPr>
          <w:rFonts w:asciiTheme="minorEastAsia" w:hAnsiTheme="minorEastAsia" w:eastAsiaTheme="minorEastAsia"/>
          <w:color w:val="000000"/>
          <w:szCs w:val="24"/>
        </w:rPr>
      </w:pPr>
      <w:r>
        <w:rPr>
          <w:rFonts w:asciiTheme="minorEastAsia" w:hAnsiTheme="minorEastAsia" w:eastAsiaTheme="minorEastAsia"/>
          <w:color w:val="000000"/>
          <w:szCs w:val="24"/>
        </w:rPr>
        <w:t>预付款担保</w:t>
      </w:r>
    </w:p>
    <w:p w14:paraId="4AD987A9">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rPr>
        <w:t xml:space="preserve"> （发包人名称）：</w:t>
      </w:r>
    </w:p>
    <w:p w14:paraId="7E472456">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asciiTheme="minorEastAsia" w:hAnsiTheme="minorEastAsia" w:eastAsiaTheme="minorEastAsia"/>
          <w:color w:val="000000"/>
          <w:szCs w:val="24"/>
        </w:rPr>
        <w:t>根据（承包人名称）（以下称</w:t>
      </w:r>
      <w:r>
        <w:rPr>
          <w:rFonts w:hint="eastAsia" w:asciiTheme="minorEastAsia" w:hAnsiTheme="minorEastAsia" w:eastAsiaTheme="minorEastAsia"/>
          <w:color w:val="000000"/>
          <w:szCs w:val="24"/>
        </w:rPr>
        <w:t>“</w:t>
      </w:r>
      <w:r>
        <w:rPr>
          <w:rFonts w:asciiTheme="minorEastAsia" w:hAnsiTheme="minorEastAsia" w:eastAsiaTheme="minorEastAsia"/>
          <w:color w:val="000000"/>
          <w:szCs w:val="24"/>
        </w:rPr>
        <w:t>承包人</w:t>
      </w:r>
      <w:r>
        <w:rPr>
          <w:rFonts w:hint="eastAsia" w:asciiTheme="minorEastAsia" w:hAnsiTheme="minorEastAsia" w:eastAsiaTheme="minorEastAsia"/>
          <w:color w:val="000000"/>
          <w:szCs w:val="24"/>
        </w:rPr>
        <w:t>”</w:t>
      </w:r>
      <w:r>
        <w:rPr>
          <w:rFonts w:asciiTheme="minorEastAsia" w:hAnsiTheme="minorEastAsia" w:eastAsiaTheme="minorEastAsia"/>
          <w:color w:val="000000"/>
          <w:szCs w:val="24"/>
        </w:rPr>
        <w:t>）与</w:t>
      </w:r>
    </w:p>
    <w:p w14:paraId="1B62C648">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outlineLvl w:val="0"/>
        <w:rPr>
          <w:rFonts w:asciiTheme="minorEastAsia" w:hAnsiTheme="minorEastAsia" w:eastAsiaTheme="minorEastAsia"/>
          <w:color w:val="000000"/>
          <w:szCs w:val="24"/>
        </w:rPr>
      </w:pPr>
      <w:r>
        <w:rPr>
          <w:rFonts w:asciiTheme="minorEastAsia" w:hAnsiTheme="minorEastAsia" w:eastAsiaTheme="minorEastAsia"/>
          <w:color w:val="000000"/>
          <w:szCs w:val="24"/>
        </w:rPr>
        <w:t>（发包人名称）（以下简称</w:t>
      </w:r>
      <w:r>
        <w:rPr>
          <w:rFonts w:hint="eastAsia" w:asciiTheme="minorEastAsia" w:hAnsiTheme="minorEastAsia" w:eastAsiaTheme="minorEastAsia"/>
          <w:color w:val="000000"/>
          <w:szCs w:val="24"/>
        </w:rPr>
        <w:t>“</w:t>
      </w:r>
      <w:r>
        <w:rPr>
          <w:rFonts w:asciiTheme="minorEastAsia" w:hAnsiTheme="minorEastAsia" w:eastAsiaTheme="minorEastAsia"/>
          <w:color w:val="000000"/>
          <w:szCs w:val="24"/>
        </w:rPr>
        <w:t>发包人</w:t>
      </w:r>
      <w:r>
        <w:rPr>
          <w:rFonts w:hint="eastAsia" w:asciiTheme="minorEastAsia" w:hAnsiTheme="minorEastAsia" w:eastAsiaTheme="minorEastAsia"/>
          <w:color w:val="000000"/>
          <w:szCs w:val="24"/>
        </w:rPr>
        <w:t>”</w:t>
      </w:r>
      <w:r>
        <w:rPr>
          <w:rFonts w:asciiTheme="minorEastAsia" w:hAnsiTheme="minorEastAsia" w:eastAsiaTheme="minorEastAsia"/>
          <w:color w:val="000000"/>
          <w:szCs w:val="24"/>
        </w:rPr>
        <w:t>）</w:t>
      </w:r>
    </w:p>
    <w:p w14:paraId="30F6D788">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asciiTheme="minorEastAsia" w:hAnsiTheme="minorEastAsia" w:eastAsiaTheme="minorEastAsia"/>
          <w:color w:val="000000"/>
          <w:szCs w:val="24"/>
        </w:rPr>
        <w:t>于年月日签订的（工程名称）《建设工程施工合同》，承包人按约定的金额向</w:t>
      </w:r>
      <w:r>
        <w:rPr>
          <w:rFonts w:hint="eastAsia" w:asciiTheme="minorEastAsia" w:hAnsiTheme="minorEastAsia" w:eastAsiaTheme="minorEastAsia"/>
          <w:color w:val="000000"/>
          <w:szCs w:val="24"/>
        </w:rPr>
        <w:t>你方</w:t>
      </w:r>
      <w:r>
        <w:rPr>
          <w:rFonts w:asciiTheme="minorEastAsia" w:hAnsiTheme="minorEastAsia" w:eastAsiaTheme="minorEastAsia"/>
          <w:color w:val="000000"/>
          <w:szCs w:val="24"/>
        </w:rPr>
        <w:t>提交一份预付款担保，即有权得到</w:t>
      </w:r>
      <w:r>
        <w:rPr>
          <w:rFonts w:hint="eastAsia" w:asciiTheme="minorEastAsia" w:hAnsiTheme="minorEastAsia" w:eastAsiaTheme="minorEastAsia"/>
          <w:color w:val="000000"/>
          <w:szCs w:val="24"/>
        </w:rPr>
        <w:t>你方</w:t>
      </w:r>
      <w:r>
        <w:rPr>
          <w:rFonts w:asciiTheme="minorEastAsia" w:hAnsiTheme="minorEastAsia" w:eastAsiaTheme="minorEastAsia"/>
          <w:color w:val="000000"/>
          <w:szCs w:val="24"/>
        </w:rPr>
        <w:t>支付相等金额的预付款。我方愿意就你方提供给承包人的预付款</w:t>
      </w:r>
      <w:r>
        <w:rPr>
          <w:rFonts w:hint="eastAsia" w:asciiTheme="minorEastAsia" w:hAnsiTheme="minorEastAsia" w:eastAsiaTheme="minorEastAsia"/>
          <w:color w:val="000000"/>
          <w:szCs w:val="24"/>
        </w:rPr>
        <w:t>为承包人</w:t>
      </w:r>
      <w:r>
        <w:rPr>
          <w:rFonts w:asciiTheme="minorEastAsia" w:hAnsiTheme="minorEastAsia" w:eastAsiaTheme="minorEastAsia"/>
          <w:color w:val="000000"/>
          <w:szCs w:val="24"/>
        </w:rPr>
        <w:t>提供连带责任担保。</w:t>
      </w:r>
    </w:p>
    <w:p w14:paraId="0D39D2FE">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1. </w:t>
      </w:r>
      <w:r>
        <w:rPr>
          <w:rFonts w:asciiTheme="minorEastAsia" w:hAnsiTheme="minorEastAsia" w:eastAsiaTheme="minorEastAsia"/>
          <w:color w:val="000000"/>
          <w:szCs w:val="24"/>
        </w:rPr>
        <w:t>担保金额人民币（大写）</w:t>
      </w:r>
      <w:r>
        <w:rPr>
          <w:rFonts w:hint="eastAsia" w:asciiTheme="minorEastAsia" w:hAnsiTheme="minorEastAsia" w:eastAsiaTheme="minorEastAsia"/>
          <w:color w:val="000000"/>
          <w:szCs w:val="24"/>
        </w:rPr>
        <w:t>元</w:t>
      </w:r>
      <w:r>
        <w:rPr>
          <w:rFonts w:asciiTheme="minorEastAsia" w:hAnsiTheme="minorEastAsia" w:eastAsiaTheme="minorEastAsia"/>
          <w:color w:val="000000"/>
          <w:szCs w:val="24"/>
        </w:rPr>
        <w:t>（¥）。</w:t>
      </w:r>
    </w:p>
    <w:p w14:paraId="6B16A690">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2. </w:t>
      </w:r>
      <w:r>
        <w:rPr>
          <w:rFonts w:asciiTheme="minorEastAsia" w:hAnsiTheme="minorEastAsia" w:eastAsiaTheme="minorEastAsia"/>
          <w:color w:val="000000"/>
          <w:szCs w:val="24"/>
        </w:rPr>
        <w:t>担保有效期自预付款支付给承包人起生效，至</w:t>
      </w:r>
      <w:r>
        <w:rPr>
          <w:rFonts w:hint="eastAsia" w:asciiTheme="minorEastAsia" w:hAnsiTheme="minorEastAsia" w:eastAsiaTheme="minorEastAsia"/>
          <w:color w:val="000000"/>
          <w:szCs w:val="24"/>
        </w:rPr>
        <w:t>你方</w:t>
      </w:r>
      <w:r>
        <w:rPr>
          <w:rFonts w:asciiTheme="minorEastAsia" w:hAnsiTheme="minorEastAsia" w:eastAsiaTheme="minorEastAsia"/>
          <w:color w:val="000000"/>
          <w:szCs w:val="24"/>
        </w:rPr>
        <w:t>签发的</w:t>
      </w:r>
      <w:r>
        <w:rPr>
          <w:rFonts w:hint="eastAsia" w:asciiTheme="minorEastAsia" w:hAnsiTheme="minorEastAsia" w:eastAsiaTheme="minorEastAsia"/>
          <w:color w:val="000000"/>
          <w:szCs w:val="24"/>
        </w:rPr>
        <w:t>进</w:t>
      </w:r>
      <w:r>
        <w:rPr>
          <w:rFonts w:asciiTheme="minorEastAsia" w:hAnsiTheme="minorEastAsia" w:eastAsiaTheme="minorEastAsia"/>
          <w:color w:val="000000"/>
          <w:szCs w:val="24"/>
        </w:rPr>
        <w:t>度款支付证书说明已完全扣清止。</w:t>
      </w:r>
    </w:p>
    <w:p w14:paraId="7B151DF5">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3. </w:t>
      </w:r>
      <w:r>
        <w:rPr>
          <w:rFonts w:asciiTheme="minorEastAsia" w:hAnsiTheme="minorEastAsia" w:eastAsiaTheme="minorEastAsia"/>
          <w:color w:val="000000"/>
          <w:szCs w:val="24"/>
        </w:rPr>
        <w:t>在本保函有效期内，因承包人违反合同约定的义务而要求</w:t>
      </w:r>
      <w:r>
        <w:rPr>
          <w:rFonts w:hint="eastAsia" w:asciiTheme="minorEastAsia" w:hAnsiTheme="minorEastAsia" w:eastAsiaTheme="minorEastAsia"/>
          <w:color w:val="000000"/>
          <w:szCs w:val="24"/>
        </w:rPr>
        <w:t>收</w:t>
      </w:r>
      <w:r>
        <w:rPr>
          <w:rFonts w:asciiTheme="minorEastAsia" w:hAnsiTheme="minorEastAsia" w:eastAsiaTheme="minorEastAsia"/>
          <w:color w:val="000000"/>
          <w:szCs w:val="24"/>
        </w:rPr>
        <w:t>回预付款时，我方在收到你方的书面通知后，在７天内无条件支付。但本保函的担保金额，在任何时候不应超过预付款金额减去</w:t>
      </w:r>
      <w:r>
        <w:rPr>
          <w:rFonts w:hint="eastAsia" w:asciiTheme="minorEastAsia" w:hAnsiTheme="minorEastAsia" w:eastAsiaTheme="minorEastAsia"/>
          <w:color w:val="000000"/>
          <w:szCs w:val="24"/>
        </w:rPr>
        <w:t>你方</w:t>
      </w:r>
      <w:r>
        <w:rPr>
          <w:rFonts w:asciiTheme="minorEastAsia" w:hAnsiTheme="minorEastAsia" w:eastAsiaTheme="minorEastAsia"/>
          <w:color w:val="000000"/>
          <w:szCs w:val="24"/>
        </w:rPr>
        <w:t>按合同约定在向承包人签发的进度款支付证书中扣除的金额。</w:t>
      </w:r>
    </w:p>
    <w:p w14:paraId="53FB6D68">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hint="eastAsia" w:asciiTheme="minorEastAsia" w:hAnsiTheme="minorEastAsia" w:eastAsiaTheme="minorEastAsia"/>
          <w:color w:val="000000"/>
          <w:szCs w:val="24"/>
        </w:rPr>
        <w:t>4. 你方</w:t>
      </w:r>
      <w:r>
        <w:rPr>
          <w:rFonts w:asciiTheme="minorEastAsia" w:hAnsiTheme="minorEastAsia" w:eastAsiaTheme="minorEastAsia"/>
          <w:color w:val="000000"/>
          <w:szCs w:val="24"/>
        </w:rPr>
        <w:t>和承包人按合同约定变更合同时，我方承担本保函规定的义务不变。</w:t>
      </w:r>
    </w:p>
    <w:p w14:paraId="615F0A64">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5. </w:t>
      </w:r>
      <w:r>
        <w:rPr>
          <w:rFonts w:asciiTheme="minorEastAsia" w:hAnsiTheme="minorEastAsia" w:eastAsiaTheme="minorEastAsia"/>
          <w:color w:val="000000"/>
          <w:szCs w:val="24"/>
        </w:rPr>
        <w:t>因本保函发生的纠纷，可由双方协商解决，协商不成的，任何一方均可提请仲裁委员会仲裁。</w:t>
      </w:r>
    </w:p>
    <w:p w14:paraId="766D8ECA">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6. </w:t>
      </w:r>
      <w:r>
        <w:rPr>
          <w:rFonts w:asciiTheme="minorEastAsia" w:hAnsiTheme="minorEastAsia" w:eastAsiaTheme="minorEastAsia"/>
          <w:color w:val="000000"/>
          <w:szCs w:val="24"/>
        </w:rPr>
        <w:t>本保函自我方法定代表人（或其授权代理人）签字并加盖公章之日起生效。</w:t>
      </w:r>
    </w:p>
    <w:p w14:paraId="5DF9DD4A">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p>
    <w:p w14:paraId="74153836">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asciiTheme="minorEastAsia" w:hAnsiTheme="minorEastAsia" w:eastAsiaTheme="minorEastAsia"/>
          <w:color w:val="000000"/>
          <w:szCs w:val="24"/>
        </w:rPr>
        <w:t>担保人：（盖单位章）</w:t>
      </w:r>
    </w:p>
    <w:p w14:paraId="7C293B18">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asciiTheme="minorEastAsia" w:hAnsiTheme="minorEastAsia" w:eastAsiaTheme="minorEastAsia"/>
          <w:color w:val="000000"/>
          <w:szCs w:val="24"/>
        </w:rPr>
        <w:t>法定代表人或其委托代理人：（签字）</w:t>
      </w:r>
    </w:p>
    <w:p w14:paraId="4D83D82D">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asciiTheme="minorEastAsia" w:hAnsiTheme="minorEastAsia" w:eastAsiaTheme="minorEastAsia"/>
          <w:color w:val="000000"/>
          <w:szCs w:val="24"/>
        </w:rPr>
        <w:t>地    址：</w:t>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p>
    <w:p w14:paraId="0A899C49">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u w:val="single"/>
        </w:rPr>
      </w:pPr>
      <w:r>
        <w:rPr>
          <w:rFonts w:asciiTheme="minorEastAsia" w:hAnsiTheme="minorEastAsia" w:eastAsiaTheme="minorEastAsia"/>
          <w:color w:val="000000"/>
          <w:szCs w:val="24"/>
        </w:rPr>
        <w:t>邮政编码：</w:t>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p>
    <w:p w14:paraId="66FC5FB5">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u w:val="single"/>
        </w:rPr>
      </w:pPr>
      <w:r>
        <w:rPr>
          <w:rFonts w:asciiTheme="minorEastAsia" w:hAnsiTheme="minorEastAsia" w:eastAsiaTheme="minorEastAsia"/>
          <w:color w:val="000000"/>
          <w:szCs w:val="24"/>
        </w:rPr>
        <w:t>电    话：</w:t>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p>
    <w:p w14:paraId="6340B782">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u w:val="single"/>
        </w:rPr>
      </w:pPr>
      <w:r>
        <w:rPr>
          <w:rFonts w:asciiTheme="minorEastAsia" w:hAnsiTheme="minorEastAsia" w:eastAsiaTheme="minorEastAsia"/>
          <w:color w:val="000000"/>
          <w:szCs w:val="24"/>
        </w:rPr>
        <w:t>传    真：</w:t>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r>
        <w:rPr>
          <w:rFonts w:asciiTheme="minorEastAsia" w:hAnsiTheme="minorEastAsia" w:eastAsiaTheme="minorEastAsia"/>
          <w:color w:val="000000"/>
          <w:szCs w:val="24"/>
          <w:u w:val="single"/>
        </w:rPr>
        <w:tab/>
      </w:r>
    </w:p>
    <w:p w14:paraId="25363F20">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p>
    <w:p w14:paraId="14F77044">
      <w:pPr>
        <w:keepNext w:val="0"/>
        <w:keepLines w:val="0"/>
        <w:pageBreakBefore w:val="0"/>
        <w:widowControl/>
        <w:kinsoku/>
        <w:wordWrap/>
        <w:overflowPunct/>
        <w:topLinePunct w:val="0"/>
        <w:autoSpaceDE/>
        <w:autoSpaceDN/>
        <w:bidi w:val="0"/>
        <w:adjustRightInd w:val="0"/>
        <w:snapToGrid w:val="0"/>
        <w:spacing w:line="440" w:lineRule="exact"/>
        <w:ind w:firstLine="1440" w:firstLineChars="600"/>
        <w:textAlignment w:val="auto"/>
        <w:rPr>
          <w:rFonts w:asciiTheme="minorEastAsia" w:hAnsiTheme="minorEastAsia" w:eastAsiaTheme="minorEastAsia"/>
          <w:color w:val="000000"/>
          <w:szCs w:val="24"/>
        </w:rPr>
      </w:pPr>
      <w:r>
        <w:rPr>
          <w:rFonts w:asciiTheme="minorEastAsia" w:hAnsiTheme="minorEastAsia" w:eastAsiaTheme="minorEastAsia"/>
          <w:color w:val="000000"/>
          <w:szCs w:val="24"/>
        </w:rPr>
        <w:t>年月日</w:t>
      </w:r>
    </w:p>
    <w:p w14:paraId="2A2C5D00">
      <w:pPr>
        <w:keepNext w:val="0"/>
        <w:keepLines w:val="0"/>
        <w:pageBreakBefore w:val="0"/>
        <w:widowControl/>
        <w:kinsoku/>
        <w:wordWrap/>
        <w:overflowPunct/>
        <w:topLinePunct w:val="0"/>
        <w:autoSpaceDE/>
        <w:autoSpaceDN/>
        <w:bidi w:val="0"/>
        <w:adjustRightInd w:val="0"/>
        <w:snapToGrid w:val="0"/>
        <w:spacing w:line="440" w:lineRule="exact"/>
        <w:ind w:firstLine="482"/>
        <w:textAlignment w:val="auto"/>
        <w:rPr>
          <w:rFonts w:asciiTheme="minorEastAsia" w:hAnsiTheme="minorEastAsia" w:eastAsiaTheme="minorEastAsia"/>
          <w:color w:val="000000"/>
          <w:szCs w:val="24"/>
        </w:rPr>
      </w:pPr>
      <w:r>
        <w:rPr>
          <w:rFonts w:asciiTheme="minorEastAsia" w:hAnsiTheme="minorEastAsia" w:eastAsiaTheme="minorEastAsia"/>
          <w:b/>
          <w:color w:val="000000"/>
          <w:szCs w:val="24"/>
        </w:rPr>
        <w:br w:type="page"/>
      </w:r>
      <w:r>
        <w:rPr>
          <w:rFonts w:asciiTheme="minorEastAsia" w:hAnsiTheme="minorEastAsia" w:eastAsiaTheme="minorEastAsia"/>
          <w:color w:val="000000"/>
          <w:szCs w:val="24"/>
        </w:rPr>
        <w:t>附</w:t>
      </w:r>
      <w:bookmarkStart w:id="1103" w:name="_Toc296891061"/>
      <w:bookmarkStart w:id="1104" w:name="_Toc296347232"/>
      <w:bookmarkStart w:id="1105" w:name="_Toc296346734"/>
      <w:bookmarkStart w:id="1106" w:name="_Toc296944572"/>
      <w:bookmarkStart w:id="1107" w:name="_Toc296891273"/>
      <w:bookmarkStart w:id="1108" w:name="_Toc296503233"/>
      <w:r>
        <w:rPr>
          <w:rFonts w:asciiTheme="minorEastAsia" w:hAnsiTheme="minorEastAsia" w:eastAsiaTheme="minorEastAsia"/>
          <w:color w:val="000000"/>
          <w:szCs w:val="24"/>
        </w:rPr>
        <w:t xml:space="preserve">件10:  </w:t>
      </w:r>
    </w:p>
    <w:bookmarkEnd w:id="1103"/>
    <w:bookmarkEnd w:id="1104"/>
    <w:bookmarkEnd w:id="1105"/>
    <w:bookmarkEnd w:id="1106"/>
    <w:bookmarkEnd w:id="1107"/>
    <w:bookmarkEnd w:id="1108"/>
    <w:p w14:paraId="6B534AB7">
      <w:pPr>
        <w:keepNext w:val="0"/>
        <w:keepLines w:val="0"/>
        <w:pageBreakBefore w:val="0"/>
        <w:widowControl/>
        <w:kinsoku/>
        <w:wordWrap/>
        <w:overflowPunct/>
        <w:topLinePunct w:val="0"/>
        <w:autoSpaceDE/>
        <w:autoSpaceDN/>
        <w:bidi w:val="0"/>
        <w:adjustRightInd w:val="0"/>
        <w:snapToGrid w:val="0"/>
        <w:spacing w:beforeLines="50" w:afterLines="50" w:line="440" w:lineRule="exact"/>
        <w:ind w:firstLine="480"/>
        <w:jc w:val="center"/>
        <w:textAlignment w:val="auto"/>
        <w:rPr>
          <w:rFonts w:asciiTheme="minorEastAsia" w:hAnsiTheme="minorEastAsia" w:eastAsiaTheme="minorEastAsia"/>
          <w:color w:val="000000"/>
          <w:szCs w:val="24"/>
        </w:rPr>
      </w:pPr>
      <w:r>
        <w:rPr>
          <w:rFonts w:asciiTheme="minorEastAsia" w:hAnsiTheme="minorEastAsia" w:eastAsiaTheme="minorEastAsia"/>
          <w:color w:val="000000"/>
          <w:szCs w:val="24"/>
        </w:rPr>
        <w:t>支付担保</w:t>
      </w:r>
    </w:p>
    <w:p w14:paraId="5239592D">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asciiTheme="minorEastAsia" w:hAnsiTheme="minorEastAsia" w:eastAsiaTheme="minorEastAsia"/>
          <w:color w:val="000000"/>
          <w:szCs w:val="24"/>
        </w:rPr>
        <w:t>（承包人）：</w:t>
      </w:r>
    </w:p>
    <w:p w14:paraId="3102162E">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p>
    <w:p w14:paraId="1D6238C2">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asciiTheme="minorEastAsia" w:hAnsiTheme="minorEastAsia" w:eastAsiaTheme="minorEastAsia"/>
          <w:color w:val="000000"/>
          <w:szCs w:val="24"/>
        </w:rPr>
        <w:t>鉴于你方作为承包人已经与（发包人名称）（以下称</w:t>
      </w:r>
      <w:r>
        <w:rPr>
          <w:rFonts w:hint="eastAsia" w:asciiTheme="minorEastAsia" w:hAnsiTheme="minorEastAsia" w:eastAsiaTheme="minorEastAsia"/>
          <w:color w:val="000000"/>
          <w:szCs w:val="24"/>
        </w:rPr>
        <w:t>“</w:t>
      </w:r>
      <w:r>
        <w:rPr>
          <w:rFonts w:asciiTheme="minorEastAsia" w:hAnsiTheme="minorEastAsia" w:eastAsiaTheme="minorEastAsia"/>
          <w:color w:val="000000"/>
          <w:szCs w:val="24"/>
        </w:rPr>
        <w:t>发包人</w:t>
      </w:r>
      <w:r>
        <w:rPr>
          <w:rFonts w:hint="eastAsia" w:asciiTheme="minorEastAsia" w:hAnsiTheme="minorEastAsia" w:eastAsiaTheme="minorEastAsia"/>
          <w:color w:val="000000"/>
          <w:szCs w:val="24"/>
        </w:rPr>
        <w:t>”</w:t>
      </w:r>
      <w:r>
        <w:rPr>
          <w:rFonts w:asciiTheme="minorEastAsia" w:hAnsiTheme="minorEastAsia" w:eastAsiaTheme="minorEastAsia"/>
          <w:color w:val="000000"/>
          <w:szCs w:val="24"/>
        </w:rPr>
        <w:t>）于年月日签订了（工程名称）《建设工程施工合同》（以下称</w:t>
      </w:r>
      <w:r>
        <w:rPr>
          <w:rFonts w:hint="eastAsia" w:asciiTheme="minorEastAsia" w:hAnsiTheme="minorEastAsia" w:eastAsiaTheme="minorEastAsia"/>
          <w:color w:val="000000"/>
          <w:szCs w:val="24"/>
        </w:rPr>
        <w:t>“</w:t>
      </w:r>
      <w:r>
        <w:rPr>
          <w:rFonts w:asciiTheme="minorEastAsia" w:hAnsiTheme="minorEastAsia" w:eastAsiaTheme="minorEastAsia"/>
          <w:color w:val="000000"/>
          <w:szCs w:val="24"/>
        </w:rPr>
        <w:t>主合同</w:t>
      </w:r>
      <w:r>
        <w:rPr>
          <w:rFonts w:hint="eastAsia" w:asciiTheme="minorEastAsia" w:hAnsiTheme="minorEastAsia" w:eastAsiaTheme="minorEastAsia"/>
          <w:color w:val="000000"/>
          <w:szCs w:val="24"/>
        </w:rPr>
        <w:t>”</w:t>
      </w:r>
      <w:r>
        <w:rPr>
          <w:rFonts w:asciiTheme="minorEastAsia" w:hAnsiTheme="minorEastAsia" w:eastAsiaTheme="minorEastAsia"/>
          <w:color w:val="000000"/>
          <w:szCs w:val="24"/>
        </w:rPr>
        <w:t>），应发包人的申请，我方愿就发包人履行主合同约定的工程款支付义务以保证的方式向你方提供如下担保：</w:t>
      </w:r>
    </w:p>
    <w:p w14:paraId="4498E7FC">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outlineLvl w:val="0"/>
        <w:rPr>
          <w:rFonts w:asciiTheme="minorEastAsia" w:hAnsiTheme="minorEastAsia" w:eastAsiaTheme="minorEastAsia"/>
          <w:color w:val="000000"/>
          <w:szCs w:val="24"/>
        </w:rPr>
      </w:pPr>
      <w:r>
        <w:rPr>
          <w:rFonts w:asciiTheme="minorEastAsia" w:hAnsiTheme="minorEastAsia" w:eastAsiaTheme="minorEastAsia"/>
          <w:color w:val="000000"/>
          <w:szCs w:val="24"/>
        </w:rPr>
        <w:t>一、保证的范围及保证金额</w:t>
      </w:r>
    </w:p>
    <w:p w14:paraId="57A492C4">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1. </w:t>
      </w:r>
      <w:r>
        <w:rPr>
          <w:rFonts w:asciiTheme="minorEastAsia" w:hAnsiTheme="minorEastAsia" w:eastAsiaTheme="minorEastAsia"/>
          <w:color w:val="000000"/>
          <w:szCs w:val="24"/>
        </w:rPr>
        <w:t>我方的保证范围是主合同约定的工程款。</w:t>
      </w:r>
    </w:p>
    <w:p w14:paraId="07912920">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2. </w:t>
      </w:r>
      <w:r>
        <w:rPr>
          <w:rFonts w:asciiTheme="minorEastAsia" w:hAnsiTheme="minorEastAsia" w:eastAsiaTheme="minorEastAsia"/>
          <w:color w:val="000000"/>
          <w:szCs w:val="24"/>
        </w:rPr>
        <w:t>本保函所称主合同约定的工程款是指主合同约定的除工程质量保证金以外的合同价款。</w:t>
      </w:r>
    </w:p>
    <w:p w14:paraId="0CB87455">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3. </w:t>
      </w:r>
      <w:r>
        <w:rPr>
          <w:rFonts w:asciiTheme="minorEastAsia" w:hAnsiTheme="minorEastAsia" w:eastAsiaTheme="minorEastAsia"/>
          <w:color w:val="000000"/>
          <w:szCs w:val="24"/>
        </w:rPr>
        <w:t>我方保证的金额是主合同约定的工程款的%，数额最高不超过人民币元（大写：）。</w:t>
      </w:r>
    </w:p>
    <w:p w14:paraId="1DB0F68D">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outlineLvl w:val="0"/>
        <w:rPr>
          <w:rFonts w:asciiTheme="minorEastAsia" w:hAnsiTheme="minorEastAsia" w:eastAsiaTheme="minorEastAsia"/>
          <w:color w:val="000000"/>
          <w:szCs w:val="24"/>
        </w:rPr>
      </w:pPr>
      <w:r>
        <w:rPr>
          <w:rFonts w:asciiTheme="minorEastAsia" w:hAnsiTheme="minorEastAsia" w:eastAsiaTheme="minorEastAsia"/>
          <w:color w:val="000000"/>
          <w:szCs w:val="24"/>
        </w:rPr>
        <w:t>二、保证的方式及保证期间</w:t>
      </w:r>
    </w:p>
    <w:p w14:paraId="50A8D18C">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1. </w:t>
      </w:r>
      <w:r>
        <w:rPr>
          <w:rFonts w:asciiTheme="minorEastAsia" w:hAnsiTheme="minorEastAsia" w:eastAsiaTheme="minorEastAsia"/>
          <w:color w:val="000000"/>
          <w:szCs w:val="24"/>
        </w:rPr>
        <w:t>我方保证的方式为：连带责任保证。</w:t>
      </w:r>
    </w:p>
    <w:p w14:paraId="4C364C94">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2. </w:t>
      </w:r>
      <w:r>
        <w:rPr>
          <w:rFonts w:asciiTheme="minorEastAsia" w:hAnsiTheme="minorEastAsia" w:eastAsiaTheme="minorEastAsia"/>
          <w:color w:val="000000"/>
          <w:szCs w:val="24"/>
        </w:rPr>
        <w:t>我方保证的期间为：自本合同生效之日起至主合同约定的工程款支付完毕之日后日内。</w:t>
      </w:r>
    </w:p>
    <w:p w14:paraId="3A851323">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3. </w:t>
      </w:r>
      <w:r>
        <w:rPr>
          <w:rFonts w:asciiTheme="minorEastAsia" w:hAnsiTheme="minorEastAsia" w:eastAsiaTheme="minorEastAsia"/>
          <w:color w:val="000000"/>
          <w:szCs w:val="24"/>
        </w:rPr>
        <w:t>你方与发包人协议变更工程款支付日期的，经我方书面同意后，保证期间按照变更后的支付日期做相应调整。</w:t>
      </w:r>
    </w:p>
    <w:p w14:paraId="4B720F16">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outlineLvl w:val="0"/>
        <w:rPr>
          <w:rFonts w:asciiTheme="minorEastAsia" w:hAnsiTheme="minorEastAsia" w:eastAsiaTheme="minorEastAsia"/>
          <w:color w:val="000000"/>
          <w:szCs w:val="24"/>
        </w:rPr>
      </w:pPr>
      <w:r>
        <w:rPr>
          <w:rFonts w:asciiTheme="minorEastAsia" w:hAnsiTheme="minorEastAsia" w:eastAsiaTheme="minorEastAsia"/>
          <w:color w:val="000000"/>
          <w:szCs w:val="24"/>
        </w:rPr>
        <w:t>三、承担保证责任的形式</w:t>
      </w:r>
    </w:p>
    <w:p w14:paraId="6222F07B">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asciiTheme="minorEastAsia" w:hAnsiTheme="minorEastAsia" w:eastAsiaTheme="minorEastAsia"/>
          <w:color w:val="000000"/>
          <w:szCs w:val="24"/>
        </w:rPr>
        <w:t>我方承担保证责任的形式是代为支付。发包人未按主合同约定向你方支付工程款的，由我方在保证金额内代为支付。</w:t>
      </w:r>
    </w:p>
    <w:p w14:paraId="6A628AA8">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outlineLvl w:val="0"/>
        <w:rPr>
          <w:rFonts w:asciiTheme="minorEastAsia" w:hAnsiTheme="minorEastAsia" w:eastAsiaTheme="minorEastAsia"/>
          <w:color w:val="000000"/>
          <w:szCs w:val="24"/>
        </w:rPr>
      </w:pPr>
      <w:r>
        <w:rPr>
          <w:rFonts w:asciiTheme="minorEastAsia" w:hAnsiTheme="minorEastAsia" w:eastAsiaTheme="minorEastAsia"/>
          <w:color w:val="000000"/>
          <w:szCs w:val="24"/>
        </w:rPr>
        <w:t>四、代偿的安排</w:t>
      </w:r>
    </w:p>
    <w:p w14:paraId="32CC8A96">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1. </w:t>
      </w:r>
      <w:r>
        <w:rPr>
          <w:rFonts w:asciiTheme="minorEastAsia" w:hAnsiTheme="minorEastAsia" w:eastAsiaTheme="minorEastAsia"/>
          <w:color w:val="000000"/>
          <w:szCs w:val="24"/>
        </w:rPr>
        <w:t>你方要求我方承担保证责任的，应向我方发出书面索赔通知及发包人未支付主合同约定工程款的证明材料。索赔通知应写明要求索赔的金额，支付款项应到达的账号。</w:t>
      </w:r>
    </w:p>
    <w:p w14:paraId="7429991F">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2. </w:t>
      </w:r>
      <w:r>
        <w:rPr>
          <w:rFonts w:asciiTheme="minorEastAsia" w:hAnsiTheme="minorEastAsia" w:eastAsiaTheme="minorEastAsia"/>
          <w:color w:val="000000"/>
          <w:szCs w:val="24"/>
        </w:rPr>
        <w:t>在出现你方与发包人因工程质量发生争议，发包人拒绝向你方支付工程款的情形时，你方要求我方履行保证责任代为支付的，需提供符合相应条件要求的工程质量检测机构出具的质量说明材料。</w:t>
      </w:r>
    </w:p>
    <w:p w14:paraId="639D9021">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3. </w:t>
      </w:r>
      <w:r>
        <w:rPr>
          <w:rFonts w:asciiTheme="minorEastAsia" w:hAnsiTheme="minorEastAsia" w:eastAsiaTheme="minorEastAsia"/>
          <w:color w:val="000000"/>
          <w:szCs w:val="24"/>
        </w:rPr>
        <w:t>我方收到你方的书面索赔通知及相应的证明材料后７天内无条件支付。</w:t>
      </w:r>
    </w:p>
    <w:p w14:paraId="15F30CBA">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outlineLvl w:val="0"/>
        <w:rPr>
          <w:rFonts w:asciiTheme="minorEastAsia" w:hAnsiTheme="minorEastAsia" w:eastAsiaTheme="minorEastAsia"/>
          <w:color w:val="000000"/>
          <w:szCs w:val="24"/>
        </w:rPr>
      </w:pPr>
      <w:r>
        <w:rPr>
          <w:rFonts w:asciiTheme="minorEastAsia" w:hAnsiTheme="minorEastAsia" w:eastAsiaTheme="minorEastAsia"/>
          <w:color w:val="000000"/>
          <w:szCs w:val="24"/>
        </w:rPr>
        <w:t>五、保证责任的解除</w:t>
      </w:r>
    </w:p>
    <w:p w14:paraId="22524A1E">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1. </w:t>
      </w:r>
      <w:r>
        <w:rPr>
          <w:rFonts w:asciiTheme="minorEastAsia" w:hAnsiTheme="minorEastAsia" w:eastAsiaTheme="minorEastAsia"/>
          <w:color w:val="000000"/>
          <w:szCs w:val="24"/>
        </w:rPr>
        <w:t>在本保函承诺的保证期间内，你方未书面向我方主张保证责任的，自保证期间届满次日起，我方保证责任解除。</w:t>
      </w:r>
    </w:p>
    <w:p w14:paraId="54FBF986">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2. </w:t>
      </w:r>
      <w:r>
        <w:rPr>
          <w:rFonts w:asciiTheme="minorEastAsia" w:hAnsiTheme="minorEastAsia" w:eastAsiaTheme="minorEastAsia"/>
          <w:color w:val="000000"/>
          <w:szCs w:val="24"/>
        </w:rPr>
        <w:t>发包人按主合同约定履行了工程款的全部支付义务的，自本保函承诺的保证期间届满次日起，我方保证责任解除。</w:t>
      </w:r>
    </w:p>
    <w:p w14:paraId="210776E1">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3. </w:t>
      </w:r>
      <w:r>
        <w:rPr>
          <w:rFonts w:asciiTheme="minorEastAsia" w:hAnsiTheme="minorEastAsia" w:eastAsiaTheme="minorEastAsia"/>
          <w:color w:val="000000"/>
          <w:szCs w:val="24"/>
        </w:rPr>
        <w:t>我方按照本保函向你方履行保证责任所支付金额达到本保函保证金额时，自我方向你方支付（支付款项从我方账户划出）之日起，保证责任即解除。</w:t>
      </w:r>
    </w:p>
    <w:p w14:paraId="4C0073C8">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4. </w:t>
      </w:r>
      <w:r>
        <w:rPr>
          <w:rFonts w:asciiTheme="minorEastAsia" w:hAnsiTheme="minorEastAsia" w:eastAsiaTheme="minorEastAsia"/>
          <w:color w:val="000000"/>
          <w:szCs w:val="24"/>
        </w:rPr>
        <w:t>按照法律法规的规定或出现应解除我方保证责任的其他情形的，我方在本保函项下的保证责任亦解除。</w:t>
      </w:r>
    </w:p>
    <w:p w14:paraId="3D343B51">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5. </w:t>
      </w:r>
      <w:r>
        <w:rPr>
          <w:rFonts w:asciiTheme="minorEastAsia" w:hAnsiTheme="minorEastAsia" w:eastAsiaTheme="minorEastAsia"/>
          <w:color w:val="000000"/>
          <w:szCs w:val="24"/>
        </w:rPr>
        <w:t>我方解除保证责任后，你方应自我方保证责任解除之日起个工作日内，将本保函原件返还我方。</w:t>
      </w:r>
    </w:p>
    <w:p w14:paraId="0061A59A">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outlineLvl w:val="0"/>
        <w:rPr>
          <w:rFonts w:asciiTheme="minorEastAsia" w:hAnsiTheme="minorEastAsia" w:eastAsiaTheme="minorEastAsia"/>
          <w:color w:val="000000"/>
          <w:szCs w:val="24"/>
        </w:rPr>
      </w:pPr>
      <w:r>
        <w:rPr>
          <w:rFonts w:asciiTheme="minorEastAsia" w:hAnsiTheme="minorEastAsia" w:eastAsiaTheme="minorEastAsia"/>
          <w:color w:val="000000"/>
          <w:szCs w:val="24"/>
        </w:rPr>
        <w:t>六、免责条款</w:t>
      </w:r>
    </w:p>
    <w:p w14:paraId="1988EC8D">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1. </w:t>
      </w:r>
      <w:r>
        <w:rPr>
          <w:rFonts w:asciiTheme="minorEastAsia" w:hAnsiTheme="minorEastAsia" w:eastAsiaTheme="minorEastAsia"/>
          <w:color w:val="000000"/>
          <w:szCs w:val="24"/>
        </w:rPr>
        <w:t>因你方违约致使发包人不能履行义务的，我方不承担保证责任。</w:t>
      </w:r>
    </w:p>
    <w:p w14:paraId="1001A11C">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2. </w:t>
      </w:r>
      <w:r>
        <w:rPr>
          <w:rFonts w:asciiTheme="minorEastAsia" w:hAnsiTheme="minorEastAsia" w:eastAsiaTheme="minorEastAsia"/>
          <w:color w:val="000000"/>
          <w:szCs w:val="24"/>
        </w:rPr>
        <w:t>依照法律法规的规定或你方与发包人的另行约定，免除发包人部分或全部义务的，我方亦免除其相应的保证责任。</w:t>
      </w:r>
    </w:p>
    <w:p w14:paraId="3C7C6A17">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3. </w:t>
      </w:r>
      <w:r>
        <w:rPr>
          <w:rFonts w:asciiTheme="minorEastAsia" w:hAnsiTheme="minorEastAsia" w:eastAsiaTheme="minorEastAsia"/>
          <w:color w:val="000000"/>
          <w:szCs w:val="24"/>
        </w:rPr>
        <w:t>你方与发包人协议变更主合同的，如加重发包人责任致使我方保证责任加重的，需征得我方书面同意，否则我方不再承担因此而加重部分的保证责任，但主合同第10条</w:t>
      </w:r>
      <w:r>
        <w:rPr>
          <w:rFonts w:hint="eastAsia" w:asciiTheme="minorEastAsia" w:hAnsiTheme="minorEastAsia" w:eastAsiaTheme="minorEastAsia"/>
          <w:color w:val="000000"/>
          <w:szCs w:val="24"/>
        </w:rPr>
        <w:t>〔</w:t>
      </w:r>
      <w:r>
        <w:rPr>
          <w:rFonts w:asciiTheme="minorEastAsia" w:hAnsiTheme="minorEastAsia" w:eastAsiaTheme="minorEastAsia"/>
          <w:color w:val="000000"/>
          <w:szCs w:val="24"/>
        </w:rPr>
        <w:t>变更</w:t>
      </w:r>
      <w:r>
        <w:rPr>
          <w:rFonts w:hint="eastAsia" w:asciiTheme="minorEastAsia" w:hAnsiTheme="minorEastAsia" w:eastAsiaTheme="minorEastAsia"/>
          <w:color w:val="000000"/>
          <w:szCs w:val="24"/>
        </w:rPr>
        <w:t>〕</w:t>
      </w:r>
      <w:r>
        <w:rPr>
          <w:rFonts w:asciiTheme="minorEastAsia" w:hAnsiTheme="minorEastAsia" w:eastAsiaTheme="minorEastAsia"/>
          <w:color w:val="000000"/>
          <w:szCs w:val="24"/>
        </w:rPr>
        <w:t>约定的变更不受本款限制。</w:t>
      </w:r>
    </w:p>
    <w:p w14:paraId="70D81450">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hint="eastAsia" w:asciiTheme="minorEastAsia" w:hAnsiTheme="minorEastAsia" w:eastAsiaTheme="minorEastAsia"/>
          <w:color w:val="000000"/>
          <w:szCs w:val="24"/>
        </w:rPr>
        <w:t xml:space="preserve">4. </w:t>
      </w:r>
      <w:r>
        <w:rPr>
          <w:rFonts w:asciiTheme="minorEastAsia" w:hAnsiTheme="minorEastAsia" w:eastAsiaTheme="minorEastAsia"/>
          <w:color w:val="000000"/>
          <w:szCs w:val="24"/>
        </w:rPr>
        <w:t>因不可抗力造成发包人不能履行义务的，我方不承担保证责任。</w:t>
      </w:r>
    </w:p>
    <w:p w14:paraId="19F00468">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outlineLvl w:val="0"/>
        <w:rPr>
          <w:rFonts w:asciiTheme="minorEastAsia" w:hAnsiTheme="minorEastAsia" w:eastAsiaTheme="minorEastAsia"/>
          <w:color w:val="000000"/>
          <w:szCs w:val="24"/>
        </w:rPr>
      </w:pPr>
      <w:r>
        <w:rPr>
          <w:rFonts w:asciiTheme="minorEastAsia" w:hAnsiTheme="minorEastAsia" w:eastAsiaTheme="minorEastAsia"/>
          <w:color w:val="000000"/>
          <w:szCs w:val="24"/>
        </w:rPr>
        <w:t>七、争议解决</w:t>
      </w:r>
    </w:p>
    <w:p w14:paraId="10134ECB">
      <w:pPr>
        <w:keepNext w:val="0"/>
        <w:keepLines w:val="0"/>
        <w:pageBreakBefore w:val="0"/>
        <w:widowControl/>
        <w:kinsoku/>
        <w:wordWrap/>
        <w:overflowPunct/>
        <w:topLinePunct w:val="0"/>
        <w:autoSpaceDE/>
        <w:autoSpaceDN/>
        <w:bidi w:val="0"/>
        <w:adjustRightInd w:val="0"/>
        <w:snapToGrid w:val="0"/>
        <w:spacing w:after="120" w:line="440" w:lineRule="exact"/>
        <w:ind w:firstLine="480"/>
        <w:textAlignment w:val="auto"/>
        <w:rPr>
          <w:rFonts w:asciiTheme="minorEastAsia" w:hAnsiTheme="minorEastAsia" w:eastAsiaTheme="minorEastAsia"/>
          <w:color w:val="000000"/>
          <w:szCs w:val="24"/>
        </w:rPr>
      </w:pPr>
      <w:r>
        <w:rPr>
          <w:rFonts w:asciiTheme="minorEastAsia" w:hAnsiTheme="minorEastAsia" w:eastAsiaTheme="minorEastAsia"/>
          <w:color w:val="000000"/>
          <w:szCs w:val="24"/>
        </w:rPr>
        <w:t>因本保函</w:t>
      </w:r>
      <w:r>
        <w:rPr>
          <w:rFonts w:hint="eastAsia" w:asciiTheme="minorEastAsia" w:hAnsiTheme="minorEastAsia" w:eastAsiaTheme="minorEastAsia"/>
          <w:color w:val="000000"/>
          <w:szCs w:val="24"/>
        </w:rPr>
        <w:t>或本保函相关事项</w:t>
      </w:r>
      <w:r>
        <w:rPr>
          <w:rFonts w:asciiTheme="minorEastAsia" w:hAnsiTheme="minorEastAsia" w:eastAsiaTheme="minorEastAsia"/>
          <w:color w:val="000000"/>
          <w:szCs w:val="24"/>
        </w:rPr>
        <w:t>发生的纠纷，可由双方协商解决，协商不成的，按下列第种方式</w:t>
      </w:r>
      <w:r>
        <w:rPr>
          <w:rFonts w:hint="eastAsia" w:asciiTheme="minorEastAsia" w:hAnsiTheme="minorEastAsia" w:eastAsiaTheme="minorEastAsia"/>
          <w:color w:val="000000"/>
          <w:szCs w:val="24"/>
        </w:rPr>
        <w:t>解</w:t>
      </w:r>
      <w:r>
        <w:rPr>
          <w:rFonts w:asciiTheme="minorEastAsia" w:hAnsiTheme="minorEastAsia" w:eastAsiaTheme="minorEastAsia"/>
          <w:color w:val="000000"/>
          <w:szCs w:val="24"/>
        </w:rPr>
        <w:t>决：</w:t>
      </w:r>
    </w:p>
    <w:p w14:paraId="2664727F">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asciiTheme="minorEastAsia" w:hAnsiTheme="minorEastAsia" w:eastAsiaTheme="minorEastAsia"/>
          <w:color w:val="000000"/>
          <w:szCs w:val="24"/>
        </w:rPr>
        <w:t>（1）向仲裁委员会申请仲裁；</w:t>
      </w:r>
    </w:p>
    <w:p w14:paraId="1540ED0D">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asciiTheme="minorEastAsia" w:hAnsiTheme="minorEastAsia" w:eastAsiaTheme="minorEastAsia"/>
          <w:color w:val="000000"/>
          <w:szCs w:val="24"/>
        </w:rPr>
        <w:t>（2）向人民法院起诉。</w:t>
      </w:r>
    </w:p>
    <w:p w14:paraId="29AFAACE">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outlineLvl w:val="0"/>
        <w:rPr>
          <w:rFonts w:asciiTheme="minorEastAsia" w:hAnsiTheme="minorEastAsia" w:eastAsiaTheme="minorEastAsia"/>
          <w:color w:val="000000"/>
          <w:szCs w:val="24"/>
        </w:rPr>
      </w:pPr>
      <w:r>
        <w:rPr>
          <w:rFonts w:asciiTheme="minorEastAsia" w:hAnsiTheme="minorEastAsia" w:eastAsiaTheme="minorEastAsia"/>
          <w:color w:val="000000"/>
          <w:szCs w:val="24"/>
        </w:rPr>
        <w:t>八、保函的生效</w:t>
      </w:r>
    </w:p>
    <w:p w14:paraId="2C7C87D0">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asciiTheme="minorEastAsia" w:hAnsiTheme="minorEastAsia" w:eastAsiaTheme="minorEastAsia"/>
          <w:color w:val="000000"/>
          <w:szCs w:val="24"/>
        </w:rPr>
        <w:t>本保函自我方法定代表人（或其授权代理人）签字并加盖公章之日起生效。</w:t>
      </w:r>
    </w:p>
    <w:p w14:paraId="31DB856A">
      <w:pPr>
        <w:keepNext w:val="0"/>
        <w:keepLines w:val="0"/>
        <w:pageBreakBefore w:val="0"/>
        <w:widowControl/>
        <w:kinsoku/>
        <w:wordWrap/>
        <w:overflowPunct/>
        <w:topLinePunct w:val="0"/>
        <w:autoSpaceDE/>
        <w:autoSpaceDN/>
        <w:bidi w:val="0"/>
        <w:adjustRightInd w:val="0"/>
        <w:snapToGrid w:val="0"/>
        <w:spacing w:line="440" w:lineRule="exact"/>
        <w:ind w:right="600" w:firstLine="480"/>
        <w:textAlignment w:val="auto"/>
        <w:rPr>
          <w:rFonts w:asciiTheme="minorEastAsia" w:hAnsiTheme="minorEastAsia" w:eastAsiaTheme="minorEastAsia"/>
          <w:color w:val="000000"/>
          <w:szCs w:val="24"/>
        </w:rPr>
      </w:pPr>
      <w:r>
        <w:rPr>
          <w:rFonts w:asciiTheme="minorEastAsia" w:hAnsiTheme="minorEastAsia" w:eastAsiaTheme="minorEastAsia"/>
          <w:color w:val="000000"/>
          <w:szCs w:val="24"/>
        </w:rPr>
        <w:t>担保人：（盖章）</w:t>
      </w:r>
    </w:p>
    <w:p w14:paraId="0EFBCEB3">
      <w:pPr>
        <w:keepNext w:val="0"/>
        <w:keepLines w:val="0"/>
        <w:pageBreakBefore w:val="0"/>
        <w:widowControl/>
        <w:kinsoku/>
        <w:wordWrap/>
        <w:overflowPunct/>
        <w:topLinePunct w:val="0"/>
        <w:autoSpaceDE/>
        <w:autoSpaceDN/>
        <w:bidi w:val="0"/>
        <w:adjustRightInd w:val="0"/>
        <w:snapToGrid w:val="0"/>
        <w:spacing w:line="440" w:lineRule="exact"/>
        <w:ind w:right="1200" w:firstLine="480"/>
        <w:textAlignment w:val="auto"/>
        <w:rPr>
          <w:rFonts w:asciiTheme="minorEastAsia" w:hAnsiTheme="minorEastAsia" w:eastAsiaTheme="minorEastAsia"/>
          <w:color w:val="000000"/>
          <w:szCs w:val="24"/>
        </w:rPr>
      </w:pPr>
      <w:r>
        <w:rPr>
          <w:rFonts w:asciiTheme="minorEastAsia" w:hAnsiTheme="minorEastAsia" w:eastAsiaTheme="minorEastAsia"/>
          <w:color w:val="000000"/>
          <w:szCs w:val="24"/>
        </w:rPr>
        <w:t>法定代表人或委托代理人：（签字）</w:t>
      </w:r>
    </w:p>
    <w:p w14:paraId="4504E9D5">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asciiTheme="minorEastAsia" w:hAnsiTheme="minorEastAsia" w:eastAsiaTheme="minorEastAsia"/>
          <w:color w:val="000000"/>
          <w:szCs w:val="24"/>
        </w:rPr>
      </w:pPr>
      <w:r>
        <w:rPr>
          <w:rFonts w:asciiTheme="minorEastAsia" w:hAnsiTheme="minorEastAsia" w:eastAsiaTheme="minorEastAsia"/>
          <w:color w:val="000000"/>
          <w:szCs w:val="24"/>
        </w:rPr>
        <w:t>地    址：</w:t>
      </w:r>
    </w:p>
    <w:p w14:paraId="36FC4943">
      <w:pPr>
        <w:keepNext w:val="0"/>
        <w:keepLines w:val="0"/>
        <w:pageBreakBefore w:val="0"/>
        <w:widowControl/>
        <w:kinsoku/>
        <w:wordWrap/>
        <w:overflowPunct/>
        <w:topLinePunct w:val="0"/>
        <w:autoSpaceDE/>
        <w:autoSpaceDN/>
        <w:bidi w:val="0"/>
        <w:adjustRightInd w:val="0"/>
        <w:snapToGrid w:val="0"/>
        <w:spacing w:line="360" w:lineRule="auto"/>
        <w:ind w:firstLine="480"/>
        <w:textAlignment w:val="auto"/>
        <w:rPr>
          <w:rFonts w:asciiTheme="minorEastAsia" w:hAnsiTheme="minorEastAsia" w:eastAsiaTheme="minorEastAsia"/>
          <w:color w:val="000000"/>
          <w:szCs w:val="24"/>
        </w:rPr>
      </w:pPr>
      <w:r>
        <w:rPr>
          <w:rFonts w:asciiTheme="minorEastAsia" w:hAnsiTheme="minorEastAsia" w:eastAsiaTheme="minorEastAsia"/>
          <w:color w:val="000000"/>
          <w:szCs w:val="24"/>
        </w:rPr>
        <w:t>邮政编码：</w:t>
      </w:r>
    </w:p>
    <w:p w14:paraId="51A0FB1E">
      <w:pPr>
        <w:keepNext w:val="0"/>
        <w:keepLines w:val="0"/>
        <w:pageBreakBefore w:val="0"/>
        <w:widowControl/>
        <w:kinsoku/>
        <w:wordWrap/>
        <w:overflowPunct/>
        <w:topLinePunct w:val="0"/>
        <w:autoSpaceDE/>
        <w:autoSpaceDN/>
        <w:bidi w:val="0"/>
        <w:adjustRightInd w:val="0"/>
        <w:snapToGrid w:val="0"/>
        <w:spacing w:line="360" w:lineRule="auto"/>
        <w:ind w:firstLine="480"/>
        <w:textAlignment w:val="auto"/>
        <w:rPr>
          <w:rFonts w:asciiTheme="minorEastAsia" w:hAnsiTheme="minorEastAsia" w:eastAsiaTheme="minorEastAsia"/>
          <w:color w:val="000000"/>
          <w:szCs w:val="24"/>
        </w:rPr>
      </w:pPr>
      <w:r>
        <w:rPr>
          <w:rFonts w:asciiTheme="minorEastAsia" w:hAnsiTheme="minorEastAsia" w:eastAsiaTheme="minorEastAsia"/>
          <w:color w:val="000000"/>
          <w:szCs w:val="24"/>
        </w:rPr>
        <w:t>传    真：</w:t>
      </w:r>
    </w:p>
    <w:p w14:paraId="2CF2DD9A">
      <w:pPr>
        <w:keepNext w:val="0"/>
        <w:keepLines w:val="0"/>
        <w:pageBreakBefore w:val="0"/>
        <w:widowControl/>
        <w:kinsoku/>
        <w:wordWrap/>
        <w:overflowPunct/>
        <w:topLinePunct w:val="0"/>
        <w:autoSpaceDE/>
        <w:autoSpaceDN/>
        <w:bidi w:val="0"/>
        <w:adjustRightInd w:val="0"/>
        <w:snapToGrid w:val="0"/>
        <w:spacing w:line="360" w:lineRule="auto"/>
        <w:ind w:right="150" w:firstLine="480"/>
        <w:textAlignment w:val="auto"/>
        <w:rPr>
          <w:rFonts w:asciiTheme="minorEastAsia" w:hAnsiTheme="minorEastAsia" w:eastAsiaTheme="minorEastAsia"/>
          <w:color w:val="000000"/>
          <w:szCs w:val="24"/>
        </w:rPr>
      </w:pPr>
      <w:r>
        <w:rPr>
          <w:rFonts w:asciiTheme="minorEastAsia" w:hAnsiTheme="minorEastAsia" w:eastAsiaTheme="minorEastAsia"/>
          <w:color w:val="000000"/>
          <w:szCs w:val="24"/>
        </w:rPr>
        <w:t>年月日</w:t>
      </w:r>
    </w:p>
    <w:p w14:paraId="035BD3C1">
      <w:pPr>
        <w:spacing w:line="400" w:lineRule="exact"/>
        <w:ind w:firstLine="480"/>
        <w:rPr>
          <w:rFonts w:asciiTheme="minorEastAsia" w:hAnsiTheme="minorEastAsia" w:eastAsiaTheme="minorEastAsia"/>
          <w:color w:val="000000"/>
          <w:szCs w:val="24"/>
        </w:rPr>
      </w:pPr>
      <w:r>
        <w:rPr>
          <w:rFonts w:asciiTheme="minorEastAsia" w:hAnsiTheme="minorEastAsia" w:eastAsiaTheme="minorEastAsia"/>
          <w:color w:val="000000"/>
          <w:szCs w:val="24"/>
        </w:rPr>
        <w:br w:type="page"/>
      </w:r>
      <w:r>
        <w:rPr>
          <w:rFonts w:asciiTheme="minorEastAsia" w:hAnsiTheme="minorEastAsia" w:eastAsiaTheme="minorEastAsia"/>
          <w:color w:val="000000"/>
          <w:szCs w:val="24"/>
        </w:rPr>
        <w:t>附件11：</w:t>
      </w:r>
    </w:p>
    <w:p w14:paraId="17224A0B">
      <w:pPr>
        <w:spacing w:beforeLines="50" w:afterLines="50" w:line="440" w:lineRule="exact"/>
        <w:ind w:firstLine="480"/>
        <w:jc w:val="center"/>
        <w:outlineLvl w:val="0"/>
        <w:rPr>
          <w:rFonts w:asciiTheme="minorEastAsia" w:hAnsiTheme="minorEastAsia" w:eastAsiaTheme="minorEastAsia"/>
          <w:color w:val="000000"/>
          <w:szCs w:val="24"/>
        </w:rPr>
      </w:pPr>
      <w:r>
        <w:rPr>
          <w:rFonts w:asciiTheme="minorEastAsia" w:hAnsiTheme="minorEastAsia" w:eastAsiaTheme="minorEastAsia"/>
          <w:color w:val="000000"/>
          <w:szCs w:val="24"/>
        </w:rPr>
        <w:t>11-1：材料暂估价表</w:t>
      </w:r>
    </w:p>
    <w:tbl>
      <w:tblPr>
        <w:tblStyle w:val="59"/>
        <w:tblpPr w:leftFromText="180" w:rightFromText="180" w:vertAnchor="text" w:horzAnchor="page" w:tblpXSpec="center" w:tblpY="41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1C4B0E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single" w:color="auto" w:sz="12" w:space="0"/>
              <w:bottom w:val="double" w:color="auto" w:sz="6" w:space="0"/>
            </w:tcBorders>
          </w:tcPr>
          <w:p w14:paraId="17AB11B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序号</w:t>
            </w:r>
          </w:p>
        </w:tc>
        <w:tc>
          <w:tcPr>
            <w:tcW w:w="1984" w:type="dxa"/>
            <w:tcBorders>
              <w:top w:val="single" w:color="auto" w:sz="12" w:space="0"/>
              <w:bottom w:val="double" w:color="auto" w:sz="6" w:space="0"/>
            </w:tcBorders>
          </w:tcPr>
          <w:p w14:paraId="293F4DD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名称</w:t>
            </w:r>
          </w:p>
        </w:tc>
        <w:tc>
          <w:tcPr>
            <w:tcW w:w="851" w:type="dxa"/>
            <w:tcBorders>
              <w:top w:val="single" w:color="auto" w:sz="12" w:space="0"/>
              <w:bottom w:val="double" w:color="auto" w:sz="6" w:space="0"/>
            </w:tcBorders>
          </w:tcPr>
          <w:p w14:paraId="7A300A8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单位</w:t>
            </w:r>
          </w:p>
        </w:tc>
        <w:tc>
          <w:tcPr>
            <w:tcW w:w="774" w:type="dxa"/>
            <w:tcBorders>
              <w:top w:val="single" w:color="auto" w:sz="12" w:space="0"/>
              <w:bottom w:val="double" w:color="auto" w:sz="6" w:space="0"/>
            </w:tcBorders>
          </w:tcPr>
          <w:p w14:paraId="6DD8637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数量</w:t>
            </w:r>
          </w:p>
        </w:tc>
        <w:tc>
          <w:tcPr>
            <w:tcW w:w="1352" w:type="dxa"/>
            <w:tcBorders>
              <w:top w:val="single" w:color="auto" w:sz="12" w:space="0"/>
              <w:bottom w:val="double" w:color="auto" w:sz="6" w:space="0"/>
            </w:tcBorders>
          </w:tcPr>
          <w:p w14:paraId="4BA0E0F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单价</w:t>
            </w:r>
            <w:r>
              <w:rPr>
                <w:rFonts w:hint="eastAsia" w:asciiTheme="minorEastAsia" w:hAnsiTheme="minorEastAsia" w:eastAsiaTheme="minorEastAsia"/>
                <w:color w:val="000000"/>
                <w:kern w:val="44"/>
                <w:position w:val="6"/>
                <w:szCs w:val="24"/>
              </w:rPr>
              <w:t>（元）</w:t>
            </w:r>
          </w:p>
        </w:tc>
        <w:tc>
          <w:tcPr>
            <w:tcW w:w="1418" w:type="dxa"/>
            <w:tcBorders>
              <w:top w:val="single" w:color="auto" w:sz="12" w:space="0"/>
              <w:bottom w:val="double" w:color="auto" w:sz="6" w:space="0"/>
            </w:tcBorders>
          </w:tcPr>
          <w:p w14:paraId="24E15BC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合价</w:t>
            </w:r>
            <w:r>
              <w:rPr>
                <w:rFonts w:hint="eastAsia" w:asciiTheme="minorEastAsia" w:hAnsiTheme="minorEastAsia" w:eastAsiaTheme="minorEastAsia"/>
                <w:color w:val="000000"/>
                <w:kern w:val="44"/>
                <w:position w:val="6"/>
                <w:szCs w:val="24"/>
              </w:rPr>
              <w:t>（元）</w:t>
            </w:r>
          </w:p>
        </w:tc>
        <w:tc>
          <w:tcPr>
            <w:tcW w:w="1701" w:type="dxa"/>
            <w:tcBorders>
              <w:top w:val="single" w:color="auto" w:sz="12" w:space="0"/>
              <w:bottom w:val="double" w:color="auto" w:sz="6" w:space="0"/>
            </w:tcBorders>
          </w:tcPr>
          <w:p w14:paraId="7D88C1A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备注</w:t>
            </w:r>
          </w:p>
        </w:tc>
      </w:tr>
      <w:tr w14:paraId="0030B0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double" w:color="auto" w:sz="6" w:space="0"/>
              <w:bottom w:val="single" w:color="auto" w:sz="6" w:space="0"/>
            </w:tcBorders>
          </w:tcPr>
          <w:p w14:paraId="416E54A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Borders>
              <w:top w:val="double" w:color="auto" w:sz="6" w:space="0"/>
              <w:bottom w:val="single" w:color="auto" w:sz="6" w:space="0"/>
            </w:tcBorders>
          </w:tcPr>
          <w:p w14:paraId="3582AE2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Borders>
              <w:top w:val="double" w:color="auto" w:sz="6" w:space="0"/>
              <w:bottom w:val="single" w:color="auto" w:sz="6" w:space="0"/>
            </w:tcBorders>
          </w:tcPr>
          <w:p w14:paraId="3EB8871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Borders>
              <w:top w:val="double" w:color="auto" w:sz="6" w:space="0"/>
              <w:bottom w:val="single" w:color="auto" w:sz="6" w:space="0"/>
            </w:tcBorders>
          </w:tcPr>
          <w:p w14:paraId="2AE07B1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Borders>
              <w:top w:val="double" w:color="auto" w:sz="6" w:space="0"/>
              <w:bottom w:val="single" w:color="auto" w:sz="6" w:space="0"/>
            </w:tcBorders>
          </w:tcPr>
          <w:p w14:paraId="002A060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Borders>
              <w:top w:val="double" w:color="auto" w:sz="6" w:space="0"/>
              <w:bottom w:val="single" w:color="auto" w:sz="6" w:space="0"/>
            </w:tcBorders>
          </w:tcPr>
          <w:p w14:paraId="04D108F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Borders>
              <w:top w:val="double" w:color="auto" w:sz="6" w:space="0"/>
              <w:bottom w:val="single" w:color="auto" w:sz="6" w:space="0"/>
            </w:tcBorders>
          </w:tcPr>
          <w:p w14:paraId="4EDC4CF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104A50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nil"/>
            </w:tcBorders>
          </w:tcPr>
          <w:p w14:paraId="447D2FA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Borders>
              <w:top w:val="nil"/>
            </w:tcBorders>
          </w:tcPr>
          <w:p w14:paraId="3686E1B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Borders>
              <w:top w:val="nil"/>
            </w:tcBorders>
          </w:tcPr>
          <w:p w14:paraId="640DD83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Borders>
              <w:top w:val="nil"/>
            </w:tcBorders>
          </w:tcPr>
          <w:p w14:paraId="213168D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Borders>
              <w:top w:val="nil"/>
            </w:tcBorders>
          </w:tcPr>
          <w:p w14:paraId="635084F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Borders>
              <w:top w:val="nil"/>
            </w:tcBorders>
          </w:tcPr>
          <w:p w14:paraId="2922D07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Borders>
              <w:top w:val="nil"/>
            </w:tcBorders>
          </w:tcPr>
          <w:p w14:paraId="6FC378A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051754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74B911D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53C71B2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1811489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6AB9D94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73363AD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6B43940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7BC4F83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1FA83F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7DD48A6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15BD785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47B6ABB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2B299D4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789C4C2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1B7E975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5D33E1F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30D9E5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47280A3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42E98A0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1081A04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4D13B17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70433B6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394AC2D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19652F1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2FC9BC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0F36833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3EC117A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281C271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59AA0C6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63DE562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6BA680C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0810841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369BA0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2213BDA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42E5152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085A1D9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6E74AEF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492B9B5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3ADEC01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6EE8527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58EA5E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679C762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3AC5C4C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0997B18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6AF8FE9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5712101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3372EA1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349BAEC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7F1121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4716B25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56E6985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25A1F01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33A16B0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6E453F4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6D440C3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5B36947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43D6AE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47FEFE2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5122ABA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5A7B547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0598655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78E8DC4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35446B4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72C3598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1A3262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289AD27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3352F55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0F6435E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035431F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4E57749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6D725EF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2E4B7B1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01AEE3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1B0BB60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4151366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2FE7856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2D8848A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4009E46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15FFBCE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20C4265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36F3BF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2DA67D4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60E5BFE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61647F7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15CBAE5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2C9D320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5A1C972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5454D8B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50C9DF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364C62E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7782BC8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58222C1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0BB27CD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0DE98FD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7C33DB2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5FE0FA8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0328F8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28B84FA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17E225E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3DF6FEC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7AEE639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116829F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234A47B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431B0BD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52D751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7DDBCF9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4A284C8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3330F22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2F2BB7C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22FFB97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1522137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7721188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33C439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15AA638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01BAFE2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70D86B1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6BC13E3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745EB6A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5B35FD4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66BBE79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6E6188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591ACCA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756CEEA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5DEFF86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6D15869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411F4DF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3986A35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62FBA55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0F7DA8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6219BE6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4F19A08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1B51BDB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30AB1B3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7CCBC76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760E85D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7462A4B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71DEE6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129111C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412A1CB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22C74B2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7157B87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6EA274D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5C8C0F8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1CBBF2B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12B4F2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29DDD04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45DC0B6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6226228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54E2097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43B660B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545F2B8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23879E6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3C27AE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1863AC2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4597EED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1D3E9CC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7B5EC11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172D3FB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129695C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7F40227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6ECDA6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3623A78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6172399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0D974B5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5AF5210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6BC062B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5C4F213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5579816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2CC4F7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62F4C01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19D29AC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30F5441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2D8814D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7B50C82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3C6B38B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6F5E574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5F20A6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79A9BEA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7DCC014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6BF8340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07DFA9E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31F668F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51C40E7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5222168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bl>
    <w:p w14:paraId="6B13D9E2">
      <w:pPr>
        <w:rPr>
          <w:rFonts w:asciiTheme="minorEastAsia" w:hAnsiTheme="minorEastAsia" w:eastAsiaTheme="minorEastAsia"/>
          <w:color w:val="000000"/>
          <w:szCs w:val="24"/>
        </w:rPr>
      </w:pPr>
      <w:r>
        <w:rPr>
          <w:rFonts w:asciiTheme="minorEastAsia" w:hAnsiTheme="minorEastAsia" w:eastAsiaTheme="minorEastAsia"/>
          <w:color w:val="000000"/>
          <w:szCs w:val="24"/>
        </w:rPr>
        <w:br w:type="page"/>
      </w:r>
    </w:p>
    <w:p w14:paraId="7B5B4EAA">
      <w:pPr>
        <w:spacing w:beforeLines="50" w:afterLines="50" w:line="240" w:lineRule="auto"/>
        <w:ind w:firstLine="480"/>
        <w:jc w:val="center"/>
        <w:rPr>
          <w:rFonts w:asciiTheme="minorEastAsia" w:hAnsiTheme="minorEastAsia" w:eastAsiaTheme="minorEastAsia"/>
          <w:color w:val="000000"/>
          <w:szCs w:val="24"/>
        </w:rPr>
      </w:pPr>
      <w:r>
        <w:rPr>
          <w:rFonts w:asciiTheme="minorEastAsia" w:hAnsiTheme="minorEastAsia" w:eastAsiaTheme="minorEastAsia"/>
          <w:color w:val="000000"/>
          <w:szCs w:val="24"/>
        </w:rPr>
        <w:t>11-2：工程设备暂估价表</w:t>
      </w:r>
    </w:p>
    <w:tbl>
      <w:tblPr>
        <w:tblStyle w:val="5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02139B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single" w:color="auto" w:sz="12" w:space="0"/>
              <w:bottom w:val="double" w:color="auto" w:sz="6" w:space="0"/>
            </w:tcBorders>
          </w:tcPr>
          <w:p w14:paraId="1ECA277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序号</w:t>
            </w:r>
          </w:p>
        </w:tc>
        <w:tc>
          <w:tcPr>
            <w:tcW w:w="1984" w:type="dxa"/>
            <w:tcBorders>
              <w:top w:val="single" w:color="auto" w:sz="12" w:space="0"/>
              <w:bottom w:val="double" w:color="auto" w:sz="6" w:space="0"/>
            </w:tcBorders>
          </w:tcPr>
          <w:p w14:paraId="249DCF0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名称</w:t>
            </w:r>
          </w:p>
        </w:tc>
        <w:tc>
          <w:tcPr>
            <w:tcW w:w="851" w:type="dxa"/>
            <w:tcBorders>
              <w:top w:val="single" w:color="auto" w:sz="12" w:space="0"/>
              <w:bottom w:val="double" w:color="auto" w:sz="6" w:space="0"/>
            </w:tcBorders>
          </w:tcPr>
          <w:p w14:paraId="148AB29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单位</w:t>
            </w:r>
          </w:p>
        </w:tc>
        <w:tc>
          <w:tcPr>
            <w:tcW w:w="774" w:type="dxa"/>
            <w:tcBorders>
              <w:top w:val="single" w:color="auto" w:sz="12" w:space="0"/>
              <w:bottom w:val="double" w:color="auto" w:sz="6" w:space="0"/>
            </w:tcBorders>
          </w:tcPr>
          <w:p w14:paraId="1498263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数量</w:t>
            </w:r>
          </w:p>
        </w:tc>
        <w:tc>
          <w:tcPr>
            <w:tcW w:w="1352" w:type="dxa"/>
            <w:tcBorders>
              <w:top w:val="single" w:color="auto" w:sz="12" w:space="0"/>
              <w:bottom w:val="double" w:color="auto" w:sz="6" w:space="0"/>
            </w:tcBorders>
          </w:tcPr>
          <w:p w14:paraId="325DFCB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单价</w:t>
            </w:r>
            <w:r>
              <w:rPr>
                <w:rFonts w:hint="eastAsia" w:asciiTheme="minorEastAsia" w:hAnsiTheme="minorEastAsia" w:eastAsiaTheme="minorEastAsia"/>
                <w:color w:val="000000"/>
                <w:kern w:val="44"/>
                <w:position w:val="6"/>
                <w:szCs w:val="24"/>
              </w:rPr>
              <w:t>（元）</w:t>
            </w:r>
          </w:p>
        </w:tc>
        <w:tc>
          <w:tcPr>
            <w:tcW w:w="1418" w:type="dxa"/>
            <w:tcBorders>
              <w:top w:val="single" w:color="auto" w:sz="12" w:space="0"/>
              <w:bottom w:val="double" w:color="auto" w:sz="6" w:space="0"/>
            </w:tcBorders>
          </w:tcPr>
          <w:p w14:paraId="310E146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合价</w:t>
            </w:r>
            <w:r>
              <w:rPr>
                <w:rFonts w:hint="eastAsia" w:asciiTheme="minorEastAsia" w:hAnsiTheme="minorEastAsia" w:eastAsiaTheme="minorEastAsia"/>
                <w:color w:val="000000"/>
                <w:kern w:val="44"/>
                <w:position w:val="6"/>
                <w:szCs w:val="24"/>
              </w:rPr>
              <w:t>（元）</w:t>
            </w:r>
          </w:p>
        </w:tc>
        <w:tc>
          <w:tcPr>
            <w:tcW w:w="1701" w:type="dxa"/>
            <w:tcBorders>
              <w:top w:val="single" w:color="auto" w:sz="12" w:space="0"/>
              <w:bottom w:val="double" w:color="auto" w:sz="6" w:space="0"/>
            </w:tcBorders>
          </w:tcPr>
          <w:p w14:paraId="0EAD0F5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备注</w:t>
            </w:r>
          </w:p>
        </w:tc>
      </w:tr>
      <w:tr w14:paraId="23864E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double" w:color="auto" w:sz="6" w:space="0"/>
              <w:bottom w:val="single" w:color="auto" w:sz="6" w:space="0"/>
            </w:tcBorders>
          </w:tcPr>
          <w:p w14:paraId="59B9433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Borders>
              <w:top w:val="double" w:color="auto" w:sz="6" w:space="0"/>
              <w:bottom w:val="single" w:color="auto" w:sz="6" w:space="0"/>
            </w:tcBorders>
          </w:tcPr>
          <w:p w14:paraId="4CBD207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Borders>
              <w:top w:val="double" w:color="auto" w:sz="6" w:space="0"/>
              <w:bottom w:val="single" w:color="auto" w:sz="6" w:space="0"/>
            </w:tcBorders>
          </w:tcPr>
          <w:p w14:paraId="49AE949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Borders>
              <w:top w:val="double" w:color="auto" w:sz="6" w:space="0"/>
              <w:bottom w:val="single" w:color="auto" w:sz="6" w:space="0"/>
            </w:tcBorders>
          </w:tcPr>
          <w:p w14:paraId="6EA4C7C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Borders>
              <w:top w:val="double" w:color="auto" w:sz="6" w:space="0"/>
              <w:bottom w:val="single" w:color="auto" w:sz="6" w:space="0"/>
            </w:tcBorders>
          </w:tcPr>
          <w:p w14:paraId="49D1FFD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Borders>
              <w:top w:val="double" w:color="auto" w:sz="6" w:space="0"/>
              <w:bottom w:val="single" w:color="auto" w:sz="6" w:space="0"/>
            </w:tcBorders>
          </w:tcPr>
          <w:p w14:paraId="5ADDD29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Borders>
              <w:top w:val="double" w:color="auto" w:sz="6" w:space="0"/>
              <w:bottom w:val="single" w:color="auto" w:sz="6" w:space="0"/>
            </w:tcBorders>
          </w:tcPr>
          <w:p w14:paraId="6681D96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2673A6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nil"/>
            </w:tcBorders>
          </w:tcPr>
          <w:p w14:paraId="13380CC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Borders>
              <w:top w:val="nil"/>
            </w:tcBorders>
          </w:tcPr>
          <w:p w14:paraId="3EC31BC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Borders>
              <w:top w:val="nil"/>
            </w:tcBorders>
          </w:tcPr>
          <w:p w14:paraId="4C23009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Borders>
              <w:top w:val="nil"/>
            </w:tcBorders>
          </w:tcPr>
          <w:p w14:paraId="69214ED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Borders>
              <w:top w:val="nil"/>
            </w:tcBorders>
          </w:tcPr>
          <w:p w14:paraId="319BC48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Borders>
              <w:top w:val="nil"/>
            </w:tcBorders>
          </w:tcPr>
          <w:p w14:paraId="4A8FDE0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Borders>
              <w:top w:val="nil"/>
            </w:tcBorders>
          </w:tcPr>
          <w:p w14:paraId="34120EA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37B450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7C9D4A8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4EEEAAF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0EDBB5B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7AE35EB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1E84FD7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7DBA28E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3B0F05C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21E96D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7081F9E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1F70E1B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54ED8A9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19D456F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49CA850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557F046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3E7A851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70AEB7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1339605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232A7C3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0A46E7A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624463D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34F6C9C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36579CF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210B607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43C992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6CA99A5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5D5312F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2C0093C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521A70D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45EC4F5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49A4D78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4F38228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39A3CE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6E7DD05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4D956B3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6C54CA5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3F5C212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62146C8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2B434AC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47F74C4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4848F6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7ACBE0C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26E5BF0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10A5D01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4B353AC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0C6A10F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49A3925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0E26E47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69FB57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02359F8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482906E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711BE3C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323B973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1367BA5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1C31A38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334BC37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4B6A20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53BBD25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7707AC2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1993E39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2841604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4FA516A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3C12EC8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0D1A7D2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4D41C9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43E3E52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028772B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0E1D71E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25C07FB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04FF30B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545AFE4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2BF984B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4D4B3B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045E9B0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09187DB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2859FCB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508D7B6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43C2626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4AAD1B5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01CFD5F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3AC44B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4D42BE2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30E62FF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0E73104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1C47857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41F0FC5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3869BAF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51E4FAB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7C5043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553BCD7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3BE9C73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730F0ED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27C847A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210415C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19458AC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33B9C10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030BAD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67186A9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68DDB23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606551C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22957F8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7EA88CF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4FABDA1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159864A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694B48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4EE49CA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76514AB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5A71F7C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5F269B1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42A0B06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7D6DCC1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03E1D20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3B7376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5A48536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5014E0B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6C46DF0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59B7DEE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1D603F4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649439D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03B3390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36F930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354E544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673017E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1E7E96F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224CB44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7BBE678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4B61464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79C405E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4C7904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6A42555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33C706B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5D47C54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59111FD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60F5DB9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0363FF7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73BDA35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6AB25A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028E3E1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42B9CCF9">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4FDB9F1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1E59ED54">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11FDE58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0B6323C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4EC19B1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0260F2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5406662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5A9FB94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6E83534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711F75D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12579F4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400A7F9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71A4FE7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4B30CD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1CCA0B4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3CD11BC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67196396">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1C7B6A3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4093D4D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7391C5E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71F0BB5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016FC1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1849BB9F">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6C7DDEBC">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307ED92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2861A28E">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1C3210D7">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4DC9F57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4938890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2524E2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11E2E95D">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3B14A9E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37F256F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3169223A">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62B32B3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69905721">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1A873BF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2779D0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6795B7D3">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3FD51608">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851" w:type="dxa"/>
          </w:tcPr>
          <w:p w14:paraId="60EE2F70">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774" w:type="dxa"/>
          </w:tcPr>
          <w:p w14:paraId="23AF9272">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352" w:type="dxa"/>
          </w:tcPr>
          <w:p w14:paraId="093FD96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418" w:type="dxa"/>
          </w:tcPr>
          <w:p w14:paraId="7D128CC5">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701" w:type="dxa"/>
          </w:tcPr>
          <w:p w14:paraId="443D5EBB">
            <w:pPr>
              <w:keepNext/>
              <w:keepLines w:val="0"/>
              <w:pageBreakBefore w:val="0"/>
              <w:widowControl/>
              <w:kinsoku/>
              <w:wordWrap/>
              <w:overflowPunct/>
              <w:topLinePunct w:val="0"/>
              <w:autoSpaceDE/>
              <w:autoSpaceDN/>
              <w:bidi w:val="0"/>
              <w:adjustRightInd w:val="0"/>
              <w:snapToGrid w:val="0"/>
              <w:spacing w:line="440" w:lineRule="exact"/>
              <w:ind w:left="0" w:right="0" w:firstLine="0" w:firstLineChars="0"/>
              <w:jc w:val="center"/>
              <w:textAlignment w:val="auto"/>
              <w:rPr>
                <w:rFonts w:asciiTheme="minorEastAsia" w:hAnsiTheme="minorEastAsia" w:eastAsiaTheme="minorEastAsia"/>
                <w:color w:val="000000"/>
                <w:kern w:val="44"/>
                <w:position w:val="6"/>
                <w:szCs w:val="24"/>
              </w:rPr>
            </w:pPr>
          </w:p>
        </w:tc>
      </w:tr>
    </w:tbl>
    <w:p w14:paraId="49E44713">
      <w:pPr>
        <w:spacing w:line="440" w:lineRule="exact"/>
        <w:ind w:firstLine="480"/>
        <w:rPr>
          <w:rFonts w:asciiTheme="minorEastAsia" w:hAnsiTheme="minorEastAsia" w:eastAsiaTheme="minorEastAsia"/>
          <w:color w:val="000000"/>
          <w:szCs w:val="24"/>
        </w:rPr>
      </w:pPr>
    </w:p>
    <w:p w14:paraId="15D163C0">
      <w:pPr>
        <w:spacing w:beforeLines="50" w:afterLines="50" w:line="440" w:lineRule="exact"/>
        <w:ind w:firstLine="480"/>
        <w:jc w:val="center"/>
        <w:rPr>
          <w:rFonts w:asciiTheme="minorEastAsia" w:hAnsiTheme="minorEastAsia" w:eastAsiaTheme="minorEastAsia"/>
          <w:color w:val="000000"/>
          <w:szCs w:val="24"/>
        </w:rPr>
      </w:pPr>
      <w:r>
        <w:rPr>
          <w:rFonts w:asciiTheme="minorEastAsia" w:hAnsiTheme="minorEastAsia" w:eastAsiaTheme="minorEastAsia"/>
          <w:color w:val="000000"/>
          <w:szCs w:val="24"/>
        </w:rPr>
        <w:br w:type="page"/>
      </w:r>
      <w:r>
        <w:rPr>
          <w:rFonts w:asciiTheme="minorEastAsia" w:hAnsiTheme="minorEastAsia" w:eastAsiaTheme="minorEastAsia"/>
          <w:color w:val="000000"/>
          <w:szCs w:val="24"/>
        </w:rPr>
        <w:t>11-3：专业工程暂估价表</w:t>
      </w:r>
    </w:p>
    <w:tbl>
      <w:tblPr>
        <w:tblStyle w:val="5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7A97CD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Borders>
              <w:top w:val="single" w:color="auto" w:sz="12" w:space="0"/>
              <w:bottom w:val="double" w:color="auto" w:sz="6" w:space="0"/>
            </w:tcBorders>
          </w:tcPr>
          <w:p w14:paraId="337A816F">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序号</w:t>
            </w:r>
          </w:p>
        </w:tc>
        <w:tc>
          <w:tcPr>
            <w:tcW w:w="1984" w:type="dxa"/>
            <w:tcBorders>
              <w:top w:val="single" w:color="auto" w:sz="12" w:space="0"/>
              <w:bottom w:val="double" w:color="auto" w:sz="6" w:space="0"/>
            </w:tcBorders>
          </w:tcPr>
          <w:p w14:paraId="3D6B1B62">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专业工程名称</w:t>
            </w:r>
          </w:p>
        </w:tc>
        <w:tc>
          <w:tcPr>
            <w:tcW w:w="4678" w:type="dxa"/>
            <w:tcBorders>
              <w:top w:val="single" w:color="auto" w:sz="12" w:space="0"/>
              <w:bottom w:val="double" w:color="auto" w:sz="6" w:space="0"/>
            </w:tcBorders>
          </w:tcPr>
          <w:p w14:paraId="7DDF45AA">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工程内容</w:t>
            </w:r>
          </w:p>
        </w:tc>
        <w:tc>
          <w:tcPr>
            <w:tcW w:w="1276" w:type="dxa"/>
            <w:tcBorders>
              <w:top w:val="single" w:color="auto" w:sz="12" w:space="0"/>
              <w:bottom w:val="double" w:color="auto" w:sz="6" w:space="0"/>
            </w:tcBorders>
          </w:tcPr>
          <w:p w14:paraId="7598C1DF">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金额</w:t>
            </w:r>
          </w:p>
        </w:tc>
      </w:tr>
      <w:tr w14:paraId="32B889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Borders>
              <w:top w:val="double" w:color="auto" w:sz="6" w:space="0"/>
              <w:bottom w:val="single" w:color="auto" w:sz="6" w:space="0"/>
            </w:tcBorders>
          </w:tcPr>
          <w:p w14:paraId="3E24CE16">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Borders>
              <w:top w:val="double" w:color="auto" w:sz="6" w:space="0"/>
              <w:bottom w:val="single" w:color="auto" w:sz="6" w:space="0"/>
            </w:tcBorders>
          </w:tcPr>
          <w:p w14:paraId="024A7FD5">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678" w:type="dxa"/>
            <w:tcBorders>
              <w:top w:val="double" w:color="auto" w:sz="6" w:space="0"/>
              <w:bottom w:val="single" w:color="auto" w:sz="6" w:space="0"/>
            </w:tcBorders>
          </w:tcPr>
          <w:p w14:paraId="46B9641A">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tcBorders>
              <w:top w:val="double" w:color="auto" w:sz="6" w:space="0"/>
              <w:bottom w:val="single" w:color="auto" w:sz="6" w:space="0"/>
            </w:tcBorders>
          </w:tcPr>
          <w:p w14:paraId="6EB34F72">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2E5BED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Borders>
              <w:top w:val="nil"/>
            </w:tcBorders>
          </w:tcPr>
          <w:p w14:paraId="3B360BAD">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Borders>
              <w:top w:val="nil"/>
            </w:tcBorders>
          </w:tcPr>
          <w:p w14:paraId="78356AA9">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678" w:type="dxa"/>
            <w:tcBorders>
              <w:top w:val="nil"/>
            </w:tcBorders>
          </w:tcPr>
          <w:p w14:paraId="2FF20029">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tcBorders>
              <w:top w:val="nil"/>
            </w:tcBorders>
          </w:tcPr>
          <w:p w14:paraId="7253769C">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4DB491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Borders>
              <w:top w:val="nil"/>
            </w:tcBorders>
          </w:tcPr>
          <w:p w14:paraId="2F057DA7">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Borders>
              <w:top w:val="nil"/>
            </w:tcBorders>
          </w:tcPr>
          <w:p w14:paraId="254509E5">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678" w:type="dxa"/>
            <w:tcBorders>
              <w:top w:val="nil"/>
            </w:tcBorders>
          </w:tcPr>
          <w:p w14:paraId="14BF9A19">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tcBorders>
              <w:top w:val="nil"/>
            </w:tcBorders>
          </w:tcPr>
          <w:p w14:paraId="051F44A3">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46282B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1C81CE72">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50644BDC">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678" w:type="dxa"/>
          </w:tcPr>
          <w:p w14:paraId="38234F47">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tcPr>
          <w:p w14:paraId="6E71CADF">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7CCE8F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48C2F9D8">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7D9578BF">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678" w:type="dxa"/>
          </w:tcPr>
          <w:p w14:paraId="79F91061">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tcPr>
          <w:p w14:paraId="486B1913">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4A4263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41090C24">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241F7D9B">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678" w:type="dxa"/>
          </w:tcPr>
          <w:p w14:paraId="663C6721">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tcPr>
          <w:p w14:paraId="74E565E5">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3495EF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4EEDB068">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7AEAF446">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678" w:type="dxa"/>
          </w:tcPr>
          <w:p w14:paraId="3CC8FBE0">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tcPr>
          <w:p w14:paraId="380735A5">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1252E2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2A315D94">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6D78269B">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678" w:type="dxa"/>
          </w:tcPr>
          <w:p w14:paraId="39CC620D">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tcPr>
          <w:p w14:paraId="63385C2A">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61A28B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6C88919D">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5C886ECB">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678" w:type="dxa"/>
          </w:tcPr>
          <w:p w14:paraId="5ED11DF6">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tcPr>
          <w:p w14:paraId="2AF8499B">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64A959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3BF88939">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5B0C00DC">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678" w:type="dxa"/>
          </w:tcPr>
          <w:p w14:paraId="216F63B6">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tcPr>
          <w:p w14:paraId="78CE6C09">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6AB9B3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65293101">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390C5D7A">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678" w:type="dxa"/>
          </w:tcPr>
          <w:p w14:paraId="648B97FB">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tcPr>
          <w:p w14:paraId="7583539F">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5A59D5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32F2EFDD">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1CCA3B7E">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678" w:type="dxa"/>
          </w:tcPr>
          <w:p w14:paraId="23A06DDD">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tcPr>
          <w:p w14:paraId="6F05678B">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703356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39B39616">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24D9E33C">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678" w:type="dxa"/>
          </w:tcPr>
          <w:p w14:paraId="4198A155">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tcPr>
          <w:p w14:paraId="5940EA04">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75E7DB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082A614E">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639BF474">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678" w:type="dxa"/>
          </w:tcPr>
          <w:p w14:paraId="4C531FC7">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tcPr>
          <w:p w14:paraId="65480026">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46C8F7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16F2114E">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66AE3288">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678" w:type="dxa"/>
          </w:tcPr>
          <w:p w14:paraId="2AD716E0">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tcPr>
          <w:p w14:paraId="30E9478E">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50D15D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713595BD">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0E02528D">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678" w:type="dxa"/>
          </w:tcPr>
          <w:p w14:paraId="32091F0B">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tcPr>
          <w:p w14:paraId="3A4333C0">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0DF40E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6A1D2A6C">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140170F0">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678" w:type="dxa"/>
          </w:tcPr>
          <w:p w14:paraId="28B2DCFA">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tcPr>
          <w:p w14:paraId="1CAA4203">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02380D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4F4C4CF9">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39245FBE">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678" w:type="dxa"/>
          </w:tcPr>
          <w:p w14:paraId="6E43D015">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tcPr>
          <w:p w14:paraId="51772D2D">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64902A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1D590CD3">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158EAC79">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678" w:type="dxa"/>
          </w:tcPr>
          <w:p w14:paraId="1BE6E269">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tcPr>
          <w:p w14:paraId="459FDBBF">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498A45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66886221">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23D028F1">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678" w:type="dxa"/>
          </w:tcPr>
          <w:p w14:paraId="3B455E0B">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tcPr>
          <w:p w14:paraId="4EAD620C">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499405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740F398E">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2BB48AEC">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678" w:type="dxa"/>
          </w:tcPr>
          <w:p w14:paraId="72A0BDF5">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tcPr>
          <w:p w14:paraId="3FE49488">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181455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05CACF0D">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7E3FA0B2">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678" w:type="dxa"/>
          </w:tcPr>
          <w:p w14:paraId="21A5A2DB">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tcPr>
          <w:p w14:paraId="2461193B">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75C23F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65D7CC5F">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7323BFBB">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678" w:type="dxa"/>
          </w:tcPr>
          <w:p w14:paraId="090B970D">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tcPr>
          <w:p w14:paraId="17C8B22E">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0A1003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4F8C8915">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6262B14D">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678" w:type="dxa"/>
          </w:tcPr>
          <w:p w14:paraId="43387D8F">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tcPr>
          <w:p w14:paraId="6BB6E8D0">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1F3177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192E72CD">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49881251">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678" w:type="dxa"/>
          </w:tcPr>
          <w:p w14:paraId="1CD711B3">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tcPr>
          <w:p w14:paraId="7593C9CD">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207602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44AE31FC">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984" w:type="dxa"/>
          </w:tcPr>
          <w:p w14:paraId="7DFB034A">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4678" w:type="dxa"/>
          </w:tcPr>
          <w:p w14:paraId="04AEB901">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c>
          <w:tcPr>
            <w:tcW w:w="1276" w:type="dxa"/>
          </w:tcPr>
          <w:p w14:paraId="41A0FA91">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p>
        </w:tc>
      </w:tr>
      <w:tr w14:paraId="5BA946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817" w:type="dxa"/>
            <w:gridSpan w:val="4"/>
          </w:tcPr>
          <w:p w14:paraId="66A8A5E0">
            <w:pPr>
              <w:keepNext/>
              <w:keepLines w:val="0"/>
              <w:pageBreakBefore w:val="0"/>
              <w:widowControl/>
              <w:kinsoku/>
              <w:wordWrap/>
              <w:overflowPunct/>
              <w:topLinePunct w:val="0"/>
              <w:autoSpaceDE/>
              <w:autoSpaceDN/>
              <w:bidi w:val="0"/>
              <w:adjustRightInd w:val="0"/>
              <w:snapToGrid w:val="0"/>
              <w:spacing w:line="400" w:lineRule="exact"/>
              <w:ind w:left="0" w:right="0" w:firstLine="0" w:firstLineChars="0"/>
              <w:jc w:val="center"/>
              <w:textAlignment w:val="auto"/>
              <w:rPr>
                <w:rFonts w:asciiTheme="minorEastAsia" w:hAnsiTheme="minorEastAsia" w:eastAsiaTheme="minorEastAsia"/>
                <w:color w:val="000000"/>
                <w:kern w:val="44"/>
                <w:position w:val="6"/>
                <w:szCs w:val="24"/>
              </w:rPr>
            </w:pPr>
            <w:r>
              <w:rPr>
                <w:rFonts w:asciiTheme="minorEastAsia" w:hAnsiTheme="minorEastAsia" w:eastAsiaTheme="minorEastAsia"/>
                <w:color w:val="000000"/>
                <w:kern w:val="44"/>
                <w:position w:val="6"/>
                <w:szCs w:val="24"/>
              </w:rPr>
              <w:t>小计：</w:t>
            </w:r>
          </w:p>
        </w:tc>
      </w:tr>
    </w:tbl>
    <w:p w14:paraId="05DEA620">
      <w:pPr>
        <w:adjustRightInd/>
        <w:snapToGrid/>
        <w:spacing w:line="240" w:lineRule="auto"/>
        <w:ind w:firstLine="482"/>
        <w:rPr>
          <w:rFonts w:asciiTheme="minorEastAsia" w:hAnsiTheme="minorEastAsia" w:eastAsiaTheme="minorEastAsia"/>
          <w:b/>
          <w:kern w:val="44"/>
          <w:szCs w:val="24"/>
        </w:rPr>
      </w:pPr>
      <w:r>
        <w:rPr>
          <w:rFonts w:asciiTheme="minorEastAsia" w:hAnsiTheme="minorEastAsia" w:eastAsiaTheme="minorEastAsia"/>
          <w:b/>
          <w:bCs/>
          <w:color w:val="000000"/>
          <w:szCs w:val="24"/>
        </w:rPr>
        <w:br w:type="page"/>
      </w:r>
    </w:p>
    <w:p w14:paraId="79A9E1E5">
      <w:pPr>
        <w:pStyle w:val="2"/>
        <w:ind w:firstLine="723"/>
        <w:rPr>
          <w:lang w:val="zh-CN"/>
        </w:rPr>
      </w:pPr>
      <w:r>
        <w:rPr>
          <w:rFonts w:hint="eastAsia"/>
          <w:lang w:val="zh-CN"/>
        </w:rPr>
        <w:t xml:space="preserve">第六章 </w:t>
      </w:r>
      <w:r>
        <w:rPr>
          <w:rFonts w:hint="eastAsia"/>
          <w:lang w:val="en-US" w:eastAsia="zh-CN"/>
        </w:rPr>
        <w:t xml:space="preserve"> </w:t>
      </w:r>
      <w:r>
        <w:rPr>
          <w:rFonts w:hint="eastAsia"/>
          <w:lang w:val="zh-CN"/>
        </w:rPr>
        <w:t>投标文件格式及附件</w:t>
      </w:r>
      <w:bookmarkEnd w:id="77"/>
      <w:bookmarkEnd w:id="78"/>
      <w:bookmarkEnd w:id="79"/>
      <w:bookmarkEnd w:id="80"/>
      <w:bookmarkEnd w:id="81"/>
      <w:bookmarkEnd w:id="82"/>
      <w:bookmarkEnd w:id="83"/>
      <w:bookmarkEnd w:id="84"/>
      <w:bookmarkEnd w:id="85"/>
      <w:bookmarkEnd w:id="86"/>
      <w:bookmarkEnd w:id="87"/>
      <w:bookmarkEnd w:id="88"/>
    </w:p>
    <w:p w14:paraId="1EFAB4E8">
      <w:pPr>
        <w:ind w:left="480" w:firstLine="0" w:firstLineChars="0"/>
      </w:pPr>
    </w:p>
    <w:p w14:paraId="14DDD47D">
      <w:pPr>
        <w:ind w:firstLine="1446"/>
        <w:jc w:val="center"/>
        <w:rPr>
          <w:rFonts w:ascii="宋体" w:hAnsi="宋体"/>
          <w:b/>
          <w:sz w:val="72"/>
        </w:rPr>
      </w:pPr>
    </w:p>
    <w:p w14:paraId="7AA6D288">
      <w:pPr>
        <w:ind w:firstLine="1446"/>
        <w:jc w:val="center"/>
        <w:rPr>
          <w:rFonts w:ascii="宋体" w:hAnsi="宋体"/>
          <w:b/>
          <w:sz w:val="72"/>
        </w:rPr>
      </w:pPr>
      <w:r>
        <w:rPr>
          <w:rFonts w:hint="eastAsia" w:ascii="宋体" w:hAnsi="宋体"/>
          <w:b/>
          <w:sz w:val="72"/>
        </w:rPr>
        <w:t>投标文件</w:t>
      </w:r>
    </w:p>
    <w:p w14:paraId="376DA0DD">
      <w:pPr>
        <w:ind w:firstLine="3708" w:firstLineChars="1026"/>
        <w:rPr>
          <w:rFonts w:ascii="宋体" w:hAnsi="宋体"/>
          <w:b/>
          <w:sz w:val="36"/>
        </w:rPr>
      </w:pPr>
    </w:p>
    <w:p w14:paraId="7C08B428">
      <w:pPr>
        <w:ind w:firstLine="723"/>
        <w:jc w:val="center"/>
        <w:rPr>
          <w:rFonts w:ascii="宋体" w:hAnsi="宋体"/>
          <w:b/>
          <w:sz w:val="36"/>
        </w:rPr>
      </w:pPr>
    </w:p>
    <w:p w14:paraId="0C9C931B">
      <w:pPr>
        <w:ind w:firstLine="723"/>
        <w:jc w:val="center"/>
        <w:rPr>
          <w:rFonts w:ascii="宋体" w:hAnsi="宋体"/>
          <w:b/>
          <w:sz w:val="36"/>
        </w:rPr>
      </w:pPr>
    </w:p>
    <w:p w14:paraId="2A44C26E">
      <w:pPr>
        <w:ind w:firstLine="723"/>
        <w:jc w:val="center"/>
        <w:rPr>
          <w:rFonts w:ascii="宋体" w:hAnsi="宋体"/>
          <w:b/>
          <w:sz w:val="36"/>
        </w:rPr>
      </w:pPr>
    </w:p>
    <w:p w14:paraId="6D5DB931">
      <w:pPr>
        <w:ind w:firstLine="1084" w:firstLineChars="300"/>
        <w:rPr>
          <w:rFonts w:ascii="宋体" w:hAnsi="宋体"/>
          <w:b/>
          <w:sz w:val="36"/>
        </w:rPr>
      </w:pPr>
      <w:r>
        <w:rPr>
          <w:rFonts w:hint="eastAsia" w:ascii="宋体" w:hAnsi="宋体"/>
          <w:b/>
          <w:sz w:val="36"/>
        </w:rPr>
        <w:t xml:space="preserve">项 目 编号： </w:t>
      </w:r>
    </w:p>
    <w:p w14:paraId="53BC8DD8">
      <w:pPr>
        <w:ind w:firstLine="1084" w:firstLineChars="300"/>
        <w:rPr>
          <w:rFonts w:ascii="宋体" w:hAnsi="宋体"/>
          <w:b/>
          <w:sz w:val="36"/>
          <w:u w:val="single"/>
        </w:rPr>
      </w:pPr>
      <w:r>
        <w:rPr>
          <w:rFonts w:hint="eastAsia" w:ascii="宋体" w:hAnsi="宋体"/>
          <w:b/>
          <w:sz w:val="36"/>
        </w:rPr>
        <w:t xml:space="preserve">项 目 名称： </w:t>
      </w:r>
    </w:p>
    <w:p w14:paraId="7983E312">
      <w:pPr>
        <w:ind w:firstLine="723"/>
        <w:rPr>
          <w:rFonts w:ascii="宋体" w:hAnsi="宋体"/>
          <w:b/>
          <w:sz w:val="36"/>
          <w:u w:val="single"/>
        </w:rPr>
      </w:pPr>
      <w:r>
        <w:rPr>
          <w:rFonts w:hint="eastAsia" w:ascii="宋体" w:hAnsi="宋体"/>
          <w:b/>
          <w:sz w:val="36"/>
        </w:rPr>
        <w:t xml:space="preserve">  供应商名称 ：</w:t>
      </w:r>
    </w:p>
    <w:p w14:paraId="15041D93">
      <w:pPr>
        <w:ind w:firstLine="723"/>
        <w:rPr>
          <w:rFonts w:ascii="宋体" w:hAnsi="宋体"/>
          <w:b/>
          <w:bCs/>
          <w:sz w:val="44"/>
        </w:rPr>
      </w:pPr>
      <w:r>
        <w:rPr>
          <w:rFonts w:hint="eastAsia" w:ascii="宋体" w:hAnsi="宋体"/>
          <w:b/>
          <w:sz w:val="36"/>
        </w:rPr>
        <w:t xml:space="preserve">  日      期 ：</w:t>
      </w:r>
    </w:p>
    <w:p w14:paraId="1CEBC6D1">
      <w:pPr>
        <w:ind w:firstLine="0" w:firstLineChars="0"/>
        <w:rPr>
          <w:rFonts w:ascii="宋体" w:hAnsi="宋体"/>
          <w:b/>
          <w:szCs w:val="24"/>
        </w:rPr>
      </w:pPr>
      <w:bookmarkStart w:id="1109" w:name="_Toc14933"/>
      <w:bookmarkStart w:id="1110" w:name="_Toc3728"/>
      <w:bookmarkStart w:id="1111" w:name="_Toc12455"/>
      <w:bookmarkStart w:id="1112" w:name="_Toc28495"/>
      <w:bookmarkStart w:id="1113" w:name="_Toc23887"/>
      <w:bookmarkStart w:id="1114" w:name="_Toc20880"/>
      <w:bookmarkStart w:id="1115" w:name="_Toc24966"/>
      <w:bookmarkStart w:id="1116" w:name="_Toc504141754"/>
      <w:bookmarkStart w:id="1117" w:name="_Toc10730"/>
      <w:r>
        <w:rPr>
          <w:rFonts w:hint="eastAsia"/>
        </w:rPr>
        <w:br w:type="page"/>
      </w:r>
    </w:p>
    <w:p w14:paraId="6A0EC7EF">
      <w:pPr>
        <w:pStyle w:val="3"/>
        <w:ind w:firstLine="482"/>
        <w:rPr>
          <w:rFonts w:hint="eastAsia"/>
        </w:rPr>
        <w:sectPr>
          <w:footerReference r:id="rId24" w:type="default"/>
          <w:pgSz w:w="11906" w:h="16838"/>
          <w:pgMar w:top="1418" w:right="1133" w:bottom="1418" w:left="1418" w:header="851" w:footer="680" w:gutter="0"/>
          <w:cols w:space="720" w:num="1"/>
          <w:docGrid w:linePitch="290" w:charSpace="0"/>
        </w:sectPr>
      </w:pPr>
      <w:bookmarkStart w:id="1118" w:name="_Toc36797971"/>
    </w:p>
    <w:p w14:paraId="185634BD">
      <w:pPr>
        <w:widowControl w:val="0"/>
        <w:adjustRightInd/>
        <w:snapToGrid/>
        <w:spacing w:line="240" w:lineRule="auto"/>
        <w:ind w:firstLine="0" w:firstLineChars="0"/>
        <w:jc w:val="center"/>
        <w:rPr>
          <w:rFonts w:ascii="宋体" w:hAnsi="宋体"/>
          <w:b/>
          <w:szCs w:val="24"/>
          <w:lang w:val="zh-CN"/>
        </w:rPr>
      </w:pPr>
      <w:r>
        <w:rPr>
          <w:rFonts w:hint="eastAsia" w:ascii="宋体" w:hAnsi="宋体"/>
          <w:b/>
          <w:szCs w:val="24"/>
          <w:lang w:val="zh-CN"/>
        </w:rPr>
        <w:t>评分索引表（可按需调整）</w:t>
      </w:r>
    </w:p>
    <w:tbl>
      <w:tblPr>
        <w:tblStyle w:val="59"/>
        <w:tblW w:w="458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61"/>
        <w:gridCol w:w="4414"/>
      </w:tblGrid>
      <w:tr w14:paraId="3C3E0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trPr>
        <w:tc>
          <w:tcPr>
            <w:tcW w:w="2485" w:type="pct"/>
            <w:vAlign w:val="center"/>
          </w:tcPr>
          <w:p w14:paraId="564CC022">
            <w:pPr>
              <w:shd w:val="clear" w:color="auto" w:fill="FFFFFF"/>
              <w:adjustRightInd/>
              <w:snapToGrid/>
              <w:spacing w:before="120" w:after="120" w:line="265" w:lineRule="atLeast"/>
              <w:ind w:left="720" w:firstLine="0" w:firstLineChars="0"/>
              <w:contextualSpacing/>
              <w:jc w:val="center"/>
              <w:rPr>
                <w:rFonts w:ascii="宋体" w:hAnsi="宋体"/>
                <w:b/>
                <w:bCs/>
                <w:szCs w:val="24"/>
                <w:lang w:val="zh-CN"/>
              </w:rPr>
            </w:pPr>
            <w:r>
              <w:rPr>
                <w:rFonts w:hint="eastAsia" w:ascii="宋体" w:hAnsi="宋体"/>
                <w:b/>
                <w:szCs w:val="24"/>
                <w:lang w:val="zh-CN"/>
              </w:rPr>
              <w:t>评分项目</w:t>
            </w:r>
          </w:p>
        </w:tc>
        <w:tc>
          <w:tcPr>
            <w:tcW w:w="2515" w:type="pct"/>
            <w:vAlign w:val="center"/>
          </w:tcPr>
          <w:p w14:paraId="0EBEDCE8">
            <w:pPr>
              <w:widowControl w:val="0"/>
              <w:adjustRightInd/>
              <w:snapToGrid/>
              <w:spacing w:line="240" w:lineRule="auto"/>
              <w:ind w:firstLine="0" w:firstLineChars="0"/>
              <w:jc w:val="center"/>
              <w:rPr>
                <w:rFonts w:ascii="宋体" w:hAnsi="宋体"/>
                <w:b/>
                <w:szCs w:val="24"/>
                <w:lang w:val="zh-CN"/>
              </w:rPr>
            </w:pPr>
            <w:r>
              <w:rPr>
                <w:rFonts w:hint="eastAsia" w:ascii="宋体" w:hAnsi="宋体"/>
                <w:b/>
                <w:szCs w:val="24"/>
                <w:lang w:val="zh-CN" w:bidi="en-US"/>
              </w:rPr>
              <w:t>在响应文件中的页码位置</w:t>
            </w:r>
          </w:p>
        </w:tc>
      </w:tr>
      <w:tr w14:paraId="42E2F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2485" w:type="pct"/>
            <w:vAlign w:val="center"/>
          </w:tcPr>
          <w:p w14:paraId="54DC700A">
            <w:pPr>
              <w:shd w:val="clear" w:color="auto" w:fill="FFFFFF"/>
              <w:adjustRightInd/>
              <w:snapToGrid/>
              <w:spacing w:before="120" w:after="120" w:line="265" w:lineRule="atLeast"/>
              <w:ind w:left="1440" w:firstLine="420" w:firstLineChars="0"/>
              <w:contextualSpacing/>
              <w:jc w:val="center"/>
              <w:rPr>
                <w:rFonts w:ascii="宋体" w:hAnsi="宋体"/>
                <w:szCs w:val="24"/>
                <w:lang w:val="zh-CN"/>
              </w:rPr>
            </w:pPr>
          </w:p>
        </w:tc>
        <w:tc>
          <w:tcPr>
            <w:tcW w:w="2515" w:type="pct"/>
            <w:vAlign w:val="center"/>
          </w:tcPr>
          <w:p w14:paraId="44CF2591">
            <w:pPr>
              <w:widowControl w:val="0"/>
              <w:adjustRightInd/>
              <w:snapToGrid/>
              <w:spacing w:line="240" w:lineRule="auto"/>
              <w:ind w:firstLine="0" w:firstLineChars="0"/>
              <w:jc w:val="center"/>
              <w:rPr>
                <w:rFonts w:ascii="宋体" w:hAnsi="宋体"/>
                <w:szCs w:val="24"/>
                <w:lang w:val="zh-CN"/>
              </w:rPr>
            </w:pPr>
          </w:p>
        </w:tc>
      </w:tr>
      <w:tr w14:paraId="72C29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2485" w:type="pct"/>
            <w:vAlign w:val="center"/>
          </w:tcPr>
          <w:p w14:paraId="559CCDF0">
            <w:pPr>
              <w:shd w:val="clear" w:color="auto" w:fill="FFFFFF"/>
              <w:adjustRightInd/>
              <w:snapToGrid/>
              <w:spacing w:before="120" w:after="120" w:line="265" w:lineRule="atLeast"/>
              <w:ind w:left="1440" w:firstLine="420" w:firstLineChars="0"/>
              <w:contextualSpacing/>
              <w:jc w:val="center"/>
              <w:rPr>
                <w:rFonts w:ascii="宋体" w:hAnsi="宋体"/>
                <w:szCs w:val="24"/>
                <w:lang w:val="zh-CN"/>
              </w:rPr>
            </w:pPr>
          </w:p>
        </w:tc>
        <w:tc>
          <w:tcPr>
            <w:tcW w:w="2515" w:type="pct"/>
            <w:vAlign w:val="center"/>
          </w:tcPr>
          <w:p w14:paraId="1060F991">
            <w:pPr>
              <w:widowControl w:val="0"/>
              <w:adjustRightInd/>
              <w:snapToGrid/>
              <w:spacing w:line="240" w:lineRule="auto"/>
              <w:ind w:firstLine="0" w:firstLineChars="0"/>
              <w:jc w:val="center"/>
              <w:rPr>
                <w:rFonts w:ascii="宋体" w:hAnsi="宋体"/>
                <w:szCs w:val="24"/>
                <w:lang w:val="zh-CN"/>
              </w:rPr>
            </w:pPr>
          </w:p>
        </w:tc>
      </w:tr>
      <w:tr w14:paraId="6CDB4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2485" w:type="pct"/>
            <w:vAlign w:val="center"/>
          </w:tcPr>
          <w:p w14:paraId="26351E6D">
            <w:pPr>
              <w:shd w:val="clear" w:color="auto" w:fill="FFFFFF"/>
              <w:adjustRightInd/>
              <w:snapToGrid/>
              <w:spacing w:before="120" w:after="120" w:line="265" w:lineRule="atLeast"/>
              <w:ind w:left="1440" w:firstLine="420" w:firstLineChars="0"/>
              <w:contextualSpacing/>
              <w:jc w:val="center"/>
              <w:rPr>
                <w:rFonts w:ascii="宋体" w:hAnsi="宋体"/>
                <w:szCs w:val="24"/>
                <w:lang w:val="zh-CN"/>
              </w:rPr>
            </w:pPr>
          </w:p>
        </w:tc>
        <w:tc>
          <w:tcPr>
            <w:tcW w:w="2515" w:type="pct"/>
            <w:vAlign w:val="center"/>
          </w:tcPr>
          <w:p w14:paraId="65EFD264">
            <w:pPr>
              <w:widowControl w:val="0"/>
              <w:adjustRightInd/>
              <w:snapToGrid/>
              <w:spacing w:line="240" w:lineRule="auto"/>
              <w:ind w:firstLine="0" w:firstLineChars="0"/>
              <w:jc w:val="center"/>
              <w:rPr>
                <w:rFonts w:ascii="宋体" w:hAnsi="宋体"/>
                <w:szCs w:val="24"/>
                <w:lang w:val="zh-CN"/>
              </w:rPr>
            </w:pPr>
          </w:p>
        </w:tc>
      </w:tr>
      <w:tr w14:paraId="65279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2485" w:type="pct"/>
            <w:vAlign w:val="center"/>
          </w:tcPr>
          <w:p w14:paraId="37DE8A0F">
            <w:pPr>
              <w:shd w:val="clear" w:color="auto" w:fill="FFFFFF"/>
              <w:adjustRightInd/>
              <w:snapToGrid/>
              <w:spacing w:before="120" w:after="120" w:line="265" w:lineRule="atLeast"/>
              <w:ind w:left="1440" w:firstLine="420" w:firstLineChars="0"/>
              <w:contextualSpacing/>
              <w:jc w:val="center"/>
              <w:rPr>
                <w:rFonts w:ascii="宋体" w:hAnsi="宋体"/>
                <w:szCs w:val="24"/>
                <w:lang w:val="zh-CN"/>
              </w:rPr>
            </w:pPr>
          </w:p>
        </w:tc>
        <w:tc>
          <w:tcPr>
            <w:tcW w:w="2515" w:type="pct"/>
            <w:vAlign w:val="center"/>
          </w:tcPr>
          <w:p w14:paraId="794950B0">
            <w:pPr>
              <w:widowControl w:val="0"/>
              <w:adjustRightInd/>
              <w:snapToGrid/>
              <w:spacing w:line="240" w:lineRule="auto"/>
              <w:ind w:firstLine="0" w:firstLineChars="0"/>
              <w:jc w:val="center"/>
              <w:rPr>
                <w:rFonts w:ascii="宋体" w:hAnsi="宋体"/>
                <w:szCs w:val="24"/>
                <w:lang w:val="zh-CN"/>
              </w:rPr>
            </w:pPr>
          </w:p>
        </w:tc>
      </w:tr>
      <w:tr w14:paraId="65459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2485" w:type="pct"/>
            <w:vAlign w:val="center"/>
          </w:tcPr>
          <w:p w14:paraId="776D9122">
            <w:pPr>
              <w:shd w:val="clear" w:color="auto" w:fill="FFFFFF"/>
              <w:adjustRightInd/>
              <w:snapToGrid/>
              <w:spacing w:before="120" w:after="120" w:line="265" w:lineRule="atLeast"/>
              <w:ind w:left="1442" w:firstLine="422" w:firstLineChars="0"/>
              <w:contextualSpacing/>
              <w:jc w:val="center"/>
              <w:rPr>
                <w:rFonts w:ascii="宋体" w:hAnsi="宋体"/>
                <w:b/>
                <w:bCs/>
                <w:szCs w:val="24"/>
                <w:lang w:val="zh-CN"/>
              </w:rPr>
            </w:pPr>
          </w:p>
        </w:tc>
        <w:tc>
          <w:tcPr>
            <w:tcW w:w="2515" w:type="pct"/>
            <w:vAlign w:val="center"/>
          </w:tcPr>
          <w:p w14:paraId="110F5622">
            <w:pPr>
              <w:widowControl w:val="0"/>
              <w:adjustRightInd/>
              <w:snapToGrid/>
              <w:spacing w:line="240" w:lineRule="auto"/>
              <w:ind w:firstLine="0" w:firstLineChars="0"/>
              <w:jc w:val="center"/>
              <w:rPr>
                <w:rFonts w:ascii="宋体" w:hAnsi="宋体"/>
                <w:szCs w:val="24"/>
                <w:lang w:val="zh-CN"/>
              </w:rPr>
            </w:pPr>
          </w:p>
        </w:tc>
      </w:tr>
      <w:tr w14:paraId="462F4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2485" w:type="pct"/>
            <w:vAlign w:val="center"/>
          </w:tcPr>
          <w:p w14:paraId="5694B438">
            <w:pPr>
              <w:shd w:val="clear" w:color="auto" w:fill="FFFFFF"/>
              <w:adjustRightInd/>
              <w:snapToGrid/>
              <w:spacing w:before="120" w:after="120" w:line="265" w:lineRule="atLeast"/>
              <w:ind w:left="1440" w:firstLine="420" w:firstLineChars="0"/>
              <w:contextualSpacing/>
              <w:jc w:val="center"/>
              <w:rPr>
                <w:rFonts w:ascii="宋体" w:hAnsi="宋体"/>
                <w:szCs w:val="24"/>
                <w:lang w:val="zh-CN"/>
              </w:rPr>
            </w:pPr>
          </w:p>
        </w:tc>
        <w:tc>
          <w:tcPr>
            <w:tcW w:w="2515" w:type="pct"/>
            <w:vAlign w:val="center"/>
          </w:tcPr>
          <w:p w14:paraId="2ECEA1F5">
            <w:pPr>
              <w:widowControl w:val="0"/>
              <w:adjustRightInd/>
              <w:snapToGrid/>
              <w:spacing w:line="240" w:lineRule="auto"/>
              <w:ind w:firstLine="0" w:firstLineChars="0"/>
              <w:jc w:val="center"/>
              <w:rPr>
                <w:rFonts w:ascii="宋体" w:hAnsi="宋体"/>
                <w:szCs w:val="24"/>
                <w:lang w:val="zh-CN"/>
              </w:rPr>
            </w:pPr>
          </w:p>
        </w:tc>
      </w:tr>
      <w:tr w14:paraId="7AFA8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2485" w:type="pct"/>
            <w:vAlign w:val="center"/>
          </w:tcPr>
          <w:p w14:paraId="01A6E723">
            <w:pPr>
              <w:shd w:val="clear" w:color="auto" w:fill="FFFFFF"/>
              <w:adjustRightInd/>
              <w:snapToGrid/>
              <w:spacing w:before="120" w:after="120" w:line="265" w:lineRule="atLeast"/>
              <w:ind w:left="1442" w:firstLine="422" w:firstLineChars="0"/>
              <w:contextualSpacing/>
              <w:jc w:val="center"/>
              <w:rPr>
                <w:rFonts w:ascii="宋体" w:hAnsi="宋体"/>
                <w:b/>
                <w:bCs/>
                <w:szCs w:val="24"/>
                <w:lang w:val="zh-CN"/>
              </w:rPr>
            </w:pPr>
          </w:p>
        </w:tc>
        <w:tc>
          <w:tcPr>
            <w:tcW w:w="2515" w:type="pct"/>
            <w:vAlign w:val="center"/>
          </w:tcPr>
          <w:p w14:paraId="647426BF">
            <w:pPr>
              <w:widowControl w:val="0"/>
              <w:adjustRightInd/>
              <w:snapToGrid/>
              <w:spacing w:line="240" w:lineRule="auto"/>
              <w:ind w:firstLine="0" w:firstLineChars="0"/>
              <w:jc w:val="center"/>
              <w:rPr>
                <w:rFonts w:ascii="宋体" w:hAnsi="宋体"/>
                <w:szCs w:val="24"/>
                <w:lang w:val="zh-CN"/>
              </w:rPr>
            </w:pPr>
          </w:p>
        </w:tc>
      </w:tr>
      <w:tr w14:paraId="655F4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2485" w:type="pct"/>
            <w:vAlign w:val="center"/>
          </w:tcPr>
          <w:p w14:paraId="28FD0BF0">
            <w:pPr>
              <w:shd w:val="clear" w:color="auto" w:fill="FFFFFF"/>
              <w:adjustRightInd/>
              <w:snapToGrid/>
              <w:spacing w:before="120" w:after="120" w:line="265" w:lineRule="atLeast"/>
              <w:ind w:left="1442" w:firstLine="422" w:firstLineChars="0"/>
              <w:contextualSpacing/>
              <w:jc w:val="center"/>
              <w:rPr>
                <w:rFonts w:ascii="宋体" w:hAnsi="宋体"/>
                <w:b/>
                <w:bCs/>
                <w:szCs w:val="24"/>
                <w:lang w:val="zh-CN"/>
              </w:rPr>
            </w:pPr>
          </w:p>
        </w:tc>
        <w:tc>
          <w:tcPr>
            <w:tcW w:w="2515" w:type="pct"/>
            <w:vAlign w:val="center"/>
          </w:tcPr>
          <w:p w14:paraId="24C12AAF">
            <w:pPr>
              <w:widowControl w:val="0"/>
              <w:adjustRightInd/>
              <w:snapToGrid/>
              <w:spacing w:line="240" w:lineRule="auto"/>
              <w:ind w:firstLine="0" w:firstLineChars="0"/>
              <w:jc w:val="center"/>
              <w:rPr>
                <w:rFonts w:ascii="宋体" w:hAnsi="宋体"/>
                <w:szCs w:val="24"/>
                <w:lang w:val="zh-CN"/>
              </w:rPr>
            </w:pPr>
          </w:p>
        </w:tc>
      </w:tr>
      <w:tr w14:paraId="77F43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2485" w:type="pct"/>
            <w:vAlign w:val="center"/>
          </w:tcPr>
          <w:p w14:paraId="5B5E2A6C">
            <w:pPr>
              <w:shd w:val="clear" w:color="auto" w:fill="FFFFFF"/>
              <w:adjustRightInd/>
              <w:snapToGrid/>
              <w:spacing w:before="120" w:after="120" w:line="265" w:lineRule="atLeast"/>
              <w:ind w:left="1442" w:firstLine="422" w:firstLineChars="0"/>
              <w:contextualSpacing/>
              <w:jc w:val="center"/>
              <w:rPr>
                <w:rFonts w:ascii="宋体" w:hAnsi="宋体"/>
                <w:b/>
                <w:bCs/>
                <w:szCs w:val="24"/>
                <w:lang w:val="zh-CN"/>
              </w:rPr>
            </w:pPr>
          </w:p>
        </w:tc>
        <w:tc>
          <w:tcPr>
            <w:tcW w:w="2515" w:type="pct"/>
            <w:vAlign w:val="center"/>
          </w:tcPr>
          <w:p w14:paraId="2B209274">
            <w:pPr>
              <w:widowControl w:val="0"/>
              <w:adjustRightInd/>
              <w:snapToGrid/>
              <w:spacing w:line="240" w:lineRule="auto"/>
              <w:ind w:firstLine="0" w:firstLineChars="0"/>
              <w:jc w:val="center"/>
              <w:rPr>
                <w:rFonts w:ascii="宋体" w:hAnsi="宋体"/>
                <w:szCs w:val="24"/>
                <w:lang w:val="zh-CN"/>
              </w:rPr>
            </w:pPr>
          </w:p>
        </w:tc>
      </w:tr>
    </w:tbl>
    <w:p w14:paraId="6FFA3796">
      <w:pPr>
        <w:pStyle w:val="3"/>
        <w:ind w:firstLine="482"/>
        <w:rPr>
          <w:rFonts w:hint="eastAsia"/>
        </w:rPr>
        <w:sectPr>
          <w:pgSz w:w="11906" w:h="16838"/>
          <w:pgMar w:top="1418" w:right="1133" w:bottom="1418" w:left="1418" w:header="851" w:footer="680" w:gutter="0"/>
          <w:cols w:space="720" w:num="1"/>
          <w:docGrid w:linePitch="290" w:charSpace="0"/>
        </w:sectPr>
      </w:pPr>
      <w:r>
        <w:rPr>
          <w:rFonts w:hint="eastAsia" w:ascii="宋体" w:hAnsi="宋体"/>
          <w:b/>
          <w:color w:val="000000"/>
          <w:sz w:val="22"/>
          <w:szCs w:val="24"/>
        </w:rPr>
        <w:t>注：各供应商可根据企业自身实际情况以及对</w:t>
      </w:r>
      <w:r>
        <w:rPr>
          <w:rFonts w:hint="eastAsia" w:ascii="宋体" w:hAnsi="宋体"/>
          <w:b/>
          <w:color w:val="000000"/>
          <w:sz w:val="22"/>
          <w:szCs w:val="24"/>
          <w:lang w:eastAsia="zh-CN"/>
        </w:rPr>
        <w:t>招标</w:t>
      </w:r>
      <w:r>
        <w:rPr>
          <w:rFonts w:hint="eastAsia" w:ascii="宋体" w:hAnsi="宋体"/>
          <w:b/>
          <w:color w:val="000000"/>
          <w:sz w:val="22"/>
          <w:szCs w:val="24"/>
        </w:rPr>
        <w:t>文件的响应程度进行编制</w:t>
      </w:r>
      <w:r>
        <w:rPr>
          <w:rFonts w:hint="eastAsia" w:ascii="宋体" w:hAnsi="宋体"/>
          <w:b/>
          <w:color w:val="000000"/>
          <w:sz w:val="22"/>
          <w:szCs w:val="24"/>
          <w:lang w:eastAsia="zh-CN"/>
        </w:rPr>
        <w:t>投标</w:t>
      </w:r>
      <w:r>
        <w:rPr>
          <w:rFonts w:hint="eastAsia" w:ascii="宋体" w:hAnsi="宋体"/>
          <w:b/>
          <w:color w:val="000000"/>
          <w:sz w:val="22"/>
          <w:szCs w:val="24"/>
        </w:rPr>
        <w:t>文件，以下各格式及表格仅供参考，可按需调整。</w:t>
      </w:r>
    </w:p>
    <w:p w14:paraId="63BA8E03">
      <w:pPr>
        <w:pStyle w:val="3"/>
        <w:ind w:firstLine="482"/>
      </w:pPr>
      <w:r>
        <w:rPr>
          <w:rFonts w:hint="eastAsia"/>
        </w:rPr>
        <w:t>一、投标申请及声明</w:t>
      </w:r>
      <w:bookmarkEnd w:id="1109"/>
      <w:bookmarkEnd w:id="1110"/>
      <w:bookmarkEnd w:id="1111"/>
      <w:bookmarkEnd w:id="1112"/>
      <w:bookmarkEnd w:id="1113"/>
      <w:bookmarkEnd w:id="1114"/>
      <w:bookmarkEnd w:id="1115"/>
      <w:bookmarkEnd w:id="1116"/>
      <w:bookmarkEnd w:id="1117"/>
      <w:bookmarkEnd w:id="1118"/>
    </w:p>
    <w:p w14:paraId="4A6B4549">
      <w:pPr>
        <w:ind w:firstLine="482"/>
        <w:jc w:val="center"/>
        <w:rPr>
          <w:rFonts w:ascii="宋体" w:hAnsi="宋体"/>
          <w:b/>
          <w:szCs w:val="24"/>
          <w:lang w:val="zh-CN"/>
        </w:rPr>
      </w:pPr>
      <w:r>
        <w:rPr>
          <w:rFonts w:hint="eastAsia" w:ascii="宋体" w:hAnsi="宋体"/>
          <w:b/>
          <w:szCs w:val="24"/>
          <w:lang w:val="zh-CN"/>
        </w:rPr>
        <w:t>投标申请及声明</w:t>
      </w:r>
    </w:p>
    <w:p w14:paraId="1F5F8A8D">
      <w:pPr>
        <w:ind w:firstLine="480"/>
        <w:rPr>
          <w:rFonts w:ascii="宋体" w:hAnsi="宋体"/>
          <w:szCs w:val="24"/>
        </w:rPr>
      </w:pPr>
      <w:r>
        <w:rPr>
          <w:rFonts w:hint="eastAsia" w:ascii="宋体"/>
          <w:color w:val="000000"/>
          <w:szCs w:val="21"/>
          <w:lang w:val="zh-CN"/>
        </w:rPr>
        <w:t>致</w:t>
      </w:r>
      <w:r>
        <w:rPr>
          <w:rFonts w:hint="eastAsia" w:ascii="宋体"/>
          <w:color w:val="000000"/>
          <w:szCs w:val="21"/>
          <w:u w:val="single"/>
          <w:lang w:val="zh-CN"/>
        </w:rPr>
        <w:t xml:space="preserve">    （采购人）</w:t>
      </w:r>
      <w:r>
        <w:rPr>
          <w:rFonts w:hint="eastAsia" w:ascii="宋体" w:hAnsi="宋体"/>
          <w:szCs w:val="24"/>
          <w:lang w:val="zh-CN"/>
        </w:rPr>
        <w:t>：</w:t>
      </w:r>
    </w:p>
    <w:p w14:paraId="142A3FD8">
      <w:pPr>
        <w:ind w:firstLine="480"/>
        <w:rPr>
          <w:rFonts w:ascii="宋体" w:hAnsi="宋体"/>
          <w:szCs w:val="24"/>
          <w:lang w:val="zh-CN"/>
        </w:rPr>
      </w:pPr>
      <w:r>
        <w:rPr>
          <w:rFonts w:hint="eastAsia" w:ascii="宋体" w:hAnsi="宋体"/>
          <w:szCs w:val="24"/>
          <w:lang w:val="zh-CN"/>
        </w:rPr>
        <w:t>根据贵方</w:t>
      </w:r>
      <w:r>
        <w:rPr>
          <w:rFonts w:hint="eastAsia" w:ascii="宋体"/>
          <w:color w:val="000000"/>
          <w:szCs w:val="21"/>
          <w:u w:val="single"/>
          <w:lang w:val="zh-CN"/>
        </w:rPr>
        <w:t>（项目名称）（项目编号）</w:t>
      </w:r>
      <w:r>
        <w:rPr>
          <w:rFonts w:hint="eastAsia" w:ascii="宋体"/>
          <w:color w:val="000000"/>
          <w:szCs w:val="21"/>
          <w:lang w:val="zh-CN"/>
        </w:rPr>
        <w:t>招标公告</w:t>
      </w:r>
      <w:r>
        <w:rPr>
          <w:rFonts w:ascii="宋体" w:hAnsi="宋体"/>
          <w:szCs w:val="24"/>
          <w:lang w:val="zh-CN"/>
        </w:rPr>
        <w:t>，正式授权下述签字人</w:t>
      </w:r>
      <w:r>
        <w:rPr>
          <w:rFonts w:ascii="宋体" w:hAnsi="宋体"/>
          <w:szCs w:val="24"/>
          <w:u w:val="single"/>
          <w:lang w:val="zh-CN"/>
        </w:rPr>
        <w:t>(姓名和职务)</w:t>
      </w:r>
      <w:r>
        <w:rPr>
          <w:rFonts w:ascii="宋体" w:hAnsi="宋体"/>
          <w:szCs w:val="24"/>
          <w:lang w:val="zh-CN"/>
        </w:rPr>
        <w:t>代表</w:t>
      </w:r>
      <w:r>
        <w:rPr>
          <w:rFonts w:ascii="宋体" w:hAnsi="宋体"/>
          <w:szCs w:val="24"/>
          <w:u w:val="single"/>
          <w:lang w:val="zh-CN"/>
        </w:rPr>
        <w:t>（</w:t>
      </w:r>
      <w:r>
        <w:rPr>
          <w:rFonts w:hint="eastAsia" w:ascii="宋体"/>
          <w:color w:val="000000"/>
          <w:szCs w:val="21"/>
          <w:u w:val="single"/>
          <w:lang w:val="zh-CN"/>
        </w:rPr>
        <w:t>投标人</w:t>
      </w:r>
      <w:r>
        <w:rPr>
          <w:rFonts w:ascii="宋体" w:hAnsi="宋体"/>
          <w:szCs w:val="24"/>
          <w:u w:val="single"/>
          <w:lang w:val="zh-CN"/>
        </w:rPr>
        <w:t>名称）</w:t>
      </w:r>
      <w:r>
        <w:rPr>
          <w:rFonts w:ascii="宋体" w:hAnsi="宋体"/>
          <w:szCs w:val="24"/>
          <w:lang w:val="zh-CN"/>
        </w:rPr>
        <w:t>，</w:t>
      </w:r>
      <w:r>
        <w:rPr>
          <w:rFonts w:hint="eastAsia" w:ascii="宋体"/>
          <w:color w:val="000000"/>
          <w:szCs w:val="21"/>
          <w:lang w:val="zh-CN"/>
        </w:rPr>
        <w:t>提交投标文件</w:t>
      </w:r>
      <w:r>
        <w:rPr>
          <w:rFonts w:ascii="宋体" w:hAnsi="宋体"/>
          <w:szCs w:val="24"/>
          <w:lang w:val="zh-CN"/>
        </w:rPr>
        <w:t>。</w:t>
      </w:r>
    </w:p>
    <w:p w14:paraId="3DF76018">
      <w:pPr>
        <w:ind w:firstLine="480"/>
        <w:rPr>
          <w:rFonts w:ascii="宋体" w:hAnsi="宋体"/>
          <w:szCs w:val="24"/>
        </w:rPr>
      </w:pPr>
      <w:r>
        <w:rPr>
          <w:rFonts w:hint="eastAsia" w:ascii="宋体" w:hAnsi="宋体"/>
          <w:szCs w:val="24"/>
        </w:rPr>
        <w:t>据此函，签字人兹</w:t>
      </w:r>
      <w:r>
        <w:rPr>
          <w:rFonts w:hint="eastAsia" w:ascii="宋体"/>
          <w:color w:val="000000"/>
          <w:szCs w:val="21"/>
          <w:lang w:val="zh-CN"/>
        </w:rPr>
        <w:t>宣布声明和承诺如下</w:t>
      </w:r>
      <w:r>
        <w:rPr>
          <w:rFonts w:hint="eastAsia" w:ascii="宋体" w:hAnsi="宋体"/>
          <w:szCs w:val="24"/>
        </w:rPr>
        <w:t>：</w:t>
      </w:r>
    </w:p>
    <w:p w14:paraId="3458A9FF">
      <w:pPr>
        <w:autoSpaceDE w:val="0"/>
        <w:autoSpaceDN w:val="0"/>
        <w:ind w:firstLine="480"/>
        <w:rPr>
          <w:color w:val="000000"/>
        </w:rPr>
      </w:pPr>
      <w:r>
        <w:rPr>
          <w:rFonts w:ascii="宋体"/>
          <w:color w:val="000000"/>
          <w:szCs w:val="21"/>
          <w:lang w:val="zh-CN"/>
        </w:rPr>
        <w:t>1</w:t>
      </w:r>
      <w:r>
        <w:rPr>
          <w:rFonts w:hint="eastAsia" w:ascii="宋体"/>
          <w:color w:val="000000"/>
          <w:szCs w:val="21"/>
          <w:lang w:val="zh-CN"/>
        </w:rPr>
        <w:t>、</w:t>
      </w:r>
      <w:r>
        <w:rPr>
          <w:rFonts w:hint="eastAsia" w:ascii="宋体"/>
          <w:b/>
          <w:color w:val="000000"/>
          <w:szCs w:val="21"/>
          <w:lang w:val="zh-CN"/>
        </w:rPr>
        <w:t>我们的资格条件完全符合政府采购法和本次招标要求</w:t>
      </w:r>
      <w:r>
        <w:rPr>
          <w:rFonts w:hint="eastAsia" w:ascii="宋体"/>
          <w:color w:val="000000"/>
          <w:szCs w:val="21"/>
          <w:lang w:val="zh-CN"/>
        </w:rPr>
        <w:t>，</w:t>
      </w:r>
      <w:r>
        <w:rPr>
          <w:rFonts w:hint="eastAsia"/>
          <w:color w:val="000000"/>
        </w:rPr>
        <w:t>我们</w:t>
      </w:r>
      <w:r>
        <w:rPr>
          <w:rFonts w:hint="eastAsia" w:ascii="宋体"/>
          <w:color w:val="000000"/>
          <w:szCs w:val="21"/>
          <w:lang w:val="zh-CN"/>
        </w:rPr>
        <w:t>同意并向贵方提供了与投标有关的所有证据和资料。</w:t>
      </w:r>
    </w:p>
    <w:p w14:paraId="389C144C">
      <w:pPr>
        <w:autoSpaceDE w:val="0"/>
        <w:autoSpaceDN w:val="0"/>
        <w:ind w:firstLine="480"/>
        <w:rPr>
          <w:rFonts w:ascii="宋体"/>
          <w:color w:val="000000"/>
          <w:szCs w:val="21"/>
          <w:lang w:val="zh-CN"/>
        </w:rPr>
      </w:pPr>
      <w:r>
        <w:rPr>
          <w:rFonts w:ascii="宋体"/>
          <w:color w:val="000000"/>
          <w:szCs w:val="21"/>
          <w:lang w:val="zh-CN"/>
        </w:rPr>
        <w:t>2</w:t>
      </w:r>
      <w:r>
        <w:rPr>
          <w:rFonts w:hint="eastAsia" w:ascii="宋体"/>
          <w:color w:val="000000"/>
          <w:szCs w:val="21"/>
          <w:lang w:val="zh-CN"/>
        </w:rPr>
        <w:t>、按招标要求，我们的投标总报价为</w:t>
      </w:r>
      <w:r>
        <w:rPr>
          <w:rFonts w:hint="eastAsia" w:ascii="宋体"/>
          <w:color w:val="000000"/>
          <w:szCs w:val="21"/>
          <w:u w:val="single"/>
          <w:lang w:val="zh-CN"/>
        </w:rPr>
        <w:t>（大写）</w:t>
      </w:r>
      <w:r>
        <w:rPr>
          <w:rFonts w:hint="eastAsia" w:ascii="宋体"/>
          <w:color w:val="000000"/>
          <w:szCs w:val="21"/>
          <w:lang w:val="zh-CN"/>
        </w:rPr>
        <w:t>元人民币（</w:t>
      </w:r>
      <w:r>
        <w:rPr>
          <w:rFonts w:hint="eastAsia" w:ascii="宋体" w:hAnsi="宋体" w:eastAsia="宋体" w:cs="宋体"/>
          <w:color w:val="000000"/>
          <w:szCs w:val="21"/>
          <w:lang w:val="en-US" w:eastAsia="zh-CN"/>
        </w:rPr>
        <w:t>¥</w:t>
      </w:r>
      <w:r>
        <w:rPr>
          <w:rFonts w:hint="eastAsia" w:ascii="宋体"/>
          <w:color w:val="000000"/>
          <w:szCs w:val="21"/>
          <w:lang w:val="zh-CN"/>
        </w:rPr>
        <w:t>：</w:t>
      </w:r>
      <w:r>
        <w:rPr>
          <w:rFonts w:hint="eastAsia" w:ascii="宋体"/>
          <w:color w:val="000000"/>
          <w:szCs w:val="21"/>
          <w:u w:val="single"/>
          <w:lang w:val="zh-CN"/>
        </w:rPr>
        <w:t>（</w:t>
      </w:r>
      <w:r>
        <w:rPr>
          <w:rFonts w:hint="eastAsia" w:ascii="宋体"/>
          <w:color w:val="000000"/>
          <w:szCs w:val="21"/>
          <w:u w:val="single"/>
        </w:rPr>
        <w:t>小写）</w:t>
      </w:r>
      <w:r>
        <w:rPr>
          <w:rFonts w:hint="eastAsia" w:ascii="宋体"/>
          <w:color w:val="000000"/>
          <w:szCs w:val="21"/>
        </w:rPr>
        <w:t>）</w:t>
      </w:r>
      <w:r>
        <w:rPr>
          <w:rFonts w:hint="eastAsia" w:ascii="宋体"/>
          <w:color w:val="000000"/>
          <w:szCs w:val="21"/>
          <w:lang w:val="zh-CN"/>
        </w:rPr>
        <w:t>，项目负责人</w:t>
      </w:r>
      <w:r>
        <w:rPr>
          <w:rFonts w:hint="eastAsia" w:ascii="宋体"/>
          <w:color w:val="000000"/>
          <w:szCs w:val="21"/>
          <w:u w:val="single"/>
          <w:lang w:val="en-US" w:eastAsia="zh-CN"/>
        </w:rPr>
        <w:t xml:space="preserve">    </w:t>
      </w:r>
      <w:r>
        <w:rPr>
          <w:rFonts w:hint="eastAsia" w:ascii="宋体"/>
          <w:color w:val="000000"/>
          <w:szCs w:val="21"/>
          <w:lang w:val="zh-CN"/>
        </w:rPr>
        <w:t>，工期</w:t>
      </w:r>
      <w:r>
        <w:rPr>
          <w:rFonts w:hint="eastAsia" w:ascii="宋体"/>
          <w:color w:val="000000"/>
          <w:szCs w:val="21"/>
          <w:u w:val="single"/>
          <w:lang w:val="en-US" w:eastAsia="zh-CN"/>
        </w:rPr>
        <w:t xml:space="preserve">     </w:t>
      </w:r>
      <w:r>
        <w:rPr>
          <w:rFonts w:hint="eastAsia" w:ascii="宋体"/>
          <w:color w:val="000000"/>
          <w:szCs w:val="21"/>
          <w:u w:val="none"/>
          <w:lang w:val="en-US" w:eastAsia="zh-CN"/>
        </w:rPr>
        <w:t>天</w:t>
      </w:r>
      <w:r>
        <w:rPr>
          <w:rFonts w:hint="eastAsia" w:ascii="宋体"/>
          <w:color w:val="000000"/>
          <w:szCs w:val="21"/>
          <w:lang w:val="zh-CN"/>
        </w:rPr>
        <w:t>，质量标准</w:t>
      </w:r>
      <w:r>
        <w:rPr>
          <w:rFonts w:hint="eastAsia" w:ascii="宋体"/>
          <w:color w:val="000000"/>
          <w:szCs w:val="21"/>
          <w:u w:val="single"/>
          <w:lang w:val="en-US" w:eastAsia="zh-CN"/>
        </w:rPr>
        <w:t xml:space="preserve">        </w:t>
      </w:r>
      <w:r>
        <w:rPr>
          <w:rFonts w:hint="eastAsia" w:ascii="宋体"/>
          <w:color w:val="000000"/>
          <w:szCs w:val="21"/>
          <w:lang w:val="zh-CN"/>
        </w:rPr>
        <w:t>。</w:t>
      </w:r>
    </w:p>
    <w:p w14:paraId="1C2D510D">
      <w:pPr>
        <w:autoSpaceDE w:val="0"/>
        <w:autoSpaceDN w:val="0"/>
        <w:ind w:firstLine="480"/>
        <w:rPr>
          <w:rFonts w:ascii="宋体"/>
          <w:color w:val="000000"/>
          <w:szCs w:val="21"/>
          <w:lang w:val="zh-CN"/>
        </w:rPr>
      </w:pPr>
      <w:r>
        <w:rPr>
          <w:rFonts w:ascii="宋体" w:hAnsi="宋体"/>
          <w:szCs w:val="24"/>
        </w:rPr>
        <w:t>3.</w:t>
      </w:r>
      <w:r>
        <w:rPr>
          <w:rFonts w:hint="eastAsia" w:ascii="宋体" w:hAnsi="宋体"/>
          <w:szCs w:val="24"/>
        </w:rPr>
        <w:t>我们已详细审核全部招标文件及其有效补充文件，我们放弃对招标文件任何误解的权利，提交投标文件后，</w:t>
      </w:r>
      <w:r>
        <w:rPr>
          <w:rFonts w:hint="eastAsia" w:ascii="宋体"/>
          <w:b/>
          <w:color w:val="000000"/>
          <w:szCs w:val="21"/>
          <w:lang w:val="zh-CN"/>
        </w:rPr>
        <w:t>不对招标文件本身提出质疑</w:t>
      </w:r>
      <w:r>
        <w:rPr>
          <w:rFonts w:hint="eastAsia" w:ascii="宋体"/>
          <w:color w:val="000000"/>
          <w:szCs w:val="21"/>
          <w:lang w:val="zh-CN"/>
        </w:rPr>
        <w:t>。</w:t>
      </w:r>
      <w:r>
        <w:rPr>
          <w:rFonts w:hint="eastAsia" w:ascii="宋体"/>
          <w:szCs w:val="21"/>
          <w:lang w:val="zh-CN"/>
        </w:rPr>
        <w:t>否则，属于不诚信和故意扰乱政府采购活动行为，我们将无条件接受处罚。</w:t>
      </w:r>
    </w:p>
    <w:p w14:paraId="6A31536A">
      <w:pPr>
        <w:ind w:firstLine="480"/>
        <w:rPr>
          <w:rFonts w:ascii="宋体" w:hAnsi="宋体"/>
          <w:szCs w:val="24"/>
        </w:rPr>
      </w:pPr>
      <w:r>
        <w:rPr>
          <w:rFonts w:ascii="宋体" w:hAnsi="宋体"/>
          <w:szCs w:val="24"/>
        </w:rPr>
        <w:t>4.我们同意从规定的</w:t>
      </w:r>
      <w:r>
        <w:rPr>
          <w:rFonts w:hint="eastAsia" w:ascii="宋体" w:hAnsi="宋体"/>
          <w:szCs w:val="24"/>
        </w:rPr>
        <w:t>开标</w:t>
      </w:r>
      <w:r>
        <w:rPr>
          <w:rFonts w:ascii="宋体" w:hAnsi="宋体"/>
          <w:szCs w:val="24"/>
        </w:rPr>
        <w:t>日期起遵循本</w:t>
      </w:r>
      <w:r>
        <w:rPr>
          <w:rFonts w:hint="eastAsia" w:ascii="宋体" w:hAnsi="宋体"/>
          <w:szCs w:val="24"/>
        </w:rPr>
        <w:t>投标</w:t>
      </w:r>
      <w:r>
        <w:rPr>
          <w:rFonts w:ascii="宋体" w:hAnsi="宋体"/>
          <w:szCs w:val="24"/>
        </w:rPr>
        <w:t>文件，并在规定的</w:t>
      </w:r>
      <w:r>
        <w:rPr>
          <w:rFonts w:hint="eastAsia" w:ascii="宋体" w:hAnsi="宋体"/>
          <w:szCs w:val="24"/>
        </w:rPr>
        <w:t>投标</w:t>
      </w:r>
      <w:r>
        <w:rPr>
          <w:rFonts w:ascii="宋体" w:hAnsi="宋体"/>
          <w:szCs w:val="24"/>
        </w:rPr>
        <w:t>有效期期满之前均具有约束力。</w:t>
      </w:r>
    </w:p>
    <w:p w14:paraId="01FC7430">
      <w:pPr>
        <w:ind w:firstLine="480"/>
        <w:rPr>
          <w:rFonts w:ascii="宋体" w:hAnsi="宋体"/>
          <w:szCs w:val="24"/>
        </w:rPr>
      </w:pPr>
      <w:r>
        <w:rPr>
          <w:rFonts w:ascii="宋体" w:hAnsi="宋体"/>
          <w:szCs w:val="24"/>
        </w:rPr>
        <w:t>5.一旦我方成交，</w:t>
      </w:r>
      <w:r>
        <w:rPr>
          <w:rFonts w:hint="eastAsia" w:ascii="宋体"/>
          <w:color w:val="000000"/>
          <w:szCs w:val="21"/>
          <w:lang w:val="zh-CN"/>
        </w:rPr>
        <w:t>我方将根据招标文件的规定严格履行合同，并保证于承诺的时间完成服务的启动</w:t>
      </w:r>
      <w:r>
        <w:rPr>
          <w:rFonts w:ascii="宋体"/>
          <w:color w:val="000000"/>
          <w:szCs w:val="21"/>
          <w:lang w:val="zh-CN"/>
        </w:rPr>
        <w:t>/</w:t>
      </w:r>
      <w:r>
        <w:rPr>
          <w:rFonts w:hint="eastAsia" w:ascii="宋体"/>
          <w:color w:val="000000"/>
          <w:szCs w:val="21"/>
          <w:lang w:val="zh-CN"/>
        </w:rPr>
        <w:t>集成、调试等服务，交付采购人验收、使用。</w:t>
      </w:r>
    </w:p>
    <w:p w14:paraId="3046C047">
      <w:pPr>
        <w:autoSpaceDE w:val="0"/>
        <w:autoSpaceDN w:val="0"/>
        <w:ind w:firstLine="480"/>
        <w:rPr>
          <w:rFonts w:ascii="宋体"/>
          <w:color w:val="000000"/>
          <w:szCs w:val="21"/>
          <w:lang w:val="zh-CN"/>
        </w:rPr>
      </w:pPr>
      <w:r>
        <w:rPr>
          <w:rFonts w:hint="eastAsia" w:ascii="宋体"/>
          <w:color w:val="000000"/>
          <w:szCs w:val="21"/>
          <w:lang w:val="zh-CN"/>
        </w:rPr>
        <w:t>6、我方决不提供虚假材料谋取中标、决不采取不正当手段诋毁、排挤其他供应商、决不与采购人、其它供应商或者</w:t>
      </w:r>
      <w:r>
        <w:rPr>
          <w:rFonts w:hint="eastAsia" w:ascii="宋体" w:hAnsi="宋体"/>
          <w:color w:val="000000"/>
          <w:szCs w:val="21"/>
          <w:lang w:val="zh-CN"/>
        </w:rPr>
        <w:t>采购代理机构</w:t>
      </w:r>
      <w:r>
        <w:rPr>
          <w:rFonts w:hint="eastAsia" w:ascii="宋体"/>
          <w:color w:val="000000"/>
          <w:szCs w:val="21"/>
          <w:lang w:val="zh-CN"/>
        </w:rPr>
        <w:t>恶意串通、决不向采购人、</w:t>
      </w:r>
      <w:r>
        <w:rPr>
          <w:rFonts w:hint="eastAsia" w:ascii="宋体" w:hAnsi="宋体"/>
          <w:color w:val="000000"/>
          <w:szCs w:val="21"/>
          <w:lang w:val="zh-CN"/>
        </w:rPr>
        <w:t>采购代理机构</w:t>
      </w:r>
      <w:r>
        <w:rPr>
          <w:rFonts w:hint="eastAsia" w:ascii="宋体"/>
          <w:color w:val="000000"/>
          <w:szCs w:val="21"/>
          <w:lang w:val="zh-CN"/>
        </w:rPr>
        <w:t>工作人员和评委进行商业贿赂、决不在采购过程中与采购人进行协商谈判、决不拒绝有关部门监督检查或提供虚假情况，如有违反，无条件接受贵方及相关管理部门的处罚。</w:t>
      </w:r>
    </w:p>
    <w:p w14:paraId="0788ABDE">
      <w:pPr>
        <w:autoSpaceDE w:val="0"/>
        <w:autoSpaceDN w:val="0"/>
        <w:ind w:firstLine="480"/>
        <w:rPr>
          <w:rFonts w:ascii="宋体"/>
          <w:color w:val="000000"/>
          <w:szCs w:val="21"/>
          <w:lang w:val="zh-CN"/>
        </w:rPr>
      </w:pPr>
      <w:r>
        <w:rPr>
          <w:rFonts w:ascii="宋体"/>
          <w:color w:val="000000"/>
          <w:szCs w:val="21"/>
          <w:lang w:val="zh-CN"/>
        </w:rPr>
        <w:t>7</w:t>
      </w:r>
      <w:r>
        <w:rPr>
          <w:rFonts w:hint="eastAsia" w:ascii="宋体"/>
          <w:color w:val="000000"/>
          <w:szCs w:val="21"/>
          <w:lang w:val="zh-CN"/>
        </w:rPr>
        <w:t>、与本投标有关的正式联系方式为：</w:t>
      </w:r>
    </w:p>
    <w:p w14:paraId="5D4241D4">
      <w:pPr>
        <w:ind w:firstLine="600" w:firstLineChars="250"/>
        <w:rPr>
          <w:rFonts w:ascii="宋体" w:hAnsi="宋体"/>
          <w:szCs w:val="24"/>
        </w:rPr>
      </w:pPr>
      <w:r>
        <w:rPr>
          <w:rFonts w:hint="eastAsia" w:ascii="宋体" w:hAnsi="宋体"/>
          <w:szCs w:val="24"/>
        </w:rPr>
        <w:t>供应商名称（</w:t>
      </w:r>
      <w:r>
        <w:rPr>
          <w:rFonts w:hint="eastAsia" w:ascii="宋体" w:hAnsi="宋体"/>
          <w:szCs w:val="24"/>
          <w:lang w:eastAsia="zh-CN"/>
        </w:rPr>
        <w:t>公</w:t>
      </w:r>
      <w:r>
        <w:rPr>
          <w:rFonts w:hint="eastAsia" w:ascii="宋体" w:hAnsi="宋体"/>
          <w:szCs w:val="24"/>
        </w:rPr>
        <w:t>章）：</w:t>
      </w:r>
    </w:p>
    <w:p w14:paraId="5A359C56">
      <w:pPr>
        <w:ind w:firstLine="600" w:firstLineChars="250"/>
        <w:rPr>
          <w:rFonts w:ascii="宋体" w:hAnsi="宋体"/>
          <w:szCs w:val="24"/>
        </w:rPr>
      </w:pPr>
      <w:r>
        <w:rPr>
          <w:rFonts w:hint="eastAsia" w:ascii="宋体" w:hAnsi="宋体"/>
          <w:szCs w:val="24"/>
        </w:rPr>
        <w:t>地址：</w:t>
      </w:r>
    </w:p>
    <w:p w14:paraId="7EA297D3">
      <w:pPr>
        <w:ind w:firstLine="600" w:firstLineChars="250"/>
        <w:rPr>
          <w:rFonts w:ascii="宋体" w:hAnsi="宋体"/>
          <w:szCs w:val="24"/>
        </w:rPr>
      </w:pPr>
      <w:r>
        <w:rPr>
          <w:rFonts w:hint="eastAsia" w:ascii="宋体" w:hAnsi="宋体"/>
          <w:szCs w:val="24"/>
        </w:rPr>
        <w:t>联系电话：</w:t>
      </w:r>
    </w:p>
    <w:p w14:paraId="77C8F55A">
      <w:pPr>
        <w:ind w:firstLine="600" w:firstLineChars="250"/>
        <w:rPr>
          <w:rFonts w:ascii="宋体" w:hAnsi="宋体"/>
          <w:szCs w:val="24"/>
        </w:rPr>
      </w:pPr>
      <w:r>
        <w:rPr>
          <w:rFonts w:hint="eastAsia" w:ascii="宋体" w:hAnsi="宋体"/>
          <w:szCs w:val="24"/>
        </w:rPr>
        <w:t>供应商授权代表姓名（签字）：</w:t>
      </w:r>
    </w:p>
    <w:p w14:paraId="4FB597D0">
      <w:pPr>
        <w:ind w:firstLine="600" w:firstLineChars="250"/>
        <w:rPr>
          <w:rFonts w:ascii="宋体" w:hAnsi="宋体"/>
          <w:szCs w:val="24"/>
          <w:u w:val="single"/>
        </w:rPr>
      </w:pPr>
      <w:r>
        <w:rPr>
          <w:rFonts w:hint="eastAsia" w:ascii="宋体" w:hAnsi="宋体"/>
          <w:szCs w:val="24"/>
        </w:rPr>
        <w:t>联系电话</w:t>
      </w:r>
      <w:r>
        <w:rPr>
          <w:rFonts w:ascii="宋体" w:hAnsi="宋体"/>
          <w:szCs w:val="24"/>
        </w:rPr>
        <w:t xml:space="preserve">: </w:t>
      </w:r>
    </w:p>
    <w:p w14:paraId="014A2422">
      <w:pPr>
        <w:ind w:firstLine="600" w:firstLineChars="250"/>
        <w:rPr>
          <w:rFonts w:ascii="宋体" w:hAnsi="宋体"/>
          <w:szCs w:val="24"/>
        </w:rPr>
      </w:pPr>
      <w:r>
        <w:rPr>
          <w:rFonts w:hint="eastAsia" w:ascii="宋体" w:hAnsi="宋体"/>
          <w:szCs w:val="24"/>
        </w:rPr>
        <w:t>日期：     年  月  日</w:t>
      </w:r>
    </w:p>
    <w:p w14:paraId="48A31B69">
      <w:pPr>
        <w:ind w:firstLine="600" w:firstLineChars="250"/>
        <w:rPr>
          <w:rFonts w:ascii="宋体" w:hAnsi="宋体"/>
          <w:szCs w:val="24"/>
          <w:u w:val="single"/>
        </w:rPr>
      </w:pPr>
    </w:p>
    <w:p w14:paraId="45D3DD42">
      <w:pPr>
        <w:pStyle w:val="3"/>
        <w:numPr>
          <w:ilvl w:val="0"/>
          <w:numId w:val="10"/>
        </w:numPr>
        <w:ind w:firstLine="482"/>
        <w:rPr>
          <w:rFonts w:hint="eastAsia"/>
        </w:rPr>
      </w:pPr>
      <w:bookmarkStart w:id="1119" w:name="_Toc10039"/>
      <w:bookmarkStart w:id="1120" w:name="_Toc2922"/>
      <w:bookmarkStart w:id="1121" w:name="_Toc8540"/>
      <w:bookmarkStart w:id="1122" w:name="_Toc27742"/>
      <w:bookmarkStart w:id="1123" w:name="_Toc504141755"/>
      <w:bookmarkStart w:id="1124" w:name="_Toc36797972"/>
      <w:bookmarkStart w:id="1125" w:name="_Toc6591"/>
      <w:bookmarkStart w:id="1126" w:name="_Toc9390"/>
      <w:bookmarkStart w:id="1127" w:name="_Toc4433"/>
      <w:bookmarkStart w:id="1128" w:name="_Toc22246"/>
      <w:r>
        <w:rPr>
          <w:rFonts w:hint="eastAsia"/>
        </w:rPr>
        <w:t>法定代表人（或负责人）授权委托书</w:t>
      </w:r>
      <w:bookmarkEnd w:id="1119"/>
      <w:bookmarkEnd w:id="1120"/>
      <w:bookmarkEnd w:id="1121"/>
      <w:bookmarkEnd w:id="1122"/>
      <w:bookmarkEnd w:id="1123"/>
      <w:bookmarkEnd w:id="1124"/>
      <w:bookmarkEnd w:id="1125"/>
      <w:bookmarkEnd w:id="1126"/>
      <w:bookmarkEnd w:id="1127"/>
      <w:bookmarkEnd w:id="1128"/>
    </w:p>
    <w:p w14:paraId="0FD33717">
      <w:pPr>
        <w:numPr>
          <w:ilvl w:val="0"/>
          <w:numId w:val="0"/>
        </w:numPr>
      </w:pPr>
    </w:p>
    <w:p w14:paraId="6497A1DF">
      <w:pPr>
        <w:ind w:firstLine="482"/>
        <w:jc w:val="center"/>
        <w:rPr>
          <w:rFonts w:hint="eastAsia" w:ascii="宋体" w:hAnsi="宋体"/>
          <w:b/>
          <w:szCs w:val="24"/>
          <w:lang w:val="zh-CN"/>
        </w:rPr>
      </w:pPr>
      <w:bookmarkStart w:id="1129" w:name="_Toc18679306"/>
      <w:bookmarkStart w:id="1130" w:name="_Toc36797973"/>
      <w:bookmarkStart w:id="1131" w:name="_Toc18494975"/>
      <w:r>
        <w:rPr>
          <w:rFonts w:hint="eastAsia" w:ascii="宋体" w:hAnsi="宋体"/>
          <w:b/>
          <w:szCs w:val="24"/>
          <w:lang w:val="zh-CN"/>
        </w:rPr>
        <w:t>法定代表人授权委托书</w:t>
      </w:r>
      <w:bookmarkEnd w:id="1129"/>
      <w:bookmarkEnd w:id="1130"/>
      <w:bookmarkEnd w:id="1131"/>
    </w:p>
    <w:p w14:paraId="69B48980">
      <w:pPr>
        <w:ind w:firstLine="482"/>
        <w:jc w:val="center"/>
        <w:rPr>
          <w:rFonts w:hint="eastAsia" w:ascii="宋体" w:hAnsi="宋体"/>
          <w:b/>
          <w:szCs w:val="24"/>
          <w:lang w:val="zh-CN"/>
        </w:rPr>
      </w:pPr>
    </w:p>
    <w:p w14:paraId="6D05CB9E">
      <w:pPr>
        <w:ind w:firstLine="480"/>
        <w:rPr>
          <w:rFonts w:ascii="宋体"/>
          <w:color w:val="000000"/>
          <w:szCs w:val="21"/>
          <w:lang w:val="zh-CN"/>
        </w:rPr>
      </w:pPr>
      <w:r>
        <w:rPr>
          <w:rFonts w:hint="eastAsia" w:ascii="宋体"/>
          <w:color w:val="000000"/>
          <w:szCs w:val="21"/>
          <w:lang w:val="zh-CN"/>
        </w:rPr>
        <w:t>致</w:t>
      </w:r>
      <w:r>
        <w:rPr>
          <w:rFonts w:hint="eastAsia" w:ascii="宋体"/>
          <w:color w:val="000000"/>
          <w:szCs w:val="21"/>
          <w:u w:val="single"/>
          <w:lang w:val="zh-CN"/>
        </w:rPr>
        <w:t xml:space="preserve">    （采购人）</w:t>
      </w:r>
      <w:r>
        <w:rPr>
          <w:rFonts w:hint="eastAsia" w:ascii="宋体"/>
          <w:color w:val="000000"/>
          <w:szCs w:val="21"/>
          <w:lang w:val="zh-CN"/>
        </w:rPr>
        <w:t>：</w:t>
      </w:r>
    </w:p>
    <w:p w14:paraId="46770034">
      <w:pPr>
        <w:ind w:firstLine="480"/>
        <w:rPr>
          <w:rFonts w:ascii="宋体"/>
          <w:color w:val="000000"/>
          <w:szCs w:val="21"/>
          <w:lang w:val="zh-CN"/>
        </w:rPr>
      </w:pPr>
      <w:r>
        <w:rPr>
          <w:rFonts w:hint="eastAsia" w:ascii="宋体"/>
          <w:color w:val="000000"/>
          <w:szCs w:val="21"/>
          <w:lang w:val="zh-CN"/>
        </w:rPr>
        <w:t>本授权书声明：注册于</w:t>
      </w:r>
      <w:r>
        <w:rPr>
          <w:rFonts w:hint="eastAsia" w:ascii="宋体"/>
          <w:color w:val="000000"/>
          <w:szCs w:val="21"/>
          <w:u w:val="single"/>
          <w:lang w:val="zh-CN"/>
        </w:rPr>
        <w:t>（投标人住址）</w:t>
      </w:r>
      <w:r>
        <w:rPr>
          <w:rFonts w:hint="eastAsia" w:ascii="宋体"/>
          <w:color w:val="000000"/>
          <w:szCs w:val="21"/>
          <w:lang w:val="zh-CN"/>
        </w:rPr>
        <w:t>的</w:t>
      </w:r>
      <w:r>
        <w:rPr>
          <w:rFonts w:hint="eastAsia" w:ascii="宋体"/>
          <w:color w:val="000000"/>
          <w:szCs w:val="21"/>
          <w:u w:val="single"/>
          <w:lang w:val="zh-CN"/>
        </w:rPr>
        <w:t>（投标人名称）</w:t>
      </w:r>
      <w:r>
        <w:rPr>
          <w:rFonts w:hint="eastAsia" w:ascii="宋体"/>
          <w:color w:val="000000"/>
          <w:szCs w:val="21"/>
          <w:lang w:val="zh-CN"/>
        </w:rPr>
        <w:t>法定代表人</w:t>
      </w:r>
      <w:r>
        <w:rPr>
          <w:rFonts w:hint="eastAsia" w:ascii="宋体"/>
          <w:color w:val="000000"/>
          <w:szCs w:val="21"/>
          <w:u w:val="single"/>
          <w:lang w:val="zh-CN"/>
        </w:rPr>
        <w:t>（法定代表人姓名、职务）</w:t>
      </w:r>
      <w:r>
        <w:rPr>
          <w:rFonts w:hint="eastAsia" w:ascii="宋体"/>
          <w:color w:val="000000"/>
          <w:szCs w:val="21"/>
          <w:lang w:val="zh-CN"/>
        </w:rPr>
        <w:t>代表本公司授权在下面签字的</w:t>
      </w:r>
      <w:r>
        <w:rPr>
          <w:rFonts w:hint="eastAsia" w:ascii="宋体"/>
          <w:color w:val="000000"/>
          <w:szCs w:val="21"/>
          <w:u w:val="single"/>
          <w:lang w:val="zh-CN"/>
        </w:rPr>
        <w:t>（委托人姓名、职务）</w:t>
      </w:r>
      <w:r>
        <w:rPr>
          <w:rFonts w:hint="eastAsia" w:ascii="宋体"/>
          <w:color w:val="000000"/>
          <w:szCs w:val="21"/>
          <w:lang w:val="zh-CN"/>
        </w:rPr>
        <w:t>为本公司的合法代理人，就贵方组织的</w:t>
      </w:r>
      <w:r>
        <w:rPr>
          <w:rFonts w:hint="eastAsia" w:ascii="宋体"/>
          <w:color w:val="000000"/>
          <w:szCs w:val="21"/>
          <w:u w:val="single"/>
          <w:lang w:val="zh-CN"/>
        </w:rPr>
        <w:t>（项目名称），（项目编号）</w:t>
      </w:r>
      <w:r>
        <w:rPr>
          <w:rFonts w:hint="eastAsia" w:ascii="宋体"/>
          <w:color w:val="000000"/>
          <w:szCs w:val="21"/>
          <w:lang w:val="zh-CN"/>
        </w:rPr>
        <w:t>投标，以本公司名义处理一切与之有关的事务。</w:t>
      </w:r>
    </w:p>
    <w:p w14:paraId="09122AEA">
      <w:pPr>
        <w:ind w:firstLine="480"/>
        <w:rPr>
          <w:rFonts w:ascii="宋体"/>
          <w:color w:val="000000"/>
          <w:szCs w:val="21"/>
          <w:lang w:val="zh-CN"/>
        </w:rPr>
      </w:pPr>
    </w:p>
    <w:p w14:paraId="644EC6A4">
      <w:pPr>
        <w:ind w:firstLine="960" w:firstLineChars="400"/>
        <w:rPr>
          <w:rFonts w:hint="eastAsia" w:ascii="宋体"/>
          <w:color w:val="000000"/>
          <w:szCs w:val="21"/>
          <w:lang w:val="en-US" w:eastAsia="zh-CN"/>
        </w:rPr>
      </w:pPr>
      <w:bookmarkStart w:id="1132" w:name="_Toc504141756"/>
      <w:bookmarkStart w:id="1133" w:name="_Toc18115"/>
      <w:bookmarkStart w:id="1134" w:name="_Toc15000"/>
      <w:bookmarkStart w:id="1135" w:name="_Toc1547"/>
      <w:bookmarkStart w:id="1136" w:name="_Toc7036"/>
      <w:bookmarkStart w:id="1137" w:name="_Toc8063"/>
      <w:bookmarkStart w:id="1138" w:name="_Toc18001"/>
      <w:bookmarkStart w:id="1139" w:name="_Toc30682"/>
      <w:bookmarkStart w:id="1140" w:name="_Toc32666"/>
      <w:bookmarkStart w:id="1141" w:name="_Toc36797974"/>
      <w:bookmarkStart w:id="1142" w:name="_Toc459109599"/>
      <w:bookmarkStart w:id="1143" w:name="_Toc419108457"/>
      <w:bookmarkStart w:id="1144" w:name="_Toc450643065"/>
      <w:r>
        <w:rPr>
          <w:rFonts w:hint="eastAsia" w:ascii="宋体" w:hAnsi="宋体"/>
          <w:szCs w:val="24"/>
        </w:rPr>
        <w:t>供应商名称（</w:t>
      </w:r>
      <w:r>
        <w:rPr>
          <w:rFonts w:hint="eastAsia" w:ascii="宋体" w:hAnsi="宋体"/>
          <w:szCs w:val="24"/>
          <w:lang w:eastAsia="zh-CN"/>
        </w:rPr>
        <w:t>公</w:t>
      </w:r>
      <w:r>
        <w:rPr>
          <w:rFonts w:hint="eastAsia" w:ascii="宋体" w:hAnsi="宋体"/>
          <w:szCs w:val="24"/>
        </w:rPr>
        <w:t>章）：</w:t>
      </w:r>
      <w:r>
        <w:rPr>
          <w:rFonts w:hint="eastAsia" w:ascii="宋体"/>
          <w:color w:val="000000"/>
          <w:szCs w:val="21"/>
          <w:lang w:val="zh-CN"/>
        </w:rPr>
        <w:t xml:space="preserve">   </w:t>
      </w:r>
      <w:r>
        <w:rPr>
          <w:rFonts w:hint="eastAsia" w:ascii="宋体"/>
          <w:color w:val="000000"/>
          <w:szCs w:val="21"/>
          <w:lang w:val="en-US" w:eastAsia="zh-CN"/>
        </w:rPr>
        <w:t xml:space="preserve"> </w:t>
      </w:r>
    </w:p>
    <w:p w14:paraId="3A246DBE">
      <w:pPr>
        <w:ind w:firstLine="960" w:firstLineChars="400"/>
        <w:rPr>
          <w:rFonts w:ascii="宋体"/>
          <w:color w:val="000000"/>
          <w:szCs w:val="21"/>
          <w:lang w:val="zh-CN"/>
        </w:rPr>
      </w:pPr>
      <w:r>
        <w:rPr>
          <w:rFonts w:hint="eastAsia" w:ascii="宋体"/>
          <w:color w:val="000000"/>
          <w:szCs w:val="21"/>
          <w:lang w:val="zh-CN"/>
        </w:rPr>
        <w:t>法定代表人签字：</w:t>
      </w:r>
    </w:p>
    <w:p w14:paraId="33D8D794">
      <w:pPr>
        <w:ind w:firstLine="480"/>
        <w:rPr>
          <w:rFonts w:ascii="宋体"/>
          <w:color w:val="000000"/>
          <w:szCs w:val="21"/>
          <w:lang w:val="zh-CN"/>
        </w:rPr>
      </w:pPr>
      <w:r>
        <w:rPr>
          <w:rFonts w:hint="eastAsia" w:ascii="宋体"/>
          <w:color w:val="000000"/>
          <w:szCs w:val="21"/>
          <w:lang w:val="zh-CN"/>
        </w:rPr>
        <w:t xml:space="preserve">    授权委托人签字：                    </w:t>
      </w:r>
    </w:p>
    <w:p w14:paraId="49A7DF52">
      <w:pPr>
        <w:tabs>
          <w:tab w:val="left" w:pos="1440"/>
        </w:tabs>
        <w:ind w:firstLine="960" w:firstLineChars="400"/>
        <w:rPr>
          <w:rFonts w:ascii="宋体"/>
          <w:color w:val="000000"/>
          <w:szCs w:val="21"/>
          <w:lang w:val="zh-CN"/>
        </w:rPr>
      </w:pPr>
      <w:r>
        <w:rPr>
          <w:rFonts w:hint="eastAsia" w:ascii="宋体"/>
          <w:color w:val="000000"/>
          <w:szCs w:val="21"/>
          <w:lang w:val="zh-CN"/>
        </w:rPr>
        <w:t>日 期：  年    月    日</w:t>
      </w:r>
    </w:p>
    <w:p w14:paraId="00C356F2">
      <w:pPr>
        <w:tabs>
          <w:tab w:val="left" w:pos="1440"/>
        </w:tabs>
        <w:ind w:firstLine="480"/>
        <w:rPr>
          <w:rFonts w:ascii="宋体" w:hAnsi="宋体"/>
          <w:szCs w:val="24"/>
        </w:rPr>
      </w:pPr>
    </w:p>
    <w:p w14:paraId="438BD952">
      <w:pPr>
        <w:ind w:left="480" w:firstLine="0" w:firstLineChars="0"/>
      </w:pPr>
      <w:bookmarkStart w:id="1145" w:name="_Toc450643057"/>
      <w:bookmarkStart w:id="1146" w:name="_Toc419108455"/>
      <w:r>
        <w:rPr>
          <w:rFonts w:hint="eastAsia"/>
        </w:rPr>
        <w:t>附：法人及被授权人身份证复印件</w:t>
      </w:r>
    </w:p>
    <w:bookmarkEnd w:id="1145"/>
    <w:bookmarkEnd w:id="1146"/>
    <w:p w14:paraId="4A240DF6">
      <w:pPr>
        <w:rPr>
          <w:rFonts w:hint="eastAsia" w:cs="宋体"/>
        </w:rPr>
      </w:pPr>
      <w:r>
        <w:rPr>
          <w:rFonts w:hint="eastAsia" w:cs="宋体"/>
        </w:rPr>
        <w:br w:type="page"/>
      </w:r>
    </w:p>
    <w:p w14:paraId="5CA0C0B4">
      <w:pPr>
        <w:pStyle w:val="3"/>
        <w:ind w:firstLine="482"/>
        <w:rPr>
          <w:rFonts w:cs="宋体"/>
        </w:rPr>
      </w:pPr>
      <w:r>
        <w:rPr>
          <w:rFonts w:hint="eastAsia" w:cs="宋体"/>
        </w:rPr>
        <w:t>三、</w:t>
      </w:r>
      <w:bookmarkEnd w:id="1132"/>
      <w:bookmarkEnd w:id="1133"/>
      <w:bookmarkEnd w:id="1134"/>
      <w:bookmarkEnd w:id="1135"/>
      <w:bookmarkEnd w:id="1136"/>
      <w:bookmarkEnd w:id="1137"/>
      <w:bookmarkEnd w:id="1138"/>
      <w:bookmarkEnd w:id="1139"/>
      <w:bookmarkEnd w:id="1140"/>
      <w:r>
        <w:rPr>
          <w:rFonts w:hint="eastAsia"/>
          <w:lang w:val="zh-CN"/>
        </w:rPr>
        <w:t>开标一览表格式</w:t>
      </w:r>
      <w:bookmarkEnd w:id="1141"/>
    </w:p>
    <w:p w14:paraId="6AD7B8F6">
      <w:pPr>
        <w:ind w:firstLine="482"/>
        <w:jc w:val="center"/>
        <w:rPr>
          <w:rFonts w:hint="eastAsia" w:ascii="宋体" w:hAnsi="宋体"/>
          <w:b/>
          <w:szCs w:val="24"/>
          <w:lang w:val="zh-CN"/>
        </w:rPr>
      </w:pPr>
      <w:r>
        <w:rPr>
          <w:rFonts w:hint="eastAsia" w:ascii="宋体" w:hAnsi="宋体"/>
          <w:b/>
          <w:szCs w:val="24"/>
          <w:lang w:val="zh-CN"/>
        </w:rPr>
        <w:t>开标一览表</w:t>
      </w:r>
    </w:p>
    <w:tbl>
      <w:tblPr>
        <w:tblStyle w:val="59"/>
        <w:tblpPr w:leftFromText="180" w:rightFromText="180" w:vertAnchor="text" w:horzAnchor="margin" w:tblpY="26"/>
        <w:tblOverlap w:val="never"/>
        <w:tblW w:w="938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800"/>
        <w:gridCol w:w="4238"/>
        <w:gridCol w:w="1465"/>
        <w:gridCol w:w="1882"/>
      </w:tblGrid>
      <w:tr w14:paraId="124C10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6038" w:type="dxa"/>
            <w:gridSpan w:val="2"/>
            <w:tcBorders>
              <w:top w:val="nil"/>
              <w:left w:val="nil"/>
              <w:right w:val="nil"/>
            </w:tcBorders>
            <w:vAlign w:val="center"/>
          </w:tcPr>
          <w:p w14:paraId="63E3BBA5">
            <w:pPr>
              <w:keepNext w:val="0"/>
              <w:keepLines w:val="0"/>
              <w:pageBreakBefore w:val="0"/>
              <w:widowControl/>
              <w:kinsoku/>
              <w:wordWrap/>
              <w:overflowPunct/>
              <w:topLinePunct w:val="0"/>
              <w:autoSpaceDE/>
              <w:autoSpaceDN/>
              <w:bidi w:val="0"/>
              <w:adjustRightInd w:val="0"/>
              <w:snapToGrid w:val="0"/>
              <w:spacing w:line="360" w:lineRule="auto"/>
              <w:ind w:firstLine="0" w:firstLineChars="0"/>
              <w:textAlignment w:val="auto"/>
              <w:rPr>
                <w:rFonts w:ascii="宋体" w:hAnsi="宋体"/>
                <w:color w:val="000000"/>
                <w:sz w:val="24"/>
                <w:szCs w:val="24"/>
                <w:lang w:val="zh-CN"/>
              </w:rPr>
            </w:pPr>
            <w:r>
              <w:rPr>
                <w:rFonts w:hint="eastAsia" w:ascii="宋体" w:hAnsi="宋体"/>
                <w:color w:val="000000"/>
                <w:sz w:val="24"/>
                <w:szCs w:val="24"/>
                <w:lang w:val="zh-CN"/>
              </w:rPr>
              <w:t xml:space="preserve">项目名称： </w:t>
            </w:r>
          </w:p>
        </w:tc>
        <w:tc>
          <w:tcPr>
            <w:tcW w:w="3347" w:type="dxa"/>
            <w:gridSpan w:val="2"/>
            <w:tcBorders>
              <w:top w:val="nil"/>
              <w:left w:val="nil"/>
              <w:right w:val="nil"/>
            </w:tcBorders>
            <w:vAlign w:val="center"/>
          </w:tcPr>
          <w:p w14:paraId="6F9BD6EE">
            <w:pPr>
              <w:keepNext w:val="0"/>
              <w:keepLines w:val="0"/>
              <w:pageBreakBefore w:val="0"/>
              <w:widowControl/>
              <w:kinsoku/>
              <w:wordWrap/>
              <w:overflowPunct/>
              <w:topLinePunct w:val="0"/>
              <w:autoSpaceDE/>
              <w:autoSpaceDN/>
              <w:bidi w:val="0"/>
              <w:adjustRightInd w:val="0"/>
              <w:snapToGrid w:val="0"/>
              <w:spacing w:line="360" w:lineRule="auto"/>
              <w:ind w:firstLine="0" w:firstLineChars="0"/>
              <w:textAlignment w:val="auto"/>
              <w:rPr>
                <w:rFonts w:ascii="宋体" w:hAnsi="宋体"/>
                <w:color w:val="000000"/>
                <w:sz w:val="24"/>
                <w:szCs w:val="24"/>
                <w:lang w:val="zh-CN"/>
              </w:rPr>
            </w:pPr>
            <w:r>
              <w:rPr>
                <w:rFonts w:hint="eastAsia" w:ascii="宋体" w:hAnsi="宋体"/>
                <w:color w:val="000000"/>
                <w:sz w:val="24"/>
                <w:szCs w:val="24"/>
                <w:lang w:val="zh-CN"/>
              </w:rPr>
              <w:t>项目编号：</w:t>
            </w:r>
          </w:p>
        </w:tc>
      </w:tr>
      <w:tr w14:paraId="12BF81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1800" w:type="dxa"/>
            <w:vAlign w:val="center"/>
          </w:tcPr>
          <w:p w14:paraId="34ADFB8D">
            <w:pPr>
              <w:spacing w:line="240" w:lineRule="auto"/>
              <w:ind w:firstLine="0" w:firstLineChars="0"/>
              <w:jc w:val="center"/>
              <w:rPr>
                <w:rFonts w:ascii="宋体" w:hAnsi="宋体"/>
                <w:color w:val="000000"/>
                <w:spacing w:val="-2"/>
                <w:sz w:val="24"/>
                <w:szCs w:val="24"/>
              </w:rPr>
            </w:pPr>
            <w:r>
              <w:rPr>
                <w:rFonts w:hint="eastAsia" w:ascii="宋体" w:hAnsi="宋体"/>
                <w:color w:val="000000"/>
                <w:spacing w:val="-2"/>
                <w:sz w:val="24"/>
                <w:szCs w:val="24"/>
              </w:rPr>
              <w:t>投标报价</w:t>
            </w:r>
          </w:p>
          <w:p w14:paraId="7023B1EC">
            <w:pPr>
              <w:spacing w:line="240" w:lineRule="auto"/>
              <w:ind w:firstLine="0" w:firstLineChars="0"/>
              <w:jc w:val="center"/>
              <w:rPr>
                <w:rFonts w:ascii="宋体" w:hAnsi="宋体"/>
                <w:color w:val="000000"/>
                <w:spacing w:val="-2"/>
                <w:sz w:val="24"/>
                <w:szCs w:val="24"/>
              </w:rPr>
            </w:pPr>
            <w:r>
              <w:rPr>
                <w:rFonts w:hint="eastAsia" w:ascii="宋体" w:hAnsi="宋体"/>
                <w:color w:val="000000"/>
                <w:spacing w:val="-2"/>
                <w:sz w:val="24"/>
                <w:szCs w:val="24"/>
              </w:rPr>
              <w:t>（元）</w:t>
            </w:r>
          </w:p>
        </w:tc>
        <w:tc>
          <w:tcPr>
            <w:tcW w:w="5703" w:type="dxa"/>
            <w:gridSpan w:val="2"/>
            <w:vAlign w:val="center"/>
          </w:tcPr>
          <w:p w14:paraId="6A9919CD">
            <w:pPr>
              <w:spacing w:line="240" w:lineRule="auto"/>
              <w:ind w:firstLine="0" w:firstLineChars="0"/>
              <w:rPr>
                <w:rFonts w:ascii="宋体" w:hAnsi="宋体"/>
                <w:color w:val="000000"/>
                <w:spacing w:val="-2"/>
                <w:sz w:val="24"/>
                <w:szCs w:val="24"/>
              </w:rPr>
            </w:pPr>
            <w:r>
              <w:rPr>
                <w:rFonts w:hint="eastAsia" w:ascii="宋体" w:hAnsi="宋体"/>
                <w:color w:val="000000"/>
                <w:spacing w:val="-2"/>
                <w:sz w:val="24"/>
                <w:szCs w:val="24"/>
              </w:rPr>
              <w:t>（大写）（小写）</w:t>
            </w:r>
          </w:p>
        </w:tc>
        <w:tc>
          <w:tcPr>
            <w:tcW w:w="1882" w:type="dxa"/>
            <w:vAlign w:val="center"/>
          </w:tcPr>
          <w:p w14:paraId="2D973E8A">
            <w:pPr>
              <w:spacing w:line="240" w:lineRule="auto"/>
              <w:ind w:firstLine="0" w:firstLineChars="0"/>
              <w:rPr>
                <w:rFonts w:ascii="宋体"/>
                <w:color w:val="000000"/>
                <w:sz w:val="24"/>
                <w:szCs w:val="24"/>
                <w:lang w:val="zh-CN"/>
              </w:rPr>
            </w:pPr>
            <w:r>
              <w:rPr>
                <w:rFonts w:hint="eastAsia" w:ascii="宋体"/>
                <w:color w:val="000000"/>
                <w:sz w:val="24"/>
                <w:szCs w:val="24"/>
              </w:rPr>
              <w:t>备注</w:t>
            </w:r>
          </w:p>
        </w:tc>
      </w:tr>
      <w:tr w14:paraId="7B3B5A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30" w:hRule="atLeast"/>
        </w:trPr>
        <w:tc>
          <w:tcPr>
            <w:tcW w:w="1800" w:type="dxa"/>
            <w:vAlign w:val="center"/>
          </w:tcPr>
          <w:p w14:paraId="7F77DA90">
            <w:pPr>
              <w:spacing w:line="240" w:lineRule="auto"/>
              <w:ind w:firstLine="0" w:firstLineChars="0"/>
              <w:jc w:val="center"/>
              <w:rPr>
                <w:rFonts w:ascii="宋体" w:hAnsi="宋体"/>
                <w:color w:val="000000"/>
                <w:spacing w:val="-2"/>
                <w:sz w:val="24"/>
                <w:szCs w:val="24"/>
              </w:rPr>
            </w:pPr>
            <w:r>
              <w:rPr>
                <w:rFonts w:hint="eastAsia" w:ascii="宋体" w:hAnsi="宋体"/>
                <w:color w:val="000000"/>
                <w:spacing w:val="-2"/>
                <w:sz w:val="24"/>
                <w:szCs w:val="24"/>
              </w:rPr>
              <w:t>投标人企业</w:t>
            </w:r>
          </w:p>
        </w:tc>
        <w:tc>
          <w:tcPr>
            <w:tcW w:w="5703" w:type="dxa"/>
            <w:gridSpan w:val="2"/>
            <w:vAlign w:val="center"/>
          </w:tcPr>
          <w:p w14:paraId="3572D3EE">
            <w:pPr>
              <w:spacing w:line="240" w:lineRule="auto"/>
              <w:ind w:firstLine="0" w:firstLineChars="0"/>
              <w:rPr>
                <w:rFonts w:ascii="宋体" w:hAnsi="宋体"/>
                <w:color w:val="000000"/>
                <w:spacing w:val="-2"/>
                <w:sz w:val="24"/>
                <w:szCs w:val="24"/>
              </w:rPr>
            </w:pPr>
            <w:r>
              <w:rPr>
                <w:rFonts w:hint="eastAsia" w:ascii="宋体" w:hAnsi="宋体"/>
                <w:color w:val="000000"/>
                <w:spacing w:val="-2"/>
                <w:sz w:val="24"/>
                <w:szCs w:val="24"/>
              </w:rPr>
              <w:t>投标人是否属于小微型企业      是    否</w:t>
            </w:r>
          </w:p>
        </w:tc>
        <w:tc>
          <w:tcPr>
            <w:tcW w:w="1882" w:type="dxa"/>
            <w:vAlign w:val="center"/>
          </w:tcPr>
          <w:p w14:paraId="65673B34">
            <w:pPr>
              <w:spacing w:line="240" w:lineRule="auto"/>
              <w:ind w:firstLine="0" w:firstLineChars="0"/>
              <w:rPr>
                <w:rFonts w:ascii="宋体"/>
                <w:color w:val="000000"/>
                <w:sz w:val="24"/>
                <w:szCs w:val="24"/>
                <w:lang w:val="zh-CN"/>
              </w:rPr>
            </w:pPr>
          </w:p>
        </w:tc>
      </w:tr>
      <w:tr w14:paraId="1BC337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7" w:hRule="atLeast"/>
        </w:trPr>
        <w:tc>
          <w:tcPr>
            <w:tcW w:w="1800" w:type="dxa"/>
            <w:vAlign w:val="center"/>
          </w:tcPr>
          <w:p w14:paraId="0C260485">
            <w:pPr>
              <w:spacing w:line="240" w:lineRule="auto"/>
              <w:ind w:firstLine="0" w:firstLineChars="0"/>
              <w:jc w:val="center"/>
              <w:rPr>
                <w:rFonts w:ascii="宋体" w:hAnsi="宋体"/>
                <w:color w:val="000000"/>
                <w:spacing w:val="-2"/>
                <w:sz w:val="24"/>
                <w:szCs w:val="24"/>
              </w:rPr>
            </w:pPr>
            <w:r>
              <w:rPr>
                <w:rFonts w:hint="eastAsia" w:ascii="宋体" w:hAnsi="宋体"/>
                <w:color w:val="000000"/>
                <w:spacing w:val="-2"/>
                <w:sz w:val="24"/>
                <w:szCs w:val="24"/>
              </w:rPr>
              <w:t>投标人企业</w:t>
            </w:r>
          </w:p>
        </w:tc>
        <w:tc>
          <w:tcPr>
            <w:tcW w:w="5703" w:type="dxa"/>
            <w:gridSpan w:val="2"/>
            <w:vAlign w:val="center"/>
          </w:tcPr>
          <w:p w14:paraId="69D6B51B">
            <w:pPr>
              <w:spacing w:line="240" w:lineRule="auto"/>
              <w:ind w:firstLine="0" w:firstLineChars="0"/>
              <w:rPr>
                <w:rFonts w:ascii="宋体" w:hAnsi="宋体"/>
                <w:color w:val="000000"/>
                <w:spacing w:val="-2"/>
                <w:sz w:val="24"/>
                <w:szCs w:val="24"/>
              </w:rPr>
            </w:pPr>
            <w:r>
              <w:rPr>
                <w:rFonts w:hint="eastAsia" w:ascii="宋体" w:hAnsi="宋体"/>
                <w:color w:val="000000"/>
                <w:spacing w:val="-2"/>
                <w:sz w:val="24"/>
                <w:szCs w:val="24"/>
              </w:rPr>
              <w:t>投标人是残疾人福利性单位      是    否</w:t>
            </w:r>
          </w:p>
        </w:tc>
        <w:tc>
          <w:tcPr>
            <w:tcW w:w="1882" w:type="dxa"/>
            <w:vAlign w:val="center"/>
          </w:tcPr>
          <w:p w14:paraId="053923F3">
            <w:pPr>
              <w:spacing w:line="240" w:lineRule="auto"/>
              <w:ind w:firstLine="0" w:firstLineChars="0"/>
              <w:rPr>
                <w:rFonts w:ascii="宋体"/>
                <w:color w:val="000000"/>
                <w:sz w:val="24"/>
                <w:szCs w:val="24"/>
                <w:lang w:val="zh-CN"/>
              </w:rPr>
            </w:pPr>
          </w:p>
        </w:tc>
      </w:tr>
      <w:tr w14:paraId="4D0D06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47" w:hRule="atLeast"/>
        </w:trPr>
        <w:tc>
          <w:tcPr>
            <w:tcW w:w="1800" w:type="dxa"/>
            <w:vAlign w:val="center"/>
          </w:tcPr>
          <w:p w14:paraId="023FE9E6">
            <w:pPr>
              <w:spacing w:line="240" w:lineRule="auto"/>
              <w:ind w:firstLine="0" w:firstLineChars="0"/>
              <w:jc w:val="center"/>
              <w:rPr>
                <w:rFonts w:ascii="宋体" w:hAnsi="宋体"/>
                <w:color w:val="000000"/>
                <w:spacing w:val="-2"/>
                <w:sz w:val="24"/>
                <w:szCs w:val="24"/>
              </w:rPr>
            </w:pPr>
            <w:r>
              <w:rPr>
                <w:rFonts w:hint="eastAsia" w:ascii="宋体" w:hAnsi="宋体"/>
                <w:color w:val="000000"/>
                <w:spacing w:val="-2"/>
                <w:sz w:val="24"/>
                <w:szCs w:val="24"/>
              </w:rPr>
              <w:t>项目经理</w:t>
            </w:r>
          </w:p>
        </w:tc>
        <w:tc>
          <w:tcPr>
            <w:tcW w:w="5703" w:type="dxa"/>
            <w:gridSpan w:val="2"/>
            <w:vAlign w:val="center"/>
          </w:tcPr>
          <w:p w14:paraId="57A3F859">
            <w:pPr>
              <w:spacing w:line="240" w:lineRule="auto"/>
              <w:ind w:firstLine="0" w:firstLineChars="0"/>
              <w:rPr>
                <w:rFonts w:ascii="宋体" w:hAnsi="宋体"/>
                <w:color w:val="000000"/>
                <w:spacing w:val="-2"/>
                <w:sz w:val="24"/>
                <w:szCs w:val="24"/>
              </w:rPr>
            </w:pPr>
          </w:p>
        </w:tc>
        <w:tc>
          <w:tcPr>
            <w:tcW w:w="1882" w:type="dxa"/>
            <w:vAlign w:val="center"/>
          </w:tcPr>
          <w:p w14:paraId="16D10C5C">
            <w:pPr>
              <w:spacing w:line="240" w:lineRule="auto"/>
              <w:ind w:firstLine="0" w:firstLineChars="0"/>
              <w:rPr>
                <w:rFonts w:ascii="宋体"/>
                <w:color w:val="000000"/>
                <w:sz w:val="24"/>
                <w:szCs w:val="24"/>
                <w:lang w:val="zh-CN"/>
              </w:rPr>
            </w:pPr>
          </w:p>
        </w:tc>
      </w:tr>
      <w:tr w14:paraId="0A90B4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25" w:hRule="atLeast"/>
        </w:trPr>
        <w:tc>
          <w:tcPr>
            <w:tcW w:w="1800" w:type="dxa"/>
            <w:vAlign w:val="center"/>
          </w:tcPr>
          <w:p w14:paraId="5A15DF2E">
            <w:pPr>
              <w:spacing w:line="240" w:lineRule="auto"/>
              <w:ind w:firstLine="0" w:firstLineChars="0"/>
              <w:jc w:val="center"/>
              <w:rPr>
                <w:rFonts w:ascii="宋体" w:hAnsi="宋体"/>
                <w:color w:val="000000"/>
                <w:spacing w:val="-2"/>
                <w:sz w:val="24"/>
                <w:szCs w:val="24"/>
              </w:rPr>
            </w:pPr>
            <w:r>
              <w:rPr>
                <w:rFonts w:hint="eastAsia" w:ascii="宋体" w:hAnsi="宋体"/>
                <w:color w:val="000000"/>
                <w:spacing w:val="-2"/>
                <w:sz w:val="24"/>
                <w:szCs w:val="24"/>
              </w:rPr>
              <w:t>授权委托人</w:t>
            </w:r>
          </w:p>
          <w:p w14:paraId="56318CA1">
            <w:pPr>
              <w:spacing w:line="240" w:lineRule="auto"/>
              <w:ind w:firstLine="0" w:firstLineChars="0"/>
              <w:jc w:val="center"/>
              <w:rPr>
                <w:rFonts w:ascii="宋体" w:hAnsi="宋体"/>
                <w:color w:val="000000"/>
                <w:spacing w:val="-2"/>
                <w:sz w:val="24"/>
                <w:szCs w:val="24"/>
              </w:rPr>
            </w:pPr>
            <w:r>
              <w:rPr>
                <w:rFonts w:hint="eastAsia" w:ascii="宋体" w:hAnsi="宋体"/>
                <w:color w:val="000000"/>
                <w:spacing w:val="-2"/>
                <w:sz w:val="24"/>
                <w:szCs w:val="24"/>
              </w:rPr>
              <w:t>（或法人）</w:t>
            </w:r>
          </w:p>
        </w:tc>
        <w:tc>
          <w:tcPr>
            <w:tcW w:w="5703" w:type="dxa"/>
            <w:gridSpan w:val="2"/>
            <w:vAlign w:val="center"/>
          </w:tcPr>
          <w:p w14:paraId="497721DF">
            <w:pPr>
              <w:spacing w:line="240" w:lineRule="auto"/>
              <w:ind w:firstLine="0" w:firstLineChars="0"/>
              <w:rPr>
                <w:rFonts w:ascii="宋体" w:hAnsi="宋体"/>
                <w:color w:val="000000"/>
                <w:spacing w:val="-2"/>
                <w:sz w:val="24"/>
                <w:szCs w:val="24"/>
              </w:rPr>
            </w:pPr>
          </w:p>
        </w:tc>
        <w:tc>
          <w:tcPr>
            <w:tcW w:w="1882" w:type="dxa"/>
            <w:vAlign w:val="center"/>
          </w:tcPr>
          <w:p w14:paraId="1AB7EA62">
            <w:pPr>
              <w:spacing w:line="240" w:lineRule="auto"/>
              <w:ind w:firstLine="0" w:firstLineChars="0"/>
              <w:rPr>
                <w:rFonts w:ascii="宋体"/>
                <w:color w:val="000000"/>
                <w:sz w:val="24"/>
                <w:szCs w:val="24"/>
                <w:lang w:val="zh-CN"/>
              </w:rPr>
            </w:pPr>
          </w:p>
        </w:tc>
      </w:tr>
      <w:tr w14:paraId="7D48F3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76" w:hRule="atLeast"/>
        </w:trPr>
        <w:tc>
          <w:tcPr>
            <w:tcW w:w="1800" w:type="dxa"/>
            <w:vAlign w:val="center"/>
          </w:tcPr>
          <w:p w14:paraId="5537E93D">
            <w:pPr>
              <w:spacing w:line="240" w:lineRule="auto"/>
              <w:ind w:firstLine="0" w:firstLineChars="0"/>
              <w:jc w:val="center"/>
              <w:rPr>
                <w:rFonts w:ascii="宋体" w:hAnsi="宋体"/>
                <w:color w:val="000000"/>
                <w:sz w:val="24"/>
                <w:szCs w:val="24"/>
                <w:lang w:val="zh-CN"/>
              </w:rPr>
            </w:pPr>
            <w:r>
              <w:rPr>
                <w:rFonts w:hint="eastAsia" w:ascii="宋体" w:hAnsi="宋体"/>
                <w:color w:val="000000"/>
                <w:sz w:val="24"/>
                <w:szCs w:val="24"/>
              </w:rPr>
              <w:t>其它</w:t>
            </w:r>
          </w:p>
        </w:tc>
        <w:tc>
          <w:tcPr>
            <w:tcW w:w="5703" w:type="dxa"/>
            <w:gridSpan w:val="2"/>
            <w:vAlign w:val="center"/>
          </w:tcPr>
          <w:p w14:paraId="6D407202">
            <w:pPr>
              <w:spacing w:line="240" w:lineRule="auto"/>
              <w:ind w:firstLine="0" w:firstLineChars="0"/>
              <w:jc w:val="center"/>
              <w:rPr>
                <w:rFonts w:ascii="宋体" w:hAnsi="宋体"/>
                <w:color w:val="000000"/>
                <w:sz w:val="24"/>
                <w:szCs w:val="24"/>
              </w:rPr>
            </w:pPr>
            <w:r>
              <w:rPr>
                <w:rFonts w:hint="eastAsia" w:ascii="宋体" w:hAnsi="宋体"/>
                <w:color w:val="000000"/>
                <w:sz w:val="24"/>
                <w:szCs w:val="24"/>
                <w:lang w:val="zh-CN"/>
              </w:rPr>
              <w:t>（</w:t>
            </w:r>
            <w:r>
              <w:rPr>
                <w:rFonts w:hint="eastAsia" w:ascii="宋体" w:hAnsi="宋体"/>
                <w:color w:val="000000"/>
                <w:sz w:val="24"/>
                <w:szCs w:val="24"/>
              </w:rPr>
              <w:t>如有优惠条件须在此注明）</w:t>
            </w:r>
          </w:p>
        </w:tc>
        <w:tc>
          <w:tcPr>
            <w:tcW w:w="1882" w:type="dxa"/>
            <w:vAlign w:val="center"/>
          </w:tcPr>
          <w:p w14:paraId="5CE68BAD">
            <w:pPr>
              <w:spacing w:line="240" w:lineRule="auto"/>
              <w:ind w:firstLine="0" w:firstLineChars="0"/>
              <w:rPr>
                <w:rFonts w:ascii="宋体" w:hAnsi="宋体"/>
                <w:color w:val="000000"/>
                <w:sz w:val="24"/>
                <w:szCs w:val="24"/>
                <w:lang w:val="zh-CN"/>
              </w:rPr>
            </w:pPr>
          </w:p>
        </w:tc>
      </w:tr>
    </w:tbl>
    <w:p w14:paraId="1C5E7195">
      <w:pPr>
        <w:ind w:firstLine="482"/>
        <w:rPr>
          <w:rFonts w:ascii="宋体" w:hAnsi="宋体"/>
          <w:b/>
          <w:color w:val="000000"/>
          <w:sz w:val="24"/>
          <w:szCs w:val="24"/>
          <w:lang w:val="zh-CN"/>
        </w:rPr>
      </w:pPr>
    </w:p>
    <w:p w14:paraId="524D04C5">
      <w:pPr>
        <w:ind w:firstLine="480"/>
        <w:rPr>
          <w:rFonts w:hint="eastAsia" w:ascii="仿宋" w:hAnsi="仿宋" w:eastAsia="仿宋" w:cs="仿宋"/>
          <w:color w:val="auto"/>
          <w:sz w:val="24"/>
          <w:szCs w:val="24"/>
          <w:highlight w:val="none"/>
          <w:u w:val="single"/>
        </w:rPr>
      </w:pPr>
      <w:r>
        <w:rPr>
          <w:rFonts w:hint="eastAsia" w:ascii="宋体" w:hAnsi="宋体"/>
          <w:color w:val="000000"/>
          <w:sz w:val="24"/>
          <w:szCs w:val="24"/>
          <w:lang w:val="zh-CN"/>
        </w:rPr>
        <w:t>供应商名称:</w:t>
      </w:r>
      <w:r>
        <w:rPr>
          <w:rFonts w:hint="eastAsia" w:ascii="仿宋" w:hAnsi="仿宋" w:eastAsia="仿宋" w:cs="仿宋"/>
          <w:color w:val="auto"/>
          <w:sz w:val="24"/>
          <w:szCs w:val="24"/>
          <w:highlight w:val="none"/>
        </w:rPr>
        <w:t xml:space="preserve"> </w:t>
      </w:r>
      <w:r>
        <w:rPr>
          <w:rFonts w:hint="eastAsia" w:ascii="宋体" w:hAnsi="宋体" w:eastAsia="宋体" w:cs="宋体"/>
          <w:color w:val="000000"/>
          <w:sz w:val="24"/>
          <w:szCs w:val="24"/>
          <w:u w:val="single"/>
          <w:lang w:val="zh-CN"/>
        </w:rPr>
        <w:t xml:space="preserve">     （公章）</w:t>
      </w:r>
    </w:p>
    <w:p w14:paraId="48571203">
      <w:pPr>
        <w:ind w:firstLine="48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日     期：      年    月    日</w:t>
      </w:r>
    </w:p>
    <w:p w14:paraId="381EAC2A">
      <w:pPr>
        <w:ind w:firstLine="480"/>
        <w:rPr>
          <w:rFonts w:ascii="宋体" w:hAnsi="宋体"/>
          <w:color w:val="000000"/>
          <w:sz w:val="24"/>
          <w:szCs w:val="24"/>
          <w:lang w:val="zh-CN"/>
        </w:rPr>
      </w:pPr>
      <w:r>
        <w:rPr>
          <w:rFonts w:hint="eastAsia" w:ascii="宋体" w:hAnsi="宋体"/>
          <w:color w:val="000000"/>
          <w:sz w:val="24"/>
          <w:szCs w:val="24"/>
          <w:lang w:val="zh-CN"/>
        </w:rPr>
        <w:t>说明：</w:t>
      </w:r>
    </w:p>
    <w:p w14:paraId="48E65F7F">
      <w:pPr>
        <w:ind w:firstLine="480"/>
        <w:rPr>
          <w:rFonts w:ascii="宋体" w:hAnsi="宋体"/>
          <w:color w:val="000000"/>
          <w:szCs w:val="21"/>
        </w:rPr>
      </w:pPr>
      <w:r>
        <w:rPr>
          <w:rFonts w:hint="eastAsia" w:ascii="宋体" w:hAnsi="宋体"/>
          <w:color w:val="000000"/>
          <w:sz w:val="24"/>
          <w:szCs w:val="24"/>
        </w:rPr>
        <w:t>1.在“投标人是否属于中、小和微型企业”栏后“是”或“否”上打“√”</w:t>
      </w:r>
    </w:p>
    <w:p w14:paraId="4FD7D40F">
      <w:pPr>
        <w:ind w:firstLine="480"/>
        <w:rPr>
          <w:rFonts w:ascii="宋体" w:hAnsi="宋体"/>
          <w:szCs w:val="24"/>
        </w:rPr>
      </w:pPr>
    </w:p>
    <w:p w14:paraId="7C5219D1">
      <w:pPr>
        <w:ind w:firstLine="480"/>
        <w:rPr>
          <w:rFonts w:ascii="宋体" w:hAnsi="宋体"/>
        </w:rPr>
      </w:pPr>
    </w:p>
    <w:p w14:paraId="1DBE1772">
      <w:pPr>
        <w:ind w:firstLine="482"/>
        <w:outlineLvl w:val="1"/>
        <w:rPr>
          <w:rFonts w:ascii="宋体" w:hAnsi="宋体"/>
          <w:b/>
          <w:szCs w:val="21"/>
        </w:rPr>
      </w:pPr>
      <w:bookmarkStart w:id="1147" w:name="_Toc29268"/>
      <w:bookmarkStart w:id="1148" w:name="_Toc20139"/>
      <w:bookmarkStart w:id="1149" w:name="_Toc31116"/>
      <w:bookmarkStart w:id="1150" w:name="_Toc17935"/>
      <w:bookmarkStart w:id="1151" w:name="_Toc14830"/>
      <w:bookmarkStart w:id="1152" w:name="_Toc504141757"/>
      <w:bookmarkStart w:id="1153" w:name="_Toc25636"/>
      <w:bookmarkStart w:id="1154" w:name="_Toc24867"/>
    </w:p>
    <w:p w14:paraId="56EC774E">
      <w:pPr>
        <w:ind w:firstLine="482"/>
        <w:outlineLvl w:val="1"/>
        <w:rPr>
          <w:rFonts w:ascii="宋体" w:hAnsi="宋体"/>
          <w:b/>
          <w:szCs w:val="21"/>
        </w:rPr>
      </w:pPr>
    </w:p>
    <w:p w14:paraId="113182C4">
      <w:pPr>
        <w:ind w:firstLine="482"/>
        <w:outlineLvl w:val="1"/>
        <w:rPr>
          <w:rFonts w:ascii="宋体" w:hAnsi="宋体"/>
          <w:b/>
          <w:szCs w:val="21"/>
        </w:rPr>
      </w:pPr>
    </w:p>
    <w:p w14:paraId="578888F8">
      <w:pPr>
        <w:ind w:firstLine="482"/>
        <w:outlineLvl w:val="1"/>
        <w:rPr>
          <w:rFonts w:ascii="宋体" w:hAnsi="宋体"/>
          <w:b/>
          <w:szCs w:val="21"/>
        </w:rPr>
      </w:pPr>
    </w:p>
    <w:p w14:paraId="5A9B4990">
      <w:pPr>
        <w:ind w:firstLine="482"/>
        <w:outlineLvl w:val="1"/>
        <w:rPr>
          <w:rFonts w:ascii="宋体" w:hAnsi="宋体"/>
          <w:b/>
          <w:szCs w:val="21"/>
        </w:rPr>
      </w:pPr>
    </w:p>
    <w:p w14:paraId="19E88C89">
      <w:pPr>
        <w:ind w:firstLine="482"/>
        <w:outlineLvl w:val="1"/>
        <w:rPr>
          <w:rFonts w:ascii="宋体" w:hAnsi="宋体"/>
          <w:b/>
          <w:szCs w:val="21"/>
        </w:rPr>
      </w:pPr>
    </w:p>
    <w:p w14:paraId="5E120CAA">
      <w:pPr>
        <w:adjustRightInd/>
        <w:snapToGrid/>
        <w:spacing w:line="220" w:lineRule="atLeast"/>
        <w:ind w:firstLine="482"/>
        <w:rPr>
          <w:rFonts w:ascii="宋体" w:hAnsi="宋体"/>
          <w:b/>
          <w:szCs w:val="24"/>
        </w:rPr>
      </w:pPr>
      <w:bookmarkStart w:id="1155" w:name="_Toc7919"/>
      <w:r>
        <w:rPr>
          <w:rFonts w:ascii="宋体" w:hAnsi="宋体"/>
          <w:b/>
          <w:szCs w:val="24"/>
        </w:rPr>
        <w:br w:type="page"/>
      </w:r>
    </w:p>
    <w:bookmarkEnd w:id="1147"/>
    <w:bookmarkEnd w:id="1148"/>
    <w:bookmarkEnd w:id="1149"/>
    <w:bookmarkEnd w:id="1150"/>
    <w:bookmarkEnd w:id="1151"/>
    <w:bookmarkEnd w:id="1152"/>
    <w:bookmarkEnd w:id="1153"/>
    <w:bookmarkEnd w:id="1154"/>
    <w:bookmarkEnd w:id="1155"/>
    <w:p w14:paraId="771246FF">
      <w:pPr>
        <w:numPr>
          <w:ilvl w:val="0"/>
          <w:numId w:val="10"/>
        </w:numPr>
        <w:ind w:left="0" w:leftChars="0" w:firstLine="482" w:firstLineChars="200"/>
        <w:outlineLvl w:val="1"/>
        <w:rPr>
          <w:rFonts w:hint="eastAsia" w:ascii="宋体" w:hAnsi="宋体" w:eastAsia="宋体" w:cs="宋体"/>
          <w:b/>
          <w:szCs w:val="21"/>
          <w:lang w:val="zh-CN"/>
        </w:rPr>
      </w:pPr>
      <w:r>
        <w:rPr>
          <w:rFonts w:hint="eastAsia" w:ascii="宋体" w:hAnsi="宋体" w:eastAsia="宋体" w:cs="宋体"/>
          <w:b/>
          <w:szCs w:val="21"/>
          <w:lang w:val="zh-CN"/>
        </w:rPr>
        <w:t>供应商资格承诺函格式</w:t>
      </w:r>
    </w:p>
    <w:p w14:paraId="72076B6B">
      <w:pPr>
        <w:numPr>
          <w:ilvl w:val="0"/>
          <w:numId w:val="0"/>
        </w:numPr>
        <w:ind w:leftChars="200"/>
        <w:outlineLvl w:val="1"/>
        <w:rPr>
          <w:rFonts w:hint="eastAsia" w:ascii="宋体" w:hAnsi="宋体" w:eastAsia="宋体" w:cs="宋体"/>
          <w:b/>
          <w:szCs w:val="21"/>
          <w:lang w:val="zh-CN"/>
        </w:rPr>
      </w:pPr>
    </w:p>
    <w:p w14:paraId="724862B9">
      <w:pPr>
        <w:spacing w:before="123" w:line="230" w:lineRule="auto"/>
        <w:ind w:left="160"/>
        <w:rPr>
          <w:rFonts w:hint="eastAsia" w:eastAsia="宋体" w:cs="宋体"/>
          <w:lang w:val="zh-CN"/>
        </w:rPr>
      </w:pPr>
      <w:r>
        <w:rPr>
          <w:rFonts w:hint="eastAsia" w:eastAsia="宋体" w:cs="宋体"/>
          <w:lang w:val="zh-CN"/>
        </w:rPr>
        <w:t>南京市政府采购供应商信用记录表暨信用承诺书</w:t>
      </w:r>
    </w:p>
    <w:p w14:paraId="56664646">
      <w:pPr>
        <w:ind w:firstLine="482"/>
        <w:outlineLvl w:val="1"/>
        <w:rPr>
          <w:rFonts w:hint="eastAsia" w:ascii="宋体" w:hAnsi="宋体" w:eastAsia="宋体" w:cs="宋体"/>
          <w:b/>
          <w:szCs w:val="21"/>
          <w:lang w:val="zh-CN"/>
        </w:rPr>
      </w:pPr>
    </w:p>
    <w:p w14:paraId="3208034B">
      <w:pPr>
        <w:ind w:firstLine="482"/>
        <w:outlineLvl w:val="1"/>
        <w:rPr>
          <w:rFonts w:hint="eastAsia" w:ascii="宋体" w:hAnsi="宋体" w:eastAsia="宋体" w:cs="宋体"/>
          <w:b/>
          <w:szCs w:val="21"/>
          <w:lang w:val="zh-CN"/>
        </w:rPr>
      </w:pPr>
    </w:p>
    <w:p w14:paraId="65460A3D">
      <w:pPr>
        <w:ind w:firstLine="482"/>
        <w:outlineLvl w:val="1"/>
        <w:rPr>
          <w:rFonts w:hint="eastAsia" w:ascii="宋体" w:hAnsi="宋体" w:eastAsia="宋体" w:cs="宋体"/>
          <w:b/>
          <w:szCs w:val="21"/>
          <w:lang w:val="zh-CN"/>
        </w:rPr>
      </w:pPr>
      <w:r>
        <w:rPr>
          <w:rFonts w:hint="eastAsia" w:ascii="宋体" w:hAnsi="宋体" w:eastAsia="宋体" w:cs="宋体"/>
          <w:b/>
          <w:szCs w:val="21"/>
          <w:lang w:val="zh-CN"/>
        </w:rPr>
        <w:t>五、所需其他材料</w:t>
      </w:r>
    </w:p>
    <w:bookmarkEnd w:id="1142"/>
    <w:bookmarkEnd w:id="1143"/>
    <w:bookmarkEnd w:id="1144"/>
    <w:p w14:paraId="4D4A0D36">
      <w:pPr>
        <w:keepNext w:val="0"/>
        <w:keepLines w:val="0"/>
        <w:pageBreakBefore w:val="0"/>
        <w:widowControl/>
        <w:kinsoku/>
        <w:wordWrap/>
        <w:overflowPunct/>
        <w:topLinePunct w:val="0"/>
        <w:autoSpaceDE/>
        <w:autoSpaceDN/>
        <w:bidi w:val="0"/>
        <w:adjustRightInd w:val="0"/>
        <w:snapToGrid w:val="0"/>
        <w:spacing w:before="123" w:line="360" w:lineRule="auto"/>
        <w:ind w:left="159"/>
        <w:textAlignment w:val="auto"/>
        <w:rPr>
          <w:rFonts w:hint="eastAsia" w:eastAsia="宋体" w:cs="宋体"/>
          <w:lang w:val="zh-CN"/>
        </w:rPr>
      </w:pPr>
      <w:bookmarkStart w:id="1156" w:name="_Toc504141760"/>
      <w:bookmarkStart w:id="1157" w:name="_Toc354594118"/>
      <w:bookmarkStart w:id="1158" w:name="_Toc994"/>
      <w:bookmarkStart w:id="1159" w:name="_Toc1908"/>
      <w:bookmarkStart w:id="1160" w:name="_Toc16276"/>
      <w:bookmarkStart w:id="1161" w:name="_Toc22231"/>
      <w:bookmarkStart w:id="1162" w:name="_Toc28435"/>
      <w:bookmarkStart w:id="1163" w:name="_Toc459109596"/>
      <w:bookmarkStart w:id="1164" w:name="_Toc19981"/>
      <w:bookmarkStart w:id="1165" w:name="_Toc341184785"/>
      <w:bookmarkStart w:id="1166" w:name="_Toc11825"/>
      <w:r>
        <w:rPr>
          <w:rFonts w:hint="eastAsia" w:eastAsia="宋体" w:cs="宋体"/>
          <w:lang w:val="zh-CN"/>
        </w:rPr>
        <w:t>1.满足本项目特定资格要求的证明材料 (如有) ；</w:t>
      </w:r>
    </w:p>
    <w:p w14:paraId="0FADC8DD">
      <w:pPr>
        <w:keepNext w:val="0"/>
        <w:keepLines w:val="0"/>
        <w:pageBreakBefore w:val="0"/>
        <w:widowControl/>
        <w:kinsoku/>
        <w:wordWrap/>
        <w:overflowPunct/>
        <w:topLinePunct w:val="0"/>
        <w:autoSpaceDE/>
        <w:autoSpaceDN/>
        <w:bidi w:val="0"/>
        <w:adjustRightInd w:val="0"/>
        <w:snapToGrid w:val="0"/>
        <w:spacing w:before="123" w:line="360" w:lineRule="auto"/>
        <w:ind w:left="159"/>
        <w:textAlignment w:val="auto"/>
        <w:rPr>
          <w:rFonts w:hint="eastAsia" w:eastAsia="宋体" w:cs="宋体"/>
          <w:lang w:val="zh-CN"/>
        </w:rPr>
      </w:pPr>
      <w:r>
        <w:rPr>
          <w:rFonts w:hint="eastAsia" w:eastAsia="宋体" w:cs="宋体"/>
          <w:lang w:val="zh-CN"/>
        </w:rPr>
        <w:t>2.本项目实施所必须的许可资质证明材料 (如有) ；</w:t>
      </w:r>
    </w:p>
    <w:p w14:paraId="37176622">
      <w:pPr>
        <w:keepNext w:val="0"/>
        <w:keepLines w:val="0"/>
        <w:pageBreakBefore w:val="0"/>
        <w:widowControl/>
        <w:kinsoku/>
        <w:wordWrap/>
        <w:overflowPunct/>
        <w:topLinePunct w:val="0"/>
        <w:autoSpaceDE/>
        <w:autoSpaceDN/>
        <w:bidi w:val="0"/>
        <w:adjustRightInd w:val="0"/>
        <w:snapToGrid w:val="0"/>
        <w:spacing w:before="123" w:line="360" w:lineRule="auto"/>
        <w:ind w:left="159"/>
        <w:textAlignment w:val="auto"/>
        <w:rPr>
          <w:rFonts w:hint="eastAsia" w:eastAsia="宋体" w:cs="宋体"/>
          <w:lang w:val="zh-CN"/>
        </w:rPr>
      </w:pPr>
      <w:r>
        <w:rPr>
          <w:rFonts w:hint="eastAsia" w:eastAsia="宋体" w:cs="宋体"/>
          <w:lang w:val="zh-CN"/>
        </w:rPr>
        <w:t>3.落实政府采购促进中小企业发展要求的证明材料 (如有) ；</w:t>
      </w:r>
    </w:p>
    <w:p w14:paraId="744291FF">
      <w:pPr>
        <w:keepNext w:val="0"/>
        <w:keepLines w:val="0"/>
        <w:pageBreakBefore w:val="0"/>
        <w:widowControl/>
        <w:kinsoku/>
        <w:wordWrap/>
        <w:overflowPunct/>
        <w:topLinePunct w:val="0"/>
        <w:autoSpaceDE/>
        <w:autoSpaceDN/>
        <w:bidi w:val="0"/>
        <w:adjustRightInd w:val="0"/>
        <w:snapToGrid w:val="0"/>
        <w:spacing w:before="123" w:line="360" w:lineRule="auto"/>
        <w:ind w:left="159"/>
        <w:textAlignment w:val="auto"/>
        <w:rPr>
          <w:rFonts w:hint="eastAsia" w:eastAsia="宋体" w:cs="宋体"/>
          <w:lang w:val="zh-CN"/>
        </w:rPr>
      </w:pPr>
      <w:r>
        <w:rPr>
          <w:rFonts w:hint="eastAsia" w:eastAsia="宋体" w:cs="宋体"/>
          <w:lang w:val="zh-CN"/>
        </w:rPr>
        <w:t>《中小企业声明函》  (格式见附件) ；</w:t>
      </w:r>
    </w:p>
    <w:p w14:paraId="44E55D25">
      <w:pPr>
        <w:keepNext w:val="0"/>
        <w:keepLines w:val="0"/>
        <w:pageBreakBefore w:val="0"/>
        <w:widowControl/>
        <w:kinsoku/>
        <w:wordWrap/>
        <w:overflowPunct/>
        <w:topLinePunct w:val="0"/>
        <w:autoSpaceDE/>
        <w:autoSpaceDN/>
        <w:bidi w:val="0"/>
        <w:adjustRightInd w:val="0"/>
        <w:snapToGrid w:val="0"/>
        <w:spacing w:before="123" w:line="360" w:lineRule="auto"/>
        <w:ind w:left="159"/>
        <w:textAlignment w:val="auto"/>
        <w:rPr>
          <w:rFonts w:hint="eastAsia" w:eastAsia="宋体" w:cs="宋体"/>
          <w:lang w:val="zh-CN"/>
        </w:rPr>
      </w:pPr>
      <w:r>
        <w:rPr>
          <w:rFonts w:hint="eastAsia" w:eastAsia="宋体" w:cs="宋体"/>
          <w:lang w:val="zh-CN"/>
        </w:rPr>
        <w:t>4.《南京市政府采购供应商信用记录表暨信用承诺书》 (通过“南京市政府采购供应商诚信档案管理系统” 在线打印) 。</w:t>
      </w:r>
    </w:p>
    <w:p w14:paraId="6EFB5E19">
      <w:pPr>
        <w:autoSpaceDE w:val="0"/>
        <w:autoSpaceDN w:val="0"/>
        <w:spacing w:line="460" w:lineRule="exact"/>
        <w:ind w:firstLine="482"/>
        <w:outlineLvl w:val="1"/>
        <w:rPr>
          <w:rFonts w:ascii="宋体" w:hAnsi="宋体"/>
          <w:b/>
          <w:szCs w:val="21"/>
          <w:lang w:val="zh-CN"/>
        </w:rPr>
      </w:pPr>
    </w:p>
    <w:bookmarkEnd w:id="1156"/>
    <w:bookmarkEnd w:id="1157"/>
    <w:bookmarkEnd w:id="1158"/>
    <w:bookmarkEnd w:id="1159"/>
    <w:bookmarkEnd w:id="1160"/>
    <w:bookmarkEnd w:id="1161"/>
    <w:bookmarkEnd w:id="1162"/>
    <w:bookmarkEnd w:id="1163"/>
    <w:bookmarkEnd w:id="1164"/>
    <w:bookmarkEnd w:id="1165"/>
    <w:bookmarkEnd w:id="1166"/>
    <w:p w14:paraId="4FAFD8DF">
      <w:pPr>
        <w:ind w:firstLine="482"/>
        <w:outlineLvl w:val="1"/>
        <w:rPr>
          <w:rFonts w:ascii="宋体" w:hAnsi="宋体"/>
          <w:b/>
          <w:szCs w:val="21"/>
        </w:rPr>
      </w:pPr>
      <w:bookmarkStart w:id="1167" w:name="_Toc354594119"/>
    </w:p>
    <w:p w14:paraId="3B642764">
      <w:pPr>
        <w:ind w:firstLine="482"/>
        <w:outlineLvl w:val="1"/>
        <w:rPr>
          <w:rFonts w:hint="eastAsia" w:ascii="宋体" w:hAnsi="宋体"/>
          <w:b/>
          <w:szCs w:val="21"/>
        </w:rPr>
      </w:pPr>
    </w:p>
    <w:p w14:paraId="2B229AF8">
      <w:pPr>
        <w:ind w:firstLine="482"/>
        <w:outlineLvl w:val="1"/>
        <w:rPr>
          <w:rFonts w:hint="eastAsia" w:ascii="宋体" w:hAnsi="宋体"/>
          <w:b/>
          <w:szCs w:val="21"/>
        </w:rPr>
      </w:pPr>
    </w:p>
    <w:p w14:paraId="134CE431">
      <w:pPr>
        <w:ind w:firstLine="482"/>
        <w:outlineLvl w:val="1"/>
        <w:rPr>
          <w:rFonts w:hint="eastAsia" w:ascii="宋体" w:hAnsi="宋体"/>
          <w:b/>
          <w:szCs w:val="21"/>
        </w:rPr>
      </w:pPr>
    </w:p>
    <w:p w14:paraId="77F3F62D">
      <w:pPr>
        <w:ind w:firstLine="482"/>
        <w:outlineLvl w:val="1"/>
        <w:rPr>
          <w:rFonts w:hint="eastAsia" w:ascii="宋体" w:hAnsi="宋体"/>
          <w:b/>
          <w:szCs w:val="21"/>
        </w:rPr>
      </w:pPr>
    </w:p>
    <w:p w14:paraId="567755B0">
      <w:pPr>
        <w:ind w:firstLine="482"/>
        <w:outlineLvl w:val="1"/>
        <w:rPr>
          <w:rFonts w:ascii="宋体" w:hAnsi="宋体"/>
          <w:b/>
          <w:szCs w:val="21"/>
        </w:rPr>
      </w:pPr>
      <w:r>
        <w:rPr>
          <w:rFonts w:hint="eastAsia" w:ascii="宋体" w:hAnsi="宋体"/>
          <w:b/>
          <w:szCs w:val="21"/>
        </w:rPr>
        <w:t>五、</w:t>
      </w:r>
      <w:r>
        <w:rPr>
          <w:rFonts w:hint="eastAsia" w:ascii="宋体"/>
          <w:b/>
          <w:color w:val="000000"/>
          <w:szCs w:val="21"/>
          <w:lang w:val="zh-CN"/>
        </w:rPr>
        <w:t>投标报价（按工程量清单计价规范要求报价）</w:t>
      </w:r>
    </w:p>
    <w:bookmarkEnd w:id="1167"/>
    <w:p w14:paraId="4895D4C6">
      <w:pPr>
        <w:pStyle w:val="3"/>
        <w:ind w:firstLine="482"/>
        <w:rPr>
          <w:lang w:val="zh-CN"/>
        </w:rPr>
      </w:pPr>
      <w:bookmarkStart w:id="1168" w:name="_Toc36797978"/>
      <w:bookmarkStart w:id="1169" w:name="_Toc354594120"/>
    </w:p>
    <w:p w14:paraId="597D48CA">
      <w:pPr>
        <w:pStyle w:val="3"/>
        <w:ind w:firstLine="482"/>
        <w:rPr>
          <w:lang w:val="zh-CN"/>
        </w:rPr>
      </w:pPr>
    </w:p>
    <w:p w14:paraId="24ED6CE2">
      <w:pPr>
        <w:pStyle w:val="3"/>
        <w:ind w:firstLine="482"/>
        <w:rPr>
          <w:lang w:val="zh-CN"/>
        </w:rPr>
      </w:pPr>
    </w:p>
    <w:p w14:paraId="3CA01D47">
      <w:pPr>
        <w:rPr>
          <w:rFonts w:hint="eastAsia"/>
          <w:lang w:val="zh-CN"/>
        </w:rPr>
      </w:pPr>
      <w:r>
        <w:rPr>
          <w:rFonts w:hint="eastAsia"/>
          <w:lang w:val="zh-CN"/>
        </w:rPr>
        <w:br w:type="page"/>
      </w:r>
    </w:p>
    <w:p w14:paraId="051DEAEB">
      <w:pPr>
        <w:pStyle w:val="3"/>
        <w:ind w:firstLine="482"/>
        <w:rPr>
          <w:lang w:val="zh-CN"/>
        </w:rPr>
      </w:pPr>
      <w:r>
        <w:rPr>
          <w:rFonts w:hint="eastAsia"/>
          <w:lang w:val="zh-CN"/>
        </w:rPr>
        <w:t>六、商务及技术条款偏离表格式</w:t>
      </w:r>
      <w:bookmarkEnd w:id="1168"/>
    </w:p>
    <w:p w14:paraId="2FF5670D">
      <w:pPr>
        <w:ind w:left="420" w:firstLine="720"/>
        <w:jc w:val="center"/>
        <w:outlineLvl w:val="0"/>
        <w:rPr>
          <w:rFonts w:ascii="黑体" w:hAnsi="宋体" w:eastAsia="黑体"/>
          <w:color w:val="000000"/>
          <w:sz w:val="24"/>
          <w:szCs w:val="24"/>
          <w:lang w:val="zh-CN"/>
        </w:rPr>
      </w:pPr>
      <w:bookmarkStart w:id="1170" w:name="_Toc18679312"/>
      <w:bookmarkStart w:id="1171" w:name="_Toc36797979"/>
      <w:bookmarkStart w:id="1172" w:name="_Toc18494981"/>
      <w:r>
        <w:rPr>
          <w:rFonts w:hint="eastAsia" w:ascii="黑体" w:hAnsi="宋体" w:eastAsia="黑体"/>
          <w:color w:val="000000"/>
          <w:sz w:val="24"/>
          <w:szCs w:val="24"/>
          <w:lang w:val="zh-CN"/>
        </w:rPr>
        <w:t>商务条款偏离表</w:t>
      </w:r>
      <w:bookmarkEnd w:id="1170"/>
      <w:bookmarkEnd w:id="1171"/>
      <w:bookmarkEnd w:id="1172"/>
    </w:p>
    <w:tbl>
      <w:tblPr>
        <w:tblStyle w:val="59"/>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1974"/>
        <w:gridCol w:w="2976"/>
        <w:gridCol w:w="785"/>
        <w:gridCol w:w="1458"/>
        <w:gridCol w:w="1372"/>
      </w:tblGrid>
      <w:tr w14:paraId="5AC4A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386" w:type="dxa"/>
            <w:gridSpan w:val="4"/>
            <w:tcBorders>
              <w:top w:val="nil"/>
              <w:left w:val="nil"/>
              <w:right w:val="nil"/>
            </w:tcBorders>
            <w:vAlign w:val="center"/>
          </w:tcPr>
          <w:p w14:paraId="51199DE2">
            <w:pPr>
              <w:ind w:firstLine="480"/>
              <w:rPr>
                <w:rFonts w:ascii="宋体"/>
                <w:color w:val="000000"/>
                <w:szCs w:val="21"/>
                <w:lang w:val="zh-CN"/>
              </w:rPr>
            </w:pPr>
            <w:r>
              <w:rPr>
                <w:rFonts w:hint="eastAsia" w:ascii="宋体" w:hAnsi="宋体"/>
                <w:color w:val="000000"/>
                <w:szCs w:val="21"/>
                <w:lang w:val="zh-CN"/>
              </w:rPr>
              <w:t>项目名称：</w:t>
            </w:r>
          </w:p>
        </w:tc>
        <w:tc>
          <w:tcPr>
            <w:tcW w:w="2830" w:type="dxa"/>
            <w:gridSpan w:val="2"/>
            <w:tcBorders>
              <w:top w:val="nil"/>
              <w:left w:val="nil"/>
              <w:right w:val="nil"/>
            </w:tcBorders>
            <w:vAlign w:val="center"/>
          </w:tcPr>
          <w:p w14:paraId="62FC1169">
            <w:pPr>
              <w:ind w:firstLine="480"/>
              <w:rPr>
                <w:rFonts w:ascii="宋体"/>
                <w:color w:val="000000"/>
                <w:szCs w:val="21"/>
                <w:lang w:val="zh-CN"/>
              </w:rPr>
            </w:pPr>
            <w:r>
              <w:rPr>
                <w:rFonts w:hint="eastAsia" w:ascii="宋体" w:hAnsi="宋体"/>
                <w:color w:val="000000"/>
                <w:szCs w:val="21"/>
                <w:lang w:val="zh-CN"/>
              </w:rPr>
              <w:t>项目编号：</w:t>
            </w:r>
          </w:p>
        </w:tc>
      </w:tr>
      <w:tr w14:paraId="0C671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201B2185">
            <w:pPr>
              <w:ind w:firstLine="0" w:firstLineChars="0"/>
              <w:jc w:val="center"/>
              <w:rPr>
                <w:rFonts w:ascii="宋体"/>
                <w:color w:val="000000"/>
                <w:szCs w:val="21"/>
                <w:lang w:val="zh-CN"/>
              </w:rPr>
            </w:pPr>
            <w:r>
              <w:rPr>
                <w:rFonts w:hint="eastAsia" w:ascii="宋体" w:hAnsi="宋体"/>
                <w:color w:val="000000"/>
                <w:szCs w:val="21"/>
                <w:lang w:val="zh-CN"/>
              </w:rPr>
              <w:t>序号</w:t>
            </w:r>
          </w:p>
        </w:tc>
        <w:tc>
          <w:tcPr>
            <w:tcW w:w="1974" w:type="dxa"/>
            <w:vAlign w:val="center"/>
          </w:tcPr>
          <w:p w14:paraId="6DD79FB3">
            <w:pPr>
              <w:ind w:firstLine="0" w:firstLineChars="0"/>
              <w:jc w:val="center"/>
              <w:rPr>
                <w:rFonts w:ascii="宋体"/>
                <w:color w:val="000000"/>
                <w:szCs w:val="21"/>
                <w:lang w:val="zh-CN"/>
              </w:rPr>
            </w:pPr>
            <w:r>
              <w:rPr>
                <w:rFonts w:hint="eastAsia" w:ascii="宋体" w:hAnsi="宋体"/>
                <w:color w:val="000000"/>
                <w:szCs w:val="21"/>
                <w:lang w:val="zh-CN"/>
              </w:rPr>
              <w:t>招标文件条目号</w:t>
            </w:r>
          </w:p>
        </w:tc>
        <w:tc>
          <w:tcPr>
            <w:tcW w:w="2976" w:type="dxa"/>
            <w:vAlign w:val="center"/>
          </w:tcPr>
          <w:p w14:paraId="2F7B25A6">
            <w:pPr>
              <w:ind w:firstLine="0" w:firstLineChars="0"/>
              <w:jc w:val="center"/>
              <w:rPr>
                <w:rFonts w:ascii="宋体"/>
                <w:color w:val="000000"/>
                <w:szCs w:val="21"/>
                <w:lang w:val="zh-CN"/>
              </w:rPr>
            </w:pPr>
            <w:r>
              <w:rPr>
                <w:rFonts w:hint="eastAsia" w:ascii="宋体" w:hAnsi="宋体"/>
                <w:color w:val="000000"/>
                <w:szCs w:val="21"/>
                <w:lang w:val="zh-CN"/>
              </w:rPr>
              <w:t>招标文件要求的商务条款</w:t>
            </w:r>
          </w:p>
        </w:tc>
        <w:tc>
          <w:tcPr>
            <w:tcW w:w="2243" w:type="dxa"/>
            <w:gridSpan w:val="2"/>
            <w:vAlign w:val="center"/>
          </w:tcPr>
          <w:p w14:paraId="610BC733">
            <w:pPr>
              <w:ind w:firstLine="0" w:firstLineChars="0"/>
              <w:jc w:val="center"/>
              <w:rPr>
                <w:rFonts w:ascii="宋体"/>
                <w:color w:val="000000"/>
                <w:szCs w:val="21"/>
                <w:lang w:val="zh-CN"/>
              </w:rPr>
            </w:pPr>
            <w:r>
              <w:rPr>
                <w:rFonts w:hint="eastAsia" w:ascii="宋体" w:hAnsi="宋体"/>
                <w:color w:val="000000"/>
                <w:szCs w:val="21"/>
                <w:lang w:val="zh-CN"/>
              </w:rPr>
              <w:t>投标响应</w:t>
            </w:r>
          </w:p>
        </w:tc>
        <w:tc>
          <w:tcPr>
            <w:tcW w:w="1372" w:type="dxa"/>
            <w:vAlign w:val="center"/>
          </w:tcPr>
          <w:p w14:paraId="5C17A9EE">
            <w:pPr>
              <w:ind w:firstLine="0" w:firstLineChars="0"/>
              <w:jc w:val="center"/>
              <w:rPr>
                <w:rFonts w:ascii="宋体"/>
                <w:color w:val="000000"/>
                <w:szCs w:val="21"/>
                <w:lang w:val="zh-CN"/>
              </w:rPr>
            </w:pPr>
            <w:r>
              <w:rPr>
                <w:rFonts w:hint="eastAsia" w:ascii="宋体" w:hAnsi="宋体"/>
                <w:color w:val="000000"/>
                <w:szCs w:val="21"/>
                <w:lang w:val="zh-CN"/>
              </w:rPr>
              <w:t>偏离</w:t>
            </w:r>
          </w:p>
        </w:tc>
      </w:tr>
      <w:tr w14:paraId="5C6E0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5D2E3490">
            <w:pPr>
              <w:ind w:firstLine="0" w:firstLineChars="0"/>
              <w:jc w:val="center"/>
              <w:rPr>
                <w:rFonts w:ascii="宋体"/>
                <w:color w:val="000000"/>
                <w:szCs w:val="21"/>
                <w:lang w:val="zh-CN"/>
              </w:rPr>
            </w:pPr>
          </w:p>
        </w:tc>
        <w:tc>
          <w:tcPr>
            <w:tcW w:w="1974" w:type="dxa"/>
            <w:vAlign w:val="center"/>
          </w:tcPr>
          <w:p w14:paraId="1093D68C">
            <w:pPr>
              <w:ind w:firstLine="0" w:firstLineChars="0"/>
              <w:jc w:val="center"/>
              <w:rPr>
                <w:rFonts w:ascii="宋体"/>
                <w:color w:val="000000"/>
                <w:szCs w:val="21"/>
                <w:lang w:val="zh-CN"/>
              </w:rPr>
            </w:pPr>
          </w:p>
        </w:tc>
        <w:tc>
          <w:tcPr>
            <w:tcW w:w="2976" w:type="dxa"/>
            <w:vAlign w:val="center"/>
          </w:tcPr>
          <w:p w14:paraId="573F5954">
            <w:pPr>
              <w:ind w:firstLine="0" w:firstLineChars="0"/>
              <w:jc w:val="center"/>
              <w:rPr>
                <w:rFonts w:ascii="宋体"/>
                <w:color w:val="000000"/>
                <w:szCs w:val="21"/>
                <w:lang w:val="zh-CN"/>
              </w:rPr>
            </w:pPr>
          </w:p>
        </w:tc>
        <w:tc>
          <w:tcPr>
            <w:tcW w:w="2243" w:type="dxa"/>
            <w:gridSpan w:val="2"/>
            <w:vAlign w:val="center"/>
          </w:tcPr>
          <w:p w14:paraId="1A4C2AB8">
            <w:pPr>
              <w:ind w:firstLine="0" w:firstLineChars="0"/>
              <w:jc w:val="center"/>
              <w:rPr>
                <w:rFonts w:ascii="宋体"/>
                <w:color w:val="000000"/>
                <w:szCs w:val="21"/>
                <w:lang w:val="zh-CN"/>
              </w:rPr>
            </w:pPr>
          </w:p>
        </w:tc>
        <w:tc>
          <w:tcPr>
            <w:tcW w:w="1372" w:type="dxa"/>
            <w:vAlign w:val="center"/>
          </w:tcPr>
          <w:p w14:paraId="22A39518">
            <w:pPr>
              <w:ind w:firstLine="0" w:firstLineChars="0"/>
              <w:jc w:val="center"/>
              <w:rPr>
                <w:rFonts w:ascii="宋体"/>
                <w:color w:val="000000"/>
                <w:szCs w:val="21"/>
                <w:lang w:val="zh-CN"/>
              </w:rPr>
            </w:pPr>
          </w:p>
        </w:tc>
      </w:tr>
      <w:tr w14:paraId="5767A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04527B32">
            <w:pPr>
              <w:ind w:firstLine="0" w:firstLineChars="0"/>
              <w:jc w:val="center"/>
              <w:rPr>
                <w:rFonts w:ascii="宋体"/>
                <w:color w:val="000000"/>
                <w:szCs w:val="21"/>
                <w:lang w:val="zh-CN"/>
              </w:rPr>
            </w:pPr>
          </w:p>
        </w:tc>
        <w:tc>
          <w:tcPr>
            <w:tcW w:w="1974" w:type="dxa"/>
            <w:vAlign w:val="center"/>
          </w:tcPr>
          <w:p w14:paraId="1B891E75">
            <w:pPr>
              <w:ind w:firstLine="0" w:firstLineChars="0"/>
              <w:jc w:val="center"/>
              <w:rPr>
                <w:rFonts w:ascii="宋体"/>
                <w:color w:val="000000"/>
                <w:szCs w:val="21"/>
                <w:lang w:val="zh-CN"/>
              </w:rPr>
            </w:pPr>
          </w:p>
        </w:tc>
        <w:tc>
          <w:tcPr>
            <w:tcW w:w="2976" w:type="dxa"/>
            <w:vAlign w:val="center"/>
          </w:tcPr>
          <w:p w14:paraId="7053E273">
            <w:pPr>
              <w:ind w:firstLine="0" w:firstLineChars="0"/>
              <w:jc w:val="center"/>
              <w:rPr>
                <w:rFonts w:ascii="宋体"/>
                <w:color w:val="000000"/>
                <w:szCs w:val="21"/>
                <w:lang w:val="zh-CN"/>
              </w:rPr>
            </w:pPr>
          </w:p>
        </w:tc>
        <w:tc>
          <w:tcPr>
            <w:tcW w:w="2243" w:type="dxa"/>
            <w:gridSpan w:val="2"/>
            <w:vAlign w:val="center"/>
          </w:tcPr>
          <w:p w14:paraId="30753102">
            <w:pPr>
              <w:ind w:firstLine="0" w:firstLineChars="0"/>
              <w:jc w:val="center"/>
              <w:rPr>
                <w:rFonts w:ascii="宋体"/>
                <w:color w:val="000000"/>
                <w:szCs w:val="21"/>
                <w:lang w:val="zh-CN"/>
              </w:rPr>
            </w:pPr>
          </w:p>
        </w:tc>
        <w:tc>
          <w:tcPr>
            <w:tcW w:w="1372" w:type="dxa"/>
            <w:vAlign w:val="center"/>
          </w:tcPr>
          <w:p w14:paraId="6DCB8E0D">
            <w:pPr>
              <w:ind w:firstLine="0" w:firstLineChars="0"/>
              <w:jc w:val="center"/>
              <w:rPr>
                <w:rFonts w:ascii="宋体"/>
                <w:color w:val="000000"/>
                <w:szCs w:val="21"/>
                <w:lang w:val="zh-CN"/>
              </w:rPr>
            </w:pPr>
          </w:p>
        </w:tc>
      </w:tr>
      <w:tr w14:paraId="06024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5B771D3F">
            <w:pPr>
              <w:ind w:firstLine="0" w:firstLineChars="0"/>
              <w:jc w:val="center"/>
              <w:rPr>
                <w:rFonts w:ascii="宋体"/>
                <w:color w:val="000000"/>
                <w:szCs w:val="21"/>
                <w:lang w:val="zh-CN"/>
              </w:rPr>
            </w:pPr>
          </w:p>
        </w:tc>
        <w:tc>
          <w:tcPr>
            <w:tcW w:w="1974" w:type="dxa"/>
            <w:vAlign w:val="center"/>
          </w:tcPr>
          <w:p w14:paraId="4B82A88A">
            <w:pPr>
              <w:ind w:firstLine="0" w:firstLineChars="0"/>
              <w:jc w:val="center"/>
              <w:rPr>
                <w:rFonts w:ascii="宋体"/>
                <w:color w:val="000000"/>
                <w:szCs w:val="21"/>
                <w:lang w:val="zh-CN"/>
              </w:rPr>
            </w:pPr>
          </w:p>
        </w:tc>
        <w:tc>
          <w:tcPr>
            <w:tcW w:w="2976" w:type="dxa"/>
            <w:vAlign w:val="center"/>
          </w:tcPr>
          <w:p w14:paraId="09F69D11">
            <w:pPr>
              <w:ind w:firstLine="0" w:firstLineChars="0"/>
              <w:jc w:val="center"/>
              <w:rPr>
                <w:rFonts w:ascii="宋体"/>
                <w:color w:val="000000"/>
                <w:szCs w:val="21"/>
                <w:lang w:val="zh-CN"/>
              </w:rPr>
            </w:pPr>
          </w:p>
        </w:tc>
        <w:tc>
          <w:tcPr>
            <w:tcW w:w="2243" w:type="dxa"/>
            <w:gridSpan w:val="2"/>
            <w:vAlign w:val="center"/>
          </w:tcPr>
          <w:p w14:paraId="21D59E64">
            <w:pPr>
              <w:ind w:firstLine="0" w:firstLineChars="0"/>
              <w:jc w:val="center"/>
              <w:rPr>
                <w:rFonts w:ascii="宋体"/>
                <w:color w:val="000000"/>
                <w:szCs w:val="21"/>
                <w:lang w:val="zh-CN"/>
              </w:rPr>
            </w:pPr>
          </w:p>
        </w:tc>
        <w:tc>
          <w:tcPr>
            <w:tcW w:w="1372" w:type="dxa"/>
            <w:vAlign w:val="center"/>
          </w:tcPr>
          <w:p w14:paraId="2BD91361">
            <w:pPr>
              <w:ind w:firstLine="0" w:firstLineChars="0"/>
              <w:jc w:val="center"/>
              <w:rPr>
                <w:rFonts w:ascii="宋体"/>
                <w:color w:val="000000"/>
                <w:szCs w:val="21"/>
                <w:lang w:val="zh-CN"/>
              </w:rPr>
            </w:pPr>
          </w:p>
        </w:tc>
      </w:tr>
      <w:tr w14:paraId="67723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1BFE0453">
            <w:pPr>
              <w:ind w:firstLine="0" w:firstLineChars="0"/>
              <w:jc w:val="center"/>
              <w:rPr>
                <w:rFonts w:ascii="宋体"/>
                <w:color w:val="000000"/>
                <w:szCs w:val="21"/>
                <w:lang w:val="zh-CN"/>
              </w:rPr>
            </w:pPr>
          </w:p>
        </w:tc>
        <w:tc>
          <w:tcPr>
            <w:tcW w:w="1974" w:type="dxa"/>
            <w:vAlign w:val="center"/>
          </w:tcPr>
          <w:p w14:paraId="72A47360">
            <w:pPr>
              <w:ind w:firstLine="0" w:firstLineChars="0"/>
              <w:jc w:val="center"/>
              <w:rPr>
                <w:rFonts w:ascii="宋体"/>
                <w:color w:val="000000"/>
                <w:szCs w:val="21"/>
                <w:lang w:val="zh-CN"/>
              </w:rPr>
            </w:pPr>
          </w:p>
        </w:tc>
        <w:tc>
          <w:tcPr>
            <w:tcW w:w="2976" w:type="dxa"/>
            <w:vAlign w:val="center"/>
          </w:tcPr>
          <w:p w14:paraId="4694A801">
            <w:pPr>
              <w:ind w:firstLine="0" w:firstLineChars="0"/>
              <w:jc w:val="center"/>
              <w:rPr>
                <w:rFonts w:ascii="宋体"/>
                <w:color w:val="000000"/>
                <w:szCs w:val="21"/>
                <w:lang w:val="zh-CN"/>
              </w:rPr>
            </w:pPr>
          </w:p>
        </w:tc>
        <w:tc>
          <w:tcPr>
            <w:tcW w:w="2243" w:type="dxa"/>
            <w:gridSpan w:val="2"/>
            <w:vAlign w:val="center"/>
          </w:tcPr>
          <w:p w14:paraId="6A824907">
            <w:pPr>
              <w:ind w:firstLine="0" w:firstLineChars="0"/>
              <w:jc w:val="center"/>
              <w:rPr>
                <w:rFonts w:ascii="宋体"/>
                <w:color w:val="000000"/>
                <w:szCs w:val="21"/>
                <w:lang w:val="zh-CN"/>
              </w:rPr>
            </w:pPr>
          </w:p>
        </w:tc>
        <w:tc>
          <w:tcPr>
            <w:tcW w:w="1372" w:type="dxa"/>
            <w:vAlign w:val="center"/>
          </w:tcPr>
          <w:p w14:paraId="267BD34F">
            <w:pPr>
              <w:ind w:firstLine="0" w:firstLineChars="0"/>
              <w:jc w:val="center"/>
              <w:rPr>
                <w:rFonts w:ascii="宋体"/>
                <w:color w:val="000000"/>
                <w:szCs w:val="21"/>
                <w:lang w:val="zh-CN"/>
              </w:rPr>
            </w:pPr>
          </w:p>
        </w:tc>
      </w:tr>
      <w:tr w14:paraId="46514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51" w:type="dxa"/>
            <w:vAlign w:val="center"/>
          </w:tcPr>
          <w:p w14:paraId="56B8BB6D">
            <w:pPr>
              <w:ind w:firstLine="0" w:firstLineChars="0"/>
              <w:rPr>
                <w:rFonts w:ascii="宋体" w:cs="Arial"/>
                <w:color w:val="000000"/>
                <w:szCs w:val="21"/>
              </w:rPr>
            </w:pPr>
          </w:p>
        </w:tc>
        <w:tc>
          <w:tcPr>
            <w:tcW w:w="1974" w:type="dxa"/>
            <w:vAlign w:val="center"/>
          </w:tcPr>
          <w:p w14:paraId="75645E66">
            <w:pPr>
              <w:ind w:firstLine="0" w:firstLineChars="0"/>
              <w:rPr>
                <w:rFonts w:ascii="宋体" w:cs="Arial"/>
                <w:color w:val="000000"/>
                <w:szCs w:val="21"/>
              </w:rPr>
            </w:pPr>
          </w:p>
        </w:tc>
        <w:tc>
          <w:tcPr>
            <w:tcW w:w="2976" w:type="dxa"/>
            <w:vAlign w:val="center"/>
          </w:tcPr>
          <w:p w14:paraId="29F61532">
            <w:pPr>
              <w:ind w:firstLine="0" w:firstLineChars="0"/>
              <w:rPr>
                <w:rFonts w:ascii="宋体" w:cs="Arial"/>
                <w:color w:val="000000"/>
                <w:szCs w:val="21"/>
              </w:rPr>
            </w:pPr>
          </w:p>
        </w:tc>
        <w:tc>
          <w:tcPr>
            <w:tcW w:w="2243" w:type="dxa"/>
            <w:gridSpan w:val="2"/>
            <w:vAlign w:val="center"/>
          </w:tcPr>
          <w:p w14:paraId="5331AEC9">
            <w:pPr>
              <w:ind w:firstLine="0" w:firstLineChars="0"/>
              <w:rPr>
                <w:rFonts w:ascii="宋体" w:cs="Arial"/>
                <w:color w:val="000000"/>
                <w:szCs w:val="21"/>
              </w:rPr>
            </w:pPr>
          </w:p>
        </w:tc>
        <w:tc>
          <w:tcPr>
            <w:tcW w:w="1372" w:type="dxa"/>
            <w:vAlign w:val="center"/>
          </w:tcPr>
          <w:p w14:paraId="76938473">
            <w:pPr>
              <w:ind w:firstLine="0" w:firstLineChars="0"/>
              <w:rPr>
                <w:rFonts w:ascii="宋体" w:cs="Arial"/>
                <w:color w:val="000000"/>
                <w:szCs w:val="21"/>
              </w:rPr>
            </w:pPr>
          </w:p>
        </w:tc>
      </w:tr>
    </w:tbl>
    <w:p w14:paraId="354097F6">
      <w:pPr>
        <w:ind w:firstLine="0" w:firstLineChars="0"/>
        <w:rPr>
          <w:rFonts w:ascii="宋体"/>
          <w:color w:val="000000"/>
          <w:szCs w:val="21"/>
          <w:lang w:val="zh-CN"/>
        </w:rPr>
      </w:pPr>
      <w:r>
        <w:rPr>
          <w:rFonts w:hint="eastAsia" w:ascii="宋体" w:hAnsi="宋体"/>
          <w:color w:val="000000"/>
          <w:szCs w:val="21"/>
          <w:lang w:val="zh-CN"/>
        </w:rPr>
        <w:t>供应商名称：</w:t>
      </w:r>
      <w:r>
        <w:rPr>
          <w:rFonts w:hint="eastAsia" w:ascii="宋体" w:hAnsi="宋体" w:eastAsia="宋体" w:cs="宋体"/>
          <w:color w:val="000000"/>
          <w:szCs w:val="21"/>
          <w:u w:val="single"/>
          <w:lang w:val="zh-CN"/>
        </w:rPr>
        <w:t>（加盖电子公章）</w:t>
      </w:r>
    </w:p>
    <w:p w14:paraId="78B9B104">
      <w:pPr>
        <w:ind w:firstLine="0" w:firstLineChars="0"/>
        <w:rPr>
          <w:rFonts w:ascii="宋体"/>
          <w:color w:val="000000"/>
          <w:szCs w:val="21"/>
          <w:lang w:val="zh-CN"/>
        </w:rPr>
      </w:pPr>
      <w:r>
        <w:rPr>
          <w:rFonts w:hint="eastAsia" w:ascii="宋体" w:hAnsi="宋体"/>
          <w:color w:val="000000"/>
          <w:szCs w:val="21"/>
          <w:lang w:val="zh-CN"/>
        </w:rPr>
        <w:t>说明：如果行数不够，请自行增加。</w:t>
      </w:r>
    </w:p>
    <w:p w14:paraId="2DAA336D">
      <w:pPr>
        <w:ind w:firstLine="482"/>
        <w:outlineLvl w:val="1"/>
        <w:rPr>
          <w:rFonts w:ascii="宋体" w:hAnsi="宋体"/>
          <w:b/>
          <w:szCs w:val="21"/>
        </w:rPr>
      </w:pPr>
    </w:p>
    <w:p w14:paraId="18939D66">
      <w:pPr>
        <w:ind w:left="420" w:firstLine="720"/>
        <w:jc w:val="center"/>
        <w:outlineLvl w:val="0"/>
        <w:rPr>
          <w:rFonts w:ascii="黑体" w:hAnsi="宋体" w:eastAsia="黑体"/>
          <w:color w:val="000000"/>
          <w:sz w:val="24"/>
          <w:szCs w:val="24"/>
          <w:lang w:val="zh-CN"/>
        </w:rPr>
      </w:pPr>
      <w:bookmarkStart w:id="1173" w:name="_Toc36797980"/>
      <w:r>
        <w:rPr>
          <w:rFonts w:hint="eastAsia" w:ascii="黑体" w:hAnsi="宋体" w:eastAsia="黑体"/>
          <w:color w:val="000000"/>
          <w:sz w:val="24"/>
          <w:szCs w:val="24"/>
          <w:lang w:val="zh-CN"/>
        </w:rPr>
        <w:t>技术条款偏离表</w:t>
      </w:r>
      <w:bookmarkEnd w:id="1173"/>
    </w:p>
    <w:tbl>
      <w:tblPr>
        <w:tblStyle w:val="59"/>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1974"/>
        <w:gridCol w:w="2976"/>
        <w:gridCol w:w="785"/>
        <w:gridCol w:w="1458"/>
        <w:gridCol w:w="1372"/>
      </w:tblGrid>
      <w:tr w14:paraId="58043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386" w:type="dxa"/>
            <w:gridSpan w:val="4"/>
            <w:tcBorders>
              <w:top w:val="nil"/>
              <w:left w:val="nil"/>
              <w:right w:val="nil"/>
            </w:tcBorders>
            <w:vAlign w:val="center"/>
          </w:tcPr>
          <w:p w14:paraId="570A3685">
            <w:pPr>
              <w:ind w:firstLine="480"/>
              <w:rPr>
                <w:rFonts w:ascii="宋体"/>
                <w:color w:val="000000"/>
                <w:szCs w:val="21"/>
                <w:lang w:val="zh-CN"/>
              </w:rPr>
            </w:pPr>
            <w:r>
              <w:rPr>
                <w:rFonts w:hint="eastAsia" w:ascii="宋体" w:hAnsi="宋体"/>
                <w:color w:val="000000"/>
                <w:szCs w:val="21"/>
                <w:lang w:val="zh-CN"/>
              </w:rPr>
              <w:t>项目名称：</w:t>
            </w:r>
          </w:p>
        </w:tc>
        <w:tc>
          <w:tcPr>
            <w:tcW w:w="2830" w:type="dxa"/>
            <w:gridSpan w:val="2"/>
            <w:tcBorders>
              <w:top w:val="nil"/>
              <w:left w:val="nil"/>
              <w:right w:val="nil"/>
            </w:tcBorders>
            <w:vAlign w:val="center"/>
          </w:tcPr>
          <w:p w14:paraId="79183DAE">
            <w:pPr>
              <w:ind w:firstLine="480"/>
              <w:rPr>
                <w:rFonts w:ascii="宋体"/>
                <w:color w:val="000000"/>
                <w:szCs w:val="21"/>
                <w:lang w:val="zh-CN"/>
              </w:rPr>
            </w:pPr>
            <w:r>
              <w:rPr>
                <w:rFonts w:hint="eastAsia" w:ascii="宋体" w:hAnsi="宋体"/>
                <w:color w:val="000000"/>
                <w:szCs w:val="21"/>
                <w:lang w:val="zh-CN"/>
              </w:rPr>
              <w:t>项目编号：</w:t>
            </w:r>
          </w:p>
        </w:tc>
      </w:tr>
      <w:tr w14:paraId="0EB90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522B6C47">
            <w:pPr>
              <w:ind w:firstLine="0" w:firstLineChars="0"/>
              <w:jc w:val="center"/>
              <w:rPr>
                <w:rFonts w:ascii="宋体"/>
                <w:color w:val="000000"/>
                <w:szCs w:val="21"/>
                <w:lang w:val="zh-CN"/>
              </w:rPr>
            </w:pPr>
            <w:r>
              <w:rPr>
                <w:rFonts w:hint="eastAsia" w:ascii="宋体" w:hAnsi="宋体"/>
                <w:color w:val="000000"/>
                <w:szCs w:val="21"/>
                <w:lang w:val="zh-CN"/>
              </w:rPr>
              <w:t>序号</w:t>
            </w:r>
          </w:p>
        </w:tc>
        <w:tc>
          <w:tcPr>
            <w:tcW w:w="1974" w:type="dxa"/>
            <w:vAlign w:val="center"/>
          </w:tcPr>
          <w:p w14:paraId="13BF7CF7">
            <w:pPr>
              <w:ind w:firstLine="0" w:firstLineChars="0"/>
              <w:jc w:val="center"/>
              <w:rPr>
                <w:rFonts w:ascii="宋体"/>
                <w:color w:val="000000"/>
                <w:szCs w:val="21"/>
                <w:lang w:val="zh-CN"/>
              </w:rPr>
            </w:pPr>
            <w:r>
              <w:rPr>
                <w:rFonts w:hint="eastAsia" w:ascii="宋体" w:hAnsi="宋体"/>
                <w:color w:val="000000"/>
                <w:szCs w:val="21"/>
                <w:lang w:val="zh-CN"/>
              </w:rPr>
              <w:t>招标文件条目号</w:t>
            </w:r>
          </w:p>
        </w:tc>
        <w:tc>
          <w:tcPr>
            <w:tcW w:w="2976" w:type="dxa"/>
            <w:vAlign w:val="center"/>
          </w:tcPr>
          <w:p w14:paraId="5968BA1B">
            <w:pPr>
              <w:ind w:firstLine="0" w:firstLineChars="0"/>
              <w:jc w:val="center"/>
              <w:rPr>
                <w:rFonts w:ascii="宋体"/>
                <w:color w:val="000000"/>
                <w:szCs w:val="21"/>
                <w:lang w:val="zh-CN"/>
              </w:rPr>
            </w:pPr>
            <w:r>
              <w:rPr>
                <w:rFonts w:hint="eastAsia" w:ascii="宋体" w:hAnsi="宋体"/>
                <w:color w:val="000000"/>
                <w:szCs w:val="21"/>
                <w:lang w:val="zh-CN"/>
              </w:rPr>
              <w:t>招标文件要求的技术条款</w:t>
            </w:r>
          </w:p>
        </w:tc>
        <w:tc>
          <w:tcPr>
            <w:tcW w:w="2243" w:type="dxa"/>
            <w:gridSpan w:val="2"/>
            <w:vAlign w:val="center"/>
          </w:tcPr>
          <w:p w14:paraId="7A6D7337">
            <w:pPr>
              <w:ind w:firstLine="0" w:firstLineChars="0"/>
              <w:jc w:val="center"/>
              <w:rPr>
                <w:rFonts w:ascii="宋体"/>
                <w:color w:val="000000"/>
                <w:szCs w:val="21"/>
                <w:lang w:val="zh-CN"/>
              </w:rPr>
            </w:pPr>
            <w:r>
              <w:rPr>
                <w:rFonts w:hint="eastAsia" w:ascii="宋体" w:hAnsi="宋体"/>
                <w:color w:val="000000"/>
                <w:szCs w:val="21"/>
                <w:lang w:val="zh-CN"/>
              </w:rPr>
              <w:t>投标响应</w:t>
            </w:r>
          </w:p>
        </w:tc>
        <w:tc>
          <w:tcPr>
            <w:tcW w:w="1372" w:type="dxa"/>
            <w:vAlign w:val="center"/>
          </w:tcPr>
          <w:p w14:paraId="68297DFF">
            <w:pPr>
              <w:ind w:firstLine="0" w:firstLineChars="0"/>
              <w:jc w:val="center"/>
              <w:rPr>
                <w:rFonts w:ascii="宋体"/>
                <w:color w:val="000000"/>
                <w:szCs w:val="21"/>
                <w:lang w:val="zh-CN"/>
              </w:rPr>
            </w:pPr>
            <w:r>
              <w:rPr>
                <w:rFonts w:hint="eastAsia" w:ascii="宋体" w:hAnsi="宋体"/>
                <w:color w:val="000000"/>
                <w:szCs w:val="21"/>
                <w:lang w:val="zh-CN"/>
              </w:rPr>
              <w:t>偏离</w:t>
            </w:r>
          </w:p>
        </w:tc>
      </w:tr>
      <w:tr w14:paraId="51320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244717DF">
            <w:pPr>
              <w:ind w:firstLine="0" w:firstLineChars="0"/>
              <w:jc w:val="center"/>
              <w:rPr>
                <w:rFonts w:ascii="宋体"/>
                <w:color w:val="000000"/>
                <w:szCs w:val="21"/>
                <w:lang w:val="zh-CN"/>
              </w:rPr>
            </w:pPr>
          </w:p>
        </w:tc>
        <w:tc>
          <w:tcPr>
            <w:tcW w:w="1974" w:type="dxa"/>
            <w:vAlign w:val="center"/>
          </w:tcPr>
          <w:p w14:paraId="5C720D23">
            <w:pPr>
              <w:ind w:firstLine="0" w:firstLineChars="0"/>
              <w:jc w:val="center"/>
              <w:rPr>
                <w:rFonts w:ascii="宋体"/>
                <w:color w:val="000000"/>
                <w:szCs w:val="21"/>
                <w:lang w:val="zh-CN"/>
              </w:rPr>
            </w:pPr>
          </w:p>
        </w:tc>
        <w:tc>
          <w:tcPr>
            <w:tcW w:w="2976" w:type="dxa"/>
            <w:vAlign w:val="center"/>
          </w:tcPr>
          <w:p w14:paraId="1D0C4E19">
            <w:pPr>
              <w:ind w:firstLine="0" w:firstLineChars="0"/>
              <w:jc w:val="center"/>
              <w:rPr>
                <w:rFonts w:ascii="宋体"/>
                <w:color w:val="000000"/>
                <w:szCs w:val="21"/>
                <w:lang w:val="zh-CN"/>
              </w:rPr>
            </w:pPr>
          </w:p>
        </w:tc>
        <w:tc>
          <w:tcPr>
            <w:tcW w:w="2243" w:type="dxa"/>
            <w:gridSpan w:val="2"/>
            <w:vAlign w:val="center"/>
          </w:tcPr>
          <w:p w14:paraId="2DB95C95">
            <w:pPr>
              <w:ind w:firstLine="0" w:firstLineChars="0"/>
              <w:jc w:val="center"/>
              <w:rPr>
                <w:rFonts w:ascii="宋体"/>
                <w:color w:val="000000"/>
                <w:szCs w:val="21"/>
                <w:lang w:val="zh-CN"/>
              </w:rPr>
            </w:pPr>
          </w:p>
        </w:tc>
        <w:tc>
          <w:tcPr>
            <w:tcW w:w="1372" w:type="dxa"/>
            <w:vAlign w:val="center"/>
          </w:tcPr>
          <w:p w14:paraId="35D5CCD8">
            <w:pPr>
              <w:ind w:firstLine="0" w:firstLineChars="0"/>
              <w:jc w:val="center"/>
              <w:rPr>
                <w:rFonts w:ascii="宋体"/>
                <w:color w:val="000000"/>
                <w:szCs w:val="21"/>
                <w:lang w:val="zh-CN"/>
              </w:rPr>
            </w:pPr>
          </w:p>
        </w:tc>
      </w:tr>
      <w:tr w14:paraId="19774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B81C84F">
            <w:pPr>
              <w:ind w:firstLine="0" w:firstLineChars="0"/>
              <w:jc w:val="center"/>
              <w:rPr>
                <w:rFonts w:ascii="宋体"/>
                <w:color w:val="000000"/>
                <w:szCs w:val="21"/>
                <w:lang w:val="zh-CN"/>
              </w:rPr>
            </w:pPr>
          </w:p>
        </w:tc>
        <w:tc>
          <w:tcPr>
            <w:tcW w:w="1974" w:type="dxa"/>
            <w:vAlign w:val="center"/>
          </w:tcPr>
          <w:p w14:paraId="5C7EBAC7">
            <w:pPr>
              <w:ind w:firstLine="0" w:firstLineChars="0"/>
              <w:jc w:val="center"/>
              <w:rPr>
                <w:rFonts w:ascii="宋体"/>
                <w:color w:val="000000"/>
                <w:szCs w:val="21"/>
                <w:lang w:val="zh-CN"/>
              </w:rPr>
            </w:pPr>
          </w:p>
        </w:tc>
        <w:tc>
          <w:tcPr>
            <w:tcW w:w="2976" w:type="dxa"/>
            <w:vAlign w:val="center"/>
          </w:tcPr>
          <w:p w14:paraId="5DF1A6BC">
            <w:pPr>
              <w:ind w:firstLine="0" w:firstLineChars="0"/>
              <w:jc w:val="center"/>
              <w:rPr>
                <w:rFonts w:ascii="宋体"/>
                <w:color w:val="000000"/>
                <w:szCs w:val="21"/>
                <w:lang w:val="zh-CN"/>
              </w:rPr>
            </w:pPr>
          </w:p>
        </w:tc>
        <w:tc>
          <w:tcPr>
            <w:tcW w:w="2243" w:type="dxa"/>
            <w:gridSpan w:val="2"/>
            <w:vAlign w:val="center"/>
          </w:tcPr>
          <w:p w14:paraId="5247DF0E">
            <w:pPr>
              <w:ind w:firstLine="0" w:firstLineChars="0"/>
              <w:jc w:val="center"/>
              <w:rPr>
                <w:rFonts w:ascii="宋体"/>
                <w:color w:val="000000"/>
                <w:szCs w:val="21"/>
                <w:lang w:val="zh-CN"/>
              </w:rPr>
            </w:pPr>
          </w:p>
        </w:tc>
        <w:tc>
          <w:tcPr>
            <w:tcW w:w="1372" w:type="dxa"/>
            <w:vAlign w:val="center"/>
          </w:tcPr>
          <w:p w14:paraId="2BC99459">
            <w:pPr>
              <w:ind w:firstLine="0" w:firstLineChars="0"/>
              <w:jc w:val="center"/>
              <w:rPr>
                <w:rFonts w:ascii="宋体"/>
                <w:color w:val="000000"/>
                <w:szCs w:val="21"/>
                <w:lang w:val="zh-CN"/>
              </w:rPr>
            </w:pPr>
          </w:p>
        </w:tc>
      </w:tr>
      <w:tr w14:paraId="541FF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09FB3DED">
            <w:pPr>
              <w:ind w:firstLine="0" w:firstLineChars="0"/>
              <w:jc w:val="center"/>
              <w:rPr>
                <w:rFonts w:ascii="宋体"/>
                <w:color w:val="000000"/>
                <w:szCs w:val="21"/>
                <w:lang w:val="zh-CN"/>
              </w:rPr>
            </w:pPr>
          </w:p>
        </w:tc>
        <w:tc>
          <w:tcPr>
            <w:tcW w:w="1974" w:type="dxa"/>
            <w:vAlign w:val="center"/>
          </w:tcPr>
          <w:p w14:paraId="5B474794">
            <w:pPr>
              <w:ind w:firstLine="0" w:firstLineChars="0"/>
              <w:jc w:val="center"/>
              <w:rPr>
                <w:rFonts w:ascii="宋体"/>
                <w:color w:val="000000"/>
                <w:szCs w:val="21"/>
                <w:lang w:val="zh-CN"/>
              </w:rPr>
            </w:pPr>
          </w:p>
        </w:tc>
        <w:tc>
          <w:tcPr>
            <w:tcW w:w="2976" w:type="dxa"/>
            <w:vAlign w:val="center"/>
          </w:tcPr>
          <w:p w14:paraId="38F8ABE0">
            <w:pPr>
              <w:ind w:firstLine="0" w:firstLineChars="0"/>
              <w:jc w:val="center"/>
              <w:rPr>
                <w:rFonts w:ascii="宋体"/>
                <w:color w:val="000000"/>
                <w:szCs w:val="21"/>
                <w:lang w:val="zh-CN"/>
              </w:rPr>
            </w:pPr>
          </w:p>
        </w:tc>
        <w:tc>
          <w:tcPr>
            <w:tcW w:w="2243" w:type="dxa"/>
            <w:gridSpan w:val="2"/>
            <w:vAlign w:val="center"/>
          </w:tcPr>
          <w:p w14:paraId="41C16945">
            <w:pPr>
              <w:ind w:firstLine="0" w:firstLineChars="0"/>
              <w:jc w:val="center"/>
              <w:rPr>
                <w:rFonts w:ascii="宋体"/>
                <w:color w:val="000000"/>
                <w:szCs w:val="21"/>
                <w:lang w:val="zh-CN"/>
              </w:rPr>
            </w:pPr>
          </w:p>
        </w:tc>
        <w:tc>
          <w:tcPr>
            <w:tcW w:w="1372" w:type="dxa"/>
            <w:vAlign w:val="center"/>
          </w:tcPr>
          <w:p w14:paraId="7F6EEFCC">
            <w:pPr>
              <w:ind w:firstLine="0" w:firstLineChars="0"/>
              <w:jc w:val="center"/>
              <w:rPr>
                <w:rFonts w:ascii="宋体"/>
                <w:color w:val="000000"/>
                <w:szCs w:val="21"/>
                <w:lang w:val="zh-CN"/>
              </w:rPr>
            </w:pPr>
          </w:p>
        </w:tc>
      </w:tr>
      <w:tr w14:paraId="5C9BA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51" w:type="dxa"/>
            <w:vAlign w:val="center"/>
          </w:tcPr>
          <w:p w14:paraId="3854D8B9">
            <w:pPr>
              <w:ind w:firstLine="0" w:firstLineChars="0"/>
              <w:rPr>
                <w:rFonts w:ascii="宋体" w:cs="Arial"/>
                <w:color w:val="000000"/>
                <w:szCs w:val="21"/>
              </w:rPr>
            </w:pPr>
          </w:p>
        </w:tc>
        <w:tc>
          <w:tcPr>
            <w:tcW w:w="1974" w:type="dxa"/>
            <w:vAlign w:val="center"/>
          </w:tcPr>
          <w:p w14:paraId="30D6FBC5">
            <w:pPr>
              <w:ind w:firstLine="0" w:firstLineChars="0"/>
              <w:rPr>
                <w:rFonts w:ascii="宋体" w:cs="Arial"/>
                <w:color w:val="000000"/>
                <w:szCs w:val="21"/>
              </w:rPr>
            </w:pPr>
          </w:p>
        </w:tc>
        <w:tc>
          <w:tcPr>
            <w:tcW w:w="2976" w:type="dxa"/>
            <w:vAlign w:val="center"/>
          </w:tcPr>
          <w:p w14:paraId="161AA116">
            <w:pPr>
              <w:ind w:firstLine="0" w:firstLineChars="0"/>
              <w:rPr>
                <w:rFonts w:ascii="宋体" w:cs="Arial"/>
                <w:color w:val="000000"/>
                <w:szCs w:val="21"/>
              </w:rPr>
            </w:pPr>
          </w:p>
        </w:tc>
        <w:tc>
          <w:tcPr>
            <w:tcW w:w="2243" w:type="dxa"/>
            <w:gridSpan w:val="2"/>
            <w:vAlign w:val="center"/>
          </w:tcPr>
          <w:p w14:paraId="30C00E95">
            <w:pPr>
              <w:ind w:firstLine="0" w:firstLineChars="0"/>
              <w:rPr>
                <w:rFonts w:ascii="宋体" w:cs="Arial"/>
                <w:color w:val="000000"/>
                <w:szCs w:val="21"/>
              </w:rPr>
            </w:pPr>
          </w:p>
        </w:tc>
        <w:tc>
          <w:tcPr>
            <w:tcW w:w="1372" w:type="dxa"/>
            <w:vAlign w:val="center"/>
          </w:tcPr>
          <w:p w14:paraId="79A9CC9D">
            <w:pPr>
              <w:ind w:firstLine="0" w:firstLineChars="0"/>
              <w:rPr>
                <w:rFonts w:ascii="宋体" w:cs="Arial"/>
                <w:color w:val="000000"/>
                <w:szCs w:val="21"/>
              </w:rPr>
            </w:pPr>
          </w:p>
        </w:tc>
      </w:tr>
    </w:tbl>
    <w:p w14:paraId="487AEEE3">
      <w:pPr>
        <w:ind w:firstLine="0" w:firstLineChars="0"/>
        <w:rPr>
          <w:rFonts w:ascii="宋体"/>
          <w:color w:val="000000"/>
          <w:szCs w:val="21"/>
          <w:lang w:val="zh-CN"/>
        </w:rPr>
      </w:pPr>
      <w:r>
        <w:rPr>
          <w:rFonts w:hint="eastAsia" w:ascii="宋体" w:hAnsi="宋体"/>
          <w:color w:val="000000"/>
          <w:szCs w:val="21"/>
          <w:lang w:val="zh-CN"/>
        </w:rPr>
        <w:t>供应商名称：</w:t>
      </w:r>
      <w:r>
        <w:rPr>
          <w:rFonts w:hint="eastAsia" w:ascii="宋体" w:hAnsi="宋体" w:eastAsia="宋体" w:cs="宋体"/>
          <w:color w:val="000000"/>
          <w:szCs w:val="21"/>
          <w:u w:val="single"/>
          <w:lang w:val="zh-CN"/>
        </w:rPr>
        <w:t>（加盖电子公章）</w:t>
      </w:r>
    </w:p>
    <w:p w14:paraId="03527E38">
      <w:pPr>
        <w:ind w:firstLine="0" w:firstLineChars="0"/>
        <w:rPr>
          <w:rFonts w:ascii="宋体"/>
          <w:color w:val="000000"/>
          <w:szCs w:val="21"/>
          <w:lang w:val="zh-CN"/>
        </w:rPr>
      </w:pPr>
      <w:r>
        <w:rPr>
          <w:rFonts w:hint="eastAsia" w:ascii="宋体" w:hAnsi="宋体"/>
          <w:color w:val="000000"/>
          <w:szCs w:val="21"/>
          <w:lang w:val="zh-CN"/>
        </w:rPr>
        <w:t>说明：如果行数不够，请自行增加。</w:t>
      </w:r>
    </w:p>
    <w:bookmarkEnd w:id="1169"/>
    <w:p w14:paraId="4E904E35">
      <w:pPr>
        <w:pStyle w:val="3"/>
        <w:ind w:firstLine="482"/>
        <w:rPr>
          <w:rFonts w:hint="eastAsia"/>
        </w:rPr>
      </w:pPr>
      <w:bookmarkStart w:id="1174" w:name="_Toc36797981"/>
      <w:bookmarkStart w:id="1175" w:name="_Toc459109600"/>
      <w:bookmarkStart w:id="1176" w:name="_Toc354594121"/>
    </w:p>
    <w:p w14:paraId="040014B1">
      <w:pPr>
        <w:pStyle w:val="3"/>
        <w:ind w:firstLine="482"/>
        <w:rPr>
          <w:rFonts w:hint="eastAsia"/>
        </w:rPr>
      </w:pPr>
    </w:p>
    <w:p w14:paraId="39C19576">
      <w:pPr>
        <w:pStyle w:val="3"/>
        <w:ind w:firstLine="482"/>
      </w:pPr>
      <w:r>
        <w:rPr>
          <w:rFonts w:hint="eastAsia"/>
        </w:rPr>
        <w:t>七、项目实施或集成方案</w:t>
      </w:r>
      <w:bookmarkEnd w:id="1174"/>
    </w:p>
    <w:p w14:paraId="0DE7F047">
      <w:pPr>
        <w:spacing w:line="240" w:lineRule="atLeast"/>
        <w:ind w:firstLine="482"/>
        <w:rPr>
          <w:b/>
        </w:rPr>
      </w:pPr>
    </w:p>
    <w:p w14:paraId="2C59FA7F">
      <w:pPr>
        <w:ind w:firstLine="480"/>
      </w:pPr>
      <w:r>
        <w:rPr>
          <w:rFonts w:hint="eastAsia"/>
        </w:rPr>
        <w:t>由投标人根据招标文件内容要求及服务标准内容自行编写，要求全面、详尽、完整、易于理解。</w:t>
      </w:r>
    </w:p>
    <w:p w14:paraId="6C8FEEAA">
      <w:pPr>
        <w:spacing w:line="240" w:lineRule="atLeast"/>
        <w:ind w:firstLine="482"/>
        <w:outlineLvl w:val="1"/>
        <w:rPr>
          <w:rFonts w:ascii="宋体" w:hAnsi="宋体"/>
          <w:b/>
        </w:rPr>
      </w:pPr>
    </w:p>
    <w:p w14:paraId="2438FB6C">
      <w:pPr>
        <w:spacing w:line="240" w:lineRule="atLeast"/>
        <w:ind w:firstLine="482"/>
        <w:outlineLvl w:val="1"/>
        <w:rPr>
          <w:rFonts w:ascii="宋体" w:hAnsi="宋体"/>
          <w:b/>
        </w:rPr>
      </w:pPr>
    </w:p>
    <w:p w14:paraId="4BA6726F">
      <w:pPr>
        <w:spacing w:line="240" w:lineRule="atLeast"/>
        <w:ind w:firstLine="482"/>
        <w:rPr>
          <w:rFonts w:ascii="宋体" w:hAnsi="宋体"/>
          <w:b/>
        </w:rPr>
      </w:pPr>
      <w:bookmarkStart w:id="1177" w:name="_Toc31682"/>
      <w:bookmarkStart w:id="1178" w:name="_Toc25634"/>
      <w:bookmarkStart w:id="1179" w:name="_Toc12283"/>
      <w:bookmarkStart w:id="1180" w:name="_Toc7461"/>
      <w:bookmarkStart w:id="1181" w:name="_Toc8937"/>
      <w:bookmarkStart w:id="1182" w:name="_Toc504141763"/>
      <w:bookmarkStart w:id="1183" w:name="_Toc15356"/>
      <w:bookmarkStart w:id="1184" w:name="_Toc8404"/>
    </w:p>
    <w:p w14:paraId="22BE5067">
      <w:pPr>
        <w:spacing w:line="240" w:lineRule="atLeast"/>
        <w:ind w:firstLine="482"/>
        <w:rPr>
          <w:rFonts w:ascii="宋体" w:hAnsi="宋体"/>
          <w:b/>
        </w:rPr>
      </w:pPr>
    </w:p>
    <w:bookmarkEnd w:id="1175"/>
    <w:bookmarkEnd w:id="1177"/>
    <w:bookmarkEnd w:id="1178"/>
    <w:bookmarkEnd w:id="1179"/>
    <w:bookmarkEnd w:id="1180"/>
    <w:bookmarkEnd w:id="1181"/>
    <w:bookmarkEnd w:id="1182"/>
    <w:bookmarkEnd w:id="1183"/>
    <w:bookmarkEnd w:id="1184"/>
    <w:p w14:paraId="65330D22">
      <w:pPr>
        <w:ind w:firstLine="482"/>
        <w:rPr>
          <w:rFonts w:ascii="宋体" w:hAnsi="宋体" w:cs="黑体"/>
          <w:b/>
          <w:bCs/>
          <w:szCs w:val="21"/>
          <w:lang w:val="zh-CN"/>
        </w:rPr>
      </w:pPr>
      <w:r>
        <w:rPr>
          <w:rFonts w:hint="eastAsia" w:ascii="宋体" w:hAnsi="宋体"/>
          <w:b/>
          <w:bCs/>
          <w:szCs w:val="21"/>
        </w:rPr>
        <w:t>八、</w:t>
      </w:r>
      <w:r>
        <w:rPr>
          <w:rFonts w:hint="eastAsia" w:ascii="宋体" w:hAnsi="宋体"/>
          <w:b/>
          <w:szCs w:val="21"/>
        </w:rPr>
        <w:t>拟</w:t>
      </w:r>
      <w:r>
        <w:rPr>
          <w:rFonts w:hint="eastAsia" w:ascii="宋体" w:hAnsi="宋体" w:cs="黑体"/>
          <w:b/>
          <w:bCs/>
          <w:szCs w:val="21"/>
          <w:lang w:val="zh-CN"/>
        </w:rPr>
        <w:t>投入本项目人员情况一览表</w:t>
      </w:r>
    </w:p>
    <w:p w14:paraId="27EDC192">
      <w:pPr>
        <w:autoSpaceDE w:val="0"/>
        <w:autoSpaceDN w:val="0"/>
        <w:spacing w:line="400" w:lineRule="exact"/>
        <w:ind w:firstLine="482"/>
        <w:outlineLvl w:val="1"/>
        <w:rPr>
          <w:rFonts w:ascii="宋体" w:hAnsi="宋体" w:cs="黑体"/>
          <w:b/>
          <w:bCs/>
          <w:szCs w:val="21"/>
          <w:lang w:val="zh-CN"/>
        </w:rPr>
      </w:pPr>
      <w:r>
        <w:rPr>
          <w:rFonts w:hint="eastAsia" w:ascii="宋体" w:hAnsi="宋体" w:cs="黑体"/>
          <w:b/>
          <w:bCs/>
          <w:szCs w:val="21"/>
          <w:lang w:val="zh-CN"/>
        </w:rPr>
        <w:t>表一(拟投入本项目人员汇总表)：</w:t>
      </w:r>
    </w:p>
    <w:p w14:paraId="557783FF">
      <w:pPr>
        <w:autoSpaceDE w:val="0"/>
        <w:autoSpaceDN w:val="0"/>
        <w:spacing w:line="400" w:lineRule="exact"/>
        <w:ind w:firstLine="482"/>
        <w:jc w:val="center"/>
        <w:rPr>
          <w:rFonts w:ascii="宋体" w:hAnsi="宋体" w:cs="黑体"/>
          <w:b/>
          <w:bCs/>
          <w:szCs w:val="21"/>
          <w:lang w:val="zh-CN"/>
        </w:rPr>
      </w:pPr>
      <w:r>
        <w:rPr>
          <w:rFonts w:hint="eastAsia" w:ascii="宋体" w:hAnsi="宋体"/>
          <w:b/>
          <w:szCs w:val="21"/>
        </w:rPr>
        <w:t>拟</w:t>
      </w:r>
      <w:r>
        <w:rPr>
          <w:rFonts w:hint="eastAsia" w:ascii="宋体" w:hAnsi="宋体" w:cs="黑体"/>
          <w:b/>
          <w:bCs/>
          <w:szCs w:val="21"/>
          <w:lang w:val="zh-CN"/>
        </w:rPr>
        <w:t>参与本项目人员情况一览表</w:t>
      </w:r>
    </w:p>
    <w:p w14:paraId="51DC1874">
      <w:pPr>
        <w:autoSpaceDE w:val="0"/>
        <w:autoSpaceDN w:val="0"/>
        <w:spacing w:line="400" w:lineRule="exact"/>
        <w:ind w:firstLine="482"/>
        <w:jc w:val="center"/>
        <w:rPr>
          <w:rFonts w:ascii="宋体" w:hAnsi="宋体" w:cs="黑体"/>
          <w:b/>
          <w:bCs/>
          <w:szCs w:val="21"/>
          <w:lang w:val="zh-CN"/>
        </w:rPr>
      </w:pPr>
    </w:p>
    <w:p w14:paraId="790B0241">
      <w:pPr>
        <w:autoSpaceDE w:val="0"/>
        <w:autoSpaceDN w:val="0"/>
        <w:spacing w:line="400" w:lineRule="exact"/>
        <w:ind w:left="-648" w:leftChars="-270" w:firstLine="602" w:firstLineChars="250"/>
        <w:rPr>
          <w:rFonts w:ascii="宋体" w:hAnsi="宋体"/>
          <w:b/>
          <w:bCs/>
          <w:szCs w:val="21"/>
          <w:u w:val="single"/>
        </w:rPr>
      </w:pPr>
      <w:r>
        <w:rPr>
          <w:rFonts w:hint="eastAsia" w:ascii="宋体" w:hAnsi="宋体"/>
          <w:b/>
          <w:szCs w:val="21"/>
          <w:u w:val="single"/>
        </w:rPr>
        <w:t xml:space="preserve">项目名称：             项目编号: </w:t>
      </w:r>
    </w:p>
    <w:tbl>
      <w:tblPr>
        <w:tblStyle w:val="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6"/>
        <w:gridCol w:w="851"/>
        <w:gridCol w:w="850"/>
        <w:gridCol w:w="749"/>
        <w:gridCol w:w="1519"/>
        <w:gridCol w:w="1134"/>
        <w:gridCol w:w="2550"/>
      </w:tblGrid>
      <w:tr w14:paraId="7F66A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blHeader/>
          <w:jc w:val="center"/>
        </w:trPr>
        <w:tc>
          <w:tcPr>
            <w:tcW w:w="1986" w:type="dxa"/>
            <w:vAlign w:val="center"/>
          </w:tcPr>
          <w:p w14:paraId="4ED5D751">
            <w:pPr>
              <w:spacing w:line="400" w:lineRule="exact"/>
              <w:ind w:firstLine="482"/>
              <w:jc w:val="both"/>
              <w:rPr>
                <w:rFonts w:ascii="宋体" w:hAnsi="宋体"/>
                <w:b/>
                <w:szCs w:val="21"/>
              </w:rPr>
            </w:pPr>
            <w:r>
              <w:rPr>
                <w:rFonts w:hint="eastAsia" w:ascii="宋体" w:hAnsi="宋体"/>
                <w:b/>
                <w:szCs w:val="21"/>
              </w:rPr>
              <w:t>人员类别</w:t>
            </w:r>
          </w:p>
        </w:tc>
        <w:tc>
          <w:tcPr>
            <w:tcW w:w="851" w:type="dxa"/>
            <w:vAlign w:val="center"/>
          </w:tcPr>
          <w:p w14:paraId="6D5C5DBF">
            <w:pPr>
              <w:spacing w:line="400" w:lineRule="exact"/>
              <w:ind w:left="0" w:leftChars="0" w:firstLine="0" w:firstLineChars="0"/>
              <w:jc w:val="both"/>
              <w:rPr>
                <w:rFonts w:ascii="宋体" w:hAnsi="宋体"/>
                <w:szCs w:val="21"/>
              </w:rPr>
            </w:pPr>
            <w:r>
              <w:rPr>
                <w:rFonts w:hint="eastAsia" w:ascii="宋体" w:hAnsi="宋体"/>
                <w:szCs w:val="21"/>
              </w:rPr>
              <w:t>姓名</w:t>
            </w:r>
          </w:p>
        </w:tc>
        <w:tc>
          <w:tcPr>
            <w:tcW w:w="850" w:type="dxa"/>
            <w:vAlign w:val="center"/>
          </w:tcPr>
          <w:p w14:paraId="3D4885ED">
            <w:pPr>
              <w:spacing w:line="400" w:lineRule="exact"/>
              <w:ind w:left="0" w:leftChars="0" w:firstLine="0" w:firstLineChars="0"/>
              <w:jc w:val="both"/>
              <w:rPr>
                <w:rFonts w:ascii="宋体" w:hAnsi="宋体"/>
                <w:szCs w:val="21"/>
              </w:rPr>
            </w:pPr>
            <w:r>
              <w:rPr>
                <w:rFonts w:hint="eastAsia" w:ascii="宋体" w:hAnsi="宋体"/>
                <w:szCs w:val="21"/>
              </w:rPr>
              <w:t>年龄</w:t>
            </w:r>
          </w:p>
        </w:tc>
        <w:tc>
          <w:tcPr>
            <w:tcW w:w="749" w:type="dxa"/>
            <w:vAlign w:val="center"/>
          </w:tcPr>
          <w:p w14:paraId="0F53F8FC">
            <w:pPr>
              <w:spacing w:line="400" w:lineRule="exact"/>
              <w:ind w:left="0" w:leftChars="0" w:firstLine="0" w:firstLineChars="0"/>
              <w:jc w:val="both"/>
              <w:rPr>
                <w:rFonts w:ascii="宋体" w:hAnsi="宋体"/>
                <w:szCs w:val="21"/>
              </w:rPr>
            </w:pPr>
            <w:r>
              <w:rPr>
                <w:rFonts w:hint="eastAsia" w:ascii="宋体" w:hAnsi="宋体"/>
                <w:szCs w:val="21"/>
              </w:rPr>
              <w:t>性别</w:t>
            </w:r>
          </w:p>
        </w:tc>
        <w:tc>
          <w:tcPr>
            <w:tcW w:w="1519" w:type="dxa"/>
            <w:vAlign w:val="center"/>
          </w:tcPr>
          <w:p w14:paraId="40D2A610">
            <w:pPr>
              <w:spacing w:line="400" w:lineRule="exact"/>
              <w:ind w:left="0" w:leftChars="0" w:firstLine="0" w:firstLineChars="0"/>
              <w:jc w:val="both"/>
              <w:rPr>
                <w:rFonts w:ascii="宋体" w:hAnsi="宋体"/>
                <w:szCs w:val="21"/>
              </w:rPr>
            </w:pPr>
            <w:r>
              <w:rPr>
                <w:rFonts w:hint="eastAsia" w:ascii="宋体" w:hAnsi="宋体"/>
                <w:szCs w:val="21"/>
              </w:rPr>
              <w:t>职称</w:t>
            </w:r>
          </w:p>
        </w:tc>
        <w:tc>
          <w:tcPr>
            <w:tcW w:w="1134" w:type="dxa"/>
            <w:vAlign w:val="center"/>
          </w:tcPr>
          <w:p w14:paraId="475CA23E">
            <w:pPr>
              <w:spacing w:line="400" w:lineRule="exact"/>
              <w:ind w:left="0" w:leftChars="0" w:firstLine="0" w:firstLineChars="0"/>
              <w:jc w:val="both"/>
              <w:rPr>
                <w:rFonts w:ascii="宋体" w:hAnsi="宋体"/>
                <w:szCs w:val="21"/>
              </w:rPr>
            </w:pPr>
            <w:r>
              <w:rPr>
                <w:rFonts w:hint="eastAsia" w:ascii="宋体" w:hAnsi="宋体"/>
                <w:szCs w:val="21"/>
              </w:rPr>
              <w:t>执业资格</w:t>
            </w:r>
          </w:p>
        </w:tc>
        <w:tc>
          <w:tcPr>
            <w:tcW w:w="2550" w:type="dxa"/>
            <w:vAlign w:val="center"/>
          </w:tcPr>
          <w:p w14:paraId="6211115F">
            <w:pPr>
              <w:spacing w:line="400" w:lineRule="exact"/>
              <w:ind w:left="0" w:leftChars="0" w:firstLine="0" w:firstLineChars="0"/>
              <w:jc w:val="both"/>
              <w:rPr>
                <w:rFonts w:ascii="宋体" w:hAnsi="宋体"/>
                <w:szCs w:val="21"/>
              </w:rPr>
            </w:pPr>
            <w:r>
              <w:rPr>
                <w:rFonts w:hint="eastAsia" w:ascii="宋体" w:hAnsi="宋体"/>
                <w:szCs w:val="21"/>
              </w:rPr>
              <w:t>专业经验及拟在本项目中承担分工</w:t>
            </w:r>
          </w:p>
        </w:tc>
      </w:tr>
      <w:tr w14:paraId="01ADA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6" w:type="dxa"/>
            <w:vAlign w:val="center"/>
          </w:tcPr>
          <w:p w14:paraId="4A5422F1">
            <w:pPr>
              <w:spacing w:line="400" w:lineRule="exact"/>
              <w:ind w:left="0" w:leftChars="0" w:firstLine="0" w:firstLineChars="0"/>
              <w:jc w:val="center"/>
              <w:rPr>
                <w:rFonts w:ascii="宋体" w:hAnsi="宋体"/>
                <w:szCs w:val="21"/>
              </w:rPr>
            </w:pPr>
            <w:r>
              <w:rPr>
                <w:rFonts w:hint="eastAsia" w:ascii="宋体" w:hAnsi="宋体"/>
                <w:szCs w:val="21"/>
              </w:rPr>
              <w:t>项目负责人</w:t>
            </w:r>
          </w:p>
        </w:tc>
        <w:tc>
          <w:tcPr>
            <w:tcW w:w="851" w:type="dxa"/>
            <w:vAlign w:val="center"/>
          </w:tcPr>
          <w:p w14:paraId="238FBD9B">
            <w:pPr>
              <w:spacing w:line="400" w:lineRule="exact"/>
              <w:ind w:firstLine="480"/>
              <w:jc w:val="both"/>
              <w:rPr>
                <w:rFonts w:ascii="宋体" w:hAnsi="宋体"/>
                <w:szCs w:val="21"/>
              </w:rPr>
            </w:pPr>
          </w:p>
        </w:tc>
        <w:tc>
          <w:tcPr>
            <w:tcW w:w="850" w:type="dxa"/>
            <w:vAlign w:val="center"/>
          </w:tcPr>
          <w:p w14:paraId="7EDAA804">
            <w:pPr>
              <w:spacing w:line="400" w:lineRule="exact"/>
              <w:ind w:firstLine="480"/>
              <w:jc w:val="both"/>
              <w:rPr>
                <w:rFonts w:ascii="宋体" w:hAnsi="宋体"/>
                <w:szCs w:val="21"/>
              </w:rPr>
            </w:pPr>
          </w:p>
        </w:tc>
        <w:tc>
          <w:tcPr>
            <w:tcW w:w="749" w:type="dxa"/>
            <w:vAlign w:val="center"/>
          </w:tcPr>
          <w:p w14:paraId="315E7062">
            <w:pPr>
              <w:spacing w:line="400" w:lineRule="exact"/>
              <w:ind w:firstLine="480"/>
              <w:jc w:val="both"/>
              <w:rPr>
                <w:rFonts w:ascii="宋体" w:hAnsi="宋体"/>
                <w:szCs w:val="21"/>
              </w:rPr>
            </w:pPr>
          </w:p>
        </w:tc>
        <w:tc>
          <w:tcPr>
            <w:tcW w:w="1519" w:type="dxa"/>
            <w:vAlign w:val="center"/>
          </w:tcPr>
          <w:p w14:paraId="2F4E95DF">
            <w:pPr>
              <w:spacing w:line="400" w:lineRule="exact"/>
              <w:ind w:firstLine="480"/>
              <w:jc w:val="both"/>
              <w:rPr>
                <w:rFonts w:ascii="宋体" w:hAnsi="宋体"/>
                <w:szCs w:val="21"/>
              </w:rPr>
            </w:pPr>
          </w:p>
        </w:tc>
        <w:tc>
          <w:tcPr>
            <w:tcW w:w="1134" w:type="dxa"/>
            <w:vAlign w:val="center"/>
          </w:tcPr>
          <w:p w14:paraId="118AA89C">
            <w:pPr>
              <w:spacing w:line="400" w:lineRule="exact"/>
              <w:ind w:firstLine="480"/>
              <w:jc w:val="both"/>
              <w:rPr>
                <w:rFonts w:ascii="宋体" w:hAnsi="宋体"/>
                <w:szCs w:val="21"/>
              </w:rPr>
            </w:pPr>
          </w:p>
        </w:tc>
        <w:tc>
          <w:tcPr>
            <w:tcW w:w="2550" w:type="dxa"/>
            <w:vAlign w:val="center"/>
          </w:tcPr>
          <w:p w14:paraId="19114AAF">
            <w:pPr>
              <w:spacing w:line="400" w:lineRule="exact"/>
              <w:ind w:firstLine="480"/>
              <w:jc w:val="both"/>
              <w:rPr>
                <w:rFonts w:ascii="宋体" w:hAnsi="宋体"/>
                <w:szCs w:val="21"/>
              </w:rPr>
            </w:pPr>
          </w:p>
        </w:tc>
      </w:tr>
      <w:tr w14:paraId="2E3A1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6" w:type="dxa"/>
            <w:vAlign w:val="center"/>
          </w:tcPr>
          <w:p w14:paraId="75339E09">
            <w:pPr>
              <w:spacing w:line="400" w:lineRule="exact"/>
              <w:ind w:left="0" w:leftChars="0" w:firstLine="0" w:firstLineChars="0"/>
              <w:jc w:val="center"/>
              <w:rPr>
                <w:rFonts w:ascii="宋体" w:hAnsi="宋体"/>
                <w:szCs w:val="21"/>
              </w:rPr>
            </w:pPr>
            <w:r>
              <w:rPr>
                <w:rFonts w:hint="eastAsia" w:ascii="宋体" w:hAnsi="宋体"/>
                <w:szCs w:val="21"/>
              </w:rPr>
              <w:t>技术负责人</w:t>
            </w:r>
          </w:p>
        </w:tc>
        <w:tc>
          <w:tcPr>
            <w:tcW w:w="851" w:type="dxa"/>
            <w:vAlign w:val="center"/>
          </w:tcPr>
          <w:p w14:paraId="6D74F85C">
            <w:pPr>
              <w:spacing w:line="400" w:lineRule="exact"/>
              <w:ind w:firstLine="480"/>
              <w:jc w:val="both"/>
              <w:rPr>
                <w:rFonts w:ascii="宋体" w:hAnsi="宋体"/>
                <w:szCs w:val="21"/>
              </w:rPr>
            </w:pPr>
          </w:p>
        </w:tc>
        <w:tc>
          <w:tcPr>
            <w:tcW w:w="850" w:type="dxa"/>
            <w:vAlign w:val="center"/>
          </w:tcPr>
          <w:p w14:paraId="14C7FC77">
            <w:pPr>
              <w:spacing w:line="400" w:lineRule="exact"/>
              <w:ind w:firstLine="480"/>
              <w:jc w:val="both"/>
              <w:rPr>
                <w:rFonts w:ascii="宋体" w:hAnsi="宋体"/>
                <w:szCs w:val="21"/>
              </w:rPr>
            </w:pPr>
          </w:p>
        </w:tc>
        <w:tc>
          <w:tcPr>
            <w:tcW w:w="749" w:type="dxa"/>
            <w:vAlign w:val="center"/>
          </w:tcPr>
          <w:p w14:paraId="3E2FFEE2">
            <w:pPr>
              <w:spacing w:line="400" w:lineRule="exact"/>
              <w:ind w:firstLine="480"/>
              <w:jc w:val="both"/>
              <w:rPr>
                <w:rFonts w:ascii="宋体" w:hAnsi="宋体"/>
                <w:szCs w:val="21"/>
              </w:rPr>
            </w:pPr>
          </w:p>
        </w:tc>
        <w:tc>
          <w:tcPr>
            <w:tcW w:w="1519" w:type="dxa"/>
            <w:vAlign w:val="center"/>
          </w:tcPr>
          <w:p w14:paraId="558BBD28">
            <w:pPr>
              <w:spacing w:line="400" w:lineRule="exact"/>
              <w:ind w:firstLine="480"/>
              <w:jc w:val="both"/>
              <w:rPr>
                <w:rFonts w:ascii="宋体" w:hAnsi="宋体"/>
                <w:szCs w:val="21"/>
              </w:rPr>
            </w:pPr>
          </w:p>
        </w:tc>
        <w:tc>
          <w:tcPr>
            <w:tcW w:w="1134" w:type="dxa"/>
            <w:vAlign w:val="center"/>
          </w:tcPr>
          <w:p w14:paraId="7063A837">
            <w:pPr>
              <w:spacing w:line="400" w:lineRule="exact"/>
              <w:ind w:firstLine="480"/>
              <w:jc w:val="both"/>
              <w:rPr>
                <w:rFonts w:ascii="宋体" w:hAnsi="宋体"/>
                <w:szCs w:val="21"/>
              </w:rPr>
            </w:pPr>
          </w:p>
        </w:tc>
        <w:tc>
          <w:tcPr>
            <w:tcW w:w="2550" w:type="dxa"/>
            <w:vAlign w:val="center"/>
          </w:tcPr>
          <w:p w14:paraId="49F18772">
            <w:pPr>
              <w:spacing w:line="400" w:lineRule="exact"/>
              <w:ind w:firstLine="480"/>
              <w:jc w:val="both"/>
              <w:rPr>
                <w:rFonts w:ascii="宋体" w:hAnsi="宋体"/>
                <w:szCs w:val="21"/>
              </w:rPr>
            </w:pPr>
          </w:p>
        </w:tc>
      </w:tr>
      <w:tr w14:paraId="2A9F9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6" w:type="dxa"/>
            <w:vAlign w:val="center"/>
          </w:tcPr>
          <w:p w14:paraId="0C7FADE1">
            <w:pPr>
              <w:spacing w:line="400" w:lineRule="exact"/>
              <w:ind w:left="0" w:leftChars="0" w:firstLine="0" w:firstLineChars="0"/>
              <w:jc w:val="center"/>
              <w:rPr>
                <w:rFonts w:ascii="宋体" w:hAnsi="宋体"/>
                <w:szCs w:val="21"/>
              </w:rPr>
            </w:pPr>
            <w:r>
              <w:rPr>
                <w:rFonts w:hint="eastAsia" w:ascii="宋体" w:hAnsi="宋体"/>
                <w:szCs w:val="21"/>
              </w:rPr>
              <w:t>项目组其他人员</w:t>
            </w:r>
          </w:p>
        </w:tc>
        <w:tc>
          <w:tcPr>
            <w:tcW w:w="851" w:type="dxa"/>
            <w:vAlign w:val="center"/>
          </w:tcPr>
          <w:p w14:paraId="0780A51D">
            <w:pPr>
              <w:spacing w:line="400" w:lineRule="exact"/>
              <w:ind w:firstLine="480"/>
              <w:jc w:val="both"/>
              <w:rPr>
                <w:rFonts w:ascii="宋体" w:hAnsi="宋体"/>
                <w:szCs w:val="21"/>
              </w:rPr>
            </w:pPr>
          </w:p>
        </w:tc>
        <w:tc>
          <w:tcPr>
            <w:tcW w:w="850" w:type="dxa"/>
            <w:vAlign w:val="center"/>
          </w:tcPr>
          <w:p w14:paraId="003EF2AA">
            <w:pPr>
              <w:spacing w:line="400" w:lineRule="exact"/>
              <w:ind w:firstLine="480"/>
              <w:jc w:val="both"/>
              <w:rPr>
                <w:rFonts w:ascii="宋体" w:hAnsi="宋体"/>
                <w:szCs w:val="21"/>
              </w:rPr>
            </w:pPr>
          </w:p>
        </w:tc>
        <w:tc>
          <w:tcPr>
            <w:tcW w:w="749" w:type="dxa"/>
            <w:vAlign w:val="center"/>
          </w:tcPr>
          <w:p w14:paraId="4C92DA86">
            <w:pPr>
              <w:spacing w:line="400" w:lineRule="exact"/>
              <w:ind w:firstLine="480"/>
              <w:jc w:val="both"/>
              <w:rPr>
                <w:rFonts w:ascii="宋体" w:hAnsi="宋体"/>
                <w:szCs w:val="21"/>
              </w:rPr>
            </w:pPr>
          </w:p>
        </w:tc>
        <w:tc>
          <w:tcPr>
            <w:tcW w:w="1519" w:type="dxa"/>
            <w:vAlign w:val="center"/>
          </w:tcPr>
          <w:p w14:paraId="01FB3D52">
            <w:pPr>
              <w:spacing w:line="400" w:lineRule="exact"/>
              <w:ind w:firstLine="480"/>
              <w:jc w:val="both"/>
              <w:rPr>
                <w:rFonts w:ascii="宋体" w:hAnsi="宋体"/>
                <w:szCs w:val="21"/>
              </w:rPr>
            </w:pPr>
          </w:p>
        </w:tc>
        <w:tc>
          <w:tcPr>
            <w:tcW w:w="1134" w:type="dxa"/>
            <w:vAlign w:val="center"/>
          </w:tcPr>
          <w:p w14:paraId="0B053244">
            <w:pPr>
              <w:spacing w:line="400" w:lineRule="exact"/>
              <w:ind w:firstLine="480"/>
              <w:jc w:val="both"/>
              <w:rPr>
                <w:rFonts w:ascii="宋体" w:hAnsi="宋体"/>
                <w:szCs w:val="21"/>
              </w:rPr>
            </w:pPr>
          </w:p>
        </w:tc>
        <w:tc>
          <w:tcPr>
            <w:tcW w:w="2550" w:type="dxa"/>
            <w:vAlign w:val="center"/>
          </w:tcPr>
          <w:p w14:paraId="1614FD0C">
            <w:pPr>
              <w:spacing w:line="400" w:lineRule="exact"/>
              <w:ind w:firstLine="480"/>
              <w:jc w:val="both"/>
              <w:rPr>
                <w:rFonts w:ascii="宋体" w:hAnsi="宋体"/>
                <w:szCs w:val="21"/>
              </w:rPr>
            </w:pPr>
          </w:p>
        </w:tc>
      </w:tr>
      <w:tr w14:paraId="14D91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6" w:type="dxa"/>
            <w:vAlign w:val="center"/>
          </w:tcPr>
          <w:p w14:paraId="1C253BA9">
            <w:pPr>
              <w:spacing w:line="400" w:lineRule="exact"/>
              <w:ind w:left="0" w:leftChars="0" w:firstLine="0" w:firstLineChars="0"/>
              <w:jc w:val="center"/>
              <w:rPr>
                <w:rFonts w:ascii="宋体" w:hAnsi="宋体"/>
                <w:szCs w:val="21"/>
              </w:rPr>
            </w:pPr>
            <w:r>
              <w:rPr>
                <w:rFonts w:hint="eastAsia" w:ascii="宋体" w:hAnsi="宋体"/>
                <w:szCs w:val="21"/>
              </w:rPr>
              <w:t>项目组其他人员</w:t>
            </w:r>
          </w:p>
        </w:tc>
        <w:tc>
          <w:tcPr>
            <w:tcW w:w="851" w:type="dxa"/>
            <w:vAlign w:val="center"/>
          </w:tcPr>
          <w:p w14:paraId="727CC10C">
            <w:pPr>
              <w:spacing w:line="400" w:lineRule="exact"/>
              <w:ind w:firstLine="480"/>
              <w:jc w:val="both"/>
              <w:rPr>
                <w:rFonts w:ascii="宋体" w:hAnsi="宋体"/>
                <w:szCs w:val="21"/>
              </w:rPr>
            </w:pPr>
          </w:p>
        </w:tc>
        <w:tc>
          <w:tcPr>
            <w:tcW w:w="850" w:type="dxa"/>
            <w:vAlign w:val="center"/>
          </w:tcPr>
          <w:p w14:paraId="696102C0">
            <w:pPr>
              <w:spacing w:line="400" w:lineRule="exact"/>
              <w:ind w:firstLine="480"/>
              <w:jc w:val="both"/>
              <w:rPr>
                <w:rFonts w:ascii="宋体" w:hAnsi="宋体"/>
                <w:szCs w:val="21"/>
              </w:rPr>
            </w:pPr>
          </w:p>
        </w:tc>
        <w:tc>
          <w:tcPr>
            <w:tcW w:w="749" w:type="dxa"/>
            <w:vAlign w:val="center"/>
          </w:tcPr>
          <w:p w14:paraId="36BF85D1">
            <w:pPr>
              <w:spacing w:line="400" w:lineRule="exact"/>
              <w:ind w:firstLine="480"/>
              <w:jc w:val="both"/>
              <w:rPr>
                <w:rFonts w:ascii="宋体" w:hAnsi="宋体"/>
                <w:szCs w:val="21"/>
              </w:rPr>
            </w:pPr>
          </w:p>
        </w:tc>
        <w:tc>
          <w:tcPr>
            <w:tcW w:w="1519" w:type="dxa"/>
            <w:vAlign w:val="center"/>
          </w:tcPr>
          <w:p w14:paraId="4723B55F">
            <w:pPr>
              <w:spacing w:line="400" w:lineRule="exact"/>
              <w:ind w:firstLine="480"/>
              <w:jc w:val="both"/>
              <w:rPr>
                <w:rFonts w:ascii="宋体" w:hAnsi="宋体"/>
                <w:szCs w:val="21"/>
              </w:rPr>
            </w:pPr>
          </w:p>
        </w:tc>
        <w:tc>
          <w:tcPr>
            <w:tcW w:w="1134" w:type="dxa"/>
            <w:vAlign w:val="center"/>
          </w:tcPr>
          <w:p w14:paraId="1F96A2D6">
            <w:pPr>
              <w:spacing w:line="400" w:lineRule="exact"/>
              <w:ind w:firstLine="480"/>
              <w:jc w:val="both"/>
              <w:rPr>
                <w:rFonts w:ascii="宋体" w:hAnsi="宋体"/>
                <w:szCs w:val="21"/>
              </w:rPr>
            </w:pPr>
          </w:p>
        </w:tc>
        <w:tc>
          <w:tcPr>
            <w:tcW w:w="2550" w:type="dxa"/>
            <w:vAlign w:val="center"/>
          </w:tcPr>
          <w:p w14:paraId="251DD898">
            <w:pPr>
              <w:spacing w:line="400" w:lineRule="exact"/>
              <w:ind w:firstLine="480"/>
              <w:jc w:val="both"/>
              <w:rPr>
                <w:rFonts w:ascii="宋体" w:hAnsi="宋体"/>
                <w:szCs w:val="21"/>
              </w:rPr>
            </w:pPr>
          </w:p>
        </w:tc>
      </w:tr>
      <w:tr w14:paraId="54AC0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6" w:type="dxa"/>
            <w:vAlign w:val="center"/>
          </w:tcPr>
          <w:p w14:paraId="5EF456BF">
            <w:pPr>
              <w:spacing w:line="400" w:lineRule="exact"/>
              <w:ind w:firstLine="480"/>
              <w:jc w:val="both"/>
              <w:rPr>
                <w:rFonts w:ascii="宋体" w:hAnsi="宋体"/>
                <w:szCs w:val="21"/>
              </w:rPr>
            </w:pPr>
            <w:r>
              <w:rPr>
                <w:rFonts w:hint="eastAsia" w:ascii="宋体" w:hAnsi="宋体"/>
                <w:szCs w:val="21"/>
              </w:rPr>
              <w:t>……</w:t>
            </w:r>
          </w:p>
        </w:tc>
        <w:tc>
          <w:tcPr>
            <w:tcW w:w="851" w:type="dxa"/>
            <w:vAlign w:val="center"/>
          </w:tcPr>
          <w:p w14:paraId="3B8ADE9E">
            <w:pPr>
              <w:spacing w:line="400" w:lineRule="exact"/>
              <w:ind w:firstLine="480"/>
              <w:jc w:val="both"/>
              <w:rPr>
                <w:rFonts w:ascii="宋体" w:hAnsi="宋体"/>
                <w:szCs w:val="21"/>
              </w:rPr>
            </w:pPr>
          </w:p>
        </w:tc>
        <w:tc>
          <w:tcPr>
            <w:tcW w:w="850" w:type="dxa"/>
            <w:vAlign w:val="center"/>
          </w:tcPr>
          <w:p w14:paraId="4A708D7A">
            <w:pPr>
              <w:spacing w:line="400" w:lineRule="exact"/>
              <w:ind w:firstLine="480"/>
              <w:jc w:val="both"/>
              <w:rPr>
                <w:rFonts w:ascii="宋体" w:hAnsi="宋体"/>
                <w:szCs w:val="21"/>
              </w:rPr>
            </w:pPr>
          </w:p>
        </w:tc>
        <w:tc>
          <w:tcPr>
            <w:tcW w:w="749" w:type="dxa"/>
            <w:vAlign w:val="center"/>
          </w:tcPr>
          <w:p w14:paraId="6360FA15">
            <w:pPr>
              <w:spacing w:line="400" w:lineRule="exact"/>
              <w:ind w:firstLine="480"/>
              <w:jc w:val="both"/>
              <w:rPr>
                <w:rFonts w:ascii="宋体" w:hAnsi="宋体"/>
                <w:szCs w:val="21"/>
              </w:rPr>
            </w:pPr>
          </w:p>
        </w:tc>
        <w:tc>
          <w:tcPr>
            <w:tcW w:w="1519" w:type="dxa"/>
            <w:vAlign w:val="center"/>
          </w:tcPr>
          <w:p w14:paraId="7D6CA893">
            <w:pPr>
              <w:spacing w:line="400" w:lineRule="exact"/>
              <w:ind w:firstLine="480"/>
              <w:jc w:val="both"/>
              <w:rPr>
                <w:rFonts w:ascii="宋体" w:hAnsi="宋体"/>
                <w:szCs w:val="21"/>
              </w:rPr>
            </w:pPr>
          </w:p>
        </w:tc>
        <w:tc>
          <w:tcPr>
            <w:tcW w:w="1134" w:type="dxa"/>
            <w:vAlign w:val="center"/>
          </w:tcPr>
          <w:p w14:paraId="28F13BD9">
            <w:pPr>
              <w:spacing w:line="400" w:lineRule="exact"/>
              <w:ind w:firstLine="480"/>
              <w:jc w:val="both"/>
              <w:rPr>
                <w:rFonts w:ascii="宋体" w:hAnsi="宋体"/>
                <w:szCs w:val="21"/>
              </w:rPr>
            </w:pPr>
          </w:p>
        </w:tc>
        <w:tc>
          <w:tcPr>
            <w:tcW w:w="2550" w:type="dxa"/>
            <w:vAlign w:val="center"/>
          </w:tcPr>
          <w:p w14:paraId="70D1EE01">
            <w:pPr>
              <w:spacing w:line="400" w:lineRule="exact"/>
              <w:ind w:firstLine="480"/>
              <w:jc w:val="both"/>
              <w:rPr>
                <w:rFonts w:ascii="宋体" w:hAnsi="宋体"/>
                <w:szCs w:val="21"/>
              </w:rPr>
            </w:pPr>
          </w:p>
        </w:tc>
      </w:tr>
    </w:tbl>
    <w:p w14:paraId="50B6C433">
      <w:pPr>
        <w:spacing w:line="400" w:lineRule="exact"/>
        <w:ind w:firstLine="480"/>
        <w:rPr>
          <w:rFonts w:ascii="宋体" w:hAnsi="宋体"/>
          <w:color w:val="000000"/>
          <w:szCs w:val="21"/>
          <w:lang w:val="zh-CN"/>
        </w:rPr>
      </w:pPr>
      <w:r>
        <w:rPr>
          <w:rFonts w:hint="eastAsia" w:ascii="宋体" w:hAnsi="宋体"/>
          <w:color w:val="000000"/>
          <w:szCs w:val="21"/>
          <w:lang w:val="zh-CN"/>
        </w:rPr>
        <w:t>供应商名称:</w:t>
      </w:r>
      <w:r>
        <w:rPr>
          <w:rFonts w:hint="eastAsia" w:ascii="宋体" w:hAnsi="宋体" w:eastAsia="宋体" w:cs="宋体"/>
          <w:color w:val="000000"/>
          <w:szCs w:val="21"/>
          <w:u w:val="single"/>
          <w:lang w:val="zh-CN"/>
        </w:rPr>
        <w:t>（公章）</w:t>
      </w:r>
    </w:p>
    <w:p w14:paraId="2D7C94DA">
      <w:pPr>
        <w:spacing w:line="400" w:lineRule="exact"/>
        <w:ind w:firstLine="480"/>
        <w:rPr>
          <w:rFonts w:ascii="宋体" w:hAnsi="宋体"/>
          <w:color w:val="000000"/>
          <w:szCs w:val="21"/>
          <w:lang w:val="zh-CN"/>
        </w:rPr>
      </w:pPr>
      <w:r>
        <w:rPr>
          <w:rFonts w:hint="eastAsia" w:ascii="宋体" w:hAnsi="宋体"/>
          <w:szCs w:val="21"/>
        </w:rPr>
        <w:t>日    期</w:t>
      </w:r>
      <w:r>
        <w:rPr>
          <w:rFonts w:hint="eastAsia" w:ascii="宋体" w:hAnsi="宋体"/>
          <w:szCs w:val="21"/>
          <w:lang w:eastAsia="zh-CN"/>
        </w:rPr>
        <w:t>：</w:t>
      </w:r>
      <w:r>
        <w:rPr>
          <w:rFonts w:hint="eastAsia" w:ascii="宋体" w:hAnsi="宋体"/>
          <w:szCs w:val="21"/>
        </w:rPr>
        <w:t xml:space="preserve">   年  月  日</w:t>
      </w:r>
    </w:p>
    <w:p w14:paraId="303ED38F">
      <w:pPr>
        <w:spacing w:line="400" w:lineRule="exact"/>
        <w:ind w:firstLine="480"/>
        <w:rPr>
          <w:rFonts w:ascii="宋体" w:hAnsi="宋体"/>
          <w:color w:val="000000"/>
          <w:szCs w:val="21"/>
          <w:lang w:val="zh-CN"/>
        </w:rPr>
      </w:pPr>
      <w:r>
        <w:rPr>
          <w:rFonts w:hint="eastAsia" w:ascii="宋体" w:hAnsi="宋体"/>
          <w:color w:val="000000"/>
          <w:szCs w:val="21"/>
          <w:lang w:val="zh-CN"/>
        </w:rPr>
        <w:t>说明：</w:t>
      </w:r>
    </w:p>
    <w:p w14:paraId="53E58EDD">
      <w:pPr>
        <w:autoSpaceDE w:val="0"/>
        <w:autoSpaceDN w:val="0"/>
        <w:spacing w:line="400" w:lineRule="exact"/>
        <w:ind w:firstLine="480"/>
        <w:rPr>
          <w:rFonts w:ascii="宋体" w:hAnsi="宋体"/>
          <w:b/>
          <w:szCs w:val="21"/>
          <w:lang w:val="zh-CN"/>
        </w:rPr>
      </w:pPr>
      <w:r>
        <w:rPr>
          <w:rFonts w:hint="eastAsia" w:ascii="宋体" w:hAnsi="宋体"/>
          <w:szCs w:val="21"/>
          <w:lang w:val="zh-CN"/>
        </w:rPr>
        <w:t>1、如果行、列数不够，请自行增加。</w:t>
      </w:r>
    </w:p>
    <w:p w14:paraId="2428575B">
      <w:pPr>
        <w:autoSpaceDE w:val="0"/>
        <w:autoSpaceDN w:val="0"/>
        <w:spacing w:line="400" w:lineRule="exact"/>
        <w:ind w:firstLine="482"/>
        <w:rPr>
          <w:rFonts w:ascii="宋体" w:hAnsi="宋体"/>
          <w:b/>
          <w:szCs w:val="21"/>
          <w:lang w:val="zh-CN"/>
        </w:rPr>
      </w:pPr>
      <w:r>
        <w:rPr>
          <w:rFonts w:hint="eastAsia" w:ascii="宋体" w:hAnsi="宋体"/>
          <w:b/>
          <w:szCs w:val="21"/>
          <w:lang w:val="zh-CN"/>
        </w:rPr>
        <w:t>2、“备注”栏，可填写该人员擅长的工程（或工作）种类；</w:t>
      </w:r>
    </w:p>
    <w:p w14:paraId="705A389E">
      <w:pPr>
        <w:autoSpaceDE w:val="0"/>
        <w:autoSpaceDN w:val="0"/>
        <w:spacing w:line="400" w:lineRule="exact"/>
        <w:ind w:firstLine="482"/>
        <w:rPr>
          <w:rFonts w:ascii="宋体" w:hAnsi="宋体"/>
          <w:b/>
          <w:szCs w:val="21"/>
          <w:lang w:val="zh-CN"/>
        </w:rPr>
      </w:pPr>
      <w:r>
        <w:rPr>
          <w:rFonts w:hint="eastAsia" w:ascii="宋体" w:hAnsi="宋体"/>
          <w:b/>
          <w:szCs w:val="21"/>
          <w:lang w:val="zh-CN"/>
        </w:rPr>
        <w:t>3、请同时提供以上人员的相关专业、职称或执业资格等证明材料复印件。</w:t>
      </w:r>
    </w:p>
    <w:p w14:paraId="578BB71E">
      <w:pPr>
        <w:autoSpaceDE w:val="0"/>
        <w:autoSpaceDN w:val="0"/>
        <w:spacing w:line="400" w:lineRule="exact"/>
        <w:ind w:firstLine="482"/>
        <w:rPr>
          <w:rFonts w:ascii="宋体" w:hAnsi="宋体"/>
          <w:b/>
          <w:szCs w:val="21"/>
          <w:lang w:val="zh-CN"/>
        </w:rPr>
      </w:pPr>
    </w:p>
    <w:p w14:paraId="41CCDD2C">
      <w:pPr>
        <w:autoSpaceDE w:val="0"/>
        <w:autoSpaceDN w:val="0"/>
        <w:spacing w:line="400" w:lineRule="exact"/>
        <w:ind w:firstLine="482"/>
        <w:rPr>
          <w:rFonts w:ascii="宋体" w:hAnsi="宋体"/>
          <w:b/>
          <w:szCs w:val="21"/>
          <w:lang w:val="zh-CN"/>
        </w:rPr>
      </w:pPr>
      <w:r>
        <w:rPr>
          <w:rFonts w:ascii="宋体" w:hAnsi="宋体"/>
          <w:b/>
          <w:szCs w:val="21"/>
          <w:lang w:val="zh-CN"/>
        </w:rPr>
        <w:br w:type="page"/>
      </w:r>
      <w:r>
        <w:rPr>
          <w:rFonts w:hint="eastAsia" w:ascii="宋体" w:hAnsi="宋体"/>
          <w:b/>
          <w:szCs w:val="21"/>
          <w:lang w:val="zh-CN"/>
        </w:rPr>
        <w:t>表二：</w:t>
      </w:r>
      <w:r>
        <w:rPr>
          <w:rFonts w:hint="eastAsia" w:ascii="宋体" w:hAnsi="宋体"/>
          <w:b/>
          <w:szCs w:val="21"/>
        </w:rPr>
        <w:t>项目负责人</w:t>
      </w:r>
      <w:r>
        <w:rPr>
          <w:rFonts w:hint="eastAsia" w:ascii="宋体" w:hAnsi="宋体"/>
          <w:b/>
          <w:bCs/>
          <w:szCs w:val="21"/>
        </w:rPr>
        <w:t>情况一览表</w:t>
      </w:r>
      <w:r>
        <w:rPr>
          <w:rFonts w:hint="eastAsia" w:ascii="宋体" w:hAnsi="宋体"/>
          <w:b/>
          <w:szCs w:val="21"/>
          <w:lang w:val="zh-CN"/>
        </w:rPr>
        <w:t>（项目负责人情况表）：</w:t>
      </w:r>
    </w:p>
    <w:tbl>
      <w:tblPr>
        <w:tblStyle w:val="5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28"/>
        <w:gridCol w:w="1851"/>
        <w:gridCol w:w="1329"/>
        <w:gridCol w:w="1065"/>
        <w:gridCol w:w="1083"/>
        <w:gridCol w:w="1254"/>
        <w:gridCol w:w="1818"/>
      </w:tblGrid>
      <w:tr w14:paraId="3ECA83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exact"/>
          <w:jc w:val="center"/>
        </w:trPr>
        <w:tc>
          <w:tcPr>
            <w:tcW w:w="628" w:type="dxa"/>
            <w:vAlign w:val="center"/>
          </w:tcPr>
          <w:p w14:paraId="5E7D827E">
            <w:pPr>
              <w:spacing w:line="400" w:lineRule="exact"/>
              <w:ind w:firstLine="0" w:firstLineChars="0"/>
              <w:jc w:val="center"/>
              <w:rPr>
                <w:rFonts w:ascii="宋体" w:hAnsi="宋体"/>
                <w:szCs w:val="21"/>
              </w:rPr>
            </w:pPr>
            <w:r>
              <w:rPr>
                <w:rFonts w:ascii="宋体" w:hAnsi="宋体"/>
                <w:szCs w:val="21"/>
              </w:rPr>
              <w:t>1</w:t>
            </w:r>
          </w:p>
        </w:tc>
        <w:tc>
          <w:tcPr>
            <w:tcW w:w="1851" w:type="dxa"/>
            <w:vAlign w:val="center"/>
          </w:tcPr>
          <w:p w14:paraId="6CCB4BDC">
            <w:pPr>
              <w:overflowPunct w:val="0"/>
              <w:spacing w:line="400" w:lineRule="exact"/>
              <w:ind w:firstLine="0" w:firstLineChars="0"/>
              <w:rPr>
                <w:rFonts w:ascii="宋体" w:hAnsi="宋体"/>
                <w:szCs w:val="21"/>
              </w:rPr>
            </w:pPr>
            <w:r>
              <w:rPr>
                <w:rFonts w:ascii="宋体" w:hAnsi="宋体"/>
                <w:szCs w:val="21"/>
              </w:rPr>
              <w:t>姓名</w:t>
            </w:r>
          </w:p>
        </w:tc>
        <w:tc>
          <w:tcPr>
            <w:tcW w:w="2394" w:type="dxa"/>
            <w:gridSpan w:val="2"/>
            <w:vAlign w:val="center"/>
          </w:tcPr>
          <w:p w14:paraId="6E6FC4FE">
            <w:pPr>
              <w:overflowPunct w:val="0"/>
              <w:spacing w:line="400" w:lineRule="exact"/>
              <w:ind w:firstLine="0" w:firstLineChars="0"/>
              <w:jc w:val="center"/>
              <w:rPr>
                <w:rFonts w:ascii="宋体" w:hAnsi="宋体"/>
                <w:szCs w:val="21"/>
              </w:rPr>
            </w:pPr>
          </w:p>
        </w:tc>
        <w:tc>
          <w:tcPr>
            <w:tcW w:w="1083" w:type="dxa"/>
            <w:vAlign w:val="center"/>
          </w:tcPr>
          <w:p w14:paraId="0F230AE5">
            <w:pPr>
              <w:overflowPunct w:val="0"/>
              <w:spacing w:line="400" w:lineRule="exact"/>
              <w:ind w:firstLine="0" w:firstLineChars="0"/>
              <w:jc w:val="center"/>
              <w:rPr>
                <w:rFonts w:ascii="宋体" w:hAnsi="宋体"/>
                <w:szCs w:val="21"/>
              </w:rPr>
            </w:pPr>
            <w:r>
              <w:rPr>
                <w:rFonts w:hint="eastAsia" w:ascii="宋体" w:hAnsi="宋体"/>
                <w:szCs w:val="21"/>
              </w:rPr>
              <w:t>性别</w:t>
            </w:r>
          </w:p>
        </w:tc>
        <w:tc>
          <w:tcPr>
            <w:tcW w:w="3072" w:type="dxa"/>
            <w:gridSpan w:val="2"/>
            <w:vAlign w:val="center"/>
          </w:tcPr>
          <w:p w14:paraId="2033A7C4">
            <w:pPr>
              <w:overflowPunct w:val="0"/>
              <w:spacing w:line="400" w:lineRule="exact"/>
              <w:ind w:firstLine="0" w:firstLineChars="0"/>
              <w:jc w:val="center"/>
              <w:rPr>
                <w:rFonts w:ascii="宋体" w:hAnsi="宋体"/>
                <w:szCs w:val="21"/>
              </w:rPr>
            </w:pPr>
          </w:p>
        </w:tc>
      </w:tr>
      <w:tr w14:paraId="18C6E8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exact"/>
          <w:jc w:val="center"/>
        </w:trPr>
        <w:tc>
          <w:tcPr>
            <w:tcW w:w="628" w:type="dxa"/>
            <w:vAlign w:val="center"/>
          </w:tcPr>
          <w:p w14:paraId="2E7D5B31">
            <w:pPr>
              <w:spacing w:line="400" w:lineRule="exact"/>
              <w:ind w:firstLine="0" w:firstLineChars="0"/>
              <w:jc w:val="center"/>
              <w:rPr>
                <w:rFonts w:ascii="宋体" w:hAnsi="宋体"/>
                <w:szCs w:val="21"/>
              </w:rPr>
            </w:pPr>
            <w:r>
              <w:rPr>
                <w:rFonts w:ascii="宋体" w:hAnsi="宋体"/>
                <w:szCs w:val="21"/>
              </w:rPr>
              <w:t>2</w:t>
            </w:r>
          </w:p>
        </w:tc>
        <w:tc>
          <w:tcPr>
            <w:tcW w:w="1851" w:type="dxa"/>
            <w:vAlign w:val="center"/>
          </w:tcPr>
          <w:p w14:paraId="70043858">
            <w:pPr>
              <w:overflowPunct w:val="0"/>
              <w:spacing w:line="400" w:lineRule="exact"/>
              <w:ind w:firstLine="0" w:firstLineChars="0"/>
              <w:rPr>
                <w:rFonts w:ascii="宋体" w:hAnsi="宋体"/>
                <w:szCs w:val="21"/>
              </w:rPr>
            </w:pPr>
            <w:r>
              <w:rPr>
                <w:rFonts w:ascii="宋体" w:hAnsi="宋体"/>
                <w:szCs w:val="21"/>
              </w:rPr>
              <w:t>身份证号码</w:t>
            </w:r>
          </w:p>
        </w:tc>
        <w:tc>
          <w:tcPr>
            <w:tcW w:w="3477" w:type="dxa"/>
            <w:gridSpan w:val="3"/>
            <w:vAlign w:val="center"/>
          </w:tcPr>
          <w:p w14:paraId="724F7596">
            <w:pPr>
              <w:overflowPunct w:val="0"/>
              <w:spacing w:line="400" w:lineRule="exact"/>
              <w:ind w:firstLine="0" w:firstLineChars="0"/>
              <w:jc w:val="center"/>
              <w:rPr>
                <w:rFonts w:ascii="宋体" w:hAnsi="宋体"/>
                <w:szCs w:val="21"/>
              </w:rPr>
            </w:pPr>
          </w:p>
        </w:tc>
        <w:tc>
          <w:tcPr>
            <w:tcW w:w="1254" w:type="dxa"/>
            <w:vAlign w:val="center"/>
          </w:tcPr>
          <w:p w14:paraId="0C8A10BD">
            <w:pPr>
              <w:overflowPunct w:val="0"/>
              <w:spacing w:line="400" w:lineRule="exact"/>
              <w:ind w:firstLine="0" w:firstLineChars="0"/>
              <w:jc w:val="center"/>
              <w:rPr>
                <w:rFonts w:ascii="宋体" w:hAnsi="宋体"/>
                <w:szCs w:val="21"/>
              </w:rPr>
            </w:pPr>
            <w:r>
              <w:rPr>
                <w:rFonts w:ascii="宋体" w:hAnsi="宋体"/>
                <w:szCs w:val="21"/>
              </w:rPr>
              <w:t>出生年月</w:t>
            </w:r>
          </w:p>
        </w:tc>
        <w:tc>
          <w:tcPr>
            <w:tcW w:w="1818" w:type="dxa"/>
            <w:vAlign w:val="center"/>
          </w:tcPr>
          <w:p w14:paraId="2C4AB17B">
            <w:pPr>
              <w:overflowPunct w:val="0"/>
              <w:spacing w:line="400" w:lineRule="exact"/>
              <w:ind w:firstLine="0" w:firstLineChars="0"/>
              <w:jc w:val="center"/>
              <w:rPr>
                <w:rFonts w:ascii="宋体" w:hAnsi="宋体"/>
                <w:szCs w:val="21"/>
              </w:rPr>
            </w:pPr>
            <w:r>
              <w:rPr>
                <w:rFonts w:ascii="宋体" w:hAnsi="宋体"/>
                <w:szCs w:val="21"/>
              </w:rPr>
              <w:t>年   月</w:t>
            </w:r>
          </w:p>
        </w:tc>
      </w:tr>
      <w:tr w14:paraId="798696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exact"/>
          <w:jc w:val="center"/>
        </w:trPr>
        <w:tc>
          <w:tcPr>
            <w:tcW w:w="628" w:type="dxa"/>
            <w:vAlign w:val="center"/>
          </w:tcPr>
          <w:p w14:paraId="3C2F72AE">
            <w:pPr>
              <w:spacing w:line="400" w:lineRule="exact"/>
              <w:ind w:firstLine="0" w:firstLineChars="0"/>
              <w:jc w:val="center"/>
              <w:rPr>
                <w:rFonts w:ascii="宋体" w:hAnsi="宋体"/>
                <w:szCs w:val="21"/>
              </w:rPr>
            </w:pPr>
            <w:r>
              <w:rPr>
                <w:rFonts w:hint="eastAsia" w:ascii="宋体" w:hAnsi="宋体"/>
                <w:szCs w:val="21"/>
              </w:rPr>
              <w:t>3</w:t>
            </w:r>
          </w:p>
        </w:tc>
        <w:tc>
          <w:tcPr>
            <w:tcW w:w="3180" w:type="dxa"/>
            <w:gridSpan w:val="2"/>
            <w:vAlign w:val="center"/>
          </w:tcPr>
          <w:p w14:paraId="3ED25949">
            <w:pPr>
              <w:overflowPunct w:val="0"/>
              <w:spacing w:line="400" w:lineRule="exact"/>
              <w:ind w:firstLine="0" w:firstLineChars="0"/>
              <w:rPr>
                <w:rFonts w:ascii="宋体" w:hAnsi="宋体"/>
                <w:szCs w:val="21"/>
              </w:rPr>
            </w:pPr>
            <w:r>
              <w:rPr>
                <w:rFonts w:ascii="宋体" w:hAnsi="宋体"/>
                <w:szCs w:val="21"/>
              </w:rPr>
              <w:t>联系电话：</w:t>
            </w:r>
          </w:p>
        </w:tc>
        <w:tc>
          <w:tcPr>
            <w:tcW w:w="2148" w:type="dxa"/>
            <w:gridSpan w:val="2"/>
            <w:vAlign w:val="center"/>
          </w:tcPr>
          <w:p w14:paraId="18A0C608">
            <w:pPr>
              <w:overflowPunct w:val="0"/>
              <w:spacing w:line="400" w:lineRule="exact"/>
              <w:ind w:firstLine="0" w:firstLineChars="0"/>
              <w:jc w:val="center"/>
              <w:rPr>
                <w:rFonts w:ascii="宋体" w:hAnsi="宋体"/>
                <w:szCs w:val="21"/>
              </w:rPr>
            </w:pPr>
            <w:r>
              <w:rPr>
                <w:rFonts w:ascii="宋体" w:hAnsi="宋体"/>
                <w:szCs w:val="21"/>
              </w:rPr>
              <w:t>传真：</w:t>
            </w:r>
          </w:p>
        </w:tc>
        <w:tc>
          <w:tcPr>
            <w:tcW w:w="3072" w:type="dxa"/>
            <w:gridSpan w:val="2"/>
            <w:vAlign w:val="center"/>
          </w:tcPr>
          <w:p w14:paraId="383DD0F2">
            <w:pPr>
              <w:overflowPunct w:val="0"/>
              <w:spacing w:line="400" w:lineRule="exact"/>
              <w:ind w:firstLine="0" w:firstLineChars="0"/>
              <w:jc w:val="center"/>
              <w:rPr>
                <w:rFonts w:ascii="宋体" w:hAnsi="宋体"/>
                <w:szCs w:val="21"/>
              </w:rPr>
            </w:pPr>
            <w:r>
              <w:rPr>
                <w:rFonts w:ascii="宋体" w:hAnsi="宋体"/>
                <w:szCs w:val="21"/>
              </w:rPr>
              <w:t>电子邮箱：</w:t>
            </w:r>
          </w:p>
        </w:tc>
      </w:tr>
      <w:tr w14:paraId="75F770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exact"/>
          <w:jc w:val="center"/>
        </w:trPr>
        <w:tc>
          <w:tcPr>
            <w:tcW w:w="628" w:type="dxa"/>
            <w:vAlign w:val="center"/>
          </w:tcPr>
          <w:p w14:paraId="02E1A5EC">
            <w:pPr>
              <w:spacing w:line="400" w:lineRule="exact"/>
              <w:ind w:firstLine="0" w:firstLineChars="0"/>
              <w:jc w:val="center"/>
              <w:rPr>
                <w:rFonts w:ascii="宋体" w:hAnsi="宋体"/>
                <w:szCs w:val="21"/>
              </w:rPr>
            </w:pPr>
            <w:r>
              <w:rPr>
                <w:rFonts w:hint="eastAsia" w:ascii="宋体" w:hAnsi="宋体"/>
                <w:szCs w:val="21"/>
              </w:rPr>
              <w:t>4</w:t>
            </w:r>
          </w:p>
        </w:tc>
        <w:tc>
          <w:tcPr>
            <w:tcW w:w="8400" w:type="dxa"/>
            <w:gridSpan w:val="6"/>
            <w:vAlign w:val="center"/>
          </w:tcPr>
          <w:p w14:paraId="67F087E3">
            <w:pPr>
              <w:overflowPunct w:val="0"/>
              <w:spacing w:line="400" w:lineRule="exact"/>
              <w:ind w:firstLine="0" w:firstLineChars="0"/>
              <w:rPr>
                <w:rFonts w:ascii="宋体" w:hAnsi="宋体"/>
                <w:szCs w:val="21"/>
              </w:rPr>
            </w:pPr>
            <w:r>
              <w:rPr>
                <w:rFonts w:ascii="宋体" w:hAnsi="宋体"/>
                <w:szCs w:val="21"/>
              </w:rPr>
              <w:t>从事工作时间：</w:t>
            </w:r>
          </w:p>
        </w:tc>
      </w:tr>
      <w:tr w14:paraId="32A53B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exact"/>
          <w:jc w:val="center"/>
        </w:trPr>
        <w:tc>
          <w:tcPr>
            <w:tcW w:w="628" w:type="dxa"/>
            <w:vAlign w:val="center"/>
          </w:tcPr>
          <w:p w14:paraId="79327769">
            <w:pPr>
              <w:spacing w:line="400" w:lineRule="exact"/>
              <w:ind w:firstLine="0" w:firstLineChars="0"/>
              <w:jc w:val="center"/>
              <w:rPr>
                <w:rFonts w:ascii="宋体" w:hAnsi="宋体"/>
                <w:szCs w:val="21"/>
              </w:rPr>
            </w:pPr>
            <w:r>
              <w:rPr>
                <w:rFonts w:hint="eastAsia" w:ascii="宋体" w:hAnsi="宋体"/>
                <w:szCs w:val="21"/>
              </w:rPr>
              <w:t>5</w:t>
            </w:r>
          </w:p>
        </w:tc>
        <w:tc>
          <w:tcPr>
            <w:tcW w:w="8400" w:type="dxa"/>
            <w:gridSpan w:val="6"/>
            <w:vAlign w:val="center"/>
          </w:tcPr>
          <w:p w14:paraId="0228D638">
            <w:pPr>
              <w:overflowPunct w:val="0"/>
              <w:spacing w:line="400" w:lineRule="exact"/>
              <w:ind w:firstLine="0" w:firstLineChars="0"/>
              <w:rPr>
                <w:rFonts w:ascii="宋体" w:hAnsi="宋体"/>
                <w:szCs w:val="21"/>
              </w:rPr>
            </w:pPr>
            <w:r>
              <w:rPr>
                <w:rFonts w:hint="eastAsia" w:ascii="宋体" w:hAnsi="宋体"/>
                <w:szCs w:val="21"/>
              </w:rPr>
              <w:t>注册证书：</w:t>
            </w:r>
          </w:p>
        </w:tc>
      </w:tr>
      <w:tr w14:paraId="57B35B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exact"/>
          <w:jc w:val="center"/>
        </w:trPr>
        <w:tc>
          <w:tcPr>
            <w:tcW w:w="628" w:type="dxa"/>
            <w:vAlign w:val="center"/>
          </w:tcPr>
          <w:p w14:paraId="3FF8804A">
            <w:pPr>
              <w:spacing w:line="400" w:lineRule="exact"/>
              <w:ind w:firstLine="0" w:firstLineChars="0"/>
              <w:jc w:val="center"/>
              <w:rPr>
                <w:rFonts w:ascii="宋体" w:hAnsi="宋体"/>
                <w:szCs w:val="21"/>
              </w:rPr>
            </w:pPr>
            <w:r>
              <w:rPr>
                <w:rFonts w:hint="eastAsia" w:ascii="宋体" w:hAnsi="宋体"/>
                <w:szCs w:val="21"/>
              </w:rPr>
              <w:t>6</w:t>
            </w:r>
          </w:p>
        </w:tc>
        <w:tc>
          <w:tcPr>
            <w:tcW w:w="8400" w:type="dxa"/>
            <w:gridSpan w:val="6"/>
            <w:vAlign w:val="center"/>
          </w:tcPr>
          <w:p w14:paraId="611735C1">
            <w:pPr>
              <w:overflowPunct w:val="0"/>
              <w:spacing w:line="400" w:lineRule="exact"/>
              <w:ind w:firstLine="0" w:firstLineChars="0"/>
              <w:rPr>
                <w:rFonts w:ascii="宋体" w:hAnsi="宋体"/>
                <w:szCs w:val="21"/>
              </w:rPr>
            </w:pPr>
            <w:r>
              <w:rPr>
                <w:rFonts w:hint="eastAsia" w:ascii="宋体" w:hAnsi="宋体"/>
                <w:szCs w:val="21"/>
              </w:rPr>
              <w:t>所获表彰：</w:t>
            </w:r>
          </w:p>
        </w:tc>
      </w:tr>
      <w:tr w14:paraId="770D0A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exact"/>
          <w:jc w:val="center"/>
        </w:trPr>
        <w:tc>
          <w:tcPr>
            <w:tcW w:w="628" w:type="dxa"/>
            <w:vAlign w:val="center"/>
          </w:tcPr>
          <w:p w14:paraId="647D4071">
            <w:pPr>
              <w:spacing w:line="400" w:lineRule="exact"/>
              <w:ind w:firstLine="0" w:firstLineChars="0"/>
              <w:jc w:val="center"/>
              <w:rPr>
                <w:rFonts w:ascii="宋体" w:hAnsi="宋体"/>
                <w:szCs w:val="21"/>
              </w:rPr>
            </w:pPr>
            <w:r>
              <w:rPr>
                <w:rFonts w:hint="eastAsia" w:ascii="宋体" w:hAnsi="宋体"/>
                <w:szCs w:val="21"/>
              </w:rPr>
              <w:t>7</w:t>
            </w:r>
          </w:p>
        </w:tc>
        <w:tc>
          <w:tcPr>
            <w:tcW w:w="8400" w:type="dxa"/>
            <w:gridSpan w:val="6"/>
            <w:vAlign w:val="center"/>
          </w:tcPr>
          <w:p w14:paraId="33EA4C74">
            <w:pPr>
              <w:overflowPunct w:val="0"/>
              <w:spacing w:line="400" w:lineRule="exact"/>
              <w:ind w:firstLine="0" w:firstLineChars="0"/>
              <w:rPr>
                <w:rFonts w:ascii="宋体" w:hAnsi="宋体"/>
                <w:szCs w:val="21"/>
              </w:rPr>
            </w:pPr>
            <w:r>
              <w:rPr>
                <w:rFonts w:ascii="宋体" w:hAnsi="宋体"/>
                <w:szCs w:val="21"/>
              </w:rPr>
              <w:t>职称：</w:t>
            </w:r>
          </w:p>
        </w:tc>
      </w:tr>
      <w:tr w14:paraId="1717CA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51" w:hRule="exact"/>
          <w:jc w:val="center"/>
        </w:trPr>
        <w:tc>
          <w:tcPr>
            <w:tcW w:w="628" w:type="dxa"/>
            <w:vAlign w:val="center"/>
          </w:tcPr>
          <w:p w14:paraId="7E38EA16">
            <w:pPr>
              <w:spacing w:line="400" w:lineRule="exact"/>
              <w:ind w:firstLine="0" w:firstLineChars="0"/>
              <w:jc w:val="center"/>
              <w:rPr>
                <w:rFonts w:ascii="宋体" w:hAnsi="宋体"/>
                <w:szCs w:val="21"/>
              </w:rPr>
            </w:pPr>
            <w:r>
              <w:rPr>
                <w:rFonts w:hint="eastAsia" w:ascii="宋体" w:hAnsi="宋体"/>
                <w:szCs w:val="21"/>
              </w:rPr>
              <w:t>8</w:t>
            </w:r>
          </w:p>
        </w:tc>
        <w:tc>
          <w:tcPr>
            <w:tcW w:w="8400" w:type="dxa"/>
            <w:gridSpan w:val="6"/>
            <w:vAlign w:val="center"/>
          </w:tcPr>
          <w:p w14:paraId="4877254F">
            <w:pPr>
              <w:overflowPunct w:val="0"/>
              <w:spacing w:line="400" w:lineRule="exact"/>
              <w:ind w:firstLine="0" w:firstLineChars="0"/>
              <w:rPr>
                <w:rFonts w:ascii="宋体" w:hAnsi="宋体"/>
                <w:szCs w:val="21"/>
              </w:rPr>
            </w:pPr>
            <w:r>
              <w:rPr>
                <w:rFonts w:hint="eastAsia" w:ascii="宋体" w:hAnsi="宋体"/>
                <w:szCs w:val="21"/>
              </w:rPr>
              <w:t>本公司承诺：</w:t>
            </w:r>
          </w:p>
          <w:p w14:paraId="2A7580C2">
            <w:pPr>
              <w:overflowPunct w:val="0"/>
              <w:spacing w:line="400" w:lineRule="exact"/>
              <w:ind w:firstLine="0" w:firstLineChars="0"/>
              <w:rPr>
                <w:rFonts w:ascii="宋体" w:hAnsi="宋体"/>
                <w:szCs w:val="21"/>
              </w:rPr>
            </w:pPr>
            <w:r>
              <w:rPr>
                <w:rFonts w:hint="eastAsia" w:ascii="宋体" w:hAnsi="宋体"/>
                <w:szCs w:val="21"/>
              </w:rPr>
              <w:t>该同志</w:t>
            </w:r>
            <w:r>
              <w:rPr>
                <w:rFonts w:ascii="宋体" w:hAnsi="宋体"/>
                <w:szCs w:val="21"/>
              </w:rPr>
              <w:t>在</w:t>
            </w:r>
            <w:r>
              <w:rPr>
                <w:rFonts w:hint="eastAsia" w:ascii="宋体" w:hAnsi="宋体"/>
                <w:szCs w:val="21"/>
              </w:rPr>
              <w:t>我单位已</w:t>
            </w:r>
            <w:r>
              <w:rPr>
                <w:rFonts w:ascii="宋体" w:hAnsi="宋体"/>
                <w:szCs w:val="21"/>
              </w:rPr>
              <w:t>任职一年以上且在从业经历中没有任何违法、违规而被查处的不良记录。</w:t>
            </w:r>
          </w:p>
        </w:tc>
      </w:tr>
      <w:tr w14:paraId="765D3F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exact"/>
          <w:jc w:val="center"/>
        </w:trPr>
        <w:tc>
          <w:tcPr>
            <w:tcW w:w="628" w:type="dxa"/>
            <w:vAlign w:val="center"/>
          </w:tcPr>
          <w:p w14:paraId="382394F3">
            <w:pPr>
              <w:spacing w:line="400" w:lineRule="exact"/>
              <w:ind w:firstLine="0" w:firstLineChars="0"/>
              <w:jc w:val="center"/>
              <w:rPr>
                <w:rFonts w:ascii="宋体" w:hAnsi="宋体"/>
                <w:szCs w:val="21"/>
              </w:rPr>
            </w:pPr>
            <w:r>
              <w:rPr>
                <w:rFonts w:hint="eastAsia" w:ascii="宋体" w:hAnsi="宋体"/>
                <w:szCs w:val="21"/>
              </w:rPr>
              <w:t>9</w:t>
            </w:r>
          </w:p>
        </w:tc>
        <w:tc>
          <w:tcPr>
            <w:tcW w:w="8400" w:type="dxa"/>
            <w:gridSpan w:val="6"/>
            <w:vAlign w:val="center"/>
          </w:tcPr>
          <w:p w14:paraId="4A9AB5CB">
            <w:pPr>
              <w:overflowPunct w:val="0"/>
              <w:spacing w:line="400" w:lineRule="exact"/>
              <w:ind w:firstLine="0" w:firstLineChars="0"/>
              <w:jc w:val="center"/>
              <w:rPr>
                <w:rFonts w:ascii="宋体" w:hAnsi="宋体"/>
                <w:szCs w:val="21"/>
              </w:rPr>
            </w:pPr>
            <w:r>
              <w:rPr>
                <w:rFonts w:ascii="宋体" w:hAnsi="宋体"/>
                <w:szCs w:val="21"/>
              </w:rPr>
              <w:t>其他需要说明的情况</w:t>
            </w:r>
          </w:p>
        </w:tc>
      </w:tr>
    </w:tbl>
    <w:p w14:paraId="64E3CFED">
      <w:pPr>
        <w:spacing w:line="400" w:lineRule="exact"/>
        <w:ind w:firstLine="480"/>
        <w:rPr>
          <w:rFonts w:ascii="宋体" w:hAnsi="宋体"/>
          <w:szCs w:val="21"/>
        </w:rPr>
      </w:pPr>
      <w:r>
        <w:rPr>
          <w:rFonts w:hint="eastAsia" w:ascii="宋体" w:hAnsi="宋体"/>
          <w:szCs w:val="21"/>
        </w:rPr>
        <w:t>供应商名称：</w:t>
      </w:r>
      <w:r>
        <w:rPr>
          <w:rFonts w:hint="eastAsia" w:ascii="宋体" w:hAnsi="宋体" w:eastAsia="宋体" w:cs="宋体"/>
          <w:color w:val="000000"/>
          <w:szCs w:val="21"/>
          <w:u w:val="single"/>
          <w:lang w:val="zh-CN"/>
        </w:rPr>
        <w:t>（公章）</w:t>
      </w:r>
    </w:p>
    <w:p w14:paraId="7D2D759F">
      <w:pPr>
        <w:spacing w:line="400" w:lineRule="exact"/>
        <w:ind w:firstLine="480"/>
        <w:rPr>
          <w:rFonts w:ascii="宋体" w:hAnsi="宋体"/>
          <w:szCs w:val="21"/>
        </w:rPr>
      </w:pPr>
      <w:r>
        <w:rPr>
          <w:rFonts w:hint="eastAsia" w:ascii="宋体" w:hAnsi="宋体"/>
          <w:szCs w:val="21"/>
        </w:rPr>
        <w:t>日期：年月日</w:t>
      </w:r>
    </w:p>
    <w:p w14:paraId="1D50042F">
      <w:pPr>
        <w:autoSpaceDE w:val="0"/>
        <w:autoSpaceDN w:val="0"/>
        <w:spacing w:line="400" w:lineRule="exact"/>
        <w:ind w:firstLine="482"/>
        <w:rPr>
          <w:rFonts w:ascii="宋体" w:hAnsi="宋体"/>
          <w:b/>
          <w:szCs w:val="21"/>
          <w:lang w:val="zh-CN"/>
        </w:rPr>
      </w:pPr>
    </w:p>
    <w:p w14:paraId="32E2093C">
      <w:pPr>
        <w:autoSpaceDE w:val="0"/>
        <w:autoSpaceDN w:val="0"/>
        <w:spacing w:line="400" w:lineRule="exact"/>
        <w:ind w:firstLine="482"/>
        <w:rPr>
          <w:rFonts w:ascii="宋体" w:hAnsi="宋体"/>
          <w:b/>
          <w:szCs w:val="21"/>
          <w:lang w:val="zh-CN"/>
        </w:rPr>
      </w:pPr>
    </w:p>
    <w:p w14:paraId="0FE60D7C">
      <w:pPr>
        <w:autoSpaceDE w:val="0"/>
        <w:autoSpaceDN w:val="0"/>
        <w:spacing w:line="400" w:lineRule="exact"/>
        <w:ind w:firstLine="482"/>
        <w:rPr>
          <w:rFonts w:ascii="宋体" w:hAnsi="宋体"/>
          <w:b/>
          <w:szCs w:val="21"/>
          <w:lang w:val="zh-CN"/>
        </w:rPr>
      </w:pPr>
      <w:r>
        <w:rPr>
          <w:rFonts w:hint="eastAsia" w:ascii="宋体" w:hAnsi="宋体"/>
          <w:b/>
          <w:szCs w:val="21"/>
          <w:lang w:val="zh-CN"/>
        </w:rPr>
        <w:t>表三：</w:t>
      </w:r>
      <w:r>
        <w:rPr>
          <w:rFonts w:hint="eastAsia" w:ascii="宋体" w:hAnsi="宋体"/>
          <w:b/>
          <w:szCs w:val="21"/>
        </w:rPr>
        <w:t>技术负责人</w:t>
      </w:r>
      <w:r>
        <w:rPr>
          <w:rFonts w:hint="eastAsia" w:ascii="宋体" w:hAnsi="宋体"/>
          <w:b/>
          <w:bCs/>
          <w:szCs w:val="21"/>
        </w:rPr>
        <w:t>情况一览表</w:t>
      </w:r>
      <w:r>
        <w:rPr>
          <w:rFonts w:hint="eastAsia" w:ascii="宋体" w:hAnsi="宋体"/>
          <w:b/>
          <w:szCs w:val="21"/>
          <w:lang w:val="zh-CN"/>
        </w:rPr>
        <w:t>：</w:t>
      </w:r>
    </w:p>
    <w:tbl>
      <w:tblPr>
        <w:tblStyle w:val="59"/>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28"/>
        <w:gridCol w:w="1851"/>
        <w:gridCol w:w="1329"/>
        <w:gridCol w:w="1065"/>
        <w:gridCol w:w="1083"/>
        <w:gridCol w:w="1254"/>
        <w:gridCol w:w="1818"/>
      </w:tblGrid>
      <w:tr w14:paraId="70ECE4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4" w:hRule="exact"/>
        </w:trPr>
        <w:tc>
          <w:tcPr>
            <w:tcW w:w="628" w:type="dxa"/>
            <w:vAlign w:val="center"/>
          </w:tcPr>
          <w:p w14:paraId="051E56CA">
            <w:pPr>
              <w:spacing w:line="400" w:lineRule="exact"/>
              <w:ind w:firstLine="0" w:firstLineChars="0"/>
              <w:jc w:val="center"/>
              <w:rPr>
                <w:rFonts w:ascii="宋体" w:hAnsi="宋体"/>
                <w:szCs w:val="21"/>
              </w:rPr>
            </w:pPr>
            <w:r>
              <w:rPr>
                <w:rFonts w:ascii="宋体" w:hAnsi="宋体"/>
                <w:szCs w:val="21"/>
              </w:rPr>
              <w:t>1</w:t>
            </w:r>
          </w:p>
        </w:tc>
        <w:tc>
          <w:tcPr>
            <w:tcW w:w="1851" w:type="dxa"/>
            <w:vAlign w:val="center"/>
          </w:tcPr>
          <w:p w14:paraId="27B8F313">
            <w:pPr>
              <w:overflowPunct w:val="0"/>
              <w:spacing w:line="400" w:lineRule="exact"/>
              <w:ind w:firstLine="0" w:firstLineChars="0"/>
              <w:rPr>
                <w:rFonts w:ascii="宋体" w:hAnsi="宋体"/>
                <w:szCs w:val="21"/>
              </w:rPr>
            </w:pPr>
            <w:r>
              <w:rPr>
                <w:rFonts w:ascii="宋体" w:hAnsi="宋体"/>
                <w:szCs w:val="21"/>
              </w:rPr>
              <w:t>姓名</w:t>
            </w:r>
          </w:p>
        </w:tc>
        <w:tc>
          <w:tcPr>
            <w:tcW w:w="2394" w:type="dxa"/>
            <w:gridSpan w:val="2"/>
            <w:vAlign w:val="center"/>
          </w:tcPr>
          <w:p w14:paraId="3E3A40F9">
            <w:pPr>
              <w:overflowPunct w:val="0"/>
              <w:spacing w:line="400" w:lineRule="exact"/>
              <w:ind w:firstLine="0" w:firstLineChars="0"/>
              <w:rPr>
                <w:rFonts w:ascii="宋体" w:hAnsi="宋体"/>
                <w:szCs w:val="21"/>
              </w:rPr>
            </w:pPr>
          </w:p>
        </w:tc>
        <w:tc>
          <w:tcPr>
            <w:tcW w:w="1083" w:type="dxa"/>
            <w:vAlign w:val="center"/>
          </w:tcPr>
          <w:p w14:paraId="2457667A">
            <w:pPr>
              <w:overflowPunct w:val="0"/>
              <w:spacing w:line="400" w:lineRule="exact"/>
              <w:ind w:firstLine="0" w:firstLineChars="0"/>
              <w:rPr>
                <w:rFonts w:ascii="宋体" w:hAnsi="宋体"/>
                <w:szCs w:val="21"/>
              </w:rPr>
            </w:pPr>
            <w:r>
              <w:rPr>
                <w:rFonts w:hint="eastAsia" w:ascii="宋体" w:hAnsi="宋体"/>
                <w:szCs w:val="21"/>
              </w:rPr>
              <w:t>性别</w:t>
            </w:r>
          </w:p>
        </w:tc>
        <w:tc>
          <w:tcPr>
            <w:tcW w:w="3072" w:type="dxa"/>
            <w:gridSpan w:val="2"/>
            <w:vAlign w:val="center"/>
          </w:tcPr>
          <w:p w14:paraId="7AD3E4E4">
            <w:pPr>
              <w:overflowPunct w:val="0"/>
              <w:spacing w:line="400" w:lineRule="exact"/>
              <w:ind w:firstLine="0" w:firstLineChars="0"/>
              <w:rPr>
                <w:rFonts w:ascii="宋体" w:hAnsi="宋体"/>
                <w:szCs w:val="21"/>
              </w:rPr>
            </w:pPr>
          </w:p>
        </w:tc>
      </w:tr>
      <w:tr w14:paraId="243805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4" w:hRule="exact"/>
        </w:trPr>
        <w:tc>
          <w:tcPr>
            <w:tcW w:w="628" w:type="dxa"/>
            <w:vAlign w:val="center"/>
          </w:tcPr>
          <w:p w14:paraId="592D73A2">
            <w:pPr>
              <w:spacing w:line="400" w:lineRule="exact"/>
              <w:ind w:firstLine="0" w:firstLineChars="0"/>
              <w:jc w:val="center"/>
              <w:rPr>
                <w:rFonts w:ascii="宋体" w:hAnsi="宋体"/>
                <w:szCs w:val="21"/>
              </w:rPr>
            </w:pPr>
            <w:r>
              <w:rPr>
                <w:rFonts w:ascii="宋体" w:hAnsi="宋体"/>
                <w:szCs w:val="21"/>
              </w:rPr>
              <w:t>2</w:t>
            </w:r>
          </w:p>
        </w:tc>
        <w:tc>
          <w:tcPr>
            <w:tcW w:w="1851" w:type="dxa"/>
            <w:vAlign w:val="center"/>
          </w:tcPr>
          <w:p w14:paraId="594D2F8E">
            <w:pPr>
              <w:overflowPunct w:val="0"/>
              <w:spacing w:line="400" w:lineRule="exact"/>
              <w:ind w:firstLine="0" w:firstLineChars="0"/>
              <w:rPr>
                <w:rFonts w:ascii="宋体" w:hAnsi="宋体"/>
                <w:szCs w:val="21"/>
              </w:rPr>
            </w:pPr>
            <w:r>
              <w:rPr>
                <w:rFonts w:ascii="宋体" w:hAnsi="宋体"/>
                <w:szCs w:val="21"/>
              </w:rPr>
              <w:t>身份证号码</w:t>
            </w:r>
          </w:p>
        </w:tc>
        <w:tc>
          <w:tcPr>
            <w:tcW w:w="3477" w:type="dxa"/>
            <w:gridSpan w:val="3"/>
            <w:vAlign w:val="center"/>
          </w:tcPr>
          <w:p w14:paraId="0038B16F">
            <w:pPr>
              <w:overflowPunct w:val="0"/>
              <w:spacing w:line="400" w:lineRule="exact"/>
              <w:ind w:firstLine="0" w:firstLineChars="0"/>
              <w:rPr>
                <w:rFonts w:ascii="宋体" w:hAnsi="宋体"/>
                <w:szCs w:val="21"/>
              </w:rPr>
            </w:pPr>
          </w:p>
        </w:tc>
        <w:tc>
          <w:tcPr>
            <w:tcW w:w="1254" w:type="dxa"/>
            <w:vAlign w:val="center"/>
          </w:tcPr>
          <w:p w14:paraId="3EB15FB5">
            <w:pPr>
              <w:overflowPunct w:val="0"/>
              <w:spacing w:line="400" w:lineRule="exact"/>
              <w:ind w:firstLine="0" w:firstLineChars="0"/>
              <w:rPr>
                <w:rFonts w:ascii="宋体" w:hAnsi="宋体"/>
                <w:szCs w:val="21"/>
              </w:rPr>
            </w:pPr>
            <w:r>
              <w:rPr>
                <w:rFonts w:ascii="宋体" w:hAnsi="宋体"/>
                <w:szCs w:val="21"/>
              </w:rPr>
              <w:t>出生年月</w:t>
            </w:r>
          </w:p>
        </w:tc>
        <w:tc>
          <w:tcPr>
            <w:tcW w:w="1818" w:type="dxa"/>
            <w:vAlign w:val="center"/>
          </w:tcPr>
          <w:p w14:paraId="6A4A86A1">
            <w:pPr>
              <w:overflowPunct w:val="0"/>
              <w:spacing w:line="400" w:lineRule="exact"/>
              <w:ind w:firstLine="0" w:firstLineChars="0"/>
              <w:rPr>
                <w:rFonts w:ascii="宋体" w:hAnsi="宋体"/>
                <w:szCs w:val="21"/>
              </w:rPr>
            </w:pPr>
            <w:r>
              <w:rPr>
                <w:rFonts w:ascii="宋体" w:hAnsi="宋体"/>
                <w:szCs w:val="21"/>
              </w:rPr>
              <w:t>年   月</w:t>
            </w:r>
          </w:p>
        </w:tc>
      </w:tr>
      <w:tr w14:paraId="71890B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4" w:hRule="exact"/>
        </w:trPr>
        <w:tc>
          <w:tcPr>
            <w:tcW w:w="628" w:type="dxa"/>
            <w:vAlign w:val="center"/>
          </w:tcPr>
          <w:p w14:paraId="101F3586">
            <w:pPr>
              <w:spacing w:line="400" w:lineRule="exact"/>
              <w:ind w:firstLine="0" w:firstLineChars="0"/>
              <w:jc w:val="center"/>
              <w:rPr>
                <w:rFonts w:ascii="宋体" w:hAnsi="宋体"/>
                <w:szCs w:val="21"/>
              </w:rPr>
            </w:pPr>
            <w:r>
              <w:rPr>
                <w:rFonts w:hint="eastAsia" w:ascii="宋体" w:hAnsi="宋体"/>
                <w:szCs w:val="21"/>
              </w:rPr>
              <w:t>3</w:t>
            </w:r>
          </w:p>
        </w:tc>
        <w:tc>
          <w:tcPr>
            <w:tcW w:w="3180" w:type="dxa"/>
            <w:gridSpan w:val="2"/>
            <w:vAlign w:val="center"/>
          </w:tcPr>
          <w:p w14:paraId="26D73AFE">
            <w:pPr>
              <w:overflowPunct w:val="0"/>
              <w:spacing w:line="400" w:lineRule="exact"/>
              <w:ind w:firstLine="0" w:firstLineChars="0"/>
              <w:rPr>
                <w:rFonts w:ascii="宋体" w:hAnsi="宋体"/>
                <w:szCs w:val="21"/>
              </w:rPr>
            </w:pPr>
            <w:r>
              <w:rPr>
                <w:rFonts w:ascii="宋体" w:hAnsi="宋体"/>
                <w:szCs w:val="21"/>
              </w:rPr>
              <w:t>联系电话：</w:t>
            </w:r>
          </w:p>
        </w:tc>
        <w:tc>
          <w:tcPr>
            <w:tcW w:w="2148" w:type="dxa"/>
            <w:gridSpan w:val="2"/>
            <w:vAlign w:val="center"/>
          </w:tcPr>
          <w:p w14:paraId="6922BC55">
            <w:pPr>
              <w:overflowPunct w:val="0"/>
              <w:spacing w:line="400" w:lineRule="exact"/>
              <w:ind w:firstLine="0" w:firstLineChars="0"/>
              <w:rPr>
                <w:rFonts w:ascii="宋体" w:hAnsi="宋体"/>
                <w:szCs w:val="21"/>
              </w:rPr>
            </w:pPr>
            <w:r>
              <w:rPr>
                <w:rFonts w:ascii="宋体" w:hAnsi="宋体"/>
                <w:szCs w:val="21"/>
              </w:rPr>
              <w:t>传真：</w:t>
            </w:r>
          </w:p>
        </w:tc>
        <w:tc>
          <w:tcPr>
            <w:tcW w:w="3072" w:type="dxa"/>
            <w:gridSpan w:val="2"/>
            <w:vAlign w:val="center"/>
          </w:tcPr>
          <w:p w14:paraId="61158B69">
            <w:pPr>
              <w:overflowPunct w:val="0"/>
              <w:spacing w:line="400" w:lineRule="exact"/>
              <w:ind w:firstLine="0" w:firstLineChars="0"/>
              <w:rPr>
                <w:rFonts w:ascii="宋体" w:hAnsi="宋体"/>
                <w:szCs w:val="21"/>
              </w:rPr>
            </w:pPr>
            <w:r>
              <w:rPr>
                <w:rFonts w:ascii="宋体" w:hAnsi="宋体"/>
                <w:szCs w:val="21"/>
              </w:rPr>
              <w:t>电子邮箱：</w:t>
            </w:r>
          </w:p>
        </w:tc>
      </w:tr>
      <w:tr w14:paraId="1A350E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4" w:hRule="exact"/>
        </w:trPr>
        <w:tc>
          <w:tcPr>
            <w:tcW w:w="628" w:type="dxa"/>
            <w:vAlign w:val="center"/>
          </w:tcPr>
          <w:p w14:paraId="47CC4DA8">
            <w:pPr>
              <w:spacing w:line="400" w:lineRule="exact"/>
              <w:ind w:firstLine="0" w:firstLineChars="0"/>
              <w:jc w:val="center"/>
              <w:rPr>
                <w:rFonts w:ascii="宋体" w:hAnsi="宋体"/>
                <w:szCs w:val="21"/>
              </w:rPr>
            </w:pPr>
            <w:r>
              <w:rPr>
                <w:rFonts w:hint="eastAsia" w:ascii="宋体" w:hAnsi="宋体"/>
                <w:szCs w:val="21"/>
              </w:rPr>
              <w:t>4</w:t>
            </w:r>
          </w:p>
        </w:tc>
        <w:tc>
          <w:tcPr>
            <w:tcW w:w="8400" w:type="dxa"/>
            <w:gridSpan w:val="6"/>
            <w:vAlign w:val="center"/>
          </w:tcPr>
          <w:p w14:paraId="7BB3BD4E">
            <w:pPr>
              <w:overflowPunct w:val="0"/>
              <w:spacing w:line="400" w:lineRule="exact"/>
              <w:ind w:firstLine="0" w:firstLineChars="0"/>
              <w:rPr>
                <w:rFonts w:ascii="宋体" w:hAnsi="宋体"/>
                <w:szCs w:val="21"/>
              </w:rPr>
            </w:pPr>
            <w:r>
              <w:rPr>
                <w:rFonts w:ascii="宋体" w:hAnsi="宋体"/>
                <w:szCs w:val="21"/>
              </w:rPr>
              <w:t>从事工作时间：</w:t>
            </w:r>
          </w:p>
        </w:tc>
      </w:tr>
      <w:tr w14:paraId="159102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4" w:hRule="exact"/>
        </w:trPr>
        <w:tc>
          <w:tcPr>
            <w:tcW w:w="628" w:type="dxa"/>
            <w:vAlign w:val="center"/>
          </w:tcPr>
          <w:p w14:paraId="7AC6980E">
            <w:pPr>
              <w:spacing w:line="400" w:lineRule="exact"/>
              <w:ind w:firstLine="0" w:firstLineChars="0"/>
              <w:jc w:val="center"/>
              <w:rPr>
                <w:rFonts w:ascii="宋体" w:hAnsi="宋体"/>
                <w:szCs w:val="21"/>
              </w:rPr>
            </w:pPr>
            <w:r>
              <w:rPr>
                <w:rFonts w:hint="eastAsia" w:ascii="宋体" w:hAnsi="宋体"/>
                <w:szCs w:val="21"/>
              </w:rPr>
              <w:t>5</w:t>
            </w:r>
          </w:p>
        </w:tc>
        <w:tc>
          <w:tcPr>
            <w:tcW w:w="8400" w:type="dxa"/>
            <w:gridSpan w:val="6"/>
            <w:vAlign w:val="center"/>
          </w:tcPr>
          <w:p w14:paraId="491C11D6">
            <w:pPr>
              <w:overflowPunct w:val="0"/>
              <w:spacing w:line="400" w:lineRule="exact"/>
              <w:ind w:firstLine="0" w:firstLineChars="0"/>
              <w:rPr>
                <w:rFonts w:ascii="宋体" w:hAnsi="宋体"/>
                <w:szCs w:val="21"/>
              </w:rPr>
            </w:pPr>
            <w:r>
              <w:rPr>
                <w:rFonts w:hint="eastAsia" w:ascii="宋体" w:hAnsi="宋体"/>
                <w:szCs w:val="21"/>
              </w:rPr>
              <w:t>注册证书：</w:t>
            </w:r>
          </w:p>
        </w:tc>
      </w:tr>
      <w:tr w14:paraId="0AD4E3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4" w:hRule="exact"/>
        </w:trPr>
        <w:tc>
          <w:tcPr>
            <w:tcW w:w="628" w:type="dxa"/>
            <w:vAlign w:val="center"/>
          </w:tcPr>
          <w:p w14:paraId="5E686AA0">
            <w:pPr>
              <w:spacing w:line="400" w:lineRule="exact"/>
              <w:ind w:firstLine="0" w:firstLineChars="0"/>
              <w:jc w:val="center"/>
              <w:rPr>
                <w:rFonts w:ascii="宋体" w:hAnsi="宋体"/>
                <w:szCs w:val="21"/>
              </w:rPr>
            </w:pPr>
            <w:r>
              <w:rPr>
                <w:rFonts w:hint="eastAsia" w:ascii="宋体" w:hAnsi="宋体"/>
                <w:szCs w:val="21"/>
              </w:rPr>
              <w:t>6</w:t>
            </w:r>
          </w:p>
        </w:tc>
        <w:tc>
          <w:tcPr>
            <w:tcW w:w="8400" w:type="dxa"/>
            <w:gridSpan w:val="6"/>
            <w:vAlign w:val="center"/>
          </w:tcPr>
          <w:p w14:paraId="2A406017">
            <w:pPr>
              <w:overflowPunct w:val="0"/>
              <w:spacing w:line="400" w:lineRule="exact"/>
              <w:ind w:firstLine="0" w:firstLineChars="0"/>
              <w:rPr>
                <w:rFonts w:ascii="宋体" w:hAnsi="宋体"/>
                <w:szCs w:val="21"/>
              </w:rPr>
            </w:pPr>
            <w:r>
              <w:rPr>
                <w:rFonts w:hint="eastAsia" w:ascii="宋体" w:hAnsi="宋体"/>
                <w:szCs w:val="21"/>
              </w:rPr>
              <w:t>所获表彰：</w:t>
            </w:r>
          </w:p>
        </w:tc>
      </w:tr>
      <w:tr w14:paraId="6867B0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4" w:hRule="exact"/>
        </w:trPr>
        <w:tc>
          <w:tcPr>
            <w:tcW w:w="628" w:type="dxa"/>
            <w:vAlign w:val="center"/>
          </w:tcPr>
          <w:p w14:paraId="6607BCD6">
            <w:pPr>
              <w:spacing w:line="400" w:lineRule="exact"/>
              <w:ind w:firstLine="0" w:firstLineChars="0"/>
              <w:jc w:val="center"/>
              <w:rPr>
                <w:rFonts w:ascii="宋体" w:hAnsi="宋体"/>
                <w:szCs w:val="21"/>
              </w:rPr>
            </w:pPr>
            <w:r>
              <w:rPr>
                <w:rFonts w:hint="eastAsia" w:ascii="宋体" w:hAnsi="宋体"/>
                <w:szCs w:val="21"/>
              </w:rPr>
              <w:t>7</w:t>
            </w:r>
          </w:p>
        </w:tc>
        <w:tc>
          <w:tcPr>
            <w:tcW w:w="8400" w:type="dxa"/>
            <w:gridSpan w:val="6"/>
            <w:vAlign w:val="center"/>
          </w:tcPr>
          <w:p w14:paraId="7B70B267">
            <w:pPr>
              <w:overflowPunct w:val="0"/>
              <w:spacing w:line="400" w:lineRule="exact"/>
              <w:ind w:firstLine="0" w:firstLineChars="0"/>
              <w:rPr>
                <w:rFonts w:ascii="宋体" w:hAnsi="宋体"/>
                <w:szCs w:val="21"/>
              </w:rPr>
            </w:pPr>
            <w:r>
              <w:rPr>
                <w:rFonts w:ascii="宋体" w:hAnsi="宋体"/>
                <w:szCs w:val="21"/>
              </w:rPr>
              <w:t>职称：</w:t>
            </w:r>
          </w:p>
        </w:tc>
      </w:tr>
      <w:tr w14:paraId="0B2B81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4" w:hRule="exact"/>
        </w:trPr>
        <w:tc>
          <w:tcPr>
            <w:tcW w:w="628" w:type="dxa"/>
            <w:vAlign w:val="center"/>
          </w:tcPr>
          <w:p w14:paraId="48710743">
            <w:pPr>
              <w:spacing w:line="400" w:lineRule="exact"/>
              <w:ind w:firstLine="0" w:firstLineChars="0"/>
              <w:jc w:val="center"/>
              <w:rPr>
                <w:rFonts w:ascii="宋体" w:hAnsi="宋体"/>
                <w:szCs w:val="21"/>
              </w:rPr>
            </w:pPr>
            <w:r>
              <w:rPr>
                <w:rFonts w:hint="eastAsia" w:ascii="宋体" w:hAnsi="宋体"/>
                <w:szCs w:val="21"/>
              </w:rPr>
              <w:t>8</w:t>
            </w:r>
          </w:p>
        </w:tc>
        <w:tc>
          <w:tcPr>
            <w:tcW w:w="8400" w:type="dxa"/>
            <w:gridSpan w:val="6"/>
          </w:tcPr>
          <w:p w14:paraId="6DA58CBD">
            <w:pPr>
              <w:overflowPunct w:val="0"/>
              <w:spacing w:line="400" w:lineRule="exact"/>
              <w:ind w:firstLine="0" w:firstLineChars="0"/>
              <w:rPr>
                <w:rFonts w:ascii="宋体" w:hAnsi="宋体"/>
                <w:szCs w:val="21"/>
              </w:rPr>
            </w:pPr>
            <w:r>
              <w:rPr>
                <w:rFonts w:hint="eastAsia" w:ascii="宋体" w:hAnsi="宋体"/>
                <w:szCs w:val="21"/>
              </w:rPr>
              <w:t>本公司承诺：</w:t>
            </w:r>
          </w:p>
          <w:p w14:paraId="15B07D14">
            <w:pPr>
              <w:overflowPunct w:val="0"/>
              <w:spacing w:line="400" w:lineRule="exact"/>
              <w:ind w:firstLine="0" w:firstLineChars="0"/>
              <w:rPr>
                <w:rFonts w:ascii="宋体" w:hAnsi="宋体"/>
                <w:szCs w:val="21"/>
              </w:rPr>
            </w:pPr>
            <w:r>
              <w:rPr>
                <w:rFonts w:hint="eastAsia" w:ascii="宋体" w:hAnsi="宋体"/>
                <w:szCs w:val="21"/>
              </w:rPr>
              <w:t>该同志</w:t>
            </w:r>
            <w:r>
              <w:rPr>
                <w:rFonts w:ascii="宋体" w:hAnsi="宋体"/>
                <w:szCs w:val="21"/>
              </w:rPr>
              <w:t>在</w:t>
            </w:r>
            <w:r>
              <w:rPr>
                <w:rFonts w:hint="eastAsia" w:ascii="宋体" w:hAnsi="宋体"/>
                <w:szCs w:val="21"/>
              </w:rPr>
              <w:t>我单位已</w:t>
            </w:r>
            <w:r>
              <w:rPr>
                <w:rFonts w:ascii="宋体" w:hAnsi="宋体"/>
                <w:szCs w:val="21"/>
              </w:rPr>
              <w:t>任职一年以上且在从业经历中没有任何违法、违规而被查处的不良记录。</w:t>
            </w:r>
          </w:p>
        </w:tc>
      </w:tr>
      <w:tr w14:paraId="401A99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4" w:hRule="exact"/>
        </w:trPr>
        <w:tc>
          <w:tcPr>
            <w:tcW w:w="628" w:type="dxa"/>
            <w:vAlign w:val="center"/>
          </w:tcPr>
          <w:p w14:paraId="08865F3C">
            <w:pPr>
              <w:spacing w:line="400" w:lineRule="exact"/>
              <w:ind w:firstLine="0" w:firstLineChars="0"/>
              <w:jc w:val="center"/>
              <w:rPr>
                <w:rFonts w:ascii="宋体" w:hAnsi="宋体"/>
                <w:szCs w:val="21"/>
              </w:rPr>
            </w:pPr>
            <w:r>
              <w:rPr>
                <w:rFonts w:hint="eastAsia" w:ascii="宋体" w:hAnsi="宋体"/>
                <w:szCs w:val="21"/>
              </w:rPr>
              <w:t>9</w:t>
            </w:r>
          </w:p>
        </w:tc>
        <w:tc>
          <w:tcPr>
            <w:tcW w:w="8400" w:type="dxa"/>
            <w:gridSpan w:val="6"/>
          </w:tcPr>
          <w:p w14:paraId="436D3A75">
            <w:pPr>
              <w:overflowPunct w:val="0"/>
              <w:spacing w:line="400" w:lineRule="exact"/>
              <w:ind w:firstLine="0" w:firstLineChars="0"/>
              <w:rPr>
                <w:rFonts w:ascii="宋体" w:hAnsi="宋体"/>
                <w:szCs w:val="21"/>
              </w:rPr>
            </w:pPr>
            <w:r>
              <w:rPr>
                <w:rFonts w:ascii="宋体" w:hAnsi="宋体"/>
                <w:szCs w:val="21"/>
              </w:rPr>
              <w:t>其他需要说明的情况</w:t>
            </w:r>
          </w:p>
        </w:tc>
      </w:tr>
    </w:tbl>
    <w:p w14:paraId="3B3B70D0">
      <w:pPr>
        <w:spacing w:line="400" w:lineRule="exact"/>
        <w:ind w:firstLine="480"/>
        <w:rPr>
          <w:rFonts w:ascii="宋体" w:hAnsi="宋体"/>
          <w:szCs w:val="21"/>
        </w:rPr>
      </w:pPr>
      <w:r>
        <w:rPr>
          <w:rFonts w:hint="eastAsia" w:ascii="宋体" w:hAnsi="宋体"/>
          <w:szCs w:val="21"/>
        </w:rPr>
        <w:t>供应商名称：</w:t>
      </w:r>
      <w:r>
        <w:rPr>
          <w:rFonts w:hint="eastAsia" w:ascii="宋体" w:hAnsi="宋体" w:eastAsia="宋体" w:cs="宋体"/>
          <w:color w:val="000000"/>
          <w:szCs w:val="21"/>
          <w:u w:val="single"/>
          <w:lang w:val="zh-CN"/>
        </w:rPr>
        <w:t>（公章）</w:t>
      </w:r>
    </w:p>
    <w:p w14:paraId="6987CA9B">
      <w:pPr>
        <w:spacing w:line="400" w:lineRule="exact"/>
        <w:ind w:firstLine="480"/>
        <w:rPr>
          <w:rFonts w:ascii="宋体" w:hAnsi="宋体"/>
          <w:szCs w:val="21"/>
        </w:rPr>
      </w:pPr>
      <w:r>
        <w:rPr>
          <w:rFonts w:hint="eastAsia" w:ascii="宋体" w:hAnsi="宋体"/>
          <w:szCs w:val="21"/>
        </w:rPr>
        <w:t>日期：年月日</w:t>
      </w:r>
    </w:p>
    <w:p w14:paraId="5878F5ED">
      <w:pPr>
        <w:spacing w:line="400" w:lineRule="exact"/>
        <w:ind w:firstLine="482"/>
        <w:rPr>
          <w:rFonts w:hint="eastAsia" w:ascii="宋体" w:hAnsi="宋体"/>
          <w:b/>
          <w:szCs w:val="21"/>
        </w:rPr>
      </w:pPr>
      <w:r>
        <w:rPr>
          <w:rFonts w:hint="eastAsia" w:ascii="宋体" w:hAnsi="宋体"/>
          <w:b/>
          <w:szCs w:val="21"/>
        </w:rPr>
        <w:t>附：资质证书复印件</w:t>
      </w:r>
    </w:p>
    <w:p w14:paraId="72E20809">
      <w:pPr>
        <w:spacing w:line="400" w:lineRule="exact"/>
        <w:ind w:firstLine="482"/>
        <w:rPr>
          <w:rFonts w:hint="eastAsia" w:ascii="宋体" w:hAnsi="宋体"/>
          <w:b/>
          <w:szCs w:val="21"/>
        </w:rPr>
      </w:pPr>
    </w:p>
    <w:p w14:paraId="5E106AB7">
      <w:pPr>
        <w:autoSpaceDE w:val="0"/>
        <w:autoSpaceDN w:val="0"/>
        <w:ind w:firstLine="480"/>
        <w:jc w:val="right"/>
        <w:rPr>
          <w:rFonts w:ascii="宋体" w:hAnsi="宋体"/>
          <w:szCs w:val="24"/>
          <w:lang w:val="zh-CN"/>
        </w:rPr>
      </w:pPr>
    </w:p>
    <w:bookmarkEnd w:id="1176"/>
    <w:p w14:paraId="18C890DF">
      <w:pPr>
        <w:pStyle w:val="3"/>
        <w:keepNext w:val="0"/>
        <w:keepLines w:val="0"/>
        <w:ind w:firstLine="482"/>
      </w:pPr>
      <w:bookmarkStart w:id="1185" w:name="_Toc36797985"/>
      <w:r>
        <w:rPr>
          <w:rFonts w:hint="eastAsia"/>
        </w:rPr>
        <w:t>附件一、中小企业声明函格式</w:t>
      </w:r>
      <w:bookmarkEnd w:id="1185"/>
    </w:p>
    <w:p w14:paraId="1AE8AC2A">
      <w:pPr>
        <w:ind w:firstLine="720"/>
        <w:jc w:val="center"/>
        <w:rPr>
          <w:rFonts w:ascii="黑体" w:eastAsia="黑体"/>
          <w:color w:val="000000"/>
          <w:sz w:val="24"/>
          <w:szCs w:val="24"/>
        </w:rPr>
      </w:pPr>
      <w:r>
        <w:rPr>
          <w:rFonts w:hint="eastAsia" w:ascii="黑体" w:eastAsia="黑体"/>
          <w:color w:val="000000"/>
          <w:sz w:val="24"/>
          <w:szCs w:val="24"/>
        </w:rPr>
        <w:t>中小企业声明函</w:t>
      </w:r>
    </w:p>
    <w:p w14:paraId="78A6E4B4">
      <w:pPr>
        <w:spacing w:line="560" w:lineRule="exact"/>
        <w:ind w:firstLine="420"/>
        <w:rPr>
          <w:rFonts w:hint="eastAsia" w:ascii="宋体" w:hAnsi="宋体" w:eastAsia="宋体" w:cs="宋体"/>
          <w:sz w:val="24"/>
          <w:szCs w:val="24"/>
          <w:lang w:eastAsia="zh-CN"/>
        </w:rPr>
      </w:pPr>
      <w:bookmarkStart w:id="1186" w:name="_Toc36797986"/>
      <w:r>
        <w:rPr>
          <w:rFonts w:hint="eastAsia" w:ascii="宋体" w:hAnsi="宋体" w:eastAsia="宋体" w:cs="宋体"/>
          <w:sz w:val="24"/>
          <w:szCs w:val="24"/>
          <w:lang w:eastAsia="zh-CN"/>
        </w:rPr>
        <w:t>本公司（联合体）郑重声明，根据《政府采购促进中小企业发展管理办法》（财库﹝2020﹞46 号）的规定，本公司（联合体）参加</w:t>
      </w:r>
      <w:r>
        <w:rPr>
          <w:rFonts w:hint="eastAsia" w:ascii="宋体" w:hAnsi="宋体" w:eastAsia="宋体" w:cs="宋体"/>
          <w:sz w:val="24"/>
          <w:szCs w:val="24"/>
          <w:u w:val="single"/>
          <w:lang w:eastAsia="zh-CN"/>
        </w:rPr>
        <w:t xml:space="preserve"> （单位名称） </w:t>
      </w:r>
      <w:r>
        <w:rPr>
          <w:rFonts w:hint="eastAsia" w:ascii="宋体" w:hAnsi="宋体" w:eastAsia="宋体" w:cs="宋体"/>
          <w:sz w:val="24"/>
          <w:szCs w:val="24"/>
          <w:lang w:eastAsia="zh-CN"/>
        </w:rPr>
        <w:t>的</w:t>
      </w:r>
      <w:r>
        <w:rPr>
          <w:rFonts w:hint="eastAsia" w:ascii="宋体" w:hAnsi="宋体" w:eastAsia="宋体" w:cs="宋体"/>
          <w:sz w:val="24"/>
          <w:szCs w:val="24"/>
          <w:u w:val="single"/>
          <w:lang w:eastAsia="zh-CN"/>
        </w:rPr>
        <w:t xml:space="preserve"> （项目名称）</w:t>
      </w:r>
      <w:r>
        <w:rPr>
          <w:rFonts w:hint="eastAsia" w:ascii="宋体" w:hAnsi="宋体" w:eastAsia="宋体" w:cs="宋体"/>
          <w:sz w:val="24"/>
          <w:szCs w:val="24"/>
          <w:lang w:eastAsia="zh-CN"/>
        </w:rPr>
        <w:t xml:space="preserve"> 采购活动，服务全部由符合政策要求的中小企业承接。相关企业（含联合体中的中小企业、签订分包意向协议的中小企业）的具体情况如下：</w:t>
      </w:r>
    </w:p>
    <w:p w14:paraId="35A0C26E">
      <w:pPr>
        <w:spacing w:line="560" w:lineRule="exact"/>
        <w:ind w:firstLine="420"/>
        <w:rPr>
          <w:rFonts w:hint="eastAsia" w:ascii="宋体" w:hAnsi="宋体" w:eastAsia="宋体" w:cs="宋体"/>
          <w:sz w:val="24"/>
          <w:szCs w:val="24"/>
          <w:lang w:eastAsia="zh-CN"/>
        </w:rPr>
      </w:pPr>
      <w:r>
        <w:rPr>
          <w:rFonts w:hint="eastAsia" w:ascii="宋体" w:hAnsi="宋体" w:eastAsia="宋体" w:cs="宋体"/>
          <w:sz w:val="24"/>
          <w:szCs w:val="24"/>
          <w:lang w:eastAsia="zh-CN"/>
        </w:rPr>
        <w:t>1、</w:t>
      </w:r>
      <w:r>
        <w:rPr>
          <w:rFonts w:hint="eastAsia" w:ascii="宋体" w:hAnsi="宋体" w:eastAsia="宋体" w:cs="宋体"/>
          <w:sz w:val="24"/>
          <w:szCs w:val="24"/>
          <w:u w:val="single"/>
          <w:lang w:eastAsia="zh-CN"/>
        </w:rPr>
        <w:t>（项目名称）</w:t>
      </w:r>
      <w:r>
        <w:rPr>
          <w:rFonts w:hint="eastAsia" w:ascii="宋体" w:hAnsi="宋体" w:eastAsia="宋体" w:cs="宋体"/>
          <w:sz w:val="24"/>
          <w:szCs w:val="24"/>
          <w:lang w:eastAsia="zh-CN"/>
        </w:rPr>
        <w:t>，属于</w:t>
      </w:r>
      <w:r>
        <w:rPr>
          <w:rFonts w:hint="eastAsia" w:ascii="宋体" w:hAnsi="宋体" w:eastAsia="宋体" w:cs="宋体"/>
          <w:sz w:val="24"/>
          <w:szCs w:val="24"/>
          <w:u w:val="single"/>
          <w:lang w:eastAsia="zh-CN"/>
        </w:rPr>
        <w:t xml:space="preserve"> 建筑业 </w:t>
      </w:r>
      <w:r>
        <w:rPr>
          <w:rFonts w:hint="eastAsia" w:ascii="宋体" w:hAnsi="宋体" w:eastAsia="宋体" w:cs="宋体"/>
          <w:sz w:val="24"/>
          <w:szCs w:val="24"/>
          <w:lang w:eastAsia="zh-CN"/>
        </w:rPr>
        <w:t>；承接企业为</w:t>
      </w:r>
      <w:r>
        <w:rPr>
          <w:rFonts w:hint="eastAsia" w:ascii="宋体" w:hAnsi="宋体" w:eastAsia="宋体" w:cs="宋体"/>
          <w:sz w:val="24"/>
          <w:szCs w:val="24"/>
          <w:u w:val="single"/>
          <w:lang w:eastAsia="zh-CN"/>
        </w:rPr>
        <w:t xml:space="preserve"> （企业名称） </w:t>
      </w:r>
      <w:r>
        <w:rPr>
          <w:rFonts w:hint="eastAsia" w:ascii="宋体" w:hAnsi="宋体" w:eastAsia="宋体" w:cs="宋体"/>
          <w:sz w:val="24"/>
          <w:szCs w:val="24"/>
          <w:lang w:eastAsia="zh-CN"/>
        </w:rPr>
        <w:t>，从业人员</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人，营业收入为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万元，资产总额为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万元</w:t>
      </w:r>
      <w:r>
        <w:rPr>
          <w:rStyle w:val="76"/>
          <w:rFonts w:hint="eastAsia" w:ascii="宋体" w:hAnsi="宋体" w:eastAsia="宋体" w:cs="宋体"/>
          <w:sz w:val="24"/>
          <w:szCs w:val="24"/>
        </w:rPr>
        <w:footnoteReference w:id="0"/>
      </w:r>
      <w:r>
        <w:rPr>
          <w:rFonts w:hint="eastAsia" w:ascii="宋体" w:hAnsi="宋体" w:eastAsia="宋体" w:cs="宋体"/>
          <w:sz w:val="24"/>
          <w:szCs w:val="24"/>
          <w:lang w:eastAsia="zh-CN"/>
        </w:rPr>
        <w:t>，属于</w:t>
      </w:r>
      <w:r>
        <w:rPr>
          <w:rFonts w:hint="eastAsia" w:ascii="宋体" w:hAnsi="宋体" w:eastAsia="宋体" w:cs="宋体"/>
          <w:sz w:val="24"/>
          <w:szCs w:val="24"/>
          <w:u w:val="single"/>
          <w:lang w:eastAsia="zh-CN"/>
        </w:rPr>
        <w:t>（中型企业、小型企业、微型企业）</w:t>
      </w:r>
      <w:r>
        <w:rPr>
          <w:rFonts w:hint="eastAsia" w:ascii="宋体" w:hAnsi="宋体" w:eastAsia="宋体" w:cs="宋体"/>
          <w:sz w:val="24"/>
          <w:szCs w:val="24"/>
          <w:lang w:eastAsia="zh-CN"/>
        </w:rPr>
        <w:t>；</w:t>
      </w:r>
    </w:p>
    <w:p w14:paraId="734FC54F">
      <w:pPr>
        <w:spacing w:line="560" w:lineRule="exact"/>
        <w:ind w:firstLine="420"/>
        <w:rPr>
          <w:rFonts w:hint="eastAsia" w:ascii="宋体" w:hAnsi="宋体" w:eastAsia="宋体" w:cs="宋体"/>
          <w:sz w:val="24"/>
          <w:szCs w:val="24"/>
          <w:lang w:eastAsia="zh-CN"/>
        </w:rPr>
      </w:pPr>
      <w:r>
        <w:rPr>
          <w:rFonts w:hint="eastAsia" w:ascii="宋体" w:hAnsi="宋体" w:eastAsia="宋体" w:cs="宋体"/>
          <w:sz w:val="24"/>
          <w:szCs w:val="24"/>
          <w:lang w:eastAsia="zh-CN"/>
        </w:rPr>
        <w:t>2、</w:t>
      </w:r>
      <w:r>
        <w:rPr>
          <w:rFonts w:hint="eastAsia" w:ascii="宋体" w:hAnsi="宋体" w:eastAsia="宋体" w:cs="宋体"/>
          <w:sz w:val="24"/>
          <w:szCs w:val="24"/>
          <w:u w:val="single"/>
          <w:lang w:eastAsia="zh-CN"/>
        </w:rPr>
        <w:t>（项目名称）</w:t>
      </w:r>
      <w:r>
        <w:rPr>
          <w:rFonts w:hint="eastAsia" w:ascii="宋体" w:hAnsi="宋体" w:eastAsia="宋体" w:cs="宋体"/>
          <w:sz w:val="24"/>
          <w:szCs w:val="24"/>
          <w:lang w:eastAsia="zh-CN"/>
        </w:rPr>
        <w:t>，属于</w:t>
      </w:r>
      <w:r>
        <w:rPr>
          <w:rFonts w:hint="eastAsia" w:ascii="宋体" w:hAnsi="宋体" w:eastAsia="宋体" w:cs="宋体"/>
          <w:sz w:val="24"/>
          <w:szCs w:val="24"/>
          <w:u w:val="single"/>
          <w:lang w:eastAsia="zh-CN"/>
        </w:rPr>
        <w:t xml:space="preserve"> 建筑业 </w:t>
      </w:r>
      <w:r>
        <w:rPr>
          <w:rFonts w:hint="eastAsia" w:ascii="宋体" w:hAnsi="宋体" w:eastAsia="宋体" w:cs="宋体"/>
          <w:sz w:val="24"/>
          <w:szCs w:val="24"/>
          <w:lang w:eastAsia="zh-CN"/>
        </w:rPr>
        <w:t>；承接企业为</w:t>
      </w:r>
      <w:r>
        <w:rPr>
          <w:rFonts w:hint="eastAsia" w:ascii="宋体" w:hAnsi="宋体" w:eastAsia="宋体" w:cs="宋体"/>
          <w:sz w:val="24"/>
          <w:szCs w:val="24"/>
          <w:u w:val="single"/>
          <w:lang w:eastAsia="zh-CN"/>
        </w:rPr>
        <w:t xml:space="preserve"> （企业名称） </w:t>
      </w:r>
      <w:r>
        <w:rPr>
          <w:rFonts w:hint="eastAsia" w:ascii="宋体" w:hAnsi="宋体" w:eastAsia="宋体" w:cs="宋体"/>
          <w:sz w:val="24"/>
          <w:szCs w:val="24"/>
          <w:lang w:eastAsia="zh-CN"/>
        </w:rPr>
        <w:t>，从业人员</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人，营业收入为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万元，资产总额为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万元，属于</w:t>
      </w:r>
      <w:r>
        <w:rPr>
          <w:rFonts w:hint="eastAsia" w:ascii="宋体" w:hAnsi="宋体" w:eastAsia="宋体" w:cs="宋体"/>
          <w:sz w:val="24"/>
          <w:szCs w:val="24"/>
          <w:u w:val="single"/>
          <w:lang w:eastAsia="zh-CN"/>
        </w:rPr>
        <w:t>（中型企业、小型企业、微型企业）</w:t>
      </w:r>
      <w:r>
        <w:rPr>
          <w:rFonts w:hint="eastAsia" w:ascii="宋体" w:hAnsi="宋体" w:eastAsia="宋体" w:cs="宋体"/>
          <w:sz w:val="24"/>
          <w:szCs w:val="24"/>
          <w:lang w:eastAsia="zh-CN"/>
        </w:rPr>
        <w:t>；</w:t>
      </w:r>
    </w:p>
    <w:p w14:paraId="56514F40">
      <w:pPr>
        <w:spacing w:line="560" w:lineRule="exact"/>
        <w:ind w:firstLine="420"/>
        <w:rPr>
          <w:rFonts w:hint="eastAsia" w:ascii="宋体" w:hAnsi="宋体" w:eastAsia="宋体" w:cs="宋体"/>
          <w:sz w:val="24"/>
          <w:szCs w:val="24"/>
          <w:lang w:eastAsia="zh-CN"/>
        </w:rPr>
      </w:pPr>
      <w:r>
        <w:rPr>
          <w:rFonts w:hint="eastAsia" w:ascii="宋体" w:hAnsi="宋体" w:eastAsia="宋体" w:cs="宋体"/>
          <w:sz w:val="24"/>
          <w:szCs w:val="24"/>
          <w:lang w:eastAsia="zh-CN"/>
        </w:rPr>
        <w:t>……</w:t>
      </w:r>
    </w:p>
    <w:p w14:paraId="085A254B">
      <w:pPr>
        <w:spacing w:line="560" w:lineRule="exact"/>
        <w:ind w:firstLine="420"/>
        <w:rPr>
          <w:rFonts w:hint="eastAsia" w:ascii="宋体" w:hAnsi="宋体" w:eastAsia="宋体" w:cs="宋体"/>
          <w:sz w:val="24"/>
          <w:szCs w:val="24"/>
          <w:lang w:eastAsia="zh-CN"/>
        </w:rPr>
      </w:pPr>
      <w:r>
        <w:rPr>
          <w:rFonts w:hint="eastAsia" w:ascii="宋体" w:hAnsi="宋体" w:eastAsia="宋体" w:cs="宋体"/>
          <w:sz w:val="24"/>
          <w:szCs w:val="24"/>
          <w:lang w:eastAsia="zh-CN"/>
        </w:rPr>
        <w:t>以上企业，不属于大企业的分支机构，不存在控股股东为大企业的情形，也不存在与大企业的负责人为同一人的情形。</w:t>
      </w:r>
    </w:p>
    <w:p w14:paraId="055555F6">
      <w:pPr>
        <w:spacing w:line="560" w:lineRule="exact"/>
        <w:ind w:firstLine="420"/>
        <w:rPr>
          <w:rFonts w:hint="eastAsia" w:ascii="宋体" w:hAnsi="宋体" w:eastAsia="宋体" w:cs="宋体"/>
          <w:sz w:val="24"/>
          <w:szCs w:val="24"/>
          <w:lang w:eastAsia="zh-CN"/>
        </w:rPr>
      </w:pPr>
      <w:r>
        <w:rPr>
          <w:rFonts w:hint="eastAsia" w:ascii="宋体" w:hAnsi="宋体" w:eastAsia="宋体" w:cs="宋体"/>
          <w:sz w:val="24"/>
          <w:szCs w:val="24"/>
          <w:lang w:eastAsia="zh-CN"/>
        </w:rPr>
        <w:t>本企业对上述声明内容的真实性负责。如有虚假，将依法承担相应责任。</w:t>
      </w:r>
    </w:p>
    <w:p w14:paraId="35CF7C2F">
      <w:pPr>
        <w:spacing w:line="560" w:lineRule="exact"/>
        <w:ind w:firstLine="420"/>
        <w:rPr>
          <w:rFonts w:hint="eastAsia"/>
          <w:sz w:val="21"/>
          <w:szCs w:val="21"/>
          <w:lang w:eastAsia="zh-CN"/>
        </w:rPr>
      </w:pPr>
    </w:p>
    <w:p w14:paraId="73DBEB4A">
      <w:pPr>
        <w:spacing w:line="560" w:lineRule="exact"/>
        <w:rPr>
          <w:rFonts w:hint="eastAsia"/>
          <w:sz w:val="21"/>
          <w:szCs w:val="21"/>
          <w:lang w:eastAsia="zh-CN"/>
        </w:rPr>
      </w:pPr>
      <w:r>
        <w:rPr>
          <w:rFonts w:hint="eastAsia"/>
          <w:sz w:val="21"/>
          <w:szCs w:val="21"/>
          <w:lang w:eastAsia="zh-CN"/>
        </w:rPr>
        <w:t xml:space="preserve">    </w:t>
      </w:r>
    </w:p>
    <w:p w14:paraId="56DE7C61">
      <w:pPr>
        <w:spacing w:line="560" w:lineRule="exact"/>
        <w:ind w:firstLine="4830"/>
        <w:jc w:val="right"/>
        <w:rPr>
          <w:rFonts w:hint="eastAsia"/>
          <w:sz w:val="24"/>
          <w:szCs w:val="24"/>
          <w:lang w:eastAsia="zh-CN"/>
        </w:rPr>
      </w:pPr>
      <w:r>
        <w:rPr>
          <w:rFonts w:hint="eastAsia"/>
          <w:sz w:val="24"/>
          <w:szCs w:val="24"/>
          <w:lang w:eastAsia="zh-CN"/>
        </w:rPr>
        <w:t>供应商名称（公章）：</w:t>
      </w:r>
    </w:p>
    <w:p w14:paraId="305670E0">
      <w:pPr>
        <w:spacing w:line="560" w:lineRule="exact"/>
        <w:jc w:val="right"/>
        <w:rPr>
          <w:rFonts w:hint="eastAsia"/>
          <w:sz w:val="24"/>
          <w:szCs w:val="24"/>
          <w:lang w:eastAsia="zh-CN"/>
        </w:rPr>
      </w:pPr>
    </w:p>
    <w:p w14:paraId="24F4E26E">
      <w:pPr>
        <w:adjustRightInd/>
        <w:snapToGrid/>
        <w:spacing w:line="240" w:lineRule="auto"/>
        <w:ind w:firstLine="0" w:firstLineChars="0"/>
        <w:jc w:val="right"/>
        <w:rPr>
          <w:rFonts w:ascii="宋体" w:hAnsi="宋体" w:cs="Times New Roman"/>
          <w:b/>
          <w:kern w:val="2"/>
          <w:szCs w:val="24"/>
        </w:rPr>
      </w:pPr>
      <w:r>
        <w:rPr>
          <w:rFonts w:hint="eastAsia"/>
          <w:sz w:val="24"/>
          <w:szCs w:val="24"/>
          <w:lang w:eastAsia="zh-CN"/>
        </w:rPr>
        <w:t>日        期：     年     月     日</w:t>
      </w:r>
      <w:r>
        <w:br w:type="page"/>
      </w:r>
    </w:p>
    <w:bookmarkEnd w:id="1186"/>
    <w:p w14:paraId="51645DF8">
      <w:pPr>
        <w:pStyle w:val="21"/>
        <w:kinsoku w:val="0"/>
        <w:overflowPunct w:val="0"/>
        <w:spacing w:before="24"/>
        <w:ind w:left="103" w:firstLine="482"/>
        <w:rPr>
          <w:rFonts w:ascii="宋体" w:hAnsi="宋体" w:cs="Times New Roman"/>
          <w:b/>
          <w:kern w:val="2"/>
          <w:szCs w:val="24"/>
        </w:rPr>
      </w:pPr>
      <w:r>
        <w:rPr>
          <w:rFonts w:hint="eastAsia" w:ascii="宋体" w:hAnsi="宋体" w:cs="Times New Roman"/>
          <w:b/>
          <w:kern w:val="2"/>
          <w:szCs w:val="24"/>
        </w:rPr>
        <w:t>附件</w:t>
      </w:r>
      <w:r>
        <w:rPr>
          <w:rFonts w:hint="eastAsia" w:ascii="宋体" w:hAnsi="宋体" w:cs="Times New Roman"/>
          <w:b/>
          <w:kern w:val="2"/>
          <w:szCs w:val="24"/>
          <w:lang w:eastAsia="zh-CN"/>
        </w:rPr>
        <w:t>二</w:t>
      </w:r>
      <w:r>
        <w:rPr>
          <w:rFonts w:hint="eastAsia" w:ascii="宋体" w:hAnsi="宋体" w:cs="Times New Roman"/>
          <w:b/>
          <w:kern w:val="2"/>
          <w:szCs w:val="24"/>
        </w:rPr>
        <w:t>、残疾人福利性单位声明函</w:t>
      </w:r>
    </w:p>
    <w:p w14:paraId="10C20DAB">
      <w:pPr>
        <w:pStyle w:val="428"/>
        <w:kinsoku w:val="0"/>
        <w:overflowPunct w:val="0"/>
        <w:spacing w:line="364" w:lineRule="exact"/>
        <w:ind w:firstLine="720"/>
        <w:jc w:val="center"/>
        <w:outlineLvl w:val="9"/>
        <w:rPr>
          <w:rFonts w:hint="eastAsia" w:ascii="Times New Roman" w:eastAsia="黑体" w:cs="Times New Roman"/>
          <w:kern w:val="2"/>
          <w:sz w:val="24"/>
          <w:szCs w:val="24"/>
        </w:rPr>
      </w:pPr>
      <w:r>
        <w:rPr>
          <w:rFonts w:hint="eastAsia" w:ascii="Times New Roman" w:eastAsia="黑体" w:cs="Times New Roman"/>
          <w:kern w:val="2"/>
          <w:sz w:val="24"/>
          <w:szCs w:val="24"/>
        </w:rPr>
        <w:t>残疾人福利性单位声明函</w:t>
      </w:r>
    </w:p>
    <w:p w14:paraId="56F9EE98">
      <w:pPr>
        <w:pStyle w:val="428"/>
        <w:kinsoku w:val="0"/>
        <w:overflowPunct w:val="0"/>
        <w:spacing w:line="364" w:lineRule="exact"/>
        <w:ind w:firstLine="720"/>
        <w:jc w:val="center"/>
        <w:outlineLvl w:val="9"/>
        <w:rPr>
          <w:rFonts w:hint="eastAsia" w:ascii="Times New Roman" w:eastAsia="黑体" w:cs="Times New Roman"/>
          <w:kern w:val="2"/>
          <w:sz w:val="24"/>
          <w:szCs w:val="24"/>
        </w:rPr>
      </w:pPr>
    </w:p>
    <w:p w14:paraId="0728BCB1">
      <w:pPr>
        <w:keepNext w:val="0"/>
        <w:keepLines w:val="0"/>
        <w:pageBreakBefore w:val="0"/>
        <w:widowControl/>
        <w:kinsoku/>
        <w:wordWrap/>
        <w:overflowPunct/>
        <w:topLinePunct w:val="0"/>
        <w:autoSpaceDE/>
        <w:autoSpaceDN/>
        <w:bidi w:val="0"/>
        <w:adjustRightInd w:val="0"/>
        <w:snapToGrid w:val="0"/>
        <w:spacing w:before="160" w:line="360" w:lineRule="auto"/>
        <w:ind w:right="2" w:firstLine="421"/>
        <w:textAlignment w:val="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我</w:t>
      </w:r>
      <w:r>
        <w:rPr>
          <w:rFonts w:hint="eastAsia" w:ascii="宋体" w:hAnsi="宋体" w:eastAsia="宋体" w:cs="宋体"/>
          <w:spacing w:val="4"/>
          <w:sz w:val="24"/>
          <w:szCs w:val="24"/>
          <w:highlight w:val="none"/>
        </w:rPr>
        <w:t>单位</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(供应商名称) 郑重声明，本公司为残疾人福利性单位。即，本单位同时</w:t>
      </w:r>
      <w:r>
        <w:rPr>
          <w:rFonts w:hint="eastAsia" w:ascii="宋体" w:hAnsi="宋体" w:eastAsia="宋体" w:cs="宋体"/>
          <w:sz w:val="24"/>
          <w:szCs w:val="24"/>
          <w:highlight w:val="none"/>
        </w:rPr>
        <w:t xml:space="preserve"> </w:t>
      </w:r>
      <w:r>
        <w:rPr>
          <w:rFonts w:hint="eastAsia" w:ascii="宋体" w:hAnsi="宋体" w:eastAsia="宋体" w:cs="宋体"/>
          <w:spacing w:val="7"/>
          <w:sz w:val="24"/>
          <w:szCs w:val="24"/>
          <w:highlight w:val="none"/>
        </w:rPr>
        <w:t>满足以下条件：</w:t>
      </w:r>
    </w:p>
    <w:p w14:paraId="06FE22D8">
      <w:pPr>
        <w:keepNext w:val="0"/>
        <w:keepLines w:val="0"/>
        <w:pageBreakBefore w:val="0"/>
        <w:widowControl/>
        <w:kinsoku/>
        <w:wordWrap/>
        <w:overflowPunct/>
        <w:topLinePunct w:val="0"/>
        <w:autoSpaceDE/>
        <w:autoSpaceDN/>
        <w:bidi w:val="0"/>
        <w:adjustRightInd w:val="0"/>
        <w:snapToGrid w:val="0"/>
        <w:spacing w:before="1" w:line="360" w:lineRule="auto"/>
        <w:ind w:left="10" w:firstLine="425"/>
        <w:textAlignment w:val="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1.安</w:t>
      </w:r>
      <w:r>
        <w:rPr>
          <w:rFonts w:hint="eastAsia" w:ascii="宋体" w:hAnsi="宋体" w:eastAsia="宋体" w:cs="宋体"/>
          <w:spacing w:val="4"/>
          <w:sz w:val="24"/>
          <w:szCs w:val="24"/>
          <w:highlight w:val="none"/>
        </w:rPr>
        <w:t>置的残疾人占本单位在职职工人数的比例不低于 25% (含 25%) ，并且安置的残疾人人数不少于 10 人</w:t>
      </w:r>
      <w:r>
        <w:rPr>
          <w:rFonts w:hint="eastAsia" w:ascii="宋体" w:hAnsi="宋体" w:eastAsia="宋体" w:cs="宋体"/>
          <w:sz w:val="24"/>
          <w:szCs w:val="24"/>
          <w:highlight w:val="none"/>
        </w:rPr>
        <w:t xml:space="preserve"> </w:t>
      </w:r>
      <w:r>
        <w:rPr>
          <w:rFonts w:hint="eastAsia" w:ascii="宋体" w:hAnsi="宋体" w:eastAsia="宋体" w:cs="宋体"/>
          <w:spacing w:val="6"/>
          <w:sz w:val="24"/>
          <w:szCs w:val="24"/>
          <w:highlight w:val="none"/>
        </w:rPr>
        <w:t>(含</w:t>
      </w:r>
      <w:r>
        <w:rPr>
          <w:rFonts w:hint="eastAsia" w:ascii="宋体" w:hAnsi="宋体" w:eastAsia="宋体" w:cs="宋体"/>
          <w:spacing w:val="4"/>
          <w:sz w:val="24"/>
          <w:szCs w:val="24"/>
          <w:highlight w:val="none"/>
        </w:rPr>
        <w:t xml:space="preserve"> </w:t>
      </w:r>
      <w:r>
        <w:rPr>
          <w:rFonts w:hint="eastAsia" w:ascii="宋体" w:hAnsi="宋体" w:eastAsia="宋体" w:cs="宋体"/>
          <w:spacing w:val="3"/>
          <w:sz w:val="24"/>
          <w:szCs w:val="24"/>
          <w:highlight w:val="none"/>
        </w:rPr>
        <w:t>10 人) ；</w:t>
      </w:r>
    </w:p>
    <w:p w14:paraId="63C90AD5">
      <w:pPr>
        <w:keepNext w:val="0"/>
        <w:keepLines w:val="0"/>
        <w:pageBreakBefore w:val="0"/>
        <w:widowControl/>
        <w:kinsoku/>
        <w:wordWrap/>
        <w:overflowPunct/>
        <w:topLinePunct w:val="0"/>
        <w:autoSpaceDE/>
        <w:autoSpaceDN/>
        <w:bidi w:val="0"/>
        <w:adjustRightInd w:val="0"/>
        <w:snapToGrid w:val="0"/>
        <w:spacing w:before="1" w:line="360" w:lineRule="auto"/>
        <w:textAlignment w:val="auto"/>
        <w:rPr>
          <w:rFonts w:hint="eastAsia" w:ascii="宋体" w:hAnsi="宋体" w:eastAsia="宋体" w:cs="宋体"/>
          <w:sz w:val="24"/>
          <w:szCs w:val="24"/>
          <w:highlight w:val="none"/>
        </w:rPr>
      </w:pPr>
      <w:r>
        <w:rPr>
          <w:rFonts w:hint="eastAsia" w:ascii="宋体" w:hAnsi="宋体" w:eastAsia="宋体" w:cs="宋体"/>
          <w:spacing w:val="16"/>
          <w:sz w:val="24"/>
          <w:szCs w:val="24"/>
          <w:highlight w:val="none"/>
        </w:rPr>
        <w:t>2.</w:t>
      </w:r>
      <w:r>
        <w:rPr>
          <w:rFonts w:hint="eastAsia" w:ascii="宋体" w:hAnsi="宋体" w:eastAsia="宋体" w:cs="宋体"/>
          <w:spacing w:val="14"/>
          <w:sz w:val="24"/>
          <w:szCs w:val="24"/>
          <w:highlight w:val="none"/>
        </w:rPr>
        <w:t>依</w:t>
      </w:r>
      <w:r>
        <w:rPr>
          <w:rFonts w:hint="eastAsia" w:ascii="宋体" w:hAnsi="宋体" w:eastAsia="宋体" w:cs="宋体"/>
          <w:spacing w:val="8"/>
          <w:sz w:val="24"/>
          <w:szCs w:val="24"/>
          <w:highlight w:val="none"/>
        </w:rPr>
        <w:t>法与安置的每位残疾人签订了一年以上 (含一年) 的劳动合同或服务协议；</w:t>
      </w:r>
    </w:p>
    <w:p w14:paraId="463FAADB">
      <w:pPr>
        <w:keepNext w:val="0"/>
        <w:keepLines w:val="0"/>
        <w:pageBreakBefore w:val="0"/>
        <w:widowControl/>
        <w:kinsoku/>
        <w:wordWrap/>
        <w:overflowPunct/>
        <w:topLinePunct w:val="0"/>
        <w:autoSpaceDE/>
        <w:autoSpaceDN/>
        <w:bidi w:val="0"/>
        <w:adjustRightInd w:val="0"/>
        <w:snapToGrid w:val="0"/>
        <w:spacing w:before="161" w:line="360" w:lineRule="auto"/>
        <w:ind w:left="1" w:right="2" w:firstLine="422"/>
        <w:textAlignment w:val="auto"/>
        <w:rPr>
          <w:rFonts w:hint="eastAsia" w:ascii="宋体" w:hAnsi="宋体" w:eastAsia="宋体" w:cs="宋体"/>
          <w:sz w:val="24"/>
          <w:szCs w:val="24"/>
          <w:highlight w:val="none"/>
        </w:rPr>
      </w:pPr>
      <w:r>
        <w:rPr>
          <w:rFonts w:hint="eastAsia" w:ascii="宋体" w:hAnsi="宋体" w:eastAsia="宋体" w:cs="宋体"/>
          <w:spacing w:val="18"/>
          <w:sz w:val="24"/>
          <w:szCs w:val="24"/>
          <w:highlight w:val="none"/>
        </w:rPr>
        <w:t>3.</w:t>
      </w:r>
      <w:r>
        <w:rPr>
          <w:rFonts w:hint="eastAsia" w:ascii="宋体" w:hAnsi="宋体" w:eastAsia="宋体" w:cs="宋体"/>
          <w:spacing w:val="13"/>
          <w:sz w:val="24"/>
          <w:szCs w:val="24"/>
          <w:highlight w:val="none"/>
        </w:rPr>
        <w:t>为</w:t>
      </w:r>
      <w:r>
        <w:rPr>
          <w:rFonts w:hint="eastAsia" w:ascii="宋体" w:hAnsi="宋体" w:eastAsia="宋体" w:cs="宋体"/>
          <w:spacing w:val="9"/>
          <w:sz w:val="24"/>
          <w:szCs w:val="24"/>
          <w:highlight w:val="none"/>
        </w:rPr>
        <w:t>安置的每位残疾人按月足额缴纳了基本养老保险、基本医疗保险、失业保险、工伤保险和生育保险等</w:t>
      </w:r>
      <w:r>
        <w:rPr>
          <w:rFonts w:hint="eastAsia" w:ascii="宋体" w:hAnsi="宋体" w:eastAsia="宋体" w:cs="宋体"/>
          <w:sz w:val="24"/>
          <w:szCs w:val="24"/>
          <w:highlight w:val="none"/>
        </w:rPr>
        <w:t xml:space="preserve"> </w:t>
      </w:r>
      <w:r>
        <w:rPr>
          <w:rFonts w:hint="eastAsia" w:ascii="宋体" w:hAnsi="宋体" w:eastAsia="宋体" w:cs="宋体"/>
          <w:spacing w:val="9"/>
          <w:sz w:val="24"/>
          <w:szCs w:val="24"/>
          <w:highlight w:val="none"/>
        </w:rPr>
        <w:t>社</w:t>
      </w:r>
      <w:r>
        <w:rPr>
          <w:rFonts w:hint="eastAsia" w:ascii="宋体" w:hAnsi="宋体" w:eastAsia="宋体" w:cs="宋体"/>
          <w:spacing w:val="6"/>
          <w:sz w:val="24"/>
          <w:szCs w:val="24"/>
          <w:highlight w:val="none"/>
        </w:rPr>
        <w:t>会保险费；</w:t>
      </w:r>
    </w:p>
    <w:p w14:paraId="28816F76">
      <w:pPr>
        <w:keepNext w:val="0"/>
        <w:keepLines w:val="0"/>
        <w:pageBreakBefore w:val="0"/>
        <w:widowControl/>
        <w:kinsoku/>
        <w:wordWrap/>
        <w:overflowPunct/>
        <w:topLinePunct w:val="0"/>
        <w:autoSpaceDE/>
        <w:autoSpaceDN/>
        <w:bidi w:val="0"/>
        <w:adjustRightInd w:val="0"/>
        <w:snapToGrid w:val="0"/>
        <w:spacing w:before="1" w:line="360" w:lineRule="auto"/>
        <w:ind w:left="17" w:right="2" w:firstLine="402"/>
        <w:textAlignment w:val="auto"/>
        <w:rPr>
          <w:rFonts w:hint="eastAsia" w:ascii="宋体" w:hAnsi="宋体" w:eastAsia="宋体" w:cs="宋体"/>
          <w:sz w:val="24"/>
          <w:szCs w:val="24"/>
          <w:highlight w:val="none"/>
        </w:rPr>
      </w:pPr>
      <w:r>
        <w:rPr>
          <w:rFonts w:hint="eastAsia" w:ascii="宋体" w:hAnsi="宋体" w:eastAsia="宋体" w:cs="宋体"/>
          <w:spacing w:val="18"/>
          <w:sz w:val="24"/>
          <w:szCs w:val="24"/>
          <w:highlight w:val="none"/>
        </w:rPr>
        <w:t>4.通</w:t>
      </w:r>
      <w:r>
        <w:rPr>
          <w:rFonts w:hint="eastAsia" w:ascii="宋体" w:hAnsi="宋体" w:eastAsia="宋体" w:cs="宋体"/>
          <w:spacing w:val="9"/>
          <w:sz w:val="24"/>
          <w:szCs w:val="24"/>
          <w:highlight w:val="none"/>
        </w:rPr>
        <w:t>过银行等金融机构向安置的每位残疾人，按月支付了不低于单位所在区县适用的经省级人民政府批准</w:t>
      </w:r>
      <w:r>
        <w:rPr>
          <w:rFonts w:hint="eastAsia" w:ascii="宋体" w:hAnsi="宋体" w:eastAsia="宋体" w:cs="宋体"/>
          <w:sz w:val="24"/>
          <w:szCs w:val="24"/>
          <w:highlight w:val="none"/>
        </w:rPr>
        <w:t xml:space="preserve"> </w:t>
      </w:r>
      <w:r>
        <w:rPr>
          <w:rFonts w:hint="eastAsia" w:ascii="宋体" w:hAnsi="宋体" w:eastAsia="宋体" w:cs="宋体"/>
          <w:spacing w:val="7"/>
          <w:sz w:val="24"/>
          <w:szCs w:val="24"/>
          <w:highlight w:val="none"/>
        </w:rPr>
        <w:t>的月最低工资标准的工资</w:t>
      </w:r>
      <w:r>
        <w:rPr>
          <w:rFonts w:hint="eastAsia" w:ascii="宋体" w:hAnsi="宋体" w:eastAsia="宋体" w:cs="宋体"/>
          <w:spacing w:val="6"/>
          <w:sz w:val="24"/>
          <w:szCs w:val="24"/>
          <w:highlight w:val="none"/>
        </w:rPr>
        <w:t>；</w:t>
      </w:r>
    </w:p>
    <w:p w14:paraId="6EC50723">
      <w:pPr>
        <w:keepNext w:val="0"/>
        <w:keepLines w:val="0"/>
        <w:pageBreakBefore w:val="0"/>
        <w:widowControl/>
        <w:kinsoku/>
        <w:wordWrap/>
        <w:overflowPunct/>
        <w:topLinePunct w:val="0"/>
        <w:autoSpaceDE/>
        <w:autoSpaceDN/>
        <w:bidi w:val="0"/>
        <w:adjustRightInd w:val="0"/>
        <w:snapToGrid w:val="0"/>
        <w:spacing w:before="1" w:line="360" w:lineRule="auto"/>
        <w:ind w:right="351"/>
        <w:textAlignment w:val="auto"/>
        <w:rPr>
          <w:rFonts w:hint="eastAsia" w:ascii="宋体" w:hAnsi="宋体" w:eastAsia="宋体" w:cs="宋体"/>
          <w:sz w:val="24"/>
          <w:szCs w:val="24"/>
          <w:highlight w:val="none"/>
        </w:rPr>
      </w:pPr>
      <w:r>
        <w:rPr>
          <w:rFonts w:hint="eastAsia" w:ascii="宋体" w:hAnsi="宋体" w:eastAsia="宋体" w:cs="宋体"/>
          <w:spacing w:val="12"/>
          <w:sz w:val="24"/>
          <w:szCs w:val="24"/>
          <w:highlight w:val="none"/>
        </w:rPr>
        <w:t>5.本单位参</w:t>
      </w:r>
      <w:r>
        <w:rPr>
          <w:rFonts w:hint="eastAsia" w:ascii="宋体" w:hAnsi="宋体" w:eastAsia="宋体" w:cs="宋体"/>
          <w:spacing w:val="6"/>
          <w:sz w:val="24"/>
          <w:szCs w:val="24"/>
          <w:highlight w:val="none"/>
        </w:rPr>
        <w:t>加______ (项目编号) _______________ (项目名称) 采购活动，提供本单位承担的服务。</w:t>
      </w:r>
      <w:r>
        <w:rPr>
          <w:rFonts w:hint="eastAsia" w:ascii="宋体" w:hAnsi="宋体" w:eastAsia="宋体" w:cs="宋体"/>
          <w:sz w:val="24"/>
          <w:szCs w:val="24"/>
          <w:highlight w:val="none"/>
        </w:rPr>
        <w:t xml:space="preserve"> </w:t>
      </w:r>
      <w:r>
        <w:rPr>
          <w:rFonts w:hint="eastAsia" w:ascii="宋体" w:hAnsi="宋体" w:eastAsia="宋体" w:cs="宋体"/>
          <w:spacing w:val="18"/>
          <w:sz w:val="24"/>
          <w:szCs w:val="24"/>
          <w:highlight w:val="none"/>
        </w:rPr>
        <w:t>本</w:t>
      </w:r>
      <w:r>
        <w:rPr>
          <w:rFonts w:hint="eastAsia" w:ascii="宋体" w:hAnsi="宋体" w:eastAsia="宋体" w:cs="宋体"/>
          <w:spacing w:val="9"/>
          <w:sz w:val="24"/>
          <w:szCs w:val="24"/>
          <w:highlight w:val="none"/>
        </w:rPr>
        <w:t>单位对上述声明的真实性负责，如有虚假，将依法承担相应责任。</w:t>
      </w:r>
    </w:p>
    <w:p w14:paraId="405601CF">
      <w:pPr>
        <w:pStyle w:val="21"/>
        <w:kinsoku w:val="0"/>
        <w:overflowPunct w:val="0"/>
        <w:spacing w:before="9"/>
        <w:ind w:firstLine="420"/>
        <w:rPr>
          <w:color w:val="000000"/>
          <w:kern w:val="2"/>
          <w:sz w:val="21"/>
        </w:rPr>
      </w:pPr>
    </w:p>
    <w:p w14:paraId="3859DEC4">
      <w:pPr>
        <w:pStyle w:val="21"/>
        <w:kinsoku w:val="0"/>
        <w:overflowPunct w:val="0"/>
        <w:spacing w:line="272" w:lineRule="auto"/>
        <w:ind w:firstLine="6510" w:firstLineChars="3100"/>
        <w:rPr>
          <w:color w:val="000000"/>
          <w:kern w:val="2"/>
          <w:sz w:val="21"/>
        </w:rPr>
      </w:pPr>
      <w:r>
        <w:rPr>
          <w:rFonts w:hint="eastAsia"/>
          <w:color w:val="000000"/>
          <w:kern w:val="2"/>
          <w:sz w:val="21"/>
        </w:rPr>
        <w:t>供应商：</w:t>
      </w:r>
      <w:r>
        <w:rPr>
          <w:rFonts w:hint="eastAsia" w:ascii="宋体" w:hAnsi="宋体" w:eastAsia="宋体" w:cs="宋体"/>
          <w:color w:val="000000"/>
          <w:szCs w:val="21"/>
          <w:u w:val="single"/>
          <w:lang w:val="zh-CN"/>
        </w:rPr>
        <w:t>（公章）</w:t>
      </w:r>
    </w:p>
    <w:p w14:paraId="42980CFE">
      <w:pPr>
        <w:pStyle w:val="21"/>
        <w:tabs>
          <w:tab w:val="left" w:pos="631"/>
          <w:tab w:val="left" w:pos="1471"/>
          <w:tab w:val="left" w:pos="2102"/>
          <w:tab w:val="left" w:pos="2625"/>
        </w:tabs>
        <w:kinsoku w:val="0"/>
        <w:overflowPunct w:val="0"/>
        <w:spacing w:before="9"/>
        <w:ind w:right="110" w:firstLine="420"/>
        <w:jc w:val="right"/>
        <w:rPr>
          <w:color w:val="000000"/>
          <w:kern w:val="2"/>
          <w:sz w:val="21"/>
        </w:rPr>
      </w:pPr>
      <w:r>
        <w:rPr>
          <w:rFonts w:hint="eastAsia"/>
          <w:color w:val="000000"/>
          <w:kern w:val="2"/>
          <w:sz w:val="21"/>
        </w:rPr>
        <w:t>日</w:t>
      </w:r>
      <w:r>
        <w:rPr>
          <w:color w:val="000000"/>
          <w:kern w:val="2"/>
          <w:sz w:val="21"/>
        </w:rPr>
        <w:tab/>
      </w:r>
      <w:r>
        <w:rPr>
          <w:rFonts w:hint="eastAsia"/>
          <w:color w:val="000000"/>
          <w:kern w:val="2"/>
          <w:sz w:val="21"/>
        </w:rPr>
        <w:t>期：</w:t>
      </w:r>
      <w:r>
        <w:rPr>
          <w:color w:val="000000"/>
          <w:kern w:val="2"/>
          <w:sz w:val="21"/>
        </w:rPr>
        <w:tab/>
      </w:r>
      <w:r>
        <w:rPr>
          <w:rFonts w:hint="eastAsia"/>
          <w:color w:val="000000"/>
          <w:kern w:val="2"/>
          <w:sz w:val="21"/>
        </w:rPr>
        <w:t>年</w:t>
      </w:r>
      <w:r>
        <w:rPr>
          <w:color w:val="000000"/>
          <w:kern w:val="2"/>
          <w:sz w:val="21"/>
        </w:rPr>
        <w:tab/>
      </w:r>
      <w:r>
        <w:rPr>
          <w:rFonts w:hint="eastAsia"/>
          <w:color w:val="000000"/>
          <w:kern w:val="2"/>
          <w:sz w:val="21"/>
        </w:rPr>
        <w:t>月</w:t>
      </w:r>
      <w:r>
        <w:rPr>
          <w:color w:val="000000"/>
          <w:kern w:val="2"/>
          <w:sz w:val="21"/>
        </w:rPr>
        <w:tab/>
      </w:r>
      <w:r>
        <w:rPr>
          <w:rFonts w:hint="eastAsia"/>
          <w:color w:val="000000"/>
          <w:kern w:val="2"/>
          <w:sz w:val="21"/>
        </w:rPr>
        <w:t>日</w:t>
      </w:r>
    </w:p>
    <w:p w14:paraId="31FFCE4B">
      <w:pPr>
        <w:spacing w:line="460" w:lineRule="exact"/>
        <w:ind w:firstLine="602"/>
        <w:rPr>
          <w:rFonts w:ascii="宋体" w:hAnsi="宋体" w:cs="Times New Roman"/>
          <w:b/>
          <w:kern w:val="2"/>
          <w:sz w:val="30"/>
          <w:szCs w:val="30"/>
        </w:rPr>
      </w:pPr>
    </w:p>
    <w:p w14:paraId="4F9BA7CD">
      <w:pPr>
        <w:spacing w:line="460" w:lineRule="exact"/>
        <w:ind w:firstLine="602"/>
        <w:rPr>
          <w:rFonts w:ascii="宋体-18030" w:hAnsi="宋体-18030" w:eastAsia="宋体-18030" w:cs="宋体-18030"/>
        </w:rPr>
      </w:pPr>
      <w:r>
        <w:rPr>
          <w:rFonts w:hint="eastAsia" w:ascii="宋体" w:hAnsi="宋体" w:cs="Times New Roman"/>
          <w:b/>
          <w:kern w:val="2"/>
          <w:sz w:val="30"/>
          <w:szCs w:val="30"/>
        </w:rPr>
        <w:t>其他证明材料及文件：（如果投标人认为需要提供的话)</w:t>
      </w:r>
    </w:p>
    <w:sectPr>
      <w:pgSz w:w="11906" w:h="16838"/>
      <w:pgMar w:top="1418" w:right="1133" w:bottom="1418" w:left="1418" w:header="851" w:footer="680" w:gutter="0"/>
      <w:cols w:space="720" w:num="1"/>
      <w:docGrid w:linePitch="29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Arial Unicode MS">
    <w:panose1 w:val="020B0604020202020204"/>
    <w:charset w:val="86"/>
    <w:family w:val="swiss"/>
    <w:pitch w:val="default"/>
    <w:sig w:usb0="FFFFFFFF" w:usb1="E9FFFFFF" w:usb2="0000003F" w:usb3="00000000" w:csb0="603F01FF" w:csb1="FFFF0000"/>
  </w:font>
  <w:font w:name="ˎ̥">
    <w:altName w:val="Times New Roman"/>
    <w:panose1 w:val="00000000000000000000"/>
    <w:charset w:val="00"/>
    <w:family w:val="roman"/>
    <w:pitch w:val="default"/>
    <w:sig w:usb0="00000000" w:usb1="00000000" w:usb2="00000000" w:usb3="00000000" w:csb0="00040001" w:csb1="00000000"/>
  </w:font>
  <w:font w:name="Helvetica">
    <w:panose1 w:val="020B0504020202030204"/>
    <w:charset w:val="00"/>
    <w:family w:val="swiss"/>
    <w:pitch w:val="default"/>
    <w:sig w:usb0="00000007" w:usb1="00000000" w:usb2="00000000" w:usb3="00000000" w:csb0="00000093" w:csb1="00000000"/>
  </w:font>
  <w:font w:name="微软雅黑">
    <w:panose1 w:val="020B0503020204020204"/>
    <w:charset w:val="86"/>
    <w:family w:val="swiss"/>
    <w:pitch w:val="default"/>
    <w:sig w:usb0="80000287" w:usb1="280F3C52" w:usb2="00000016" w:usb3="00000000" w:csb0="0004001F" w:csb1="00000000"/>
  </w:font>
  <w:font w:name="Georgia">
    <w:panose1 w:val="02040502050405020303"/>
    <w:charset w:val="00"/>
    <w:family w:val="roman"/>
    <w:pitch w:val="default"/>
    <w:sig w:usb0="00000287" w:usb1="00000000" w:usb2="00000000" w:usb3="00000000" w:csb0="2000009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1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auto"/>
    <w:pitch w:val="default"/>
    <w:sig w:usb0="00000000" w:usb1="00000000" w:usb2="00000010" w:usb3="00000000" w:csb0="00040000" w:csb1="00000000"/>
  </w:font>
  <w:font w:name="KNLe">
    <w:altName w:val="Times New Roman"/>
    <w:panose1 w:val="00000000000000000000"/>
    <w:charset w:val="00"/>
    <w:family w:val="roman"/>
    <w:pitch w:val="default"/>
    <w:sig w:usb0="00000000" w:usb1="00000000" w:usb2="00000000" w:usb3="00000000" w:csb0="00040001" w:csb1="00000000"/>
  </w:font>
  <w:font w:name="方正大黑简体">
    <w:altName w:val="黑体"/>
    <w:panose1 w:val="00000000000000000000"/>
    <w:charset w:val="86"/>
    <w:family w:val="auto"/>
    <w:pitch w:val="default"/>
    <w:sig w:usb0="00000000" w:usb1="00000000" w:usb2="00000010" w:usb3="00000000" w:csb0="00040000" w:csb1="00000000"/>
  </w:font>
  <w:font w:name=":ZLe">
    <w:altName w:val="Times New Roman"/>
    <w:panose1 w:val="00000000000000000000"/>
    <w:charset w:val="00"/>
    <w:family w:val="roman"/>
    <w:pitch w:val="default"/>
    <w:sig w:usb0="00000000" w:usb1="00000000" w:usb2="00000000" w:usb3="00000000" w:csb0="00040001" w:csb1="00000000"/>
  </w:font>
  <w:font w:name="全真中明體">
    <w:altName w:val="MingLiU-ExtB"/>
    <w:panose1 w:val="00000000000000000000"/>
    <w:charset w:val="88"/>
    <w:family w:val="modern"/>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文鼎粗黑">
    <w:altName w:val="黑体"/>
    <w:panose1 w:val="00000000000000000000"/>
    <w:charset w:val="86"/>
    <w:family w:val="modern"/>
    <w:pitch w:val="default"/>
    <w:sig w:usb0="00000000" w:usb1="00000000" w:usb2="00000010" w:usb3="00000000" w:csb0="00040000" w:csb1="00000000"/>
  </w:font>
  <w:font w:name="昆仑仿宋">
    <w:altName w:val="黑体"/>
    <w:panose1 w:val="00000000000000000000"/>
    <w:charset w:val="86"/>
    <w:family w:val="modern"/>
    <w:pitch w:val="default"/>
    <w:sig w:usb0="00000000" w:usb1="00000000" w:usb2="00000010" w:usb3="00000000" w:csb0="00040000" w:csb1="00000000"/>
  </w:font>
  <w:font w:name="Univers">
    <w:panose1 w:val="020B0603020202030204"/>
    <w:charset w:val="00"/>
    <w:family w:val="swiss"/>
    <w:pitch w:val="default"/>
    <w:sig w:usb0="00000007" w:usb1="00000000" w:usb2="00000000" w:usb3="00000000" w:csb0="00000093" w:csb1="00000000"/>
  </w:font>
  <w:font w:name="Univers Condensed">
    <w:panose1 w:val="020B0606020202060204"/>
    <w:charset w:val="00"/>
    <w:family w:val="swiss"/>
    <w:pitch w:val="default"/>
    <w:sig w:usb0="00000007" w:usb1="00000000" w:usb2="00000000" w:usb3="00000000" w:csb0="00000093" w:csb1="00000000"/>
  </w:font>
  <w:font w:name="方正小标宋_GBK">
    <w:altName w:val="微软雅黑"/>
    <w:panose1 w:val="00000000000000000000"/>
    <w:charset w:val="86"/>
    <w:family w:val="script"/>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宋体-18030">
    <w:altName w:val="宋体"/>
    <w:panose1 w:val="00000000000000000000"/>
    <w:charset w:val="86"/>
    <w:family w:val="modern"/>
    <w:pitch w:val="default"/>
    <w:sig w:usb0="00000000" w:usb1="00000000" w:usb2="000A005E"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8CA66">
    <w:pPr>
      <w:pStyle w:val="36"/>
      <w:ind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53695" cy="207010"/>
              <wp:effectExtent l="0" t="0" r="0" b="0"/>
              <wp:wrapNone/>
              <wp:docPr id="3" name="Text Box 3"/>
              <wp:cNvGraphicFramePr/>
              <a:graphic xmlns:a="http://schemas.openxmlformats.org/drawingml/2006/main">
                <a:graphicData uri="http://schemas.microsoft.com/office/word/2010/wordprocessingShape">
                  <wps:wsp>
                    <wps:cNvSpPr txBox="1">
                      <a:spLocks noChangeArrowheads="1"/>
                    </wps:cNvSpPr>
                    <wps:spPr bwMode="auto">
                      <a:xfrm>
                        <a:off x="0" y="0"/>
                        <a:ext cx="353695" cy="207010"/>
                      </a:xfrm>
                      <a:prstGeom prst="rect">
                        <a:avLst/>
                      </a:prstGeom>
                      <a:noFill/>
                      <a:ln>
                        <a:noFill/>
                      </a:ln>
                      <a:effectLst/>
                    </wps:spPr>
                    <wps:txbx>
                      <w:txbxContent>
                        <w:p w14:paraId="1C6A3B93">
                          <w:pPr>
                            <w:pStyle w:val="36"/>
                            <w:ind w:firstLine="360"/>
                          </w:pPr>
                          <w:r>
                            <w:fldChar w:fldCharType="begin"/>
                          </w:r>
                          <w:r>
                            <w:instrText xml:space="preserve"> PAGE  \* MERGEFORMAT </w:instrText>
                          </w:r>
                          <w:r>
                            <w:fldChar w:fldCharType="separate"/>
                          </w:r>
                          <w:r>
                            <w:t>27</w:t>
                          </w:r>
                          <w:r>
                            <w:fldChar w:fldCharType="end"/>
                          </w:r>
                        </w:p>
                      </w:txbxContent>
                    </wps:txbx>
                    <wps:bodyPr rot="0" vert="horz" wrap="none" lIns="0" tIns="0" rIns="0" bIns="0" anchor="t" anchorCtr="0" upright="1">
                      <a:spAutoFit/>
                    </wps:bodyPr>
                  </wps:wsp>
                </a:graphicData>
              </a:graphic>
            </wp:anchor>
          </w:drawing>
        </mc:Choice>
        <mc:Fallback>
          <w:pict>
            <v:shape id="Text Box 3" o:spid="_x0000_s1026" o:spt="202" type="#_x0000_t202" style="position:absolute;left:0pt;margin-top:0pt;height:16.3pt;width:27.85pt;mso-position-horizontal:center;mso-position-horizontal-relative:margin;mso-wrap-style:none;z-index:251660288;mso-width-relative:page;mso-height-relative:page;" filled="f" stroked="f" coordsize="21600,21600" o:gfxdata="UEsDBAoAAAAAAIdO4kAAAAAAAAAAAAAAAAAEAAAAZHJzL1BLAwQUAAAACACHTuJAnk5yKtIAAAAD&#10;AQAADwAAAGRycy9kb3ducmV2LnhtbE2PzWrDMBCE74W+g9hCb42clPzgWs4h0EtvTUuhN8XaWKbS&#10;ykiKY799Nr0kl4Vhhplvq+3onRgwpi6QgvmsAIHUBNNRq+D76/1lAyJlTUa7QKhgwgTb+vGh0qUJ&#10;Z/rEYZ9bwSWUSq3A5tyXUqbGotdpFnok9o4hep1ZxlaaqM9c7p1cFMVKet0RL1jd485i87c/eQXr&#10;8Sdgn3CHv8ehibabNu5jUur5aV68gcg45lsYrviMDjUzHcKJTBJOAT+S/y97y+UaxEHB62IFsq7k&#10;PXt9AVBLAwQUAAAACACHTuJAsQE+Ff4BAAAPBAAADgAAAGRycy9lMm9Eb2MueG1srVPBbtswDL0P&#10;2D8Iui92ErTbjDhF1yDDgG4d0O4DZFmOhVmiQCmxs68fJdtZ11162EWgKPKR75Ha3AymYyeFXoMt&#10;+XKRc6ashFrbQ8l/PO3ffeDMB2Fr0YFVJT8rz2+2b99seleoFbTQ1QoZgVhf9K7kbQiuyDIvW2WE&#10;X4BTlh4bQCMCXfGQ1Sh6Qjddtsrz66wHrB2CVN6Tdzc+8gkRXwMITaOl2oE8GmXDiIqqE4Eo+VY7&#10;z7ep26ZRMjw0jVeBdSUnpiGdVITsKp7ZdiOKAwrXajm1IF7TwgtORmhLRS9QOxEEO6L+B8poieCh&#10;CQsJJhuJJEWIxTJ/oc1jK5xKXEhq7y6i+/8HK7+dviPTdcnXnFlhaOBPagjsEwxsHdXpnS8o6NFR&#10;WBjITTuTmHp3D/KnZxbuWmEP6hYR+laJmrpbxszsWeqI4yNI1X+FmsqIY4AENDRoonQkBiN0msz5&#10;MpnYiiTn+mp9/fGKM0lPq/w9SZUqiGJOdujDZwWGRaPkSINP4OJ070NsRhRzSKxlYa+7Lg2/s385&#10;KHD0qLQ9U3akErsfeYShGiZpKqjPRAph3Cz6V2S0gL8462mrSm7pE3HWfbEkS1zA2cDZqGZDWEmJ&#10;JQ+cjeZdGBf16FAfWsKdhb8l6fY60YqNjT1MgtOeJLbTTsdFfH5PUX/+8fY3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nk5yKtIAAAADAQAADwAAAAAAAAABACAAAAAiAAAAZHJzL2Rvd25yZXYueG1s&#10;UEsBAhQAFAAAAAgAh07iQLEBPhX+AQAADwQAAA4AAAAAAAAAAQAgAAAAIQEAAGRycy9lMm9Eb2Mu&#10;eG1sUEsFBgAAAAAGAAYAWQEAAJEFAAAAAA==&#10;">
              <v:fill on="f" focussize="0,0"/>
              <v:stroke on="f"/>
              <v:imagedata o:title=""/>
              <o:lock v:ext="edit" aspectratio="f"/>
              <v:textbox inset="0mm,0mm,0mm,0mm" style="mso-fit-shape-to-text:t;">
                <w:txbxContent>
                  <w:p w14:paraId="1C6A3B93">
                    <w:pPr>
                      <w:pStyle w:val="36"/>
                      <w:ind w:firstLine="360"/>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B0684">
    <w:pPr>
      <w:pStyle w:val="36"/>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67AA4">
    <w:pPr>
      <w:pStyle w:val="36"/>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8BC48C">
    <w:pPr>
      <w:pStyle w:val="36"/>
      <w:ind w:firstLine="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53695" cy="207010"/>
              <wp:effectExtent l="0" t="0" r="0" b="0"/>
              <wp:wrapNone/>
              <wp:docPr id="4" name="Text Box 1"/>
              <wp:cNvGraphicFramePr/>
              <a:graphic xmlns:a="http://schemas.openxmlformats.org/drawingml/2006/main">
                <a:graphicData uri="http://schemas.microsoft.com/office/word/2010/wordprocessingShape">
                  <wps:wsp>
                    <wps:cNvSpPr txBox="1">
                      <a:spLocks noChangeArrowheads="1"/>
                    </wps:cNvSpPr>
                    <wps:spPr bwMode="auto">
                      <a:xfrm>
                        <a:off x="0" y="0"/>
                        <a:ext cx="353695" cy="207010"/>
                      </a:xfrm>
                      <a:prstGeom prst="rect">
                        <a:avLst/>
                      </a:prstGeom>
                      <a:noFill/>
                      <a:ln>
                        <a:noFill/>
                      </a:ln>
                      <a:effectLst/>
                    </wps:spPr>
                    <wps:txbx>
                      <w:txbxContent>
                        <w:p w14:paraId="38E5F7CA">
                          <w:pPr>
                            <w:pStyle w:val="36"/>
                            <w:ind w:firstLine="360"/>
                          </w:pPr>
                          <w:r>
                            <w:fldChar w:fldCharType="begin"/>
                          </w:r>
                          <w:r>
                            <w:instrText xml:space="preserve"> PAGE  \* MERGEFORMAT </w:instrText>
                          </w:r>
                          <w:r>
                            <w:fldChar w:fldCharType="separate"/>
                          </w:r>
                          <w:r>
                            <w:t>30</w:t>
                          </w:r>
                          <w:r>
                            <w:fldChar w:fldCharType="end"/>
                          </w:r>
                        </w:p>
                      </w:txbxContent>
                    </wps:txbx>
                    <wps:bodyPr rot="0" vert="horz" wrap="none" lIns="0" tIns="0" rIns="0" bIns="0" anchor="t" anchorCtr="0" upright="1">
                      <a:spAutoFit/>
                    </wps:bodyPr>
                  </wps:wsp>
                </a:graphicData>
              </a:graphic>
            </wp:anchor>
          </w:drawing>
        </mc:Choice>
        <mc:Fallback>
          <w:pict>
            <v:shape id="Text Box 1" o:spid="_x0000_s1026" o:spt="202" type="#_x0000_t202" style="position:absolute;left:0pt;margin-top:0pt;height:16.3pt;width:27.85pt;mso-position-horizontal:center;mso-position-horizontal-relative:margin;mso-wrap-style:none;z-index:251661312;mso-width-relative:page;mso-height-relative:page;" filled="f" stroked="f" coordsize="21600,21600" o:gfxdata="UEsDBAoAAAAAAIdO4kAAAAAAAAAAAAAAAAAEAAAAZHJzL1BLAwQUAAAACACHTuJAnk5yKtIAAAAD&#10;AQAADwAAAGRycy9kb3ducmV2LnhtbE2PzWrDMBCE74W+g9hCb42clPzgWs4h0EtvTUuhN8XaWKbS&#10;ykiKY799Nr0kl4Vhhplvq+3onRgwpi6QgvmsAIHUBNNRq+D76/1lAyJlTUa7QKhgwgTb+vGh0qUJ&#10;Z/rEYZ9bwSWUSq3A5tyXUqbGotdpFnok9o4hep1ZxlaaqM9c7p1cFMVKet0RL1jd485i87c/eQXr&#10;8Sdgn3CHv8ehibabNu5jUur5aV68gcg45lsYrviMDjUzHcKJTBJOAT+S/y97y+UaxEHB62IFsq7k&#10;PXt9AVBLAwQUAAAACACHTuJA0++adf4BAAAPBAAADgAAAGRycy9lMm9Eb2MueG1srVPbbtswDH0f&#10;sH8Q9L44SdduM+IUXYMMA7oL0O4DFFmOhVmiQCmxs68fJdlZLy992ItAUeQhzyG1uh5Mx44KvQZb&#10;8cVszpmyEmpt9xX/9bB995EzH4StRQdWVfykPL9ev32z6l2pltBCVytkBGJ92buKtyG4sii8bJUR&#10;fgZOWXpsAI0IdMV9UaPoCd10xXI+vyp6wNohSOU9eTf5kY+I+BpAaBot1QbkwSgbMiqqTgSi5Fvt&#10;PF+nbptGyfCjabwKrKs4MQ3ppCJk7+JZrFei3KNwrZZjC+I1LTzjZIS2VPQMtRFBsAPqF1BGSwQP&#10;TZhJMEUmkhQhFov5M23uW+FU4kJSe3cW3f8/WPn9+BOZriv+njMrDA38QQ2BfYaBLaI6vfMlBd07&#10;CgsDuWlnElPv7kD+9szCbSvsXt0gQt8qUVN3KbN4lJpxfATZ9d+gpjLiECABDQ2aKB2JwQidJnM6&#10;Tya2Isl5cXlx9emSM0lPy/kHkir2VohySnbowxcFhkWj4kiDT+DieOdDDp1CYi0LW911afidfeIg&#10;zOxRaXvG7Egldp95hGE3jNLsoD4RKYS8WfSvyGgB/3DW01ZV3NIn4qz7akmWuICTgZOxmwxhJSVW&#10;PHCWzduQF/XgUO9bwp2EvyHptjrRio3lHkiOeKE9ScKMOx0X8fE9Rf37x+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nk5yKtIAAAADAQAADwAAAAAAAAABACAAAAAiAAAAZHJzL2Rvd25yZXYueG1s&#10;UEsBAhQAFAAAAAgAh07iQNPvmnX+AQAADwQAAA4AAAAAAAAAAQAgAAAAIQEAAGRycy9lMm9Eb2Mu&#10;eG1sUEsFBgAAAAAGAAYAWQEAAJEFAAAAAA==&#10;">
              <v:fill on="f" focussize="0,0"/>
              <v:stroke on="f"/>
              <v:imagedata o:title=""/>
              <o:lock v:ext="edit" aspectratio="f"/>
              <v:textbox inset="0mm,0mm,0mm,0mm" style="mso-fit-shape-to-text:t;">
                <w:txbxContent>
                  <w:p w14:paraId="38E5F7CA">
                    <w:pPr>
                      <w:pStyle w:val="36"/>
                      <w:ind w:firstLine="360"/>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7CAE2">
    <w:pPr>
      <w:pStyle w:val="36"/>
      <w:ind w:firstLine="480"/>
      <w:jc w:val="center"/>
      <w:rPr>
        <w:rFonts w:eastAsia="仿宋_GB2312"/>
        <w:sz w:val="24"/>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0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260B6FC">
                          <w:pPr>
                            <w:pStyle w:val="36"/>
                            <w:ind w:firstLine="360"/>
                          </w:pPr>
                          <w:r>
                            <w:fldChar w:fldCharType="begin"/>
                          </w:r>
                          <w:r>
                            <w:instrText xml:space="preserve"> PAGE  \* MERGEFORMAT </w:instrText>
                          </w:r>
                          <w:r>
                            <w:fldChar w:fldCharType="separate"/>
                          </w:r>
                          <w:r>
                            <w:t>31</w:t>
                          </w:r>
                          <w:r>
                            <w:fldChar w:fldCharType="end"/>
                          </w:r>
                        </w:p>
                      </w:txbxContent>
                    </wps:txbx>
                    <wps:bodyPr wrap="none" lIns="0" tIns="0" rIns="0" bIns="0" upright="1">
                      <a:spAutoFit/>
                    </wps:bodyPr>
                  </wps:wsp>
                </a:graphicData>
              </a:graphic>
            </wp:anchor>
          </w:drawing>
        </mc:Choice>
        <mc:Fallback>
          <w:pict>
            <v:shape id="文本框 205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76eBMsBAACcAwAADgAAAGRycy9lMm9Eb2MueG1srVPNjtMwEL4j8Q6W&#10;79RppYUqaroCVYuQECAtPIDr2I0l/8njNukLwBtw4sKd5+pzMHaSLiyXPXBxxjPjb75vZrK5Hawh&#10;JxlBe9fQ5aKiRDrhW+0ODf3y+e7FmhJI3LXceCcbepZAb7fPn236UMuV77xpZSQI4qDuQ0O7lELN&#10;GIhOWg4LH6TDoPLR8oTXeGBt5D2iW8NWVfWS9T62IXohAdC7G4N0QoxPAfRKaSF3XhytdGlEjdLw&#10;hJKg0wHotrBVSor0USmQiZiGotJUTiyC9j6fbLvh9SHy0GkxUeBPofBIk+XaYdEr1I4nTo5R/wNl&#10;tYgevEoL4S0bhZSOoIpl9ag39x0PsmjBVkO4Nh3+H6z4cPoUiW4bekOJ4xYHfvn+7fLj1+XnV7Kq&#10;bl7lDvUBaky8D5iahjd+wL2Z/YDOLHxQ0eYvSiIYx/6er/2VQyIiP1qv1usKQwJj8wXx2cPzECG9&#10;ld6SbDQ04gBLX/npPaQxdU7J1Zy/08aUIRr3lwMxs4dl7iPHbKVhP0yC9r49o54eZ99Qh6tOiXnn&#10;sLV5TWYjzsZ+No4h6kOH1JaFF4TXx4QkCrdcYYSdCuPQirppwfJW/HkvWQ8/1f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e+ngTLAQAAnAMAAA4AAAAAAAAAAQAgAAAAHgEAAGRycy9lMm9E&#10;b2MueG1sUEsFBgAAAAAGAAYAWQEAAFsFAAAAAA==&#10;">
              <v:fill on="f" focussize="0,0"/>
              <v:stroke on="f"/>
              <v:imagedata o:title=""/>
              <o:lock v:ext="edit" aspectratio="f"/>
              <v:textbox inset="0mm,0mm,0mm,0mm" style="mso-fit-shape-to-text:t;">
                <w:txbxContent>
                  <w:p w14:paraId="0260B6FC">
                    <w:pPr>
                      <w:pStyle w:val="36"/>
                      <w:ind w:firstLine="360"/>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E75E9A">
    <w:pPr>
      <w:pStyle w:val="36"/>
      <w:ind w:firstLine="480"/>
      <w:rPr>
        <w:rFonts w:eastAsia="仿宋_GB2312"/>
        <w:sz w:val="24"/>
      </w:rPr>
    </w:pPr>
    <w:r>
      <w:rPr>
        <w:sz w:val="2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0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68A57C7">
                          <w:pPr>
                            <w:pStyle w:val="36"/>
                            <w:ind w:firstLine="360"/>
                          </w:pPr>
                          <w:r>
                            <w:fldChar w:fldCharType="begin"/>
                          </w:r>
                          <w:r>
                            <w:instrText xml:space="preserve"> PAGE  \* MERGEFORMAT </w:instrText>
                          </w:r>
                          <w:r>
                            <w:fldChar w:fldCharType="separate"/>
                          </w:r>
                          <w:r>
                            <w:t>33</w:t>
                          </w:r>
                          <w:r>
                            <w:fldChar w:fldCharType="end"/>
                          </w:r>
                        </w:p>
                      </w:txbxContent>
                    </wps:txbx>
                    <wps:bodyPr wrap="none" lIns="0" tIns="0" rIns="0" bIns="0" upright="1">
                      <a:spAutoFit/>
                    </wps:bodyPr>
                  </wps:wsp>
                </a:graphicData>
              </a:graphic>
            </wp:anchor>
          </w:drawing>
        </mc:Choice>
        <mc:Fallback>
          <w:pict>
            <v:shape id="文本框 2062"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5SNxssBAACcAwAADgAAAGRycy9lMm9Eb2MueG1srVNLbtswEN0X6B0I&#10;7mvJWhiGYDloYaQoEKQF0h6ApkiLAH/g0JZ8geYGWXXTfc/lc3RISU6bbrLohhrODN+8NzPa3AxG&#10;k5MIoJxt6HJRUiIsd62yh4Z++3r7bk0JRGZbpp0VDT0LoDfbt282va9F5TqnWxEIglioe9/QLkZf&#10;FwXwThgGC+eFxaB0wbCI13Ao2sB6RDe6qMpyVfQutD44LgDQuxuDdEIMrwF0Uioudo4fjbBxRA1C&#10;s4iSoFMe6DazlVLw+FlKEJHohqLSmE8sgvY+ncV2w+pDYL5TfKLAXkPhhSbDlMWiV6gdi4wcg/oH&#10;yigeHDgZF9yZYhSSO4IqluWL3jx0zIusBVsN/tp0+H+w/P70JRDVNnRFiWUGB355erz8+HX5+Z1U&#10;5apKHeo91Jj44DE1Dh/cgHsz+wGdSfggg0lflEQwjv09X/srhkh4erSu1usSQxxj8wXxi+fnPkD8&#10;KJwhyWhowAHmvrLTHcQxdU5J1ay7VVrnIWr7lwMxk6dI3EeOyYrDfpgE7V17Rj09zr6hFledEv3J&#10;YmvTmsxGmI39bBx9UIcOqS0zL/DvjxFJZG6pwgg7FcahZXXTgqWt+POes55/qu1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CuUjcbLAQAAnAMAAA4AAAAAAAAAAQAgAAAAHgEAAGRycy9lMm9E&#10;b2MueG1sUEsFBgAAAAAGAAYAWQEAAFsFAAAAAA==&#10;">
              <v:fill on="f" focussize="0,0"/>
              <v:stroke on="f"/>
              <v:imagedata o:title=""/>
              <o:lock v:ext="edit" aspectratio="f"/>
              <v:textbox inset="0mm,0mm,0mm,0mm" style="mso-fit-shape-to-text:t;">
                <w:txbxContent>
                  <w:p w14:paraId="468A57C7">
                    <w:pPr>
                      <w:pStyle w:val="36"/>
                      <w:ind w:firstLine="360"/>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E1FD68">
    <w:pPr>
      <w:pStyle w:val="36"/>
      <w:ind w:firstLine="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B9F2D5">
    <w:pPr>
      <w:ind w:firstLine="480"/>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0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6797E53">
                          <w:pPr>
                            <w:pStyle w:val="36"/>
                            <w:ind w:firstLine="360"/>
                          </w:pPr>
                          <w:r>
                            <w:fldChar w:fldCharType="begin"/>
                          </w:r>
                          <w:r>
                            <w:instrText xml:space="preserve"> PAGE  \* MERGEFORMAT </w:instrText>
                          </w:r>
                          <w:r>
                            <w:fldChar w:fldCharType="separate"/>
                          </w:r>
                          <w:r>
                            <w:t>32</w:t>
                          </w:r>
                          <w:r>
                            <w:fldChar w:fldCharType="end"/>
                          </w:r>
                        </w:p>
                      </w:txbxContent>
                    </wps:txbx>
                    <wps:bodyPr wrap="none" lIns="0" tIns="0" rIns="0" bIns="0" upright="1">
                      <a:spAutoFit/>
                    </wps:bodyPr>
                  </wps:wsp>
                </a:graphicData>
              </a:graphic>
            </wp:anchor>
          </w:drawing>
        </mc:Choice>
        <mc:Fallback>
          <w:pict>
            <v:shape id="文本框 2061"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xOwRssBAACcAwAADgAAAGRycy9lMm9Eb2MueG1srVPNjtMwEL4j8Q6W&#10;79RpD0sVNV2BqkVICJAWHsB17MaS/+Rxm/QF4A04ceHOc/U5GDtJd1kue+DijGfG33zfzGRzO1hD&#10;TjKC9q6hy0VFiXTCt9odGvr1y92rNSWQuGu58U429CyB3m5fvtj0oZYr33nTykgQxEHdh4Z2KYWa&#10;MRCdtBwWPkiHQeWj5Qmv8cDayHtEt4atquqG9T62IXohAdC7G4N0QozPAfRKaSF3XhytdGlEjdLw&#10;hJKg0wHotrBVSor0SSmQiZiGotJUTiyC9j6fbLvh9SHy0GkxUeDPofBEk+XaYdEr1I4nTo5R/wNl&#10;tYgevEoL4S0bhZSOoIpl9aQ39x0PsmjBVkO4Nh3+H6z4ePociW4b+poSxy0O/PLj++Xn78uvb2RV&#10;3Sxzh/oANSbeB0xNw1s/4N7MfkBnFj6oaPMXJRGMY3/P1/7KIRGRH61X63WFIYGx+YL47OF5iJDe&#10;SW9JNhoacYClr/z0AdKYOqfkas7faWPKEI37y4GY2cMy95FjttKwHyZBe9+eUU+Ps2+ow1WnxLx3&#10;2Nq8JrMRZ2M/G8cQ9aFDasvCC8KbY0IShVuuMMJOhXFoRd20YHkrHt9L1sNPtf0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OMTsEbLAQAAnAMAAA4AAAAAAAAAAQAgAAAAHgEAAGRycy9lMm9E&#10;b2MueG1sUEsFBgAAAAAGAAYAWQEAAFsFAAAAAA==&#10;">
              <v:fill on="f" focussize="0,0"/>
              <v:stroke on="f"/>
              <v:imagedata o:title=""/>
              <o:lock v:ext="edit" aspectratio="f"/>
              <v:textbox inset="0mm,0mm,0mm,0mm" style="mso-fit-shape-to-text:t;">
                <w:txbxContent>
                  <w:p w14:paraId="76797E53">
                    <w:pPr>
                      <w:pStyle w:val="36"/>
                      <w:ind w:firstLine="360"/>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2A300">
    <w:pPr>
      <w:pStyle w:val="36"/>
      <w:ind w:firstLine="360"/>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0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0B8492B">
                          <w:pPr>
                            <w:pStyle w:val="36"/>
                            <w:ind w:firstLine="360"/>
                          </w:pPr>
                          <w:r>
                            <w:fldChar w:fldCharType="begin"/>
                          </w:r>
                          <w:r>
                            <w:instrText xml:space="preserve"> PAGE  \* MERGEFORMAT </w:instrText>
                          </w:r>
                          <w:r>
                            <w:fldChar w:fldCharType="separate"/>
                          </w:r>
                          <w:r>
                            <w:t>132</w:t>
                          </w:r>
                          <w:r>
                            <w:fldChar w:fldCharType="end"/>
                          </w:r>
                        </w:p>
                      </w:txbxContent>
                    </wps:txbx>
                    <wps:bodyPr wrap="none" lIns="0" tIns="0" rIns="0" bIns="0" upright="1">
                      <a:spAutoFit/>
                    </wps:bodyPr>
                  </wps:wsp>
                </a:graphicData>
              </a:graphic>
            </wp:anchor>
          </w:drawing>
        </mc:Choice>
        <mc:Fallback>
          <w:pict>
            <v:shape id="文本框 2063"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TqY6csBAACcAwAADgAAAGRycy9lMm9Eb2MueG1srVPNjtMwEL4j8Q6W&#10;79RpkVZV1HQFqhYhIUBaeADXsRtL/pPHbdIXgDfgxIU7z9XnYOwk3WW57IGLM54Zf/N9M5PN7WAN&#10;OckI2ruGLhcVJdIJ32p3aOjXL3ev1pRA4q7lxjvZ0LMEert9+WLTh1qufOdNKyNBEAd1HxrapRRq&#10;xkB00nJY+CAdBpWPlie8xgNrI+8R3Rq2qqob1vvYhuiFBEDvbgzSCTE+B9ArpYXceXG00qURNUrD&#10;E0qCTgeg28JWKSnSJ6VAJmIaikpTObEI2vt8su2G14fIQ6fFRIE/h8ITTZZrh0WvUDueODlG/Q+U&#10;1SJ68CothLdsFFI6giqW1ZPe3Hc8yKIFWw3h2nT4f7Di4+lzJLptKI7dcYsDv/z4fvn5+/LrG1lV&#10;N69zh/oANSbeB0xNw1s/4N7MfkBnFj6oaPMXJRGMY3/P1/7KIRGRH61X63WFIYGx+YL47OF5iJDe&#10;SW9JNhoacYClr/z0AdKYOqfkas7faWPKEI37y4GY2cMy95FjttKwHyZBe9+eUU+Ps2+ow1WnxLx3&#10;2Nq8JrMRZ2M/G8cQ9aFDasvCC8KbY0IShVuuMMJOhXFoRd20YHkrHt9L1sNPtf0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I06mOnLAQAAnAMAAA4AAAAAAAAAAQAgAAAAHgEAAGRycy9lMm9E&#10;b2MueG1sUEsFBgAAAAAGAAYAWQEAAFsFAAAAAA==&#10;">
              <v:fill on="f" focussize="0,0"/>
              <v:stroke on="f"/>
              <v:imagedata o:title=""/>
              <o:lock v:ext="edit" aspectratio="f"/>
              <v:textbox inset="0mm,0mm,0mm,0mm" style="mso-fit-shape-to-text:t;">
                <w:txbxContent>
                  <w:p w14:paraId="50B8492B">
                    <w:pPr>
                      <w:pStyle w:val="36"/>
                      <w:ind w:firstLine="360"/>
                    </w:pPr>
                    <w:r>
                      <w:fldChar w:fldCharType="begin"/>
                    </w:r>
                    <w:r>
                      <w:instrText xml:space="preserve"> PAGE  \* MERGEFORMAT </w:instrText>
                    </w:r>
                    <w:r>
                      <w:fldChar w:fldCharType="separate"/>
                    </w:r>
                    <w:r>
                      <w:t>132</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42443">
    <w:pPr>
      <w:ind w:firstLine="480"/>
    </w:pPr>
  </w:p>
  <w:p w14:paraId="24B542D5">
    <w:pPr>
      <w:ind w:firstLine="480"/>
    </w:pPr>
  </w:p>
  <w:p w14:paraId="5BEC8773">
    <w:pPr>
      <w:ind w:firstLine="48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06CA1">
    <w:pPr>
      <w:spacing w:line="230" w:lineRule="auto"/>
      <w:ind w:left="4279"/>
      <w:rPr>
        <w:rFonts w:ascii="宋体" w:hAnsi="宋体" w:cs="宋体"/>
        <w:sz w:val="17"/>
        <w:szCs w:val="17"/>
      </w:rPr>
    </w:pPr>
    <w:r>
      <w:rPr>
        <w:sz w:val="17"/>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935" cy="140335"/>
              <wp:effectExtent l="0" t="0" r="0" b="0"/>
              <wp:wrapNone/>
              <wp:docPr id="9" name="文本框 11"/>
              <wp:cNvGraphicFramePr/>
              <a:graphic xmlns:a="http://schemas.openxmlformats.org/drawingml/2006/main">
                <a:graphicData uri="http://schemas.microsoft.com/office/word/2010/wordprocessingShape">
                  <wps:wsp>
                    <wps:cNvSpPr txBox="1"/>
                    <wps:spPr>
                      <a:xfrm>
                        <a:off x="0" y="0"/>
                        <a:ext cx="114935" cy="140335"/>
                      </a:xfrm>
                      <a:prstGeom prst="rect">
                        <a:avLst/>
                      </a:prstGeom>
                      <a:noFill/>
                      <a:ln w="15875">
                        <a:noFill/>
                      </a:ln>
                    </wps:spPr>
                    <wps:txbx>
                      <w:txbxContent>
                        <w:p w14:paraId="47909709">
                          <w:pPr>
                            <w:pStyle w:val="36"/>
                          </w:pPr>
                          <w:r>
                            <w:fldChar w:fldCharType="begin"/>
                          </w:r>
                          <w:r>
                            <w:instrText xml:space="preserve"> PAGE  \* MERGEFORMAT </w:instrText>
                          </w:r>
                          <w:r>
                            <w:fldChar w:fldCharType="separate"/>
                          </w:r>
                          <w:r>
                            <w:rPr>
                              <w:rFonts w:hint="eastAsia"/>
                            </w:rPr>
                            <w:t>36</w:t>
                          </w:r>
                          <w:r>
                            <w:fldChar w:fldCharType="end"/>
                          </w:r>
                        </w:p>
                      </w:txbxContent>
                    </wps:txbx>
                    <wps:bodyPr wrap="none" lIns="0" tIns="0" rIns="0" bIns="0" upright="0">
                      <a:spAutoFit/>
                    </wps:bodyPr>
                  </wps:wsp>
                </a:graphicData>
              </a:graphic>
            </wp:anchor>
          </w:drawing>
        </mc:Choice>
        <mc:Fallback>
          <w:pict>
            <v:shape id="文本框 11" o:spid="_x0000_s1026" o:spt="202" type="#_x0000_t202" style="position:absolute;left:0pt;margin-top:0pt;height:11.05pt;width:9.05pt;mso-position-horizontal:center;mso-position-horizontal-relative:margin;mso-wrap-style:none;z-index:251665408;mso-width-relative:page;mso-height-relative:page;" filled="f" stroked="f" coordsize="21600,21600" o:gfxdata="UEsDBAoAAAAAAIdO4kAAAAAAAAAAAAAAAAAEAAAAZHJzL1BLAwQUAAAACACHTuJA33HV19MAAAAD&#10;AQAADwAAAGRycy9kb3ducmV2LnhtbE2PQUvDQBCF74L/YRnBS7G7CSIxzaag0JuCbQWv0+w0Sc3O&#10;ht1tWv31br3oZeDxHu99Uy3PdhAT+dA71pDNFQjixpmeWw3v29VdASJEZIODY9LwRQGW9fVVhaVx&#10;J17TtImtSCUcStTQxTiWUoamI4th7kbi5O2dtxiT9K00Hk+p3A4yV+pBWuw5LXQ40nNHzefmaDV8&#10;vHwTrYun2Wy6Pxy8Wj2+NfJV69ubTC1ARDrHvzBc8BM61Ilp545sghg0pEfi7714RQZipyHPM5B1&#10;Jf+z1z9QSwMEFAAAAAgAh07iQAYDuOTXAQAAogMAAA4AAABkcnMvZTJvRG9jLnhtbK1TzY7TMBC+&#10;I/EOlu80ye4WdqOmK1C1CAkB0sIDuI7dWPKfPG6TvgC8AScu3HmuPseOnaSLlsseuDhjz8w3830z&#10;Wd0ORpODCKCcbWi1KCkRlrtW2V1Dv329e3VNCURmW6adFQ09CqC365cvVr2vxYXrnG5FIAhioe59&#10;Q7sYfV0UwDthGCycFxad0gXDIl7DrmgD6xHd6OKiLF8XvQutD44LAHzdjE46IYbnADopFRcbx/dG&#10;2DiiBqFZRErQKQ90nbuVUvD4WUoQkeiGItOYTyyC9jadxXrF6l1gvlN8aoE9p4UnnAxTFoueoTYs&#10;MrIP6h8oo3hw4GRccGeKkUhWBFlU5RNt7jvmReaCUoM/iw7/D5Z/OnwJRLUNvaHEMoMDP/38cfr1&#10;5/T7O6mqpE/vocawe4+BcXjnBtya+R3wMdEeZDDpi4QI+lHd41ldMUTCU1J1dXO5pISjq7oqL9FG&#10;9OIx2QeI74UzJBkNDTi8rCk7fIQ4hs4hqZZ1d0rrPEBtSY+gy+s3y5xxdiG6tlgkcRh7TVYctsNE&#10;bOvaI/LqcQMaanHhKdEfLAqclmU2wmxsZ2Pvg9p1eZtSK+Df7iO2k7tMFUbYqTCOLvOc1iztxt/3&#10;HPX4a60f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N9x1dfTAAAAAwEAAA8AAAAAAAAAAQAgAAAA&#10;IgAAAGRycy9kb3ducmV2LnhtbFBLAQIUABQAAAAIAIdO4kAGA7jk1wEAAKIDAAAOAAAAAAAAAAEA&#10;IAAAACIBAABkcnMvZTJvRG9jLnhtbFBLBQYAAAAABgAGAFkBAABrBQAAAAA=&#10;">
              <v:fill on="f" focussize="0,0"/>
              <v:stroke on="f" weight="1.25pt"/>
              <v:imagedata o:title=""/>
              <o:lock v:ext="edit" aspectratio="f"/>
              <v:textbox inset="0mm,0mm,0mm,0mm" style="mso-fit-shape-to-text:t;">
                <w:txbxContent>
                  <w:p w14:paraId="47909709">
                    <w:pPr>
                      <w:pStyle w:val="36"/>
                    </w:pPr>
                    <w:r>
                      <w:fldChar w:fldCharType="begin"/>
                    </w:r>
                    <w:r>
                      <w:instrText xml:space="preserve"> PAGE  \* MERGEFORMAT </w:instrText>
                    </w:r>
                    <w:r>
                      <w:fldChar w:fldCharType="separate"/>
                    </w:r>
                    <w:r>
                      <w:rPr>
                        <w:rFonts w:hint="eastAsia"/>
                      </w:rPr>
                      <w:t>36</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line="360" w:lineRule="auto"/>
        <w:ind w:firstLine="480"/>
      </w:pPr>
      <w:r>
        <w:separator/>
      </w:r>
    </w:p>
  </w:footnote>
  <w:footnote w:type="continuationSeparator" w:id="3">
    <w:p>
      <w:pPr>
        <w:spacing w:line="360" w:lineRule="auto"/>
        <w:ind w:firstLine="480"/>
      </w:pPr>
      <w:r>
        <w:continuationSeparator/>
      </w:r>
    </w:p>
  </w:footnote>
  <w:footnote w:id="0">
    <w:p w14:paraId="5E7CC35E">
      <w:pPr>
        <w:pStyle w:val="45"/>
        <w:ind w:left="0" w:leftChars="0" w:firstLine="0" w:firstLineChars="0"/>
        <w:rPr>
          <w:sz w:val="21"/>
          <w:szCs w:val="21"/>
        </w:rPr>
      </w:pPr>
      <w:r>
        <w:rPr>
          <w:rFonts w:hint="eastAsia" w:cs="宋体"/>
          <w:sz w:val="21"/>
          <w:szCs w:val="21"/>
        </w:rPr>
        <w:t>从业人员、营业收入、资产总额填报上一年度数据，无上一年度数据的新成立企业可不填报。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ED22C7">
    <w:pPr>
      <w:pStyle w:val="37"/>
      <w:pBdr>
        <w:bottom w:val="none" w:color="auto"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684C19">
    <w:pPr>
      <w:pStyle w:val="37"/>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FE36D3">
    <w:pPr>
      <w:pStyle w:val="37"/>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7236F">
    <w:pPr>
      <w:spacing w:line="14" w:lineRule="auto"/>
      <w:ind w:firstLine="480"/>
      <w:rPr>
        <w:sz w:val="20"/>
        <w:szCs w:val="20"/>
      </w:rPr>
    </w:pPr>
    <w:r>
      <mc:AlternateContent>
        <mc:Choice Requires="wps">
          <w:drawing>
            <wp:anchor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2" name="文本框 4"/>
              <wp:cNvGraphicFramePr/>
              <a:graphic xmlns:a="http://schemas.openxmlformats.org/drawingml/2006/main">
                <a:graphicData uri="http://schemas.microsoft.com/office/word/2010/wordprocessingShape">
                  <wps:wsp>
                    <wps:cNvSpPr txBox="1">
                      <a:spLocks noChangeArrowheads="1"/>
                    </wps:cNvSpPr>
                    <wps:spPr bwMode="auto">
                      <a:xfrm>
                        <a:off x="0" y="0"/>
                        <a:ext cx="4342765" cy="151765"/>
                      </a:xfrm>
                      <a:prstGeom prst="rect">
                        <a:avLst/>
                      </a:prstGeom>
                      <a:noFill/>
                      <a:ln>
                        <a:noFill/>
                      </a:ln>
                      <a:effectLst/>
                    </wps:spPr>
                    <wps:txbx>
                      <w:txbxContent>
                        <w:p w14:paraId="3C028CFB">
                          <w:pPr>
                            <w:spacing w:line="219" w:lineRule="exact"/>
                            <w:ind w:left="20" w:firstLine="400"/>
                            <w:rPr>
                              <w:rFonts w:ascii="楷体" w:hAnsi="楷体" w:eastAsia="楷体" w:cs="楷体"/>
                              <w:sz w:val="20"/>
                              <w:szCs w:val="20"/>
                              <w:u w:val="single"/>
                            </w:rPr>
                          </w:pPr>
                        </w:p>
                        <w:p w14:paraId="3996DB36">
                          <w:pPr>
                            <w:ind w:firstLine="480"/>
                          </w:pPr>
                        </w:p>
                      </w:txbxContent>
                    </wps:txbx>
                    <wps:bodyPr rot="0" vert="horz" wrap="square" lIns="0" tIns="0" rIns="0" bIns="0" anchor="t" anchorCtr="0" upright="1">
                      <a:noAutofit/>
                    </wps:bodyPr>
                  </wps:wsp>
                </a:graphicData>
              </a:graphic>
            </wp:anchor>
          </w:drawing>
        </mc:Choice>
        <mc:Fallback>
          <w:pict>
            <v:shape id="文本框 4" o:spid="_x0000_s1026" o:spt="202" type="#_x0000_t202" style="position:absolute;left:0pt;margin-left:126.65pt;margin-top:43.05pt;height:11.95pt;width:341.95pt;mso-position-horizontal-relative:page;mso-position-vertical-relative:page;z-index:-251657216;mso-width-relative:page;mso-height-relative:page;" filled="f" stroked="f" coordsize="21600,21600" o:gfxdata="UEsDBAoAAAAAAIdO4kAAAAAAAAAAAAAAAAAEAAAAZHJzL1BLAwQUAAAACACHTuJATXe7QNkAAAAK&#10;AQAADwAAAGRycy9kb3ducmV2LnhtbE2Py07DMBBF90j9B2sqsaN2EhHaEKdCCFZIiDQsWDrxNLEa&#10;j0PsPvh7zIouR/fo3jPl9mJHdsLZG0cSkpUAhtQ5baiX8Nm83q2B+aBIq9ERSvhBD9tqcVOqQrsz&#10;1XjahZ7FEvKFkjCEMBWc+25Aq/zKTUgx27vZqhDPued6VudYbkeeCpFzqwzFhUFN+Dxgd9gdrYSn&#10;L6pfzPd7+1Hva9M0G0Fv+UHK22UiHoEFvIR/GP70ozpU0al1R9KejRLS+yyLqIR1ngCLwCZ7SIG1&#10;kUyEAF6V/PqF6hdQSwMEFAAAAAgAh07iQKjZmDEQAgAAEwQAAA4AAABkcnMvZTJvRG9jLnhtbK1T&#10;zW4TMRC+I/EOlu9kk5AWtMqmKo2KkMqPVHgAx+vNWqw9ZuxkNzwAvAEnLtx5rjwHYztJS7n0wGU1&#10;O575Zr7Pn+cXg+nYVqHXYCs+GY05U1ZCre264p8+Xj97yZkPwtaiA6sqvlOeXyyePpn3rlRTaKGr&#10;FTICsb7sXcXbEFxZFF62ygg/AqcsHTaARgT6xXVRo+gJ3XTFdDw+L3rA2iFI5T1ll/mQHxDxMYDQ&#10;NFqqJciNUTZkVFSdCETJt9p5vkjbNo2S4X3TeBVYV3FiGtKXhlC8it9iMRflGoVrtTysIB6zwgNO&#10;RmhLQ09QSxEE26D+B8poieChCSMJpshEkiLEYjJ+oM1tK5xKXEhq706i+/8HK99tPyDTdcWnnFlh&#10;6ML3P77vf/7e//rGZlGe3vmSqm4d1YXhFQxkmkTVuxuQnz2zcNUKu1aXiNC3StS03iR2FvdaM46P&#10;IKv+LdQ0R2wCJKChQRO1IzUYodPV7E5Xo4bAJCVnz2fTF+dnnEk6m5xNYhxHiPLY7dCH1woMi0HF&#10;ka4+oYvtjQ+59FgSh1m41l1HeVF29q8EYeaMSv45dEcucf1MJAyrgXpjcgX1jlghZG/Ry6KgBfzK&#10;WU++qrj/shGoOOveWFImmvAY4DFYHQNhJbVWPHCWw6uQzbpxqNctIWftLVySeo1OxO62OGhOXknS&#10;HHwdzXj/P1XdveXFH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E13u0DZAAAACgEAAA8AAAAAAAAA&#10;AQAgAAAAIgAAAGRycy9kb3ducmV2LnhtbFBLAQIUABQAAAAIAIdO4kCo2ZgxEAIAABMEAAAOAAAA&#10;AAAAAAEAIAAAACgBAABkcnMvZTJvRG9jLnhtbFBLBQYAAAAABgAGAFkBAACqBQAAAAA=&#10;">
              <v:fill on="f" focussize="0,0"/>
              <v:stroke on="f"/>
              <v:imagedata o:title=""/>
              <o:lock v:ext="edit" aspectratio="f"/>
              <v:textbox inset="0mm,0mm,0mm,0mm">
                <w:txbxContent>
                  <w:p w14:paraId="3C028CFB">
                    <w:pPr>
                      <w:spacing w:line="219" w:lineRule="exact"/>
                      <w:ind w:left="20" w:firstLine="400"/>
                      <w:rPr>
                        <w:rFonts w:ascii="楷体" w:hAnsi="楷体" w:eastAsia="楷体" w:cs="楷体"/>
                        <w:sz w:val="20"/>
                        <w:szCs w:val="20"/>
                        <w:u w:val="single"/>
                      </w:rPr>
                    </w:pPr>
                  </w:p>
                  <w:p w14:paraId="3996DB36">
                    <w:pPr>
                      <w:ind w:firstLine="480"/>
                    </w:pPr>
                  </w:p>
                </w:txbxContent>
              </v:textbox>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3EC9D">
    <w:pPr>
      <w:pStyle w:val="37"/>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4C88A4">
    <w:pPr>
      <w:pStyle w:val="37"/>
      <w:ind w:firstLine="36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DA4184">
    <w:pPr>
      <w:pStyle w:val="37"/>
      <w:ind w:firstLine="36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39795">
    <w:pPr>
      <w:pStyle w:val="37"/>
      <w:ind w:firstLine="36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0AE1A4">
    <w:pPr>
      <w:pStyle w:val="37"/>
      <w:ind w:right="720" w:firstLine="36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A09BD5"/>
    <w:multiLevelType w:val="singleLevel"/>
    <w:tmpl w:val="8AA09BD5"/>
    <w:lvl w:ilvl="0" w:tentative="0">
      <w:start w:val="19"/>
      <w:numFmt w:val="decimal"/>
      <w:suff w:val="nothing"/>
      <w:lvlText w:val="%1、"/>
      <w:lvlJc w:val="left"/>
    </w:lvl>
  </w:abstractNum>
  <w:abstractNum w:abstractNumId="1">
    <w:nsid w:val="00000004"/>
    <w:multiLevelType w:val="multilevel"/>
    <w:tmpl w:val="00000004"/>
    <w:lvl w:ilvl="0" w:tentative="0">
      <w:start w:val="1"/>
      <w:numFmt w:val="bullet"/>
      <w:pStyle w:val="277"/>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6"/>
    <w:multiLevelType w:val="multilevel"/>
    <w:tmpl w:val="00000006"/>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000007"/>
    <w:multiLevelType w:val="multilevel"/>
    <w:tmpl w:val="00000007"/>
    <w:lvl w:ilvl="0" w:tentative="0">
      <w:start w:val="1"/>
      <w:numFmt w:val="decimal"/>
      <w:pStyle w:val="357"/>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293"/>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A"/>
    <w:multiLevelType w:val="multilevel"/>
    <w:tmpl w:val="0000000A"/>
    <w:lvl w:ilvl="0" w:tentative="0">
      <w:start w:val="1"/>
      <w:numFmt w:val="decimal"/>
      <w:pStyle w:val="252"/>
      <w:lvlText w:val="%1"/>
      <w:lvlJc w:val="left"/>
      <w:pPr>
        <w:tabs>
          <w:tab w:val="left" w:pos="567"/>
        </w:tabs>
        <w:ind w:left="567" w:hanging="567"/>
      </w:pPr>
      <w:rPr>
        <w:rFonts w:hint="eastAsia"/>
      </w:rPr>
    </w:lvl>
    <w:lvl w:ilvl="1" w:tentative="0">
      <w:start w:val="1"/>
      <w:numFmt w:val="decimal"/>
      <w:pStyle w:val="299"/>
      <w:lvlText w:val="%1.%2"/>
      <w:lvlJc w:val="left"/>
      <w:pPr>
        <w:tabs>
          <w:tab w:val="left" w:pos="1004"/>
        </w:tabs>
        <w:ind w:left="567" w:hanging="283"/>
      </w:pPr>
      <w:rPr>
        <w:rFonts w:hint="eastAsia"/>
      </w:rPr>
    </w:lvl>
    <w:lvl w:ilvl="2" w:tentative="0">
      <w:start w:val="1"/>
      <w:numFmt w:val="decimal"/>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5">
    <w:nsid w:val="0000000B"/>
    <w:multiLevelType w:val="singleLevel"/>
    <w:tmpl w:val="0000000B"/>
    <w:lvl w:ilvl="0" w:tentative="0">
      <w:start w:val="1"/>
      <w:numFmt w:val="bullet"/>
      <w:pStyle w:val="227"/>
      <w:lvlText w:val=""/>
      <w:lvlJc w:val="left"/>
      <w:pPr>
        <w:tabs>
          <w:tab w:val="left" w:pos="360"/>
        </w:tabs>
        <w:ind w:left="360" w:hanging="360"/>
      </w:pPr>
      <w:rPr>
        <w:rFonts w:hint="default" w:ascii="Symbol" w:hAnsi="Symbol"/>
      </w:rPr>
    </w:lvl>
  </w:abstractNum>
  <w:abstractNum w:abstractNumId="6">
    <w:nsid w:val="0053208E"/>
    <w:multiLevelType w:val="multilevel"/>
    <w:tmpl w:val="0053208E"/>
    <w:lvl w:ilvl="0" w:tentative="0">
      <w:start w:val="1"/>
      <w:numFmt w:val="japaneseCounting"/>
      <w:lvlText w:val="第%1章"/>
      <w:lvlJc w:val="left"/>
      <w:pPr>
        <w:ind w:left="1455" w:hanging="1455"/>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pStyle w:val="686"/>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7">
    <w:nsid w:val="2A9F90A4"/>
    <w:multiLevelType w:val="singleLevel"/>
    <w:tmpl w:val="2A9F90A4"/>
    <w:lvl w:ilvl="0" w:tentative="0">
      <w:start w:val="2"/>
      <w:numFmt w:val="chineseCounting"/>
      <w:suff w:val="nothing"/>
      <w:lvlText w:val="%1、"/>
      <w:lvlJc w:val="left"/>
      <w:rPr>
        <w:rFonts w:hint="eastAsia"/>
      </w:rPr>
    </w:lvl>
  </w:abstractNum>
  <w:abstractNum w:abstractNumId="8">
    <w:nsid w:val="4EE03B86"/>
    <w:multiLevelType w:val="singleLevel"/>
    <w:tmpl w:val="4EE03B86"/>
    <w:lvl w:ilvl="0" w:tentative="0">
      <w:start w:val="4"/>
      <w:numFmt w:val="decimal"/>
      <w:suff w:val="nothing"/>
      <w:lvlText w:val="（%1）"/>
      <w:lvlJc w:val="left"/>
    </w:lvl>
  </w:abstractNum>
  <w:abstractNum w:abstractNumId="9">
    <w:nsid w:val="54075B75"/>
    <w:multiLevelType w:val="singleLevel"/>
    <w:tmpl w:val="54075B75"/>
    <w:lvl w:ilvl="0" w:tentative="0">
      <w:start w:val="7"/>
      <w:numFmt w:val="chineseCounting"/>
      <w:suff w:val="nothing"/>
      <w:lvlText w:val="%1、"/>
      <w:lvlJc w:val="left"/>
      <w:rPr>
        <w:rFonts w:hint="eastAsia"/>
      </w:rPr>
    </w:lvl>
  </w:abstractNum>
  <w:num w:numId="1">
    <w:abstractNumId w:val="5"/>
  </w:num>
  <w:num w:numId="2">
    <w:abstractNumId w:val="4"/>
  </w:num>
  <w:num w:numId="3">
    <w:abstractNumId w:val="1"/>
  </w:num>
  <w:num w:numId="4">
    <w:abstractNumId w:val="3"/>
  </w:num>
  <w:num w:numId="5">
    <w:abstractNumId w:val="6"/>
  </w:num>
  <w:num w:numId="6">
    <w:abstractNumId w:val="9"/>
  </w:num>
  <w:num w:numId="7">
    <w:abstractNumId w:val="0"/>
  </w:num>
  <w:num w:numId="8">
    <w:abstractNumId w:val="8"/>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hideSpellingErrors/>
  <w:documentProtection w:enforcement="0"/>
  <w:defaultTabStop w:val="720"/>
  <w:displayHorizontalDrawingGridEvery w:val="1"/>
  <w:displayVerticalDrawingGridEvery w:val="1"/>
  <w:noPunctuationKerning w:val="1"/>
  <w:characterSpacingControl w:val="doNotCompress"/>
  <w:hdrShapeDefaults>
    <o:shapelayout v:ext="edit">
      <o:idmap v:ext="edit" data="2"/>
    </o:shapelayout>
  </w:hdrShapeDefaults>
  <w:footnotePr>
    <w:footnote w:id="2"/>
    <w:footnote w:id="3"/>
  </w:footnotePr>
  <w:endnotePr>
    <w:endnote w:id="0"/>
    <w:endnote w:id="1"/>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D2C"/>
    <w:rsid w:val="000011DB"/>
    <w:rsid w:val="00007C04"/>
    <w:rsid w:val="00017299"/>
    <w:rsid w:val="0002363A"/>
    <w:rsid w:val="0002563B"/>
    <w:rsid w:val="0002604F"/>
    <w:rsid w:val="000427A9"/>
    <w:rsid w:val="000552F3"/>
    <w:rsid w:val="000614AE"/>
    <w:rsid w:val="000703D5"/>
    <w:rsid w:val="00073105"/>
    <w:rsid w:val="00081F9D"/>
    <w:rsid w:val="000831C6"/>
    <w:rsid w:val="00083925"/>
    <w:rsid w:val="00084228"/>
    <w:rsid w:val="0009352B"/>
    <w:rsid w:val="0009608E"/>
    <w:rsid w:val="000A2931"/>
    <w:rsid w:val="000A714C"/>
    <w:rsid w:val="000B37D3"/>
    <w:rsid w:val="000B4844"/>
    <w:rsid w:val="000B5052"/>
    <w:rsid w:val="000C376D"/>
    <w:rsid w:val="000C4F82"/>
    <w:rsid w:val="000D03E2"/>
    <w:rsid w:val="000D0AD1"/>
    <w:rsid w:val="000D203C"/>
    <w:rsid w:val="000D2843"/>
    <w:rsid w:val="000D5AEC"/>
    <w:rsid w:val="000E5165"/>
    <w:rsid w:val="000F5580"/>
    <w:rsid w:val="00104C84"/>
    <w:rsid w:val="001066A2"/>
    <w:rsid w:val="00122B3C"/>
    <w:rsid w:val="00130E4D"/>
    <w:rsid w:val="00132EC2"/>
    <w:rsid w:val="001413C5"/>
    <w:rsid w:val="00142CD7"/>
    <w:rsid w:val="001450E3"/>
    <w:rsid w:val="00154FA8"/>
    <w:rsid w:val="00161FC5"/>
    <w:rsid w:val="00173C07"/>
    <w:rsid w:val="0017548A"/>
    <w:rsid w:val="00185AC5"/>
    <w:rsid w:val="001868FF"/>
    <w:rsid w:val="001927AB"/>
    <w:rsid w:val="001A5898"/>
    <w:rsid w:val="001A6724"/>
    <w:rsid w:val="001B522E"/>
    <w:rsid w:val="001B765E"/>
    <w:rsid w:val="001C0E4B"/>
    <w:rsid w:val="001C400F"/>
    <w:rsid w:val="001C6256"/>
    <w:rsid w:val="001C6D8A"/>
    <w:rsid w:val="001D0129"/>
    <w:rsid w:val="001D338C"/>
    <w:rsid w:val="001D3A06"/>
    <w:rsid w:val="001D5C28"/>
    <w:rsid w:val="001E3722"/>
    <w:rsid w:val="001E3BF4"/>
    <w:rsid w:val="001E6E20"/>
    <w:rsid w:val="001F0F3A"/>
    <w:rsid w:val="001F3128"/>
    <w:rsid w:val="00210330"/>
    <w:rsid w:val="002112FC"/>
    <w:rsid w:val="0022112E"/>
    <w:rsid w:val="00222F2F"/>
    <w:rsid w:val="0023112B"/>
    <w:rsid w:val="002514CC"/>
    <w:rsid w:val="0025563E"/>
    <w:rsid w:val="00256930"/>
    <w:rsid w:val="0026017B"/>
    <w:rsid w:val="00263D9B"/>
    <w:rsid w:val="0027046C"/>
    <w:rsid w:val="002959B9"/>
    <w:rsid w:val="002A0263"/>
    <w:rsid w:val="002A049A"/>
    <w:rsid w:val="002A184B"/>
    <w:rsid w:val="002A2E6B"/>
    <w:rsid w:val="002A3A34"/>
    <w:rsid w:val="002B07B8"/>
    <w:rsid w:val="002C0C7F"/>
    <w:rsid w:val="002C35F1"/>
    <w:rsid w:val="002D0225"/>
    <w:rsid w:val="002D3EF7"/>
    <w:rsid w:val="002D5940"/>
    <w:rsid w:val="002D5AF6"/>
    <w:rsid w:val="002E0784"/>
    <w:rsid w:val="002E5821"/>
    <w:rsid w:val="00313043"/>
    <w:rsid w:val="0032203F"/>
    <w:rsid w:val="00322FA2"/>
    <w:rsid w:val="00331243"/>
    <w:rsid w:val="003422F3"/>
    <w:rsid w:val="00351C0E"/>
    <w:rsid w:val="00364177"/>
    <w:rsid w:val="003773DA"/>
    <w:rsid w:val="00383E71"/>
    <w:rsid w:val="0039269D"/>
    <w:rsid w:val="003A455F"/>
    <w:rsid w:val="003A610A"/>
    <w:rsid w:val="003B1232"/>
    <w:rsid w:val="003B35C7"/>
    <w:rsid w:val="003B3B19"/>
    <w:rsid w:val="003B6DC1"/>
    <w:rsid w:val="003B7C66"/>
    <w:rsid w:val="003D2173"/>
    <w:rsid w:val="003F230E"/>
    <w:rsid w:val="003F3EBF"/>
    <w:rsid w:val="003F55FC"/>
    <w:rsid w:val="004037B1"/>
    <w:rsid w:val="00404115"/>
    <w:rsid w:val="004120FD"/>
    <w:rsid w:val="004147C6"/>
    <w:rsid w:val="00414BD5"/>
    <w:rsid w:val="00417FE9"/>
    <w:rsid w:val="0042034A"/>
    <w:rsid w:val="0042400B"/>
    <w:rsid w:val="00431D69"/>
    <w:rsid w:val="0043368B"/>
    <w:rsid w:val="00444892"/>
    <w:rsid w:val="00444FC0"/>
    <w:rsid w:val="004474B6"/>
    <w:rsid w:val="00451768"/>
    <w:rsid w:val="004555EC"/>
    <w:rsid w:val="00457A10"/>
    <w:rsid w:val="004600D8"/>
    <w:rsid w:val="004703D5"/>
    <w:rsid w:val="00470BD5"/>
    <w:rsid w:val="00485285"/>
    <w:rsid w:val="004A30AB"/>
    <w:rsid w:val="004A4951"/>
    <w:rsid w:val="004C1058"/>
    <w:rsid w:val="004C1B63"/>
    <w:rsid w:val="004C5BE8"/>
    <w:rsid w:val="004D7FFA"/>
    <w:rsid w:val="004E613B"/>
    <w:rsid w:val="00500FA7"/>
    <w:rsid w:val="00510B56"/>
    <w:rsid w:val="00517C6E"/>
    <w:rsid w:val="0052437D"/>
    <w:rsid w:val="00527A92"/>
    <w:rsid w:val="0053356B"/>
    <w:rsid w:val="0054295B"/>
    <w:rsid w:val="00544B81"/>
    <w:rsid w:val="00545929"/>
    <w:rsid w:val="005566F0"/>
    <w:rsid w:val="0056184B"/>
    <w:rsid w:val="00571052"/>
    <w:rsid w:val="00581B27"/>
    <w:rsid w:val="005A0A17"/>
    <w:rsid w:val="005A2317"/>
    <w:rsid w:val="005A6B83"/>
    <w:rsid w:val="005B0B26"/>
    <w:rsid w:val="005C33C5"/>
    <w:rsid w:val="005D7192"/>
    <w:rsid w:val="005E0374"/>
    <w:rsid w:val="005E25E3"/>
    <w:rsid w:val="005E7F5B"/>
    <w:rsid w:val="005F0137"/>
    <w:rsid w:val="006050EC"/>
    <w:rsid w:val="006102B0"/>
    <w:rsid w:val="00615BF8"/>
    <w:rsid w:val="00620842"/>
    <w:rsid w:val="00622ACF"/>
    <w:rsid w:val="00631AA3"/>
    <w:rsid w:val="00631D69"/>
    <w:rsid w:val="00633A33"/>
    <w:rsid w:val="00641A03"/>
    <w:rsid w:val="0065279C"/>
    <w:rsid w:val="006532AC"/>
    <w:rsid w:val="00664D8A"/>
    <w:rsid w:val="006811A5"/>
    <w:rsid w:val="0068201D"/>
    <w:rsid w:val="00684444"/>
    <w:rsid w:val="00686E1A"/>
    <w:rsid w:val="00693CC5"/>
    <w:rsid w:val="00695233"/>
    <w:rsid w:val="006A7F02"/>
    <w:rsid w:val="006B423E"/>
    <w:rsid w:val="006C2B28"/>
    <w:rsid w:val="006C688B"/>
    <w:rsid w:val="006E4299"/>
    <w:rsid w:val="006E4D2C"/>
    <w:rsid w:val="006E5472"/>
    <w:rsid w:val="006F5636"/>
    <w:rsid w:val="006F638E"/>
    <w:rsid w:val="0070339F"/>
    <w:rsid w:val="00712508"/>
    <w:rsid w:val="0071511B"/>
    <w:rsid w:val="00724C52"/>
    <w:rsid w:val="0072607C"/>
    <w:rsid w:val="00726CE8"/>
    <w:rsid w:val="00727126"/>
    <w:rsid w:val="00727A77"/>
    <w:rsid w:val="0073031A"/>
    <w:rsid w:val="00737C26"/>
    <w:rsid w:val="007469BC"/>
    <w:rsid w:val="007474FD"/>
    <w:rsid w:val="00754A6F"/>
    <w:rsid w:val="00764616"/>
    <w:rsid w:val="00767336"/>
    <w:rsid w:val="007677CE"/>
    <w:rsid w:val="007721CE"/>
    <w:rsid w:val="0078310E"/>
    <w:rsid w:val="00795906"/>
    <w:rsid w:val="007A0901"/>
    <w:rsid w:val="007A2952"/>
    <w:rsid w:val="007A584B"/>
    <w:rsid w:val="007B21CC"/>
    <w:rsid w:val="007B4704"/>
    <w:rsid w:val="007C4BF1"/>
    <w:rsid w:val="007C68C1"/>
    <w:rsid w:val="007D0365"/>
    <w:rsid w:val="007D3825"/>
    <w:rsid w:val="007F1B17"/>
    <w:rsid w:val="007F4402"/>
    <w:rsid w:val="00800C84"/>
    <w:rsid w:val="00802D84"/>
    <w:rsid w:val="00826F54"/>
    <w:rsid w:val="008319C7"/>
    <w:rsid w:val="00831D9C"/>
    <w:rsid w:val="00834F2A"/>
    <w:rsid w:val="008374F9"/>
    <w:rsid w:val="00857175"/>
    <w:rsid w:val="008669FB"/>
    <w:rsid w:val="00871993"/>
    <w:rsid w:val="0087470B"/>
    <w:rsid w:val="008879C2"/>
    <w:rsid w:val="00887E8C"/>
    <w:rsid w:val="00893F58"/>
    <w:rsid w:val="008954D1"/>
    <w:rsid w:val="008B0CB6"/>
    <w:rsid w:val="008B1C69"/>
    <w:rsid w:val="008B3C27"/>
    <w:rsid w:val="008C2FBA"/>
    <w:rsid w:val="008D1441"/>
    <w:rsid w:val="008D6693"/>
    <w:rsid w:val="008E5E62"/>
    <w:rsid w:val="008E698D"/>
    <w:rsid w:val="008F397E"/>
    <w:rsid w:val="008F6EB2"/>
    <w:rsid w:val="00916651"/>
    <w:rsid w:val="0091747E"/>
    <w:rsid w:val="009206E9"/>
    <w:rsid w:val="00930B29"/>
    <w:rsid w:val="00931327"/>
    <w:rsid w:val="00947C61"/>
    <w:rsid w:val="00966D63"/>
    <w:rsid w:val="00976E7F"/>
    <w:rsid w:val="009776F9"/>
    <w:rsid w:val="009871C6"/>
    <w:rsid w:val="00990A90"/>
    <w:rsid w:val="009B1370"/>
    <w:rsid w:val="009B1676"/>
    <w:rsid w:val="009B41D6"/>
    <w:rsid w:val="009B5E69"/>
    <w:rsid w:val="009B7F97"/>
    <w:rsid w:val="009C157F"/>
    <w:rsid w:val="009C4912"/>
    <w:rsid w:val="009D1EB3"/>
    <w:rsid w:val="009F6290"/>
    <w:rsid w:val="00A008F6"/>
    <w:rsid w:val="00A00AB7"/>
    <w:rsid w:val="00A2389F"/>
    <w:rsid w:val="00A24247"/>
    <w:rsid w:val="00A333B8"/>
    <w:rsid w:val="00A3788E"/>
    <w:rsid w:val="00A408DC"/>
    <w:rsid w:val="00A4102F"/>
    <w:rsid w:val="00A42B3D"/>
    <w:rsid w:val="00A46785"/>
    <w:rsid w:val="00A70F0F"/>
    <w:rsid w:val="00A83B99"/>
    <w:rsid w:val="00A84E68"/>
    <w:rsid w:val="00A857A9"/>
    <w:rsid w:val="00A85FBC"/>
    <w:rsid w:val="00A86A63"/>
    <w:rsid w:val="00A92095"/>
    <w:rsid w:val="00A96D48"/>
    <w:rsid w:val="00AA087A"/>
    <w:rsid w:val="00AA6FC4"/>
    <w:rsid w:val="00AA7433"/>
    <w:rsid w:val="00AB1814"/>
    <w:rsid w:val="00AB2A17"/>
    <w:rsid w:val="00AB629F"/>
    <w:rsid w:val="00AC196D"/>
    <w:rsid w:val="00AC410D"/>
    <w:rsid w:val="00AC43A9"/>
    <w:rsid w:val="00AD3A0B"/>
    <w:rsid w:val="00AD5AE9"/>
    <w:rsid w:val="00AE00B0"/>
    <w:rsid w:val="00AE34BF"/>
    <w:rsid w:val="00AE3F52"/>
    <w:rsid w:val="00AE5C41"/>
    <w:rsid w:val="00B010FF"/>
    <w:rsid w:val="00B04BF6"/>
    <w:rsid w:val="00B15901"/>
    <w:rsid w:val="00B2073A"/>
    <w:rsid w:val="00B22258"/>
    <w:rsid w:val="00B25969"/>
    <w:rsid w:val="00B31F8F"/>
    <w:rsid w:val="00B40D39"/>
    <w:rsid w:val="00B46CB1"/>
    <w:rsid w:val="00B52B90"/>
    <w:rsid w:val="00B6469F"/>
    <w:rsid w:val="00B6661E"/>
    <w:rsid w:val="00B67ECC"/>
    <w:rsid w:val="00B7356E"/>
    <w:rsid w:val="00B96B03"/>
    <w:rsid w:val="00BA02DD"/>
    <w:rsid w:val="00BA7E5F"/>
    <w:rsid w:val="00BB0D1A"/>
    <w:rsid w:val="00BB1077"/>
    <w:rsid w:val="00BB16ED"/>
    <w:rsid w:val="00BB404C"/>
    <w:rsid w:val="00BC0DC4"/>
    <w:rsid w:val="00BF3975"/>
    <w:rsid w:val="00BF75B9"/>
    <w:rsid w:val="00C0736F"/>
    <w:rsid w:val="00C21722"/>
    <w:rsid w:val="00C310BB"/>
    <w:rsid w:val="00C31C71"/>
    <w:rsid w:val="00C40503"/>
    <w:rsid w:val="00C44CAD"/>
    <w:rsid w:val="00C46A1A"/>
    <w:rsid w:val="00C46E53"/>
    <w:rsid w:val="00C50808"/>
    <w:rsid w:val="00C53B29"/>
    <w:rsid w:val="00C634E1"/>
    <w:rsid w:val="00C66001"/>
    <w:rsid w:val="00C676EE"/>
    <w:rsid w:val="00C67AFB"/>
    <w:rsid w:val="00C85A5E"/>
    <w:rsid w:val="00C94853"/>
    <w:rsid w:val="00CA097B"/>
    <w:rsid w:val="00CA2C68"/>
    <w:rsid w:val="00CA3D32"/>
    <w:rsid w:val="00CB3E1C"/>
    <w:rsid w:val="00CB42C6"/>
    <w:rsid w:val="00CB56B0"/>
    <w:rsid w:val="00CB5B00"/>
    <w:rsid w:val="00CB7B49"/>
    <w:rsid w:val="00CC7068"/>
    <w:rsid w:val="00CC788C"/>
    <w:rsid w:val="00CD0DEE"/>
    <w:rsid w:val="00CD6FED"/>
    <w:rsid w:val="00CF4882"/>
    <w:rsid w:val="00CF5ED2"/>
    <w:rsid w:val="00D107F4"/>
    <w:rsid w:val="00D1290E"/>
    <w:rsid w:val="00D22C06"/>
    <w:rsid w:val="00D36CA9"/>
    <w:rsid w:val="00D462D9"/>
    <w:rsid w:val="00D54357"/>
    <w:rsid w:val="00D66BF9"/>
    <w:rsid w:val="00D72953"/>
    <w:rsid w:val="00D84366"/>
    <w:rsid w:val="00D934E2"/>
    <w:rsid w:val="00DB6CFF"/>
    <w:rsid w:val="00DC05BD"/>
    <w:rsid w:val="00DC0712"/>
    <w:rsid w:val="00DC6644"/>
    <w:rsid w:val="00DC7651"/>
    <w:rsid w:val="00DD2F8D"/>
    <w:rsid w:val="00DD2FB8"/>
    <w:rsid w:val="00DE363C"/>
    <w:rsid w:val="00DF4248"/>
    <w:rsid w:val="00DF6471"/>
    <w:rsid w:val="00E105A4"/>
    <w:rsid w:val="00E1364D"/>
    <w:rsid w:val="00E1432C"/>
    <w:rsid w:val="00E3054E"/>
    <w:rsid w:val="00E367D8"/>
    <w:rsid w:val="00E47CE9"/>
    <w:rsid w:val="00E47E05"/>
    <w:rsid w:val="00E55EED"/>
    <w:rsid w:val="00E60AF3"/>
    <w:rsid w:val="00E633AF"/>
    <w:rsid w:val="00E652D5"/>
    <w:rsid w:val="00E800F5"/>
    <w:rsid w:val="00E80D76"/>
    <w:rsid w:val="00E93FBD"/>
    <w:rsid w:val="00EA1DA5"/>
    <w:rsid w:val="00EB417E"/>
    <w:rsid w:val="00EC0766"/>
    <w:rsid w:val="00EC29F7"/>
    <w:rsid w:val="00EC7571"/>
    <w:rsid w:val="00EC7C41"/>
    <w:rsid w:val="00ED0D93"/>
    <w:rsid w:val="00ED2512"/>
    <w:rsid w:val="00EE16C9"/>
    <w:rsid w:val="00EE58F5"/>
    <w:rsid w:val="00EE65C9"/>
    <w:rsid w:val="00EE78FA"/>
    <w:rsid w:val="00EF00BB"/>
    <w:rsid w:val="00EF24AF"/>
    <w:rsid w:val="00EF2675"/>
    <w:rsid w:val="00EF6D9D"/>
    <w:rsid w:val="00F11EB7"/>
    <w:rsid w:val="00F137BA"/>
    <w:rsid w:val="00F2143E"/>
    <w:rsid w:val="00F23167"/>
    <w:rsid w:val="00F25638"/>
    <w:rsid w:val="00F44094"/>
    <w:rsid w:val="00F4457A"/>
    <w:rsid w:val="00F5227B"/>
    <w:rsid w:val="00F618C7"/>
    <w:rsid w:val="00F62E68"/>
    <w:rsid w:val="00F6482D"/>
    <w:rsid w:val="00F65A90"/>
    <w:rsid w:val="00F65D41"/>
    <w:rsid w:val="00F7323A"/>
    <w:rsid w:val="00F74D86"/>
    <w:rsid w:val="00F766EA"/>
    <w:rsid w:val="00F91509"/>
    <w:rsid w:val="00F92A56"/>
    <w:rsid w:val="00FA0526"/>
    <w:rsid w:val="00FA4319"/>
    <w:rsid w:val="00FA5036"/>
    <w:rsid w:val="00FA7500"/>
    <w:rsid w:val="00FB00B5"/>
    <w:rsid w:val="00FB5710"/>
    <w:rsid w:val="00FC17A8"/>
    <w:rsid w:val="00FC17F8"/>
    <w:rsid w:val="00FC282B"/>
    <w:rsid w:val="00FC4635"/>
    <w:rsid w:val="00FC637C"/>
    <w:rsid w:val="00FC6921"/>
    <w:rsid w:val="00FE2FB7"/>
    <w:rsid w:val="00FE55CB"/>
    <w:rsid w:val="00FF48A3"/>
    <w:rsid w:val="00FF69CF"/>
    <w:rsid w:val="014F6641"/>
    <w:rsid w:val="023C463F"/>
    <w:rsid w:val="02521D66"/>
    <w:rsid w:val="031D3A20"/>
    <w:rsid w:val="033169AF"/>
    <w:rsid w:val="034C72DC"/>
    <w:rsid w:val="036F102E"/>
    <w:rsid w:val="037979A5"/>
    <w:rsid w:val="04A930A7"/>
    <w:rsid w:val="04D051ED"/>
    <w:rsid w:val="04F0798B"/>
    <w:rsid w:val="06035C4C"/>
    <w:rsid w:val="07603557"/>
    <w:rsid w:val="077C5CB6"/>
    <w:rsid w:val="07993C42"/>
    <w:rsid w:val="081C7856"/>
    <w:rsid w:val="08387E2F"/>
    <w:rsid w:val="08395955"/>
    <w:rsid w:val="08513DCB"/>
    <w:rsid w:val="08D00067"/>
    <w:rsid w:val="0922463B"/>
    <w:rsid w:val="09A92667"/>
    <w:rsid w:val="09D37A1E"/>
    <w:rsid w:val="0A4B5A48"/>
    <w:rsid w:val="0A785095"/>
    <w:rsid w:val="0AAA6D07"/>
    <w:rsid w:val="0B183F48"/>
    <w:rsid w:val="0B2E376B"/>
    <w:rsid w:val="0B84405C"/>
    <w:rsid w:val="0B853644"/>
    <w:rsid w:val="0BF37A10"/>
    <w:rsid w:val="0C8E3072"/>
    <w:rsid w:val="0CA43CE5"/>
    <w:rsid w:val="0D2E48F8"/>
    <w:rsid w:val="0EDB7766"/>
    <w:rsid w:val="0F505384"/>
    <w:rsid w:val="0F9F34D4"/>
    <w:rsid w:val="0FBA381F"/>
    <w:rsid w:val="0FE60171"/>
    <w:rsid w:val="104D1539"/>
    <w:rsid w:val="10F25B74"/>
    <w:rsid w:val="11131439"/>
    <w:rsid w:val="11B00A36"/>
    <w:rsid w:val="11D13B08"/>
    <w:rsid w:val="123A0C48"/>
    <w:rsid w:val="12982310"/>
    <w:rsid w:val="130D2CF9"/>
    <w:rsid w:val="130D30C9"/>
    <w:rsid w:val="13906D71"/>
    <w:rsid w:val="13C108C8"/>
    <w:rsid w:val="140B3C9E"/>
    <w:rsid w:val="14C4585D"/>
    <w:rsid w:val="1594066F"/>
    <w:rsid w:val="15BF54BF"/>
    <w:rsid w:val="15C56A7A"/>
    <w:rsid w:val="163F05DA"/>
    <w:rsid w:val="16F022FB"/>
    <w:rsid w:val="177B1F85"/>
    <w:rsid w:val="17DF2075"/>
    <w:rsid w:val="182C5559"/>
    <w:rsid w:val="18636647"/>
    <w:rsid w:val="18F928E7"/>
    <w:rsid w:val="191553D6"/>
    <w:rsid w:val="19410B0E"/>
    <w:rsid w:val="19890B2B"/>
    <w:rsid w:val="19A54BF8"/>
    <w:rsid w:val="1A254F20"/>
    <w:rsid w:val="1BA51CEB"/>
    <w:rsid w:val="1BED3E9E"/>
    <w:rsid w:val="1CA23671"/>
    <w:rsid w:val="1CD10D19"/>
    <w:rsid w:val="1CE52911"/>
    <w:rsid w:val="1D9A0EF4"/>
    <w:rsid w:val="1DC83D3D"/>
    <w:rsid w:val="1E2B0BFC"/>
    <w:rsid w:val="1E613CCC"/>
    <w:rsid w:val="1FD1782E"/>
    <w:rsid w:val="200F2799"/>
    <w:rsid w:val="209D5FE8"/>
    <w:rsid w:val="211C7E96"/>
    <w:rsid w:val="21AA36F4"/>
    <w:rsid w:val="222D60D3"/>
    <w:rsid w:val="224A3AAB"/>
    <w:rsid w:val="22616FCE"/>
    <w:rsid w:val="22882B2A"/>
    <w:rsid w:val="22BB548D"/>
    <w:rsid w:val="22F26DE6"/>
    <w:rsid w:val="23052BAC"/>
    <w:rsid w:val="235356C5"/>
    <w:rsid w:val="23B24AE2"/>
    <w:rsid w:val="23F16516"/>
    <w:rsid w:val="24066EA0"/>
    <w:rsid w:val="245B7F9A"/>
    <w:rsid w:val="255C6D2E"/>
    <w:rsid w:val="256F309D"/>
    <w:rsid w:val="260D3152"/>
    <w:rsid w:val="26D25B40"/>
    <w:rsid w:val="272E6B0C"/>
    <w:rsid w:val="27421CD9"/>
    <w:rsid w:val="2767173F"/>
    <w:rsid w:val="283C7070"/>
    <w:rsid w:val="28E05C4D"/>
    <w:rsid w:val="299469E9"/>
    <w:rsid w:val="29C525F1"/>
    <w:rsid w:val="2A424AA1"/>
    <w:rsid w:val="2AB63109"/>
    <w:rsid w:val="2B01136A"/>
    <w:rsid w:val="2C985CE6"/>
    <w:rsid w:val="2CDF621C"/>
    <w:rsid w:val="2DBD47AF"/>
    <w:rsid w:val="2E4C78E1"/>
    <w:rsid w:val="2E625356"/>
    <w:rsid w:val="2EA956B2"/>
    <w:rsid w:val="2ED15C61"/>
    <w:rsid w:val="2F2919D0"/>
    <w:rsid w:val="30137283"/>
    <w:rsid w:val="30E73309"/>
    <w:rsid w:val="31F44C42"/>
    <w:rsid w:val="32476D3D"/>
    <w:rsid w:val="327A0EC0"/>
    <w:rsid w:val="328921A2"/>
    <w:rsid w:val="34A861BF"/>
    <w:rsid w:val="34C25D19"/>
    <w:rsid w:val="35246B52"/>
    <w:rsid w:val="35700359"/>
    <w:rsid w:val="35A25C33"/>
    <w:rsid w:val="363650FE"/>
    <w:rsid w:val="365A47A1"/>
    <w:rsid w:val="36D466C5"/>
    <w:rsid w:val="370C2303"/>
    <w:rsid w:val="37294C63"/>
    <w:rsid w:val="3765015C"/>
    <w:rsid w:val="37723805"/>
    <w:rsid w:val="37BB01A5"/>
    <w:rsid w:val="37E56DDC"/>
    <w:rsid w:val="38233460"/>
    <w:rsid w:val="382673F4"/>
    <w:rsid w:val="388B1518"/>
    <w:rsid w:val="389B393F"/>
    <w:rsid w:val="391D2EB6"/>
    <w:rsid w:val="392F0C9C"/>
    <w:rsid w:val="39610AA5"/>
    <w:rsid w:val="3A0022A9"/>
    <w:rsid w:val="3A871649"/>
    <w:rsid w:val="3B4B508B"/>
    <w:rsid w:val="3B732951"/>
    <w:rsid w:val="3C29300F"/>
    <w:rsid w:val="3CCD42E3"/>
    <w:rsid w:val="3D7A6218"/>
    <w:rsid w:val="3D8C7CFA"/>
    <w:rsid w:val="3E6842C3"/>
    <w:rsid w:val="3E90530C"/>
    <w:rsid w:val="3EAB5B1A"/>
    <w:rsid w:val="3ECD05CA"/>
    <w:rsid w:val="3EEB27FE"/>
    <w:rsid w:val="3F214472"/>
    <w:rsid w:val="40276AE6"/>
    <w:rsid w:val="409717A1"/>
    <w:rsid w:val="421A678E"/>
    <w:rsid w:val="427F607F"/>
    <w:rsid w:val="42B74C8D"/>
    <w:rsid w:val="436C6603"/>
    <w:rsid w:val="439D5651"/>
    <w:rsid w:val="43A9126D"/>
    <w:rsid w:val="444A6219"/>
    <w:rsid w:val="44930D32"/>
    <w:rsid w:val="44D553A6"/>
    <w:rsid w:val="45013837"/>
    <w:rsid w:val="452651D7"/>
    <w:rsid w:val="47B24801"/>
    <w:rsid w:val="47B9793D"/>
    <w:rsid w:val="47C36A0E"/>
    <w:rsid w:val="482A255D"/>
    <w:rsid w:val="483F6AEB"/>
    <w:rsid w:val="4847319B"/>
    <w:rsid w:val="48693111"/>
    <w:rsid w:val="48CA0441"/>
    <w:rsid w:val="49135C71"/>
    <w:rsid w:val="492B6619"/>
    <w:rsid w:val="49311755"/>
    <w:rsid w:val="49754BD6"/>
    <w:rsid w:val="49CE4435"/>
    <w:rsid w:val="49F873B8"/>
    <w:rsid w:val="4B8950C6"/>
    <w:rsid w:val="4C043151"/>
    <w:rsid w:val="4C3943CF"/>
    <w:rsid w:val="4C5658AE"/>
    <w:rsid w:val="4C9E7F31"/>
    <w:rsid w:val="4CB608EF"/>
    <w:rsid w:val="4D445EFB"/>
    <w:rsid w:val="4DAB5F7A"/>
    <w:rsid w:val="4FAD422B"/>
    <w:rsid w:val="4FCA0386"/>
    <w:rsid w:val="5040136E"/>
    <w:rsid w:val="506568B4"/>
    <w:rsid w:val="52325D7C"/>
    <w:rsid w:val="524F43D7"/>
    <w:rsid w:val="525D2BD3"/>
    <w:rsid w:val="53BD598F"/>
    <w:rsid w:val="53CC27A6"/>
    <w:rsid w:val="546E0F7F"/>
    <w:rsid w:val="54A70284"/>
    <w:rsid w:val="54D264E2"/>
    <w:rsid w:val="560B732B"/>
    <w:rsid w:val="5637776F"/>
    <w:rsid w:val="56521689"/>
    <w:rsid w:val="56941CA1"/>
    <w:rsid w:val="574511ED"/>
    <w:rsid w:val="575A4468"/>
    <w:rsid w:val="57D21992"/>
    <w:rsid w:val="588A6579"/>
    <w:rsid w:val="58902B35"/>
    <w:rsid w:val="58B97797"/>
    <w:rsid w:val="58ED4990"/>
    <w:rsid w:val="596516D3"/>
    <w:rsid w:val="598558D1"/>
    <w:rsid w:val="59AC5554"/>
    <w:rsid w:val="59BC0D0A"/>
    <w:rsid w:val="5A504389"/>
    <w:rsid w:val="5A741B92"/>
    <w:rsid w:val="5AE8436A"/>
    <w:rsid w:val="5B3A6B8F"/>
    <w:rsid w:val="5C4442B3"/>
    <w:rsid w:val="5C553C81"/>
    <w:rsid w:val="5CC15AE3"/>
    <w:rsid w:val="5CE648D9"/>
    <w:rsid w:val="5D5977A1"/>
    <w:rsid w:val="5DAD6A49"/>
    <w:rsid w:val="5E912F6A"/>
    <w:rsid w:val="5F117955"/>
    <w:rsid w:val="602A0DFE"/>
    <w:rsid w:val="60642565"/>
    <w:rsid w:val="60AE1BB1"/>
    <w:rsid w:val="6109503A"/>
    <w:rsid w:val="6110461A"/>
    <w:rsid w:val="615774FD"/>
    <w:rsid w:val="61A44D62"/>
    <w:rsid w:val="61F33F83"/>
    <w:rsid w:val="625422E5"/>
    <w:rsid w:val="62BC7484"/>
    <w:rsid w:val="62DC070D"/>
    <w:rsid w:val="63316ACA"/>
    <w:rsid w:val="63882C6B"/>
    <w:rsid w:val="63A36583"/>
    <w:rsid w:val="63E75F1E"/>
    <w:rsid w:val="63EB3601"/>
    <w:rsid w:val="64D20F11"/>
    <w:rsid w:val="64D43BB1"/>
    <w:rsid w:val="65192B8D"/>
    <w:rsid w:val="661E5140"/>
    <w:rsid w:val="66C739CD"/>
    <w:rsid w:val="677B00DD"/>
    <w:rsid w:val="679118E5"/>
    <w:rsid w:val="67C157CE"/>
    <w:rsid w:val="684C48AC"/>
    <w:rsid w:val="684E2CFA"/>
    <w:rsid w:val="69082549"/>
    <w:rsid w:val="69126A56"/>
    <w:rsid w:val="695B4379"/>
    <w:rsid w:val="69635503"/>
    <w:rsid w:val="698F62F8"/>
    <w:rsid w:val="699B2EEF"/>
    <w:rsid w:val="69E5416A"/>
    <w:rsid w:val="6B637A3C"/>
    <w:rsid w:val="6B70473E"/>
    <w:rsid w:val="6B8C2AEF"/>
    <w:rsid w:val="6C1125AB"/>
    <w:rsid w:val="6C156F89"/>
    <w:rsid w:val="6C1C47C9"/>
    <w:rsid w:val="6CAB3449"/>
    <w:rsid w:val="6CDC7117"/>
    <w:rsid w:val="6CEB2647"/>
    <w:rsid w:val="6D2113F0"/>
    <w:rsid w:val="6DA93E2C"/>
    <w:rsid w:val="6DE15850"/>
    <w:rsid w:val="6DF40E20"/>
    <w:rsid w:val="6E423C71"/>
    <w:rsid w:val="6E6715F2"/>
    <w:rsid w:val="6E960A22"/>
    <w:rsid w:val="6EB97ECC"/>
    <w:rsid w:val="6ED91614"/>
    <w:rsid w:val="6F79249C"/>
    <w:rsid w:val="6F7C694E"/>
    <w:rsid w:val="709D3338"/>
    <w:rsid w:val="70CC398E"/>
    <w:rsid w:val="719A6DFE"/>
    <w:rsid w:val="71A212BE"/>
    <w:rsid w:val="71A87F57"/>
    <w:rsid w:val="72B312A9"/>
    <w:rsid w:val="72C27DBF"/>
    <w:rsid w:val="72C56475"/>
    <w:rsid w:val="73025D8D"/>
    <w:rsid w:val="73470341"/>
    <w:rsid w:val="73C04F0A"/>
    <w:rsid w:val="73D16D35"/>
    <w:rsid w:val="74A628A0"/>
    <w:rsid w:val="74DD22F7"/>
    <w:rsid w:val="75797025"/>
    <w:rsid w:val="762B4B68"/>
    <w:rsid w:val="765D2E01"/>
    <w:rsid w:val="768E2683"/>
    <w:rsid w:val="769A1356"/>
    <w:rsid w:val="76A96C4B"/>
    <w:rsid w:val="76C84BF7"/>
    <w:rsid w:val="773F4EBA"/>
    <w:rsid w:val="775841CD"/>
    <w:rsid w:val="77853CD8"/>
    <w:rsid w:val="785C46D7"/>
    <w:rsid w:val="787830E5"/>
    <w:rsid w:val="78AB72B9"/>
    <w:rsid w:val="7A212D95"/>
    <w:rsid w:val="7AA537AB"/>
    <w:rsid w:val="7BBF72E5"/>
    <w:rsid w:val="7C09297B"/>
    <w:rsid w:val="7D1E1A15"/>
    <w:rsid w:val="7E1075B0"/>
    <w:rsid w:val="7EC052AF"/>
    <w:rsid w:val="7EFE17D5"/>
    <w:rsid w:val="7F207CC7"/>
    <w:rsid w:val="7F4454F6"/>
    <w:rsid w:val="7F7C427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qFormat="1" w:unhideWhenUsed="0" w:uiPriority="0" w:semiHidden="0" w:name="index 3"/>
    <w:lsdException w:qFormat="1"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nhideWhenUsed="0" w:uiPriority="0" w:semiHidden="0" w:name="Balloon Text"/>
    <w:lsdException w:qFormat="1" w:uiPriority="0" w:semiHidden="0" w:name="Table Grid"/>
    <w:lsdException w:unhideWhenUsed="0" w:uiPriority="99"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line="360" w:lineRule="auto"/>
      <w:ind w:firstLine="200" w:firstLineChars="200"/>
    </w:pPr>
    <w:rPr>
      <w:rFonts w:ascii="Tahoma" w:hAnsi="Tahoma" w:eastAsia="宋体" w:cs="宋体"/>
      <w:sz w:val="24"/>
      <w:szCs w:val="22"/>
      <w:lang w:val="en-US" w:eastAsia="zh-CN" w:bidi="ar-SA"/>
    </w:rPr>
  </w:style>
  <w:style w:type="paragraph" w:styleId="2">
    <w:name w:val="heading 1"/>
    <w:basedOn w:val="1"/>
    <w:next w:val="1"/>
    <w:link w:val="78"/>
    <w:qFormat/>
    <w:uiPriority w:val="0"/>
    <w:pPr>
      <w:keepNext/>
      <w:widowControl w:val="0"/>
      <w:tabs>
        <w:tab w:val="left" w:pos="1440"/>
        <w:tab w:val="left" w:pos="5670"/>
      </w:tabs>
      <w:adjustRightInd/>
      <w:snapToGrid/>
      <w:jc w:val="center"/>
      <w:outlineLvl w:val="0"/>
    </w:pPr>
    <w:rPr>
      <w:rFonts w:ascii="黑体" w:hAnsi="Times New Roman" w:eastAsia="黑体" w:cs="Times New Roman"/>
      <w:b/>
      <w:kern w:val="44"/>
      <w:sz w:val="36"/>
      <w:szCs w:val="28"/>
    </w:rPr>
  </w:style>
  <w:style w:type="paragraph" w:styleId="3">
    <w:name w:val="heading 2"/>
    <w:basedOn w:val="1"/>
    <w:next w:val="1"/>
    <w:link w:val="83"/>
    <w:qFormat/>
    <w:uiPriority w:val="0"/>
    <w:pPr>
      <w:keepNext/>
      <w:keepLines/>
      <w:widowControl w:val="0"/>
      <w:adjustRightInd/>
      <w:snapToGrid/>
      <w:outlineLvl w:val="1"/>
    </w:pPr>
    <w:rPr>
      <w:rFonts w:ascii="宋体" w:hAnsi="宋体" w:cs="Times New Roman"/>
      <w:b/>
      <w:kern w:val="2"/>
      <w:szCs w:val="24"/>
    </w:rPr>
  </w:style>
  <w:style w:type="paragraph" w:styleId="4">
    <w:name w:val="heading 3"/>
    <w:basedOn w:val="1"/>
    <w:next w:val="1"/>
    <w:link w:val="84"/>
    <w:qFormat/>
    <w:uiPriority w:val="0"/>
    <w:pPr>
      <w:keepNext/>
      <w:keepLines/>
      <w:widowControl w:val="0"/>
      <w:shd w:val="clear" w:color="auto" w:fill="FFFFFF"/>
      <w:wordWrap w:val="0"/>
      <w:adjustRightInd/>
      <w:snapToGrid/>
      <w:spacing w:line="390" w:lineRule="atLeast"/>
      <w:jc w:val="both"/>
      <w:outlineLvl w:val="2"/>
    </w:pPr>
    <w:rPr>
      <w:rFonts w:ascii="宋体" w:hAnsi="宋体" w:cs="Times New Roman"/>
      <w:b/>
      <w:kern w:val="2"/>
      <w:sz w:val="21"/>
      <w:szCs w:val="21"/>
    </w:rPr>
  </w:style>
  <w:style w:type="paragraph" w:styleId="5">
    <w:name w:val="heading 4"/>
    <w:basedOn w:val="1"/>
    <w:next w:val="6"/>
    <w:link w:val="85"/>
    <w:qFormat/>
    <w:uiPriority w:val="0"/>
    <w:pPr>
      <w:keepNext/>
      <w:keepLines/>
      <w:widowControl w:val="0"/>
      <w:adjustRightInd/>
      <w:snapToGrid/>
      <w:spacing w:before="120" w:after="120"/>
      <w:jc w:val="both"/>
      <w:outlineLvl w:val="3"/>
    </w:pPr>
    <w:rPr>
      <w:rFonts w:ascii="Arial" w:hAnsi="Arial" w:eastAsia="黑体" w:cs="Times New Roman"/>
      <w:b/>
      <w:kern w:val="2"/>
      <w:sz w:val="28"/>
      <w:szCs w:val="20"/>
    </w:rPr>
  </w:style>
  <w:style w:type="paragraph" w:styleId="7">
    <w:name w:val="heading 5"/>
    <w:basedOn w:val="1"/>
    <w:next w:val="1"/>
    <w:link w:val="86"/>
    <w:qFormat/>
    <w:uiPriority w:val="0"/>
    <w:pPr>
      <w:keepNext/>
      <w:widowControl w:val="0"/>
      <w:autoSpaceDE w:val="0"/>
      <w:autoSpaceDN w:val="0"/>
      <w:snapToGrid/>
      <w:spacing w:beforeLines="50" w:afterLines="50"/>
      <w:jc w:val="both"/>
      <w:outlineLvl w:val="4"/>
    </w:pPr>
    <w:rPr>
      <w:rFonts w:ascii="黑体" w:hAnsi="Times New Roman" w:eastAsia="黑体" w:cs="Times New Roman"/>
      <w:b/>
      <w:color w:val="000000"/>
      <w:sz w:val="28"/>
      <w:szCs w:val="20"/>
    </w:rPr>
  </w:style>
  <w:style w:type="paragraph" w:styleId="8">
    <w:name w:val="heading 6"/>
    <w:basedOn w:val="1"/>
    <w:next w:val="1"/>
    <w:link w:val="87"/>
    <w:qFormat/>
    <w:uiPriority w:val="0"/>
    <w:pPr>
      <w:keepNext/>
      <w:keepLines/>
      <w:widowControl w:val="0"/>
      <w:adjustRightInd/>
      <w:snapToGrid/>
      <w:spacing w:before="240" w:after="64" w:line="320" w:lineRule="auto"/>
      <w:jc w:val="both"/>
      <w:outlineLvl w:val="5"/>
    </w:pPr>
    <w:rPr>
      <w:rFonts w:ascii="Arial" w:hAnsi="Arial" w:eastAsia="黑体" w:cs="Times New Roman"/>
      <w:b/>
      <w:bCs/>
      <w:kern w:val="2"/>
      <w:szCs w:val="24"/>
    </w:rPr>
  </w:style>
  <w:style w:type="paragraph" w:styleId="9">
    <w:name w:val="heading 7"/>
    <w:basedOn w:val="1"/>
    <w:next w:val="1"/>
    <w:link w:val="88"/>
    <w:qFormat/>
    <w:uiPriority w:val="0"/>
    <w:pPr>
      <w:keepNext/>
      <w:keepLines/>
      <w:widowControl w:val="0"/>
      <w:adjustRightInd/>
      <w:snapToGrid/>
      <w:spacing w:before="240" w:after="64" w:line="320" w:lineRule="auto"/>
      <w:jc w:val="both"/>
      <w:outlineLvl w:val="6"/>
    </w:pPr>
    <w:rPr>
      <w:rFonts w:ascii="Times New Roman" w:hAnsi="Times New Roman" w:cs="Times New Roman"/>
      <w:b/>
      <w:bCs/>
      <w:kern w:val="2"/>
      <w:szCs w:val="24"/>
    </w:rPr>
  </w:style>
  <w:style w:type="paragraph" w:styleId="10">
    <w:name w:val="heading 8"/>
    <w:basedOn w:val="1"/>
    <w:next w:val="1"/>
    <w:link w:val="89"/>
    <w:qFormat/>
    <w:uiPriority w:val="0"/>
    <w:pPr>
      <w:keepNext/>
      <w:keepLines/>
      <w:widowControl w:val="0"/>
      <w:adjustRightInd/>
      <w:snapToGrid/>
      <w:spacing w:before="240" w:after="64" w:line="320" w:lineRule="auto"/>
      <w:jc w:val="both"/>
      <w:outlineLvl w:val="7"/>
    </w:pPr>
    <w:rPr>
      <w:rFonts w:ascii="Arial" w:hAnsi="Arial" w:eastAsia="黑体" w:cs="Times New Roman"/>
      <w:kern w:val="2"/>
      <w:szCs w:val="24"/>
    </w:rPr>
  </w:style>
  <w:style w:type="paragraph" w:styleId="11">
    <w:name w:val="heading 9"/>
    <w:basedOn w:val="1"/>
    <w:next w:val="1"/>
    <w:link w:val="90"/>
    <w:qFormat/>
    <w:uiPriority w:val="0"/>
    <w:pPr>
      <w:keepNext/>
      <w:keepLines/>
      <w:widowControl w:val="0"/>
      <w:adjustRightInd/>
      <w:snapToGrid/>
      <w:spacing w:before="240" w:after="64" w:line="320" w:lineRule="auto"/>
      <w:jc w:val="both"/>
      <w:outlineLvl w:val="8"/>
    </w:pPr>
    <w:rPr>
      <w:rFonts w:ascii="Arial" w:hAnsi="Arial" w:eastAsia="黑体" w:cs="Times New Roman"/>
      <w:kern w:val="2"/>
      <w:sz w:val="21"/>
      <w:szCs w:val="21"/>
    </w:rPr>
  </w:style>
  <w:style w:type="character" w:default="1" w:styleId="61">
    <w:name w:val="Default Paragraph Font"/>
    <w:semiHidden/>
    <w:unhideWhenUsed/>
    <w:qFormat/>
    <w:uiPriority w:val="1"/>
  </w:style>
  <w:style w:type="table" w:default="1" w:styleId="59">
    <w:name w:val="Normal Table"/>
    <w:semiHidden/>
    <w:unhideWhenUsed/>
    <w:qFormat/>
    <w:uiPriority w:val="99"/>
    <w:tblPr>
      <w:tblCellMar>
        <w:top w:w="0" w:type="dxa"/>
        <w:left w:w="108" w:type="dxa"/>
        <w:bottom w:w="0" w:type="dxa"/>
        <w:right w:w="108" w:type="dxa"/>
      </w:tblCellMar>
    </w:tblPr>
  </w:style>
  <w:style w:type="paragraph" w:styleId="6">
    <w:name w:val="Normal Indent"/>
    <w:basedOn w:val="1"/>
    <w:link w:val="429"/>
    <w:qFormat/>
    <w:uiPriority w:val="0"/>
    <w:pPr>
      <w:widowControl w:val="0"/>
      <w:adjustRightInd/>
      <w:snapToGrid/>
      <w:ind w:firstLine="420"/>
      <w:jc w:val="both"/>
    </w:pPr>
    <w:rPr>
      <w:rFonts w:ascii="Times New Roman" w:hAnsi="Times New Roman" w:cs="Times New Roman"/>
      <w:kern w:val="2"/>
      <w:sz w:val="21"/>
      <w:szCs w:val="20"/>
    </w:rPr>
  </w:style>
  <w:style w:type="paragraph" w:styleId="12">
    <w:name w:val="List 3"/>
    <w:basedOn w:val="1"/>
    <w:qFormat/>
    <w:uiPriority w:val="0"/>
    <w:pPr>
      <w:widowControl w:val="0"/>
      <w:adjustRightInd/>
      <w:snapToGrid/>
      <w:ind w:left="1260" w:hanging="420"/>
      <w:jc w:val="both"/>
    </w:pPr>
    <w:rPr>
      <w:rFonts w:ascii="Times New Roman" w:hAnsi="Times New Roman" w:cs="Times New Roman"/>
      <w:kern w:val="2"/>
      <w:sz w:val="21"/>
      <w:szCs w:val="20"/>
    </w:rPr>
  </w:style>
  <w:style w:type="paragraph" w:styleId="13">
    <w:name w:val="toc 7"/>
    <w:basedOn w:val="1"/>
    <w:next w:val="1"/>
    <w:qFormat/>
    <w:uiPriority w:val="0"/>
    <w:pPr>
      <w:widowControl w:val="0"/>
      <w:adjustRightInd/>
      <w:snapToGrid/>
      <w:ind w:left="1260"/>
    </w:pPr>
    <w:rPr>
      <w:rFonts w:ascii="Times New Roman" w:hAnsi="Times New Roman" w:cs="Times New Roman"/>
      <w:kern w:val="2"/>
      <w:szCs w:val="21"/>
    </w:rPr>
  </w:style>
  <w:style w:type="paragraph" w:styleId="14">
    <w:name w:val="List Number 2"/>
    <w:basedOn w:val="1"/>
    <w:qFormat/>
    <w:uiPriority w:val="0"/>
    <w:pPr>
      <w:widowControl w:val="0"/>
      <w:tabs>
        <w:tab w:val="left" w:pos="1440"/>
      </w:tabs>
      <w:adjustRightInd/>
      <w:snapToGrid/>
      <w:ind w:left="1440" w:hanging="1440"/>
      <w:jc w:val="both"/>
    </w:pPr>
    <w:rPr>
      <w:rFonts w:ascii="Times New Roman" w:hAnsi="Times New Roman" w:cs="Times New Roman"/>
      <w:kern w:val="2"/>
      <w:szCs w:val="24"/>
    </w:rPr>
  </w:style>
  <w:style w:type="paragraph" w:styleId="15">
    <w:name w:val="List Number"/>
    <w:basedOn w:val="1"/>
    <w:qFormat/>
    <w:uiPriority w:val="0"/>
    <w:pPr>
      <w:widowControl w:val="0"/>
      <w:tabs>
        <w:tab w:val="left" w:pos="2952"/>
      </w:tabs>
      <w:adjustRightInd/>
      <w:snapToGrid/>
      <w:ind w:left="2952" w:hanging="432"/>
      <w:jc w:val="both"/>
    </w:pPr>
    <w:rPr>
      <w:rFonts w:ascii="Times New Roman" w:hAnsi="Times New Roman" w:cs="Times New Roman"/>
      <w:kern w:val="2"/>
      <w:sz w:val="21"/>
      <w:szCs w:val="24"/>
    </w:rPr>
  </w:style>
  <w:style w:type="paragraph" w:styleId="16">
    <w:name w:val="caption"/>
    <w:basedOn w:val="1"/>
    <w:next w:val="1"/>
    <w:qFormat/>
    <w:uiPriority w:val="0"/>
    <w:pPr>
      <w:widowControl w:val="0"/>
      <w:adjustRightInd/>
      <w:snapToGrid/>
      <w:spacing w:line="240" w:lineRule="auto"/>
      <w:ind w:firstLine="0" w:firstLineChars="0"/>
      <w:jc w:val="both"/>
    </w:pPr>
    <w:rPr>
      <w:rFonts w:ascii="Arial" w:hAnsi="Arial" w:eastAsia="黑体" w:cs="Arial"/>
      <w:kern w:val="2"/>
      <w:sz w:val="20"/>
      <w:szCs w:val="20"/>
    </w:rPr>
  </w:style>
  <w:style w:type="paragraph" w:styleId="17">
    <w:name w:val="Document Map"/>
    <w:basedOn w:val="1"/>
    <w:link w:val="95"/>
    <w:qFormat/>
    <w:uiPriority w:val="0"/>
    <w:pPr>
      <w:widowControl w:val="0"/>
      <w:shd w:val="clear" w:color="auto" w:fill="000080"/>
      <w:adjustRightInd/>
      <w:snapToGrid/>
      <w:jc w:val="both"/>
    </w:pPr>
    <w:rPr>
      <w:rFonts w:ascii="Calibri" w:hAnsi="Calibri"/>
      <w:kern w:val="2"/>
      <w:sz w:val="21"/>
    </w:rPr>
  </w:style>
  <w:style w:type="paragraph" w:styleId="18">
    <w:name w:val="annotation text"/>
    <w:basedOn w:val="1"/>
    <w:link w:val="91"/>
    <w:qFormat/>
    <w:uiPriority w:val="0"/>
  </w:style>
  <w:style w:type="paragraph" w:styleId="19">
    <w:name w:val="Salutation"/>
    <w:basedOn w:val="1"/>
    <w:next w:val="1"/>
    <w:link w:val="96"/>
    <w:qFormat/>
    <w:uiPriority w:val="0"/>
    <w:pPr>
      <w:widowControl w:val="0"/>
      <w:adjustRightInd/>
      <w:snapToGrid/>
      <w:jc w:val="both"/>
    </w:pPr>
    <w:rPr>
      <w:rFonts w:ascii="仿宋_GB2312" w:hAnsi="Times New Roman" w:eastAsia="仿宋_GB2312" w:cs="Times New Roman"/>
      <w:kern w:val="2"/>
      <w:sz w:val="28"/>
      <w:szCs w:val="20"/>
    </w:rPr>
  </w:style>
  <w:style w:type="paragraph" w:styleId="20">
    <w:name w:val="Body Text 3"/>
    <w:basedOn w:val="1"/>
    <w:link w:val="97"/>
    <w:qFormat/>
    <w:uiPriority w:val="0"/>
    <w:pPr>
      <w:widowControl w:val="0"/>
      <w:adjustRightInd/>
      <w:snapToGrid/>
      <w:jc w:val="both"/>
    </w:pPr>
    <w:rPr>
      <w:rFonts w:ascii="仿宋_GB2312" w:hAnsi="Arial" w:eastAsia="仿宋_GB2312" w:cs="Times New Roman"/>
      <w:kern w:val="2"/>
      <w:sz w:val="32"/>
      <w:szCs w:val="20"/>
    </w:rPr>
  </w:style>
  <w:style w:type="paragraph" w:styleId="21">
    <w:name w:val="Body Text"/>
    <w:basedOn w:val="1"/>
    <w:link w:val="93"/>
    <w:qFormat/>
    <w:uiPriority w:val="0"/>
    <w:pPr>
      <w:spacing w:after="120"/>
    </w:pPr>
  </w:style>
  <w:style w:type="paragraph" w:styleId="22">
    <w:name w:val="Body Text Indent"/>
    <w:basedOn w:val="1"/>
    <w:link w:val="98"/>
    <w:qFormat/>
    <w:uiPriority w:val="0"/>
    <w:pPr>
      <w:widowControl w:val="0"/>
      <w:adjustRightInd/>
      <w:snapToGrid/>
      <w:ind w:firstLine="645"/>
      <w:jc w:val="both"/>
    </w:pPr>
    <w:rPr>
      <w:rFonts w:ascii="楷体_GB2312" w:hAnsi="Calibri" w:eastAsia="楷体_GB2312"/>
      <w:kern w:val="2"/>
      <w:sz w:val="32"/>
    </w:rPr>
  </w:style>
  <w:style w:type="paragraph" w:styleId="23">
    <w:name w:val="List Number 3"/>
    <w:basedOn w:val="1"/>
    <w:qFormat/>
    <w:uiPriority w:val="0"/>
    <w:pPr>
      <w:widowControl w:val="0"/>
      <w:adjustRightInd/>
      <w:snapToGrid/>
      <w:ind w:firstLine="0" w:firstLineChars="0"/>
      <w:jc w:val="both"/>
    </w:pPr>
    <w:rPr>
      <w:rFonts w:ascii="Arial" w:hAnsi="Arial" w:cs="Times New Roman"/>
      <w:kern w:val="24"/>
      <w:szCs w:val="20"/>
      <w:lang w:val="zh-CN"/>
    </w:rPr>
  </w:style>
  <w:style w:type="paragraph" w:styleId="24">
    <w:name w:val="List 2"/>
    <w:basedOn w:val="1"/>
    <w:qFormat/>
    <w:uiPriority w:val="0"/>
    <w:pPr>
      <w:widowControl w:val="0"/>
      <w:adjustRightInd/>
      <w:snapToGrid/>
      <w:spacing w:line="240" w:lineRule="auto"/>
      <w:ind w:left="840" w:hanging="420" w:firstLineChars="0"/>
      <w:jc w:val="both"/>
    </w:pPr>
    <w:rPr>
      <w:rFonts w:ascii="Times New Roman" w:hAnsi="Times New Roman" w:cs="Times New Roman"/>
      <w:kern w:val="2"/>
      <w:sz w:val="21"/>
      <w:szCs w:val="20"/>
    </w:rPr>
  </w:style>
  <w:style w:type="paragraph" w:styleId="25">
    <w:name w:val="Block Text"/>
    <w:basedOn w:val="1"/>
    <w:qFormat/>
    <w:uiPriority w:val="0"/>
    <w:pPr>
      <w:widowControl w:val="0"/>
      <w:adjustRightInd/>
      <w:snapToGrid/>
      <w:spacing w:line="240" w:lineRule="auto"/>
      <w:ind w:left="-216" w:leftChars="-104" w:right="2" w:rightChars="1" w:hanging="2" w:firstLineChars="0"/>
      <w:jc w:val="center"/>
    </w:pPr>
    <w:rPr>
      <w:rFonts w:ascii="楷体_GB2312" w:hAnsi="Times New Roman" w:eastAsia="楷体_GB2312" w:cs="Times New Roman"/>
      <w:kern w:val="2"/>
      <w:szCs w:val="24"/>
    </w:rPr>
  </w:style>
  <w:style w:type="paragraph" w:styleId="26">
    <w:name w:val="index 4"/>
    <w:basedOn w:val="1"/>
    <w:next w:val="1"/>
    <w:unhideWhenUsed/>
    <w:qFormat/>
    <w:uiPriority w:val="0"/>
    <w:pPr>
      <w:ind w:left="600" w:leftChars="600"/>
    </w:pPr>
  </w:style>
  <w:style w:type="paragraph" w:styleId="27">
    <w:name w:val="toc 5"/>
    <w:basedOn w:val="1"/>
    <w:next w:val="1"/>
    <w:qFormat/>
    <w:uiPriority w:val="0"/>
    <w:pPr>
      <w:widowControl w:val="0"/>
      <w:adjustRightInd/>
      <w:snapToGrid/>
      <w:ind w:left="840"/>
    </w:pPr>
    <w:rPr>
      <w:rFonts w:ascii="Times New Roman" w:hAnsi="Times New Roman" w:cs="Times New Roman"/>
      <w:kern w:val="2"/>
      <w:szCs w:val="21"/>
    </w:rPr>
  </w:style>
  <w:style w:type="paragraph" w:styleId="28">
    <w:name w:val="toc 3"/>
    <w:basedOn w:val="1"/>
    <w:next w:val="1"/>
    <w:qFormat/>
    <w:uiPriority w:val="39"/>
    <w:pPr>
      <w:adjustRightInd/>
      <w:snapToGrid/>
      <w:spacing w:after="100" w:line="259" w:lineRule="auto"/>
      <w:ind w:left="440" w:firstLine="0" w:firstLineChars="0"/>
    </w:pPr>
    <w:rPr>
      <w:rFonts w:ascii="Calibri" w:hAnsi="Calibri" w:cs="Times New Roman"/>
      <w:sz w:val="22"/>
    </w:rPr>
  </w:style>
  <w:style w:type="paragraph" w:styleId="29">
    <w:name w:val="Plain Text"/>
    <w:basedOn w:val="1"/>
    <w:link w:val="99"/>
    <w:qFormat/>
    <w:uiPriority w:val="0"/>
    <w:pPr>
      <w:widowControl w:val="0"/>
      <w:adjustRightInd/>
      <w:snapToGrid/>
      <w:jc w:val="both"/>
    </w:pPr>
    <w:rPr>
      <w:rFonts w:ascii="宋体" w:hAnsi="Courier New"/>
      <w:kern w:val="2"/>
      <w:sz w:val="21"/>
    </w:rPr>
  </w:style>
  <w:style w:type="paragraph" w:styleId="30">
    <w:name w:val="toc 8"/>
    <w:basedOn w:val="1"/>
    <w:next w:val="1"/>
    <w:qFormat/>
    <w:uiPriority w:val="0"/>
    <w:pPr>
      <w:widowControl w:val="0"/>
      <w:adjustRightInd/>
      <w:snapToGrid/>
      <w:ind w:left="1470"/>
    </w:pPr>
    <w:rPr>
      <w:rFonts w:ascii="Times New Roman" w:hAnsi="Times New Roman" w:cs="Times New Roman"/>
      <w:kern w:val="2"/>
      <w:szCs w:val="21"/>
    </w:rPr>
  </w:style>
  <w:style w:type="paragraph" w:styleId="31">
    <w:name w:val="index 3"/>
    <w:basedOn w:val="1"/>
    <w:next w:val="1"/>
    <w:qFormat/>
    <w:uiPriority w:val="0"/>
    <w:pPr>
      <w:widowControl w:val="0"/>
      <w:adjustRightInd/>
      <w:snapToGrid/>
      <w:spacing w:line="240" w:lineRule="auto"/>
      <w:ind w:left="840" w:firstLine="0" w:firstLineChars="0"/>
      <w:jc w:val="both"/>
    </w:pPr>
    <w:rPr>
      <w:rFonts w:ascii="Times New Roman" w:hAnsi="Times New Roman" w:cs="Times New Roman"/>
      <w:kern w:val="2"/>
      <w:sz w:val="21"/>
      <w:szCs w:val="20"/>
    </w:rPr>
  </w:style>
  <w:style w:type="paragraph" w:styleId="32">
    <w:name w:val="Date"/>
    <w:basedOn w:val="1"/>
    <w:next w:val="1"/>
    <w:link w:val="100"/>
    <w:qFormat/>
    <w:uiPriority w:val="0"/>
    <w:pPr>
      <w:widowControl w:val="0"/>
      <w:adjustRightInd/>
      <w:snapToGrid/>
      <w:ind w:left="100" w:leftChars="2500"/>
      <w:jc w:val="both"/>
    </w:pPr>
    <w:rPr>
      <w:rFonts w:ascii="Times New Roman" w:hAnsi="Times New Roman" w:cs="Times New Roman"/>
      <w:kern w:val="2"/>
      <w:sz w:val="28"/>
      <w:szCs w:val="20"/>
    </w:rPr>
  </w:style>
  <w:style w:type="paragraph" w:styleId="33">
    <w:name w:val="Body Text Indent 2"/>
    <w:basedOn w:val="1"/>
    <w:link w:val="101"/>
    <w:qFormat/>
    <w:uiPriority w:val="0"/>
    <w:pPr>
      <w:widowControl w:val="0"/>
      <w:adjustRightInd/>
      <w:snapToGrid/>
      <w:ind w:left="630" w:firstLine="645"/>
      <w:jc w:val="both"/>
    </w:pPr>
    <w:rPr>
      <w:rFonts w:ascii="Arial" w:hAnsi="Arial" w:eastAsia="仿宋_GB2312"/>
      <w:kern w:val="2"/>
      <w:sz w:val="32"/>
    </w:rPr>
  </w:style>
  <w:style w:type="paragraph" w:styleId="34">
    <w:name w:val="endnote text"/>
    <w:basedOn w:val="1"/>
    <w:link w:val="102"/>
    <w:qFormat/>
    <w:uiPriority w:val="0"/>
    <w:pPr>
      <w:widowControl w:val="0"/>
      <w:adjustRightInd/>
    </w:pPr>
    <w:rPr>
      <w:rFonts w:ascii="Times New Roman" w:hAnsi="Times New Roman" w:cs="Times New Roman"/>
      <w:sz w:val="20"/>
      <w:szCs w:val="24"/>
    </w:rPr>
  </w:style>
  <w:style w:type="paragraph" w:styleId="35">
    <w:name w:val="Balloon Text"/>
    <w:basedOn w:val="1"/>
    <w:link w:val="103"/>
    <w:qFormat/>
    <w:uiPriority w:val="0"/>
    <w:pPr>
      <w:widowControl w:val="0"/>
      <w:adjustRightInd/>
      <w:snapToGrid/>
      <w:jc w:val="both"/>
    </w:pPr>
    <w:rPr>
      <w:rFonts w:ascii="Times New Roman" w:hAnsi="Times New Roman" w:cs="Times New Roman"/>
      <w:kern w:val="2"/>
      <w:sz w:val="18"/>
      <w:szCs w:val="18"/>
    </w:rPr>
  </w:style>
  <w:style w:type="paragraph" w:styleId="36">
    <w:name w:val="footer"/>
    <w:basedOn w:val="1"/>
    <w:link w:val="82"/>
    <w:qFormat/>
    <w:uiPriority w:val="99"/>
    <w:pPr>
      <w:tabs>
        <w:tab w:val="center" w:pos="4153"/>
        <w:tab w:val="right" w:pos="8306"/>
      </w:tabs>
    </w:pPr>
    <w:rPr>
      <w:sz w:val="18"/>
      <w:szCs w:val="18"/>
    </w:rPr>
  </w:style>
  <w:style w:type="paragraph" w:styleId="37">
    <w:name w:val="header"/>
    <w:basedOn w:val="1"/>
    <w:link w:val="81"/>
    <w:qFormat/>
    <w:uiPriority w:val="0"/>
    <w:pPr>
      <w:pBdr>
        <w:bottom w:val="single" w:color="auto" w:sz="6" w:space="1"/>
      </w:pBdr>
      <w:tabs>
        <w:tab w:val="center" w:pos="4153"/>
        <w:tab w:val="right" w:pos="8306"/>
      </w:tabs>
      <w:jc w:val="center"/>
    </w:pPr>
    <w:rPr>
      <w:sz w:val="18"/>
      <w:szCs w:val="18"/>
    </w:rPr>
  </w:style>
  <w:style w:type="paragraph" w:styleId="38">
    <w:name w:val="Signature"/>
    <w:basedOn w:val="1"/>
    <w:link w:val="104"/>
    <w:qFormat/>
    <w:uiPriority w:val="0"/>
    <w:pPr>
      <w:widowControl w:val="0"/>
      <w:snapToGrid/>
      <w:spacing w:after="600" w:line="312" w:lineRule="atLeast"/>
      <w:jc w:val="center"/>
      <w:textAlignment w:val="baseline"/>
    </w:pPr>
    <w:rPr>
      <w:rFonts w:ascii="Times New Roman" w:hAnsi="Times New Roman" w:eastAsia="仿宋_GB2312" w:cs="Times New Roman"/>
      <w:szCs w:val="20"/>
    </w:rPr>
  </w:style>
  <w:style w:type="paragraph" w:styleId="39">
    <w:name w:val="toc 1"/>
    <w:basedOn w:val="1"/>
    <w:next w:val="1"/>
    <w:qFormat/>
    <w:uiPriority w:val="39"/>
    <w:pPr>
      <w:widowControl w:val="0"/>
      <w:adjustRightInd/>
      <w:snapToGrid/>
      <w:spacing w:before="120" w:after="120"/>
    </w:pPr>
    <w:rPr>
      <w:rFonts w:ascii="Times New Roman" w:hAnsi="Times New Roman" w:cs="Times New Roman"/>
      <w:b/>
      <w:caps/>
      <w:kern w:val="2"/>
      <w:sz w:val="20"/>
      <w:szCs w:val="20"/>
    </w:rPr>
  </w:style>
  <w:style w:type="paragraph" w:styleId="40">
    <w:name w:val="toc 4"/>
    <w:basedOn w:val="1"/>
    <w:next w:val="1"/>
    <w:qFormat/>
    <w:uiPriority w:val="0"/>
    <w:pPr>
      <w:widowControl w:val="0"/>
      <w:adjustRightInd/>
      <w:snapToGrid/>
      <w:ind w:left="630"/>
    </w:pPr>
    <w:rPr>
      <w:rFonts w:ascii="Times New Roman" w:hAnsi="Times New Roman" w:cs="Times New Roman"/>
      <w:kern w:val="2"/>
      <w:szCs w:val="21"/>
    </w:rPr>
  </w:style>
  <w:style w:type="paragraph" w:styleId="41">
    <w:name w:val="index heading"/>
    <w:basedOn w:val="1"/>
    <w:next w:val="42"/>
    <w:qFormat/>
    <w:uiPriority w:val="0"/>
    <w:pPr>
      <w:widowControl w:val="0"/>
      <w:adjustRightInd/>
      <w:snapToGrid/>
      <w:spacing w:line="240" w:lineRule="auto"/>
      <w:ind w:firstLine="0" w:firstLineChars="0"/>
      <w:jc w:val="both"/>
    </w:pPr>
    <w:rPr>
      <w:rFonts w:ascii="Times New Roman" w:hAnsi="Times New Roman" w:cs="Times New Roman"/>
      <w:kern w:val="2"/>
      <w:sz w:val="21"/>
      <w:szCs w:val="20"/>
    </w:rPr>
  </w:style>
  <w:style w:type="paragraph" w:styleId="42">
    <w:name w:val="index 1"/>
    <w:basedOn w:val="1"/>
    <w:next w:val="1"/>
    <w:qFormat/>
    <w:uiPriority w:val="0"/>
  </w:style>
  <w:style w:type="paragraph" w:styleId="43">
    <w:name w:val="Subtitle"/>
    <w:basedOn w:val="1"/>
    <w:next w:val="1"/>
    <w:link w:val="105"/>
    <w:qFormat/>
    <w:uiPriority w:val="0"/>
    <w:pPr>
      <w:adjustRightInd/>
      <w:snapToGrid/>
      <w:spacing w:after="600" w:line="276" w:lineRule="auto"/>
    </w:pPr>
    <w:rPr>
      <w:rFonts w:ascii="Cambria" w:hAnsi="Cambria" w:cs="Times New Roman"/>
      <w:i/>
      <w:iCs/>
      <w:spacing w:val="13"/>
      <w:szCs w:val="24"/>
      <w:lang w:eastAsia="en-US" w:bidi="en-US"/>
    </w:rPr>
  </w:style>
  <w:style w:type="paragraph" w:styleId="44">
    <w:name w:val="List"/>
    <w:basedOn w:val="1"/>
    <w:qFormat/>
    <w:uiPriority w:val="0"/>
    <w:pPr>
      <w:widowControl w:val="0"/>
      <w:adjustRightInd/>
      <w:snapToGrid/>
      <w:ind w:left="200" w:hanging="200" w:hangingChars="200"/>
      <w:jc w:val="both"/>
    </w:pPr>
    <w:rPr>
      <w:rFonts w:ascii="Times New Roman" w:hAnsi="Times New Roman" w:cs="Times New Roman"/>
      <w:kern w:val="2"/>
      <w:szCs w:val="21"/>
    </w:rPr>
  </w:style>
  <w:style w:type="paragraph" w:styleId="45">
    <w:name w:val="footnote text"/>
    <w:basedOn w:val="1"/>
    <w:link w:val="106"/>
    <w:qFormat/>
    <w:uiPriority w:val="0"/>
    <w:pPr>
      <w:widowControl w:val="0"/>
      <w:adjustRightInd/>
    </w:pPr>
    <w:rPr>
      <w:rFonts w:ascii="Times New Roman" w:hAnsi="Times New Roman" w:cs="Times New Roman"/>
      <w:kern w:val="2"/>
      <w:sz w:val="18"/>
      <w:szCs w:val="18"/>
    </w:rPr>
  </w:style>
  <w:style w:type="paragraph" w:styleId="46">
    <w:name w:val="toc 6"/>
    <w:basedOn w:val="1"/>
    <w:next w:val="1"/>
    <w:qFormat/>
    <w:uiPriority w:val="0"/>
    <w:pPr>
      <w:widowControl w:val="0"/>
      <w:adjustRightInd/>
      <w:snapToGrid/>
      <w:ind w:left="1050"/>
    </w:pPr>
    <w:rPr>
      <w:rFonts w:ascii="Times New Roman" w:hAnsi="Times New Roman" w:cs="Times New Roman"/>
      <w:kern w:val="2"/>
      <w:szCs w:val="21"/>
    </w:rPr>
  </w:style>
  <w:style w:type="paragraph" w:styleId="47">
    <w:name w:val="Body Text Indent 3"/>
    <w:basedOn w:val="1"/>
    <w:link w:val="107"/>
    <w:qFormat/>
    <w:uiPriority w:val="0"/>
    <w:pPr>
      <w:widowControl w:val="0"/>
      <w:adjustRightInd/>
      <w:snapToGrid/>
      <w:ind w:left="645" w:firstLine="645"/>
      <w:jc w:val="both"/>
    </w:pPr>
    <w:rPr>
      <w:rFonts w:ascii="Arial" w:hAnsi="Arial" w:eastAsia="仿宋_GB2312"/>
      <w:color w:val="FFFF00"/>
      <w:kern w:val="2"/>
      <w:sz w:val="32"/>
    </w:rPr>
  </w:style>
  <w:style w:type="paragraph" w:styleId="48">
    <w:name w:val="table of figures"/>
    <w:basedOn w:val="1"/>
    <w:next w:val="1"/>
    <w:qFormat/>
    <w:uiPriority w:val="0"/>
    <w:pPr>
      <w:widowControl w:val="0"/>
      <w:adjustRightInd/>
      <w:snapToGrid/>
      <w:ind w:left="840" w:hanging="420"/>
      <w:jc w:val="both"/>
    </w:pPr>
    <w:rPr>
      <w:rFonts w:ascii="Times New Roman" w:hAnsi="Times New Roman" w:cs="Times New Roman"/>
      <w:kern w:val="2"/>
      <w:szCs w:val="21"/>
    </w:rPr>
  </w:style>
  <w:style w:type="paragraph" w:styleId="49">
    <w:name w:val="toc 2"/>
    <w:basedOn w:val="1"/>
    <w:next w:val="1"/>
    <w:qFormat/>
    <w:uiPriority w:val="39"/>
    <w:pPr>
      <w:widowControl w:val="0"/>
      <w:adjustRightInd/>
      <w:snapToGrid/>
      <w:ind w:left="210"/>
    </w:pPr>
    <w:rPr>
      <w:rFonts w:ascii="Times New Roman" w:hAnsi="Times New Roman" w:cs="Times New Roman"/>
      <w:smallCaps/>
      <w:kern w:val="2"/>
      <w:sz w:val="20"/>
      <w:szCs w:val="20"/>
    </w:rPr>
  </w:style>
  <w:style w:type="paragraph" w:styleId="50">
    <w:name w:val="toc 9"/>
    <w:basedOn w:val="1"/>
    <w:next w:val="1"/>
    <w:qFormat/>
    <w:uiPriority w:val="0"/>
    <w:pPr>
      <w:widowControl w:val="0"/>
      <w:adjustRightInd/>
      <w:snapToGrid/>
      <w:ind w:left="1680"/>
    </w:pPr>
    <w:rPr>
      <w:rFonts w:ascii="Times New Roman" w:hAnsi="Times New Roman" w:cs="Times New Roman"/>
      <w:kern w:val="2"/>
      <w:szCs w:val="21"/>
    </w:rPr>
  </w:style>
  <w:style w:type="paragraph" w:styleId="51">
    <w:name w:val="Body Text 2"/>
    <w:basedOn w:val="1"/>
    <w:link w:val="108"/>
    <w:qFormat/>
    <w:uiPriority w:val="0"/>
    <w:pPr>
      <w:adjustRightInd/>
      <w:snapToGrid/>
      <w:jc w:val="center"/>
    </w:pPr>
    <w:rPr>
      <w:rFonts w:ascii="楷体_GB2312" w:hAnsi="Times New Roman" w:eastAsia="楷体_GB2312" w:cs="Times New Roman"/>
      <w:kern w:val="2"/>
      <w:sz w:val="28"/>
      <w:szCs w:val="20"/>
    </w:rPr>
  </w:style>
  <w:style w:type="paragraph" w:styleId="52">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500" w:hanging="1080"/>
    </w:pPr>
    <w:rPr>
      <w:rFonts w:ascii="Arial" w:hAnsi="Arial"/>
      <w:sz w:val="24"/>
    </w:rPr>
  </w:style>
  <w:style w:type="paragraph" w:styleId="53">
    <w:name w:val="HTML Preformatted"/>
    <w:basedOn w:val="1"/>
    <w:link w:val="109"/>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napToGrid/>
    </w:pPr>
    <w:rPr>
      <w:rFonts w:ascii="黑体" w:hAnsi="Courier New" w:eastAsia="黑体" w:cs="Courier New"/>
      <w:kern w:val="2"/>
      <w:sz w:val="21"/>
    </w:rPr>
  </w:style>
  <w:style w:type="paragraph" w:styleId="54">
    <w:name w:val="Normal (Web)"/>
    <w:basedOn w:val="1"/>
    <w:qFormat/>
    <w:uiPriority w:val="0"/>
    <w:pPr>
      <w:adjustRightInd/>
      <w:snapToGrid/>
      <w:spacing w:before="100" w:beforeAutospacing="1" w:after="100" w:afterAutospacing="1"/>
    </w:pPr>
    <w:rPr>
      <w:rFonts w:ascii="Arial" w:hAnsi="Arial" w:eastAsia="Arial Unicode MS" w:cs="Arial"/>
      <w:szCs w:val="24"/>
    </w:rPr>
  </w:style>
  <w:style w:type="paragraph" w:styleId="55">
    <w:name w:val="Title"/>
    <w:basedOn w:val="1"/>
    <w:link w:val="110"/>
    <w:qFormat/>
    <w:uiPriority w:val="0"/>
    <w:pPr>
      <w:overflowPunct w:val="0"/>
      <w:autoSpaceDE w:val="0"/>
      <w:autoSpaceDN w:val="0"/>
      <w:snapToGrid/>
      <w:spacing w:line="420" w:lineRule="exact"/>
      <w:jc w:val="center"/>
      <w:textAlignment w:val="baseline"/>
    </w:pPr>
    <w:rPr>
      <w:rFonts w:ascii="Calibri" w:hAnsi="Calibri" w:eastAsia="黑体"/>
      <w:b/>
      <w:kern w:val="2"/>
      <w:sz w:val="28"/>
      <w:lang w:val="en-GB"/>
    </w:rPr>
  </w:style>
  <w:style w:type="paragraph" w:styleId="56">
    <w:name w:val="annotation subject"/>
    <w:basedOn w:val="18"/>
    <w:next w:val="18"/>
    <w:link w:val="92"/>
    <w:qFormat/>
    <w:uiPriority w:val="0"/>
    <w:pPr>
      <w:widowControl w:val="0"/>
      <w:adjustRightInd/>
      <w:snapToGrid/>
    </w:pPr>
    <w:rPr>
      <w:rFonts w:ascii="Calibri" w:hAnsi="Calibri"/>
      <w:b/>
      <w:bCs/>
      <w:kern w:val="2"/>
      <w:sz w:val="21"/>
    </w:rPr>
  </w:style>
  <w:style w:type="paragraph" w:styleId="57">
    <w:name w:val="Body Text First Indent"/>
    <w:basedOn w:val="21"/>
    <w:link w:val="94"/>
    <w:qFormat/>
    <w:uiPriority w:val="0"/>
    <w:pPr>
      <w:widowControl w:val="0"/>
      <w:adjustRightInd/>
      <w:snapToGrid/>
      <w:ind w:firstLine="420" w:firstLineChars="100"/>
      <w:jc w:val="both"/>
    </w:pPr>
    <w:rPr>
      <w:rFonts w:ascii="Times New Roman" w:hAnsi="Times New Roman" w:cs="Times New Roman"/>
      <w:kern w:val="2"/>
      <w:sz w:val="21"/>
      <w:szCs w:val="24"/>
    </w:rPr>
  </w:style>
  <w:style w:type="paragraph" w:styleId="58">
    <w:name w:val="Body Text First Indent 2"/>
    <w:basedOn w:val="22"/>
    <w:link w:val="435"/>
    <w:qFormat/>
    <w:uiPriority w:val="0"/>
    <w:pPr>
      <w:ind w:firstLine="420"/>
    </w:pPr>
    <w:rPr>
      <w:rFonts w:ascii="宋体" w:hAnsi="宋体" w:cs="Times New Roman"/>
      <w:sz w:val="21"/>
      <w:szCs w:val="32"/>
    </w:rPr>
  </w:style>
  <w:style w:type="table" w:styleId="60">
    <w:name w:val="Table Grid"/>
    <w:basedOn w:val="59"/>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2">
    <w:name w:val="Strong"/>
    <w:qFormat/>
    <w:uiPriority w:val="0"/>
    <w:rPr>
      <w:b/>
      <w:bCs/>
    </w:rPr>
  </w:style>
  <w:style w:type="character" w:styleId="63">
    <w:name w:val="endnote reference"/>
    <w:qFormat/>
    <w:uiPriority w:val="0"/>
    <w:rPr>
      <w:vertAlign w:val="superscript"/>
    </w:rPr>
  </w:style>
  <w:style w:type="character" w:styleId="64">
    <w:name w:val="page number"/>
    <w:basedOn w:val="61"/>
    <w:qFormat/>
    <w:uiPriority w:val="0"/>
  </w:style>
  <w:style w:type="character" w:styleId="65">
    <w:name w:val="FollowedHyperlink"/>
    <w:basedOn w:val="61"/>
    <w:qFormat/>
    <w:uiPriority w:val="0"/>
    <w:rPr>
      <w:color w:val="0076BE"/>
      <w:u w:val="none"/>
    </w:rPr>
  </w:style>
  <w:style w:type="character" w:styleId="66">
    <w:name w:val="Emphasis"/>
    <w:qFormat/>
    <w:uiPriority w:val="0"/>
    <w:rPr>
      <w:b/>
      <w:bCs/>
      <w:i/>
      <w:iCs/>
      <w:spacing w:val="10"/>
      <w:shd w:val="clear" w:color="auto" w:fill="auto"/>
    </w:rPr>
  </w:style>
  <w:style w:type="character" w:styleId="67">
    <w:name w:val="line number"/>
    <w:basedOn w:val="61"/>
    <w:qFormat/>
    <w:uiPriority w:val="0"/>
  </w:style>
  <w:style w:type="character" w:styleId="68">
    <w:name w:val="HTML Definition"/>
    <w:basedOn w:val="61"/>
    <w:qFormat/>
    <w:uiPriority w:val="0"/>
  </w:style>
  <w:style w:type="character" w:styleId="69">
    <w:name w:val="HTML Typewriter"/>
    <w:qFormat/>
    <w:uiPriority w:val="0"/>
    <w:rPr>
      <w:rFonts w:ascii="宋体" w:hAnsi="宋体" w:eastAsia="宋体" w:cs="宋体"/>
      <w:sz w:val="24"/>
      <w:szCs w:val="24"/>
    </w:rPr>
  </w:style>
  <w:style w:type="character" w:styleId="70">
    <w:name w:val="HTML Acronym"/>
    <w:basedOn w:val="61"/>
    <w:qFormat/>
    <w:uiPriority w:val="0"/>
  </w:style>
  <w:style w:type="character" w:styleId="71">
    <w:name w:val="HTML Variable"/>
    <w:basedOn w:val="61"/>
    <w:qFormat/>
    <w:uiPriority w:val="0"/>
  </w:style>
  <w:style w:type="character" w:styleId="72">
    <w:name w:val="Hyperlink"/>
    <w:basedOn w:val="61"/>
    <w:qFormat/>
    <w:uiPriority w:val="99"/>
    <w:rPr>
      <w:color w:val="0076BE"/>
      <w:u w:val="none"/>
    </w:rPr>
  </w:style>
  <w:style w:type="character" w:styleId="73">
    <w:name w:val="HTML Code"/>
    <w:basedOn w:val="61"/>
    <w:qFormat/>
    <w:uiPriority w:val="0"/>
    <w:rPr>
      <w:rFonts w:ascii="Courier New" w:hAnsi="Courier New"/>
      <w:sz w:val="20"/>
    </w:rPr>
  </w:style>
  <w:style w:type="character" w:styleId="74">
    <w:name w:val="annotation reference"/>
    <w:qFormat/>
    <w:uiPriority w:val="0"/>
    <w:rPr>
      <w:sz w:val="21"/>
    </w:rPr>
  </w:style>
  <w:style w:type="character" w:styleId="75">
    <w:name w:val="HTML Cite"/>
    <w:basedOn w:val="61"/>
    <w:qFormat/>
    <w:uiPriority w:val="0"/>
  </w:style>
  <w:style w:type="character" w:styleId="76">
    <w:name w:val="footnote reference"/>
    <w:qFormat/>
    <w:uiPriority w:val="0"/>
    <w:rPr>
      <w:vertAlign w:val="superscript"/>
    </w:rPr>
  </w:style>
  <w:style w:type="character" w:styleId="77">
    <w:name w:val="HTML Sample"/>
    <w:qFormat/>
    <w:uiPriority w:val="0"/>
    <w:rPr>
      <w:rFonts w:ascii="Courier New" w:hAnsi="宋体" w:eastAsia="宋体" w:cs="Courier New"/>
    </w:rPr>
  </w:style>
  <w:style w:type="character" w:customStyle="1" w:styleId="78">
    <w:name w:val="标题 1 Char"/>
    <w:basedOn w:val="61"/>
    <w:link w:val="2"/>
    <w:qFormat/>
    <w:uiPriority w:val="0"/>
    <w:rPr>
      <w:rFonts w:ascii="黑体" w:hAnsi="Times New Roman" w:eastAsia="黑体" w:cs="Times New Roman"/>
      <w:b/>
      <w:kern w:val="44"/>
      <w:sz w:val="36"/>
      <w:szCs w:val="28"/>
    </w:rPr>
  </w:style>
  <w:style w:type="paragraph" w:customStyle="1" w:styleId="79">
    <w:name w:val="Default"/>
    <w:next w:val="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80">
    <w:name w:val="一级标题"/>
    <w:basedOn w:val="1"/>
    <w:next w:val="1"/>
    <w:qFormat/>
    <w:uiPriority w:val="0"/>
    <w:pPr>
      <w:widowControl w:val="0"/>
      <w:tabs>
        <w:tab w:val="left" w:pos="903"/>
      </w:tabs>
      <w:adjustRightInd/>
      <w:snapToGrid/>
      <w:ind w:left="900" w:hanging="420"/>
      <w:jc w:val="both"/>
    </w:pPr>
    <w:rPr>
      <w:rFonts w:ascii="Arial" w:hAnsi="Arial" w:cs="Arial"/>
      <w:kern w:val="2"/>
      <w:szCs w:val="20"/>
    </w:rPr>
  </w:style>
  <w:style w:type="character" w:customStyle="1" w:styleId="81">
    <w:name w:val="页眉 Char"/>
    <w:basedOn w:val="61"/>
    <w:link w:val="37"/>
    <w:qFormat/>
    <w:uiPriority w:val="0"/>
    <w:rPr>
      <w:rFonts w:ascii="Tahoma" w:hAnsi="Tahoma"/>
      <w:sz w:val="18"/>
      <w:szCs w:val="18"/>
    </w:rPr>
  </w:style>
  <w:style w:type="character" w:customStyle="1" w:styleId="82">
    <w:name w:val="页脚 Char"/>
    <w:basedOn w:val="61"/>
    <w:link w:val="36"/>
    <w:qFormat/>
    <w:uiPriority w:val="99"/>
    <w:rPr>
      <w:rFonts w:ascii="Tahoma" w:hAnsi="Tahoma"/>
      <w:sz w:val="18"/>
      <w:szCs w:val="18"/>
    </w:rPr>
  </w:style>
  <w:style w:type="character" w:customStyle="1" w:styleId="83">
    <w:name w:val="标题 2 Char"/>
    <w:basedOn w:val="61"/>
    <w:link w:val="3"/>
    <w:qFormat/>
    <w:uiPriority w:val="0"/>
    <w:rPr>
      <w:rFonts w:ascii="宋体" w:hAnsi="宋体" w:eastAsia="宋体" w:cs="Times New Roman"/>
      <w:b/>
      <w:kern w:val="2"/>
      <w:sz w:val="24"/>
      <w:szCs w:val="24"/>
    </w:rPr>
  </w:style>
  <w:style w:type="character" w:customStyle="1" w:styleId="84">
    <w:name w:val="标题 3 Char"/>
    <w:basedOn w:val="61"/>
    <w:link w:val="4"/>
    <w:qFormat/>
    <w:uiPriority w:val="0"/>
    <w:rPr>
      <w:rFonts w:ascii="宋体" w:hAnsi="宋体" w:eastAsia="宋体" w:cs="Times New Roman"/>
      <w:b/>
      <w:kern w:val="2"/>
      <w:sz w:val="21"/>
      <w:szCs w:val="21"/>
      <w:shd w:val="clear" w:color="auto" w:fill="FFFFFF"/>
    </w:rPr>
  </w:style>
  <w:style w:type="character" w:customStyle="1" w:styleId="85">
    <w:name w:val="标题 4 Char"/>
    <w:basedOn w:val="61"/>
    <w:link w:val="5"/>
    <w:qFormat/>
    <w:uiPriority w:val="0"/>
    <w:rPr>
      <w:rFonts w:ascii="Arial" w:hAnsi="Arial" w:eastAsia="黑体" w:cs="Times New Roman"/>
      <w:b/>
      <w:kern w:val="2"/>
      <w:sz w:val="28"/>
      <w:szCs w:val="20"/>
    </w:rPr>
  </w:style>
  <w:style w:type="character" w:customStyle="1" w:styleId="86">
    <w:name w:val="标题 5 Char"/>
    <w:basedOn w:val="61"/>
    <w:link w:val="7"/>
    <w:qFormat/>
    <w:uiPriority w:val="0"/>
    <w:rPr>
      <w:rFonts w:ascii="黑体" w:hAnsi="Times New Roman" w:eastAsia="黑体" w:cs="Times New Roman"/>
      <w:b/>
      <w:color w:val="000000"/>
      <w:sz w:val="28"/>
      <w:szCs w:val="20"/>
    </w:rPr>
  </w:style>
  <w:style w:type="character" w:customStyle="1" w:styleId="87">
    <w:name w:val="标题 6 Char"/>
    <w:basedOn w:val="61"/>
    <w:link w:val="8"/>
    <w:qFormat/>
    <w:uiPriority w:val="0"/>
    <w:rPr>
      <w:rFonts w:ascii="Arial" w:hAnsi="Arial" w:eastAsia="黑体" w:cs="Times New Roman"/>
      <w:b/>
      <w:bCs/>
      <w:kern w:val="2"/>
      <w:sz w:val="24"/>
      <w:szCs w:val="24"/>
    </w:rPr>
  </w:style>
  <w:style w:type="character" w:customStyle="1" w:styleId="88">
    <w:name w:val="标题 7 Char"/>
    <w:basedOn w:val="61"/>
    <w:link w:val="9"/>
    <w:qFormat/>
    <w:uiPriority w:val="0"/>
    <w:rPr>
      <w:rFonts w:ascii="Times New Roman" w:hAnsi="Times New Roman" w:eastAsia="宋体" w:cs="Times New Roman"/>
      <w:b/>
      <w:bCs/>
      <w:kern w:val="2"/>
      <w:sz w:val="24"/>
      <w:szCs w:val="24"/>
    </w:rPr>
  </w:style>
  <w:style w:type="character" w:customStyle="1" w:styleId="89">
    <w:name w:val="标题 8 Char"/>
    <w:basedOn w:val="61"/>
    <w:link w:val="10"/>
    <w:qFormat/>
    <w:uiPriority w:val="0"/>
    <w:rPr>
      <w:rFonts w:ascii="Arial" w:hAnsi="Arial" w:eastAsia="黑体" w:cs="Times New Roman"/>
      <w:kern w:val="2"/>
      <w:sz w:val="24"/>
      <w:szCs w:val="24"/>
    </w:rPr>
  </w:style>
  <w:style w:type="character" w:customStyle="1" w:styleId="90">
    <w:name w:val="标题 9 Char"/>
    <w:basedOn w:val="61"/>
    <w:link w:val="11"/>
    <w:qFormat/>
    <w:uiPriority w:val="0"/>
    <w:rPr>
      <w:rFonts w:ascii="Arial" w:hAnsi="Arial" w:eastAsia="黑体" w:cs="Times New Roman"/>
      <w:kern w:val="2"/>
      <w:sz w:val="21"/>
      <w:szCs w:val="21"/>
    </w:rPr>
  </w:style>
  <w:style w:type="character" w:customStyle="1" w:styleId="91">
    <w:name w:val="批注文字 Char"/>
    <w:basedOn w:val="61"/>
    <w:link w:val="18"/>
    <w:qFormat/>
    <w:uiPriority w:val="0"/>
    <w:rPr>
      <w:rFonts w:ascii="Tahoma" w:hAnsi="Tahoma"/>
    </w:rPr>
  </w:style>
  <w:style w:type="character" w:customStyle="1" w:styleId="92">
    <w:name w:val="批注主题 Char"/>
    <w:basedOn w:val="91"/>
    <w:link w:val="56"/>
    <w:qFormat/>
    <w:uiPriority w:val="0"/>
    <w:rPr>
      <w:rFonts w:ascii="Tahoma" w:hAnsi="Tahoma" w:eastAsia="宋体"/>
      <w:b/>
      <w:bCs/>
      <w:kern w:val="2"/>
      <w:sz w:val="21"/>
    </w:rPr>
  </w:style>
  <w:style w:type="character" w:customStyle="1" w:styleId="93">
    <w:name w:val="正文文本 Char"/>
    <w:basedOn w:val="61"/>
    <w:link w:val="21"/>
    <w:qFormat/>
    <w:uiPriority w:val="0"/>
    <w:rPr>
      <w:rFonts w:ascii="Tahoma" w:hAnsi="Tahoma"/>
    </w:rPr>
  </w:style>
  <w:style w:type="character" w:customStyle="1" w:styleId="94">
    <w:name w:val="正文首行缩进 Char"/>
    <w:basedOn w:val="93"/>
    <w:link w:val="57"/>
    <w:qFormat/>
    <w:uiPriority w:val="0"/>
    <w:rPr>
      <w:rFonts w:ascii="Times New Roman" w:hAnsi="Times New Roman" w:eastAsia="宋体" w:cs="Times New Roman"/>
      <w:kern w:val="2"/>
      <w:sz w:val="21"/>
      <w:szCs w:val="24"/>
    </w:rPr>
  </w:style>
  <w:style w:type="character" w:customStyle="1" w:styleId="95">
    <w:name w:val="文档结构图 Char"/>
    <w:basedOn w:val="61"/>
    <w:link w:val="17"/>
    <w:qFormat/>
    <w:uiPriority w:val="0"/>
    <w:rPr>
      <w:rFonts w:eastAsia="宋体"/>
      <w:kern w:val="2"/>
      <w:sz w:val="21"/>
      <w:shd w:val="clear" w:color="auto" w:fill="000080"/>
    </w:rPr>
  </w:style>
  <w:style w:type="character" w:customStyle="1" w:styleId="96">
    <w:name w:val="称呼 Char"/>
    <w:basedOn w:val="61"/>
    <w:link w:val="19"/>
    <w:qFormat/>
    <w:uiPriority w:val="0"/>
    <w:rPr>
      <w:rFonts w:ascii="仿宋_GB2312" w:hAnsi="Times New Roman" w:eastAsia="仿宋_GB2312" w:cs="Times New Roman"/>
      <w:kern w:val="2"/>
      <w:sz w:val="28"/>
      <w:szCs w:val="20"/>
    </w:rPr>
  </w:style>
  <w:style w:type="character" w:customStyle="1" w:styleId="97">
    <w:name w:val="正文文本 3 Char"/>
    <w:basedOn w:val="61"/>
    <w:link w:val="20"/>
    <w:qFormat/>
    <w:uiPriority w:val="0"/>
    <w:rPr>
      <w:rFonts w:ascii="仿宋_GB2312" w:hAnsi="Arial" w:eastAsia="仿宋_GB2312" w:cs="Times New Roman"/>
      <w:kern w:val="2"/>
      <w:sz w:val="32"/>
      <w:szCs w:val="20"/>
    </w:rPr>
  </w:style>
  <w:style w:type="character" w:customStyle="1" w:styleId="98">
    <w:name w:val="正文文本缩进 Char"/>
    <w:basedOn w:val="61"/>
    <w:link w:val="22"/>
    <w:qFormat/>
    <w:uiPriority w:val="0"/>
    <w:rPr>
      <w:rFonts w:ascii="楷体_GB2312" w:eastAsia="楷体_GB2312"/>
      <w:kern w:val="2"/>
      <w:sz w:val="32"/>
    </w:rPr>
  </w:style>
  <w:style w:type="character" w:customStyle="1" w:styleId="99">
    <w:name w:val="纯文本 Char"/>
    <w:basedOn w:val="61"/>
    <w:link w:val="29"/>
    <w:qFormat/>
    <w:uiPriority w:val="0"/>
    <w:rPr>
      <w:rFonts w:ascii="宋体" w:hAnsi="Courier New" w:eastAsia="宋体"/>
      <w:kern w:val="2"/>
      <w:sz w:val="21"/>
    </w:rPr>
  </w:style>
  <w:style w:type="character" w:customStyle="1" w:styleId="100">
    <w:name w:val="日期 Char"/>
    <w:basedOn w:val="61"/>
    <w:link w:val="32"/>
    <w:qFormat/>
    <w:uiPriority w:val="0"/>
    <w:rPr>
      <w:rFonts w:ascii="Times New Roman" w:hAnsi="Times New Roman" w:eastAsia="宋体" w:cs="Times New Roman"/>
      <w:kern w:val="2"/>
      <w:sz w:val="28"/>
      <w:szCs w:val="20"/>
    </w:rPr>
  </w:style>
  <w:style w:type="character" w:customStyle="1" w:styleId="101">
    <w:name w:val="正文文本缩进 2 Char"/>
    <w:basedOn w:val="61"/>
    <w:link w:val="33"/>
    <w:qFormat/>
    <w:uiPriority w:val="0"/>
    <w:rPr>
      <w:rFonts w:ascii="Arial" w:hAnsi="Arial" w:eastAsia="仿宋_GB2312"/>
      <w:kern w:val="2"/>
      <w:sz w:val="32"/>
    </w:rPr>
  </w:style>
  <w:style w:type="character" w:customStyle="1" w:styleId="102">
    <w:name w:val="尾注文本 Char"/>
    <w:basedOn w:val="61"/>
    <w:link w:val="34"/>
    <w:qFormat/>
    <w:uiPriority w:val="0"/>
    <w:rPr>
      <w:rFonts w:ascii="Times New Roman" w:hAnsi="Times New Roman" w:eastAsia="宋体" w:cs="Times New Roman"/>
      <w:sz w:val="20"/>
      <w:szCs w:val="24"/>
    </w:rPr>
  </w:style>
  <w:style w:type="character" w:customStyle="1" w:styleId="103">
    <w:name w:val="批注框文本 Char"/>
    <w:basedOn w:val="61"/>
    <w:link w:val="35"/>
    <w:qFormat/>
    <w:uiPriority w:val="0"/>
    <w:rPr>
      <w:rFonts w:ascii="Times New Roman" w:hAnsi="Times New Roman" w:eastAsia="宋体" w:cs="Times New Roman"/>
      <w:kern w:val="2"/>
      <w:sz w:val="18"/>
      <w:szCs w:val="18"/>
    </w:rPr>
  </w:style>
  <w:style w:type="character" w:customStyle="1" w:styleId="104">
    <w:name w:val="签名 Char"/>
    <w:basedOn w:val="61"/>
    <w:link w:val="38"/>
    <w:qFormat/>
    <w:uiPriority w:val="99"/>
    <w:rPr>
      <w:rFonts w:ascii="Times New Roman" w:hAnsi="Times New Roman" w:eastAsia="仿宋_GB2312" w:cs="Times New Roman"/>
      <w:sz w:val="24"/>
      <w:szCs w:val="20"/>
    </w:rPr>
  </w:style>
  <w:style w:type="character" w:customStyle="1" w:styleId="105">
    <w:name w:val="副标题 Char"/>
    <w:basedOn w:val="61"/>
    <w:link w:val="43"/>
    <w:qFormat/>
    <w:uiPriority w:val="0"/>
    <w:rPr>
      <w:rFonts w:ascii="Cambria" w:hAnsi="Cambria" w:eastAsia="宋体" w:cs="Times New Roman"/>
      <w:i/>
      <w:iCs/>
      <w:spacing w:val="13"/>
      <w:sz w:val="24"/>
      <w:szCs w:val="24"/>
      <w:lang w:eastAsia="en-US" w:bidi="en-US"/>
    </w:rPr>
  </w:style>
  <w:style w:type="character" w:customStyle="1" w:styleId="106">
    <w:name w:val="脚注文本 Char"/>
    <w:basedOn w:val="61"/>
    <w:link w:val="45"/>
    <w:qFormat/>
    <w:uiPriority w:val="0"/>
    <w:rPr>
      <w:rFonts w:ascii="Times New Roman" w:hAnsi="Times New Roman" w:eastAsia="宋体" w:cs="Times New Roman"/>
      <w:kern w:val="2"/>
      <w:sz w:val="18"/>
      <w:szCs w:val="18"/>
    </w:rPr>
  </w:style>
  <w:style w:type="character" w:customStyle="1" w:styleId="107">
    <w:name w:val="正文文本缩进 3 Char"/>
    <w:basedOn w:val="61"/>
    <w:link w:val="47"/>
    <w:qFormat/>
    <w:uiPriority w:val="0"/>
    <w:rPr>
      <w:rFonts w:ascii="Arial" w:hAnsi="Arial" w:eastAsia="仿宋_GB2312"/>
      <w:color w:val="FFFF00"/>
      <w:kern w:val="2"/>
      <w:sz w:val="32"/>
    </w:rPr>
  </w:style>
  <w:style w:type="character" w:customStyle="1" w:styleId="108">
    <w:name w:val="正文文本 2 Char"/>
    <w:basedOn w:val="61"/>
    <w:link w:val="51"/>
    <w:qFormat/>
    <w:uiPriority w:val="0"/>
    <w:rPr>
      <w:rFonts w:ascii="楷体_GB2312" w:hAnsi="Times New Roman" w:eastAsia="楷体_GB2312" w:cs="Times New Roman"/>
      <w:kern w:val="2"/>
      <w:sz w:val="28"/>
      <w:szCs w:val="20"/>
    </w:rPr>
  </w:style>
  <w:style w:type="character" w:customStyle="1" w:styleId="109">
    <w:name w:val="HTML 预设格式 Char"/>
    <w:basedOn w:val="61"/>
    <w:link w:val="53"/>
    <w:qFormat/>
    <w:uiPriority w:val="0"/>
    <w:rPr>
      <w:rFonts w:ascii="黑体" w:hAnsi="Courier New" w:eastAsia="黑体" w:cs="Courier New"/>
      <w:kern w:val="2"/>
      <w:sz w:val="21"/>
    </w:rPr>
  </w:style>
  <w:style w:type="character" w:customStyle="1" w:styleId="110">
    <w:name w:val="标题 Char"/>
    <w:basedOn w:val="61"/>
    <w:link w:val="55"/>
    <w:qFormat/>
    <w:uiPriority w:val="0"/>
    <w:rPr>
      <w:rFonts w:eastAsia="黑体"/>
      <w:b/>
      <w:kern w:val="2"/>
      <w:sz w:val="28"/>
      <w:lang w:val="en-GB"/>
    </w:rPr>
  </w:style>
  <w:style w:type="character" w:customStyle="1" w:styleId="111">
    <w:name w:val="标题 3 Char1"/>
    <w:qFormat/>
    <w:uiPriority w:val="0"/>
    <w:rPr>
      <w:rFonts w:ascii="宋体" w:hAnsi="宋体" w:eastAsia="宋体" w:cs="Times New Roman"/>
      <w:b/>
      <w:kern w:val="2"/>
      <w:sz w:val="21"/>
      <w:szCs w:val="21"/>
      <w:shd w:val="clear" w:color="auto" w:fill="FFFFFF"/>
    </w:rPr>
  </w:style>
  <w:style w:type="character" w:customStyle="1" w:styleId="112">
    <w:name w:val="批注主题 Char1"/>
    <w:basedOn w:val="113"/>
    <w:qFormat/>
    <w:uiPriority w:val="0"/>
    <w:rPr>
      <w:rFonts w:ascii="Times New Roman" w:hAnsi="Times New Roman" w:eastAsia="宋体" w:cs="Times New Roman"/>
      <w:b/>
      <w:bCs/>
      <w:kern w:val="2"/>
      <w:sz w:val="21"/>
      <w:szCs w:val="20"/>
    </w:rPr>
  </w:style>
  <w:style w:type="character" w:customStyle="1" w:styleId="113">
    <w:name w:val="批注文字 Char1"/>
    <w:basedOn w:val="61"/>
    <w:qFormat/>
    <w:uiPriority w:val="0"/>
    <w:rPr>
      <w:rFonts w:ascii="Times New Roman" w:hAnsi="Times New Roman" w:eastAsia="宋体" w:cs="Times New Roman"/>
      <w:szCs w:val="20"/>
    </w:rPr>
  </w:style>
  <w:style w:type="character" w:customStyle="1" w:styleId="114">
    <w:name w:val="文档结构图 Char1"/>
    <w:basedOn w:val="61"/>
    <w:qFormat/>
    <w:uiPriority w:val="0"/>
    <w:rPr>
      <w:rFonts w:eastAsia="宋体"/>
      <w:kern w:val="2"/>
      <w:sz w:val="21"/>
      <w:shd w:val="clear" w:color="auto" w:fill="000080"/>
    </w:rPr>
  </w:style>
  <w:style w:type="character" w:customStyle="1" w:styleId="115">
    <w:name w:val="正文文本缩进 Char1"/>
    <w:basedOn w:val="61"/>
    <w:qFormat/>
    <w:uiPriority w:val="0"/>
    <w:rPr>
      <w:rFonts w:ascii="楷体_GB2312" w:eastAsia="楷体_GB2312"/>
      <w:kern w:val="2"/>
      <w:sz w:val="32"/>
    </w:rPr>
  </w:style>
  <w:style w:type="character" w:customStyle="1" w:styleId="116">
    <w:name w:val="纯文本 Char2"/>
    <w:basedOn w:val="61"/>
    <w:qFormat/>
    <w:uiPriority w:val="0"/>
    <w:rPr>
      <w:rFonts w:ascii="宋体" w:hAnsi="Courier New" w:eastAsia="宋体"/>
      <w:kern w:val="2"/>
      <w:sz w:val="21"/>
    </w:rPr>
  </w:style>
  <w:style w:type="character" w:customStyle="1" w:styleId="117">
    <w:name w:val="正文文本缩进 2 Char1"/>
    <w:basedOn w:val="61"/>
    <w:qFormat/>
    <w:uiPriority w:val="0"/>
    <w:rPr>
      <w:rFonts w:ascii="Arial" w:hAnsi="Arial" w:eastAsia="仿宋_GB2312"/>
      <w:kern w:val="2"/>
      <w:sz w:val="32"/>
    </w:rPr>
  </w:style>
  <w:style w:type="character" w:customStyle="1" w:styleId="118">
    <w:name w:val="正文文本缩进 3 Char1"/>
    <w:basedOn w:val="61"/>
    <w:qFormat/>
    <w:uiPriority w:val="0"/>
    <w:rPr>
      <w:rFonts w:ascii="Arial" w:hAnsi="Arial" w:eastAsia="仿宋_GB2312"/>
      <w:color w:val="FFFF00"/>
      <w:kern w:val="2"/>
      <w:sz w:val="32"/>
    </w:rPr>
  </w:style>
  <w:style w:type="character" w:customStyle="1" w:styleId="119">
    <w:name w:val="HTML 预设格式 Char1"/>
    <w:basedOn w:val="61"/>
    <w:qFormat/>
    <w:uiPriority w:val="0"/>
    <w:rPr>
      <w:rFonts w:ascii="黑体" w:hAnsi="Courier New" w:eastAsia="黑体" w:cs="Courier New"/>
      <w:kern w:val="2"/>
      <w:sz w:val="21"/>
    </w:rPr>
  </w:style>
  <w:style w:type="character" w:customStyle="1" w:styleId="120">
    <w:name w:val="标题 Char2"/>
    <w:basedOn w:val="61"/>
    <w:qFormat/>
    <w:uiPriority w:val="0"/>
    <w:rPr>
      <w:rFonts w:eastAsia="黑体"/>
      <w:b/>
      <w:kern w:val="2"/>
      <w:sz w:val="28"/>
      <w:lang w:val="en-GB"/>
    </w:rPr>
  </w:style>
  <w:style w:type="character" w:customStyle="1" w:styleId="121">
    <w:name w:val="111111 Char"/>
    <w:link w:val="122"/>
    <w:qFormat/>
    <w:uiPriority w:val="0"/>
    <w:rPr>
      <w:rFonts w:ascii="宋体" w:hAnsi="宋体" w:eastAsia="黑体" w:cs="宋体"/>
      <w:b/>
      <w:bCs/>
      <w:szCs w:val="21"/>
    </w:rPr>
  </w:style>
  <w:style w:type="paragraph" w:customStyle="1" w:styleId="122">
    <w:name w:val="111111"/>
    <w:basedOn w:val="1"/>
    <w:link w:val="121"/>
    <w:qFormat/>
    <w:uiPriority w:val="0"/>
    <w:pPr>
      <w:widowControl w:val="0"/>
      <w:adjustRightInd/>
      <w:snapToGrid/>
      <w:spacing w:before="120" w:after="120"/>
      <w:jc w:val="center"/>
    </w:pPr>
    <w:rPr>
      <w:rFonts w:ascii="宋体" w:hAnsi="宋体" w:eastAsia="黑体"/>
      <w:b/>
      <w:bCs/>
      <w:szCs w:val="21"/>
    </w:rPr>
  </w:style>
  <w:style w:type="character" w:customStyle="1" w:styleId="123">
    <w:name w:val="2nd level Char"/>
    <w:qFormat/>
    <w:uiPriority w:val="0"/>
    <w:rPr>
      <w:rFonts w:ascii="Arial" w:hAnsi="Arial" w:eastAsia="黑体"/>
      <w:b/>
      <w:bCs/>
      <w:kern w:val="2"/>
      <w:sz w:val="32"/>
      <w:szCs w:val="32"/>
      <w:lang w:val="en-US" w:eastAsia="zh-CN" w:bidi="ar-SA"/>
    </w:rPr>
  </w:style>
  <w:style w:type="character" w:customStyle="1" w:styleId="124">
    <w:name w:val="标准小四 Char Char"/>
    <w:qFormat/>
    <w:uiPriority w:val="0"/>
    <w:rPr>
      <w:rFonts w:ascii="Arial" w:hAnsi="Arial" w:eastAsia="宋体"/>
      <w:kern w:val="2"/>
      <w:sz w:val="24"/>
      <w:szCs w:val="21"/>
      <w:lang w:val="en-US" w:eastAsia="zh-CN" w:bidi="ar-SA"/>
    </w:rPr>
  </w:style>
  <w:style w:type="character" w:customStyle="1" w:styleId="125">
    <w:name w:val="l-over"/>
    <w:basedOn w:val="61"/>
    <w:qFormat/>
    <w:uiPriority w:val="0"/>
    <w:rPr>
      <w:bdr w:val="single" w:color="DAB364" w:sz="6" w:space="0"/>
    </w:rPr>
  </w:style>
  <w:style w:type="character" w:customStyle="1" w:styleId="126">
    <w:name w:val="Title1 Char"/>
    <w:qFormat/>
    <w:uiPriority w:val="0"/>
    <w:rPr>
      <w:rFonts w:eastAsia="宋体"/>
      <w:b/>
      <w:bCs/>
      <w:kern w:val="44"/>
      <w:sz w:val="44"/>
      <w:szCs w:val="44"/>
      <w:lang w:val="en-US" w:eastAsia="zh-CN" w:bidi="ar-SA"/>
    </w:rPr>
  </w:style>
  <w:style w:type="character" w:customStyle="1" w:styleId="127">
    <w:name w:val="纯文本 Char Char Char1"/>
    <w:qFormat/>
    <w:uiPriority w:val="0"/>
    <w:rPr>
      <w:rFonts w:ascii="宋体" w:hAnsi="Courier New" w:eastAsia="宋体"/>
      <w:kern w:val="2"/>
      <w:sz w:val="21"/>
      <w:szCs w:val="21"/>
      <w:lang w:val="en-US" w:eastAsia="zh-CN" w:bidi="ar-SA"/>
    </w:rPr>
  </w:style>
  <w:style w:type="character" w:customStyle="1" w:styleId="128">
    <w:name w:val="正文 + 宋体 Char"/>
    <w:qFormat/>
    <w:uiPriority w:val="0"/>
    <w:rPr>
      <w:rFonts w:eastAsia="宋体"/>
      <w:kern w:val="2"/>
      <w:sz w:val="21"/>
      <w:szCs w:val="24"/>
      <w:lang w:val="en-US" w:eastAsia="zh-CN" w:bidi="ar-SA"/>
    </w:rPr>
  </w:style>
  <w:style w:type="character" w:customStyle="1" w:styleId="129">
    <w:name w:val="标题 3 Char Char"/>
    <w:qFormat/>
    <w:uiPriority w:val="0"/>
    <w:rPr>
      <w:rFonts w:eastAsia="仿宋_GB2312"/>
      <w:b/>
      <w:bCs/>
      <w:kern w:val="2"/>
      <w:sz w:val="28"/>
      <w:szCs w:val="32"/>
      <w:lang w:val="en-US" w:eastAsia="zh-CN" w:bidi="ar-SA"/>
    </w:rPr>
  </w:style>
  <w:style w:type="character" w:customStyle="1" w:styleId="130">
    <w:name w:val="concon"/>
    <w:qFormat/>
    <w:uiPriority w:val="0"/>
  </w:style>
  <w:style w:type="character" w:customStyle="1" w:styleId="131">
    <w:name w:val="para_small"/>
    <w:basedOn w:val="61"/>
    <w:qFormat/>
    <w:uiPriority w:val="0"/>
  </w:style>
  <w:style w:type="character" w:customStyle="1" w:styleId="132">
    <w:name w:val="明显强调1"/>
    <w:qFormat/>
    <w:uiPriority w:val="0"/>
    <w:rPr>
      <w:b/>
      <w:bCs/>
    </w:rPr>
  </w:style>
  <w:style w:type="character" w:customStyle="1" w:styleId="133">
    <w:name w:val="标准文本 Char Char"/>
    <w:qFormat/>
    <w:uiPriority w:val="0"/>
    <w:rPr>
      <w:rFonts w:eastAsia="宋体" w:cs="宋体"/>
      <w:kern w:val="2"/>
      <w:sz w:val="24"/>
      <w:szCs w:val="24"/>
      <w:lang w:val="en-US" w:eastAsia="zh-CN" w:bidi="ar-SA"/>
    </w:rPr>
  </w:style>
  <w:style w:type="character" w:customStyle="1" w:styleId="134">
    <w:name w:val="Char Char23"/>
    <w:qFormat/>
    <w:uiPriority w:val="0"/>
    <w:rPr>
      <w:rFonts w:ascii="Arial" w:hAnsi="Arial" w:eastAsia="黑体"/>
      <w:b/>
      <w:bCs/>
      <w:kern w:val="2"/>
      <w:sz w:val="24"/>
      <w:szCs w:val="24"/>
    </w:rPr>
  </w:style>
  <w:style w:type="character" w:customStyle="1" w:styleId="135">
    <w:name w:val="小四 段落 宋体 Char Char Char Char Char Char"/>
    <w:qFormat/>
    <w:uiPriority w:val="0"/>
    <w:rPr>
      <w:rFonts w:eastAsia="宋体"/>
      <w:kern w:val="2"/>
      <w:sz w:val="24"/>
      <w:szCs w:val="24"/>
      <w:lang w:val="en-US" w:eastAsia="zh-CN" w:bidi="ar-SA"/>
    </w:rPr>
  </w:style>
  <w:style w:type="character" w:customStyle="1" w:styleId="136">
    <w:name w:val="title_emph1"/>
    <w:qFormat/>
    <w:uiPriority w:val="0"/>
    <w:rPr>
      <w:rFonts w:ascii="Arial" w:cs="Arial"/>
      <w:b/>
      <w:bCs/>
      <w:sz w:val="18"/>
      <w:szCs w:val="18"/>
    </w:rPr>
  </w:style>
  <w:style w:type="character" w:customStyle="1" w:styleId="137">
    <w:name w:val="l-open"/>
    <w:basedOn w:val="61"/>
    <w:qFormat/>
    <w:uiPriority w:val="0"/>
  </w:style>
  <w:style w:type="character" w:customStyle="1" w:styleId="138">
    <w:name w:val="style131"/>
    <w:qFormat/>
    <w:uiPriority w:val="0"/>
    <w:rPr>
      <w:rFonts w:cs="Times New Roman"/>
      <w:sz w:val="18"/>
      <w:szCs w:val="18"/>
    </w:rPr>
  </w:style>
  <w:style w:type="character" w:customStyle="1" w:styleId="139">
    <w:name w:val="normalfont1"/>
    <w:qFormat/>
    <w:uiPriority w:val="0"/>
    <w:rPr>
      <w:rFonts w:hint="default" w:ascii="ˎ̥" w:hAnsi="ˎ̥"/>
      <w:sz w:val="18"/>
      <w:szCs w:val="18"/>
      <w:u w:val="none"/>
    </w:rPr>
  </w:style>
  <w:style w:type="character" w:customStyle="1" w:styleId="140">
    <w:name w:val="标题 Char1"/>
    <w:qFormat/>
    <w:uiPriority w:val="0"/>
    <w:rPr>
      <w:rFonts w:ascii="Cambria" w:eastAsia="宋体" w:cs="Times New Roman"/>
      <w:b/>
      <w:bCs/>
      <w:sz w:val="32"/>
      <w:szCs w:val="32"/>
    </w:rPr>
  </w:style>
  <w:style w:type="character" w:customStyle="1" w:styleId="141">
    <w:name w:val="引用 Char"/>
    <w:qFormat/>
    <w:uiPriority w:val="0"/>
    <w:rPr>
      <w:rFonts w:ascii="Calibri" w:hAnsi="Calibri" w:eastAsia="宋体"/>
      <w:i/>
      <w:iCs/>
      <w:sz w:val="22"/>
      <w:lang w:eastAsia="en-US" w:bidi="en-US"/>
    </w:rPr>
  </w:style>
  <w:style w:type="paragraph" w:styleId="142">
    <w:name w:val="Quote"/>
    <w:basedOn w:val="1"/>
    <w:next w:val="1"/>
    <w:link w:val="143"/>
    <w:qFormat/>
    <w:uiPriority w:val="0"/>
    <w:pPr>
      <w:adjustRightInd/>
      <w:snapToGrid/>
      <w:spacing w:before="200" w:line="276" w:lineRule="auto"/>
      <w:ind w:left="360" w:right="360"/>
    </w:pPr>
    <w:rPr>
      <w:rFonts w:ascii="Calibri" w:hAnsi="Calibri"/>
      <w:i/>
      <w:iCs/>
      <w:kern w:val="2"/>
      <w:lang w:eastAsia="en-US" w:bidi="en-US"/>
    </w:rPr>
  </w:style>
  <w:style w:type="character" w:customStyle="1" w:styleId="143">
    <w:name w:val="引用 Char1"/>
    <w:basedOn w:val="61"/>
    <w:link w:val="142"/>
    <w:qFormat/>
    <w:uiPriority w:val="29"/>
    <w:rPr>
      <w:rFonts w:ascii="Calibri" w:hAnsi="Calibri" w:eastAsia="宋体"/>
      <w:i/>
      <w:iCs/>
      <w:kern w:val="2"/>
      <w:lang w:eastAsia="en-US" w:bidi="en-US"/>
    </w:rPr>
  </w:style>
  <w:style w:type="character" w:customStyle="1" w:styleId="144">
    <w:name w:val="小四 段落 宋体 Char Char Char Char Char Char Char Char"/>
    <w:qFormat/>
    <w:uiPriority w:val="0"/>
    <w:rPr>
      <w:rFonts w:eastAsia="宋体"/>
      <w:kern w:val="2"/>
      <w:sz w:val="24"/>
      <w:szCs w:val="24"/>
      <w:lang w:val="en-US" w:eastAsia="zh-CN" w:bidi="ar-SA"/>
    </w:rPr>
  </w:style>
  <w:style w:type="character" w:customStyle="1" w:styleId="145">
    <w:name w:val="Char Char21"/>
    <w:qFormat/>
    <w:uiPriority w:val="0"/>
    <w:rPr>
      <w:rFonts w:ascii="Arial" w:hAnsi="Arial" w:eastAsia="黑体"/>
      <w:kern w:val="2"/>
      <w:sz w:val="24"/>
      <w:szCs w:val="24"/>
    </w:rPr>
  </w:style>
  <w:style w:type="character" w:customStyle="1" w:styleId="146">
    <w:name w:val="style13"/>
    <w:qFormat/>
    <w:uiPriority w:val="0"/>
    <w:rPr>
      <w:sz w:val="18"/>
      <w:szCs w:val="18"/>
    </w:rPr>
  </w:style>
  <w:style w:type="character" w:customStyle="1" w:styleId="147">
    <w:name w:val="apple-converted-space"/>
    <w:basedOn w:val="61"/>
    <w:qFormat/>
    <w:uiPriority w:val="0"/>
  </w:style>
  <w:style w:type="character" w:customStyle="1" w:styleId="148">
    <w:name w:val="不明显强调1"/>
    <w:qFormat/>
    <w:uiPriority w:val="0"/>
    <w:rPr>
      <w:i/>
      <w:iCs/>
    </w:rPr>
  </w:style>
  <w:style w:type="character" w:customStyle="1" w:styleId="149">
    <w:name w:val="正文缩进 Char1"/>
    <w:link w:val="150"/>
    <w:qFormat/>
    <w:uiPriority w:val="0"/>
    <w:rPr>
      <w:rFonts w:eastAsia="宋体"/>
    </w:rPr>
  </w:style>
  <w:style w:type="paragraph" w:customStyle="1" w:styleId="150">
    <w:name w:val="正文缩进1"/>
    <w:basedOn w:val="1"/>
    <w:link w:val="149"/>
    <w:qFormat/>
    <w:uiPriority w:val="0"/>
    <w:pPr>
      <w:widowControl w:val="0"/>
      <w:adjustRightInd/>
      <w:snapToGrid/>
      <w:ind w:firstLine="420"/>
      <w:jc w:val="both"/>
    </w:pPr>
    <w:rPr>
      <w:rFonts w:ascii="Calibri" w:hAnsi="Calibri"/>
    </w:rPr>
  </w:style>
  <w:style w:type="character" w:customStyle="1" w:styleId="151">
    <w:name w:val="A2"/>
    <w:qFormat/>
    <w:uiPriority w:val="0"/>
    <w:rPr>
      <w:rFonts w:cs="Helvetica"/>
      <w:color w:val="000000"/>
      <w:sz w:val="18"/>
      <w:szCs w:val="18"/>
    </w:rPr>
  </w:style>
  <w:style w:type="character" w:customStyle="1" w:styleId="152">
    <w:name w:val="t1"/>
    <w:qFormat/>
    <w:uiPriority w:val="0"/>
  </w:style>
  <w:style w:type="character" w:customStyle="1" w:styleId="153">
    <w:name w:val="样式 首行缩进:  2 字符 Char"/>
    <w:qFormat/>
    <w:uiPriority w:val="0"/>
    <w:rPr>
      <w:rFonts w:eastAsia="宋体" w:cs="宋体"/>
      <w:kern w:val="2"/>
      <w:sz w:val="24"/>
      <w:lang w:val="en-US" w:eastAsia="zh-CN" w:bidi="ar-SA"/>
    </w:rPr>
  </w:style>
  <w:style w:type="character" w:customStyle="1" w:styleId="154">
    <w:name w:val="ih151"/>
    <w:qFormat/>
    <w:uiPriority w:val="0"/>
    <w:rPr>
      <w:color w:val="666666"/>
      <w:sz w:val="18"/>
      <w:szCs w:val="18"/>
      <w:u w:val="none"/>
    </w:rPr>
  </w:style>
  <w:style w:type="character" w:customStyle="1" w:styleId="155">
    <w:name w:val="point_normal1"/>
    <w:qFormat/>
    <w:uiPriority w:val="0"/>
    <w:rPr>
      <w:rFonts w:hint="default" w:ascii="Arial" w:hAnsi="Arial" w:cs="Arial"/>
      <w:sz w:val="18"/>
      <w:szCs w:val="18"/>
    </w:rPr>
  </w:style>
  <w:style w:type="character" w:customStyle="1" w:styleId="156">
    <w:name w:val="新图表正文 Char Char"/>
    <w:link w:val="157"/>
    <w:qFormat/>
    <w:uiPriority w:val="0"/>
    <w:rPr>
      <w:rFonts w:ascii="宋体" w:hAnsi="宋体"/>
      <w:sz w:val="18"/>
      <w:szCs w:val="21"/>
    </w:rPr>
  </w:style>
  <w:style w:type="paragraph" w:customStyle="1" w:styleId="157">
    <w:name w:val="新图表正文"/>
    <w:link w:val="156"/>
    <w:qFormat/>
    <w:uiPriority w:val="0"/>
    <w:pPr>
      <w:jc w:val="both"/>
    </w:pPr>
    <w:rPr>
      <w:rFonts w:ascii="宋体" w:hAnsi="宋体" w:eastAsia="微软雅黑" w:cs="宋体"/>
      <w:sz w:val="18"/>
      <w:szCs w:val="21"/>
      <w:lang w:val="en-US" w:eastAsia="zh-CN" w:bidi="ar-SA"/>
    </w:rPr>
  </w:style>
  <w:style w:type="character" w:customStyle="1" w:styleId="158">
    <w:name w:val="小四 段落 宋体 Char1"/>
    <w:qFormat/>
    <w:uiPriority w:val="0"/>
    <w:rPr>
      <w:rFonts w:eastAsia="宋体"/>
      <w:kern w:val="2"/>
      <w:sz w:val="24"/>
      <w:szCs w:val="24"/>
      <w:lang w:val="en-US" w:eastAsia="zh-CN" w:bidi="ar-SA"/>
    </w:rPr>
  </w:style>
  <w:style w:type="character" w:customStyle="1" w:styleId="159">
    <w:name w:val="param-value"/>
    <w:basedOn w:val="61"/>
    <w:qFormat/>
    <w:uiPriority w:val="0"/>
  </w:style>
  <w:style w:type="character" w:customStyle="1" w:styleId="160">
    <w:name w:val="已访问的超链接1"/>
    <w:qFormat/>
    <w:uiPriority w:val="0"/>
    <w:rPr>
      <w:color w:val="auto"/>
      <w:u w:val="none"/>
    </w:rPr>
  </w:style>
  <w:style w:type="character" w:customStyle="1" w:styleId="161">
    <w:name w:val="Char Char17"/>
    <w:qFormat/>
    <w:uiPriority w:val="0"/>
    <w:rPr>
      <w:rFonts w:ascii="宋体" w:hAnsi="Courier New"/>
      <w:kern w:val="2"/>
      <w:sz w:val="21"/>
      <w:szCs w:val="21"/>
    </w:rPr>
  </w:style>
  <w:style w:type="character" w:customStyle="1" w:styleId="162">
    <w:name w:val="l-selected"/>
    <w:basedOn w:val="61"/>
    <w:qFormat/>
    <w:uiPriority w:val="0"/>
    <w:rPr>
      <w:color w:val="355686"/>
      <w:bdr w:val="single" w:color="DAB364" w:sz="6" w:space="0"/>
      <w:shd w:val="clear" w:color="auto" w:fill="FFFFFF"/>
    </w:rPr>
  </w:style>
  <w:style w:type="character" w:customStyle="1" w:styleId="163">
    <w:name w:val="小四 段落 宋体 Char Char Char Char1"/>
    <w:qFormat/>
    <w:uiPriority w:val="0"/>
    <w:rPr>
      <w:rFonts w:eastAsia="宋体"/>
      <w:kern w:val="2"/>
      <w:sz w:val="24"/>
      <w:szCs w:val="24"/>
      <w:lang w:val="en-US" w:eastAsia="zh-CN" w:bidi="ar-SA"/>
    </w:rPr>
  </w:style>
  <w:style w:type="character" w:customStyle="1" w:styleId="164">
    <w:name w:val="Char Char27"/>
    <w:qFormat/>
    <w:uiPriority w:val="0"/>
    <w:rPr>
      <w:b/>
      <w:bCs/>
      <w:kern w:val="44"/>
      <w:sz w:val="44"/>
      <w:szCs w:val="44"/>
    </w:rPr>
  </w:style>
  <w:style w:type="character" w:customStyle="1" w:styleId="165">
    <w:name w:val="content_lineheight1"/>
    <w:basedOn w:val="61"/>
    <w:qFormat/>
    <w:uiPriority w:val="0"/>
  </w:style>
  <w:style w:type="character" w:customStyle="1" w:styleId="166">
    <w:name w:val="华宇段落1 Char Char Char"/>
    <w:qFormat/>
    <w:uiPriority w:val="0"/>
    <w:rPr>
      <w:rFonts w:eastAsia="宋体"/>
      <w:bCs/>
      <w:kern w:val="2"/>
      <w:sz w:val="24"/>
      <w:szCs w:val="24"/>
      <w:lang w:val="en-US" w:eastAsia="zh-CN" w:bidi="ar-SA"/>
    </w:rPr>
  </w:style>
  <w:style w:type="character" w:customStyle="1" w:styleId="167">
    <w:name w:val="明显引用 Char"/>
    <w:qFormat/>
    <w:uiPriority w:val="0"/>
    <w:rPr>
      <w:rFonts w:ascii="Calibri" w:hAnsi="Calibri" w:eastAsia="宋体"/>
      <w:b/>
      <w:bCs/>
      <w:i/>
      <w:iCs/>
      <w:sz w:val="22"/>
      <w:lang w:eastAsia="en-US" w:bidi="en-US"/>
    </w:rPr>
  </w:style>
  <w:style w:type="paragraph" w:styleId="168">
    <w:name w:val="Intense Quote"/>
    <w:basedOn w:val="1"/>
    <w:next w:val="1"/>
    <w:link w:val="169"/>
    <w:qFormat/>
    <w:uiPriority w:val="0"/>
    <w:pPr>
      <w:pBdr>
        <w:bottom w:val="single" w:color="auto" w:sz="4" w:space="1"/>
      </w:pBdr>
      <w:adjustRightInd/>
      <w:snapToGrid/>
      <w:spacing w:before="200" w:after="280" w:line="276" w:lineRule="auto"/>
      <w:ind w:left="1008" w:right="1152"/>
      <w:jc w:val="both"/>
    </w:pPr>
    <w:rPr>
      <w:rFonts w:ascii="Calibri" w:hAnsi="Calibri"/>
      <w:b/>
      <w:bCs/>
      <w:i/>
      <w:iCs/>
      <w:kern w:val="2"/>
      <w:lang w:eastAsia="en-US" w:bidi="en-US"/>
    </w:rPr>
  </w:style>
  <w:style w:type="character" w:customStyle="1" w:styleId="169">
    <w:name w:val="明显引用 Char1"/>
    <w:basedOn w:val="61"/>
    <w:link w:val="168"/>
    <w:qFormat/>
    <w:uiPriority w:val="30"/>
    <w:rPr>
      <w:rFonts w:ascii="Calibri" w:hAnsi="Calibri" w:eastAsia="宋体"/>
      <w:b/>
      <w:bCs/>
      <w:i/>
      <w:iCs/>
      <w:kern w:val="2"/>
      <w:lang w:eastAsia="en-US" w:bidi="en-US"/>
    </w:rPr>
  </w:style>
  <w:style w:type="character" w:customStyle="1" w:styleId="170">
    <w:name w:val="Char Char26"/>
    <w:qFormat/>
    <w:uiPriority w:val="0"/>
    <w:rPr>
      <w:b/>
      <w:bCs/>
      <w:kern w:val="2"/>
      <w:sz w:val="32"/>
      <w:szCs w:val="32"/>
    </w:rPr>
  </w:style>
  <w:style w:type="character" w:customStyle="1" w:styleId="171">
    <w:name w:val="表格抬头 Char"/>
    <w:link w:val="172"/>
    <w:qFormat/>
    <w:uiPriority w:val="0"/>
    <w:rPr>
      <w:rFonts w:ascii="黑体" w:eastAsia="黑体"/>
      <w:b/>
    </w:rPr>
  </w:style>
  <w:style w:type="paragraph" w:customStyle="1" w:styleId="172">
    <w:name w:val="表格抬头"/>
    <w:basedOn w:val="1"/>
    <w:link w:val="171"/>
    <w:qFormat/>
    <w:uiPriority w:val="0"/>
    <w:pPr>
      <w:widowControl w:val="0"/>
      <w:adjustRightInd/>
      <w:snapToGrid/>
      <w:jc w:val="center"/>
    </w:pPr>
    <w:rPr>
      <w:rFonts w:ascii="黑体" w:hAnsi="Calibri" w:eastAsia="黑体"/>
      <w:b/>
    </w:rPr>
  </w:style>
  <w:style w:type="character" w:customStyle="1" w:styleId="173">
    <w:name w:val="Char Char28"/>
    <w:qFormat/>
    <w:uiPriority w:val="0"/>
    <w:rPr>
      <w:rFonts w:ascii="Arial" w:hAnsi="Arial" w:eastAsia="黑体" w:cs="Arial"/>
      <w:b/>
      <w:bCs/>
      <w:sz w:val="32"/>
      <w:szCs w:val="32"/>
    </w:rPr>
  </w:style>
  <w:style w:type="character" w:customStyle="1" w:styleId="174">
    <w:name w:val="样式 非加粗"/>
    <w:qFormat/>
    <w:uiPriority w:val="0"/>
    <w:rPr>
      <w:rFonts w:eastAsia="宋体"/>
      <w:sz w:val="28"/>
    </w:rPr>
  </w:style>
  <w:style w:type="character" w:customStyle="1" w:styleId="175">
    <w:name w:val="Char Char24"/>
    <w:qFormat/>
    <w:uiPriority w:val="0"/>
    <w:rPr>
      <w:b/>
      <w:bCs/>
      <w:kern w:val="2"/>
      <w:sz w:val="28"/>
      <w:szCs w:val="28"/>
    </w:rPr>
  </w:style>
  <w:style w:type="character" w:customStyle="1" w:styleId="176">
    <w:name w:val="书籍标题1"/>
    <w:qFormat/>
    <w:uiPriority w:val="0"/>
    <w:rPr>
      <w:i/>
      <w:iCs/>
      <w:smallCaps/>
      <w:spacing w:val="5"/>
    </w:rPr>
  </w:style>
  <w:style w:type="character" w:customStyle="1" w:styleId="177">
    <w:name w:val="小四 段落 宋体 Char Char Char1"/>
    <w:qFormat/>
    <w:uiPriority w:val="0"/>
    <w:rPr>
      <w:rFonts w:ascii="宋体" w:hAnsi="宋体" w:eastAsia="宋体"/>
      <w:kern w:val="2"/>
      <w:sz w:val="24"/>
      <w:szCs w:val="24"/>
      <w:lang w:val="en-US" w:eastAsia="zh-CN" w:bidi="ar-SA"/>
    </w:rPr>
  </w:style>
  <w:style w:type="character" w:customStyle="1" w:styleId="178">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179">
    <w:name w:val="h Char Char"/>
    <w:qFormat/>
    <w:uiPriority w:val="0"/>
    <w:rPr>
      <w:rFonts w:eastAsia="宋体"/>
      <w:kern w:val="2"/>
      <w:sz w:val="18"/>
      <w:szCs w:val="18"/>
      <w:lang w:val="en-US" w:eastAsia="zh-CN" w:bidi="ar-SA"/>
    </w:rPr>
  </w:style>
  <w:style w:type="character" w:customStyle="1" w:styleId="180">
    <w:name w:val="特点 Char1"/>
    <w:qFormat/>
    <w:uiPriority w:val="0"/>
    <w:rPr>
      <w:rFonts w:eastAsia="宋体"/>
      <w:kern w:val="2"/>
      <w:sz w:val="21"/>
      <w:lang w:val="en-US" w:eastAsia="zh-CN" w:bidi="ar-SA"/>
    </w:rPr>
  </w:style>
  <w:style w:type="character" w:customStyle="1" w:styleId="181">
    <w:name w:val="无间隔 Char"/>
    <w:link w:val="182"/>
    <w:qFormat/>
    <w:uiPriority w:val="0"/>
    <w:rPr>
      <w:rFonts w:ascii="Calibri" w:hAnsi="Calibri"/>
      <w:sz w:val="24"/>
    </w:rPr>
  </w:style>
  <w:style w:type="paragraph" w:styleId="182">
    <w:name w:val="No Spacing"/>
    <w:link w:val="181"/>
    <w:qFormat/>
    <w:uiPriority w:val="0"/>
    <w:pPr>
      <w:widowControl w:val="0"/>
      <w:jc w:val="both"/>
    </w:pPr>
    <w:rPr>
      <w:rFonts w:ascii="Calibri" w:hAnsi="Calibri" w:eastAsia="微软雅黑" w:cs="宋体"/>
      <w:sz w:val="24"/>
      <w:szCs w:val="22"/>
      <w:lang w:val="en-US" w:eastAsia="zh-CN" w:bidi="ar-SA"/>
    </w:rPr>
  </w:style>
  <w:style w:type="character" w:customStyle="1" w:styleId="183">
    <w:name w:val="明显参考1"/>
    <w:qFormat/>
    <w:uiPriority w:val="0"/>
    <w:rPr>
      <w:smallCaps/>
      <w:spacing w:val="5"/>
      <w:u w:val="single"/>
    </w:rPr>
  </w:style>
  <w:style w:type="character" w:customStyle="1" w:styleId="184">
    <w:name w:val="textcontents"/>
    <w:basedOn w:val="61"/>
    <w:qFormat/>
    <w:uiPriority w:val="0"/>
  </w:style>
  <w:style w:type="character" w:customStyle="1" w:styleId="185">
    <w:name w:val="纯文本 Char Char Char"/>
    <w:qFormat/>
    <w:uiPriority w:val="0"/>
    <w:rPr>
      <w:rFonts w:ascii="宋体" w:hAnsi="Courier New" w:eastAsia="宋体"/>
      <w:kern w:val="2"/>
      <w:sz w:val="21"/>
      <w:szCs w:val="21"/>
      <w:lang w:val="en-US" w:eastAsia="zh-CN" w:bidi="ar-SA"/>
    </w:rPr>
  </w:style>
  <w:style w:type="character" w:customStyle="1" w:styleId="186">
    <w:name w:val="listbenefit"/>
    <w:qFormat/>
    <w:uiPriority w:val="0"/>
  </w:style>
  <w:style w:type="character" w:customStyle="1" w:styleId="187">
    <w:name w:val="样式 宋体 小四"/>
    <w:qFormat/>
    <w:uiPriority w:val="0"/>
    <w:rPr>
      <w:rFonts w:ascii="宋体" w:hAnsi="宋体"/>
      <w:sz w:val="24"/>
    </w:rPr>
  </w:style>
  <w:style w:type="character" w:customStyle="1" w:styleId="188">
    <w:name w:val="content"/>
    <w:basedOn w:val="61"/>
    <w:qFormat/>
    <w:uiPriority w:val="0"/>
  </w:style>
  <w:style w:type="character" w:customStyle="1" w:styleId="189">
    <w:name w:val="标准小四 Char"/>
    <w:qFormat/>
    <w:uiPriority w:val="0"/>
    <w:rPr>
      <w:rFonts w:ascii="Arial" w:hAnsi="Arial" w:eastAsia="宋体"/>
      <w:kern w:val="2"/>
      <w:sz w:val="24"/>
      <w:szCs w:val="21"/>
      <w:lang w:val="en-US" w:eastAsia="zh-CN" w:bidi="ar-SA"/>
    </w:rPr>
  </w:style>
  <w:style w:type="character" w:customStyle="1" w:styleId="190">
    <w:name w:val="不明显参考1"/>
    <w:qFormat/>
    <w:uiPriority w:val="0"/>
    <w:rPr>
      <w:smallCaps/>
    </w:rPr>
  </w:style>
  <w:style w:type="character" w:customStyle="1" w:styleId="191">
    <w:name w:val="纯文本 Char1"/>
    <w:qFormat/>
    <w:uiPriority w:val="0"/>
    <w:rPr>
      <w:rFonts w:ascii="宋体" w:hAnsi="Courier New" w:cs="Courier New"/>
      <w:kern w:val="2"/>
      <w:sz w:val="21"/>
      <w:szCs w:val="21"/>
    </w:rPr>
  </w:style>
  <w:style w:type="character" w:customStyle="1" w:styleId="192">
    <w:name w:val="Char Char25"/>
    <w:qFormat/>
    <w:uiPriority w:val="0"/>
    <w:rPr>
      <w:rFonts w:ascii="Arial" w:hAnsi="Arial" w:eastAsia="黑体"/>
      <w:b/>
      <w:kern w:val="2"/>
      <w:sz w:val="28"/>
    </w:rPr>
  </w:style>
  <w:style w:type="character" w:customStyle="1" w:styleId="193">
    <w:name w:val="Char Char29"/>
    <w:qFormat/>
    <w:uiPriority w:val="0"/>
    <w:rPr>
      <w:rFonts w:ascii="Times New Roman" w:hAnsi="Times New Roman" w:eastAsia="宋体" w:cs="Times New Roman"/>
      <w:b/>
      <w:bCs/>
      <w:kern w:val="44"/>
      <w:sz w:val="44"/>
      <w:szCs w:val="44"/>
    </w:rPr>
  </w:style>
  <w:style w:type="character" w:customStyle="1" w:styleId="194">
    <w:name w:val="Char Char2"/>
    <w:qFormat/>
    <w:uiPriority w:val="0"/>
    <w:rPr>
      <w:rFonts w:ascii="宋体" w:hAnsi="Courier New" w:eastAsia="宋体"/>
      <w:kern w:val="2"/>
      <w:sz w:val="21"/>
      <w:szCs w:val="21"/>
      <w:lang w:val="en-US" w:eastAsia="zh-CN" w:bidi="ar-SA"/>
    </w:rPr>
  </w:style>
  <w:style w:type="character" w:customStyle="1" w:styleId="195">
    <w:name w:val="Char Char22"/>
    <w:qFormat/>
    <w:uiPriority w:val="0"/>
    <w:rPr>
      <w:b/>
      <w:bCs/>
      <w:kern w:val="2"/>
      <w:sz w:val="24"/>
      <w:szCs w:val="24"/>
    </w:rPr>
  </w:style>
  <w:style w:type="character" w:customStyle="1" w:styleId="196">
    <w:name w:val="样式 首行缩进:  2 字符 Char Char"/>
    <w:link w:val="197"/>
    <w:qFormat/>
    <w:uiPriority w:val="0"/>
    <w:rPr>
      <w:rFonts w:eastAsia="宋体" w:cs="宋体"/>
      <w:sz w:val="24"/>
    </w:rPr>
  </w:style>
  <w:style w:type="paragraph" w:customStyle="1" w:styleId="197">
    <w:name w:val="样式 首行缩进:  2 字符"/>
    <w:basedOn w:val="1"/>
    <w:link w:val="196"/>
    <w:qFormat/>
    <w:uiPriority w:val="0"/>
    <w:pPr>
      <w:widowControl w:val="0"/>
      <w:adjustRightInd/>
      <w:snapToGrid/>
      <w:ind w:firstLine="480"/>
      <w:jc w:val="both"/>
    </w:pPr>
    <w:rPr>
      <w:rFonts w:ascii="Calibri" w:hAnsi="Calibri"/>
    </w:rPr>
  </w:style>
  <w:style w:type="character" w:customStyle="1" w:styleId="198">
    <w:name w:val="subtitle1"/>
    <w:qFormat/>
    <w:uiPriority w:val="0"/>
    <w:rPr>
      <w:rFonts w:hint="default" w:ascii="Georgia" w:hAnsi="Georgia"/>
      <w:b/>
      <w:bCs/>
      <w:color w:val="666666"/>
      <w:sz w:val="18"/>
      <w:szCs w:val="18"/>
    </w:rPr>
  </w:style>
  <w:style w:type="character" w:customStyle="1" w:styleId="199">
    <w:name w:val="3zw"/>
    <w:basedOn w:val="61"/>
    <w:qFormat/>
    <w:uiPriority w:val="0"/>
  </w:style>
  <w:style w:type="character" w:customStyle="1" w:styleId="200">
    <w:name w:val="标准文本 Char"/>
    <w:qFormat/>
    <w:uiPriority w:val="0"/>
    <w:rPr>
      <w:rFonts w:eastAsia="宋体" w:cs="宋体"/>
      <w:kern w:val="2"/>
      <w:sz w:val="24"/>
      <w:szCs w:val="24"/>
      <w:lang w:val="en-US" w:eastAsia="zh-CN" w:bidi="ar-SA"/>
    </w:rPr>
  </w:style>
  <w:style w:type="character" w:customStyle="1" w:styleId="201">
    <w:name w:val="小四 段落 宋体 Char Char Char Char Char"/>
    <w:qFormat/>
    <w:uiPriority w:val="0"/>
    <w:rPr>
      <w:rFonts w:eastAsia="宋体"/>
      <w:kern w:val="2"/>
      <w:sz w:val="24"/>
      <w:szCs w:val="24"/>
      <w:lang w:val="en-US" w:eastAsia="zh-CN" w:bidi="ar-SA"/>
    </w:rPr>
  </w:style>
  <w:style w:type="character" w:customStyle="1" w:styleId="202">
    <w:name w:val="普通文字1 Char"/>
    <w:qFormat/>
    <w:uiPriority w:val="0"/>
    <w:rPr>
      <w:rFonts w:ascii="宋体" w:eastAsia="宋体"/>
      <w:kern w:val="2"/>
      <w:sz w:val="21"/>
      <w:szCs w:val="21"/>
      <w:lang w:val="en-US" w:eastAsia="zh-CN" w:bidi="ar-SA"/>
    </w:rPr>
  </w:style>
  <w:style w:type="character" w:customStyle="1" w:styleId="203">
    <w:name w:val="纯文本 Char Char"/>
    <w:qFormat/>
    <w:uiPriority w:val="0"/>
    <w:rPr>
      <w:rFonts w:ascii="宋体" w:hAnsi="Courier New" w:eastAsia="宋体"/>
      <w:kern w:val="2"/>
      <w:sz w:val="21"/>
      <w:szCs w:val="21"/>
      <w:lang w:val="en-US" w:eastAsia="zh-CN" w:bidi="ar-SA"/>
    </w:rPr>
  </w:style>
  <w:style w:type="character" w:customStyle="1" w:styleId="204">
    <w:name w:val="华宇段落1 Char Char"/>
    <w:qFormat/>
    <w:uiPriority w:val="0"/>
    <w:rPr>
      <w:rFonts w:eastAsia="宋体"/>
      <w:bCs/>
      <w:kern w:val="2"/>
      <w:sz w:val="24"/>
      <w:szCs w:val="24"/>
      <w:lang w:val="en-US" w:eastAsia="zh-CN" w:bidi="ar-SA"/>
    </w:rPr>
  </w:style>
  <w:style w:type="character" w:customStyle="1" w:styleId="205">
    <w:name w:val="Char Char20"/>
    <w:qFormat/>
    <w:uiPriority w:val="0"/>
    <w:rPr>
      <w:rFonts w:ascii="Arial" w:hAnsi="Arial" w:eastAsia="黑体"/>
      <w:kern w:val="2"/>
      <w:sz w:val="21"/>
      <w:szCs w:val="21"/>
    </w:rPr>
  </w:style>
  <w:style w:type="character" w:customStyle="1" w:styleId="206">
    <w:name w:val="case31"/>
    <w:qFormat/>
    <w:uiPriority w:val="0"/>
    <w:rPr>
      <w:sz w:val="21"/>
      <w:szCs w:val="21"/>
    </w:rPr>
  </w:style>
  <w:style w:type="paragraph" w:customStyle="1" w:styleId="207">
    <w:name w:val="font13"/>
    <w:basedOn w:val="1"/>
    <w:qFormat/>
    <w:uiPriority w:val="0"/>
    <w:pPr>
      <w:adjustRightInd/>
      <w:snapToGrid/>
      <w:spacing w:before="100" w:beforeAutospacing="1" w:after="100" w:afterAutospacing="1"/>
    </w:pPr>
    <w:rPr>
      <w:rFonts w:ascii="Times New Roman" w:hAnsi="Times New Roman" w:cs="Times New Roman"/>
      <w:i/>
      <w:iCs/>
      <w:sz w:val="36"/>
      <w:szCs w:val="36"/>
    </w:rPr>
  </w:style>
  <w:style w:type="paragraph" w:customStyle="1" w:styleId="208">
    <w:name w:val="样式2"/>
    <w:basedOn w:val="1"/>
    <w:qFormat/>
    <w:uiPriority w:val="0"/>
    <w:pPr>
      <w:widowControl w:val="0"/>
      <w:adjustRightInd/>
      <w:snapToGrid/>
      <w:ind w:left="200" w:leftChars="200"/>
      <w:jc w:val="both"/>
    </w:pPr>
    <w:rPr>
      <w:rFonts w:ascii="宋体" w:hAnsi="宋体" w:cs="Times New Roman"/>
      <w:b/>
      <w:kern w:val="2"/>
      <w:szCs w:val="24"/>
    </w:rPr>
  </w:style>
  <w:style w:type="paragraph" w:customStyle="1" w:styleId="209">
    <w:name w:val="样式 段后: 0.25 行"/>
    <w:basedOn w:val="1"/>
    <w:qFormat/>
    <w:uiPriority w:val="0"/>
    <w:pPr>
      <w:adjustRightInd/>
      <w:snapToGrid/>
      <w:spacing w:afterLines="25" w:line="300" w:lineRule="auto"/>
      <w:ind w:firstLine="420"/>
    </w:pPr>
    <w:rPr>
      <w:rFonts w:ascii="Arial" w:hAnsi="Arial"/>
      <w:szCs w:val="20"/>
      <w:lang w:eastAsia="en-US" w:bidi="en-US"/>
    </w:rPr>
  </w:style>
  <w:style w:type="paragraph" w:customStyle="1" w:styleId="210">
    <w:name w:val="标题5，章节第五层"/>
    <w:basedOn w:val="1"/>
    <w:next w:val="1"/>
    <w:qFormat/>
    <w:uiPriority w:val="0"/>
    <w:pPr>
      <w:widowControl w:val="0"/>
      <w:tabs>
        <w:tab w:val="left" w:pos="1050"/>
        <w:tab w:val="left" w:pos="2100"/>
      </w:tabs>
      <w:adjustRightInd/>
      <w:snapToGrid/>
      <w:spacing w:before="78"/>
      <w:ind w:left="2100" w:hanging="420"/>
      <w:jc w:val="both"/>
      <w:outlineLvl w:val="4"/>
    </w:pPr>
    <w:rPr>
      <w:rFonts w:ascii="Arial" w:hAnsi="Arial" w:eastAsia="华文细黑" w:cs="Times New Roman"/>
      <w:kern w:val="2"/>
      <w:sz w:val="30"/>
      <w:szCs w:val="24"/>
    </w:rPr>
  </w:style>
  <w:style w:type="paragraph" w:customStyle="1" w:styleId="211">
    <w:name w:val="xl38"/>
    <w:basedOn w:val="1"/>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pPr>
    <w:rPr>
      <w:rFonts w:ascii="宋体" w:hAnsi="宋体"/>
      <w:b/>
      <w:bCs/>
      <w:sz w:val="20"/>
      <w:szCs w:val="20"/>
    </w:rPr>
  </w:style>
  <w:style w:type="paragraph" w:customStyle="1" w:styleId="212">
    <w:name w:val="Char1"/>
    <w:basedOn w:val="1"/>
    <w:qFormat/>
    <w:uiPriority w:val="0"/>
    <w:pPr>
      <w:widowControl w:val="0"/>
      <w:adjustRightInd/>
      <w:snapToGrid/>
      <w:jc w:val="both"/>
    </w:pPr>
    <w:rPr>
      <w:rFonts w:ascii="仿宋_GB2312" w:hAnsi="宋体" w:eastAsia="仿宋_GB2312"/>
      <w:b/>
      <w:kern w:val="2"/>
      <w:sz w:val="32"/>
      <w:szCs w:val="32"/>
    </w:rPr>
  </w:style>
  <w:style w:type="paragraph" w:customStyle="1" w:styleId="213">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214">
    <w:name w:val="xl61"/>
    <w:basedOn w:val="1"/>
    <w:qFormat/>
    <w:uiPriority w:val="0"/>
    <w:pPr>
      <w:pBdr>
        <w:top w:val="single" w:color="auto" w:sz="4" w:space="0"/>
        <w:bottom w:val="single" w:color="auto" w:sz="4" w:space="0"/>
      </w:pBdr>
      <w:shd w:val="clear" w:color="auto" w:fill="969696"/>
      <w:adjustRightInd/>
      <w:snapToGrid/>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215">
    <w:name w:val="正文 + 宋体"/>
    <w:basedOn w:val="1"/>
    <w:qFormat/>
    <w:uiPriority w:val="0"/>
    <w:pPr>
      <w:widowControl w:val="0"/>
      <w:adjustRightInd/>
      <w:snapToGrid/>
      <w:ind w:firstLine="420"/>
      <w:jc w:val="both"/>
    </w:pPr>
    <w:rPr>
      <w:rFonts w:ascii="Times New Roman" w:hAnsi="Times New Roman" w:cs="Times New Roman"/>
      <w:kern w:val="2"/>
      <w:sz w:val="21"/>
      <w:szCs w:val="24"/>
    </w:rPr>
  </w:style>
  <w:style w:type="paragraph" w:customStyle="1" w:styleId="216">
    <w:name w:val="Char Char1 Char"/>
    <w:basedOn w:val="1"/>
    <w:qFormat/>
    <w:uiPriority w:val="0"/>
    <w:pPr>
      <w:adjustRightInd/>
      <w:snapToGrid/>
      <w:spacing w:after="160" w:line="240" w:lineRule="exact"/>
    </w:pPr>
    <w:rPr>
      <w:rFonts w:ascii="Verdana" w:hAnsi="Verdana" w:cs="Times New Roman"/>
      <w:sz w:val="20"/>
      <w:szCs w:val="20"/>
      <w:lang w:eastAsia="en-US"/>
    </w:rPr>
  </w:style>
  <w:style w:type="paragraph" w:customStyle="1" w:styleId="217">
    <w:name w:val="样式 样式 标题 3H3sect1.2.3BOD 0Heading 3 - oldh3l3CTLevel 3 Head... +..."/>
    <w:basedOn w:val="1"/>
    <w:qFormat/>
    <w:uiPriority w:val="0"/>
    <w:pPr>
      <w:keepNext/>
      <w:keepLines/>
      <w:widowControl w:val="0"/>
      <w:adjustRightInd/>
      <w:snapToGrid/>
      <w:spacing w:beforeLines="50" w:afterLines="50"/>
      <w:outlineLvl w:val="2"/>
    </w:pPr>
    <w:rPr>
      <w:rFonts w:ascii="Times New Roman" w:hAnsi="Times New Roman"/>
      <w:b/>
      <w:bCs/>
      <w:kern w:val="2"/>
      <w:szCs w:val="20"/>
    </w:rPr>
  </w:style>
  <w:style w:type="paragraph" w:customStyle="1" w:styleId="218">
    <w:name w:val="content_lineheight"/>
    <w:basedOn w:val="1"/>
    <w:qFormat/>
    <w:uiPriority w:val="0"/>
    <w:pPr>
      <w:adjustRightInd/>
      <w:snapToGrid/>
      <w:spacing w:before="100" w:beforeAutospacing="1" w:after="100" w:afterAutospacing="1"/>
    </w:pPr>
    <w:rPr>
      <w:rFonts w:ascii="宋体" w:hAnsi="宋体" w:cs="Times New Roman"/>
      <w:szCs w:val="24"/>
    </w:rPr>
  </w:style>
  <w:style w:type="paragraph" w:customStyle="1" w:styleId="219">
    <w:name w:val="Body Text 21"/>
    <w:basedOn w:val="1"/>
    <w:qFormat/>
    <w:uiPriority w:val="0"/>
    <w:pPr>
      <w:overflowPunct w:val="0"/>
      <w:autoSpaceDE w:val="0"/>
      <w:autoSpaceDN w:val="0"/>
      <w:snapToGrid/>
      <w:ind w:left="720" w:hanging="720"/>
      <w:jc w:val="both"/>
      <w:textAlignment w:val="baseline"/>
    </w:pPr>
    <w:rPr>
      <w:rFonts w:ascii="Times New Roman" w:hAnsi="Times New Roman" w:cs="Times New Roman"/>
      <w:szCs w:val="20"/>
      <w:lang w:val="en-GB"/>
    </w:rPr>
  </w:style>
  <w:style w:type="paragraph" w:customStyle="1" w:styleId="220">
    <w:name w:val="Char Char Char Char Char Char Char Char"/>
    <w:basedOn w:val="1"/>
    <w:qFormat/>
    <w:uiPriority w:val="0"/>
    <w:pPr>
      <w:widowControl w:val="0"/>
      <w:adjustRightInd/>
      <w:snapToGrid/>
      <w:jc w:val="both"/>
    </w:pPr>
    <w:rPr>
      <w:rFonts w:cs="Times New Roman"/>
      <w:kern w:val="2"/>
      <w:szCs w:val="20"/>
    </w:rPr>
  </w:style>
  <w:style w:type="paragraph" w:customStyle="1" w:styleId="221">
    <w:name w:val="font5"/>
    <w:basedOn w:val="1"/>
    <w:qFormat/>
    <w:uiPriority w:val="0"/>
    <w:pPr>
      <w:adjustRightInd/>
      <w:snapToGrid/>
      <w:spacing w:before="100" w:beforeAutospacing="1" w:after="100" w:afterAutospacing="1"/>
    </w:pPr>
    <w:rPr>
      <w:rFonts w:ascii="宋体" w:hAnsi="宋体"/>
      <w:sz w:val="18"/>
      <w:szCs w:val="18"/>
    </w:rPr>
  </w:style>
  <w:style w:type="paragraph" w:customStyle="1" w:styleId="222">
    <w:name w:val="font14"/>
    <w:basedOn w:val="1"/>
    <w:qFormat/>
    <w:uiPriority w:val="0"/>
    <w:pPr>
      <w:adjustRightInd/>
      <w:snapToGrid/>
      <w:spacing w:before="100" w:beforeAutospacing="1" w:after="100" w:afterAutospacing="1"/>
    </w:pPr>
    <w:rPr>
      <w:rFonts w:ascii="Times New Roman" w:hAnsi="Times New Roman" w:cs="Times New Roman"/>
      <w:sz w:val="36"/>
      <w:szCs w:val="36"/>
    </w:rPr>
  </w:style>
  <w:style w:type="paragraph" w:customStyle="1" w:styleId="223">
    <w:name w:val="段落"/>
    <w:basedOn w:val="1"/>
    <w:qFormat/>
    <w:uiPriority w:val="0"/>
    <w:pPr>
      <w:widowControl w:val="0"/>
      <w:adjustRightInd/>
      <w:snapToGrid/>
      <w:spacing w:line="460" w:lineRule="exact"/>
      <w:ind w:firstLine="480"/>
      <w:jc w:val="both"/>
    </w:pPr>
    <w:rPr>
      <w:rFonts w:ascii="Times New Roman" w:hAnsi="Times New Roman" w:cs="Times New Roman"/>
      <w:kern w:val="2"/>
      <w:szCs w:val="20"/>
    </w:rPr>
  </w:style>
  <w:style w:type="paragraph" w:customStyle="1" w:styleId="224">
    <w:name w:val="正文文本 New New"/>
    <w:basedOn w:val="1"/>
    <w:qFormat/>
    <w:uiPriority w:val="0"/>
    <w:pPr>
      <w:adjustRightInd/>
      <w:snapToGrid/>
      <w:spacing w:before="60" w:after="60"/>
      <w:jc w:val="both"/>
    </w:pPr>
    <w:rPr>
      <w:rFonts w:ascii="Times New Roman" w:hAnsi="Times New Roman" w:eastAsia="华文楷体" w:cs="Times New Roman"/>
      <w:kern w:val="2"/>
      <w:szCs w:val="24"/>
    </w:rPr>
  </w:style>
  <w:style w:type="paragraph" w:customStyle="1" w:styleId="225">
    <w:name w:val="Char Char"/>
    <w:basedOn w:val="1"/>
    <w:qFormat/>
    <w:uiPriority w:val="0"/>
    <w:pPr>
      <w:widowControl w:val="0"/>
      <w:adjustRightInd/>
      <w:snapToGrid/>
      <w:jc w:val="both"/>
    </w:pPr>
    <w:rPr>
      <w:rFonts w:cs="Times New Roman"/>
      <w:kern w:val="2"/>
      <w:szCs w:val="20"/>
    </w:rPr>
  </w:style>
  <w:style w:type="paragraph" w:customStyle="1" w:styleId="226">
    <w:name w:val="Pa6"/>
    <w:basedOn w:val="1"/>
    <w:next w:val="1"/>
    <w:qFormat/>
    <w:uiPriority w:val="0"/>
    <w:pPr>
      <w:widowControl w:val="0"/>
      <w:autoSpaceDE w:val="0"/>
      <w:autoSpaceDN w:val="0"/>
      <w:snapToGrid/>
      <w:spacing w:line="241" w:lineRule="atLeast"/>
    </w:pPr>
    <w:rPr>
      <w:rFonts w:ascii="HYDaHeiJ" w:hAnsi="Times New Roman" w:eastAsia="HYDaHeiJ" w:cs="Times New Roman"/>
      <w:szCs w:val="24"/>
    </w:rPr>
  </w:style>
  <w:style w:type="paragraph" w:customStyle="1" w:styleId="227">
    <w:name w:val="Bullets L1"/>
    <w:basedOn w:val="1"/>
    <w:qFormat/>
    <w:uiPriority w:val="0"/>
    <w:pPr>
      <w:numPr>
        <w:ilvl w:val="0"/>
        <w:numId w:val="1"/>
      </w:numPr>
      <w:adjustRightInd/>
      <w:snapToGrid/>
      <w:spacing w:before="60" w:after="60"/>
    </w:pPr>
    <w:rPr>
      <w:rFonts w:ascii="Arial" w:hAnsi="Arial" w:cs="Times New Roman"/>
      <w:sz w:val="20"/>
      <w:szCs w:val="20"/>
    </w:rPr>
  </w:style>
  <w:style w:type="paragraph" w:customStyle="1" w:styleId="228">
    <w:name w:val="中等深浅网格 1 - 强调文字颜色 21"/>
    <w:basedOn w:val="1"/>
    <w:qFormat/>
    <w:uiPriority w:val="0"/>
    <w:pPr>
      <w:widowControl w:val="0"/>
      <w:adjustRightInd/>
      <w:snapToGrid/>
      <w:ind w:firstLine="420"/>
      <w:jc w:val="both"/>
    </w:pPr>
    <w:rPr>
      <w:rFonts w:ascii="Calibri" w:hAnsi="Calibri" w:cs="Times New Roman"/>
      <w:kern w:val="2"/>
      <w:sz w:val="21"/>
    </w:rPr>
  </w:style>
  <w:style w:type="paragraph" w:customStyle="1" w:styleId="229">
    <w:name w:val="7"/>
    <w:basedOn w:val="1"/>
    <w:next w:val="54"/>
    <w:qFormat/>
    <w:uiPriority w:val="0"/>
    <w:pPr>
      <w:adjustRightInd/>
      <w:snapToGrid/>
      <w:spacing w:before="100" w:beforeAutospacing="1" w:after="100" w:afterAutospacing="1"/>
    </w:pPr>
    <w:rPr>
      <w:rFonts w:ascii="宋体" w:hAnsi="宋体" w:cs="Times New Roman"/>
      <w:szCs w:val="20"/>
    </w:rPr>
  </w:style>
  <w:style w:type="paragraph" w:customStyle="1" w:styleId="230">
    <w:name w:val="xl51"/>
    <w:basedOn w:val="1"/>
    <w:qFormat/>
    <w:uiPriority w:val="0"/>
    <w:pPr>
      <w:pBdr>
        <w:top w:val="single" w:color="auto" w:sz="4" w:space="0"/>
        <w:left w:val="single" w:color="auto" w:sz="4" w:space="0"/>
        <w:bottom w:val="single" w:color="auto" w:sz="4" w:space="0"/>
      </w:pBdr>
      <w:shd w:val="clear" w:color="auto" w:fill="969696"/>
      <w:adjustRightInd/>
      <w:snapToGrid/>
      <w:spacing w:before="100" w:beforeAutospacing="1" w:after="100" w:afterAutospacing="1"/>
      <w:jc w:val="center"/>
    </w:pPr>
    <w:rPr>
      <w:rFonts w:ascii="Times New Roman" w:hAnsi="Times New Roman" w:cs="Times New Roman"/>
      <w:b/>
      <w:bCs/>
      <w:i/>
      <w:iCs/>
      <w:sz w:val="20"/>
      <w:szCs w:val="20"/>
    </w:rPr>
  </w:style>
  <w:style w:type="paragraph" w:customStyle="1" w:styleId="231">
    <w:name w:val="xl60"/>
    <w:basedOn w:val="1"/>
    <w:qFormat/>
    <w:uiPriority w:val="0"/>
    <w:pPr>
      <w:pBdr>
        <w:top w:val="single" w:color="auto" w:sz="4" w:space="0"/>
        <w:left w:val="single" w:color="auto" w:sz="4" w:space="0"/>
        <w:bottom w:val="single" w:color="auto" w:sz="4" w:space="0"/>
      </w:pBdr>
      <w:shd w:val="clear" w:color="auto" w:fill="969696"/>
      <w:adjustRightInd/>
      <w:snapToGrid/>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232">
    <w:name w:val="符号与编号"/>
    <w:basedOn w:val="1"/>
    <w:qFormat/>
    <w:uiPriority w:val="0"/>
    <w:pPr>
      <w:widowControl w:val="0"/>
      <w:tabs>
        <w:tab w:val="left" w:pos="900"/>
      </w:tabs>
      <w:adjustRightInd/>
      <w:snapToGrid/>
      <w:spacing w:afterLines="50" w:line="400" w:lineRule="atLeast"/>
      <w:ind w:left="900" w:hanging="420"/>
      <w:jc w:val="both"/>
    </w:pPr>
    <w:rPr>
      <w:rFonts w:ascii="Times New Roman" w:hAnsi="Times New Roman" w:cs="Times New Roman"/>
      <w:kern w:val="2"/>
      <w:szCs w:val="24"/>
    </w:rPr>
  </w:style>
  <w:style w:type="paragraph" w:customStyle="1" w:styleId="233">
    <w:name w:val="纯文本1"/>
    <w:basedOn w:val="1"/>
    <w:qFormat/>
    <w:uiPriority w:val="0"/>
    <w:pPr>
      <w:widowControl w:val="0"/>
      <w:snapToGrid/>
      <w:jc w:val="both"/>
      <w:textAlignment w:val="baseline"/>
    </w:pPr>
    <w:rPr>
      <w:rFonts w:ascii="宋体" w:hAnsi="宋体" w:eastAsia="楷体_GB2312"/>
      <w:kern w:val="2"/>
      <w:sz w:val="28"/>
      <w:szCs w:val="20"/>
    </w:rPr>
  </w:style>
  <w:style w:type="paragraph" w:customStyle="1" w:styleId="234">
    <w:name w:val="Char Char Char Char Char Char"/>
    <w:basedOn w:val="1"/>
    <w:qFormat/>
    <w:uiPriority w:val="0"/>
    <w:pPr>
      <w:widowControl w:val="0"/>
      <w:adjustRightInd/>
      <w:snapToGrid/>
      <w:jc w:val="both"/>
    </w:pPr>
    <w:rPr>
      <w:rFonts w:cs="Tahoma"/>
      <w:kern w:val="2"/>
      <w:szCs w:val="20"/>
    </w:rPr>
  </w:style>
  <w:style w:type="paragraph" w:customStyle="1" w:styleId="235">
    <w:name w:val="Char2"/>
    <w:basedOn w:val="1"/>
    <w:qFormat/>
    <w:uiPriority w:val="0"/>
    <w:pPr>
      <w:widowControl w:val="0"/>
      <w:adjustRightInd/>
      <w:snapToGrid/>
      <w:spacing w:afterLines="50"/>
      <w:jc w:val="both"/>
    </w:pPr>
    <w:rPr>
      <w:rFonts w:cs="Times New Roman"/>
      <w:kern w:val="2"/>
      <w:szCs w:val="20"/>
    </w:rPr>
  </w:style>
  <w:style w:type="paragraph" w:customStyle="1" w:styleId="236">
    <w:name w:val="公文正文"/>
    <w:basedOn w:val="22"/>
    <w:qFormat/>
    <w:uiPriority w:val="0"/>
    <w:pPr>
      <w:ind w:firstLine="200"/>
    </w:pPr>
    <w:rPr>
      <w:rFonts w:ascii="仿宋_GB2312" w:hAnsi="宋体" w:eastAsia="仿宋_GB2312"/>
      <w:kern w:val="28"/>
      <w:sz w:val="28"/>
      <w:szCs w:val="24"/>
    </w:rPr>
  </w:style>
  <w:style w:type="paragraph" w:customStyle="1" w:styleId="237">
    <w:name w:val="Char Char Char"/>
    <w:basedOn w:val="1"/>
    <w:qFormat/>
    <w:uiPriority w:val="0"/>
    <w:pPr>
      <w:widowControl w:val="0"/>
      <w:adjustRightInd/>
      <w:snapToGrid/>
      <w:jc w:val="both"/>
    </w:pPr>
    <w:rPr>
      <w:rFonts w:cs="Times New Roman"/>
      <w:kern w:val="2"/>
      <w:szCs w:val="20"/>
    </w:rPr>
  </w:style>
  <w:style w:type="paragraph" w:customStyle="1" w:styleId="238">
    <w:name w:val="样式 样式 首行缩进:  2 字符 + 行距: 1.5 倍行距"/>
    <w:basedOn w:val="1"/>
    <w:qFormat/>
    <w:uiPriority w:val="0"/>
    <w:pPr>
      <w:widowControl w:val="0"/>
      <w:adjustRightInd/>
      <w:snapToGrid/>
      <w:ind w:firstLine="470" w:firstLineChars="196"/>
      <w:jc w:val="both"/>
    </w:pPr>
    <w:rPr>
      <w:rFonts w:ascii="Times New Roman" w:hAnsi="Times New Roman" w:cs="Times New Roman"/>
      <w:kern w:val="2"/>
      <w:szCs w:val="20"/>
    </w:rPr>
  </w:style>
  <w:style w:type="paragraph" w:customStyle="1" w:styleId="239">
    <w:name w:val="xl49"/>
    <w:basedOn w:val="1"/>
    <w:qFormat/>
    <w:uiPriority w:val="0"/>
    <w:pPr>
      <w:pBdr>
        <w:left w:val="single" w:color="auto" w:sz="4" w:space="0"/>
        <w:right w:val="single" w:color="auto" w:sz="4" w:space="0"/>
      </w:pBdr>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240">
    <w:name w:val="正文2"/>
    <w:basedOn w:val="1"/>
    <w:qFormat/>
    <w:uiPriority w:val="0"/>
    <w:pPr>
      <w:widowControl w:val="0"/>
      <w:adjustRightInd/>
      <w:snapToGrid/>
      <w:spacing w:before="156"/>
      <w:ind w:firstLine="510"/>
      <w:jc w:val="both"/>
    </w:pPr>
    <w:rPr>
      <w:rFonts w:ascii="Times New Roman" w:hAnsi="Times New Roman" w:cs="Times New Roman"/>
      <w:kern w:val="2"/>
      <w:szCs w:val="20"/>
    </w:rPr>
  </w:style>
  <w:style w:type="paragraph" w:customStyle="1" w:styleId="241">
    <w:name w:val="正文缩进2字符"/>
    <w:basedOn w:val="1"/>
    <w:qFormat/>
    <w:uiPriority w:val="0"/>
    <w:pPr>
      <w:widowControl w:val="0"/>
      <w:spacing w:line="300" w:lineRule="auto"/>
      <w:jc w:val="both"/>
    </w:pPr>
    <w:rPr>
      <w:rFonts w:ascii="仿宋_GB2312" w:hAnsi="Times New Roman" w:eastAsia="仿宋_GB2312" w:cs="Times New Roman"/>
      <w:kern w:val="2"/>
      <w:sz w:val="32"/>
      <w:szCs w:val="32"/>
    </w:rPr>
  </w:style>
  <w:style w:type="paragraph" w:customStyle="1" w:styleId="242">
    <w:name w:val="样式1"/>
    <w:basedOn w:val="1"/>
    <w:qFormat/>
    <w:uiPriority w:val="0"/>
    <w:pPr>
      <w:widowControl w:val="0"/>
      <w:adjustRightInd/>
      <w:snapToGrid/>
      <w:spacing w:line="300" w:lineRule="auto"/>
      <w:ind w:firstLine="480"/>
      <w:jc w:val="both"/>
    </w:pPr>
    <w:rPr>
      <w:rFonts w:ascii="Times New Roman" w:hAnsi="Times New Roman" w:cs="Times New Roman"/>
      <w:kern w:val="2"/>
      <w:szCs w:val="24"/>
    </w:rPr>
  </w:style>
  <w:style w:type="paragraph" w:customStyle="1" w:styleId="243">
    <w:name w:val="xl52"/>
    <w:basedOn w:val="1"/>
    <w:qFormat/>
    <w:uiPriority w:val="0"/>
    <w:pPr>
      <w:pBdr>
        <w:top w:val="single" w:color="auto" w:sz="4" w:space="0"/>
        <w:bottom w:val="single" w:color="auto" w:sz="4" w:space="0"/>
      </w:pBdr>
      <w:shd w:val="clear" w:color="auto" w:fill="969696"/>
      <w:adjustRightInd/>
      <w:snapToGrid/>
      <w:spacing w:before="100" w:beforeAutospacing="1" w:after="100" w:afterAutospacing="1"/>
      <w:jc w:val="center"/>
    </w:pPr>
    <w:rPr>
      <w:rFonts w:ascii="Times New Roman" w:hAnsi="Times New Roman" w:cs="Times New Roman"/>
      <w:b/>
      <w:bCs/>
      <w:i/>
      <w:iCs/>
      <w:sz w:val="20"/>
      <w:szCs w:val="20"/>
    </w:rPr>
  </w:style>
  <w:style w:type="paragraph" w:customStyle="1" w:styleId="244">
    <w:name w:val="Char Char Char Char Char Char Char Char Char Char Char"/>
    <w:basedOn w:val="1"/>
    <w:qFormat/>
    <w:uiPriority w:val="0"/>
    <w:pPr>
      <w:widowControl w:val="0"/>
      <w:adjustRightInd/>
      <w:snapToGrid/>
      <w:jc w:val="both"/>
    </w:pPr>
    <w:rPr>
      <w:rFonts w:cs="Times New Roman"/>
      <w:kern w:val="2"/>
      <w:szCs w:val="20"/>
    </w:rPr>
  </w:style>
  <w:style w:type="paragraph" w:customStyle="1" w:styleId="245">
    <w:name w:val="方案正文"/>
    <w:basedOn w:val="1"/>
    <w:qFormat/>
    <w:uiPriority w:val="0"/>
    <w:pPr>
      <w:widowControl w:val="0"/>
      <w:adjustRightInd/>
      <w:snapToGrid/>
      <w:spacing w:before="156"/>
      <w:ind w:firstLine="359" w:firstLineChars="171"/>
    </w:pPr>
    <w:rPr>
      <w:rFonts w:ascii="Arial" w:hAnsi="Arial"/>
      <w:kern w:val="2"/>
      <w:szCs w:val="21"/>
    </w:rPr>
  </w:style>
  <w:style w:type="paragraph" w:customStyle="1" w:styleId="246">
    <w:name w:val="font8"/>
    <w:basedOn w:val="1"/>
    <w:qFormat/>
    <w:uiPriority w:val="0"/>
    <w:pPr>
      <w:adjustRightInd/>
      <w:snapToGrid/>
      <w:spacing w:before="100" w:beforeAutospacing="1" w:after="100" w:afterAutospacing="1"/>
    </w:pPr>
    <w:rPr>
      <w:rFonts w:ascii="宋体" w:hAnsi="宋体"/>
      <w:b/>
      <w:bCs/>
      <w:i/>
      <w:iCs/>
      <w:sz w:val="20"/>
      <w:szCs w:val="20"/>
    </w:rPr>
  </w:style>
  <w:style w:type="paragraph" w:customStyle="1" w:styleId="247">
    <w:name w:val="zw"/>
    <w:basedOn w:val="1"/>
    <w:qFormat/>
    <w:uiPriority w:val="0"/>
    <w:pPr>
      <w:adjustRightInd/>
      <w:snapToGrid/>
      <w:ind w:firstLine="480"/>
    </w:pPr>
    <w:rPr>
      <w:rFonts w:ascii="宋体" w:hAnsi="宋体" w:cs="Times New Roman"/>
      <w:bCs/>
      <w:szCs w:val="20"/>
    </w:rPr>
  </w:style>
  <w:style w:type="paragraph" w:customStyle="1" w:styleId="248">
    <w:name w:val="xl45"/>
    <w:basedOn w:val="1"/>
    <w:qFormat/>
    <w:uiPriority w:val="0"/>
    <w:pPr>
      <w:pBdr>
        <w:left w:val="single" w:color="auto" w:sz="4" w:space="0"/>
        <w:right w:val="single" w:color="auto" w:sz="4" w:space="0"/>
      </w:pBdr>
      <w:adjustRightInd/>
      <w:snapToGrid/>
      <w:spacing w:before="100" w:beforeAutospacing="1" w:after="100" w:afterAutospacing="1"/>
      <w:jc w:val="center"/>
      <w:textAlignment w:val="center"/>
    </w:pPr>
    <w:rPr>
      <w:rFonts w:ascii="宋体" w:hAnsi="宋体"/>
      <w:b/>
      <w:bCs/>
      <w:sz w:val="20"/>
      <w:szCs w:val="20"/>
    </w:rPr>
  </w:style>
  <w:style w:type="paragraph" w:customStyle="1" w:styleId="249">
    <w:name w:val="Test2"/>
    <w:basedOn w:val="3"/>
    <w:qFormat/>
    <w:uiPriority w:val="0"/>
    <w:pPr>
      <w:widowControl/>
      <w:adjustRightInd w:val="0"/>
      <w:snapToGrid w:val="0"/>
      <w:spacing w:beforeLines="50" w:afterLines="50" w:line="480" w:lineRule="exact"/>
      <w:jc w:val="center"/>
    </w:pPr>
    <w:rPr>
      <w:rFonts w:ascii="黑体" w:hAnsi="Arial" w:eastAsia="黑体"/>
      <w:bCs/>
      <w:snapToGrid w:val="0"/>
      <w:kern w:val="0"/>
    </w:rPr>
  </w:style>
  <w:style w:type="paragraph" w:customStyle="1" w:styleId="250">
    <w:name w:val="xl53"/>
    <w:basedOn w:val="1"/>
    <w:qFormat/>
    <w:uiPriority w:val="0"/>
    <w:pPr>
      <w:pBdr>
        <w:top w:val="single" w:color="auto" w:sz="4" w:space="0"/>
        <w:bottom w:val="single" w:color="auto" w:sz="4" w:space="0"/>
        <w:right w:val="single" w:color="auto" w:sz="4" w:space="0"/>
      </w:pBdr>
      <w:shd w:val="clear" w:color="auto" w:fill="969696"/>
      <w:adjustRightInd/>
      <w:snapToGrid/>
      <w:spacing w:before="100" w:beforeAutospacing="1" w:after="100" w:afterAutospacing="1"/>
      <w:jc w:val="center"/>
    </w:pPr>
    <w:rPr>
      <w:rFonts w:ascii="Times New Roman" w:hAnsi="Times New Roman" w:cs="Times New Roman"/>
      <w:b/>
      <w:bCs/>
      <w:i/>
      <w:iCs/>
      <w:sz w:val="20"/>
      <w:szCs w:val="20"/>
    </w:rPr>
  </w:style>
  <w:style w:type="paragraph" w:customStyle="1" w:styleId="251">
    <w:name w:val="xl63"/>
    <w:basedOn w:val="1"/>
    <w:qFormat/>
    <w:uiPriority w:val="0"/>
    <w:pPr>
      <w:pBdr>
        <w:top w:val="single" w:color="auto" w:sz="4" w:space="0"/>
        <w:left w:val="single" w:color="auto" w:sz="4" w:space="0"/>
        <w:bottom w:val="single" w:color="auto" w:sz="4" w:space="0"/>
      </w:pBdr>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252">
    <w:name w:val="丁华标题1"/>
    <w:basedOn w:val="2"/>
    <w:next w:val="253"/>
    <w:qFormat/>
    <w:uiPriority w:val="0"/>
    <w:pPr>
      <w:keepLines/>
      <w:numPr>
        <w:ilvl w:val="0"/>
        <w:numId w:val="2"/>
      </w:numPr>
      <w:tabs>
        <w:tab w:val="clear" w:pos="5670"/>
      </w:tabs>
      <w:spacing w:line="578" w:lineRule="auto"/>
      <w:ind w:firstLine="0" w:firstLineChars="0"/>
      <w:jc w:val="left"/>
    </w:pPr>
    <w:rPr>
      <w:rFonts w:ascii="Times New Roman"/>
      <w:b w:val="0"/>
      <w:sz w:val="32"/>
      <w:szCs w:val="20"/>
    </w:rPr>
  </w:style>
  <w:style w:type="paragraph" w:customStyle="1" w:styleId="253">
    <w:name w:val="丁华正文"/>
    <w:basedOn w:val="47"/>
    <w:qFormat/>
    <w:uiPriority w:val="0"/>
    <w:pPr>
      <w:adjustRightInd w:val="0"/>
      <w:snapToGrid w:val="0"/>
      <w:ind w:left="0" w:firstLine="510"/>
    </w:pPr>
    <w:rPr>
      <w:rFonts w:ascii="Times New Roman" w:hAnsi="Times New Roman" w:eastAsia="宋体"/>
      <w:color w:val="auto"/>
      <w:sz w:val="24"/>
      <w:szCs w:val="16"/>
    </w:rPr>
  </w:style>
  <w:style w:type="paragraph" w:customStyle="1" w:styleId="254">
    <w:name w:val="xl48"/>
    <w:basedOn w:val="1"/>
    <w:qFormat/>
    <w:uiPriority w:val="0"/>
    <w:pPr>
      <w:pBdr>
        <w:top w:val="single" w:color="auto" w:sz="4" w:space="0"/>
        <w:left w:val="single" w:color="auto" w:sz="4" w:space="0"/>
        <w:right w:val="single" w:color="auto" w:sz="4" w:space="0"/>
      </w:pBdr>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255">
    <w:name w:val="条1"/>
    <w:basedOn w:val="1"/>
    <w:qFormat/>
    <w:uiPriority w:val="0"/>
    <w:pPr>
      <w:widowControl w:val="0"/>
      <w:tabs>
        <w:tab w:val="left" w:pos="780"/>
      </w:tabs>
      <w:adjustRightInd/>
      <w:snapToGrid/>
      <w:spacing w:before="156"/>
      <w:ind w:left="780" w:hanging="360"/>
      <w:jc w:val="both"/>
    </w:pPr>
    <w:rPr>
      <w:rFonts w:ascii="Times New Roman" w:hAnsi="Times New Roman" w:eastAsia="黑体" w:cs="Times New Roman"/>
      <w:kern w:val="2"/>
      <w:szCs w:val="20"/>
    </w:rPr>
  </w:style>
  <w:style w:type="paragraph" w:customStyle="1" w:styleId="256">
    <w:name w:val="xl40"/>
    <w:basedOn w:val="1"/>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pPr>
    <w:rPr>
      <w:rFonts w:ascii="Times New Roman" w:hAnsi="Times New Roman" w:cs="Times New Roman"/>
      <w:b/>
      <w:bCs/>
      <w:sz w:val="20"/>
      <w:szCs w:val="20"/>
    </w:rPr>
  </w:style>
  <w:style w:type="paragraph" w:customStyle="1" w:styleId="257">
    <w:name w:val="Char Char1 Char Char Char Char Char Char Char"/>
    <w:basedOn w:val="1"/>
    <w:qFormat/>
    <w:uiPriority w:val="0"/>
    <w:pPr>
      <w:widowControl w:val="0"/>
      <w:adjustRightInd/>
      <w:snapToGrid/>
      <w:jc w:val="both"/>
    </w:pPr>
    <w:rPr>
      <w:rFonts w:cs="Tahoma"/>
      <w:kern w:val="2"/>
      <w:szCs w:val="20"/>
    </w:rPr>
  </w:style>
  <w:style w:type="paragraph" w:customStyle="1" w:styleId="258">
    <w:name w:val="font9"/>
    <w:basedOn w:val="1"/>
    <w:qFormat/>
    <w:uiPriority w:val="0"/>
    <w:pPr>
      <w:adjustRightInd/>
      <w:snapToGrid/>
      <w:spacing w:before="100" w:beforeAutospacing="1" w:after="100" w:afterAutospacing="1"/>
    </w:pPr>
    <w:rPr>
      <w:rFonts w:ascii="Times New Roman" w:hAnsi="Times New Roman" w:cs="Times New Roman"/>
      <w:b/>
      <w:bCs/>
      <w:sz w:val="20"/>
      <w:szCs w:val="20"/>
    </w:rPr>
  </w:style>
  <w:style w:type="paragraph" w:customStyle="1" w:styleId="259">
    <w:name w:val="flNote"/>
    <w:basedOn w:val="1"/>
    <w:qFormat/>
    <w:uiPriority w:val="0"/>
    <w:pPr>
      <w:widowControl w:val="0"/>
      <w:snapToGrid/>
      <w:spacing w:before="567" w:line="360" w:lineRule="atLeast"/>
      <w:jc w:val="center"/>
      <w:textAlignment w:val="baseline"/>
    </w:pPr>
    <w:rPr>
      <w:rFonts w:ascii="Times New Roman" w:hAnsi="Times New Roman" w:eastAsia="黑体" w:cs="Times New Roman"/>
      <w:b/>
      <w:szCs w:val="20"/>
    </w:rPr>
  </w:style>
  <w:style w:type="paragraph" w:customStyle="1" w:styleId="260">
    <w:name w:val="Char Char1"/>
    <w:basedOn w:val="1"/>
    <w:qFormat/>
    <w:uiPriority w:val="0"/>
    <w:pPr>
      <w:widowControl w:val="0"/>
      <w:adjustRightInd/>
      <w:snapToGrid/>
      <w:jc w:val="both"/>
    </w:pPr>
    <w:rPr>
      <w:rFonts w:cs="Times New Roman"/>
      <w:kern w:val="2"/>
      <w:szCs w:val="20"/>
    </w:rPr>
  </w:style>
  <w:style w:type="paragraph" w:customStyle="1" w:styleId="261">
    <w:name w:val="默认段落字体 Para Char Char Char Char Char Char Char Char Char1 Char Char Char Char Char Char Char"/>
    <w:basedOn w:val="17"/>
    <w:qFormat/>
    <w:uiPriority w:val="0"/>
  </w:style>
  <w:style w:type="paragraph" w:customStyle="1" w:styleId="262">
    <w:name w:val="马刚标题1"/>
    <w:basedOn w:val="2"/>
    <w:next w:val="1"/>
    <w:qFormat/>
    <w:uiPriority w:val="0"/>
    <w:pPr>
      <w:keepLines/>
      <w:tabs>
        <w:tab w:val="clear" w:pos="1440"/>
        <w:tab w:val="clear" w:pos="5670"/>
      </w:tabs>
      <w:spacing w:line="576" w:lineRule="auto"/>
      <w:ind w:left="567" w:hanging="567" w:firstLineChars="0"/>
      <w:jc w:val="left"/>
    </w:pPr>
    <w:rPr>
      <w:rFonts w:ascii="Times New Roman"/>
      <w:b w:val="0"/>
      <w:sz w:val="32"/>
      <w:szCs w:val="20"/>
    </w:rPr>
  </w:style>
  <w:style w:type="paragraph" w:customStyle="1" w:styleId="263">
    <w:name w:val="Char Char Char Char Char Char Char"/>
    <w:basedOn w:val="1"/>
    <w:qFormat/>
    <w:uiPriority w:val="0"/>
    <w:pPr>
      <w:widowControl w:val="0"/>
      <w:adjustRightInd/>
      <w:snapToGrid/>
      <w:jc w:val="both"/>
    </w:pPr>
    <w:rPr>
      <w:rFonts w:cs="Times New Roman"/>
      <w:kern w:val="2"/>
      <w:szCs w:val="20"/>
    </w:rPr>
  </w:style>
  <w:style w:type="paragraph" w:customStyle="1" w:styleId="264">
    <w:name w:val="符号与编号 Char Char"/>
    <w:basedOn w:val="1"/>
    <w:qFormat/>
    <w:uiPriority w:val="0"/>
    <w:pPr>
      <w:widowControl w:val="0"/>
      <w:tabs>
        <w:tab w:val="left" w:pos="840"/>
      </w:tabs>
      <w:adjustRightInd/>
      <w:snapToGrid/>
      <w:spacing w:afterLines="50" w:line="400" w:lineRule="atLeast"/>
      <w:ind w:left="839" w:hanging="419"/>
      <w:jc w:val="both"/>
    </w:pPr>
    <w:rPr>
      <w:rFonts w:ascii="Times New Roman" w:hAnsi="Times New Roman" w:cs="Times New Roman"/>
      <w:kern w:val="2"/>
      <w:szCs w:val="24"/>
    </w:rPr>
  </w:style>
  <w:style w:type="paragraph" w:customStyle="1" w:styleId="265">
    <w:name w:val="xl41"/>
    <w:basedOn w:val="1"/>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pPr>
    <w:rPr>
      <w:rFonts w:ascii="宋体" w:hAnsi="宋体"/>
      <w:b/>
      <w:bCs/>
      <w:sz w:val="20"/>
      <w:szCs w:val="20"/>
    </w:rPr>
  </w:style>
  <w:style w:type="paragraph" w:customStyle="1" w:styleId="266">
    <w:name w:val="普通文字"/>
    <w:basedOn w:val="1"/>
    <w:next w:val="1"/>
    <w:qFormat/>
    <w:uiPriority w:val="0"/>
    <w:pPr>
      <w:widowControl w:val="0"/>
      <w:adjustRightInd/>
      <w:snapToGrid/>
      <w:jc w:val="both"/>
    </w:pPr>
    <w:rPr>
      <w:rFonts w:ascii="宋体" w:hAnsi="宋体"/>
      <w:szCs w:val="20"/>
      <w:u w:color="000000"/>
    </w:rPr>
  </w:style>
  <w:style w:type="paragraph" w:customStyle="1" w:styleId="267">
    <w:name w:val="我的正文"/>
    <w:basedOn w:val="1"/>
    <w:link w:val="467"/>
    <w:qFormat/>
    <w:uiPriority w:val="0"/>
    <w:pPr>
      <w:adjustRightInd/>
      <w:snapToGrid/>
      <w:ind w:firstLine="420"/>
    </w:pPr>
    <w:rPr>
      <w:rFonts w:ascii="宋体" w:hAnsi="宋体"/>
      <w:sz w:val="21"/>
      <w:szCs w:val="21"/>
    </w:rPr>
  </w:style>
  <w:style w:type="paragraph" w:customStyle="1" w:styleId="268">
    <w:name w:val="列出段落2"/>
    <w:basedOn w:val="1"/>
    <w:qFormat/>
    <w:uiPriority w:val="0"/>
    <w:pPr>
      <w:adjustRightInd/>
      <w:snapToGrid/>
      <w:ind w:left="720"/>
    </w:pPr>
    <w:rPr>
      <w:rFonts w:ascii="Arial" w:hAnsi="Arial" w:eastAsia="黑体" w:cs="Arial"/>
      <w:szCs w:val="24"/>
      <w:lang w:eastAsia="en-US"/>
    </w:rPr>
  </w:style>
  <w:style w:type="paragraph" w:customStyle="1" w:styleId="269">
    <w:name w:val="Char1 Char Char Char"/>
    <w:basedOn w:val="1"/>
    <w:qFormat/>
    <w:uiPriority w:val="0"/>
    <w:pPr>
      <w:widowControl w:val="0"/>
      <w:adjustRightInd/>
      <w:snapToGrid/>
      <w:jc w:val="both"/>
    </w:pPr>
    <w:rPr>
      <w:rFonts w:cs="Times New Roman"/>
      <w:kern w:val="2"/>
      <w:szCs w:val="20"/>
    </w:rPr>
  </w:style>
  <w:style w:type="paragraph" w:customStyle="1" w:styleId="270">
    <w:name w:val="华宇段落1 Char"/>
    <w:basedOn w:val="1"/>
    <w:qFormat/>
    <w:uiPriority w:val="0"/>
    <w:pPr>
      <w:widowControl w:val="0"/>
      <w:adjustRightInd/>
      <w:snapToGrid/>
      <w:jc w:val="both"/>
    </w:pPr>
    <w:rPr>
      <w:rFonts w:ascii="Times New Roman" w:hAnsi="Times New Roman" w:cs="Times New Roman"/>
      <w:bCs/>
      <w:kern w:val="2"/>
      <w:szCs w:val="24"/>
    </w:rPr>
  </w:style>
  <w:style w:type="paragraph" w:customStyle="1" w:styleId="271">
    <w:name w:val="项目符号：一级"/>
    <w:basedOn w:val="272"/>
    <w:next w:val="272"/>
    <w:qFormat/>
    <w:uiPriority w:val="0"/>
    <w:pPr>
      <w:ind w:right="-134" w:rightChars="-64"/>
    </w:pPr>
    <w:rPr>
      <w:bCs w:val="0"/>
    </w:rPr>
  </w:style>
  <w:style w:type="paragraph" w:customStyle="1" w:styleId="272">
    <w:name w:val="正文格式"/>
    <w:basedOn w:val="1"/>
    <w:qFormat/>
    <w:uiPriority w:val="0"/>
    <w:pPr>
      <w:spacing w:beforeLines="25"/>
      <w:ind w:left="178" w:right="44" w:rightChars="21" w:hanging="178" w:hangingChars="85"/>
      <w:textAlignment w:val="baseline"/>
    </w:pPr>
    <w:rPr>
      <w:rFonts w:ascii="宋体" w:hAnsi="宋体" w:cs="Times New Roman"/>
      <w:bCs/>
      <w:sz w:val="21"/>
      <w:szCs w:val="21"/>
    </w:rPr>
  </w:style>
  <w:style w:type="paragraph" w:customStyle="1" w:styleId="273">
    <w:name w:val="Char1 Char Char Char1"/>
    <w:basedOn w:val="1"/>
    <w:qFormat/>
    <w:uiPriority w:val="0"/>
    <w:pPr>
      <w:widowControl w:val="0"/>
      <w:adjustRightInd/>
      <w:snapToGrid/>
      <w:jc w:val="both"/>
    </w:pPr>
    <w:rPr>
      <w:rFonts w:cs="Tahoma"/>
      <w:kern w:val="2"/>
      <w:szCs w:val="20"/>
    </w:rPr>
  </w:style>
  <w:style w:type="paragraph" w:customStyle="1" w:styleId="274">
    <w:name w:val="xl25"/>
    <w:basedOn w:val="1"/>
    <w:qFormat/>
    <w:uiPriority w:val="0"/>
    <w:pPr>
      <w:pBdr>
        <w:right w:val="single" w:color="auto" w:sz="4" w:space="0"/>
      </w:pBdr>
      <w:adjustRightInd/>
      <w:snapToGrid/>
      <w:spacing w:before="100" w:beforeAutospacing="1" w:after="100" w:afterAutospacing="1"/>
      <w:jc w:val="center"/>
    </w:pPr>
    <w:rPr>
      <w:rFonts w:ascii="Times New Roman" w:hAnsi="Times New Roman" w:cs="Times New Roman"/>
      <w:sz w:val="21"/>
      <w:szCs w:val="21"/>
    </w:rPr>
  </w:style>
  <w:style w:type="paragraph" w:customStyle="1" w:styleId="275">
    <w:name w:val="正文 首行缩进:  2 字符 Char"/>
    <w:basedOn w:val="1"/>
    <w:qFormat/>
    <w:uiPriority w:val="0"/>
    <w:pPr>
      <w:widowControl w:val="0"/>
      <w:adjustRightInd/>
      <w:snapToGrid/>
      <w:ind w:firstLine="480"/>
      <w:jc w:val="both"/>
    </w:pPr>
    <w:rPr>
      <w:rFonts w:ascii="Times New Roman" w:hAnsi="Times New Roman"/>
      <w:kern w:val="2"/>
      <w:szCs w:val="20"/>
    </w:rPr>
  </w:style>
  <w:style w:type="paragraph" w:customStyle="1" w:styleId="276">
    <w:name w:val="小四 段落 宋体 Char"/>
    <w:basedOn w:val="15"/>
    <w:qFormat/>
    <w:uiPriority w:val="0"/>
    <w:pPr>
      <w:tabs>
        <w:tab w:val="clear" w:pos="2952"/>
      </w:tabs>
      <w:ind w:left="0" w:right="-33" w:firstLine="600"/>
      <w:jc w:val="left"/>
    </w:pPr>
    <w:rPr>
      <w:rFonts w:ascii="仿宋_GB2312" w:eastAsia="仿宋_GB2312"/>
      <w:sz w:val="30"/>
      <w:szCs w:val="30"/>
    </w:rPr>
  </w:style>
  <w:style w:type="paragraph" w:customStyle="1" w:styleId="277">
    <w:name w:val="样式 加点正文 + 段前: 0.5 行 段后: 0.5 行1"/>
    <w:basedOn w:val="1"/>
    <w:qFormat/>
    <w:uiPriority w:val="0"/>
    <w:pPr>
      <w:widowControl w:val="0"/>
      <w:numPr>
        <w:ilvl w:val="0"/>
        <w:numId w:val="3"/>
      </w:numPr>
      <w:tabs>
        <w:tab w:val="left" w:pos="1268"/>
      </w:tabs>
      <w:adjustRightInd/>
      <w:snapToGrid/>
      <w:spacing w:beforeLines="50" w:afterLines="50" w:line="300" w:lineRule="auto"/>
      <w:ind w:left="1268"/>
      <w:jc w:val="both"/>
    </w:pPr>
    <w:rPr>
      <w:rFonts w:ascii="Times New Roman" w:hAnsi="Times New Roman" w:cs="Times New Roman"/>
      <w:kern w:val="2"/>
      <w:szCs w:val="20"/>
    </w:rPr>
  </w:style>
  <w:style w:type="paragraph" w:customStyle="1" w:styleId="278">
    <w:name w:val="正文 + Arial Char"/>
    <w:basedOn w:val="1"/>
    <w:link w:val="478"/>
    <w:qFormat/>
    <w:uiPriority w:val="0"/>
    <w:pPr>
      <w:tabs>
        <w:tab w:val="left" w:pos="315"/>
      </w:tabs>
      <w:adjustRightInd/>
      <w:snapToGrid/>
      <w:spacing w:line="300" w:lineRule="auto"/>
      <w:ind w:left="315" w:hanging="315"/>
      <w:jc w:val="both"/>
    </w:pPr>
    <w:rPr>
      <w:rFonts w:ascii="Arial" w:hAnsi="Arial" w:cs="Arial"/>
      <w:b/>
      <w:color w:val="000000"/>
      <w:kern w:val="2"/>
      <w:sz w:val="21"/>
      <w:szCs w:val="20"/>
    </w:rPr>
  </w:style>
  <w:style w:type="paragraph" w:customStyle="1" w:styleId="279">
    <w:name w:val="xl24"/>
    <w:basedOn w:val="1"/>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jc w:val="center"/>
    </w:pPr>
    <w:rPr>
      <w:rFonts w:ascii="宋体" w:hAnsi="宋体"/>
      <w:b/>
      <w:bCs/>
      <w:sz w:val="20"/>
      <w:szCs w:val="20"/>
    </w:rPr>
  </w:style>
  <w:style w:type="paragraph" w:customStyle="1" w:styleId="280">
    <w:name w:val="小四 段落 宋体 Char Char"/>
    <w:basedOn w:val="1"/>
    <w:qFormat/>
    <w:uiPriority w:val="0"/>
    <w:pPr>
      <w:widowControl w:val="0"/>
      <w:adjustRightInd/>
      <w:snapToGrid/>
      <w:ind w:firstLine="480"/>
      <w:jc w:val="both"/>
    </w:pPr>
    <w:rPr>
      <w:rFonts w:ascii="宋体" w:hAnsi="宋体" w:cs="Times New Roman"/>
      <w:kern w:val="2"/>
      <w:szCs w:val="24"/>
    </w:rPr>
  </w:style>
  <w:style w:type="paragraph" w:customStyle="1" w:styleId="281">
    <w:name w:val="1"/>
    <w:basedOn w:val="1"/>
    <w:next w:val="51"/>
    <w:qFormat/>
    <w:uiPriority w:val="0"/>
    <w:pPr>
      <w:widowControl w:val="0"/>
      <w:adjustRightInd/>
      <w:snapToGrid/>
      <w:jc w:val="both"/>
    </w:pPr>
    <w:rPr>
      <w:rFonts w:ascii="Times New Roman" w:hAnsi="Times New Roman" w:eastAsia="仿宋_GB2312" w:cs="Times New Roman"/>
      <w:kern w:val="2"/>
      <w:szCs w:val="24"/>
    </w:rPr>
  </w:style>
  <w:style w:type="paragraph" w:customStyle="1" w:styleId="282">
    <w:name w:val="大标题"/>
    <w:basedOn w:val="1"/>
    <w:next w:val="1"/>
    <w:qFormat/>
    <w:uiPriority w:val="0"/>
    <w:pPr>
      <w:pageBreakBefore/>
      <w:widowControl w:val="0"/>
      <w:tabs>
        <w:tab w:val="left" w:pos="420"/>
      </w:tabs>
      <w:adjustRightInd/>
      <w:snapToGrid/>
      <w:ind w:hanging="420"/>
      <w:jc w:val="both"/>
      <w:outlineLvl w:val="0"/>
    </w:pPr>
    <w:rPr>
      <w:rFonts w:ascii="Times New Roman" w:hAnsi="Times New Roman" w:cs="Times New Roman"/>
      <w:b/>
      <w:iCs/>
      <w:kern w:val="2"/>
      <w:sz w:val="44"/>
      <w:szCs w:val="24"/>
    </w:rPr>
  </w:style>
  <w:style w:type="paragraph" w:customStyle="1" w:styleId="283">
    <w:name w:val="Char Char Char Char Char"/>
    <w:basedOn w:val="1"/>
    <w:qFormat/>
    <w:uiPriority w:val="0"/>
    <w:pPr>
      <w:widowControl w:val="0"/>
      <w:adjustRightInd/>
      <w:snapToGrid/>
      <w:jc w:val="both"/>
    </w:pPr>
    <w:rPr>
      <w:rFonts w:cs="Times New Roman"/>
      <w:kern w:val="2"/>
      <w:szCs w:val="20"/>
    </w:rPr>
  </w:style>
  <w:style w:type="paragraph" w:customStyle="1" w:styleId="284">
    <w:name w:val="项目符号，一级"/>
    <w:basedOn w:val="272"/>
    <w:next w:val="272"/>
    <w:qFormat/>
    <w:uiPriority w:val="0"/>
    <w:pPr>
      <w:tabs>
        <w:tab w:val="left" w:pos="1320"/>
      </w:tabs>
      <w:spacing w:line="240" w:lineRule="atLeast"/>
      <w:ind w:left="376" w:leftChars="179" w:firstLine="0"/>
    </w:pPr>
    <w:rPr>
      <w:bCs w:val="0"/>
      <w:color w:val="000000"/>
      <w:szCs w:val="24"/>
    </w:rPr>
  </w:style>
  <w:style w:type="paragraph" w:customStyle="1" w:styleId="285">
    <w:name w:val="tableau"/>
    <w:basedOn w:val="1"/>
    <w:qFormat/>
    <w:uiPriority w:val="0"/>
    <w:pPr>
      <w:adjustRightInd/>
      <w:snapToGrid/>
      <w:spacing w:before="20" w:after="20"/>
      <w:jc w:val="center"/>
    </w:pPr>
    <w:rPr>
      <w:rFonts w:ascii="Arial" w:hAnsi="Arial" w:cs="Times New Roman"/>
      <w:sz w:val="16"/>
      <w:szCs w:val="20"/>
      <w:lang w:val="en-GB" w:eastAsia="en-US"/>
    </w:rPr>
  </w:style>
  <w:style w:type="paragraph" w:customStyle="1" w:styleId="286">
    <w:name w:val="Char11"/>
    <w:basedOn w:val="1"/>
    <w:qFormat/>
    <w:uiPriority w:val="0"/>
    <w:pPr>
      <w:adjustRightInd/>
      <w:snapToGrid/>
      <w:spacing w:after="160" w:line="240" w:lineRule="exact"/>
    </w:pPr>
    <w:rPr>
      <w:rFonts w:ascii="Verdana" w:hAnsi="Verdana" w:eastAsia="仿宋_GB2312" w:cs="Times New Roman"/>
      <w:szCs w:val="20"/>
      <w:lang w:eastAsia="en-US"/>
    </w:rPr>
  </w:style>
  <w:style w:type="paragraph" w:customStyle="1" w:styleId="287">
    <w:name w:val="xl35"/>
    <w:basedOn w:val="1"/>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textAlignment w:val="center"/>
    </w:pPr>
    <w:rPr>
      <w:rFonts w:ascii="宋体" w:hAnsi="宋体"/>
      <w:b/>
      <w:bCs/>
      <w:i/>
      <w:iCs/>
      <w:sz w:val="20"/>
      <w:szCs w:val="20"/>
    </w:rPr>
  </w:style>
  <w:style w:type="paragraph" w:customStyle="1" w:styleId="288">
    <w:name w:val="表头_5"/>
    <w:basedOn w:val="1"/>
    <w:qFormat/>
    <w:uiPriority w:val="0"/>
    <w:pPr>
      <w:widowControl w:val="0"/>
      <w:snapToGrid/>
      <w:jc w:val="both"/>
      <w:textAlignment w:val="baseline"/>
    </w:pPr>
    <w:rPr>
      <w:rFonts w:ascii="Times New Roman" w:hAnsi="Times New Roman" w:cs="Times New Roman"/>
      <w:b/>
      <w:bCs/>
      <w:kern w:val="2"/>
      <w:sz w:val="28"/>
      <w:szCs w:val="21"/>
    </w:rPr>
  </w:style>
  <w:style w:type="paragraph" w:customStyle="1" w:styleId="289">
    <w:name w:val="Char Char Char Char Char Char Char Char Char Char Char Char Char Char Char Char Char Char Char Char Char Char Char"/>
    <w:basedOn w:val="1"/>
    <w:qFormat/>
    <w:uiPriority w:val="0"/>
    <w:pPr>
      <w:widowControl w:val="0"/>
      <w:adjustRightInd/>
      <w:snapToGrid/>
      <w:jc w:val="both"/>
    </w:pPr>
    <w:rPr>
      <w:rFonts w:cs="Times New Roman"/>
      <w:kern w:val="2"/>
      <w:szCs w:val="20"/>
    </w:rPr>
  </w:style>
  <w:style w:type="paragraph" w:customStyle="1" w:styleId="290">
    <w:name w:val="样式 标题 2第一章 标题 2Heading 2 HiddenHeading 2 CCBSheading 2H2h2..."/>
    <w:basedOn w:val="3"/>
    <w:qFormat/>
    <w:uiPriority w:val="0"/>
    <w:pPr>
      <w:keepLines w:val="0"/>
      <w:tabs>
        <w:tab w:val="left" w:pos="360"/>
      </w:tabs>
      <w:adjustRightInd w:val="0"/>
      <w:spacing w:beforeLines="50" w:afterLines="50"/>
      <w:ind w:left="360" w:hanging="360"/>
      <w:jc w:val="center"/>
      <w:textAlignment w:val="baseline"/>
    </w:pPr>
    <w:rPr>
      <w:rFonts w:ascii="黑体" w:hAnsi="Times New Roman" w:eastAsia="黑体" w:cs="宋体"/>
      <w:b w:val="0"/>
      <w:kern w:val="0"/>
      <w:sz w:val="32"/>
      <w:szCs w:val="20"/>
    </w:rPr>
  </w:style>
  <w:style w:type="paragraph" w:customStyle="1" w:styleId="291">
    <w:name w:val="xl47"/>
    <w:basedOn w:val="1"/>
    <w:qFormat/>
    <w:uiPriority w:val="0"/>
    <w:pPr>
      <w:pBdr>
        <w:left w:val="single" w:color="auto" w:sz="4" w:space="0"/>
        <w:bottom w:val="single" w:color="auto" w:sz="4" w:space="0"/>
        <w:right w:val="single" w:color="auto" w:sz="4" w:space="0"/>
      </w:pBdr>
      <w:adjustRightInd/>
      <w:snapToGrid/>
      <w:spacing w:before="100" w:beforeAutospacing="1" w:after="100" w:afterAutospacing="1"/>
      <w:jc w:val="center"/>
      <w:textAlignment w:val="center"/>
    </w:pPr>
    <w:rPr>
      <w:rFonts w:ascii="宋体" w:hAnsi="宋体"/>
      <w:szCs w:val="24"/>
    </w:rPr>
  </w:style>
  <w:style w:type="paragraph" w:customStyle="1" w:styleId="292">
    <w:name w:val="a"/>
    <w:basedOn w:val="1"/>
    <w:qFormat/>
    <w:uiPriority w:val="0"/>
    <w:pPr>
      <w:adjustRightInd/>
      <w:snapToGrid/>
      <w:spacing w:before="100" w:beforeAutospacing="1" w:after="100" w:afterAutospacing="1"/>
      <w:jc w:val="both"/>
    </w:pPr>
    <w:rPr>
      <w:rFonts w:ascii="宋体" w:hAnsi="宋体"/>
      <w:szCs w:val="24"/>
    </w:rPr>
  </w:style>
  <w:style w:type="paragraph" w:customStyle="1" w:styleId="293">
    <w:name w:val="标题2，章节第二层"/>
    <w:basedOn w:val="1"/>
    <w:next w:val="272"/>
    <w:qFormat/>
    <w:uiPriority w:val="0"/>
    <w:pPr>
      <w:widowControl w:val="0"/>
      <w:numPr>
        <w:ilvl w:val="4"/>
        <w:numId w:val="4"/>
      </w:numPr>
      <w:tabs>
        <w:tab w:val="left" w:pos="630"/>
        <w:tab w:val="left" w:pos="992"/>
      </w:tabs>
      <w:spacing w:beforeLines="100" w:afterLines="100" w:line="300" w:lineRule="auto"/>
      <w:ind w:left="992" w:hanging="567"/>
      <w:jc w:val="both"/>
      <w:outlineLvl w:val="1"/>
    </w:pPr>
    <w:rPr>
      <w:rFonts w:ascii="Arial" w:hAnsi="Arial" w:eastAsia="黑体" w:cs="Times New Roman"/>
      <w:kern w:val="2"/>
      <w:sz w:val="32"/>
      <w:szCs w:val="24"/>
    </w:rPr>
  </w:style>
  <w:style w:type="paragraph" w:customStyle="1" w:styleId="294">
    <w:name w:val="flName"/>
    <w:basedOn w:val="259"/>
    <w:qFormat/>
    <w:uiPriority w:val="0"/>
    <w:pPr>
      <w:spacing w:before="0" w:line="113" w:lineRule="atLeast"/>
    </w:pPr>
  </w:style>
  <w:style w:type="paragraph" w:customStyle="1" w:styleId="295">
    <w:name w:val="xl30"/>
    <w:basedOn w:val="1"/>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jc w:val="center"/>
    </w:pPr>
    <w:rPr>
      <w:rFonts w:ascii="Times New Roman" w:hAnsi="Times New Roman" w:cs="Times New Roman"/>
      <w:b/>
      <w:bCs/>
      <w:sz w:val="20"/>
      <w:szCs w:val="20"/>
    </w:rPr>
  </w:style>
  <w:style w:type="paragraph" w:customStyle="1" w:styleId="296">
    <w:name w:val="Char Char1 Char1"/>
    <w:basedOn w:val="1"/>
    <w:qFormat/>
    <w:uiPriority w:val="0"/>
    <w:pPr>
      <w:adjustRightInd/>
      <w:snapToGrid/>
      <w:spacing w:after="160" w:line="240" w:lineRule="exact"/>
    </w:pPr>
    <w:rPr>
      <w:rFonts w:ascii="Verdana" w:hAnsi="Verdana" w:cs="Times New Roman"/>
      <w:sz w:val="20"/>
      <w:szCs w:val="20"/>
      <w:lang w:eastAsia="en-US"/>
    </w:rPr>
  </w:style>
  <w:style w:type="paragraph" w:customStyle="1" w:styleId="297">
    <w:name w:val="Item List Char Char"/>
    <w:link w:val="501"/>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298">
    <w:name w:val="丁华标题3"/>
    <w:basedOn w:val="299"/>
    <w:next w:val="253"/>
    <w:qFormat/>
    <w:uiPriority w:val="0"/>
    <w:pPr>
      <w:numPr>
        <w:ilvl w:val="2"/>
        <w:numId w:val="0"/>
      </w:numPr>
      <w:tabs>
        <w:tab w:val="left" w:pos="1004"/>
        <w:tab w:val="left" w:pos="1470"/>
        <w:tab w:val="left" w:pos="1980"/>
      </w:tabs>
      <w:ind w:left="1980" w:hanging="420"/>
      <w:outlineLvl w:val="2"/>
    </w:pPr>
    <w:rPr>
      <w:sz w:val="24"/>
    </w:rPr>
  </w:style>
  <w:style w:type="paragraph" w:customStyle="1" w:styleId="299">
    <w:name w:val="丁华标题2"/>
    <w:basedOn w:val="3"/>
    <w:next w:val="253"/>
    <w:qFormat/>
    <w:uiPriority w:val="0"/>
    <w:pPr>
      <w:numPr>
        <w:ilvl w:val="1"/>
        <w:numId w:val="2"/>
      </w:numPr>
      <w:spacing w:line="415" w:lineRule="auto"/>
    </w:pPr>
    <w:rPr>
      <w:rFonts w:ascii="Arial" w:hAnsi="Arial" w:eastAsia="黑体"/>
      <w:b w:val="0"/>
      <w:sz w:val="28"/>
      <w:szCs w:val="20"/>
    </w:rPr>
  </w:style>
  <w:style w:type="paragraph" w:customStyle="1" w:styleId="300">
    <w:name w:val="xl62"/>
    <w:basedOn w:val="1"/>
    <w:qFormat/>
    <w:uiPriority w:val="0"/>
    <w:pPr>
      <w:pBdr>
        <w:top w:val="single" w:color="auto" w:sz="4" w:space="0"/>
        <w:bottom w:val="single" w:color="auto" w:sz="4" w:space="0"/>
        <w:right w:val="single" w:color="auto" w:sz="4" w:space="0"/>
      </w:pBdr>
      <w:shd w:val="clear" w:color="auto" w:fill="969696"/>
      <w:adjustRightInd/>
      <w:snapToGrid/>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301">
    <w:name w:val="font11"/>
    <w:basedOn w:val="1"/>
    <w:qFormat/>
    <w:uiPriority w:val="0"/>
    <w:pPr>
      <w:adjustRightInd/>
      <w:snapToGrid/>
      <w:spacing w:before="100" w:beforeAutospacing="1" w:after="100" w:afterAutospacing="1"/>
    </w:pPr>
    <w:rPr>
      <w:rFonts w:ascii="Times New Roman" w:hAnsi="Times New Roman" w:cs="Times New Roman"/>
      <w:b/>
      <w:bCs/>
      <w:sz w:val="18"/>
      <w:szCs w:val="18"/>
    </w:rPr>
  </w:style>
  <w:style w:type="paragraph" w:customStyle="1" w:styleId="302">
    <w:name w:val="font6"/>
    <w:basedOn w:val="1"/>
    <w:qFormat/>
    <w:uiPriority w:val="0"/>
    <w:pPr>
      <w:adjustRightInd/>
      <w:snapToGrid/>
      <w:spacing w:before="100" w:beforeAutospacing="1" w:after="100" w:afterAutospacing="1"/>
    </w:pPr>
    <w:rPr>
      <w:rFonts w:ascii="宋体" w:hAnsi="宋体"/>
      <w:b/>
      <w:bCs/>
      <w:sz w:val="20"/>
      <w:szCs w:val="20"/>
    </w:rPr>
  </w:style>
  <w:style w:type="paragraph" w:styleId="303">
    <w:name w:val="List Paragraph"/>
    <w:basedOn w:val="1"/>
    <w:qFormat/>
    <w:uiPriority w:val="34"/>
    <w:pPr>
      <w:widowControl w:val="0"/>
      <w:adjustRightInd/>
      <w:snapToGrid/>
      <w:ind w:firstLine="420"/>
      <w:jc w:val="both"/>
    </w:pPr>
    <w:rPr>
      <w:rFonts w:ascii="Times New Roman" w:hAnsi="Times New Roman" w:cs="Times New Roman"/>
      <w:kern w:val="2"/>
      <w:sz w:val="21"/>
      <w:szCs w:val="24"/>
    </w:rPr>
  </w:style>
  <w:style w:type="paragraph" w:customStyle="1" w:styleId="304">
    <w:name w:val="greytypebeni"/>
    <w:basedOn w:val="1"/>
    <w:qFormat/>
    <w:uiPriority w:val="0"/>
    <w:pPr>
      <w:adjustRightInd/>
      <w:snapToGrid/>
    </w:pPr>
    <w:rPr>
      <w:rFonts w:ascii="宋体" w:hAnsi="宋体"/>
      <w:szCs w:val="24"/>
    </w:rPr>
  </w:style>
  <w:style w:type="paragraph" w:customStyle="1" w:styleId="305">
    <w:name w:val="项目符号，二级"/>
    <w:basedOn w:val="272"/>
    <w:next w:val="272"/>
    <w:qFormat/>
    <w:uiPriority w:val="0"/>
    <w:pPr>
      <w:tabs>
        <w:tab w:val="left" w:pos="567"/>
        <w:tab w:val="left" w:pos="1211"/>
        <w:tab w:val="left" w:pos="1337"/>
      </w:tabs>
      <w:ind w:left="1337" w:right="-27" w:firstLine="480"/>
    </w:pPr>
    <w:rPr>
      <w:bCs w:val="0"/>
      <w:color w:val="000000"/>
      <w:sz w:val="24"/>
      <w:szCs w:val="24"/>
    </w:rPr>
  </w:style>
  <w:style w:type="paragraph" w:customStyle="1" w:styleId="306">
    <w:name w:val="默认段落字体 Para Char"/>
    <w:basedOn w:val="1"/>
    <w:qFormat/>
    <w:uiPriority w:val="0"/>
    <w:pPr>
      <w:widowControl w:val="0"/>
      <w:adjustRightInd/>
      <w:snapToGrid/>
      <w:jc w:val="both"/>
    </w:pPr>
    <w:rPr>
      <w:rFonts w:ascii="Times New Roman" w:hAnsi="Times New Roman" w:cs="Times New Roman"/>
      <w:kern w:val="2"/>
      <w:szCs w:val="24"/>
    </w:rPr>
  </w:style>
  <w:style w:type="paragraph" w:customStyle="1" w:styleId="307">
    <w:name w:val="Char Char Char Char Char Char Char Char Char Char Char1"/>
    <w:basedOn w:val="1"/>
    <w:qFormat/>
    <w:uiPriority w:val="0"/>
    <w:pPr>
      <w:widowControl w:val="0"/>
      <w:adjustRightInd/>
      <w:snapToGrid/>
      <w:jc w:val="both"/>
    </w:pPr>
    <w:rPr>
      <w:rFonts w:cs="Tahoma"/>
      <w:kern w:val="2"/>
      <w:szCs w:val="20"/>
    </w:rPr>
  </w:style>
  <w:style w:type="paragraph" w:customStyle="1" w:styleId="308">
    <w:name w:val="正文文本 21"/>
    <w:basedOn w:val="1"/>
    <w:qFormat/>
    <w:uiPriority w:val="0"/>
    <w:pPr>
      <w:overflowPunct w:val="0"/>
      <w:autoSpaceDE w:val="0"/>
      <w:autoSpaceDN w:val="0"/>
      <w:snapToGrid/>
      <w:ind w:left="720" w:hanging="720"/>
      <w:jc w:val="both"/>
      <w:textAlignment w:val="baseline"/>
    </w:pPr>
    <w:rPr>
      <w:rFonts w:ascii="Times New Roman" w:hAnsi="Times New Roman" w:cs="Times New Roman"/>
      <w:szCs w:val="20"/>
      <w:lang w:val="en-GB"/>
    </w:rPr>
  </w:style>
  <w:style w:type="paragraph" w:customStyle="1" w:styleId="309">
    <w:name w:val="Char Char Char Char Char Char Char Char Char Char Char Char Char"/>
    <w:basedOn w:val="1"/>
    <w:qFormat/>
    <w:uiPriority w:val="0"/>
    <w:pPr>
      <w:adjustRightInd/>
      <w:snapToGrid/>
      <w:spacing w:after="160" w:line="240" w:lineRule="exact"/>
    </w:pPr>
    <w:rPr>
      <w:rFonts w:ascii="Times New Roman" w:hAnsi="Times New Roman" w:cs="Times New Roman"/>
      <w:kern w:val="2"/>
      <w:sz w:val="21"/>
      <w:szCs w:val="24"/>
    </w:rPr>
  </w:style>
  <w:style w:type="paragraph" w:customStyle="1" w:styleId="310">
    <w:name w:val="马刚标题4"/>
    <w:basedOn w:val="311"/>
    <w:next w:val="1"/>
    <w:qFormat/>
    <w:uiPriority w:val="0"/>
    <w:pPr>
      <w:tabs>
        <w:tab w:val="left" w:pos="567"/>
        <w:tab w:val="left" w:pos="735"/>
        <w:tab w:val="left" w:pos="1050"/>
      </w:tabs>
      <w:spacing w:before="100" w:after="40"/>
      <w:outlineLvl w:val="3"/>
    </w:pPr>
    <w:rPr>
      <w:b w:val="0"/>
    </w:rPr>
  </w:style>
  <w:style w:type="paragraph" w:customStyle="1" w:styleId="311">
    <w:name w:val="马刚标题3"/>
    <w:basedOn w:val="1"/>
    <w:next w:val="1"/>
    <w:qFormat/>
    <w:uiPriority w:val="0"/>
    <w:pPr>
      <w:keepNext/>
      <w:keepLines/>
      <w:widowControl w:val="0"/>
      <w:tabs>
        <w:tab w:val="left" w:pos="567"/>
        <w:tab w:val="left" w:pos="735"/>
      </w:tabs>
      <w:adjustRightInd/>
      <w:snapToGrid/>
      <w:spacing w:before="120" w:after="60" w:line="413" w:lineRule="auto"/>
      <w:ind w:left="567" w:hanging="567"/>
      <w:outlineLvl w:val="2"/>
    </w:pPr>
    <w:rPr>
      <w:rFonts w:ascii="黑体" w:hAnsi="Arial" w:eastAsia="黑体" w:cs="Times New Roman"/>
      <w:b/>
      <w:bCs/>
      <w:kern w:val="2"/>
      <w:szCs w:val="20"/>
    </w:rPr>
  </w:style>
  <w:style w:type="paragraph" w:customStyle="1" w:styleId="312">
    <w:name w:val="标题6"/>
    <w:basedOn w:val="7"/>
    <w:qFormat/>
    <w:uiPriority w:val="0"/>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313">
    <w:name w:val="表格"/>
    <w:basedOn w:val="1"/>
    <w:link w:val="530"/>
    <w:qFormat/>
    <w:uiPriority w:val="0"/>
    <w:pPr>
      <w:widowControl w:val="0"/>
      <w:adjustRightInd/>
      <w:ind w:firstLine="21" w:firstLineChars="21"/>
      <w:jc w:val="both"/>
    </w:pPr>
    <w:rPr>
      <w:rFonts w:ascii="宋体" w:hAnsi="宋体"/>
      <w:sz w:val="20"/>
      <w:szCs w:val="20"/>
    </w:rPr>
  </w:style>
  <w:style w:type="paragraph" w:customStyle="1" w:styleId="314">
    <w:name w:val="正文 居中"/>
    <w:basedOn w:val="1"/>
    <w:qFormat/>
    <w:uiPriority w:val="0"/>
    <w:pPr>
      <w:widowControl w:val="0"/>
      <w:adjustRightInd/>
      <w:snapToGrid/>
      <w:jc w:val="center"/>
    </w:pPr>
    <w:rPr>
      <w:rFonts w:ascii="Times New Roman" w:hAnsi="Times New Roman" w:cs="Times New Roman"/>
      <w:kern w:val="2"/>
      <w:szCs w:val="20"/>
    </w:rPr>
  </w:style>
  <w:style w:type="paragraph" w:customStyle="1" w:styleId="315">
    <w:name w:val="xl59"/>
    <w:basedOn w:val="1"/>
    <w:qFormat/>
    <w:uiPriority w:val="0"/>
    <w:pPr>
      <w:pBdr>
        <w:left w:val="single" w:color="auto" w:sz="4" w:space="0"/>
        <w:bottom w:val="single" w:color="auto" w:sz="4" w:space="0"/>
        <w:right w:val="single" w:color="auto" w:sz="4" w:space="0"/>
      </w:pBdr>
      <w:adjustRightInd/>
      <w:snapToGrid/>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316">
    <w:name w:val="font7"/>
    <w:basedOn w:val="1"/>
    <w:qFormat/>
    <w:uiPriority w:val="0"/>
    <w:pPr>
      <w:adjustRightInd/>
      <w:snapToGrid/>
      <w:spacing w:before="100" w:beforeAutospacing="1" w:after="100" w:afterAutospacing="1"/>
    </w:pPr>
    <w:rPr>
      <w:rFonts w:hint="eastAsia" w:ascii="宋体" w:hAnsi="宋体" w:cs="Times New Roman"/>
      <w:b/>
      <w:bCs/>
      <w:szCs w:val="24"/>
    </w:rPr>
  </w:style>
  <w:style w:type="paragraph" w:customStyle="1" w:styleId="317">
    <w:name w:val="标题3"/>
    <w:basedOn w:val="4"/>
    <w:qFormat/>
    <w:uiPriority w:val="0"/>
    <w:pPr>
      <w:keepNext w:val="0"/>
      <w:keepLines w:val="0"/>
      <w:spacing w:line="360" w:lineRule="auto"/>
    </w:pPr>
    <w:rPr>
      <w:rFonts w:eastAsia="仿宋_GB2312"/>
      <w:b w:val="0"/>
      <w:bCs/>
      <w:kern w:val="0"/>
      <w:sz w:val="30"/>
      <w:szCs w:val="32"/>
    </w:rPr>
  </w:style>
  <w:style w:type="paragraph" w:customStyle="1" w:styleId="318">
    <w:name w:val="标题1，章节第一层"/>
    <w:basedOn w:val="272"/>
    <w:next w:val="272"/>
    <w:qFormat/>
    <w:uiPriority w:val="0"/>
    <w:pPr>
      <w:tabs>
        <w:tab w:val="left" w:pos="693"/>
      </w:tabs>
      <w:ind w:left="482"/>
      <w:outlineLvl w:val="0"/>
    </w:pPr>
    <w:rPr>
      <w:color w:val="000000"/>
      <w:sz w:val="24"/>
      <w:szCs w:val="24"/>
    </w:rPr>
  </w:style>
  <w:style w:type="paragraph" w:customStyle="1" w:styleId="319">
    <w:name w:val="表蕊"/>
    <w:basedOn w:val="1"/>
    <w:qFormat/>
    <w:uiPriority w:val="0"/>
    <w:pPr>
      <w:widowControl w:val="0"/>
      <w:snapToGrid/>
      <w:spacing w:line="320" w:lineRule="atLeast"/>
      <w:textAlignment w:val="baseline"/>
    </w:pPr>
    <w:rPr>
      <w:rFonts w:ascii="Times New Roman" w:hAnsi="Times New Roman" w:eastAsia="楷体_GB2312" w:cs="Times New Roman"/>
      <w:spacing w:val="-10"/>
      <w:sz w:val="21"/>
      <w:szCs w:val="20"/>
    </w:rPr>
  </w:style>
  <w:style w:type="paragraph" w:customStyle="1" w:styleId="320">
    <w:name w:val="Char Char Char Char Char Char Char Char Char"/>
    <w:basedOn w:val="1"/>
    <w:qFormat/>
    <w:uiPriority w:val="0"/>
    <w:pPr>
      <w:widowControl w:val="0"/>
      <w:tabs>
        <w:tab w:val="left" w:pos="360"/>
      </w:tabs>
      <w:adjustRightInd/>
      <w:snapToGrid/>
      <w:ind w:left="200" w:hanging="200" w:hangingChars="200"/>
      <w:jc w:val="both"/>
    </w:pPr>
    <w:rPr>
      <w:rFonts w:ascii="Times New Roman" w:hAnsi="Times New Roman" w:cs="Times New Roman"/>
      <w:kern w:val="2"/>
      <w:szCs w:val="24"/>
    </w:rPr>
  </w:style>
  <w:style w:type="paragraph" w:customStyle="1" w:styleId="321">
    <w:name w:val="表格内容"/>
    <w:basedOn w:val="1"/>
    <w:qFormat/>
    <w:uiPriority w:val="0"/>
    <w:pPr>
      <w:autoSpaceDE w:val="0"/>
      <w:autoSpaceDN w:val="0"/>
      <w:snapToGrid/>
      <w:spacing w:before="60" w:line="300" w:lineRule="auto"/>
      <w:jc w:val="center"/>
      <w:textAlignment w:val="bottom"/>
    </w:pPr>
    <w:rPr>
      <w:rFonts w:ascii="Times New Roman" w:hAnsi="Times New Roman" w:cs="Times New Roman"/>
      <w:sz w:val="21"/>
      <w:szCs w:val="20"/>
    </w:rPr>
  </w:style>
  <w:style w:type="paragraph" w:customStyle="1" w:styleId="322">
    <w:name w:val="符号与编号 Char"/>
    <w:basedOn w:val="1"/>
    <w:qFormat/>
    <w:uiPriority w:val="0"/>
    <w:pPr>
      <w:widowControl w:val="0"/>
      <w:tabs>
        <w:tab w:val="left" w:pos="720"/>
      </w:tabs>
      <w:adjustRightInd/>
      <w:snapToGrid/>
      <w:spacing w:afterLines="50" w:line="400" w:lineRule="atLeast"/>
      <w:ind w:left="720"/>
      <w:jc w:val="both"/>
    </w:pPr>
    <w:rPr>
      <w:rFonts w:ascii="Times New Roman" w:hAnsi="Times New Roman" w:cs="Times New Roman"/>
      <w:kern w:val="2"/>
      <w:szCs w:val="24"/>
    </w:rPr>
  </w:style>
  <w:style w:type="paragraph" w:customStyle="1" w:styleId="323">
    <w:name w:val="font12"/>
    <w:basedOn w:val="1"/>
    <w:qFormat/>
    <w:uiPriority w:val="0"/>
    <w:pPr>
      <w:adjustRightInd/>
      <w:snapToGrid/>
      <w:spacing w:before="100" w:beforeAutospacing="1" w:after="100" w:afterAutospacing="1"/>
    </w:pPr>
    <w:rPr>
      <w:rFonts w:ascii="宋体" w:hAnsi="宋体"/>
      <w:sz w:val="36"/>
      <w:szCs w:val="36"/>
    </w:rPr>
  </w:style>
  <w:style w:type="paragraph" w:customStyle="1" w:styleId="324">
    <w:name w:val="xl28"/>
    <w:basedOn w:val="1"/>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textAlignment w:val="center"/>
    </w:pPr>
    <w:rPr>
      <w:rFonts w:ascii="Times New Roman" w:hAnsi="Times New Roman" w:cs="Times New Roman"/>
      <w:b/>
      <w:bCs/>
      <w:i/>
      <w:iCs/>
      <w:sz w:val="20"/>
      <w:szCs w:val="20"/>
    </w:rPr>
  </w:style>
  <w:style w:type="paragraph" w:customStyle="1" w:styleId="325">
    <w:name w:val="样式 样式 首行缩进:  0.74 厘米 行距: 1.5 倍行距 + 段后: 0.5 行"/>
    <w:basedOn w:val="1"/>
    <w:qFormat/>
    <w:uiPriority w:val="0"/>
    <w:pPr>
      <w:widowControl w:val="0"/>
      <w:adjustRightInd/>
      <w:snapToGrid/>
      <w:ind w:firstLine="420"/>
      <w:jc w:val="both"/>
    </w:pPr>
    <w:rPr>
      <w:rFonts w:ascii="楷体_GB2312" w:hAnsi="Times New Roman" w:eastAsia="楷体_GB2312" w:cs="Times New Roman"/>
      <w:bCs/>
      <w:kern w:val="2"/>
      <w:szCs w:val="20"/>
    </w:rPr>
  </w:style>
  <w:style w:type="paragraph" w:customStyle="1" w:styleId="326">
    <w:name w:val="部分1"/>
    <w:basedOn w:val="1"/>
    <w:qFormat/>
    <w:uiPriority w:val="0"/>
    <w:pPr>
      <w:keepNext/>
      <w:pageBreakBefore/>
      <w:widowControl w:val="0"/>
      <w:tabs>
        <w:tab w:val="left" w:pos="360"/>
      </w:tabs>
      <w:adjustRightInd/>
      <w:snapToGrid/>
      <w:jc w:val="center"/>
      <w:outlineLvl w:val="0"/>
    </w:pPr>
    <w:rPr>
      <w:rFonts w:ascii="Times New Roman" w:hAnsi="Times New Roman" w:eastAsia="黑体" w:cs="Times New Roman"/>
      <w:b/>
      <w:kern w:val="44"/>
      <w:sz w:val="36"/>
      <w:szCs w:val="20"/>
    </w:rPr>
  </w:style>
  <w:style w:type="paragraph" w:customStyle="1" w:styleId="327">
    <w:name w:val="样式4 Char"/>
    <w:basedOn w:val="1"/>
    <w:qFormat/>
    <w:uiPriority w:val="0"/>
    <w:pPr>
      <w:adjustRightInd/>
      <w:snapToGrid/>
      <w:ind w:firstLine="480"/>
    </w:pPr>
    <w:rPr>
      <w:rFonts w:ascii="Times New Roman" w:hAnsi="Times New Roman"/>
      <w:color w:val="000000"/>
      <w:szCs w:val="24"/>
    </w:rPr>
  </w:style>
  <w:style w:type="paragraph" w:customStyle="1" w:styleId="328">
    <w:name w:val="Char Char Char Char Char Char Char Char Char1"/>
    <w:basedOn w:val="1"/>
    <w:qFormat/>
    <w:uiPriority w:val="0"/>
    <w:pPr>
      <w:widowControl w:val="0"/>
      <w:tabs>
        <w:tab w:val="left" w:pos="360"/>
      </w:tabs>
      <w:adjustRightInd/>
      <w:snapToGrid/>
      <w:ind w:left="360" w:hanging="360" w:hangingChars="200"/>
      <w:jc w:val="both"/>
    </w:pPr>
    <w:rPr>
      <w:rFonts w:ascii="Times New Roman" w:hAnsi="Times New Roman" w:cs="Times New Roman"/>
      <w:kern w:val="2"/>
      <w:szCs w:val="24"/>
    </w:rPr>
  </w:style>
  <w:style w:type="paragraph" w:customStyle="1" w:styleId="329">
    <w:name w:val="小四 段落 宋体 Char Char Char Char"/>
    <w:basedOn w:val="1"/>
    <w:qFormat/>
    <w:uiPriority w:val="0"/>
    <w:pPr>
      <w:widowControl w:val="0"/>
      <w:adjustRightInd/>
      <w:snapToGrid/>
      <w:ind w:right="-33" w:firstLine="480"/>
    </w:pPr>
    <w:rPr>
      <w:rFonts w:ascii="Times New Roman" w:hAnsi="Times New Roman" w:cs="Times New Roman"/>
      <w:kern w:val="2"/>
      <w:szCs w:val="24"/>
    </w:rPr>
  </w:style>
  <w:style w:type="paragraph" w:customStyle="1" w:styleId="330">
    <w:name w:val="xl37"/>
    <w:basedOn w:val="1"/>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pPr>
    <w:rPr>
      <w:rFonts w:ascii="宋体" w:hAnsi="宋体"/>
      <w:b/>
      <w:bCs/>
      <w:i/>
      <w:iCs/>
      <w:sz w:val="20"/>
      <w:szCs w:val="20"/>
    </w:rPr>
  </w:style>
  <w:style w:type="paragraph" w:customStyle="1" w:styleId="331">
    <w:name w:val="font10"/>
    <w:basedOn w:val="1"/>
    <w:qFormat/>
    <w:uiPriority w:val="0"/>
    <w:pPr>
      <w:adjustRightInd/>
      <w:snapToGrid/>
      <w:spacing w:before="100" w:beforeAutospacing="1" w:after="100" w:afterAutospacing="1"/>
    </w:pPr>
    <w:rPr>
      <w:rFonts w:ascii="楷体_GB2312" w:hAnsi="宋体" w:eastAsia="楷体_GB2312"/>
      <w:b/>
      <w:bCs/>
      <w:sz w:val="18"/>
      <w:szCs w:val="18"/>
    </w:rPr>
  </w:style>
  <w:style w:type="paragraph" w:customStyle="1" w:styleId="332">
    <w:name w:val="Char Char Char Char Char Char Char Char Char Char Char Char Char Char"/>
    <w:basedOn w:val="1"/>
    <w:qFormat/>
    <w:uiPriority w:val="0"/>
    <w:pPr>
      <w:widowControl w:val="0"/>
      <w:adjustRightInd/>
      <w:snapToGrid/>
      <w:jc w:val="both"/>
    </w:pPr>
    <w:rPr>
      <w:rFonts w:cs="Tahoma"/>
      <w:kern w:val="2"/>
      <w:szCs w:val="20"/>
    </w:rPr>
  </w:style>
  <w:style w:type="paragraph" w:customStyle="1" w:styleId="333">
    <w:name w:val="样式"/>
    <w:basedOn w:val="1"/>
    <w:qFormat/>
    <w:uiPriority w:val="0"/>
    <w:pPr>
      <w:widowControl w:val="0"/>
      <w:autoSpaceDE w:val="0"/>
      <w:autoSpaceDN w:val="0"/>
      <w:adjustRightInd/>
      <w:spacing w:before="120" w:after="120"/>
      <w:jc w:val="both"/>
    </w:pPr>
    <w:rPr>
      <w:rFonts w:ascii="宋体" w:hAnsi="Times New Roman" w:cs="Times New Roman"/>
      <w:kern w:val="2"/>
      <w:szCs w:val="20"/>
    </w:rPr>
  </w:style>
  <w:style w:type="paragraph" w:customStyle="1" w:styleId="334">
    <w:name w:val="xl46"/>
    <w:basedOn w:val="1"/>
    <w:qFormat/>
    <w:uiPriority w:val="0"/>
    <w:pPr>
      <w:pBdr>
        <w:left w:val="single" w:color="auto" w:sz="4" w:space="0"/>
        <w:right w:val="single" w:color="auto" w:sz="4" w:space="0"/>
      </w:pBdr>
      <w:adjustRightInd/>
      <w:snapToGrid/>
      <w:spacing w:before="100" w:beforeAutospacing="1" w:after="100" w:afterAutospacing="1"/>
      <w:jc w:val="center"/>
      <w:textAlignment w:val="center"/>
    </w:pPr>
    <w:rPr>
      <w:rFonts w:ascii="宋体" w:hAnsi="宋体"/>
      <w:szCs w:val="24"/>
    </w:rPr>
  </w:style>
  <w:style w:type="paragraph" w:customStyle="1" w:styleId="335">
    <w:name w:val="样式 标题 3H3sect1.2.3BOD 0Heading 3 - oldh3l3CTLevel 3 Head..."/>
    <w:basedOn w:val="4"/>
    <w:qFormat/>
    <w:uiPriority w:val="0"/>
    <w:pPr>
      <w:spacing w:beforeLines="50" w:afterLines="50"/>
      <w:jc w:val="left"/>
    </w:pPr>
    <w:rPr>
      <w:rFonts w:cs="宋体"/>
      <w:bCs/>
      <w:sz w:val="30"/>
    </w:rPr>
  </w:style>
  <w:style w:type="paragraph" w:customStyle="1" w:styleId="336">
    <w:name w:val="flType"/>
    <w:basedOn w:val="294"/>
    <w:qFormat/>
    <w:uiPriority w:val="0"/>
    <w:pPr>
      <w:spacing w:after="284"/>
    </w:pPr>
    <w:rPr>
      <w:rFonts w:eastAsia="宋体"/>
      <w:b w:val="0"/>
    </w:rPr>
  </w:style>
  <w:style w:type="paragraph" w:customStyle="1" w:styleId="337">
    <w:name w:val="样式3"/>
    <w:basedOn w:val="1"/>
    <w:next w:val="1"/>
    <w:qFormat/>
    <w:uiPriority w:val="0"/>
    <w:pPr>
      <w:widowControl w:val="0"/>
      <w:adjustRightInd/>
      <w:snapToGrid/>
      <w:jc w:val="both"/>
    </w:pPr>
    <w:rPr>
      <w:rFonts w:ascii="Times New Roman" w:hAnsi="Times New Roman" w:cs="Times New Roman"/>
      <w:kern w:val="2"/>
      <w:sz w:val="21"/>
      <w:szCs w:val="20"/>
    </w:rPr>
  </w:style>
  <w:style w:type="paragraph" w:customStyle="1" w:styleId="338">
    <w:name w:val="xl58"/>
    <w:basedOn w:val="1"/>
    <w:qFormat/>
    <w:uiPriority w:val="0"/>
    <w:pPr>
      <w:pBdr>
        <w:left w:val="single" w:color="auto" w:sz="4" w:space="0"/>
        <w:right w:val="single" w:color="auto" w:sz="4" w:space="0"/>
      </w:pBdr>
      <w:adjustRightInd/>
      <w:snapToGrid/>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339">
    <w:name w:val="列表内容"/>
    <w:basedOn w:val="1"/>
    <w:next w:val="1"/>
    <w:qFormat/>
    <w:uiPriority w:val="0"/>
    <w:pPr>
      <w:tabs>
        <w:tab w:val="left" w:pos="840"/>
      </w:tabs>
      <w:adjustRightInd/>
      <w:snapToGrid/>
      <w:ind w:left="840" w:hanging="420"/>
    </w:pPr>
    <w:rPr>
      <w:rFonts w:ascii="Times New Roman" w:hAnsi="Times New Roman" w:cs="Times New Roman"/>
      <w:sz w:val="18"/>
      <w:szCs w:val="24"/>
    </w:rPr>
  </w:style>
  <w:style w:type="paragraph" w:customStyle="1" w:styleId="340">
    <w:name w:val="插图"/>
    <w:basedOn w:val="1"/>
    <w:qFormat/>
    <w:uiPriority w:val="0"/>
    <w:pPr>
      <w:widowControl w:val="0"/>
      <w:tabs>
        <w:tab w:val="left" w:pos="1620"/>
      </w:tabs>
      <w:snapToGrid/>
      <w:jc w:val="center"/>
    </w:pPr>
    <w:rPr>
      <w:rFonts w:ascii="Times New Roman" w:hAnsi="Times New Roman" w:cs="Times New Roman"/>
      <w:bCs/>
      <w:color w:val="000000"/>
      <w:kern w:val="2"/>
      <w:sz w:val="21"/>
    </w:rPr>
  </w:style>
  <w:style w:type="paragraph" w:customStyle="1" w:styleId="341">
    <w:name w:val="章标题"/>
    <w:next w:val="342"/>
    <w:qFormat/>
    <w:uiPriority w:val="0"/>
    <w:pPr>
      <w:spacing w:beforeLines="50" w:afterLines="50"/>
      <w:jc w:val="both"/>
      <w:outlineLvl w:val="1"/>
    </w:pPr>
    <w:rPr>
      <w:rFonts w:ascii="Times New Roman" w:hAnsi="Times New Roman" w:eastAsia="黑体" w:cs="Times New Roman"/>
      <w:sz w:val="21"/>
      <w:lang w:val="en-US" w:eastAsia="zh-CN" w:bidi="ar-SA"/>
    </w:rPr>
  </w:style>
  <w:style w:type="paragraph" w:customStyle="1" w:styleId="342">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43">
    <w:name w:val="xl36"/>
    <w:basedOn w:val="1"/>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textAlignment w:val="center"/>
    </w:pPr>
    <w:rPr>
      <w:rFonts w:ascii="宋体" w:hAnsi="宋体"/>
      <w:b/>
      <w:bCs/>
      <w:sz w:val="20"/>
      <w:szCs w:val="20"/>
    </w:rPr>
  </w:style>
  <w:style w:type="paragraph" w:customStyle="1" w:styleId="344">
    <w:name w:val="Normal1"/>
    <w:basedOn w:val="1"/>
    <w:qFormat/>
    <w:uiPriority w:val="0"/>
    <w:pPr>
      <w:widowControl w:val="0"/>
      <w:adjustRightInd/>
      <w:snapToGrid/>
      <w:jc w:val="both"/>
    </w:pPr>
    <w:rPr>
      <w:rFonts w:ascii="Calibri" w:hAnsi="Calibri" w:eastAsia="Calibri"/>
      <w:sz w:val="21"/>
      <w:szCs w:val="20"/>
      <w:lang w:val="zh-CN"/>
    </w:rPr>
  </w:style>
  <w:style w:type="paragraph" w:customStyle="1" w:styleId="345">
    <w:name w:val="标题3，章节第三层"/>
    <w:basedOn w:val="1"/>
    <w:next w:val="272"/>
    <w:qFormat/>
    <w:uiPriority w:val="0"/>
    <w:pPr>
      <w:widowControl w:val="0"/>
      <w:spacing w:before="78" w:line="300" w:lineRule="auto"/>
      <w:jc w:val="both"/>
      <w:outlineLvl w:val="2"/>
    </w:pPr>
    <w:rPr>
      <w:rFonts w:ascii="Arial" w:hAnsi="Arial" w:eastAsia="华文细黑" w:cs="Times New Roman"/>
      <w:kern w:val="2"/>
      <w:sz w:val="30"/>
      <w:szCs w:val="24"/>
    </w:rPr>
  </w:style>
  <w:style w:type="paragraph" w:customStyle="1" w:styleId="346">
    <w:name w:val="_Style 42"/>
    <w:basedOn w:val="1"/>
    <w:next w:val="21"/>
    <w:qFormat/>
    <w:uiPriority w:val="0"/>
    <w:pPr>
      <w:widowControl w:val="0"/>
      <w:adjustRightInd/>
      <w:snapToGrid/>
      <w:jc w:val="both"/>
    </w:pPr>
    <w:rPr>
      <w:rFonts w:ascii="楷体_GB2312" w:hAnsi="Arial" w:eastAsia="楷体_GB2312" w:cs="Times New Roman"/>
      <w:kern w:val="2"/>
      <w:sz w:val="28"/>
      <w:szCs w:val="20"/>
    </w:rPr>
  </w:style>
  <w:style w:type="paragraph" w:customStyle="1" w:styleId="347">
    <w:name w:val="p0"/>
    <w:basedOn w:val="1"/>
    <w:qFormat/>
    <w:uiPriority w:val="0"/>
    <w:pPr>
      <w:adjustRightInd/>
      <w:snapToGrid/>
      <w:spacing w:before="100" w:beforeAutospacing="1" w:after="100" w:afterAutospacing="1"/>
    </w:pPr>
    <w:rPr>
      <w:rFonts w:ascii="宋体" w:hAnsi="宋体"/>
      <w:szCs w:val="24"/>
    </w:rPr>
  </w:style>
  <w:style w:type="paragraph" w:customStyle="1" w:styleId="348">
    <w:name w:val="样式 段后: 0.5 行 左  0.75 字符"/>
    <w:basedOn w:val="1"/>
    <w:qFormat/>
    <w:uiPriority w:val="0"/>
    <w:pPr>
      <w:adjustRightInd/>
      <w:snapToGrid/>
      <w:ind w:firstLine="420"/>
      <w:jc w:val="both"/>
    </w:pPr>
    <w:rPr>
      <w:rFonts w:ascii="Times New Roman" w:hAnsi="Arial" w:cs="Arial"/>
      <w:sz w:val="21"/>
      <w:szCs w:val="21"/>
    </w:rPr>
  </w:style>
  <w:style w:type="paragraph" w:customStyle="1" w:styleId="349">
    <w:name w:val="retrait3"/>
    <w:basedOn w:val="1"/>
    <w:qFormat/>
    <w:uiPriority w:val="0"/>
    <w:pPr>
      <w:adjustRightInd/>
      <w:snapToGrid/>
      <w:spacing w:before="20" w:after="20"/>
      <w:ind w:left="851"/>
    </w:pPr>
    <w:rPr>
      <w:rFonts w:ascii="Arial" w:hAnsi="Arial" w:cs="Times New Roman"/>
      <w:szCs w:val="20"/>
      <w:lang w:val="en-GB"/>
    </w:rPr>
  </w:style>
  <w:style w:type="paragraph" w:customStyle="1" w:styleId="350">
    <w:name w:val="xl56"/>
    <w:basedOn w:val="1"/>
    <w:qFormat/>
    <w:uiPriority w:val="0"/>
    <w:pPr>
      <w:pBdr>
        <w:top w:val="single" w:color="auto" w:sz="4" w:space="0"/>
        <w:bottom w:val="single" w:color="auto" w:sz="4" w:space="0"/>
        <w:right w:val="single" w:color="auto" w:sz="4" w:space="0"/>
      </w:pBdr>
      <w:shd w:val="clear" w:color="auto" w:fill="969696"/>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351">
    <w:name w:val="xl33"/>
    <w:basedOn w:val="1"/>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jc w:val="center"/>
      <w:textAlignment w:val="center"/>
    </w:pPr>
    <w:rPr>
      <w:rFonts w:ascii="宋体" w:hAnsi="宋体"/>
      <w:b/>
      <w:bCs/>
      <w:sz w:val="20"/>
      <w:szCs w:val="20"/>
    </w:rPr>
  </w:style>
  <w:style w:type="paragraph" w:customStyle="1" w:styleId="352">
    <w:name w:val="xl44"/>
    <w:basedOn w:val="1"/>
    <w:qFormat/>
    <w:uiPriority w:val="0"/>
    <w:pPr>
      <w:pBdr>
        <w:top w:val="single" w:color="auto" w:sz="4" w:space="0"/>
        <w:left w:val="single" w:color="auto" w:sz="4" w:space="0"/>
        <w:right w:val="single" w:color="auto" w:sz="4" w:space="0"/>
      </w:pBdr>
      <w:adjustRightInd/>
      <w:snapToGrid/>
      <w:spacing w:before="100" w:beforeAutospacing="1" w:after="100" w:afterAutospacing="1"/>
      <w:jc w:val="center"/>
      <w:textAlignment w:val="center"/>
    </w:pPr>
    <w:rPr>
      <w:rFonts w:ascii="宋体" w:hAnsi="宋体"/>
      <w:b/>
      <w:bCs/>
      <w:sz w:val="20"/>
      <w:szCs w:val="20"/>
    </w:rPr>
  </w:style>
  <w:style w:type="paragraph" w:customStyle="1" w:styleId="353">
    <w:name w:val="标题 4宋体"/>
    <w:basedOn w:val="5"/>
    <w:qFormat/>
    <w:uiPriority w:val="0"/>
    <w:pPr>
      <w:keepLines w:val="0"/>
      <w:autoSpaceDE w:val="0"/>
      <w:autoSpaceDN w:val="0"/>
      <w:adjustRightInd w:val="0"/>
      <w:spacing w:before="0" w:after="0"/>
      <w:jc w:val="left"/>
    </w:pPr>
    <w:rPr>
      <w:rFonts w:ascii="宋体" w:hAnsi="宋体" w:eastAsia="宋体"/>
      <w:bCs/>
      <w:color w:val="000000"/>
      <w:kern w:val="0"/>
      <w:sz w:val="24"/>
    </w:rPr>
  </w:style>
  <w:style w:type="paragraph" w:customStyle="1" w:styleId="354">
    <w:name w:val="Char Char1 Char Char Char Char1 Char Char Char Char Char Char"/>
    <w:basedOn w:val="1"/>
    <w:qFormat/>
    <w:uiPriority w:val="0"/>
    <w:pPr>
      <w:widowControl w:val="0"/>
      <w:adjustRightInd/>
      <w:snapToGrid/>
      <w:jc w:val="both"/>
    </w:pPr>
    <w:rPr>
      <w:rFonts w:cs="Times New Roman"/>
      <w:kern w:val="2"/>
      <w:szCs w:val="20"/>
    </w:rPr>
  </w:style>
  <w:style w:type="paragraph" w:customStyle="1" w:styleId="355">
    <w:name w:val="正文1"/>
    <w:basedOn w:val="1"/>
    <w:next w:val="1"/>
    <w:qFormat/>
    <w:uiPriority w:val="0"/>
    <w:pPr>
      <w:widowControl w:val="0"/>
      <w:adjustRightInd/>
      <w:snapToGrid/>
      <w:spacing w:before="156"/>
      <w:ind w:firstLine="510"/>
      <w:jc w:val="both"/>
    </w:pPr>
    <w:rPr>
      <w:rFonts w:ascii="Times New Roman" w:hAnsi="Times New Roman" w:cs="Times New Roman"/>
      <w:kern w:val="2"/>
      <w:szCs w:val="20"/>
    </w:rPr>
  </w:style>
  <w:style w:type="paragraph" w:customStyle="1" w:styleId="356">
    <w:name w:val="正文文本 22"/>
    <w:basedOn w:val="1"/>
    <w:qFormat/>
    <w:uiPriority w:val="0"/>
    <w:pPr>
      <w:overflowPunct w:val="0"/>
      <w:autoSpaceDE w:val="0"/>
      <w:autoSpaceDN w:val="0"/>
      <w:snapToGrid/>
      <w:ind w:left="720" w:hanging="720"/>
      <w:jc w:val="both"/>
      <w:textAlignment w:val="baseline"/>
    </w:pPr>
    <w:rPr>
      <w:rFonts w:ascii="Times New Roman" w:hAnsi="Times New Roman" w:cs="Times New Roman"/>
      <w:szCs w:val="20"/>
      <w:lang w:val="en-GB"/>
    </w:rPr>
  </w:style>
  <w:style w:type="paragraph" w:customStyle="1" w:styleId="357">
    <w:name w:val="Item Step in Table"/>
    <w:qFormat/>
    <w:uiPriority w:val="0"/>
    <w:pPr>
      <w:numPr>
        <w:ilvl w:val="0"/>
        <w:numId w:val="4"/>
      </w:numPr>
      <w:spacing w:before="40" w:after="40"/>
      <w:jc w:val="both"/>
    </w:pPr>
    <w:rPr>
      <w:rFonts w:ascii="Arial" w:hAnsi="Arial" w:eastAsia="宋体" w:cs="Arial"/>
      <w:sz w:val="18"/>
      <w:szCs w:val="18"/>
      <w:lang w:val="en-US" w:eastAsia="zh-CN" w:bidi="ar-SA"/>
    </w:rPr>
  </w:style>
  <w:style w:type="paragraph" w:customStyle="1" w:styleId="358">
    <w:name w:val="Char Char1 Char Char Char Char"/>
    <w:basedOn w:val="17"/>
    <w:qFormat/>
    <w:uiPriority w:val="0"/>
    <w:pPr>
      <w:adjustRightInd w:val="0"/>
      <w:spacing w:line="436" w:lineRule="exact"/>
      <w:ind w:left="357"/>
      <w:jc w:val="left"/>
      <w:outlineLvl w:val="3"/>
    </w:pPr>
    <w:rPr>
      <w:rFonts w:ascii="Tahoma" w:hAnsi="Tahoma" w:cs="Tahoma"/>
      <w:b/>
      <w:kern w:val="0"/>
      <w:sz w:val="24"/>
      <w:szCs w:val="24"/>
    </w:rPr>
  </w:style>
  <w:style w:type="paragraph" w:customStyle="1" w:styleId="359">
    <w:name w:val="Char Char Char Char Char1"/>
    <w:basedOn w:val="1"/>
    <w:qFormat/>
    <w:uiPriority w:val="0"/>
    <w:pPr>
      <w:widowControl w:val="0"/>
      <w:adjustRightInd/>
      <w:snapToGrid/>
      <w:jc w:val="both"/>
    </w:pPr>
    <w:rPr>
      <w:rFonts w:cs="Tahoma"/>
      <w:kern w:val="2"/>
      <w:szCs w:val="20"/>
    </w:rPr>
  </w:style>
  <w:style w:type="paragraph" w:customStyle="1" w:styleId="360">
    <w:name w:val="Pa5"/>
    <w:basedOn w:val="1"/>
    <w:next w:val="1"/>
    <w:qFormat/>
    <w:uiPriority w:val="0"/>
    <w:pPr>
      <w:widowControl w:val="0"/>
      <w:autoSpaceDE w:val="0"/>
      <w:autoSpaceDN w:val="0"/>
      <w:snapToGrid/>
      <w:spacing w:line="241" w:lineRule="atLeast"/>
    </w:pPr>
    <w:rPr>
      <w:rFonts w:ascii="HYDaHeiJ" w:hAnsi="Times New Roman" w:eastAsia="HYDaHeiJ" w:cs="Times New Roman"/>
      <w:szCs w:val="24"/>
    </w:rPr>
  </w:style>
  <w:style w:type="paragraph" w:customStyle="1" w:styleId="361">
    <w:name w:val="论文正文"/>
    <w:basedOn w:val="33"/>
    <w:qFormat/>
    <w:uiPriority w:val="0"/>
    <w:pPr>
      <w:ind w:left="0" w:firstLine="200"/>
      <w:jc w:val="left"/>
    </w:pPr>
    <w:rPr>
      <w:rFonts w:ascii="Times New Roman" w:hAnsi="Times New Roman"/>
      <w:sz w:val="28"/>
      <w:szCs w:val="24"/>
    </w:rPr>
  </w:style>
  <w:style w:type="paragraph" w:customStyle="1" w:styleId="362">
    <w:name w:val="xl32"/>
    <w:basedOn w:val="1"/>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textAlignment w:val="center"/>
    </w:pPr>
    <w:rPr>
      <w:rFonts w:ascii="Times New Roman" w:hAnsi="Times New Roman" w:cs="Times New Roman"/>
      <w:b/>
      <w:bCs/>
      <w:i/>
      <w:iCs/>
      <w:sz w:val="20"/>
      <w:szCs w:val="20"/>
    </w:rPr>
  </w:style>
  <w:style w:type="paragraph" w:customStyle="1" w:styleId="363">
    <w:name w:val="Char Char Char1"/>
    <w:basedOn w:val="17"/>
    <w:qFormat/>
    <w:uiPriority w:val="0"/>
    <w:pPr>
      <w:spacing w:line="436" w:lineRule="exact"/>
    </w:pPr>
    <w:rPr>
      <w:szCs w:val="24"/>
    </w:rPr>
  </w:style>
  <w:style w:type="paragraph" w:customStyle="1" w:styleId="364">
    <w:name w:val="正文--表格内正文"/>
    <w:basedOn w:val="1"/>
    <w:qFormat/>
    <w:uiPriority w:val="0"/>
    <w:pPr>
      <w:widowControl w:val="0"/>
      <w:adjustRightInd/>
      <w:snapToGrid/>
      <w:spacing w:beforeLines="50" w:line="0" w:lineRule="atLeast"/>
      <w:jc w:val="center"/>
    </w:pPr>
    <w:rPr>
      <w:rFonts w:ascii="宋体" w:hAnsi="宋体" w:cs="Times New Roman"/>
      <w:color w:val="000000"/>
      <w:kern w:val="2"/>
      <w:szCs w:val="24"/>
    </w:rPr>
  </w:style>
  <w:style w:type="paragraph" w:customStyle="1" w:styleId="365">
    <w:name w:val="Char Char Char Char"/>
    <w:basedOn w:val="1"/>
    <w:qFormat/>
    <w:uiPriority w:val="0"/>
    <w:pPr>
      <w:adjustRightInd/>
      <w:snapToGrid/>
      <w:spacing w:after="160" w:line="240" w:lineRule="exact"/>
      <w:jc w:val="center"/>
    </w:pPr>
    <w:rPr>
      <w:rFonts w:ascii="黑体" w:hAnsi="Verdana" w:eastAsia="黑体" w:cs="Times New Roman"/>
      <w:sz w:val="32"/>
      <w:szCs w:val="32"/>
      <w:lang w:eastAsia="en-US"/>
    </w:rPr>
  </w:style>
  <w:style w:type="paragraph" w:customStyle="1" w:styleId="366">
    <w:name w:val="xl54"/>
    <w:basedOn w:val="1"/>
    <w:qFormat/>
    <w:uiPriority w:val="0"/>
    <w:pPr>
      <w:pBdr>
        <w:top w:val="single" w:color="auto" w:sz="4" w:space="0"/>
        <w:left w:val="single" w:color="auto" w:sz="4" w:space="0"/>
        <w:bottom w:val="single" w:color="auto" w:sz="4" w:space="0"/>
      </w:pBdr>
      <w:shd w:val="clear" w:color="auto" w:fill="969696"/>
      <w:adjustRightInd/>
      <w:snapToGrid/>
      <w:spacing w:before="100" w:beforeAutospacing="1" w:after="100" w:afterAutospacing="1"/>
      <w:jc w:val="center"/>
      <w:textAlignment w:val="center"/>
    </w:pPr>
    <w:rPr>
      <w:rFonts w:ascii="宋体" w:hAnsi="宋体"/>
      <w:b/>
      <w:bCs/>
      <w:sz w:val="20"/>
      <w:szCs w:val="20"/>
    </w:rPr>
  </w:style>
  <w:style w:type="paragraph" w:customStyle="1" w:styleId="367">
    <w:name w:val="公文标题 2"/>
    <w:basedOn w:val="1"/>
    <w:next w:val="236"/>
    <w:qFormat/>
    <w:uiPriority w:val="0"/>
    <w:pPr>
      <w:widowControl w:val="0"/>
      <w:adjustRightInd/>
      <w:snapToGrid/>
      <w:jc w:val="both"/>
      <w:outlineLvl w:val="1"/>
    </w:pPr>
    <w:rPr>
      <w:rFonts w:ascii="仿宋_GB2312" w:hAnsi="宋体" w:eastAsia="仿宋_GB2312" w:cs="Times New Roman"/>
      <w:kern w:val="28"/>
      <w:sz w:val="28"/>
      <w:szCs w:val="24"/>
    </w:rPr>
  </w:style>
  <w:style w:type="paragraph" w:customStyle="1" w:styleId="368">
    <w:name w:val="Table Text Char"/>
    <w:link w:val="456"/>
    <w:qFormat/>
    <w:uiPriority w:val="0"/>
    <w:pPr>
      <w:snapToGrid w:val="0"/>
      <w:spacing w:before="80" w:after="80"/>
    </w:pPr>
    <w:rPr>
      <w:rFonts w:ascii="Arial" w:hAnsi="Arial" w:eastAsia="宋体" w:cs="Arial"/>
      <w:sz w:val="18"/>
      <w:szCs w:val="28"/>
      <w:lang w:val="en-US" w:eastAsia="zh-CN" w:bidi="ar-SA"/>
    </w:rPr>
  </w:style>
  <w:style w:type="paragraph" w:customStyle="1" w:styleId="369">
    <w:name w:val="Char2 Char Char Char Char Char Char1"/>
    <w:basedOn w:val="1"/>
    <w:qFormat/>
    <w:uiPriority w:val="0"/>
    <w:pPr>
      <w:keepNext/>
      <w:tabs>
        <w:tab w:val="left" w:pos="425"/>
      </w:tabs>
      <w:autoSpaceDE w:val="0"/>
      <w:autoSpaceDN w:val="0"/>
      <w:snapToGrid/>
      <w:spacing w:before="80" w:after="80"/>
      <w:ind w:hanging="425"/>
      <w:jc w:val="both"/>
    </w:pPr>
    <w:rPr>
      <w:rFonts w:ascii="Arial" w:hAnsi="Arial" w:cs="Arial"/>
      <w:kern w:val="2"/>
      <w:sz w:val="20"/>
      <w:szCs w:val="20"/>
    </w:rPr>
  </w:style>
  <w:style w:type="paragraph" w:customStyle="1" w:styleId="370">
    <w:name w:val="Char Char Char Char Char Char Char Char Char Char Char Char Char1"/>
    <w:basedOn w:val="17"/>
    <w:qFormat/>
    <w:uiPriority w:val="0"/>
    <w:rPr>
      <w:rFonts w:ascii="Tahoma" w:hAnsi="Tahoma"/>
      <w:sz w:val="24"/>
      <w:szCs w:val="24"/>
    </w:rPr>
  </w:style>
  <w:style w:type="paragraph" w:customStyle="1" w:styleId="371">
    <w:name w:val="xl31"/>
    <w:basedOn w:val="1"/>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jc w:val="center"/>
    </w:pPr>
    <w:rPr>
      <w:rFonts w:ascii="楷体_GB2312" w:hAnsi="宋体" w:eastAsia="楷体_GB2312"/>
      <w:b/>
      <w:bCs/>
      <w:szCs w:val="24"/>
    </w:rPr>
  </w:style>
  <w:style w:type="paragraph" w:customStyle="1" w:styleId="372">
    <w:name w:val="正文表标题"/>
    <w:next w:val="342"/>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373">
    <w:name w:val="正文 首行缩进:  2 字符 Char Char"/>
    <w:basedOn w:val="1"/>
    <w:qFormat/>
    <w:uiPriority w:val="0"/>
    <w:pPr>
      <w:widowControl w:val="0"/>
      <w:adjustRightInd/>
      <w:snapToGrid/>
      <w:ind w:firstLine="480"/>
      <w:jc w:val="both"/>
    </w:pPr>
    <w:rPr>
      <w:rFonts w:ascii="楷体_GB2312" w:hAnsi="Times New Roman" w:eastAsia="楷体_GB2312" w:cs="Times New Roman"/>
      <w:bCs/>
      <w:kern w:val="2"/>
      <w:szCs w:val="24"/>
    </w:rPr>
  </w:style>
  <w:style w:type="paragraph" w:customStyle="1" w:styleId="374">
    <w:name w:val="正文lzq"/>
    <w:basedOn w:val="1"/>
    <w:qFormat/>
    <w:uiPriority w:val="0"/>
    <w:pPr>
      <w:widowControl w:val="0"/>
      <w:snapToGrid/>
      <w:ind w:firstLine="480"/>
      <w:jc w:val="both"/>
      <w:textAlignment w:val="baseline"/>
    </w:pPr>
    <w:rPr>
      <w:rFonts w:ascii="Times New Roman" w:hAnsi="Times New Roman" w:cs="Times New Roman"/>
      <w:szCs w:val="20"/>
    </w:rPr>
  </w:style>
  <w:style w:type="paragraph" w:customStyle="1" w:styleId="375">
    <w:name w:val="表格文字"/>
    <w:basedOn w:val="1"/>
    <w:qFormat/>
    <w:uiPriority w:val="0"/>
    <w:pPr>
      <w:widowControl w:val="0"/>
      <w:snapToGrid/>
      <w:textAlignment w:val="baseline"/>
    </w:pPr>
    <w:rPr>
      <w:rFonts w:ascii="Arial" w:hAnsi="Arial" w:cs="Times New Roman"/>
      <w:szCs w:val="20"/>
    </w:rPr>
  </w:style>
  <w:style w:type="paragraph" w:customStyle="1" w:styleId="376">
    <w:name w:val="xl39"/>
    <w:basedOn w:val="1"/>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pPr>
    <w:rPr>
      <w:rFonts w:ascii="宋体" w:hAnsi="宋体"/>
      <w:szCs w:val="24"/>
    </w:rPr>
  </w:style>
  <w:style w:type="paragraph" w:customStyle="1" w:styleId="377">
    <w:name w:val="表格1"/>
    <w:basedOn w:val="1"/>
    <w:qFormat/>
    <w:uiPriority w:val="0"/>
    <w:pPr>
      <w:widowControl w:val="0"/>
      <w:snapToGrid/>
      <w:jc w:val="both"/>
      <w:textAlignment w:val="baseline"/>
    </w:pPr>
    <w:rPr>
      <w:rFonts w:ascii="宋体" w:hAnsi="Times New Roman" w:cs="Times New Roman"/>
      <w:kern w:val="24"/>
      <w:sz w:val="21"/>
      <w:szCs w:val="21"/>
    </w:rPr>
  </w:style>
  <w:style w:type="paragraph" w:customStyle="1" w:styleId="378">
    <w:name w:val="文档正文"/>
    <w:basedOn w:val="1"/>
    <w:qFormat/>
    <w:uiPriority w:val="0"/>
    <w:pPr>
      <w:widowControl w:val="0"/>
      <w:adjustRightInd/>
      <w:snapToGrid/>
      <w:jc w:val="both"/>
    </w:pPr>
    <w:rPr>
      <w:rFonts w:ascii="宋体" w:hAnsi="宋体" w:cs="Times New Roman"/>
      <w:b/>
      <w:bCs/>
      <w:kern w:val="2"/>
      <w:sz w:val="21"/>
      <w:szCs w:val="24"/>
    </w:rPr>
  </w:style>
  <w:style w:type="paragraph" w:customStyle="1" w:styleId="379">
    <w:name w:val="Default Text"/>
    <w:basedOn w:val="1"/>
    <w:qFormat/>
    <w:uiPriority w:val="0"/>
    <w:pPr>
      <w:adjustRightInd/>
      <w:snapToGrid/>
    </w:pPr>
    <w:rPr>
      <w:rFonts w:ascii="Times New Roman" w:hAnsi="Times New Roman" w:cs="Times New Roman"/>
      <w:szCs w:val="20"/>
      <w:lang w:eastAsia="en-US"/>
    </w:rPr>
  </w:style>
  <w:style w:type="paragraph" w:customStyle="1" w:styleId="380">
    <w:name w:val="xl29"/>
    <w:basedOn w:val="1"/>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381">
    <w:name w:val="xl27"/>
    <w:basedOn w:val="1"/>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382">
    <w:name w:val="xl50"/>
    <w:basedOn w:val="1"/>
    <w:qFormat/>
    <w:uiPriority w:val="0"/>
    <w:pPr>
      <w:pBdr>
        <w:left w:val="single" w:color="auto" w:sz="4" w:space="0"/>
        <w:bottom w:val="single" w:color="auto" w:sz="4" w:space="0"/>
        <w:right w:val="single" w:color="auto" w:sz="4" w:space="0"/>
      </w:pBdr>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383">
    <w:name w:val="a0"/>
    <w:basedOn w:val="1"/>
    <w:qFormat/>
    <w:uiPriority w:val="0"/>
    <w:pPr>
      <w:adjustRightInd/>
      <w:snapToGrid/>
      <w:spacing w:before="100" w:beforeAutospacing="1" w:after="100" w:afterAutospacing="1"/>
      <w:jc w:val="both"/>
    </w:pPr>
    <w:rPr>
      <w:rFonts w:ascii="宋体" w:hAnsi="宋体"/>
      <w:szCs w:val="24"/>
    </w:rPr>
  </w:style>
  <w:style w:type="paragraph" w:customStyle="1" w:styleId="384">
    <w:name w:val="标题4，章节第四层"/>
    <w:basedOn w:val="1"/>
    <w:next w:val="1"/>
    <w:qFormat/>
    <w:uiPriority w:val="0"/>
    <w:pPr>
      <w:widowControl w:val="0"/>
      <w:tabs>
        <w:tab w:val="left" w:pos="0"/>
      </w:tabs>
      <w:adjustRightInd/>
      <w:snapToGrid/>
      <w:jc w:val="both"/>
      <w:outlineLvl w:val="3"/>
    </w:pPr>
    <w:rPr>
      <w:rFonts w:ascii="宋体" w:hAnsi="宋体" w:cs="Times New Roman"/>
      <w:b/>
      <w:kern w:val="2"/>
      <w:szCs w:val="24"/>
    </w:rPr>
  </w:style>
  <w:style w:type="paragraph" w:customStyle="1" w:styleId="385">
    <w:name w:val="正文文本缩进1"/>
    <w:basedOn w:val="1"/>
    <w:qFormat/>
    <w:uiPriority w:val="0"/>
    <w:pPr>
      <w:widowControl w:val="0"/>
      <w:adjustRightInd/>
      <w:snapToGrid/>
      <w:spacing w:after="120"/>
      <w:ind w:left="420" w:leftChars="200"/>
      <w:jc w:val="both"/>
    </w:pPr>
    <w:rPr>
      <w:rFonts w:ascii="Times New Roman" w:hAnsi="Times New Roman" w:cs="Times New Roman"/>
      <w:kern w:val="2"/>
      <w:sz w:val="21"/>
      <w:szCs w:val="24"/>
    </w:rPr>
  </w:style>
  <w:style w:type="paragraph" w:customStyle="1" w:styleId="386">
    <w:name w:val="标准文本"/>
    <w:basedOn w:val="1"/>
    <w:qFormat/>
    <w:uiPriority w:val="0"/>
    <w:pPr>
      <w:widowControl w:val="0"/>
      <w:adjustRightInd/>
      <w:snapToGrid/>
      <w:ind w:firstLine="480"/>
      <w:jc w:val="both"/>
    </w:pPr>
    <w:rPr>
      <w:rFonts w:ascii="Times New Roman" w:hAnsi="Times New Roman"/>
      <w:kern w:val="2"/>
      <w:szCs w:val="24"/>
    </w:rPr>
  </w:style>
  <w:style w:type="paragraph" w:customStyle="1" w:styleId="387">
    <w:name w:val="列出段落1"/>
    <w:basedOn w:val="1"/>
    <w:qFormat/>
    <w:uiPriority w:val="0"/>
    <w:pPr>
      <w:adjustRightInd/>
      <w:snapToGrid/>
      <w:ind w:left="720"/>
      <w:contextualSpacing/>
    </w:pPr>
    <w:rPr>
      <w:rFonts w:ascii="Arial" w:hAnsi="Arial" w:eastAsia="黑体" w:cs="Times New Roman"/>
      <w:szCs w:val="24"/>
      <w:lang w:eastAsia="en-US"/>
    </w:rPr>
  </w:style>
  <w:style w:type="paragraph" w:customStyle="1" w:styleId="388">
    <w:name w:val="Char Char Char Char Char Char Char Char1"/>
    <w:basedOn w:val="1"/>
    <w:qFormat/>
    <w:uiPriority w:val="0"/>
    <w:pPr>
      <w:widowControl w:val="0"/>
      <w:adjustRightInd/>
      <w:snapToGrid/>
      <w:jc w:val="both"/>
    </w:pPr>
    <w:rPr>
      <w:rFonts w:cs="Tahoma"/>
      <w:kern w:val="2"/>
      <w:szCs w:val="20"/>
    </w:rPr>
  </w:style>
  <w:style w:type="paragraph" w:customStyle="1" w:styleId="389">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390">
    <w:name w:val="xl43"/>
    <w:basedOn w:val="1"/>
    <w:qFormat/>
    <w:uiPriority w:val="0"/>
    <w:pPr>
      <w:pBdr>
        <w:left w:val="single" w:color="auto" w:sz="4" w:space="0"/>
        <w:bottom w:val="single" w:color="auto" w:sz="4" w:space="0"/>
        <w:right w:val="single" w:color="auto" w:sz="4" w:space="0"/>
      </w:pBdr>
      <w:adjustRightInd/>
      <w:snapToGrid/>
      <w:spacing w:before="100" w:beforeAutospacing="1" w:after="100" w:afterAutospacing="1"/>
      <w:jc w:val="center"/>
      <w:textAlignment w:val="center"/>
    </w:pPr>
    <w:rPr>
      <w:rFonts w:ascii="宋体" w:hAnsi="宋体"/>
      <w:b/>
      <w:bCs/>
      <w:sz w:val="20"/>
      <w:szCs w:val="20"/>
    </w:rPr>
  </w:style>
  <w:style w:type="paragraph" w:customStyle="1" w:styleId="391">
    <w:name w:val="xl55"/>
    <w:basedOn w:val="1"/>
    <w:qFormat/>
    <w:uiPriority w:val="0"/>
    <w:pPr>
      <w:pBdr>
        <w:top w:val="single" w:color="auto" w:sz="4" w:space="0"/>
        <w:bottom w:val="single" w:color="auto" w:sz="4" w:space="0"/>
      </w:pBdr>
      <w:shd w:val="clear" w:color="auto" w:fill="969696"/>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392">
    <w:name w:val="Char Char Char Char Char Char Char Char Char Char Char Char Char Char Char Char Char Char Char Char Char Char Char1"/>
    <w:basedOn w:val="1"/>
    <w:qFormat/>
    <w:uiPriority w:val="0"/>
    <w:pPr>
      <w:widowControl w:val="0"/>
      <w:adjustRightInd/>
      <w:snapToGrid/>
      <w:jc w:val="both"/>
    </w:pPr>
    <w:rPr>
      <w:rFonts w:cs="Tahoma"/>
      <w:kern w:val="2"/>
      <w:szCs w:val="20"/>
    </w:rPr>
  </w:style>
  <w:style w:type="paragraph" w:customStyle="1" w:styleId="393">
    <w:name w:val="Char Char Char Char Char Char Char Char Char Char Char Char Char Char Char Char Char Char Char Char Char"/>
    <w:basedOn w:val="1"/>
    <w:qFormat/>
    <w:uiPriority w:val="0"/>
    <w:pPr>
      <w:widowControl w:val="0"/>
      <w:adjustRightInd/>
      <w:snapToGrid/>
      <w:jc w:val="both"/>
    </w:pPr>
    <w:rPr>
      <w:rFonts w:cs="Tahoma"/>
      <w:kern w:val="2"/>
      <w:szCs w:val="20"/>
    </w:rPr>
  </w:style>
  <w:style w:type="paragraph" w:customStyle="1" w:styleId="394">
    <w:name w:val="二级条标题"/>
    <w:basedOn w:val="1"/>
    <w:next w:val="342"/>
    <w:qFormat/>
    <w:uiPriority w:val="0"/>
    <w:pPr>
      <w:tabs>
        <w:tab w:val="left" w:pos="2240"/>
      </w:tabs>
      <w:adjustRightInd/>
      <w:snapToGrid/>
      <w:ind w:hanging="420"/>
      <w:jc w:val="both"/>
      <w:outlineLvl w:val="3"/>
    </w:pPr>
    <w:rPr>
      <w:rFonts w:ascii="Times New Roman" w:hAnsi="Times New Roman" w:eastAsia="黑体" w:cs="Times New Roman"/>
      <w:sz w:val="21"/>
      <w:szCs w:val="20"/>
    </w:rPr>
  </w:style>
  <w:style w:type="paragraph" w:customStyle="1" w:styleId="395">
    <w:name w:val="Char Char Char Char Char Char Char Char Char Char Char Char Char Char1"/>
    <w:basedOn w:val="1"/>
    <w:qFormat/>
    <w:uiPriority w:val="0"/>
    <w:pPr>
      <w:widowControl w:val="0"/>
      <w:adjustRightInd/>
      <w:snapToGrid/>
      <w:jc w:val="both"/>
    </w:pPr>
    <w:rPr>
      <w:rFonts w:cs="Times New Roman"/>
      <w:kern w:val="2"/>
      <w:szCs w:val="20"/>
    </w:rPr>
  </w:style>
  <w:style w:type="paragraph" w:customStyle="1" w:styleId="396">
    <w:name w:val="Char Char Char Char Char Char Char1"/>
    <w:basedOn w:val="1"/>
    <w:qFormat/>
    <w:uiPriority w:val="0"/>
    <w:pPr>
      <w:widowControl w:val="0"/>
      <w:adjustRightInd/>
      <w:snapToGrid/>
    </w:pPr>
    <w:rPr>
      <w:rFonts w:cs="Times New Roman"/>
      <w:kern w:val="2"/>
      <w:szCs w:val="20"/>
    </w:rPr>
  </w:style>
  <w:style w:type="paragraph" w:customStyle="1" w:styleId="397">
    <w:name w:val="xl26"/>
    <w:basedOn w:val="1"/>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398">
    <w:name w:val="xl34"/>
    <w:basedOn w:val="1"/>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textAlignment w:val="center"/>
    </w:pPr>
    <w:rPr>
      <w:rFonts w:ascii="Times New Roman" w:hAnsi="Times New Roman" w:cs="Times New Roman"/>
      <w:b/>
      <w:bCs/>
      <w:i/>
      <w:iCs/>
      <w:sz w:val="20"/>
      <w:szCs w:val="20"/>
    </w:rPr>
  </w:style>
  <w:style w:type="paragraph" w:customStyle="1" w:styleId="399">
    <w:name w:val="Char Char3"/>
    <w:basedOn w:val="1"/>
    <w:qFormat/>
    <w:uiPriority w:val="0"/>
    <w:pPr>
      <w:widowControl w:val="0"/>
      <w:adjustRightInd/>
      <w:snapToGrid/>
      <w:jc w:val="both"/>
    </w:pPr>
    <w:rPr>
      <w:rFonts w:cs="Tahoma"/>
      <w:kern w:val="2"/>
      <w:szCs w:val="20"/>
    </w:rPr>
  </w:style>
  <w:style w:type="paragraph" w:customStyle="1" w:styleId="400">
    <w:name w:val="正文3"/>
    <w:basedOn w:val="1"/>
    <w:qFormat/>
    <w:uiPriority w:val="0"/>
    <w:pPr>
      <w:widowControl w:val="0"/>
      <w:adjustRightInd/>
      <w:snapToGrid/>
      <w:jc w:val="both"/>
    </w:pPr>
    <w:rPr>
      <w:rFonts w:ascii="Calibri" w:hAnsi="Calibri" w:eastAsia="Calibri"/>
      <w:sz w:val="21"/>
      <w:szCs w:val="20"/>
      <w:lang w:val="zh-CN"/>
    </w:rPr>
  </w:style>
  <w:style w:type="paragraph" w:customStyle="1" w:styleId="401">
    <w:name w:val="正文 New New New New New New New New New New New New New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402">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403">
    <w:name w:val="Char Char Char Char1"/>
    <w:basedOn w:val="17"/>
    <w:qFormat/>
    <w:uiPriority w:val="0"/>
    <w:pPr>
      <w:adjustRightInd w:val="0"/>
      <w:snapToGrid w:val="0"/>
    </w:pPr>
    <w:rPr>
      <w:rFonts w:ascii="Tahoma" w:hAnsi="Tahoma"/>
      <w:sz w:val="24"/>
      <w:szCs w:val="24"/>
    </w:rPr>
  </w:style>
  <w:style w:type="paragraph" w:customStyle="1" w:styleId="404">
    <w:name w:val="表格内文字"/>
    <w:basedOn w:val="1"/>
    <w:qFormat/>
    <w:uiPriority w:val="0"/>
    <w:pPr>
      <w:widowControl w:val="0"/>
      <w:adjustRightInd/>
      <w:snapToGrid/>
      <w:spacing w:line="300" w:lineRule="atLeast"/>
      <w:jc w:val="both"/>
    </w:pPr>
    <w:rPr>
      <w:rFonts w:ascii="Times New Roman" w:hAnsi="Times New Roman" w:cs="Times New Roman"/>
      <w:kern w:val="2"/>
      <w:sz w:val="18"/>
      <w:szCs w:val="24"/>
    </w:rPr>
  </w:style>
  <w:style w:type="paragraph" w:customStyle="1" w:styleId="405">
    <w:name w:val="默认段落字体 Para Char Char Char Char Char Char Char"/>
    <w:basedOn w:val="1"/>
    <w:qFormat/>
    <w:uiPriority w:val="0"/>
    <w:pPr>
      <w:widowControl w:val="0"/>
      <w:adjustRightInd/>
      <w:snapToGrid/>
      <w:jc w:val="both"/>
    </w:pPr>
    <w:rPr>
      <w:rFonts w:ascii="Times New Roman" w:hAnsi="Times New Roman" w:cs="Times New Roman"/>
      <w:kern w:val="2"/>
      <w:sz w:val="21"/>
      <w:szCs w:val="20"/>
    </w:rPr>
  </w:style>
  <w:style w:type="paragraph" w:customStyle="1" w:styleId="406">
    <w:name w:val="Char Char Char Char Char Char Char Char Char Char Char Char Char Char Char Char Char Char Char Char Char1"/>
    <w:basedOn w:val="1"/>
    <w:qFormat/>
    <w:uiPriority w:val="0"/>
    <w:pPr>
      <w:widowControl w:val="0"/>
      <w:adjustRightInd/>
      <w:snapToGrid/>
      <w:jc w:val="both"/>
    </w:pPr>
    <w:rPr>
      <w:rFonts w:cs="Times New Roman"/>
      <w:kern w:val="2"/>
      <w:szCs w:val="20"/>
    </w:rPr>
  </w:style>
  <w:style w:type="paragraph" w:customStyle="1" w:styleId="407">
    <w:name w:val="小四 段落 宋体"/>
    <w:basedOn w:val="15"/>
    <w:qFormat/>
    <w:uiPriority w:val="0"/>
    <w:pPr>
      <w:tabs>
        <w:tab w:val="clear" w:pos="2952"/>
      </w:tabs>
      <w:ind w:left="113" w:right="113" w:firstLine="425"/>
      <w:jc w:val="left"/>
    </w:pPr>
    <w:rPr>
      <w:sz w:val="24"/>
    </w:rPr>
  </w:style>
  <w:style w:type="paragraph" w:customStyle="1" w:styleId="408">
    <w:name w:val="列出段落3"/>
    <w:basedOn w:val="1"/>
    <w:qFormat/>
    <w:uiPriority w:val="0"/>
    <w:pPr>
      <w:adjustRightInd/>
      <w:snapToGrid/>
      <w:ind w:left="720"/>
      <w:contextualSpacing/>
    </w:pPr>
    <w:rPr>
      <w:rFonts w:ascii="Arial" w:hAnsi="Arial" w:eastAsia="黑体" w:cs="Times New Roman"/>
      <w:szCs w:val="24"/>
      <w:lang w:eastAsia="en-US"/>
    </w:rPr>
  </w:style>
  <w:style w:type="paragraph" w:customStyle="1" w:styleId="409">
    <w:name w:val="标准小四"/>
    <w:basedOn w:val="1"/>
    <w:qFormat/>
    <w:uiPriority w:val="0"/>
    <w:pPr>
      <w:widowControl w:val="0"/>
      <w:adjustRightInd/>
      <w:snapToGrid/>
      <w:ind w:firstLine="480"/>
      <w:jc w:val="both"/>
    </w:pPr>
    <w:rPr>
      <w:rFonts w:ascii="Arial" w:hAnsi="Arial" w:cs="Times New Roman"/>
      <w:kern w:val="2"/>
      <w:szCs w:val="21"/>
    </w:rPr>
  </w:style>
  <w:style w:type="paragraph" w:customStyle="1" w:styleId="410">
    <w:name w:val="小四 段落 宋体 Char Char Char"/>
    <w:basedOn w:val="15"/>
    <w:qFormat/>
    <w:uiPriority w:val="0"/>
    <w:pPr>
      <w:tabs>
        <w:tab w:val="clear" w:pos="2952"/>
      </w:tabs>
      <w:ind w:left="0" w:right="-33" w:firstLine="545" w:firstLineChars="227"/>
      <w:jc w:val="left"/>
    </w:pPr>
    <w:rPr>
      <w:sz w:val="24"/>
    </w:rPr>
  </w:style>
  <w:style w:type="paragraph" w:customStyle="1" w:styleId="411">
    <w:name w:val="Char Char11"/>
    <w:basedOn w:val="1"/>
    <w:qFormat/>
    <w:uiPriority w:val="0"/>
    <w:pPr>
      <w:widowControl w:val="0"/>
      <w:adjustRightInd/>
      <w:snapToGrid/>
      <w:jc w:val="both"/>
    </w:pPr>
    <w:rPr>
      <w:rFonts w:cs="Tahoma"/>
      <w:kern w:val="2"/>
      <w:szCs w:val="20"/>
    </w:rPr>
  </w:style>
  <w:style w:type="paragraph" w:customStyle="1" w:styleId="412">
    <w:name w:val="xl42"/>
    <w:basedOn w:val="1"/>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jc w:val="center"/>
    </w:pPr>
    <w:rPr>
      <w:rFonts w:ascii="宋体" w:hAnsi="宋体"/>
      <w:b/>
      <w:bCs/>
      <w:sz w:val="20"/>
      <w:szCs w:val="20"/>
    </w:rPr>
  </w:style>
  <w:style w:type="paragraph" w:customStyle="1" w:styleId="413">
    <w:name w:val="Char Char Char Char Char Char Char1 Char"/>
    <w:basedOn w:val="1"/>
    <w:qFormat/>
    <w:uiPriority w:val="0"/>
    <w:pPr>
      <w:widowControl w:val="0"/>
      <w:adjustRightInd/>
      <w:snapToGrid/>
      <w:jc w:val="both"/>
    </w:pPr>
    <w:rPr>
      <w:rFonts w:cs="Tahoma"/>
      <w:kern w:val="2"/>
      <w:szCs w:val="20"/>
    </w:rPr>
  </w:style>
  <w:style w:type="paragraph" w:customStyle="1" w:styleId="414">
    <w:name w:val="xl57"/>
    <w:basedOn w:val="1"/>
    <w:qFormat/>
    <w:uiPriority w:val="0"/>
    <w:pPr>
      <w:pBdr>
        <w:top w:val="single" w:color="auto" w:sz="4" w:space="0"/>
        <w:left w:val="single" w:color="auto" w:sz="4" w:space="0"/>
        <w:right w:val="single" w:color="auto" w:sz="4" w:space="0"/>
      </w:pBdr>
      <w:adjustRightInd/>
      <w:snapToGrid/>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415">
    <w:name w:val="无间隔1"/>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416">
    <w:name w:val="正文 New New New New New"/>
    <w:qFormat/>
    <w:uiPriority w:val="0"/>
    <w:pPr>
      <w:widowControl w:val="0"/>
      <w:jc w:val="both"/>
    </w:pPr>
    <w:rPr>
      <w:rFonts w:ascii="宋体" w:hAnsi="Times New Roman" w:eastAsia="宋体" w:cs="Times New Roman"/>
      <w:sz w:val="21"/>
      <w:lang w:val="en-US" w:eastAsia="zh-CN" w:bidi="ar-SA"/>
    </w:rPr>
  </w:style>
  <w:style w:type="paragraph" w:customStyle="1" w:styleId="417">
    <w:name w:val="目录 1 New"/>
    <w:basedOn w:val="416"/>
    <w:next w:val="416"/>
    <w:qFormat/>
    <w:uiPriority w:val="0"/>
    <w:pPr>
      <w:ind w:firstLine="412"/>
      <w:jc w:val="center"/>
    </w:pPr>
    <w:rPr>
      <w:rFonts w:hAnsi="宋体"/>
      <w:bCs/>
      <w:szCs w:val="21"/>
    </w:rPr>
  </w:style>
  <w:style w:type="paragraph" w:customStyle="1" w:styleId="418">
    <w:name w:val="修订2"/>
    <w:qFormat/>
    <w:uiPriority w:val="99"/>
    <w:rPr>
      <w:rFonts w:ascii="Times New Roman" w:hAnsi="Times New Roman" w:eastAsia="宋体" w:cs="Times New Roman"/>
      <w:kern w:val="2"/>
      <w:sz w:val="21"/>
      <w:lang w:val="en-US" w:eastAsia="zh-CN" w:bidi="ar-SA"/>
    </w:rPr>
  </w:style>
  <w:style w:type="paragraph" w:customStyle="1" w:styleId="419">
    <w:name w:val="修订3"/>
    <w:qFormat/>
    <w:uiPriority w:val="99"/>
    <w:rPr>
      <w:rFonts w:ascii="Times New Roman" w:hAnsi="Times New Roman" w:eastAsia="宋体" w:cs="Times New Roman"/>
      <w:kern w:val="2"/>
      <w:sz w:val="21"/>
      <w:lang w:val="en-US" w:eastAsia="zh-CN" w:bidi="ar-SA"/>
    </w:rPr>
  </w:style>
  <w:style w:type="paragraph" w:customStyle="1" w:styleId="420">
    <w:name w:val="第几章"/>
    <w:basedOn w:val="1"/>
    <w:qFormat/>
    <w:uiPriority w:val="0"/>
    <w:pPr>
      <w:keepNext/>
      <w:widowControl w:val="0"/>
      <w:adjustRightInd/>
      <w:snapToGrid/>
      <w:spacing w:beforeLines="100" w:line="420" w:lineRule="auto"/>
      <w:jc w:val="center"/>
      <w:outlineLvl w:val="0"/>
    </w:pPr>
    <w:rPr>
      <w:rFonts w:ascii="宋体" w:hAnsi="宋体" w:cs="Times New Roman"/>
      <w:b/>
      <w:kern w:val="2"/>
      <w:sz w:val="36"/>
      <w:szCs w:val="44"/>
    </w:rPr>
  </w:style>
  <w:style w:type="table" w:customStyle="1" w:styleId="421">
    <w:name w:val="Table Normal"/>
    <w:qFormat/>
    <w:uiPriority w:val="2"/>
    <w:pPr>
      <w:widowControl w:val="0"/>
    </w:pPr>
    <w:rPr>
      <w:lang w:eastAsia="en-US"/>
    </w:rPr>
    <w:tblPr>
      <w:tblCellMar>
        <w:top w:w="0" w:type="dxa"/>
        <w:left w:w="0" w:type="dxa"/>
        <w:bottom w:w="0" w:type="dxa"/>
        <w:right w:w="0" w:type="dxa"/>
      </w:tblCellMar>
    </w:tblPr>
  </w:style>
  <w:style w:type="paragraph" w:customStyle="1" w:styleId="422">
    <w:name w:val="Table Paragraph"/>
    <w:basedOn w:val="1"/>
    <w:qFormat/>
    <w:uiPriority w:val="1"/>
    <w:pPr>
      <w:widowControl w:val="0"/>
      <w:adjustRightInd/>
      <w:snapToGrid/>
    </w:pPr>
    <w:rPr>
      <w:rFonts w:ascii="Calibri" w:hAnsi="Calibri"/>
      <w:lang w:eastAsia="en-US"/>
    </w:rPr>
  </w:style>
  <w:style w:type="paragraph" w:customStyle="1" w:styleId="423">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24">
    <w:name w:val="Normal_1"/>
    <w:qFormat/>
    <w:uiPriority w:val="0"/>
    <w:rPr>
      <w:rFonts w:ascii="Times New Roman" w:hAnsi="Times New Roman" w:eastAsia="Times New Roman" w:cs="Times New Roman"/>
      <w:sz w:val="24"/>
      <w:szCs w:val="24"/>
      <w:lang w:val="en-US" w:eastAsia="zh-CN" w:bidi="ar-SA"/>
    </w:rPr>
  </w:style>
  <w:style w:type="paragraph" w:customStyle="1" w:styleId="425">
    <w:name w:val="Normal_2"/>
    <w:qFormat/>
    <w:uiPriority w:val="0"/>
    <w:rPr>
      <w:rFonts w:ascii="Times New Roman" w:hAnsi="Times New Roman" w:eastAsia="Times New Roman" w:cs="Times New Roman"/>
      <w:sz w:val="24"/>
      <w:szCs w:val="24"/>
      <w:lang w:val="en-US" w:eastAsia="zh-CN" w:bidi="ar-SA"/>
    </w:rPr>
  </w:style>
  <w:style w:type="paragraph" w:customStyle="1" w:styleId="426">
    <w:name w:val="TOC 标题1"/>
    <w:basedOn w:val="2"/>
    <w:next w:val="1"/>
    <w:qFormat/>
    <w:uiPriority w:val="39"/>
    <w:pPr>
      <w:keepLines/>
      <w:widowControl/>
      <w:tabs>
        <w:tab w:val="clear" w:pos="1440"/>
        <w:tab w:val="clear" w:pos="5670"/>
      </w:tabs>
      <w:spacing w:before="240" w:line="259" w:lineRule="auto"/>
      <w:ind w:firstLine="0" w:firstLineChars="0"/>
      <w:jc w:val="left"/>
      <w:outlineLvl w:val="9"/>
    </w:pPr>
    <w:rPr>
      <w:rFonts w:ascii="Cambria" w:hAnsi="Cambria" w:eastAsia="宋体" w:cs="宋体"/>
      <w:b w:val="0"/>
      <w:color w:val="365F91"/>
      <w:kern w:val="0"/>
      <w:sz w:val="32"/>
      <w:szCs w:val="32"/>
    </w:rPr>
  </w:style>
  <w:style w:type="character" w:customStyle="1" w:styleId="427">
    <w:name w:val="rvts12"/>
    <w:basedOn w:val="61"/>
    <w:qFormat/>
    <w:uiPriority w:val="0"/>
    <w:rPr>
      <w:rFonts w:hint="default" w:ascii="KNLe" w:hAnsi="KNLe"/>
      <w:b/>
      <w:bCs/>
      <w:u w:val="single"/>
    </w:rPr>
  </w:style>
  <w:style w:type="paragraph" w:customStyle="1" w:styleId="428">
    <w:name w:val="标题 51"/>
    <w:basedOn w:val="1"/>
    <w:qFormat/>
    <w:uiPriority w:val="1"/>
    <w:pPr>
      <w:autoSpaceDE w:val="0"/>
      <w:autoSpaceDN w:val="0"/>
      <w:spacing w:line="240" w:lineRule="auto"/>
      <w:ind w:left="120"/>
      <w:outlineLvl w:val="4"/>
    </w:pPr>
    <w:rPr>
      <w:rFonts w:ascii="宋体"/>
      <w:sz w:val="28"/>
      <w:szCs w:val="28"/>
    </w:rPr>
  </w:style>
  <w:style w:type="character" w:customStyle="1" w:styleId="429">
    <w:name w:val="正文缩进 Char"/>
    <w:link w:val="6"/>
    <w:qFormat/>
    <w:uiPriority w:val="0"/>
    <w:rPr>
      <w:kern w:val="2"/>
      <w:sz w:val="21"/>
    </w:rPr>
  </w:style>
  <w:style w:type="paragraph" w:customStyle="1" w:styleId="430">
    <w:name w:val="首行缩进"/>
    <w:basedOn w:val="1"/>
    <w:qFormat/>
    <w:uiPriority w:val="0"/>
    <w:pPr>
      <w:widowControl w:val="0"/>
      <w:adjustRightInd/>
      <w:snapToGrid/>
      <w:ind w:firstLine="480"/>
    </w:pPr>
    <w:rPr>
      <w:rFonts w:ascii="宋体" w:hAnsi="宋体" w:eastAsia="Calibri" w:cs="Times New Roman"/>
      <w:szCs w:val="24"/>
      <w:lang w:eastAsia="en-US"/>
    </w:rPr>
  </w:style>
  <w:style w:type="paragraph" w:customStyle="1" w:styleId="431">
    <w:name w:val="样式 首行缩进:  0 字符"/>
    <w:basedOn w:val="1"/>
    <w:qFormat/>
    <w:uiPriority w:val="0"/>
    <w:rPr>
      <w:rFonts w:ascii="Arial" w:hAnsi="Arial"/>
      <w:szCs w:val="20"/>
    </w:rPr>
  </w:style>
  <w:style w:type="paragraph" w:customStyle="1" w:styleId="432">
    <w:name w:val="普通正文"/>
    <w:basedOn w:val="1"/>
    <w:qFormat/>
    <w:uiPriority w:val="0"/>
    <w:pPr>
      <w:widowControl w:val="0"/>
      <w:snapToGrid/>
      <w:spacing w:before="120" w:after="120"/>
      <w:ind w:firstLine="480" w:firstLineChars="0"/>
      <w:textAlignment w:val="baseline"/>
    </w:pPr>
    <w:rPr>
      <w:rFonts w:ascii="Arial" w:hAnsi="Arial" w:cs="Times New Roman"/>
      <w:szCs w:val="24"/>
    </w:rPr>
  </w:style>
  <w:style w:type="paragraph" w:customStyle="1" w:styleId="433">
    <w:name w:val="È±Ê¡ÎÄ±¾"/>
    <w:basedOn w:val="1"/>
    <w:qFormat/>
    <w:uiPriority w:val="0"/>
    <w:pPr>
      <w:overflowPunct w:val="0"/>
      <w:autoSpaceDE w:val="0"/>
      <w:autoSpaceDN w:val="0"/>
      <w:snapToGrid/>
      <w:spacing w:line="240" w:lineRule="auto"/>
      <w:ind w:firstLine="0" w:firstLineChars="0"/>
      <w:textAlignment w:val="baseline"/>
    </w:pPr>
    <w:rPr>
      <w:rFonts w:ascii="Times New Roman" w:hAnsi="Times New Roman" w:cs="Times New Roman"/>
      <w:szCs w:val="20"/>
    </w:rPr>
  </w:style>
  <w:style w:type="character" w:customStyle="1" w:styleId="434">
    <w:name w:val="标题 3 Char2"/>
    <w:qFormat/>
    <w:uiPriority w:val="0"/>
    <w:rPr>
      <w:rFonts w:eastAsia="宋体"/>
      <w:b/>
      <w:bCs/>
      <w:kern w:val="2"/>
      <w:sz w:val="32"/>
      <w:szCs w:val="32"/>
      <w:lang w:val="en-US" w:eastAsia="zh-CN" w:bidi="ar-SA"/>
    </w:rPr>
  </w:style>
  <w:style w:type="character" w:customStyle="1" w:styleId="435">
    <w:name w:val="正文首行缩进 2 Char"/>
    <w:basedOn w:val="98"/>
    <w:link w:val="58"/>
    <w:qFormat/>
    <w:uiPriority w:val="0"/>
    <w:rPr>
      <w:rFonts w:ascii="宋体" w:hAnsi="宋体" w:eastAsia="楷体_GB2312"/>
      <w:kern w:val="2"/>
      <w:sz w:val="21"/>
      <w:szCs w:val="32"/>
    </w:rPr>
  </w:style>
  <w:style w:type="character" w:customStyle="1" w:styleId="436">
    <w:name w:val="Char Char32"/>
    <w:qFormat/>
    <w:uiPriority w:val="0"/>
    <w:rPr>
      <w:rFonts w:ascii="Arial" w:hAnsi="Arial" w:eastAsia="黑体"/>
      <w:kern w:val="2"/>
      <w:sz w:val="21"/>
      <w:szCs w:val="21"/>
      <w:lang w:val="en-US" w:eastAsia="zh-CN" w:bidi="ar-SA"/>
    </w:rPr>
  </w:style>
  <w:style w:type="character" w:customStyle="1" w:styleId="437">
    <w:name w:val="美标题2 Char"/>
    <w:link w:val="438"/>
    <w:qFormat/>
    <w:uiPriority w:val="0"/>
    <w:rPr>
      <w:rFonts w:ascii="宋体" w:hAnsi="宋体"/>
      <w:b/>
      <w:kern w:val="2"/>
      <w:sz w:val="28"/>
    </w:rPr>
  </w:style>
  <w:style w:type="paragraph" w:customStyle="1" w:styleId="438">
    <w:name w:val="美标题2"/>
    <w:basedOn w:val="1"/>
    <w:link w:val="437"/>
    <w:qFormat/>
    <w:uiPriority w:val="0"/>
    <w:pPr>
      <w:widowControl w:val="0"/>
      <w:adjustRightInd/>
      <w:snapToGrid/>
      <w:spacing w:line="240" w:lineRule="auto"/>
      <w:ind w:firstLine="0" w:firstLineChars="0"/>
      <w:jc w:val="both"/>
    </w:pPr>
    <w:rPr>
      <w:rFonts w:ascii="宋体" w:hAnsi="宋体" w:cs="Times New Roman"/>
      <w:b/>
      <w:kern w:val="2"/>
      <w:sz w:val="28"/>
      <w:szCs w:val="20"/>
    </w:rPr>
  </w:style>
  <w:style w:type="character" w:customStyle="1" w:styleId="439">
    <w:name w:val="Char Char19"/>
    <w:qFormat/>
    <w:uiPriority w:val="0"/>
    <w:rPr>
      <w:rFonts w:ascii="宋体" w:hAnsi="宋体" w:eastAsia="宋体"/>
      <w:b/>
      <w:sz w:val="24"/>
      <w:u w:val="single"/>
    </w:rPr>
  </w:style>
  <w:style w:type="character" w:customStyle="1" w:styleId="440">
    <w:name w:val="页眉 Char1"/>
    <w:qFormat/>
    <w:uiPriority w:val="0"/>
    <w:rPr>
      <w:rFonts w:ascii="Times New Roman" w:hAnsi="Times New Roman"/>
      <w:kern w:val="2"/>
      <w:sz w:val="18"/>
      <w:szCs w:val="18"/>
    </w:rPr>
  </w:style>
  <w:style w:type="character" w:customStyle="1" w:styleId="441">
    <w:name w:val="样式 宋体"/>
    <w:qFormat/>
    <w:uiPriority w:val="0"/>
    <w:rPr>
      <w:rFonts w:ascii="宋体" w:hAnsi="宋体" w:eastAsia="宋体"/>
      <w:sz w:val="24"/>
      <w:szCs w:val="24"/>
    </w:rPr>
  </w:style>
  <w:style w:type="character" w:customStyle="1" w:styleId="442">
    <w:name w:val="rvts14"/>
    <w:qFormat/>
    <w:uiPriority w:val="0"/>
    <w:rPr>
      <w:rFonts w:hint="default" w:ascii="KNLe" w:hAnsi="KNLe"/>
      <w:color w:val="000000"/>
      <w:u w:val="single"/>
    </w:rPr>
  </w:style>
  <w:style w:type="character" w:customStyle="1" w:styleId="443">
    <w:name w:val="rvts10"/>
    <w:qFormat/>
    <w:uiPriority w:val="0"/>
    <w:rPr>
      <w:rFonts w:hint="default" w:ascii="KNLe" w:hAnsi="KNLe"/>
      <w:b/>
      <w:bCs/>
    </w:rPr>
  </w:style>
  <w:style w:type="character" w:customStyle="1" w:styleId="444">
    <w:name w:val="方案文档 Char"/>
    <w:qFormat/>
    <w:uiPriority w:val="0"/>
    <w:rPr>
      <w:rFonts w:ascii="宋体" w:hAnsi="宋体"/>
      <w:b/>
      <w:kern w:val="2"/>
      <w:sz w:val="24"/>
      <w:szCs w:val="24"/>
      <w:lang w:bidi="ar-SA"/>
    </w:rPr>
  </w:style>
  <w:style w:type="character" w:customStyle="1" w:styleId="445">
    <w:name w:val="rvts19"/>
    <w:qFormat/>
    <w:uiPriority w:val="0"/>
    <w:rPr>
      <w:rFonts w:hint="default" w:ascii="KNLe" w:hAnsi="KNLe"/>
      <w:sz w:val="24"/>
      <w:szCs w:val="24"/>
    </w:rPr>
  </w:style>
  <w:style w:type="character" w:customStyle="1" w:styleId="446">
    <w:name w:val="方案文档 Char Char"/>
    <w:link w:val="447"/>
    <w:qFormat/>
    <w:uiPriority w:val="0"/>
    <w:rPr>
      <w:rFonts w:ascii="宋体"/>
      <w:color w:val="000000"/>
      <w:sz w:val="24"/>
    </w:rPr>
  </w:style>
  <w:style w:type="paragraph" w:customStyle="1" w:styleId="447">
    <w:name w:val="方案文档"/>
    <w:basedOn w:val="1"/>
    <w:link w:val="446"/>
    <w:qFormat/>
    <w:uiPriority w:val="0"/>
    <w:pPr>
      <w:widowControl w:val="0"/>
      <w:adjustRightInd/>
      <w:snapToGrid/>
      <w:spacing w:before="60" w:after="60"/>
      <w:ind w:firstLine="225" w:firstLineChars="225"/>
      <w:jc w:val="both"/>
    </w:pPr>
    <w:rPr>
      <w:rFonts w:ascii="宋体" w:hAnsi="Times New Roman" w:cs="Times New Roman"/>
      <w:color w:val="000000"/>
      <w:szCs w:val="20"/>
    </w:rPr>
  </w:style>
  <w:style w:type="character" w:customStyle="1" w:styleId="448">
    <w:name w:val="Char Char111"/>
    <w:qFormat/>
    <w:uiPriority w:val="0"/>
    <w:rPr>
      <w:rFonts w:ascii="宋体" w:hAnsi="宋体" w:eastAsia="宋体"/>
      <w:kern w:val="2"/>
      <w:sz w:val="24"/>
      <w:szCs w:val="24"/>
      <w:lang w:val="en-US" w:eastAsia="zh-CN" w:bidi="ar-SA"/>
    </w:rPr>
  </w:style>
  <w:style w:type="character" w:customStyle="1" w:styleId="449">
    <w:name w:val="paramlista1"/>
    <w:qFormat/>
    <w:uiPriority w:val="0"/>
    <w:rPr>
      <w:sz w:val="18"/>
      <w:szCs w:val="18"/>
    </w:rPr>
  </w:style>
  <w:style w:type="character" w:customStyle="1" w:styleId="450">
    <w:name w:val="Char Char39"/>
    <w:qFormat/>
    <w:uiPriority w:val="0"/>
    <w:rPr>
      <w:rFonts w:ascii="Arial" w:hAnsi="Arial" w:eastAsia="宋体"/>
      <w:b/>
      <w:bCs/>
      <w:kern w:val="2"/>
      <w:sz w:val="32"/>
      <w:szCs w:val="32"/>
      <w:lang w:val="en-US" w:eastAsia="zh-CN" w:bidi="ar-SA"/>
    </w:rPr>
  </w:style>
  <w:style w:type="character" w:customStyle="1" w:styleId="451">
    <w:name w:val="1page sec3 Char"/>
    <w:qFormat/>
    <w:uiPriority w:val="99"/>
    <w:rPr>
      <w:rFonts w:eastAsia="宋体"/>
      <w:kern w:val="2"/>
      <w:sz w:val="18"/>
      <w:szCs w:val="18"/>
      <w:lang w:val="en-US" w:eastAsia="zh-CN" w:bidi="ar-SA"/>
    </w:rPr>
  </w:style>
  <w:style w:type="character" w:customStyle="1" w:styleId="452">
    <w:name w:val="NICMAN Body Text Char Char"/>
    <w:qFormat/>
    <w:uiPriority w:val="0"/>
    <w:rPr>
      <w:rFonts w:ascii="方正大黑简体" w:hAnsi="Times New Roman" w:eastAsia="方正大黑简体"/>
      <w:kern w:val="44"/>
      <w:position w:val="6"/>
      <w:sz w:val="30"/>
    </w:rPr>
  </w:style>
  <w:style w:type="character" w:customStyle="1" w:styleId="453">
    <w:name w:val="Char Char35"/>
    <w:qFormat/>
    <w:uiPriority w:val="0"/>
    <w:rPr>
      <w:rFonts w:ascii="Arial" w:hAnsi="Arial" w:eastAsia="黑体"/>
      <w:b/>
      <w:bCs/>
      <w:kern w:val="2"/>
      <w:sz w:val="24"/>
      <w:szCs w:val="24"/>
      <w:lang w:val="en-US" w:eastAsia="zh-CN" w:bidi="ar-SA"/>
    </w:rPr>
  </w:style>
  <w:style w:type="character" w:customStyle="1" w:styleId="454">
    <w:name w:val="副标题 Char1"/>
    <w:qFormat/>
    <w:uiPriority w:val="11"/>
    <w:rPr>
      <w:rFonts w:ascii="Cambria" w:hAnsi="Cambria" w:eastAsia="宋体" w:cs="Times New Roman"/>
      <w:b/>
      <w:bCs/>
      <w:kern w:val="28"/>
      <w:sz w:val="32"/>
      <w:szCs w:val="32"/>
    </w:rPr>
  </w:style>
  <w:style w:type="character" w:customStyle="1" w:styleId="455">
    <w:name w:val="style8"/>
    <w:qFormat/>
    <w:uiPriority w:val="0"/>
  </w:style>
  <w:style w:type="character" w:customStyle="1" w:styleId="456">
    <w:name w:val="Table Text Char Char"/>
    <w:link w:val="368"/>
    <w:qFormat/>
    <w:uiPriority w:val="0"/>
    <w:rPr>
      <w:rFonts w:ascii="Arial" w:hAnsi="Arial" w:cs="Arial"/>
      <w:sz w:val="18"/>
      <w:szCs w:val="28"/>
    </w:rPr>
  </w:style>
  <w:style w:type="character" w:customStyle="1" w:styleId="457">
    <w:name w:val="标题5 Char Char"/>
    <w:link w:val="458"/>
    <w:qFormat/>
    <w:uiPriority w:val="0"/>
    <w:rPr>
      <w:rFonts w:ascii="Arial" w:hAnsi="Arial"/>
      <w:b/>
      <w:bCs/>
      <w:sz w:val="24"/>
      <w:szCs w:val="32"/>
    </w:rPr>
  </w:style>
  <w:style w:type="paragraph" w:customStyle="1" w:styleId="458">
    <w:name w:val="标题5"/>
    <w:basedOn w:val="4"/>
    <w:link w:val="457"/>
    <w:qFormat/>
    <w:uiPriority w:val="0"/>
    <w:pPr>
      <w:shd w:val="clear" w:color="auto" w:fill="auto"/>
      <w:wordWrap/>
      <w:spacing w:before="260" w:after="260" w:line="413" w:lineRule="auto"/>
      <w:ind w:firstLine="0" w:firstLineChars="0"/>
    </w:pPr>
    <w:rPr>
      <w:rFonts w:ascii="Arial" w:hAnsi="Arial"/>
      <w:bCs/>
      <w:kern w:val="0"/>
      <w:sz w:val="24"/>
      <w:szCs w:val="32"/>
    </w:rPr>
  </w:style>
  <w:style w:type="character" w:customStyle="1" w:styleId="459">
    <w:name w:val="foot_title"/>
    <w:qFormat/>
    <w:uiPriority w:val="0"/>
  </w:style>
  <w:style w:type="character" w:customStyle="1" w:styleId="460">
    <w:name w:val="font161"/>
    <w:qFormat/>
    <w:uiPriority w:val="0"/>
    <w:rPr>
      <w:b/>
      <w:sz w:val="32"/>
    </w:rPr>
  </w:style>
  <w:style w:type="character" w:customStyle="1" w:styleId="461">
    <w:name w:val="二级目录 Char"/>
    <w:link w:val="462"/>
    <w:qFormat/>
    <w:uiPriority w:val="0"/>
    <w:rPr>
      <w:rFonts w:eastAsia="Times New Roman"/>
      <w:b/>
      <w:kern w:val="2"/>
      <w:sz w:val="30"/>
      <w:szCs w:val="28"/>
    </w:rPr>
  </w:style>
  <w:style w:type="paragraph" w:customStyle="1" w:styleId="462">
    <w:name w:val="二级目录"/>
    <w:next w:val="1"/>
    <w:link w:val="461"/>
    <w:qFormat/>
    <w:uiPriority w:val="0"/>
    <w:pPr>
      <w:tabs>
        <w:tab w:val="left" w:pos="0"/>
        <w:tab w:val="left" w:pos="720"/>
      </w:tabs>
      <w:outlineLvl w:val="1"/>
    </w:pPr>
    <w:rPr>
      <w:rFonts w:ascii="Times New Roman" w:hAnsi="Times New Roman" w:eastAsia="Times New Roman" w:cs="Times New Roman"/>
      <w:b/>
      <w:kern w:val="2"/>
      <w:sz w:val="30"/>
      <w:szCs w:val="28"/>
      <w:lang w:val="en-US" w:eastAsia="zh-CN" w:bidi="ar-SA"/>
    </w:rPr>
  </w:style>
  <w:style w:type="character" w:customStyle="1" w:styleId="463">
    <w:name w:val="rvts7"/>
    <w:qFormat/>
    <w:uiPriority w:val="0"/>
    <w:rPr>
      <w:rFonts w:hint="default" w:ascii=":ZLe" w:hAnsi=":ZLe"/>
      <w:sz w:val="32"/>
      <w:szCs w:val="32"/>
    </w:rPr>
  </w:style>
  <w:style w:type="character" w:customStyle="1" w:styleId="464">
    <w:name w:val="标题 31"/>
    <w:qFormat/>
    <w:uiPriority w:val="0"/>
    <w:rPr>
      <w:rFonts w:eastAsia="宋体"/>
      <w:b/>
      <w:bCs/>
      <w:kern w:val="2"/>
      <w:sz w:val="32"/>
      <w:szCs w:val="32"/>
      <w:lang w:val="en-US" w:eastAsia="zh-CN" w:bidi="ar-SA"/>
    </w:rPr>
  </w:style>
  <w:style w:type="character" w:customStyle="1" w:styleId="465">
    <w:name w:val="Char Char34"/>
    <w:qFormat/>
    <w:uiPriority w:val="0"/>
    <w:rPr>
      <w:rFonts w:eastAsia="宋体"/>
      <w:b/>
      <w:bCs/>
      <w:kern w:val="2"/>
      <w:sz w:val="24"/>
      <w:szCs w:val="24"/>
      <w:lang w:val="en-US" w:eastAsia="zh-CN" w:bidi="ar-SA"/>
    </w:rPr>
  </w:style>
  <w:style w:type="character" w:customStyle="1" w:styleId="466">
    <w:name w:val="Heading 2 Hidden Char2"/>
    <w:semiHidden/>
    <w:qFormat/>
    <w:uiPriority w:val="0"/>
    <w:rPr>
      <w:rFonts w:ascii="Arial" w:hAnsi="Arial" w:eastAsia="黑体"/>
      <w:b/>
      <w:bCs/>
      <w:kern w:val="2"/>
      <w:sz w:val="32"/>
      <w:szCs w:val="32"/>
      <w:lang w:val="en-US" w:eastAsia="zh-CN" w:bidi="ar-SA"/>
    </w:rPr>
  </w:style>
  <w:style w:type="character" w:customStyle="1" w:styleId="467">
    <w:name w:val="我的正文 Char"/>
    <w:link w:val="267"/>
    <w:qFormat/>
    <w:uiPriority w:val="0"/>
    <w:rPr>
      <w:rFonts w:ascii="宋体" w:hAnsi="宋体" w:cs="宋体"/>
      <w:sz w:val="21"/>
      <w:szCs w:val="21"/>
    </w:rPr>
  </w:style>
  <w:style w:type="character" w:customStyle="1" w:styleId="468">
    <w:name w:val="style2611"/>
    <w:qFormat/>
    <w:uiPriority w:val="0"/>
    <w:rPr>
      <w:sz w:val="18"/>
      <w:szCs w:val="18"/>
    </w:rPr>
  </w:style>
  <w:style w:type="character" w:customStyle="1" w:styleId="469">
    <w:name w:val="Char Char241"/>
    <w:qFormat/>
    <w:uiPriority w:val="0"/>
    <w:rPr>
      <w:rFonts w:ascii="宋体" w:hAnsi="Courier New"/>
      <w:kern w:val="2"/>
      <w:sz w:val="24"/>
      <w:szCs w:val="21"/>
      <w:lang w:bidi="ar-SA"/>
    </w:rPr>
  </w:style>
  <w:style w:type="character" w:customStyle="1" w:styleId="470">
    <w:name w:val="Subtle Reference"/>
    <w:qFormat/>
    <w:uiPriority w:val="0"/>
    <w:rPr>
      <w:smallCaps/>
      <w:color w:val="C0504D"/>
      <w:u w:val="single"/>
    </w:rPr>
  </w:style>
  <w:style w:type="character" w:customStyle="1" w:styleId="471">
    <w:name w:val="Char Char16"/>
    <w:qFormat/>
    <w:uiPriority w:val="0"/>
    <w:rPr>
      <w:rFonts w:ascii="宋体" w:hAnsi="Courier New" w:eastAsia="宋体"/>
      <w:kern w:val="2"/>
      <w:sz w:val="21"/>
      <w:szCs w:val="21"/>
      <w:lang w:val="en-US" w:eastAsia="zh-CN" w:bidi="ar-SA"/>
    </w:rPr>
  </w:style>
  <w:style w:type="character" w:customStyle="1" w:styleId="472">
    <w:name w:val="标题 6 Char1"/>
    <w:qFormat/>
    <w:uiPriority w:val="0"/>
    <w:rPr>
      <w:rFonts w:ascii="Arial" w:hAnsi="Arial" w:eastAsia="黑体" w:cs="Times New Roman"/>
      <w:b/>
      <w:sz w:val="24"/>
      <w:szCs w:val="20"/>
    </w:rPr>
  </w:style>
  <w:style w:type="character" w:customStyle="1" w:styleId="473">
    <w:name w:val="第三层条 Char1"/>
    <w:semiHidden/>
    <w:qFormat/>
    <w:uiPriority w:val="0"/>
    <w:rPr>
      <w:rFonts w:ascii="Arial" w:hAnsi="Arial" w:eastAsia="黑体"/>
      <w:b/>
      <w:kern w:val="2"/>
      <w:sz w:val="28"/>
      <w:lang w:val="en-US" w:eastAsia="zh-CN" w:bidi="ar-SA"/>
    </w:rPr>
  </w:style>
  <w:style w:type="character" w:customStyle="1" w:styleId="474">
    <w:name w:val="Intense Reference"/>
    <w:qFormat/>
    <w:uiPriority w:val="0"/>
    <w:rPr>
      <w:b/>
      <w:bCs/>
      <w:smallCaps/>
      <w:color w:val="C0504D"/>
      <w:spacing w:val="5"/>
      <w:u w:val="single"/>
    </w:rPr>
  </w:style>
  <w:style w:type="character" w:customStyle="1" w:styleId="475">
    <w:name w:val="Char Char33"/>
    <w:qFormat/>
    <w:uiPriority w:val="0"/>
    <w:rPr>
      <w:rFonts w:ascii="Arial" w:hAnsi="Arial" w:eastAsia="黑体"/>
      <w:kern w:val="2"/>
      <w:sz w:val="24"/>
      <w:szCs w:val="24"/>
      <w:lang w:val="en-US" w:eastAsia="zh-CN" w:bidi="ar-SA"/>
    </w:rPr>
  </w:style>
  <w:style w:type="character" w:customStyle="1" w:styleId="476">
    <w:name w:val="Char Char12"/>
    <w:qFormat/>
    <w:uiPriority w:val="0"/>
    <w:rPr>
      <w:sz w:val="18"/>
    </w:rPr>
  </w:style>
  <w:style w:type="character" w:customStyle="1" w:styleId="477">
    <w:name w:val="Char Char40"/>
    <w:qFormat/>
    <w:uiPriority w:val="0"/>
    <w:rPr>
      <w:rFonts w:eastAsia="宋体"/>
      <w:b/>
      <w:bCs/>
      <w:kern w:val="44"/>
      <w:sz w:val="44"/>
      <w:szCs w:val="44"/>
      <w:lang w:val="en-US" w:eastAsia="zh-CN" w:bidi="ar-SA"/>
    </w:rPr>
  </w:style>
  <w:style w:type="character" w:customStyle="1" w:styleId="478">
    <w:name w:val="黑色 Char Char Char Char Char Char Char Char Char Char Char"/>
    <w:link w:val="278"/>
    <w:qFormat/>
    <w:uiPriority w:val="0"/>
    <w:rPr>
      <w:rFonts w:ascii="Arial" w:hAnsi="Arial" w:cs="Arial"/>
      <w:b/>
      <w:color w:val="000000"/>
      <w:kern w:val="2"/>
      <w:sz w:val="21"/>
    </w:rPr>
  </w:style>
  <w:style w:type="character" w:customStyle="1" w:styleId="479">
    <w:name w:val="Char Char15"/>
    <w:qFormat/>
    <w:uiPriority w:val="0"/>
    <w:rPr>
      <w:rFonts w:eastAsia="宋体"/>
      <w:kern w:val="2"/>
      <w:sz w:val="18"/>
      <w:szCs w:val="18"/>
      <w:lang w:val="en-US" w:eastAsia="zh-CN" w:bidi="ar-SA"/>
    </w:rPr>
  </w:style>
  <w:style w:type="character" w:customStyle="1" w:styleId="480">
    <w:name w:val="标题4 Char Char"/>
    <w:link w:val="481"/>
    <w:qFormat/>
    <w:uiPriority w:val="0"/>
    <w:rPr>
      <w:rFonts w:ascii="Arial" w:hAnsi="Arial"/>
      <w:b/>
      <w:bCs/>
      <w:sz w:val="24"/>
      <w:szCs w:val="32"/>
    </w:rPr>
  </w:style>
  <w:style w:type="paragraph" w:customStyle="1" w:styleId="481">
    <w:name w:val="标题4"/>
    <w:basedOn w:val="3"/>
    <w:next w:val="26"/>
    <w:link w:val="480"/>
    <w:qFormat/>
    <w:uiPriority w:val="0"/>
    <w:pPr>
      <w:spacing w:before="260" w:after="260" w:line="413" w:lineRule="auto"/>
      <w:ind w:firstLine="0" w:firstLineChars="0"/>
      <w:jc w:val="both"/>
    </w:pPr>
    <w:rPr>
      <w:rFonts w:ascii="Arial" w:hAnsi="Arial"/>
      <w:bCs/>
      <w:kern w:val="0"/>
      <w:szCs w:val="32"/>
    </w:rPr>
  </w:style>
  <w:style w:type="character" w:customStyle="1" w:styleId="482">
    <w:name w:val="Char Char38"/>
    <w:qFormat/>
    <w:uiPriority w:val="0"/>
    <w:rPr>
      <w:rFonts w:eastAsia="宋体"/>
      <w:b/>
      <w:bCs/>
      <w:kern w:val="2"/>
      <w:sz w:val="32"/>
      <w:szCs w:val="32"/>
      <w:lang w:val="en-US" w:eastAsia="zh-CN" w:bidi="ar-SA"/>
    </w:rPr>
  </w:style>
  <w:style w:type="character" w:customStyle="1" w:styleId="483">
    <w:name w:val="apple-style-span"/>
    <w:qFormat/>
    <w:uiPriority w:val="0"/>
  </w:style>
  <w:style w:type="character" w:customStyle="1" w:styleId="484">
    <w:name w:val="style2"/>
    <w:qFormat/>
    <w:uiPriority w:val="0"/>
  </w:style>
  <w:style w:type="character" w:customStyle="1" w:styleId="485">
    <w:name w:val="Char Char13"/>
    <w:qFormat/>
    <w:uiPriority w:val="0"/>
    <w:rPr>
      <w:sz w:val="18"/>
    </w:rPr>
  </w:style>
  <w:style w:type="character" w:customStyle="1" w:styleId="486">
    <w:name w:val="Book Title"/>
    <w:qFormat/>
    <w:uiPriority w:val="0"/>
    <w:rPr>
      <w:b/>
      <w:bCs/>
      <w:smallCaps/>
      <w:spacing w:val="5"/>
    </w:rPr>
  </w:style>
  <w:style w:type="character" w:customStyle="1" w:styleId="487">
    <w:name w:val="标题 4 Char1"/>
    <w:qFormat/>
    <w:uiPriority w:val="0"/>
    <w:rPr>
      <w:rFonts w:ascii="Arial" w:hAnsi="Arial" w:eastAsia="黑体"/>
      <w:b/>
      <w:kern w:val="2"/>
      <w:sz w:val="28"/>
    </w:rPr>
  </w:style>
  <w:style w:type="character" w:customStyle="1" w:styleId="488">
    <w:name w:val="rvts13"/>
    <w:qFormat/>
    <w:uiPriority w:val="0"/>
    <w:rPr>
      <w:rFonts w:hint="default" w:ascii="KNLe" w:hAnsi="KNLe"/>
      <w:color w:val="000000"/>
    </w:rPr>
  </w:style>
  <w:style w:type="character" w:customStyle="1" w:styleId="489">
    <w:name w:val="正文缩 Char"/>
    <w:link w:val="490"/>
    <w:qFormat/>
    <w:uiPriority w:val="0"/>
    <w:rPr>
      <w:rFonts w:ascii="Calibri" w:hAnsi="Calibri"/>
      <w:kern w:val="2"/>
      <w:sz w:val="24"/>
      <w:szCs w:val="28"/>
      <w:lang w:bidi="mn-Mong-CN"/>
    </w:rPr>
  </w:style>
  <w:style w:type="paragraph" w:customStyle="1" w:styleId="490">
    <w:name w:val="正文缩"/>
    <w:basedOn w:val="1"/>
    <w:link w:val="489"/>
    <w:qFormat/>
    <w:uiPriority w:val="0"/>
    <w:pPr>
      <w:widowControl w:val="0"/>
      <w:adjustRightInd/>
      <w:snapToGrid/>
      <w:jc w:val="both"/>
    </w:pPr>
    <w:rPr>
      <w:rFonts w:ascii="Calibri" w:hAnsi="Calibri" w:cs="Times New Roman"/>
      <w:kern w:val="2"/>
      <w:szCs w:val="28"/>
      <w:lang w:bidi="mn-Mong-CN"/>
    </w:rPr>
  </w:style>
  <w:style w:type="character" w:customStyle="1" w:styleId="491">
    <w:name w:val="rvts9"/>
    <w:qFormat/>
    <w:uiPriority w:val="0"/>
    <w:rPr>
      <w:rFonts w:hint="default" w:ascii="KNLe" w:hAnsi="KNLe"/>
    </w:rPr>
  </w:style>
  <w:style w:type="character" w:customStyle="1" w:styleId="492">
    <w:name w:val="Char Char14"/>
    <w:qFormat/>
    <w:uiPriority w:val="0"/>
    <w:rPr>
      <w:rFonts w:eastAsia="宋体"/>
      <w:kern w:val="2"/>
      <w:sz w:val="21"/>
      <w:lang w:val="en-US" w:eastAsia="zh-CN" w:bidi="ar-SA"/>
    </w:rPr>
  </w:style>
  <w:style w:type="character" w:customStyle="1" w:styleId="493">
    <w:name w:val="h7 Char Char"/>
    <w:qFormat/>
    <w:uiPriority w:val="0"/>
    <w:rPr>
      <w:rFonts w:eastAsia="宋体"/>
      <w:kern w:val="2"/>
      <w:sz w:val="18"/>
      <w:szCs w:val="18"/>
      <w:lang w:val="en-US" w:eastAsia="zh-CN" w:bidi="ar-SA"/>
    </w:rPr>
  </w:style>
  <w:style w:type="character" w:customStyle="1" w:styleId="494">
    <w:name w:val="标题2 Char"/>
    <w:link w:val="495"/>
    <w:qFormat/>
    <w:uiPriority w:val="0"/>
    <w:rPr>
      <w:rFonts w:ascii="宋体" w:hAnsi="宋体" w:eastAsia="Times New Roman"/>
      <w:b/>
      <w:sz w:val="32"/>
      <w:szCs w:val="24"/>
    </w:rPr>
  </w:style>
  <w:style w:type="paragraph" w:customStyle="1" w:styleId="495">
    <w:name w:val="标题2"/>
    <w:link w:val="494"/>
    <w:qFormat/>
    <w:uiPriority w:val="0"/>
    <w:rPr>
      <w:rFonts w:ascii="宋体" w:hAnsi="宋体" w:eastAsia="Times New Roman" w:cs="Times New Roman"/>
      <w:b/>
      <w:sz w:val="32"/>
      <w:szCs w:val="24"/>
      <w:lang w:val="en-US" w:eastAsia="zh-CN" w:bidi="ar-SA"/>
    </w:rPr>
  </w:style>
  <w:style w:type="character" w:customStyle="1" w:styleId="496">
    <w:name w:val="日期 Char1"/>
    <w:qFormat/>
    <w:uiPriority w:val="0"/>
    <w:rPr>
      <w:rFonts w:ascii="Times New Roman" w:hAnsi="Times New Roman"/>
      <w:kern w:val="2"/>
      <w:sz w:val="21"/>
      <w:szCs w:val="24"/>
    </w:rPr>
  </w:style>
  <w:style w:type="character" w:customStyle="1" w:styleId="497">
    <w:name w:val="正文 + 小三 Char2"/>
    <w:qFormat/>
    <w:uiPriority w:val="0"/>
    <w:rPr>
      <w:rFonts w:eastAsia="宋体"/>
      <w:b/>
      <w:bCs/>
      <w:kern w:val="2"/>
      <w:sz w:val="32"/>
      <w:szCs w:val="32"/>
      <w:lang w:val="en-US" w:eastAsia="zh-CN" w:bidi="ar-SA"/>
    </w:rPr>
  </w:style>
  <w:style w:type="character" w:customStyle="1" w:styleId="498">
    <w:name w:val="Subtle Emphasis"/>
    <w:qFormat/>
    <w:uiPriority w:val="0"/>
    <w:rPr>
      <w:i/>
      <w:iCs/>
      <w:color w:val="808080"/>
    </w:rPr>
  </w:style>
  <w:style w:type="character" w:customStyle="1" w:styleId="499">
    <w:name w:val="Intense Emphasis"/>
    <w:qFormat/>
    <w:uiPriority w:val="0"/>
    <w:rPr>
      <w:b/>
      <w:bCs/>
      <w:i/>
      <w:iCs/>
      <w:color w:val="4F81BD"/>
    </w:rPr>
  </w:style>
  <w:style w:type="character" w:customStyle="1" w:styleId="500">
    <w:name w:val="Char Char221"/>
    <w:qFormat/>
    <w:uiPriority w:val="0"/>
    <w:rPr>
      <w:rFonts w:ascii="Times New Roman" w:hAnsi="Times New Roman" w:eastAsia="宋体"/>
      <w:b/>
      <w:kern w:val="44"/>
      <w:sz w:val="44"/>
    </w:rPr>
  </w:style>
  <w:style w:type="character" w:customStyle="1" w:styleId="501">
    <w:name w:val="Item List Char Char Char"/>
    <w:link w:val="297"/>
    <w:qFormat/>
    <w:uiPriority w:val="0"/>
    <w:rPr>
      <w:rFonts w:ascii="Arial" w:hAnsi="Arial" w:cs="Arial"/>
      <w:b/>
      <w:bCs/>
      <w:kern w:val="2"/>
      <w:sz w:val="21"/>
      <w:szCs w:val="28"/>
    </w:rPr>
  </w:style>
  <w:style w:type="character" w:customStyle="1" w:styleId="502">
    <w:name w:val="美标题3 Char"/>
    <w:link w:val="503"/>
    <w:qFormat/>
    <w:uiPriority w:val="0"/>
    <w:rPr>
      <w:rFonts w:ascii="宋体" w:hAnsi="宋体"/>
      <w:b/>
      <w:kern w:val="2"/>
      <w:sz w:val="24"/>
    </w:rPr>
  </w:style>
  <w:style w:type="paragraph" w:customStyle="1" w:styleId="503">
    <w:name w:val="美标题3"/>
    <w:basedOn w:val="1"/>
    <w:link w:val="502"/>
    <w:qFormat/>
    <w:uiPriority w:val="0"/>
    <w:pPr>
      <w:widowControl w:val="0"/>
      <w:adjustRightInd/>
      <w:snapToGrid/>
      <w:ind w:firstLine="0" w:firstLineChars="0"/>
      <w:jc w:val="both"/>
    </w:pPr>
    <w:rPr>
      <w:rFonts w:ascii="宋体" w:hAnsi="宋体" w:cs="Times New Roman"/>
      <w:b/>
      <w:kern w:val="2"/>
      <w:szCs w:val="20"/>
    </w:rPr>
  </w:style>
  <w:style w:type="character" w:customStyle="1" w:styleId="504">
    <w:name w:val="Char Char201"/>
    <w:qFormat/>
    <w:uiPriority w:val="0"/>
    <w:rPr>
      <w:rFonts w:ascii="Times New Roman" w:hAnsi="Times New Roman" w:eastAsia="宋体"/>
      <w:b/>
      <w:sz w:val="32"/>
    </w:rPr>
  </w:style>
  <w:style w:type="character" w:customStyle="1" w:styleId="505">
    <w:name w:val="tw4winMark"/>
    <w:qFormat/>
    <w:uiPriority w:val="0"/>
    <w:rPr>
      <w:rFonts w:ascii="Courier New" w:hAnsi="Courier New" w:cs="Courier New"/>
      <w:vanish/>
      <w:color w:val="800080"/>
      <w:vertAlign w:val="subscript"/>
    </w:rPr>
  </w:style>
  <w:style w:type="character" w:customStyle="1" w:styleId="506">
    <w:name w:val="font5 Char"/>
    <w:qFormat/>
    <w:uiPriority w:val="0"/>
    <w:rPr>
      <w:rFonts w:ascii="宋体" w:hAnsi="宋体" w:eastAsia="宋体"/>
      <w:sz w:val="28"/>
      <w:szCs w:val="28"/>
      <w:lang w:val="en-US" w:eastAsia="zh-CN" w:bidi="ar-SA"/>
    </w:rPr>
  </w:style>
  <w:style w:type="character" w:customStyle="1" w:styleId="507">
    <w:name w:val="Section Head Char"/>
    <w:qFormat/>
    <w:uiPriority w:val="0"/>
    <w:rPr>
      <w:rFonts w:eastAsia="宋体"/>
      <w:b/>
      <w:bCs/>
      <w:kern w:val="44"/>
      <w:sz w:val="44"/>
      <w:szCs w:val="44"/>
      <w:lang w:val="en-US" w:eastAsia="zh-CN" w:bidi="ar-SA"/>
    </w:rPr>
  </w:style>
  <w:style w:type="character" w:customStyle="1" w:styleId="508">
    <w:name w:val="标准正文 Char"/>
    <w:link w:val="509"/>
    <w:qFormat/>
    <w:uiPriority w:val="0"/>
    <w:rPr>
      <w:rFonts w:ascii="Calibri" w:hAnsi="Calibri"/>
      <w:kern w:val="2"/>
      <w:sz w:val="24"/>
      <w:szCs w:val="24"/>
    </w:rPr>
  </w:style>
  <w:style w:type="paragraph" w:customStyle="1" w:styleId="509">
    <w:name w:val="标准正文"/>
    <w:basedOn w:val="1"/>
    <w:link w:val="508"/>
    <w:qFormat/>
    <w:uiPriority w:val="0"/>
    <w:pPr>
      <w:widowControl w:val="0"/>
      <w:adjustRightInd/>
      <w:snapToGrid/>
      <w:ind w:firstLine="480"/>
      <w:jc w:val="both"/>
    </w:pPr>
    <w:rPr>
      <w:rFonts w:ascii="Calibri" w:hAnsi="Calibri" w:cs="Times New Roman"/>
      <w:kern w:val="2"/>
      <w:szCs w:val="24"/>
    </w:rPr>
  </w:style>
  <w:style w:type="character" w:customStyle="1" w:styleId="510">
    <w:name w:val="美标题一 Char"/>
    <w:link w:val="511"/>
    <w:qFormat/>
    <w:uiPriority w:val="0"/>
    <w:rPr>
      <w:b/>
      <w:kern w:val="2"/>
      <w:sz w:val="36"/>
    </w:rPr>
  </w:style>
  <w:style w:type="paragraph" w:customStyle="1" w:styleId="511">
    <w:name w:val="美标题一"/>
    <w:basedOn w:val="1"/>
    <w:link w:val="510"/>
    <w:qFormat/>
    <w:uiPriority w:val="0"/>
    <w:pPr>
      <w:widowControl w:val="0"/>
      <w:tabs>
        <w:tab w:val="left" w:pos="907"/>
        <w:tab w:val="left" w:pos="1995"/>
      </w:tabs>
      <w:adjustRightInd/>
      <w:snapToGrid/>
      <w:spacing w:line="240" w:lineRule="auto"/>
      <w:ind w:left="902" w:hanging="420" w:firstLineChars="0"/>
      <w:jc w:val="center"/>
    </w:pPr>
    <w:rPr>
      <w:rFonts w:ascii="Times New Roman" w:hAnsi="Times New Roman" w:cs="Times New Roman"/>
      <w:b/>
      <w:kern w:val="2"/>
      <w:sz w:val="36"/>
      <w:szCs w:val="20"/>
    </w:rPr>
  </w:style>
  <w:style w:type="character" w:customStyle="1" w:styleId="512">
    <w:name w:val="Char Char37"/>
    <w:qFormat/>
    <w:uiPriority w:val="0"/>
    <w:rPr>
      <w:rFonts w:ascii="Arial" w:hAnsi="Arial" w:eastAsia="黑体"/>
      <w:b/>
      <w:kern w:val="2"/>
      <w:sz w:val="28"/>
      <w:lang w:val="en-US" w:eastAsia="zh-CN" w:bidi="ar-SA"/>
    </w:rPr>
  </w:style>
  <w:style w:type="character" w:customStyle="1" w:styleId="513">
    <w:name w:val="rvts11"/>
    <w:qFormat/>
    <w:uiPriority w:val="0"/>
    <w:rPr>
      <w:rFonts w:hint="default" w:ascii="KNLe" w:hAnsi="KNLe"/>
      <w:u w:val="single"/>
    </w:rPr>
  </w:style>
  <w:style w:type="paragraph" w:customStyle="1" w:styleId="514">
    <w:name w:val="正文缩进2"/>
    <w:basedOn w:val="1"/>
    <w:qFormat/>
    <w:uiPriority w:val="0"/>
    <w:pPr>
      <w:widowControl w:val="0"/>
      <w:adjustRightInd/>
      <w:snapToGrid/>
      <w:spacing w:line="240" w:lineRule="auto"/>
      <w:ind w:firstLine="420" w:firstLineChars="0"/>
      <w:jc w:val="both"/>
    </w:pPr>
    <w:rPr>
      <w:rFonts w:ascii="Times New Roman" w:hAnsi="Times New Roman" w:cs="Times New Roman"/>
      <w:sz w:val="20"/>
      <w:szCs w:val="20"/>
    </w:rPr>
  </w:style>
  <w:style w:type="character" w:customStyle="1" w:styleId="515">
    <w:name w:val="Char Char281"/>
    <w:qFormat/>
    <w:uiPriority w:val="0"/>
    <w:rPr>
      <w:kern w:val="2"/>
      <w:sz w:val="24"/>
      <w:szCs w:val="21"/>
      <w:lang w:bidi="ar-SA"/>
    </w:rPr>
  </w:style>
  <w:style w:type="character" w:customStyle="1" w:styleId="516">
    <w:name w:val="Char Char291"/>
    <w:qFormat/>
    <w:uiPriority w:val="0"/>
    <w:rPr>
      <w:rFonts w:eastAsia="宋体"/>
      <w:kern w:val="2"/>
      <w:sz w:val="18"/>
      <w:szCs w:val="18"/>
      <w:lang w:val="en-US" w:eastAsia="zh-CN" w:bidi="ar-SA"/>
    </w:rPr>
  </w:style>
  <w:style w:type="character" w:customStyle="1" w:styleId="517">
    <w:name w:val="GP正文(首行缩进) Char Char"/>
    <w:link w:val="518"/>
    <w:qFormat/>
    <w:uiPriority w:val="0"/>
    <w:rPr>
      <w:kern w:val="2"/>
      <w:sz w:val="24"/>
      <w:szCs w:val="21"/>
    </w:rPr>
  </w:style>
  <w:style w:type="paragraph" w:customStyle="1" w:styleId="518">
    <w:name w:val="GP正文(首行缩进)"/>
    <w:basedOn w:val="1"/>
    <w:link w:val="517"/>
    <w:qFormat/>
    <w:uiPriority w:val="0"/>
    <w:pPr>
      <w:widowControl w:val="0"/>
      <w:adjustRightInd/>
      <w:snapToGrid/>
    </w:pPr>
    <w:rPr>
      <w:rFonts w:ascii="Times New Roman" w:hAnsi="Times New Roman" w:cs="Times New Roman"/>
      <w:kern w:val="2"/>
      <w:szCs w:val="21"/>
    </w:rPr>
  </w:style>
  <w:style w:type="character" w:customStyle="1" w:styleId="519">
    <w:name w:val="批注框文本 Char1"/>
    <w:qFormat/>
    <w:uiPriority w:val="0"/>
    <w:rPr>
      <w:kern w:val="2"/>
      <w:sz w:val="18"/>
      <w:szCs w:val="18"/>
    </w:rPr>
  </w:style>
  <w:style w:type="character" w:customStyle="1" w:styleId="520">
    <w:name w:val="small-text"/>
    <w:qFormat/>
    <w:uiPriority w:val="0"/>
  </w:style>
  <w:style w:type="character" w:customStyle="1" w:styleId="521">
    <w:name w:val="h Char"/>
    <w:qFormat/>
    <w:uiPriority w:val="0"/>
    <w:rPr>
      <w:rFonts w:eastAsia="宋体"/>
      <w:kern w:val="2"/>
      <w:sz w:val="18"/>
      <w:szCs w:val="18"/>
      <w:lang w:val="en-US" w:eastAsia="zh-CN" w:bidi="ar-SA"/>
    </w:rPr>
  </w:style>
  <w:style w:type="character" w:customStyle="1" w:styleId="522">
    <w:name w:val="正文文本 Char1"/>
    <w:qFormat/>
    <w:uiPriority w:val="0"/>
    <w:rPr>
      <w:rFonts w:ascii="Times New Roman" w:hAnsi="Times New Roman"/>
      <w:kern w:val="2"/>
      <w:sz w:val="21"/>
      <w:szCs w:val="24"/>
    </w:rPr>
  </w:style>
  <w:style w:type="character" w:customStyle="1" w:styleId="523">
    <w:name w:val="正文首行缩进两字 Char Char"/>
    <w:link w:val="524"/>
    <w:qFormat/>
    <w:uiPriority w:val="0"/>
    <w:rPr>
      <w:rFonts w:eastAsia="Times New Roman"/>
      <w:sz w:val="24"/>
    </w:rPr>
  </w:style>
  <w:style w:type="paragraph" w:customStyle="1" w:styleId="524">
    <w:name w:val="正文首行缩进两字"/>
    <w:link w:val="523"/>
    <w:qFormat/>
    <w:uiPriority w:val="0"/>
    <w:pPr>
      <w:spacing w:afterLines="50" w:line="300" w:lineRule="auto"/>
      <w:ind w:left="240" w:leftChars="100" w:right="240" w:rightChars="100" w:firstLine="480" w:firstLineChars="200"/>
    </w:pPr>
    <w:rPr>
      <w:rFonts w:ascii="Times New Roman" w:hAnsi="Times New Roman" w:eastAsia="Times New Roman" w:cs="Times New Roman"/>
      <w:sz w:val="24"/>
      <w:lang w:val="en-US" w:eastAsia="zh-CN" w:bidi="ar-SA"/>
    </w:rPr>
  </w:style>
  <w:style w:type="character" w:customStyle="1" w:styleId="525">
    <w:name w:val="级别正文 Char Char"/>
    <w:link w:val="526"/>
    <w:qFormat/>
    <w:uiPriority w:val="0"/>
    <w:rPr>
      <w:rFonts w:eastAsia="仿宋_GB2312"/>
      <w:sz w:val="28"/>
      <w:szCs w:val="21"/>
    </w:rPr>
  </w:style>
  <w:style w:type="paragraph" w:customStyle="1" w:styleId="526">
    <w:name w:val="级别正文"/>
    <w:basedOn w:val="1"/>
    <w:link w:val="525"/>
    <w:qFormat/>
    <w:uiPriority w:val="0"/>
    <w:pPr>
      <w:widowControl w:val="0"/>
      <w:tabs>
        <w:tab w:val="left" w:pos="1260"/>
      </w:tabs>
      <w:adjustRightInd/>
      <w:ind w:firstLine="600"/>
      <w:jc w:val="both"/>
    </w:pPr>
    <w:rPr>
      <w:rFonts w:ascii="Times New Roman" w:hAnsi="Times New Roman" w:eastAsia="仿宋_GB2312" w:cs="Times New Roman"/>
      <w:sz w:val="28"/>
      <w:szCs w:val="21"/>
    </w:rPr>
  </w:style>
  <w:style w:type="character" w:customStyle="1" w:styleId="527">
    <w:name w:val="Table Text Char Char Char Char Char Char"/>
    <w:qFormat/>
    <w:uiPriority w:val="0"/>
    <w:rPr>
      <w:rFonts w:ascii="Arial" w:hAnsi="Arial" w:eastAsia="宋体" w:cs="Arial"/>
      <w:kern w:val="2"/>
      <w:sz w:val="18"/>
      <w:szCs w:val="18"/>
      <w:lang w:val="en-US" w:eastAsia="zh-CN" w:bidi="ar-SA"/>
    </w:rPr>
  </w:style>
  <w:style w:type="character" w:customStyle="1" w:styleId="528">
    <w:name w:val="正文符号1 Char"/>
    <w:link w:val="529"/>
    <w:qFormat/>
    <w:uiPriority w:val="0"/>
    <w:rPr>
      <w:rFonts w:eastAsia="仿宋_GB2312"/>
      <w:sz w:val="24"/>
      <w:szCs w:val="24"/>
    </w:rPr>
  </w:style>
  <w:style w:type="paragraph" w:customStyle="1" w:styleId="529">
    <w:name w:val="正文符号1"/>
    <w:basedOn w:val="1"/>
    <w:link w:val="528"/>
    <w:qFormat/>
    <w:uiPriority w:val="0"/>
    <w:pPr>
      <w:widowControl w:val="0"/>
      <w:tabs>
        <w:tab w:val="left" w:pos="987"/>
        <w:tab w:val="left" w:pos="1080"/>
      </w:tabs>
      <w:spacing w:line="288" w:lineRule="auto"/>
      <w:ind w:left="987" w:hanging="420" w:firstLineChars="0"/>
      <w:jc w:val="both"/>
    </w:pPr>
    <w:rPr>
      <w:rFonts w:ascii="Times New Roman" w:hAnsi="Times New Roman" w:eastAsia="仿宋_GB2312" w:cs="Times New Roman"/>
      <w:szCs w:val="24"/>
    </w:rPr>
  </w:style>
  <w:style w:type="character" w:customStyle="1" w:styleId="530">
    <w:name w:val="表格 Char Char"/>
    <w:link w:val="313"/>
    <w:qFormat/>
    <w:uiPriority w:val="0"/>
    <w:rPr>
      <w:rFonts w:ascii="宋体" w:hAnsi="宋体" w:cs="宋体"/>
    </w:rPr>
  </w:style>
  <w:style w:type="character" w:customStyle="1" w:styleId="531">
    <w:name w:val="1page sec3 Char1"/>
    <w:qFormat/>
    <w:uiPriority w:val="0"/>
    <w:rPr>
      <w:kern w:val="2"/>
      <w:sz w:val="18"/>
      <w:szCs w:val="18"/>
    </w:rPr>
  </w:style>
  <w:style w:type="character" w:customStyle="1" w:styleId="532">
    <w:name w:val="foot_title1"/>
    <w:qFormat/>
    <w:uiPriority w:val="0"/>
  </w:style>
  <w:style w:type="character" w:customStyle="1" w:styleId="533">
    <w:name w:val="Char Char5"/>
    <w:qFormat/>
    <w:uiPriority w:val="0"/>
    <w:rPr>
      <w:rFonts w:eastAsia="宋体"/>
      <w:kern w:val="2"/>
      <w:sz w:val="18"/>
      <w:szCs w:val="18"/>
      <w:lang w:val="en-US" w:eastAsia="zh-CN" w:bidi="ar-SA"/>
    </w:rPr>
  </w:style>
  <w:style w:type="character" w:customStyle="1" w:styleId="534">
    <w:name w:val="表格 Char"/>
    <w:qFormat/>
    <w:uiPriority w:val="0"/>
    <w:rPr>
      <w:rFonts w:ascii="Calibri" w:hAnsi="Calibri"/>
      <w:sz w:val="24"/>
      <w:szCs w:val="24"/>
      <w:lang w:bidi="ar-SA"/>
    </w:rPr>
  </w:style>
  <w:style w:type="character" w:customStyle="1" w:styleId="535">
    <w:name w:val="Char Char211"/>
    <w:qFormat/>
    <w:uiPriority w:val="0"/>
    <w:rPr>
      <w:rFonts w:ascii="Arial" w:hAnsi="Arial" w:eastAsia="黑体"/>
      <w:b/>
      <w:sz w:val="32"/>
    </w:rPr>
  </w:style>
  <w:style w:type="character" w:customStyle="1" w:styleId="536">
    <w:name w:val="批注文字 Char Char"/>
    <w:qFormat/>
    <w:uiPriority w:val="0"/>
    <w:rPr>
      <w:rFonts w:ascii="宋体" w:hAnsi="Times New Roman" w:eastAsia="宋体" w:cs="Times New Roman"/>
      <w:sz w:val="28"/>
      <w:szCs w:val="20"/>
    </w:rPr>
  </w:style>
  <w:style w:type="character" w:customStyle="1" w:styleId="537">
    <w:name w:val="Char Char8"/>
    <w:qFormat/>
    <w:uiPriority w:val="0"/>
    <w:rPr>
      <w:kern w:val="2"/>
      <w:sz w:val="24"/>
      <w:szCs w:val="21"/>
      <w:shd w:val="clear" w:color="auto" w:fill="000080"/>
    </w:rPr>
  </w:style>
  <w:style w:type="character" w:customStyle="1" w:styleId="538">
    <w:name w:val="批注主题 Char2"/>
    <w:qFormat/>
    <w:uiPriority w:val="0"/>
    <w:rPr>
      <w:rFonts w:ascii="Times New Roman" w:hAnsi="Times New Roman" w:cs="Times New Roman"/>
      <w:b/>
      <w:bCs/>
      <w:szCs w:val="20"/>
      <w:lang w:val="en-US" w:eastAsia="zh-CN" w:bidi="ar-SA"/>
    </w:rPr>
  </w:style>
  <w:style w:type="paragraph" w:customStyle="1" w:styleId="539">
    <w:name w:val="Char Char Char Char Char2"/>
    <w:basedOn w:val="1"/>
    <w:qFormat/>
    <w:uiPriority w:val="0"/>
    <w:pPr>
      <w:widowControl w:val="0"/>
      <w:adjustRightInd/>
      <w:snapToGrid/>
      <w:spacing w:line="240" w:lineRule="auto"/>
      <w:ind w:firstLine="0" w:firstLineChars="0"/>
      <w:jc w:val="both"/>
    </w:pPr>
    <w:rPr>
      <w:rFonts w:cs="Times New Roman"/>
      <w:kern w:val="2"/>
      <w:szCs w:val="20"/>
    </w:rPr>
  </w:style>
  <w:style w:type="paragraph" w:customStyle="1" w:styleId="540">
    <w:name w:val="xl66"/>
    <w:basedOn w:val="1"/>
    <w:qFormat/>
    <w:uiPriority w:val="0"/>
    <w:pPr>
      <w:pBdr>
        <w:top w:val="single" w:color="auto" w:sz="4" w:space="0"/>
        <w:bottom w:val="single" w:color="auto" w:sz="4" w:space="0"/>
      </w:pBdr>
      <w:adjustRightInd/>
      <w:snapToGrid/>
      <w:spacing w:before="100" w:beforeAutospacing="1" w:after="100" w:afterAutospacing="1" w:line="240" w:lineRule="auto"/>
      <w:ind w:firstLine="0" w:firstLineChars="0"/>
      <w:jc w:val="both"/>
    </w:pPr>
    <w:rPr>
      <w:rFonts w:hint="eastAsia" w:ascii="宋体" w:hAnsi="宋体" w:cs="Times New Roman"/>
      <w:b/>
      <w:szCs w:val="20"/>
    </w:rPr>
  </w:style>
  <w:style w:type="paragraph" w:customStyle="1" w:styleId="541">
    <w:name w:val="Char Char Char Char Char Char Char Char Char Char"/>
    <w:basedOn w:val="1"/>
    <w:qFormat/>
    <w:uiPriority w:val="0"/>
    <w:pPr>
      <w:widowControl w:val="0"/>
      <w:snapToGrid/>
      <w:jc w:val="both"/>
    </w:pPr>
    <w:rPr>
      <w:rFonts w:ascii="Times New Roman" w:hAnsi="Times New Roman" w:cs="Times New Roman"/>
      <w:szCs w:val="20"/>
    </w:rPr>
  </w:style>
  <w:style w:type="paragraph" w:customStyle="1" w:styleId="542">
    <w:name w:val="缺省文本"/>
    <w:basedOn w:val="1"/>
    <w:qFormat/>
    <w:uiPriority w:val="0"/>
    <w:pPr>
      <w:widowControl w:val="0"/>
      <w:autoSpaceDE w:val="0"/>
      <w:autoSpaceDN w:val="0"/>
      <w:snapToGrid/>
      <w:spacing w:line="240" w:lineRule="auto"/>
      <w:ind w:firstLine="0" w:firstLineChars="0"/>
    </w:pPr>
    <w:rPr>
      <w:rFonts w:ascii="Times New Roman" w:hAnsi="Times New Roman" w:cs="Times New Roman"/>
      <w:szCs w:val="20"/>
    </w:rPr>
  </w:style>
  <w:style w:type="paragraph" w:customStyle="1" w:styleId="543">
    <w:name w:val="Char Char Char Char Char Char Char Char Char Char Char Char Char Char Char Char Char Char Char Char Char Char Char2"/>
    <w:basedOn w:val="1"/>
    <w:qFormat/>
    <w:uiPriority w:val="0"/>
    <w:pPr>
      <w:widowControl w:val="0"/>
      <w:adjustRightInd/>
      <w:snapToGrid/>
      <w:spacing w:line="240" w:lineRule="auto"/>
      <w:ind w:firstLine="0" w:firstLineChars="0"/>
      <w:jc w:val="both"/>
    </w:pPr>
    <w:rPr>
      <w:rFonts w:cs="Times New Roman"/>
      <w:kern w:val="2"/>
      <w:szCs w:val="20"/>
    </w:rPr>
  </w:style>
  <w:style w:type="paragraph" w:customStyle="1" w:styleId="544">
    <w:name w:val="Char Char1 Char2"/>
    <w:basedOn w:val="1"/>
    <w:qFormat/>
    <w:uiPriority w:val="0"/>
    <w:pPr>
      <w:adjustRightInd/>
      <w:snapToGrid/>
      <w:spacing w:after="160" w:line="240" w:lineRule="exact"/>
      <w:ind w:firstLine="0" w:firstLineChars="0"/>
    </w:pPr>
    <w:rPr>
      <w:rFonts w:ascii="Verdana" w:hAnsi="Verdana" w:cs="Times New Roman"/>
      <w:sz w:val="20"/>
      <w:szCs w:val="20"/>
      <w:lang w:eastAsia="en-US"/>
    </w:rPr>
  </w:style>
  <w:style w:type="paragraph" w:customStyle="1" w:styleId="545">
    <w:name w:val="±íÉí"/>
    <w:basedOn w:val="1"/>
    <w:qFormat/>
    <w:uiPriority w:val="0"/>
    <w:pPr>
      <w:overflowPunct w:val="0"/>
      <w:autoSpaceDE w:val="0"/>
      <w:autoSpaceDN w:val="0"/>
      <w:snapToGrid/>
      <w:spacing w:line="300" w:lineRule="auto"/>
      <w:ind w:firstLine="0" w:firstLineChars="0"/>
      <w:textAlignment w:val="baseline"/>
    </w:pPr>
    <w:rPr>
      <w:rFonts w:ascii="Times New Roman" w:hAnsi="Times New Roman" w:cs="Times New Roman"/>
      <w:sz w:val="18"/>
      <w:szCs w:val="20"/>
    </w:rPr>
  </w:style>
  <w:style w:type="paragraph" w:customStyle="1" w:styleId="546">
    <w:name w:val="Revision"/>
    <w:qFormat/>
    <w:uiPriority w:val="0"/>
    <w:rPr>
      <w:rFonts w:ascii="Times New Roman" w:hAnsi="Times New Roman" w:eastAsia="宋体" w:cs="Times New Roman"/>
      <w:kern w:val="2"/>
      <w:sz w:val="21"/>
      <w:lang w:val="en-US" w:eastAsia="zh-CN" w:bidi="ar-SA"/>
    </w:rPr>
  </w:style>
  <w:style w:type="paragraph" w:customStyle="1" w:styleId="547">
    <w:name w:val="P1"/>
    <w:qFormat/>
    <w:uiPriority w:val="0"/>
    <w:pPr>
      <w:widowControl w:val="0"/>
      <w:adjustRightInd w:val="0"/>
      <w:spacing w:after="240" w:line="0" w:lineRule="atLeast"/>
      <w:ind w:left="2304"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548">
    <w:name w:val="标准中文版式_正文"/>
    <w:basedOn w:val="1"/>
    <w:qFormat/>
    <w:uiPriority w:val="0"/>
    <w:pPr>
      <w:widowControl w:val="0"/>
      <w:adjustRightInd/>
      <w:snapToGrid/>
      <w:spacing w:before="30"/>
      <w:ind w:firstLine="0" w:firstLineChars="0"/>
      <w:jc w:val="both"/>
    </w:pPr>
    <w:rPr>
      <w:rFonts w:ascii="Arial" w:hAnsi="Arial" w:cs="Times New Roman"/>
      <w:kern w:val="2"/>
      <w:szCs w:val="20"/>
    </w:rPr>
  </w:style>
  <w:style w:type="paragraph" w:customStyle="1" w:styleId="549">
    <w:name w:val="表身（中）"/>
    <w:basedOn w:val="550"/>
    <w:qFormat/>
    <w:uiPriority w:val="0"/>
    <w:pPr>
      <w:jc w:val="center"/>
    </w:pPr>
  </w:style>
  <w:style w:type="paragraph" w:customStyle="1" w:styleId="550">
    <w:name w:val="表身（左）"/>
    <w:qFormat/>
    <w:uiPriority w:val="0"/>
    <w:pPr>
      <w:adjustRightInd w:val="0"/>
      <w:snapToGrid w:val="0"/>
      <w:spacing w:line="300" w:lineRule="auto"/>
      <w:textAlignment w:val="center"/>
    </w:pPr>
    <w:rPr>
      <w:rFonts w:ascii="Times New Roman" w:hAnsi="Times New Roman" w:eastAsia="宋体" w:cs="Times New Roman"/>
      <w:sz w:val="16"/>
      <w:lang w:val="en-US" w:eastAsia="zh-CN" w:bidi="ar-SA"/>
    </w:rPr>
  </w:style>
  <w:style w:type="paragraph" w:customStyle="1" w:styleId="551">
    <w:name w:val="Char Char 字元 字元 字元 Char Char Char Char"/>
    <w:basedOn w:val="1"/>
    <w:qFormat/>
    <w:uiPriority w:val="0"/>
    <w:pPr>
      <w:widowControl w:val="0"/>
      <w:snapToGrid/>
      <w:ind w:firstLine="0" w:firstLineChars="0"/>
      <w:jc w:val="both"/>
    </w:pPr>
    <w:rPr>
      <w:rFonts w:ascii="Times New Roman" w:hAnsi="Times New Roman" w:cs="Times New Roman"/>
      <w:szCs w:val="20"/>
    </w:rPr>
  </w:style>
  <w:style w:type="paragraph" w:customStyle="1" w:styleId="552">
    <w:name w:val="Char"/>
    <w:basedOn w:val="1"/>
    <w:qFormat/>
    <w:uiPriority w:val="0"/>
    <w:pPr>
      <w:widowControl w:val="0"/>
      <w:adjustRightInd/>
      <w:snapToGrid/>
      <w:spacing w:afterLines="50"/>
      <w:ind w:firstLine="0" w:firstLineChars="0"/>
      <w:jc w:val="both"/>
    </w:pPr>
    <w:rPr>
      <w:rFonts w:cs="Times New Roman"/>
      <w:kern w:val="2"/>
      <w:szCs w:val="20"/>
    </w:rPr>
  </w:style>
  <w:style w:type="paragraph" w:customStyle="1" w:styleId="553">
    <w:name w:val="格式2"/>
    <w:qFormat/>
    <w:uiPriority w:val="0"/>
    <w:pPr>
      <w:widowControl w:val="0"/>
      <w:adjustRightInd w:val="0"/>
      <w:snapToGrid w:val="0"/>
      <w:spacing w:before="50" w:line="440" w:lineRule="exact"/>
      <w:jc w:val="both"/>
    </w:pPr>
    <w:rPr>
      <w:rFonts w:ascii="Times New Roman" w:hAnsi="Times New Roman" w:eastAsia="宋体" w:cs="Times New Roman"/>
      <w:sz w:val="24"/>
      <w:lang w:val="en-US" w:eastAsia="zh-CN" w:bidi="ar-SA"/>
    </w:rPr>
  </w:style>
  <w:style w:type="paragraph" w:customStyle="1" w:styleId="554">
    <w:name w:val="a1"/>
    <w:basedOn w:val="1"/>
    <w:qFormat/>
    <w:uiPriority w:val="0"/>
    <w:pPr>
      <w:adjustRightInd/>
      <w:snapToGrid/>
      <w:spacing w:before="100" w:beforeAutospacing="1" w:after="100" w:afterAutospacing="1" w:line="240" w:lineRule="auto"/>
      <w:ind w:firstLine="0" w:firstLineChars="0"/>
    </w:pPr>
    <w:rPr>
      <w:rFonts w:ascii="宋体" w:hAnsi="宋体"/>
      <w:szCs w:val="24"/>
      <w:lang w:bidi="mr-IN"/>
    </w:rPr>
  </w:style>
  <w:style w:type="paragraph" w:customStyle="1" w:styleId="555">
    <w:name w:val="默认段落字体 Para Char Char Char Char Char Char Char Char Char1 Char"/>
    <w:basedOn w:val="1"/>
    <w:qFormat/>
    <w:uiPriority w:val="0"/>
    <w:pPr>
      <w:widowControl w:val="0"/>
      <w:adjustRightInd/>
      <w:snapToGrid/>
      <w:spacing w:line="240" w:lineRule="auto"/>
      <w:ind w:firstLine="0" w:firstLineChars="0"/>
      <w:jc w:val="both"/>
    </w:pPr>
    <w:rPr>
      <w:rFonts w:cs="Times New Roman"/>
      <w:kern w:val="2"/>
      <w:szCs w:val="20"/>
    </w:rPr>
  </w:style>
  <w:style w:type="paragraph" w:customStyle="1" w:styleId="556">
    <w:name w:val="打印正文1"/>
    <w:basedOn w:val="1"/>
    <w:qFormat/>
    <w:uiPriority w:val="0"/>
    <w:pPr>
      <w:adjustRightInd/>
      <w:snapToGrid/>
      <w:ind w:firstLine="0" w:firstLineChars="0"/>
    </w:pPr>
    <w:rPr>
      <w:rFonts w:ascii="Times New Roman" w:hAnsi="Times New Roman" w:cs="Times New Roman"/>
      <w:kern w:val="2"/>
      <w:szCs w:val="20"/>
      <w:lang w:val="fr-FR"/>
    </w:rPr>
  </w:style>
  <w:style w:type="paragraph" w:customStyle="1" w:styleId="557">
    <w:name w:val="Char Char18"/>
    <w:basedOn w:val="1"/>
    <w:qFormat/>
    <w:uiPriority w:val="0"/>
    <w:pPr>
      <w:widowControl w:val="0"/>
      <w:adjustRightInd/>
      <w:snapToGrid/>
      <w:spacing w:line="240" w:lineRule="auto"/>
      <w:ind w:firstLine="0" w:firstLineChars="0"/>
      <w:jc w:val="both"/>
    </w:pPr>
    <w:rPr>
      <w:rFonts w:cs="Times New Roman"/>
      <w:kern w:val="2"/>
      <w:szCs w:val="20"/>
    </w:rPr>
  </w:style>
  <w:style w:type="paragraph" w:customStyle="1" w:styleId="558">
    <w:name w:val="Char Char Char Char Char Char Char2"/>
    <w:basedOn w:val="1"/>
    <w:qFormat/>
    <w:uiPriority w:val="0"/>
    <w:pPr>
      <w:widowControl w:val="0"/>
      <w:adjustRightInd/>
      <w:snapToGrid/>
      <w:spacing w:line="240" w:lineRule="auto"/>
      <w:ind w:firstLine="0" w:firstLineChars="0"/>
      <w:jc w:val="both"/>
    </w:pPr>
    <w:rPr>
      <w:rFonts w:cs="Times New Roman"/>
      <w:kern w:val="2"/>
      <w:szCs w:val="20"/>
    </w:rPr>
  </w:style>
  <w:style w:type="paragraph" w:customStyle="1" w:styleId="559">
    <w:name w:val="项目符号A"/>
    <w:basedOn w:val="1"/>
    <w:qFormat/>
    <w:uiPriority w:val="0"/>
    <w:pPr>
      <w:widowControl w:val="0"/>
      <w:adjustRightInd/>
      <w:snapToGrid/>
      <w:ind w:left="567" w:firstLine="0" w:firstLineChars="0"/>
      <w:jc w:val="both"/>
    </w:pPr>
    <w:rPr>
      <w:rFonts w:ascii="宋体" w:hAnsi="宋体" w:cs="Times New Roman"/>
      <w:kern w:val="2"/>
      <w:szCs w:val="20"/>
    </w:rPr>
  </w:style>
  <w:style w:type="paragraph" w:customStyle="1" w:styleId="560">
    <w:name w:val="Char Char Char Char Char Char1 Char"/>
    <w:basedOn w:val="1"/>
    <w:qFormat/>
    <w:uiPriority w:val="0"/>
    <w:pPr>
      <w:adjustRightInd/>
      <w:snapToGrid/>
      <w:spacing w:after="160" w:line="240" w:lineRule="exact"/>
      <w:ind w:firstLine="0" w:firstLineChars="0"/>
    </w:pPr>
    <w:rPr>
      <w:rFonts w:ascii="Verdana" w:hAnsi="Verdana" w:cs="Times New Roman"/>
      <w:sz w:val="21"/>
      <w:szCs w:val="20"/>
      <w:lang w:eastAsia="en-US"/>
    </w:rPr>
  </w:style>
  <w:style w:type="paragraph" w:customStyle="1" w:styleId="561">
    <w:name w:val="Char Char Char Char Char Char Char Char Char Char Char2"/>
    <w:basedOn w:val="1"/>
    <w:qFormat/>
    <w:uiPriority w:val="0"/>
    <w:pPr>
      <w:widowControl w:val="0"/>
      <w:adjustRightInd/>
      <w:snapToGrid/>
      <w:spacing w:line="240" w:lineRule="auto"/>
      <w:ind w:firstLine="0" w:firstLineChars="0"/>
      <w:jc w:val="both"/>
    </w:pPr>
    <w:rPr>
      <w:rFonts w:cs="Times New Roman"/>
      <w:kern w:val="2"/>
      <w:szCs w:val="20"/>
    </w:rPr>
  </w:style>
  <w:style w:type="paragraph" w:customStyle="1" w:styleId="562">
    <w:name w:val="样式 标题 1 + 红色"/>
    <w:basedOn w:val="2"/>
    <w:qFormat/>
    <w:uiPriority w:val="0"/>
    <w:pPr>
      <w:keepLines/>
      <w:tabs>
        <w:tab w:val="left" w:pos="425"/>
        <w:tab w:val="left" w:pos="720"/>
        <w:tab w:val="left" w:pos="900"/>
        <w:tab w:val="clear" w:pos="1440"/>
        <w:tab w:val="clear" w:pos="5670"/>
      </w:tabs>
      <w:spacing w:before="340" w:after="330" w:line="576" w:lineRule="auto"/>
      <w:ind w:left="425" w:hanging="425" w:firstLineChars="0"/>
      <w:jc w:val="both"/>
    </w:pPr>
    <w:rPr>
      <w:rFonts w:ascii="Times New Roman" w:eastAsia="Arial"/>
      <w:bCs/>
      <w:color w:val="FF0000"/>
      <w:sz w:val="30"/>
      <w:szCs w:val="44"/>
    </w:rPr>
  </w:style>
  <w:style w:type="paragraph" w:customStyle="1" w:styleId="563">
    <w:name w:val="GP标题5"/>
    <w:basedOn w:val="564"/>
    <w:next w:val="518"/>
    <w:qFormat/>
    <w:uiPriority w:val="0"/>
    <w:pPr>
      <w:spacing w:beforeLines="50" w:afterLines="50"/>
      <w:outlineLvl w:val="4"/>
    </w:pPr>
    <w:rPr>
      <w:rFonts w:ascii="华文细黑" w:hAnsi="华文细黑" w:eastAsia="华文细黑"/>
      <w:b/>
    </w:rPr>
  </w:style>
  <w:style w:type="paragraph" w:customStyle="1" w:styleId="564">
    <w:name w:val="GP正文(无首行缩进)"/>
    <w:qFormat/>
    <w:uiPriority w:val="0"/>
    <w:pPr>
      <w:widowControl w:val="0"/>
      <w:spacing w:line="360" w:lineRule="auto"/>
    </w:pPr>
    <w:rPr>
      <w:rFonts w:ascii="Times New Roman" w:hAnsi="Times New Roman" w:eastAsia="宋体" w:cs="Times New Roman"/>
      <w:kern w:val="2"/>
      <w:sz w:val="24"/>
      <w:szCs w:val="21"/>
      <w:lang w:val="en-US" w:eastAsia="zh-CN" w:bidi="ar-SA"/>
    </w:rPr>
  </w:style>
  <w:style w:type="paragraph" w:customStyle="1" w:styleId="565">
    <w:name w:val="rvps1"/>
    <w:basedOn w:val="1"/>
    <w:qFormat/>
    <w:uiPriority w:val="0"/>
    <w:pPr>
      <w:adjustRightInd/>
      <w:snapToGrid/>
      <w:spacing w:line="240" w:lineRule="auto"/>
      <w:ind w:firstLine="0" w:firstLineChars="0"/>
      <w:jc w:val="center"/>
    </w:pPr>
    <w:rPr>
      <w:rFonts w:ascii="Times New Roman" w:hAnsi="Times New Roman" w:cs="Times New Roman"/>
      <w:szCs w:val="24"/>
    </w:rPr>
  </w:style>
  <w:style w:type="paragraph" w:customStyle="1" w:styleId="566">
    <w:name w:val="附录1"/>
    <w:qFormat/>
    <w:uiPriority w:val="0"/>
    <w:pPr>
      <w:tabs>
        <w:tab w:val="left" w:pos="907"/>
      </w:tabs>
      <w:snapToGrid w:val="0"/>
      <w:spacing w:before="240" w:line="600" w:lineRule="atLeast"/>
      <w:ind w:left="902" w:hanging="420"/>
    </w:pPr>
    <w:rPr>
      <w:rFonts w:ascii="Times New Roman" w:hAnsi="Times New Roman" w:eastAsia="宋体" w:cs="Times New Roman"/>
      <w:b/>
      <w:i/>
      <w:sz w:val="28"/>
      <w:lang w:val="en-US" w:eastAsia="zh-CN" w:bidi="ar-SA"/>
    </w:rPr>
  </w:style>
  <w:style w:type="paragraph" w:customStyle="1" w:styleId="567">
    <w:name w:val="Tender"/>
    <w:basedOn w:val="1"/>
    <w:next w:val="1"/>
    <w:qFormat/>
    <w:uiPriority w:val="0"/>
    <w:pPr>
      <w:adjustRightInd/>
      <w:snapToGrid/>
      <w:spacing w:before="120" w:after="360"/>
      <w:ind w:firstLine="0" w:firstLineChars="0"/>
      <w:jc w:val="both"/>
    </w:pPr>
    <w:rPr>
      <w:rFonts w:ascii="Arial" w:hAnsi="Arial" w:cs="Times New Roman"/>
      <w:szCs w:val="20"/>
      <w:lang w:eastAsia="en-US"/>
    </w:rPr>
  </w:style>
  <w:style w:type="paragraph" w:customStyle="1" w:styleId="568">
    <w:name w:val="text"/>
    <w:basedOn w:val="1"/>
    <w:qFormat/>
    <w:uiPriority w:val="0"/>
    <w:pPr>
      <w:adjustRightInd/>
      <w:snapToGrid/>
      <w:spacing w:before="100" w:beforeAutospacing="1" w:after="100" w:afterAutospacing="1" w:line="240" w:lineRule="auto"/>
      <w:ind w:firstLine="0" w:firstLineChars="0"/>
    </w:pPr>
    <w:rPr>
      <w:rFonts w:ascii="Times New Roman" w:hAnsi="Times New Roman" w:eastAsia="Arial Unicode MS" w:cs="Arial Unicode MS"/>
      <w:color w:val="000000"/>
      <w:szCs w:val="24"/>
    </w:rPr>
  </w:style>
  <w:style w:type="paragraph" w:customStyle="1" w:styleId="569">
    <w:name w:val="列出段落4"/>
    <w:basedOn w:val="1"/>
    <w:qFormat/>
    <w:uiPriority w:val="0"/>
    <w:pPr>
      <w:adjustRightInd/>
      <w:snapToGrid/>
      <w:spacing w:line="240" w:lineRule="auto"/>
      <w:ind w:left="720" w:firstLine="0" w:firstLineChars="0"/>
      <w:contextualSpacing/>
    </w:pPr>
    <w:rPr>
      <w:rFonts w:ascii="Arial" w:hAnsi="Arial" w:eastAsia="黑体" w:cs="Times New Roman"/>
      <w:szCs w:val="24"/>
      <w:lang w:eastAsia="en-US"/>
    </w:rPr>
  </w:style>
  <w:style w:type="paragraph" w:customStyle="1" w:styleId="570">
    <w:name w:val="xl71"/>
    <w:basedOn w:val="1"/>
    <w:qFormat/>
    <w:uiPriority w:val="0"/>
    <w:pPr>
      <w:pBdr>
        <w:top w:val="single" w:color="auto" w:sz="4" w:space="0"/>
        <w:bottom w:val="single" w:color="auto" w:sz="4" w:space="0"/>
        <w:right w:val="single" w:color="auto" w:sz="4" w:space="0"/>
      </w:pBdr>
      <w:adjustRightInd/>
      <w:snapToGrid/>
      <w:spacing w:before="100" w:beforeAutospacing="1" w:after="100" w:afterAutospacing="1" w:line="240" w:lineRule="auto"/>
      <w:ind w:firstLine="0" w:firstLineChars="0"/>
      <w:jc w:val="both"/>
    </w:pPr>
    <w:rPr>
      <w:rFonts w:hint="eastAsia" w:ascii="宋体" w:hAnsi="宋体" w:cs="Times New Roman"/>
      <w:b/>
      <w:sz w:val="28"/>
      <w:szCs w:val="20"/>
    </w:rPr>
  </w:style>
  <w:style w:type="paragraph" w:customStyle="1" w:styleId="571">
    <w:name w:val="+标题2"/>
    <w:basedOn w:val="3"/>
    <w:qFormat/>
    <w:uiPriority w:val="0"/>
    <w:pPr>
      <w:tabs>
        <w:tab w:val="left" w:pos="431"/>
        <w:tab w:val="left" w:pos="1931"/>
      </w:tabs>
      <w:spacing w:before="120" w:after="120"/>
      <w:ind w:left="431" w:hanging="431" w:firstLineChars="0"/>
      <w:jc w:val="both"/>
    </w:pPr>
    <w:rPr>
      <w:rFonts w:ascii="Times New Roman" w:hAnsi="Times New Roman"/>
      <w:bCs/>
      <w:szCs w:val="28"/>
    </w:rPr>
  </w:style>
  <w:style w:type="paragraph" w:customStyle="1" w:styleId="572">
    <w:name w:val="_Style 56"/>
    <w:basedOn w:val="17"/>
    <w:qFormat/>
    <w:uiPriority w:val="0"/>
    <w:pPr>
      <w:spacing w:line="436" w:lineRule="exact"/>
      <w:ind w:firstLine="0" w:firstLineChars="0"/>
    </w:pPr>
    <w:rPr>
      <w:rFonts w:ascii="Times New Roman" w:hAnsi="Times New Roman" w:cs="Times New Roman"/>
      <w:szCs w:val="20"/>
    </w:rPr>
  </w:style>
  <w:style w:type="paragraph" w:customStyle="1" w:styleId="573">
    <w:name w:val="南通方案正文"/>
    <w:basedOn w:val="1"/>
    <w:qFormat/>
    <w:uiPriority w:val="0"/>
    <w:pPr>
      <w:widowControl w:val="0"/>
      <w:adjustRightInd/>
      <w:snapToGrid/>
      <w:ind w:firstLine="480"/>
      <w:jc w:val="both"/>
    </w:pPr>
    <w:rPr>
      <w:rFonts w:ascii="Times New Roman" w:hAnsi="Times New Roman" w:cs="Times New Roman"/>
      <w:kern w:val="2"/>
      <w:szCs w:val="20"/>
    </w:rPr>
  </w:style>
  <w:style w:type="paragraph" w:customStyle="1" w:styleId="574">
    <w:name w:val="Char3"/>
    <w:basedOn w:val="17"/>
    <w:qFormat/>
    <w:uiPriority w:val="0"/>
    <w:pPr>
      <w:adjustRightInd w:val="0"/>
      <w:snapToGrid w:val="0"/>
    </w:pPr>
    <w:rPr>
      <w:rFonts w:ascii="Tahoma" w:hAnsi="Tahoma" w:cs="Times New Roman"/>
      <w:sz w:val="24"/>
      <w:szCs w:val="24"/>
      <w:shd w:val="clear" w:color="auto" w:fill="000080"/>
    </w:rPr>
  </w:style>
  <w:style w:type="paragraph" w:customStyle="1" w:styleId="575">
    <w:name w:val="Char Char1 Char Char Char Char Char Char Char Char Char Char Char Char Char Char Char"/>
    <w:basedOn w:val="1"/>
    <w:qFormat/>
    <w:uiPriority w:val="0"/>
    <w:pPr>
      <w:tabs>
        <w:tab w:val="left" w:pos="3780"/>
        <w:tab w:val="left" w:pos="5102"/>
      </w:tabs>
      <w:adjustRightInd/>
      <w:snapToGrid/>
      <w:spacing w:after="160" w:line="240" w:lineRule="exact"/>
      <w:ind w:left="5102" w:firstLine="0" w:firstLineChars="0"/>
    </w:pPr>
    <w:rPr>
      <w:rFonts w:ascii="Verdana" w:hAnsi="Verdana" w:cs="Times New Roman"/>
      <w:sz w:val="20"/>
      <w:szCs w:val="20"/>
      <w:lang w:eastAsia="en-US"/>
    </w:rPr>
  </w:style>
  <w:style w:type="paragraph" w:customStyle="1" w:styleId="576">
    <w:name w:val="+a)"/>
    <w:basedOn w:val="577"/>
    <w:qFormat/>
    <w:uiPriority w:val="0"/>
    <w:pPr>
      <w:tabs>
        <w:tab w:val="left" w:pos="840"/>
        <w:tab w:val="left" w:pos="992"/>
      </w:tabs>
      <w:ind w:firstLine="0" w:firstLineChars="0"/>
    </w:pPr>
  </w:style>
  <w:style w:type="paragraph" w:customStyle="1" w:styleId="577">
    <w:name w:val="+正文"/>
    <w:basedOn w:val="1"/>
    <w:qFormat/>
    <w:uiPriority w:val="0"/>
    <w:pPr>
      <w:widowControl w:val="0"/>
      <w:tabs>
        <w:tab w:val="left" w:pos="840"/>
        <w:tab w:val="left" w:pos="992"/>
      </w:tabs>
      <w:adjustRightInd/>
      <w:snapToGrid/>
      <w:jc w:val="both"/>
    </w:pPr>
    <w:rPr>
      <w:rFonts w:ascii="Times New Roman" w:hAnsi="Times New Roman" w:cs="Times New Roman"/>
      <w:kern w:val="2"/>
      <w:szCs w:val="28"/>
    </w:rPr>
  </w:style>
  <w:style w:type="paragraph" w:customStyle="1" w:styleId="578">
    <w:name w:val="_Style 23"/>
    <w:basedOn w:val="17"/>
    <w:qFormat/>
    <w:uiPriority w:val="0"/>
    <w:pPr>
      <w:spacing w:line="240" w:lineRule="auto"/>
      <w:ind w:firstLine="0" w:firstLineChars="0"/>
    </w:pPr>
    <w:rPr>
      <w:rFonts w:ascii="Times New Roman" w:hAnsi="Times New Roman" w:cs="Times New Roman"/>
      <w:szCs w:val="24"/>
    </w:rPr>
  </w:style>
  <w:style w:type="paragraph" w:customStyle="1" w:styleId="579">
    <w:name w:val="+1."/>
    <w:basedOn w:val="577"/>
    <w:qFormat/>
    <w:uiPriority w:val="0"/>
    <w:pPr>
      <w:tabs>
        <w:tab w:val="left" w:pos="1322"/>
        <w:tab w:val="clear" w:pos="840"/>
        <w:tab w:val="clear" w:pos="992"/>
      </w:tabs>
      <w:ind w:left="1322" w:hanging="420" w:firstLineChars="0"/>
    </w:pPr>
  </w:style>
  <w:style w:type="paragraph" w:customStyle="1" w:styleId="580">
    <w:name w:val="标题1"/>
    <w:basedOn w:val="581"/>
    <w:next w:val="581"/>
    <w:qFormat/>
    <w:uiPriority w:val="0"/>
    <w:pPr>
      <w:tabs>
        <w:tab w:val="left" w:pos="851"/>
      </w:tabs>
      <w:spacing w:before="100" w:beforeAutospacing="1"/>
    </w:pPr>
    <w:rPr>
      <w:rFonts w:ascii="宋体" w:hAnsi="宋体"/>
      <w:b/>
      <w:sz w:val="24"/>
    </w:rPr>
  </w:style>
  <w:style w:type="paragraph" w:customStyle="1" w:styleId="581">
    <w:name w:val="cntrt"/>
    <w:basedOn w:val="1"/>
    <w:qFormat/>
    <w:uiPriority w:val="0"/>
    <w:pPr>
      <w:adjustRightInd/>
      <w:snapToGrid/>
      <w:spacing w:line="240" w:lineRule="auto"/>
      <w:ind w:firstLine="0" w:firstLineChars="0"/>
      <w:jc w:val="both"/>
    </w:pPr>
    <w:rPr>
      <w:rFonts w:ascii="Arial" w:hAnsi="Arial" w:cs="Times New Roman"/>
      <w:sz w:val="20"/>
      <w:szCs w:val="20"/>
      <w:lang w:val="en-AU"/>
    </w:rPr>
  </w:style>
  <w:style w:type="paragraph" w:customStyle="1" w:styleId="582">
    <w:name w:val="Blockquote"/>
    <w:basedOn w:val="1"/>
    <w:qFormat/>
    <w:uiPriority w:val="0"/>
    <w:pPr>
      <w:widowControl w:val="0"/>
      <w:autoSpaceDE w:val="0"/>
      <w:autoSpaceDN w:val="0"/>
      <w:snapToGrid/>
      <w:spacing w:before="100" w:after="100" w:line="240" w:lineRule="auto"/>
      <w:ind w:left="360" w:right="360" w:firstLine="0" w:firstLineChars="0"/>
    </w:pPr>
    <w:rPr>
      <w:rFonts w:ascii="Times New Roman" w:hAnsi="Times New Roman" w:cs="Times New Roman"/>
      <w:szCs w:val="20"/>
    </w:rPr>
  </w:style>
  <w:style w:type="paragraph" w:customStyle="1" w:styleId="583">
    <w:name w:val="网格型1"/>
    <w:qFormat/>
    <w:uiPriority w:val="0"/>
    <w:pPr>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 w:val="left" w:pos="15540"/>
        <w:tab w:val="left" w:pos="15960"/>
        <w:tab w:val="left" w:pos="16380"/>
        <w:tab w:val="left" w:pos="16800"/>
        <w:tab w:val="left" w:pos="17220"/>
        <w:tab w:val="left" w:pos="17640"/>
        <w:tab w:val="left" w:pos="18060"/>
        <w:tab w:val="left" w:pos="18480"/>
        <w:tab w:val="left" w:pos="18900"/>
        <w:tab w:val="left" w:pos="19320"/>
        <w:tab w:val="left" w:pos="19740"/>
        <w:tab w:val="left" w:pos="20160"/>
        <w:tab w:val="left" w:pos="20580"/>
        <w:tab w:val="left" w:pos="21000"/>
        <w:tab w:val="left" w:pos="21420"/>
        <w:tab w:val="left" w:pos="21840"/>
        <w:tab w:val="left" w:pos="22260"/>
        <w:tab w:val="left" w:pos="22680"/>
        <w:tab w:val="left" w:pos="23100"/>
        <w:tab w:val="left" w:pos="23520"/>
        <w:tab w:val="left" w:pos="23940"/>
        <w:tab w:val="left" w:pos="24360"/>
        <w:tab w:val="left" w:pos="24780"/>
        <w:tab w:val="left" w:pos="25200"/>
        <w:tab w:val="left" w:pos="25620"/>
        <w:tab w:val="left" w:pos="26040"/>
        <w:tab w:val="left" w:pos="26460"/>
        <w:tab w:val="left" w:pos="26880"/>
      </w:tabs>
      <w:spacing w:line="360" w:lineRule="exact"/>
      <w:jc w:val="center"/>
    </w:pPr>
    <w:rPr>
      <w:rFonts w:ascii="仿宋_GB2312" w:hAnsi="Times New Roman" w:eastAsia="仿宋_GB2312" w:cs="Times New Roman"/>
      <w:color w:val="000000"/>
      <w:kern w:val="2"/>
      <w:sz w:val="24"/>
      <w:szCs w:val="24"/>
      <w:lang w:val="en-US" w:eastAsia="zh-CN" w:bidi="ar-SA"/>
    </w:rPr>
  </w:style>
  <w:style w:type="paragraph" w:customStyle="1" w:styleId="584">
    <w:name w:val="GP标题1"/>
    <w:basedOn w:val="564"/>
    <w:next w:val="518"/>
    <w:qFormat/>
    <w:uiPriority w:val="0"/>
    <w:pPr>
      <w:pageBreakBefore/>
      <w:spacing w:beforeLines="100" w:afterLines="100"/>
      <w:jc w:val="center"/>
      <w:outlineLvl w:val="0"/>
    </w:pPr>
    <w:rPr>
      <w:rFonts w:ascii="黑体" w:hAnsi="黑体" w:eastAsia="黑体"/>
      <w:b/>
      <w:sz w:val="36"/>
    </w:rPr>
  </w:style>
  <w:style w:type="paragraph" w:customStyle="1" w:styleId="585">
    <w:name w:val="Char Char3 Char Char"/>
    <w:basedOn w:val="17"/>
    <w:qFormat/>
    <w:uiPriority w:val="0"/>
    <w:pPr>
      <w:spacing w:line="240" w:lineRule="auto"/>
      <w:ind w:firstLine="0" w:firstLineChars="0"/>
    </w:pPr>
    <w:rPr>
      <w:rFonts w:ascii="Tahoma" w:hAnsi="Tahoma" w:cs="Times New Roman"/>
      <w:sz w:val="24"/>
      <w:szCs w:val="24"/>
      <w:shd w:val="clear" w:color="auto" w:fill="000080"/>
    </w:rPr>
  </w:style>
  <w:style w:type="paragraph" w:customStyle="1" w:styleId="586">
    <w:name w:val="格式1"/>
    <w:next w:val="1"/>
    <w:qFormat/>
    <w:uiPriority w:val="0"/>
    <w:pPr>
      <w:keepNext/>
      <w:widowControl w:val="0"/>
      <w:adjustRightInd w:val="0"/>
      <w:snapToGrid w:val="0"/>
      <w:spacing w:before="156" w:line="440" w:lineRule="exact"/>
      <w:jc w:val="both"/>
      <w:outlineLvl w:val="3"/>
    </w:pPr>
    <w:rPr>
      <w:rFonts w:ascii="Times New Roman" w:hAnsi="Times New Roman" w:eastAsia="宋体" w:cs="Times New Roman"/>
      <w:b/>
      <w:sz w:val="24"/>
      <w:lang w:val="en-US" w:eastAsia="zh-CN" w:bidi="ar-SA"/>
    </w:rPr>
  </w:style>
  <w:style w:type="paragraph" w:customStyle="1" w:styleId="587">
    <w:name w:val="table_1stline"/>
    <w:basedOn w:val="1"/>
    <w:qFormat/>
    <w:uiPriority w:val="0"/>
    <w:pPr>
      <w:adjustRightInd/>
      <w:snapToGrid/>
      <w:spacing w:before="120" w:line="240" w:lineRule="auto"/>
      <w:ind w:firstLine="0" w:firstLineChars="0"/>
    </w:pPr>
    <w:rPr>
      <w:rFonts w:ascii="Times New Roman" w:hAnsi="Times New Roman" w:cs="Times New Roman"/>
      <w:bCs/>
      <w:sz w:val="20"/>
      <w:szCs w:val="20"/>
      <w:lang w:val="de-DE" w:eastAsia="de-DE"/>
    </w:rPr>
  </w:style>
  <w:style w:type="paragraph" w:customStyle="1" w:styleId="588">
    <w:name w:val="Char Char Char Char Char Char Char Char2"/>
    <w:basedOn w:val="1"/>
    <w:qFormat/>
    <w:uiPriority w:val="0"/>
    <w:pPr>
      <w:widowControl w:val="0"/>
      <w:adjustRightInd/>
      <w:snapToGrid/>
      <w:spacing w:line="240" w:lineRule="auto"/>
      <w:ind w:firstLine="0" w:firstLineChars="0"/>
      <w:jc w:val="both"/>
    </w:pPr>
    <w:rPr>
      <w:rFonts w:cs="Times New Roman"/>
      <w:kern w:val="2"/>
      <w:szCs w:val="20"/>
    </w:rPr>
  </w:style>
  <w:style w:type="paragraph" w:customStyle="1" w:styleId="589">
    <w:name w:val="表头文字"/>
    <w:basedOn w:val="1"/>
    <w:next w:val="1"/>
    <w:qFormat/>
    <w:uiPriority w:val="0"/>
    <w:pPr>
      <w:widowControl w:val="0"/>
      <w:spacing w:before="100" w:after="50" w:line="440" w:lineRule="exact"/>
      <w:ind w:firstLine="0" w:firstLineChars="0"/>
      <w:jc w:val="center"/>
    </w:pPr>
    <w:rPr>
      <w:rFonts w:ascii="Times New Roman" w:hAnsi="Times New Roman" w:eastAsia="黑体" w:cs="Times New Roman"/>
      <w:b/>
      <w:kern w:val="2"/>
      <w:sz w:val="28"/>
      <w:szCs w:val="20"/>
    </w:rPr>
  </w:style>
  <w:style w:type="paragraph" w:customStyle="1" w:styleId="590">
    <w:name w:val="+▲"/>
    <w:basedOn w:val="577"/>
    <w:qFormat/>
    <w:uiPriority w:val="0"/>
    <w:pPr>
      <w:tabs>
        <w:tab w:val="left" w:pos="900"/>
        <w:tab w:val="left" w:pos="987"/>
        <w:tab w:val="clear" w:pos="840"/>
        <w:tab w:val="clear" w:pos="992"/>
      </w:tabs>
      <w:ind w:left="987" w:hanging="420" w:firstLineChars="0"/>
    </w:pPr>
  </w:style>
  <w:style w:type="paragraph" w:customStyle="1" w:styleId="591">
    <w:name w:val="xl70"/>
    <w:basedOn w:val="1"/>
    <w:qFormat/>
    <w:uiPriority w:val="0"/>
    <w:pPr>
      <w:pBdr>
        <w:top w:val="single" w:color="auto" w:sz="4" w:space="0"/>
        <w:bottom w:val="single" w:color="auto" w:sz="4" w:space="0"/>
      </w:pBdr>
      <w:adjustRightInd/>
      <w:snapToGrid/>
      <w:spacing w:before="100" w:beforeAutospacing="1" w:after="100" w:afterAutospacing="1" w:line="240" w:lineRule="auto"/>
      <w:ind w:firstLine="0" w:firstLineChars="0"/>
      <w:jc w:val="both"/>
    </w:pPr>
    <w:rPr>
      <w:rFonts w:hint="eastAsia" w:ascii="宋体" w:hAnsi="宋体" w:cs="Times New Roman"/>
      <w:b/>
      <w:sz w:val="28"/>
      <w:szCs w:val="20"/>
    </w:rPr>
  </w:style>
  <w:style w:type="paragraph" w:customStyle="1" w:styleId="592">
    <w:name w:val="正文4"/>
    <w:qFormat/>
    <w:uiPriority w:val="0"/>
    <w:pPr>
      <w:widowControl w:val="0"/>
      <w:adjustRightInd w:val="0"/>
      <w:spacing w:line="315" w:lineRule="atLeast"/>
      <w:jc w:val="both"/>
      <w:textAlignment w:val="baseline"/>
    </w:pPr>
    <w:rPr>
      <w:rFonts w:ascii="宋体" w:hAnsi="Times New Roman" w:eastAsia="宋体" w:cs="Times New Roman"/>
      <w:sz w:val="24"/>
      <w:lang w:val="en-US" w:eastAsia="zh-CN" w:bidi="ar-SA"/>
    </w:rPr>
  </w:style>
  <w:style w:type="paragraph" w:customStyle="1" w:styleId="593">
    <w:name w:val="三级目录"/>
    <w:next w:val="1"/>
    <w:qFormat/>
    <w:uiPriority w:val="0"/>
    <w:pPr>
      <w:ind w:firstLine="420" w:firstLineChars="150"/>
    </w:pPr>
    <w:rPr>
      <w:rFonts w:ascii="Times New Roman" w:hAnsi="Times New Roman" w:eastAsia="宋体" w:cs="Times New Roman"/>
      <w:b/>
      <w:bCs/>
      <w:kern w:val="2"/>
      <w:sz w:val="24"/>
      <w:szCs w:val="24"/>
      <w:lang w:val="en-US" w:eastAsia="zh-CN" w:bidi="ar-SA"/>
    </w:rPr>
  </w:style>
  <w:style w:type="paragraph" w:customStyle="1" w:styleId="594">
    <w:name w:val="小标题 1"/>
    <w:basedOn w:val="1"/>
    <w:qFormat/>
    <w:uiPriority w:val="0"/>
    <w:pPr>
      <w:widowControl w:val="0"/>
      <w:autoSpaceDE w:val="0"/>
      <w:autoSpaceDN w:val="0"/>
      <w:snapToGrid/>
      <w:spacing w:line="360" w:lineRule="atLeast"/>
      <w:ind w:firstLine="0" w:firstLineChars="0"/>
      <w:jc w:val="both"/>
    </w:pPr>
    <w:rPr>
      <w:rFonts w:ascii="文鼎粗黑" w:hAnsi="Times New Roman" w:eastAsia="文鼎粗黑" w:cs="Times New Roman"/>
      <w:sz w:val="22"/>
      <w:szCs w:val="20"/>
      <w:lang w:val="zh-CN"/>
    </w:rPr>
  </w:style>
  <w:style w:type="paragraph" w:customStyle="1" w:styleId="595">
    <w:name w:val="+标题3"/>
    <w:basedOn w:val="4"/>
    <w:qFormat/>
    <w:uiPriority w:val="0"/>
    <w:pPr>
      <w:shd w:val="clear" w:color="auto" w:fill="auto"/>
      <w:tabs>
        <w:tab w:val="left" w:pos="425"/>
        <w:tab w:val="left" w:pos="833"/>
      </w:tabs>
      <w:wordWrap/>
      <w:spacing w:before="120" w:after="120" w:line="360" w:lineRule="auto"/>
      <w:ind w:left="833" w:hanging="833" w:firstLineChars="0"/>
    </w:pPr>
    <w:rPr>
      <w:rFonts w:ascii="Times New Roman" w:hAnsi="Times New Roman"/>
      <w:bCs/>
      <w:sz w:val="24"/>
      <w:szCs w:val="28"/>
    </w:rPr>
  </w:style>
  <w:style w:type="paragraph" w:customStyle="1" w:styleId="596">
    <w:name w:val="Body Text(ch)"/>
    <w:basedOn w:val="1"/>
    <w:next w:val="21"/>
    <w:qFormat/>
    <w:uiPriority w:val="0"/>
    <w:pPr>
      <w:widowControl w:val="0"/>
      <w:adjustRightInd/>
      <w:snapToGrid/>
      <w:spacing w:after="120"/>
      <w:jc w:val="both"/>
    </w:pPr>
    <w:rPr>
      <w:rFonts w:ascii="宋体" w:hAnsi="Arial" w:cs="Times New Roman"/>
      <w:bCs/>
      <w:iCs/>
      <w:kern w:val="2"/>
      <w:szCs w:val="24"/>
    </w:rPr>
  </w:style>
  <w:style w:type="paragraph" w:customStyle="1" w:styleId="597">
    <w:name w:val="图题"/>
    <w:basedOn w:val="598"/>
    <w:qFormat/>
    <w:uiPriority w:val="0"/>
    <w:pPr>
      <w:jc w:val="center"/>
    </w:pPr>
    <w:rPr>
      <w:rFonts w:eastAsia="黑体"/>
      <w:sz w:val="18"/>
    </w:rPr>
  </w:style>
  <w:style w:type="paragraph" w:customStyle="1" w:styleId="598">
    <w:name w:val="正文 1"/>
    <w:basedOn w:val="1"/>
    <w:qFormat/>
    <w:uiPriority w:val="0"/>
    <w:pPr>
      <w:adjustRightInd/>
      <w:spacing w:before="80" w:after="80"/>
      <w:ind w:left="1418" w:firstLine="0" w:firstLineChars="0"/>
      <w:jc w:val="both"/>
    </w:pPr>
    <w:rPr>
      <w:rFonts w:ascii="Times New Roman" w:hAnsi="Times New Roman" w:cs="Times New Roman"/>
      <w:kern w:val="2"/>
      <w:sz w:val="21"/>
      <w:szCs w:val="20"/>
    </w:rPr>
  </w:style>
  <w:style w:type="paragraph" w:customStyle="1" w:styleId="599">
    <w:name w:val="xl75"/>
    <w:basedOn w:val="1"/>
    <w:qFormat/>
    <w:uiPriority w:val="0"/>
    <w:pPr>
      <w:pBdr>
        <w:top w:val="single" w:color="auto" w:sz="4" w:space="0"/>
        <w:left w:val="single" w:color="auto" w:sz="4" w:space="0"/>
        <w:bottom w:val="single" w:color="auto" w:sz="4" w:space="0"/>
      </w:pBdr>
      <w:adjustRightInd/>
      <w:snapToGrid/>
      <w:spacing w:before="100" w:beforeAutospacing="1" w:after="100" w:afterAutospacing="1" w:line="240" w:lineRule="auto"/>
      <w:ind w:firstLine="0" w:firstLineChars="0"/>
      <w:jc w:val="both"/>
    </w:pPr>
    <w:rPr>
      <w:rFonts w:hint="eastAsia" w:ascii="宋体" w:hAnsi="宋体" w:cs="Times New Roman"/>
      <w:b/>
      <w:sz w:val="28"/>
      <w:szCs w:val="20"/>
    </w:rPr>
  </w:style>
  <w:style w:type="paragraph" w:customStyle="1" w:styleId="600">
    <w:name w:val="Char1 Char Char Char2"/>
    <w:basedOn w:val="1"/>
    <w:qFormat/>
    <w:uiPriority w:val="0"/>
    <w:pPr>
      <w:widowControl w:val="0"/>
      <w:adjustRightInd/>
      <w:snapToGrid/>
      <w:spacing w:line="240" w:lineRule="auto"/>
      <w:ind w:firstLine="0" w:firstLineChars="0"/>
      <w:jc w:val="both"/>
    </w:pPr>
    <w:rPr>
      <w:rFonts w:cs="Times New Roman"/>
      <w:kern w:val="2"/>
      <w:szCs w:val="20"/>
    </w:rPr>
  </w:style>
  <w:style w:type="paragraph" w:customStyle="1" w:styleId="601">
    <w:name w:val="Char Char Char Char Char Char Char Char Char Char Char Char Char Char Char Char"/>
    <w:basedOn w:val="1"/>
    <w:qFormat/>
    <w:uiPriority w:val="0"/>
    <w:pPr>
      <w:widowControl w:val="0"/>
      <w:adjustRightInd/>
      <w:snapToGrid/>
      <w:spacing w:line="240" w:lineRule="auto"/>
      <w:ind w:firstLine="0" w:firstLineChars="0"/>
      <w:jc w:val="both"/>
    </w:pPr>
    <w:rPr>
      <w:rFonts w:cs="Times New Roman"/>
      <w:kern w:val="2"/>
      <w:szCs w:val="20"/>
    </w:rPr>
  </w:style>
  <w:style w:type="paragraph" w:customStyle="1" w:styleId="602">
    <w:name w:val="CD 正文"/>
    <w:basedOn w:val="1"/>
    <w:qFormat/>
    <w:uiPriority w:val="0"/>
    <w:pPr>
      <w:widowControl w:val="0"/>
      <w:adjustRightInd/>
      <w:snapToGrid/>
      <w:spacing w:line="240" w:lineRule="auto"/>
      <w:ind w:firstLine="0" w:firstLineChars="0"/>
    </w:pPr>
    <w:rPr>
      <w:rFonts w:ascii="Arial" w:hAnsi="Arial" w:eastAsia="微软雅黑" w:cs="Times New Roman"/>
      <w:kern w:val="2"/>
      <w:sz w:val="21"/>
      <w:szCs w:val="24"/>
    </w:rPr>
  </w:style>
  <w:style w:type="paragraph" w:customStyle="1" w:styleId="603">
    <w:name w:val="正文 首行缩进:  2 字符"/>
    <w:basedOn w:val="1"/>
    <w:qFormat/>
    <w:uiPriority w:val="0"/>
    <w:pPr>
      <w:widowControl w:val="0"/>
      <w:adjustRightInd/>
      <w:snapToGrid/>
      <w:spacing w:line="240" w:lineRule="auto"/>
      <w:ind w:firstLine="560"/>
      <w:jc w:val="both"/>
    </w:pPr>
    <w:rPr>
      <w:rFonts w:ascii="Times New Roman" w:hAnsi="Times New Roman" w:eastAsia="楷体_GB2312"/>
      <w:kern w:val="2"/>
      <w:sz w:val="28"/>
      <w:szCs w:val="20"/>
    </w:rPr>
  </w:style>
  <w:style w:type="paragraph" w:customStyle="1" w:styleId="604">
    <w:name w:val="msonormalcxspmiddle"/>
    <w:basedOn w:val="1"/>
    <w:qFormat/>
    <w:uiPriority w:val="0"/>
    <w:pPr>
      <w:adjustRightInd/>
      <w:snapToGrid/>
      <w:spacing w:before="100" w:beforeAutospacing="1" w:after="100" w:afterAutospacing="1" w:line="240" w:lineRule="auto"/>
      <w:ind w:firstLine="0" w:firstLineChars="0"/>
    </w:pPr>
    <w:rPr>
      <w:rFonts w:ascii="宋体" w:hAnsi="宋体"/>
      <w:szCs w:val="24"/>
    </w:rPr>
  </w:style>
  <w:style w:type="paragraph" w:customStyle="1" w:styleId="605">
    <w:name w:val="unnamed1"/>
    <w:basedOn w:val="1"/>
    <w:qFormat/>
    <w:uiPriority w:val="0"/>
    <w:pPr>
      <w:adjustRightInd/>
      <w:snapToGrid/>
      <w:spacing w:before="100" w:beforeAutospacing="1" w:after="100" w:afterAutospacing="1" w:line="270" w:lineRule="atLeast"/>
      <w:ind w:firstLine="0" w:firstLineChars="0"/>
    </w:pPr>
    <w:rPr>
      <w:rFonts w:ascii="Times New Roman" w:hAnsi="Times New Roman" w:cs="Times New Roman"/>
      <w:color w:val="000000"/>
      <w:sz w:val="18"/>
      <w:szCs w:val="18"/>
    </w:rPr>
  </w:style>
  <w:style w:type="paragraph" w:customStyle="1" w:styleId="606">
    <w:name w:val="xl65"/>
    <w:basedOn w:val="1"/>
    <w:qFormat/>
    <w:uiPriority w:val="0"/>
    <w:pPr>
      <w:pBdr>
        <w:top w:val="single" w:color="auto" w:sz="4" w:space="0"/>
        <w:left w:val="single" w:color="auto" w:sz="4" w:space="0"/>
        <w:bottom w:val="single" w:color="auto" w:sz="4" w:space="0"/>
      </w:pBdr>
      <w:adjustRightInd/>
      <w:snapToGrid/>
      <w:spacing w:before="100" w:beforeAutospacing="1" w:after="100" w:afterAutospacing="1" w:line="240" w:lineRule="auto"/>
      <w:ind w:firstLine="0" w:firstLineChars="0"/>
      <w:jc w:val="both"/>
    </w:pPr>
    <w:rPr>
      <w:rFonts w:hint="eastAsia" w:ascii="宋体" w:hAnsi="宋体" w:cs="Times New Roman"/>
      <w:b/>
      <w:szCs w:val="20"/>
    </w:rPr>
  </w:style>
  <w:style w:type="paragraph" w:customStyle="1" w:styleId="607">
    <w:name w:val="Item List in Table"/>
    <w:qFormat/>
    <w:uiPriority w:val="0"/>
    <w:pPr>
      <w:tabs>
        <w:tab w:val="left" w:pos="284"/>
        <w:tab w:val="left" w:pos="907"/>
      </w:tabs>
      <w:spacing w:before="40" w:after="40"/>
      <w:ind w:left="902" w:hanging="420"/>
      <w:jc w:val="both"/>
    </w:pPr>
    <w:rPr>
      <w:rFonts w:ascii="Arial" w:hAnsi="Arial" w:eastAsia="宋体" w:cs="Arial"/>
      <w:sz w:val="18"/>
      <w:szCs w:val="18"/>
      <w:lang w:val="en-US" w:eastAsia="zh-CN" w:bidi="ar-SA"/>
    </w:rPr>
  </w:style>
  <w:style w:type="paragraph" w:customStyle="1" w:styleId="608">
    <w:name w:val="表项"/>
    <w:next w:val="550"/>
    <w:qFormat/>
    <w:uiPriority w:val="0"/>
    <w:pPr>
      <w:adjustRightInd w:val="0"/>
      <w:snapToGrid w:val="0"/>
      <w:spacing w:line="300" w:lineRule="auto"/>
      <w:jc w:val="center"/>
    </w:pPr>
    <w:rPr>
      <w:rFonts w:ascii="Arial" w:hAnsi="Arial" w:eastAsia="黑体" w:cs="Arial"/>
      <w:iCs/>
      <w:kern w:val="2"/>
      <w:sz w:val="16"/>
      <w:lang w:val="en-US" w:eastAsia="zh-CN" w:bidi="ar-SA"/>
    </w:rPr>
  </w:style>
  <w:style w:type="paragraph" w:customStyle="1" w:styleId="609">
    <w:name w:val="列表1"/>
    <w:basedOn w:val="1"/>
    <w:qFormat/>
    <w:uiPriority w:val="0"/>
    <w:pPr>
      <w:widowControl w:val="0"/>
      <w:adjustRightInd/>
      <w:snapToGrid/>
      <w:ind w:left="902" w:hanging="482" w:firstLineChars="0"/>
      <w:jc w:val="both"/>
    </w:pPr>
    <w:rPr>
      <w:rFonts w:ascii="昆仑仿宋" w:hAnsi="Times New Roman" w:eastAsia="昆仑仿宋" w:cs="Times New Roman"/>
      <w:kern w:val="2"/>
      <w:szCs w:val="20"/>
    </w:rPr>
  </w:style>
  <w:style w:type="paragraph" w:customStyle="1" w:styleId="610">
    <w:name w:val="APCSubhead"/>
    <w:basedOn w:val="611"/>
    <w:qFormat/>
    <w:uiPriority w:val="0"/>
    <w:pPr>
      <w:spacing w:before="240" w:after="60"/>
    </w:pPr>
    <w:rPr>
      <w:b/>
      <w:bCs/>
    </w:rPr>
  </w:style>
  <w:style w:type="paragraph" w:customStyle="1" w:styleId="611">
    <w:name w:val="APCNormal"/>
    <w:qFormat/>
    <w:uiPriority w:val="0"/>
    <w:pPr>
      <w:spacing w:before="120" w:after="160"/>
      <w:jc w:val="both"/>
    </w:pPr>
    <w:rPr>
      <w:rFonts w:ascii="Univers" w:hAnsi="Univers" w:eastAsia="宋体" w:cs="Times New Roman"/>
      <w:color w:val="000000"/>
      <w:lang w:val="en-US" w:eastAsia="en-US" w:bidi="ar-SA"/>
    </w:rPr>
  </w:style>
  <w:style w:type="paragraph" w:customStyle="1" w:styleId="612">
    <w:name w:val="Table Heading"/>
    <w:qFormat/>
    <w:uiPriority w:val="0"/>
    <w:pPr>
      <w:keepNext/>
      <w:snapToGrid w:val="0"/>
      <w:spacing w:before="80" w:after="80"/>
      <w:jc w:val="center"/>
    </w:pPr>
    <w:rPr>
      <w:rFonts w:ascii="Arial" w:hAnsi="Arial" w:eastAsia="黑体" w:cs="Arial"/>
      <w:sz w:val="18"/>
      <w:szCs w:val="18"/>
      <w:lang w:val="en-US" w:eastAsia="zh-CN" w:bidi="ar-SA"/>
    </w:rPr>
  </w:style>
  <w:style w:type="paragraph" w:customStyle="1" w:styleId="613">
    <w:name w:val="标题 52"/>
    <w:basedOn w:val="1"/>
    <w:qFormat/>
    <w:uiPriority w:val="1"/>
    <w:pPr>
      <w:widowControl w:val="0"/>
      <w:autoSpaceDE w:val="0"/>
      <w:autoSpaceDN w:val="0"/>
      <w:adjustRightInd/>
      <w:snapToGrid/>
      <w:spacing w:line="240" w:lineRule="auto"/>
      <w:ind w:left="120" w:firstLine="0" w:firstLineChars="0"/>
      <w:jc w:val="both"/>
      <w:outlineLvl w:val="4"/>
    </w:pPr>
    <w:rPr>
      <w:rFonts w:ascii="宋体" w:hAnsi="Times New Roman"/>
      <w:kern w:val="2"/>
      <w:sz w:val="28"/>
      <w:szCs w:val="28"/>
    </w:rPr>
  </w:style>
  <w:style w:type="paragraph" w:customStyle="1" w:styleId="614">
    <w:name w:val="+标题1"/>
    <w:basedOn w:val="2"/>
    <w:qFormat/>
    <w:uiPriority w:val="0"/>
    <w:pPr>
      <w:keepLines/>
      <w:pageBreakBefore/>
      <w:tabs>
        <w:tab w:val="left" w:pos="432"/>
        <w:tab w:val="left" w:pos="2716"/>
        <w:tab w:val="clear" w:pos="1440"/>
        <w:tab w:val="clear" w:pos="5670"/>
      </w:tabs>
      <w:spacing w:before="240" w:after="240"/>
      <w:ind w:left="432" w:hanging="632" w:firstLineChars="0"/>
    </w:pPr>
    <w:rPr>
      <w:rFonts w:ascii="Times New Roman"/>
      <w:bCs/>
      <w:kern w:val="32"/>
      <w:sz w:val="32"/>
      <w:szCs w:val="32"/>
    </w:rPr>
  </w:style>
  <w:style w:type="paragraph" w:customStyle="1" w:styleId="615">
    <w:name w:val="附件正文"/>
    <w:basedOn w:val="1"/>
    <w:qFormat/>
    <w:uiPriority w:val="0"/>
    <w:pPr>
      <w:widowControl w:val="0"/>
      <w:adjustRightInd/>
      <w:ind w:firstLine="482" w:firstLineChars="0"/>
      <w:jc w:val="both"/>
    </w:pPr>
    <w:rPr>
      <w:rFonts w:ascii="Times New Roman" w:hAnsi="Times New Roman" w:cs="Times New Roman"/>
      <w:b/>
      <w:color w:val="000000"/>
      <w:szCs w:val="24"/>
    </w:rPr>
  </w:style>
  <w:style w:type="paragraph" w:customStyle="1" w:styleId="616">
    <w:name w:val="Body"/>
    <w:qFormat/>
    <w:uiPriority w:val="0"/>
    <w:pPr>
      <w:spacing w:before="130" w:after="130" w:line="260" w:lineRule="exact"/>
    </w:pPr>
    <w:rPr>
      <w:rFonts w:ascii="Univers" w:hAnsi="Univers" w:eastAsia="宋体" w:cs="Times New Roman"/>
      <w:color w:val="000000"/>
      <w:sz w:val="22"/>
      <w:lang w:val="en-US" w:eastAsia="en-US" w:bidi="ar-SA"/>
    </w:rPr>
  </w:style>
  <w:style w:type="paragraph" w:customStyle="1" w:styleId="617">
    <w:name w:val="Char4"/>
    <w:basedOn w:val="17"/>
    <w:qFormat/>
    <w:uiPriority w:val="0"/>
    <w:pPr>
      <w:spacing w:line="240" w:lineRule="auto"/>
      <w:ind w:firstLine="0" w:firstLineChars="0"/>
    </w:pPr>
    <w:rPr>
      <w:rFonts w:ascii="Tahoma" w:hAnsi="Tahoma" w:cs="Times New Roman"/>
      <w:sz w:val="24"/>
      <w:szCs w:val="24"/>
    </w:rPr>
  </w:style>
  <w:style w:type="paragraph" w:customStyle="1" w:styleId="618">
    <w:name w:val="正文 1 Char"/>
    <w:basedOn w:val="1"/>
    <w:qFormat/>
    <w:uiPriority w:val="0"/>
    <w:pPr>
      <w:widowControl w:val="0"/>
      <w:tabs>
        <w:tab w:val="left" w:pos="2540"/>
      </w:tabs>
      <w:adjustRightInd/>
      <w:spacing w:before="80" w:after="80"/>
      <w:ind w:left="210" w:leftChars="100" w:right="100" w:rightChars="100" w:firstLine="0" w:firstLineChars="0"/>
      <w:jc w:val="both"/>
    </w:pPr>
    <w:rPr>
      <w:rFonts w:ascii="宋体" w:hAnsi="宋体" w:cs="Times New Roman"/>
      <w:kern w:val="2"/>
      <w:szCs w:val="20"/>
    </w:rPr>
  </w:style>
  <w:style w:type="paragraph" w:customStyle="1" w:styleId="619">
    <w:name w:val="样式 标题 3H32nd Subheadl3CTh3Level 3 Headlevel_3PIM 3Headi...2"/>
    <w:basedOn w:val="4"/>
    <w:qFormat/>
    <w:uiPriority w:val="0"/>
    <w:pPr>
      <w:shd w:val="clear" w:color="auto" w:fill="auto"/>
      <w:tabs>
        <w:tab w:val="left" w:pos="709"/>
      </w:tabs>
      <w:wordWrap/>
      <w:adjustRightInd w:val="0"/>
      <w:spacing w:before="260" w:after="120" w:line="360" w:lineRule="auto"/>
      <w:ind w:left="709" w:hanging="709" w:firstLineChars="0"/>
      <w:jc w:val="left"/>
      <w:textAlignment w:val="baseline"/>
    </w:pPr>
    <w:rPr>
      <w:rFonts w:ascii="Times New Roman" w:hAnsi="Times New Roman" w:cs="宋体"/>
      <w:bCs/>
      <w:kern w:val="0"/>
      <w:sz w:val="30"/>
      <w:szCs w:val="20"/>
    </w:rPr>
  </w:style>
  <w:style w:type="paragraph" w:customStyle="1" w:styleId="620">
    <w:name w:val="图注"/>
    <w:basedOn w:val="1"/>
    <w:qFormat/>
    <w:uiPriority w:val="0"/>
    <w:pPr>
      <w:spacing w:line="300" w:lineRule="auto"/>
      <w:ind w:left="1418" w:firstLine="0" w:firstLineChars="0"/>
    </w:pPr>
    <w:rPr>
      <w:rFonts w:ascii="Times New Roman" w:hAnsi="Times New Roman" w:eastAsia="楷体_GB2312" w:cs="Times New Roman"/>
      <w:kern w:val="2"/>
      <w:sz w:val="18"/>
      <w:szCs w:val="20"/>
    </w:rPr>
  </w:style>
  <w:style w:type="paragraph" w:customStyle="1" w:styleId="621">
    <w:name w:val="HC正文"/>
    <w:qFormat/>
    <w:uiPriority w:val="0"/>
    <w:pPr>
      <w:adjustRightInd w:val="0"/>
      <w:snapToGrid w:val="0"/>
      <w:spacing w:line="360" w:lineRule="auto"/>
      <w:ind w:firstLine="420" w:firstLineChars="200"/>
    </w:pPr>
    <w:rPr>
      <w:rFonts w:ascii="Times New Roman" w:hAnsi="Times New Roman" w:eastAsia="仿宋_GB2312" w:cs="Times New Roman"/>
      <w:sz w:val="24"/>
      <w:lang w:val="en-US" w:eastAsia="zh-CN" w:bidi="ar-SA"/>
    </w:rPr>
  </w:style>
  <w:style w:type="paragraph" w:customStyle="1" w:styleId="622">
    <w:name w:val="tabletext"/>
    <w:basedOn w:val="1"/>
    <w:qFormat/>
    <w:uiPriority w:val="0"/>
    <w:pPr>
      <w:adjustRightInd/>
      <w:snapToGrid/>
      <w:spacing w:before="100" w:beforeAutospacing="1" w:after="100" w:afterAutospacing="1" w:line="240" w:lineRule="atLeast"/>
      <w:ind w:firstLine="0" w:firstLineChars="0"/>
      <w:jc w:val="both"/>
    </w:pPr>
    <w:rPr>
      <w:rFonts w:hint="eastAsia" w:ascii="宋体" w:hAnsi="宋体" w:cs="Times New Roman"/>
      <w:sz w:val="18"/>
      <w:szCs w:val="20"/>
    </w:rPr>
  </w:style>
  <w:style w:type="paragraph" w:customStyle="1" w:styleId="623">
    <w:name w:val="Char Char4"/>
    <w:basedOn w:val="1"/>
    <w:qFormat/>
    <w:uiPriority w:val="0"/>
    <w:pPr>
      <w:widowControl w:val="0"/>
      <w:adjustRightInd/>
      <w:snapToGrid/>
      <w:spacing w:line="240" w:lineRule="auto"/>
      <w:ind w:firstLine="0" w:firstLineChars="0"/>
      <w:jc w:val="both"/>
    </w:pPr>
    <w:rPr>
      <w:rFonts w:cs="Times New Roman"/>
      <w:kern w:val="2"/>
      <w:szCs w:val="20"/>
    </w:rPr>
  </w:style>
  <w:style w:type="paragraph" w:customStyle="1" w:styleId="624">
    <w:name w:val="样式 小四 段前: 3 磅 段后: 3 磅 行距: 1.5 倍行距"/>
    <w:basedOn w:val="1"/>
    <w:qFormat/>
    <w:uiPriority w:val="0"/>
    <w:pPr>
      <w:widowControl w:val="0"/>
      <w:adjustRightInd/>
      <w:snapToGrid/>
      <w:spacing w:before="60" w:after="60"/>
      <w:ind w:firstLine="540" w:firstLineChars="225"/>
      <w:jc w:val="both"/>
    </w:pPr>
    <w:rPr>
      <w:rFonts w:ascii="Times New Roman" w:hAnsi="Times New Roman"/>
      <w:kern w:val="2"/>
      <w:szCs w:val="24"/>
    </w:rPr>
  </w:style>
  <w:style w:type="paragraph" w:customStyle="1" w:styleId="625">
    <w:name w:val="_Style 81"/>
    <w:qFormat/>
    <w:uiPriority w:val="0"/>
    <w:pPr>
      <w:widowControl w:val="0"/>
      <w:spacing w:line="360" w:lineRule="auto"/>
      <w:ind w:firstLine="200" w:firstLineChars="200"/>
      <w:jc w:val="both"/>
    </w:pPr>
    <w:rPr>
      <w:rFonts w:ascii="Times New Roman" w:hAnsi="Times New Roman" w:eastAsia="宋体" w:cs="Times New Roman"/>
      <w:kern w:val="2"/>
      <w:sz w:val="24"/>
      <w:szCs w:val="21"/>
      <w:lang w:val="en-US" w:eastAsia="zh-CN" w:bidi="ar-SA"/>
    </w:rPr>
  </w:style>
  <w:style w:type="paragraph" w:customStyle="1" w:styleId="626">
    <w:name w:val="rvps2"/>
    <w:basedOn w:val="1"/>
    <w:qFormat/>
    <w:uiPriority w:val="0"/>
    <w:pPr>
      <w:adjustRightInd/>
      <w:snapToGrid/>
      <w:spacing w:line="240" w:lineRule="auto"/>
      <w:ind w:firstLine="0" w:firstLineChars="0"/>
      <w:jc w:val="both"/>
    </w:pPr>
    <w:rPr>
      <w:rFonts w:ascii="宋体" w:hAnsi="宋体"/>
      <w:szCs w:val="24"/>
    </w:rPr>
  </w:style>
  <w:style w:type="paragraph" w:customStyle="1" w:styleId="627">
    <w:name w:val="Char Char1 Char Char Char Char1 Char Char Char Char Char Char1"/>
    <w:basedOn w:val="1"/>
    <w:qFormat/>
    <w:uiPriority w:val="0"/>
    <w:pPr>
      <w:widowControl w:val="0"/>
      <w:adjustRightInd/>
      <w:snapToGrid/>
      <w:spacing w:line="240" w:lineRule="auto"/>
      <w:ind w:firstLine="0" w:firstLineChars="0"/>
      <w:jc w:val="both"/>
    </w:pPr>
    <w:rPr>
      <w:rFonts w:cs="Times New Roman"/>
      <w:kern w:val="2"/>
      <w:szCs w:val="20"/>
    </w:rPr>
  </w:style>
  <w:style w:type="paragraph" w:customStyle="1" w:styleId="628">
    <w:name w:val="样式 标题 3 + (中文) 黑体 小四 非加粗 段前: 7.8 磅 段后: 0 磅 行距: 固定值 20 磅"/>
    <w:basedOn w:val="4"/>
    <w:qFormat/>
    <w:uiPriority w:val="0"/>
    <w:pPr>
      <w:shd w:val="clear" w:color="auto" w:fill="auto"/>
      <w:wordWrap/>
      <w:spacing w:line="400" w:lineRule="exact"/>
      <w:ind w:firstLine="0" w:firstLineChars="0"/>
    </w:pPr>
    <w:rPr>
      <w:rFonts w:ascii="Times New Roman" w:hAnsi="Times New Roman" w:eastAsia="黑体"/>
      <w:b w:val="0"/>
      <w:sz w:val="24"/>
      <w:szCs w:val="20"/>
    </w:rPr>
  </w:style>
  <w:style w:type="paragraph" w:customStyle="1" w:styleId="629">
    <w:name w:val="xl73"/>
    <w:basedOn w:val="1"/>
    <w:qFormat/>
    <w:uiPriority w:val="0"/>
    <w:pPr>
      <w:pBdr>
        <w:top w:val="single" w:color="auto" w:sz="4" w:space="0"/>
        <w:bottom w:val="single" w:color="auto" w:sz="4" w:space="0"/>
      </w:pBdr>
      <w:shd w:val="clear" w:color="auto" w:fill="FFFF99"/>
      <w:adjustRightInd/>
      <w:snapToGrid/>
      <w:spacing w:before="100" w:beforeAutospacing="1" w:after="100" w:afterAutospacing="1" w:line="240" w:lineRule="auto"/>
      <w:ind w:firstLine="0" w:firstLineChars="0"/>
      <w:jc w:val="both"/>
    </w:pPr>
    <w:rPr>
      <w:rFonts w:hint="eastAsia" w:ascii="宋体" w:hAnsi="宋体" w:cs="Times New Roman"/>
      <w:b/>
      <w:sz w:val="28"/>
      <w:szCs w:val="20"/>
    </w:rPr>
  </w:style>
  <w:style w:type="paragraph" w:customStyle="1" w:styleId="630">
    <w:name w:val="Char Char Char2"/>
    <w:basedOn w:val="17"/>
    <w:qFormat/>
    <w:uiPriority w:val="0"/>
    <w:pPr>
      <w:spacing w:line="436" w:lineRule="exact"/>
      <w:ind w:firstLine="0" w:firstLineChars="0"/>
    </w:pPr>
    <w:rPr>
      <w:rFonts w:ascii="Times New Roman" w:hAnsi="Times New Roman" w:cs="Times New Roman"/>
      <w:szCs w:val="24"/>
    </w:rPr>
  </w:style>
  <w:style w:type="paragraph" w:customStyle="1" w:styleId="631">
    <w:name w:val="正文文本 23"/>
    <w:basedOn w:val="1"/>
    <w:qFormat/>
    <w:uiPriority w:val="0"/>
    <w:pPr>
      <w:overflowPunct w:val="0"/>
      <w:autoSpaceDE w:val="0"/>
      <w:autoSpaceDN w:val="0"/>
      <w:snapToGrid/>
      <w:spacing w:line="240" w:lineRule="auto"/>
      <w:ind w:left="720" w:hanging="720" w:firstLineChars="0"/>
      <w:jc w:val="both"/>
      <w:textAlignment w:val="baseline"/>
    </w:pPr>
    <w:rPr>
      <w:rFonts w:ascii="Times New Roman" w:hAnsi="Times New Roman" w:cs="Times New Roman"/>
      <w:szCs w:val="20"/>
      <w:lang w:val="en-GB"/>
    </w:rPr>
  </w:style>
  <w:style w:type="paragraph" w:customStyle="1" w:styleId="632">
    <w:name w:val="??"/>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en-US" w:bidi="ar-SA"/>
    </w:rPr>
  </w:style>
  <w:style w:type="paragraph" w:customStyle="1" w:styleId="633">
    <w:name w:val="table_lines"/>
    <w:basedOn w:val="1"/>
    <w:qFormat/>
    <w:uiPriority w:val="0"/>
    <w:pPr>
      <w:adjustRightInd/>
      <w:snapToGrid/>
      <w:spacing w:line="240" w:lineRule="auto"/>
      <w:ind w:firstLine="0" w:firstLineChars="0"/>
    </w:pPr>
    <w:rPr>
      <w:rFonts w:ascii="Times New Roman" w:hAnsi="Times New Roman" w:cs="Times New Roman"/>
      <w:sz w:val="20"/>
      <w:szCs w:val="20"/>
      <w:lang w:val="de-DE" w:eastAsia="de-DE"/>
    </w:rPr>
  </w:style>
  <w:style w:type="paragraph" w:customStyle="1" w:styleId="634">
    <w:name w:val="Char1 Char Char"/>
    <w:basedOn w:val="1"/>
    <w:qFormat/>
    <w:uiPriority w:val="0"/>
    <w:pPr>
      <w:widowControl w:val="0"/>
      <w:adjustRightInd/>
      <w:snapToGrid/>
      <w:spacing w:line="240" w:lineRule="auto"/>
      <w:ind w:firstLine="0" w:firstLineChars="0"/>
      <w:jc w:val="both"/>
    </w:pPr>
    <w:rPr>
      <w:rFonts w:ascii="Times New Roman" w:hAnsi="Times New Roman" w:cs="Times New Roman"/>
      <w:kern w:val="2"/>
      <w:szCs w:val="20"/>
    </w:rPr>
  </w:style>
  <w:style w:type="paragraph" w:customStyle="1" w:styleId="635">
    <w:name w:val="tableheading"/>
    <w:basedOn w:val="1"/>
    <w:qFormat/>
    <w:uiPriority w:val="0"/>
    <w:pPr>
      <w:adjustRightInd/>
      <w:snapToGrid/>
      <w:spacing w:before="100" w:beforeAutospacing="1" w:after="100" w:afterAutospacing="1" w:line="240" w:lineRule="atLeast"/>
      <w:ind w:firstLine="0" w:firstLineChars="0"/>
      <w:jc w:val="both"/>
    </w:pPr>
    <w:rPr>
      <w:rFonts w:hint="eastAsia" w:ascii="宋体" w:hAnsi="宋体" w:cs="Times New Roman"/>
      <w:sz w:val="18"/>
      <w:szCs w:val="20"/>
    </w:rPr>
  </w:style>
  <w:style w:type="paragraph" w:customStyle="1" w:styleId="636">
    <w:name w:val="6'"/>
    <w:basedOn w:val="1"/>
    <w:qFormat/>
    <w:uiPriority w:val="0"/>
    <w:pPr>
      <w:widowControl w:val="0"/>
      <w:autoSpaceDE w:val="0"/>
      <w:autoSpaceDN w:val="0"/>
      <w:spacing w:line="320" w:lineRule="exact"/>
      <w:ind w:firstLine="0" w:firstLineChars="0"/>
      <w:jc w:val="center"/>
      <w:textAlignment w:val="baseline"/>
    </w:pPr>
    <w:rPr>
      <w:rFonts w:ascii="Times New Roman" w:hAnsi="Times New Roman" w:cs="Times New Roman"/>
      <w:spacing w:val="20"/>
      <w:kern w:val="28"/>
      <w:sz w:val="21"/>
      <w:szCs w:val="20"/>
    </w:rPr>
  </w:style>
  <w:style w:type="paragraph" w:customStyle="1" w:styleId="637">
    <w:name w:val="并列项"/>
    <w:basedOn w:val="1"/>
    <w:qFormat/>
    <w:uiPriority w:val="0"/>
    <w:pPr>
      <w:tabs>
        <w:tab w:val="left" w:pos="992"/>
      </w:tabs>
      <w:spacing w:line="400" w:lineRule="atLeast"/>
      <w:ind w:left="992" w:hanging="567" w:firstLineChars="0"/>
      <w:jc w:val="both"/>
      <w:textAlignment w:val="baseline"/>
    </w:pPr>
    <w:rPr>
      <w:rFonts w:ascii="Times New Roman" w:hAnsi="Times New Roman" w:cs="Times New Roman"/>
      <w:szCs w:val="20"/>
      <w:lang w:val="zh-CN"/>
    </w:rPr>
  </w:style>
  <w:style w:type="paragraph" w:customStyle="1" w:styleId="638">
    <w:name w:val="一级目录"/>
    <w:next w:val="1"/>
    <w:qFormat/>
    <w:uiPriority w:val="0"/>
    <w:pPr>
      <w:spacing w:afterLines="100"/>
      <w:jc w:val="center"/>
      <w:outlineLvl w:val="0"/>
    </w:pPr>
    <w:rPr>
      <w:rFonts w:ascii="黑体" w:hAnsi="Times New Roman" w:eastAsia="黑体" w:cs="Times New Roman"/>
      <w:b/>
      <w:kern w:val="2"/>
      <w:sz w:val="44"/>
      <w:szCs w:val="44"/>
      <w:lang w:val="en-US" w:eastAsia="zh-CN" w:bidi="ar-SA"/>
    </w:rPr>
  </w:style>
  <w:style w:type="paragraph" w:customStyle="1" w:styleId="639">
    <w:name w:val="样式 标题 1 + 黑体 三号 非加粗 居中 段前: 6 磅 段后: 6 磅 行距: 固定值 20 磅"/>
    <w:basedOn w:val="2"/>
    <w:qFormat/>
    <w:uiPriority w:val="0"/>
    <w:pPr>
      <w:keepLines/>
      <w:tabs>
        <w:tab w:val="clear" w:pos="1440"/>
        <w:tab w:val="clear" w:pos="5670"/>
      </w:tabs>
      <w:spacing w:before="120" w:after="120" w:line="400" w:lineRule="exact"/>
      <w:ind w:firstLine="0" w:firstLineChars="0"/>
    </w:pPr>
    <w:rPr>
      <w:rFonts w:hAnsi="黑体"/>
      <w:b w:val="0"/>
      <w:sz w:val="32"/>
      <w:szCs w:val="20"/>
    </w:rPr>
  </w:style>
  <w:style w:type="paragraph" w:customStyle="1" w:styleId="640">
    <w:name w:val="Char Char Char Char Char Char Char Char Char Char Char Char Char Char Char Char Char Char Char Char Char2"/>
    <w:basedOn w:val="1"/>
    <w:qFormat/>
    <w:uiPriority w:val="0"/>
    <w:pPr>
      <w:widowControl w:val="0"/>
      <w:adjustRightInd/>
      <w:snapToGrid/>
      <w:spacing w:line="240" w:lineRule="auto"/>
      <w:ind w:firstLine="0" w:firstLineChars="0"/>
      <w:jc w:val="both"/>
    </w:pPr>
    <w:rPr>
      <w:rFonts w:cs="Times New Roman"/>
      <w:kern w:val="2"/>
      <w:szCs w:val="20"/>
    </w:rPr>
  </w:style>
  <w:style w:type="paragraph" w:customStyle="1" w:styleId="641">
    <w:name w:val="标书表格字体格式"/>
    <w:next w:val="1"/>
    <w:qFormat/>
    <w:uiPriority w:val="0"/>
    <w:rPr>
      <w:rFonts w:ascii="Times New Roman" w:hAnsi="Times New Roman" w:eastAsia="宋体" w:cs="Times New Roman"/>
      <w:kern w:val="2"/>
      <w:sz w:val="21"/>
      <w:szCs w:val="24"/>
      <w:lang w:val="en-US" w:eastAsia="zh-CN" w:bidi="ar-SA"/>
    </w:rPr>
  </w:style>
  <w:style w:type="paragraph" w:customStyle="1" w:styleId="642">
    <w:name w:val="APCHeading 1"/>
    <w:basedOn w:val="1"/>
    <w:next w:val="611"/>
    <w:qFormat/>
    <w:uiPriority w:val="0"/>
    <w:pPr>
      <w:keepNext/>
      <w:adjustRightInd/>
      <w:snapToGrid/>
      <w:spacing w:before="240" w:after="60" w:line="240" w:lineRule="auto"/>
      <w:ind w:firstLine="0" w:firstLineChars="0"/>
      <w:outlineLvl w:val="0"/>
    </w:pPr>
    <w:rPr>
      <w:rFonts w:ascii="Univers Condensed" w:hAnsi="Univers Condensed" w:cs="Times New Roman"/>
      <w:sz w:val="40"/>
      <w:szCs w:val="40"/>
      <w:lang w:eastAsia="en-US"/>
    </w:rPr>
  </w:style>
  <w:style w:type="paragraph" w:customStyle="1" w:styleId="643">
    <w:name w:val="表格 居中"/>
    <w:basedOn w:val="1"/>
    <w:qFormat/>
    <w:uiPriority w:val="0"/>
    <w:pPr>
      <w:widowControl w:val="0"/>
      <w:adjustRightInd/>
      <w:snapToGrid/>
      <w:spacing w:line="240" w:lineRule="auto"/>
      <w:ind w:firstLine="0" w:firstLineChars="0"/>
      <w:jc w:val="both"/>
    </w:pPr>
    <w:rPr>
      <w:rFonts w:ascii="宋体" w:hAnsi="宋体" w:cs="Times New Roman"/>
      <w:snapToGrid w:val="0"/>
      <w:color w:val="000000"/>
      <w:kern w:val="2"/>
      <w:szCs w:val="20"/>
    </w:rPr>
  </w:style>
  <w:style w:type="paragraph" w:customStyle="1" w:styleId="644">
    <w:name w:val="图标"/>
    <w:basedOn w:val="1"/>
    <w:next w:val="1"/>
    <w:qFormat/>
    <w:uiPriority w:val="0"/>
    <w:pPr>
      <w:widowControl w:val="0"/>
      <w:tabs>
        <w:tab w:val="left" w:pos="567"/>
        <w:tab w:val="left" w:pos="840"/>
      </w:tabs>
      <w:autoSpaceDE w:val="0"/>
      <w:autoSpaceDN w:val="0"/>
      <w:spacing w:before="120" w:after="120" w:line="320" w:lineRule="atLeast"/>
      <w:ind w:left="840" w:hanging="420"/>
      <w:jc w:val="center"/>
      <w:textAlignment w:val="baseline"/>
    </w:pPr>
    <w:rPr>
      <w:rFonts w:ascii="Times New Roman" w:hAnsi="Times New Roman" w:eastAsia="仿宋_GB2312" w:cs="Times New Roman"/>
      <w:szCs w:val="20"/>
    </w:rPr>
  </w:style>
  <w:style w:type="paragraph" w:customStyle="1" w:styleId="645">
    <w:name w:val="xl72"/>
    <w:basedOn w:val="1"/>
    <w:qFormat/>
    <w:uiPriority w:val="0"/>
    <w:pPr>
      <w:pBdr>
        <w:top w:val="single" w:color="auto" w:sz="4" w:space="0"/>
        <w:left w:val="single" w:color="auto" w:sz="4" w:space="0"/>
        <w:bottom w:val="single" w:color="auto" w:sz="4" w:space="0"/>
      </w:pBdr>
      <w:shd w:val="clear" w:color="auto" w:fill="FFFF99"/>
      <w:adjustRightInd/>
      <w:snapToGrid/>
      <w:spacing w:before="100" w:beforeAutospacing="1" w:after="100" w:afterAutospacing="1" w:line="240" w:lineRule="auto"/>
      <w:ind w:firstLine="0" w:firstLineChars="0"/>
      <w:jc w:val="both"/>
    </w:pPr>
    <w:rPr>
      <w:rFonts w:hint="eastAsia" w:ascii="宋体" w:hAnsi="宋体" w:cs="Times New Roman"/>
      <w:b/>
      <w:sz w:val="28"/>
      <w:szCs w:val="20"/>
    </w:rPr>
  </w:style>
  <w:style w:type="paragraph" w:customStyle="1" w:styleId="646">
    <w:name w:val="宏图高科"/>
    <w:basedOn w:val="1"/>
    <w:qFormat/>
    <w:uiPriority w:val="0"/>
    <w:pPr>
      <w:widowControl w:val="0"/>
      <w:adjustRightInd/>
      <w:snapToGrid/>
      <w:ind w:firstLine="480" w:firstLineChars="0"/>
      <w:jc w:val="both"/>
    </w:pPr>
    <w:rPr>
      <w:rFonts w:ascii="Times New Roman" w:hAnsi="Times New Roman" w:eastAsia="楷体_GB2312" w:cs="Times New Roman"/>
      <w:kern w:val="2"/>
      <w:szCs w:val="20"/>
    </w:rPr>
  </w:style>
  <w:style w:type="paragraph" w:customStyle="1" w:styleId="647">
    <w:name w:val="正文段"/>
    <w:basedOn w:val="1"/>
    <w:qFormat/>
    <w:uiPriority w:val="0"/>
    <w:pPr>
      <w:widowControl w:val="0"/>
      <w:snapToGrid/>
      <w:spacing w:after="240" w:line="312" w:lineRule="atLeast"/>
      <w:ind w:firstLine="425" w:firstLineChars="0"/>
      <w:jc w:val="both"/>
      <w:textAlignment w:val="baseline"/>
    </w:pPr>
    <w:rPr>
      <w:rFonts w:ascii="Times New Roman" w:hAnsi="Times New Roman" w:cs="Times New Roman"/>
      <w:szCs w:val="20"/>
    </w:rPr>
  </w:style>
  <w:style w:type="paragraph" w:customStyle="1" w:styleId="648">
    <w:name w:val="Char Char Char Char Char Char Char Char Char Char Char1 Char Char Char1"/>
    <w:basedOn w:val="1"/>
    <w:qFormat/>
    <w:uiPriority w:val="0"/>
    <w:pPr>
      <w:widowControl w:val="0"/>
      <w:adjustRightInd/>
      <w:snapToGrid/>
      <w:spacing w:line="240" w:lineRule="auto"/>
    </w:pPr>
    <w:rPr>
      <w:rFonts w:cs="Times New Roman"/>
      <w:kern w:val="2"/>
      <w:szCs w:val="24"/>
    </w:rPr>
  </w:style>
  <w:style w:type="paragraph" w:customStyle="1" w:styleId="649">
    <w:name w:val="Char Char Char Char Char Char Char Char Char Char Char Char Char Char2"/>
    <w:basedOn w:val="1"/>
    <w:qFormat/>
    <w:uiPriority w:val="0"/>
    <w:pPr>
      <w:widowControl w:val="0"/>
      <w:adjustRightInd/>
      <w:snapToGrid/>
      <w:spacing w:line="240" w:lineRule="auto"/>
      <w:ind w:firstLine="0" w:firstLineChars="0"/>
      <w:jc w:val="both"/>
    </w:pPr>
    <w:rPr>
      <w:rFonts w:cs="Times New Roman"/>
      <w:kern w:val="2"/>
      <w:szCs w:val="20"/>
    </w:rPr>
  </w:style>
  <w:style w:type="paragraph" w:customStyle="1" w:styleId="650">
    <w:name w:val="标题11"/>
    <w:basedOn w:val="1"/>
    <w:next w:val="1"/>
    <w:qFormat/>
    <w:uiPriority w:val="0"/>
    <w:pPr>
      <w:widowControl w:val="0"/>
      <w:tabs>
        <w:tab w:val="left" w:pos="9193"/>
        <w:tab w:val="left" w:pos="9827"/>
      </w:tabs>
      <w:autoSpaceDE w:val="0"/>
      <w:autoSpaceDN w:val="0"/>
      <w:adjustRightInd/>
      <w:spacing w:line="700" w:lineRule="atLeast"/>
      <w:jc w:val="center"/>
    </w:pPr>
    <w:rPr>
      <w:rFonts w:ascii="方正小标宋_GBK" w:hAnsi="Times New Roman" w:eastAsia="方正小标宋_GBK" w:cs="Times New Roman"/>
      <w:snapToGrid w:val="0"/>
      <w:sz w:val="44"/>
      <w:szCs w:val="20"/>
    </w:rPr>
  </w:style>
  <w:style w:type="paragraph" w:customStyle="1" w:styleId="651">
    <w:name w:val="Char Char Char Char Char Char Char Char Char Char Char Char Char Char Char Char1"/>
    <w:basedOn w:val="1"/>
    <w:qFormat/>
    <w:uiPriority w:val="0"/>
    <w:pPr>
      <w:widowControl w:val="0"/>
      <w:tabs>
        <w:tab w:val="left" w:pos="360"/>
      </w:tabs>
      <w:adjustRightInd/>
      <w:snapToGrid/>
      <w:ind w:left="482"/>
      <w:jc w:val="both"/>
    </w:pPr>
    <w:rPr>
      <w:rFonts w:ascii="宋体" w:hAnsi="Times New Roman" w:cs="Times New Roman"/>
      <w:kern w:val="2"/>
      <w:szCs w:val="24"/>
    </w:rPr>
  </w:style>
  <w:style w:type="paragraph" w:customStyle="1" w:styleId="652">
    <w:name w:val="GP标题3"/>
    <w:basedOn w:val="564"/>
    <w:next w:val="518"/>
    <w:qFormat/>
    <w:uiPriority w:val="0"/>
    <w:pPr>
      <w:spacing w:beforeLines="50" w:afterLines="50"/>
      <w:outlineLvl w:val="2"/>
    </w:pPr>
    <w:rPr>
      <w:rFonts w:ascii="华文细黑" w:hAnsi="华文细黑" w:eastAsia="华文细黑"/>
      <w:b/>
      <w:sz w:val="30"/>
    </w:rPr>
  </w:style>
  <w:style w:type="paragraph" w:customStyle="1" w:styleId="653">
    <w:name w:val="并列正文"/>
    <w:basedOn w:val="1"/>
    <w:qFormat/>
    <w:uiPriority w:val="0"/>
    <w:pPr>
      <w:widowControl w:val="0"/>
      <w:adjustRightInd/>
      <w:snapToGrid/>
      <w:ind w:right="-144" w:rightChars="-72" w:firstLine="0" w:firstLineChars="0"/>
      <w:jc w:val="center"/>
    </w:pPr>
    <w:rPr>
      <w:rFonts w:ascii="仿宋_GB2312" w:hAnsi="Times New Roman" w:eastAsia="仿宋_GB2312" w:cs="Times New Roman"/>
      <w:szCs w:val="20"/>
    </w:rPr>
  </w:style>
  <w:style w:type="paragraph" w:customStyle="1" w:styleId="654">
    <w:name w:val="±íÏî"/>
    <w:basedOn w:val="1"/>
    <w:qFormat/>
    <w:uiPriority w:val="0"/>
    <w:pPr>
      <w:overflowPunct w:val="0"/>
      <w:autoSpaceDE w:val="0"/>
      <w:autoSpaceDN w:val="0"/>
      <w:snapToGrid/>
      <w:spacing w:line="300" w:lineRule="auto"/>
      <w:ind w:firstLine="0" w:firstLineChars="0"/>
      <w:jc w:val="center"/>
      <w:textAlignment w:val="baseline"/>
    </w:pPr>
    <w:rPr>
      <w:rFonts w:ascii="Times New Roman" w:hAnsi="Times New Roman" w:cs="Times New Roman"/>
      <w:sz w:val="18"/>
      <w:szCs w:val="20"/>
    </w:rPr>
  </w:style>
  <w:style w:type="paragraph" w:customStyle="1" w:styleId="655">
    <w:name w:val="表身"/>
    <w:basedOn w:val="1"/>
    <w:qFormat/>
    <w:uiPriority w:val="0"/>
    <w:pPr>
      <w:widowControl w:val="0"/>
      <w:autoSpaceDE w:val="0"/>
      <w:autoSpaceDN w:val="0"/>
      <w:snapToGrid/>
      <w:spacing w:line="300" w:lineRule="auto"/>
      <w:ind w:firstLine="0" w:firstLineChars="0"/>
    </w:pPr>
    <w:rPr>
      <w:rFonts w:ascii="Times New Roman" w:hAnsi="Times New Roman" w:cs="Times New Roman"/>
      <w:sz w:val="18"/>
      <w:szCs w:val="20"/>
    </w:rPr>
  </w:style>
  <w:style w:type="paragraph" w:customStyle="1" w:styleId="656">
    <w:name w:val="样式 左侧:  6 字符 段前: 0.5 行 段后: 0.5 行"/>
    <w:basedOn w:val="1"/>
    <w:qFormat/>
    <w:uiPriority w:val="0"/>
    <w:pPr>
      <w:widowControl w:val="0"/>
      <w:adjustRightInd/>
      <w:spacing w:beforeLines="50" w:afterLines="50"/>
      <w:ind w:left="1260" w:leftChars="600" w:firstLine="0" w:firstLineChars="0"/>
      <w:jc w:val="both"/>
    </w:pPr>
    <w:rPr>
      <w:rFonts w:ascii="Times New Roman" w:hAnsi="Times New Roman"/>
      <w:kern w:val="2"/>
      <w:sz w:val="21"/>
      <w:szCs w:val="20"/>
    </w:rPr>
  </w:style>
  <w:style w:type="paragraph" w:customStyle="1" w:styleId="657">
    <w:name w:val="默认段落字体 Para Char Char Char Char Char Char Char Char Char Char Char Char Char"/>
    <w:basedOn w:val="1"/>
    <w:qFormat/>
    <w:uiPriority w:val="0"/>
    <w:pPr>
      <w:widowControl w:val="0"/>
      <w:adjustRightInd/>
      <w:snapToGrid/>
      <w:spacing w:line="240" w:lineRule="auto"/>
      <w:ind w:firstLine="0" w:firstLineChars="0"/>
      <w:jc w:val="both"/>
    </w:pPr>
    <w:rPr>
      <w:rFonts w:ascii="Times New Roman" w:hAnsi="Times New Roman" w:cs="Times New Roman"/>
      <w:kern w:val="2"/>
      <w:szCs w:val="24"/>
    </w:rPr>
  </w:style>
  <w:style w:type="paragraph" w:customStyle="1" w:styleId="658">
    <w:name w:val="Char Char Char Char Char Char Char Char Char2"/>
    <w:basedOn w:val="1"/>
    <w:qFormat/>
    <w:uiPriority w:val="0"/>
    <w:pPr>
      <w:widowControl w:val="0"/>
      <w:tabs>
        <w:tab w:val="left" w:pos="360"/>
      </w:tabs>
      <w:adjustRightInd/>
      <w:snapToGrid/>
      <w:spacing w:line="240" w:lineRule="auto"/>
      <w:ind w:left="360" w:hanging="360" w:hangingChars="200"/>
      <w:jc w:val="both"/>
    </w:pPr>
    <w:rPr>
      <w:rFonts w:ascii="Times New Roman" w:hAnsi="Times New Roman" w:cs="Times New Roman"/>
      <w:kern w:val="2"/>
      <w:szCs w:val="24"/>
    </w:rPr>
  </w:style>
  <w:style w:type="paragraph" w:customStyle="1" w:styleId="659">
    <w:name w:val="样式 标题 2 + Times New Roman 四号 非加粗 段前: 5 磅 段后: 0 磅 行距: 固定值 20..."/>
    <w:basedOn w:val="3"/>
    <w:qFormat/>
    <w:uiPriority w:val="0"/>
    <w:pPr>
      <w:spacing w:before="100" w:line="400" w:lineRule="exact"/>
      <w:ind w:firstLine="0" w:firstLineChars="0"/>
      <w:jc w:val="both"/>
    </w:pPr>
    <w:rPr>
      <w:rFonts w:ascii="Times New Roman" w:hAnsi="Times New Roman" w:eastAsia="黑体"/>
      <w:b w:val="0"/>
      <w:sz w:val="28"/>
      <w:szCs w:val="20"/>
    </w:rPr>
  </w:style>
  <w:style w:type="paragraph" w:customStyle="1" w:styleId="660">
    <w:name w:val="xl64"/>
    <w:basedOn w:val="1"/>
    <w:qFormat/>
    <w:uiPriority w:val="0"/>
    <w:pPr>
      <w:pBdr>
        <w:top w:val="single" w:color="auto" w:sz="4" w:space="0"/>
        <w:bottom w:val="single" w:color="auto" w:sz="4" w:space="0"/>
      </w:pBdr>
      <w:shd w:val="clear" w:color="auto" w:fill="FFFF99"/>
      <w:adjustRightInd/>
      <w:snapToGrid/>
      <w:spacing w:before="100" w:beforeAutospacing="1" w:after="100" w:afterAutospacing="1" w:line="240" w:lineRule="auto"/>
      <w:ind w:firstLine="0" w:firstLineChars="0"/>
      <w:jc w:val="both"/>
    </w:pPr>
    <w:rPr>
      <w:rFonts w:hint="eastAsia" w:ascii="宋体" w:hAnsi="宋体" w:cs="Times New Roman"/>
      <w:b/>
      <w:color w:val="000000"/>
      <w:szCs w:val="20"/>
    </w:rPr>
  </w:style>
  <w:style w:type="paragraph" w:customStyle="1" w:styleId="661">
    <w:name w:val="xl74"/>
    <w:basedOn w:val="1"/>
    <w:qFormat/>
    <w:uiPriority w:val="0"/>
    <w:pPr>
      <w:pBdr>
        <w:top w:val="single" w:color="auto" w:sz="4" w:space="0"/>
        <w:bottom w:val="single" w:color="auto" w:sz="4" w:space="0"/>
        <w:right w:val="single" w:color="auto" w:sz="4" w:space="0"/>
      </w:pBdr>
      <w:shd w:val="clear" w:color="auto" w:fill="FFFF99"/>
      <w:adjustRightInd/>
      <w:snapToGrid/>
      <w:spacing w:before="100" w:beforeAutospacing="1" w:after="100" w:afterAutospacing="1" w:line="240" w:lineRule="auto"/>
      <w:ind w:firstLine="0" w:firstLineChars="0"/>
      <w:jc w:val="both"/>
    </w:pPr>
    <w:rPr>
      <w:rFonts w:hint="eastAsia" w:ascii="宋体" w:hAnsi="宋体" w:cs="Times New Roman"/>
      <w:b/>
      <w:sz w:val="28"/>
      <w:szCs w:val="20"/>
    </w:rPr>
  </w:style>
  <w:style w:type="paragraph" w:customStyle="1" w:styleId="662">
    <w:name w:val="Char31"/>
    <w:basedOn w:val="17"/>
    <w:qFormat/>
    <w:uiPriority w:val="0"/>
    <w:pPr>
      <w:adjustRightInd w:val="0"/>
      <w:snapToGrid w:val="0"/>
      <w:ind w:firstLine="0" w:firstLineChars="0"/>
    </w:pPr>
    <w:rPr>
      <w:rFonts w:ascii="Tahoma" w:hAnsi="Tahoma" w:cs="Times New Roman"/>
      <w:sz w:val="24"/>
      <w:szCs w:val="24"/>
    </w:rPr>
  </w:style>
  <w:style w:type="paragraph" w:customStyle="1" w:styleId="663">
    <w:name w:val="font0"/>
    <w:basedOn w:val="1"/>
    <w:qFormat/>
    <w:uiPriority w:val="0"/>
    <w:pPr>
      <w:adjustRightInd/>
      <w:snapToGrid/>
      <w:spacing w:before="100" w:beforeAutospacing="1" w:after="100" w:afterAutospacing="1" w:line="240" w:lineRule="auto"/>
      <w:ind w:firstLine="0" w:firstLineChars="0"/>
      <w:jc w:val="both"/>
    </w:pPr>
    <w:rPr>
      <w:rFonts w:hint="eastAsia" w:ascii="宋体" w:hAnsi="宋体" w:cs="Times New Roman"/>
      <w:szCs w:val="20"/>
    </w:rPr>
  </w:style>
  <w:style w:type="paragraph" w:customStyle="1" w:styleId="664">
    <w:name w:val="标准小三"/>
    <w:basedOn w:val="1"/>
    <w:qFormat/>
    <w:uiPriority w:val="0"/>
    <w:pPr>
      <w:widowControl w:val="0"/>
      <w:adjustRightInd/>
      <w:spacing w:line="700" w:lineRule="exact"/>
      <w:jc w:val="both"/>
    </w:pPr>
    <w:rPr>
      <w:rFonts w:ascii="宋体" w:hAnsi="Arial" w:eastAsia="仿宋_GB2312" w:cs="Times New Roman"/>
      <w:sz w:val="30"/>
      <w:szCs w:val="32"/>
    </w:rPr>
  </w:style>
  <w:style w:type="paragraph" w:customStyle="1" w:styleId="665">
    <w:name w:val="xl68"/>
    <w:basedOn w:val="1"/>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firstLine="0" w:firstLineChars="0"/>
      <w:jc w:val="both"/>
    </w:pPr>
    <w:rPr>
      <w:rFonts w:ascii="Times New Roman" w:hAnsi="Times New Roman" w:cs="Times New Roman"/>
      <w:b/>
      <w:sz w:val="28"/>
      <w:szCs w:val="20"/>
    </w:rPr>
  </w:style>
  <w:style w:type="paragraph" w:customStyle="1" w:styleId="666">
    <w:name w:val="xl67"/>
    <w:basedOn w:val="1"/>
    <w:qFormat/>
    <w:uiPriority w:val="0"/>
    <w:pPr>
      <w:pBdr>
        <w:top w:val="single" w:color="auto" w:sz="4" w:space="0"/>
        <w:bottom w:val="single" w:color="auto" w:sz="4" w:space="0"/>
        <w:right w:val="single" w:color="auto" w:sz="4" w:space="0"/>
      </w:pBdr>
      <w:adjustRightInd/>
      <w:snapToGrid/>
      <w:spacing w:before="100" w:beforeAutospacing="1" w:after="100" w:afterAutospacing="1" w:line="240" w:lineRule="auto"/>
      <w:ind w:firstLine="0" w:firstLineChars="0"/>
      <w:jc w:val="both"/>
    </w:pPr>
    <w:rPr>
      <w:rFonts w:hint="eastAsia" w:ascii="宋体" w:hAnsi="宋体" w:cs="Times New Roman"/>
      <w:b/>
      <w:szCs w:val="20"/>
    </w:rPr>
  </w:style>
  <w:style w:type="paragraph" w:customStyle="1" w:styleId="667">
    <w:name w:val="图例"/>
    <w:basedOn w:val="1"/>
    <w:qFormat/>
    <w:uiPriority w:val="0"/>
    <w:pPr>
      <w:widowControl w:val="0"/>
      <w:adjustRightInd/>
      <w:snapToGrid/>
      <w:spacing w:before="120" w:after="120"/>
      <w:ind w:firstLine="0" w:firstLineChars="0"/>
      <w:jc w:val="center"/>
    </w:pPr>
    <w:rPr>
      <w:rFonts w:ascii="Times New Roman" w:hAnsi="Times New Roman" w:eastAsia="仿宋_GB2312" w:cs="Times New Roman"/>
      <w:b/>
      <w:kern w:val="2"/>
      <w:szCs w:val="20"/>
    </w:rPr>
  </w:style>
  <w:style w:type="paragraph" w:customStyle="1" w:styleId="668">
    <w:name w:val="GP标题4"/>
    <w:basedOn w:val="564"/>
    <w:next w:val="518"/>
    <w:qFormat/>
    <w:uiPriority w:val="0"/>
    <w:pPr>
      <w:spacing w:beforeLines="50" w:afterLines="50"/>
      <w:outlineLvl w:val="3"/>
    </w:pPr>
    <w:rPr>
      <w:rFonts w:ascii="华文细黑" w:hAnsi="华文细黑" w:eastAsia="华文细黑"/>
      <w:b/>
      <w:sz w:val="28"/>
    </w:rPr>
  </w:style>
  <w:style w:type="paragraph" w:customStyle="1" w:styleId="669">
    <w:name w:val="Char12"/>
    <w:basedOn w:val="1"/>
    <w:qFormat/>
    <w:uiPriority w:val="0"/>
    <w:pPr>
      <w:widowControl w:val="0"/>
      <w:adjustRightInd/>
      <w:snapToGrid/>
      <w:spacing w:line="240" w:lineRule="auto"/>
      <w:ind w:firstLine="0" w:firstLineChars="0"/>
      <w:jc w:val="both"/>
    </w:pPr>
    <w:rPr>
      <w:rFonts w:ascii="仿宋_GB2312" w:hAnsi="Times New Roman" w:eastAsia="仿宋_GB2312" w:cs="Times New Roman"/>
      <w:b/>
      <w:kern w:val="2"/>
      <w:sz w:val="32"/>
      <w:szCs w:val="32"/>
    </w:rPr>
  </w:style>
  <w:style w:type="paragraph" w:customStyle="1" w:styleId="670">
    <w:name w:val="Char Char Char Char2"/>
    <w:basedOn w:val="1"/>
    <w:qFormat/>
    <w:uiPriority w:val="0"/>
    <w:pPr>
      <w:adjustRightInd/>
      <w:snapToGrid/>
      <w:spacing w:after="160" w:line="240" w:lineRule="exact"/>
      <w:ind w:firstLine="0" w:firstLineChars="0"/>
      <w:jc w:val="center"/>
    </w:pPr>
    <w:rPr>
      <w:rFonts w:ascii="黑体" w:hAnsi="Verdana" w:eastAsia="黑体" w:cs="Times New Roman"/>
      <w:sz w:val="32"/>
      <w:szCs w:val="32"/>
      <w:lang w:eastAsia="en-US"/>
    </w:rPr>
  </w:style>
  <w:style w:type="paragraph" w:customStyle="1" w:styleId="671">
    <w:name w:val="APCTableContent"/>
    <w:basedOn w:val="611"/>
    <w:qFormat/>
    <w:uiPriority w:val="0"/>
    <w:pPr>
      <w:spacing w:before="40" w:after="40"/>
    </w:pPr>
    <w:rPr>
      <w:sz w:val="16"/>
      <w:szCs w:val="16"/>
    </w:rPr>
  </w:style>
  <w:style w:type="paragraph" w:customStyle="1" w:styleId="672">
    <w:name w:val="4"/>
    <w:basedOn w:val="1"/>
    <w:next w:val="47"/>
    <w:qFormat/>
    <w:uiPriority w:val="0"/>
    <w:pPr>
      <w:widowControl w:val="0"/>
      <w:adjustRightInd/>
      <w:snapToGrid/>
      <w:ind w:firstLine="420"/>
      <w:jc w:val="both"/>
    </w:pPr>
    <w:rPr>
      <w:rFonts w:ascii="Times New Roman" w:hAnsi="Times New Roman" w:cs="Times New Roman"/>
      <w:color w:val="FF0000"/>
      <w:kern w:val="2"/>
      <w:szCs w:val="24"/>
    </w:rPr>
  </w:style>
  <w:style w:type="paragraph" w:customStyle="1" w:styleId="673">
    <w:name w:val="GP标题2"/>
    <w:basedOn w:val="564"/>
    <w:next w:val="518"/>
    <w:qFormat/>
    <w:uiPriority w:val="0"/>
    <w:pPr>
      <w:spacing w:beforeLines="50" w:afterLines="50"/>
      <w:outlineLvl w:val="1"/>
    </w:pPr>
    <w:rPr>
      <w:rFonts w:ascii="华文细黑" w:hAnsi="华文细黑" w:eastAsia="华文细黑"/>
      <w:b/>
      <w:sz w:val="32"/>
    </w:rPr>
  </w:style>
  <w:style w:type="paragraph" w:customStyle="1" w:styleId="674">
    <w:name w:val="P3"/>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675">
    <w:name w:val="graytext"/>
    <w:basedOn w:val="1"/>
    <w:qFormat/>
    <w:uiPriority w:val="0"/>
    <w:pPr>
      <w:adjustRightInd/>
      <w:snapToGrid/>
      <w:spacing w:before="100" w:beforeAutospacing="1" w:after="100" w:afterAutospacing="1" w:line="240" w:lineRule="auto"/>
      <w:ind w:firstLine="0" w:firstLineChars="0"/>
    </w:pPr>
    <w:rPr>
      <w:rFonts w:ascii="宋体" w:hAnsi="宋体"/>
      <w:szCs w:val="24"/>
    </w:rPr>
  </w:style>
  <w:style w:type="paragraph" w:customStyle="1" w:styleId="676">
    <w:name w:val="普通 (Web)"/>
    <w:basedOn w:val="1"/>
    <w:qFormat/>
    <w:uiPriority w:val="0"/>
    <w:pPr>
      <w:adjustRightInd/>
      <w:snapToGrid/>
      <w:spacing w:before="100" w:beforeAutospacing="1" w:after="100" w:afterAutospacing="1"/>
    </w:pPr>
    <w:rPr>
      <w:rFonts w:ascii="宋体" w:hAnsi="宋体" w:cs="Times New Roman"/>
      <w:szCs w:val="24"/>
    </w:rPr>
  </w:style>
  <w:style w:type="paragraph" w:customStyle="1" w:styleId="677">
    <w:name w:val="我的表格"/>
    <w:basedOn w:val="1"/>
    <w:next w:val="1"/>
    <w:qFormat/>
    <w:uiPriority w:val="0"/>
    <w:pPr>
      <w:widowControl w:val="0"/>
      <w:adjustRightInd/>
      <w:snapToGrid/>
      <w:ind w:firstLine="0" w:firstLineChars="0"/>
      <w:jc w:val="center"/>
    </w:pPr>
    <w:rPr>
      <w:rFonts w:ascii="Times New Roman" w:hAnsi="Times New Roman" w:eastAsia="仿宋_GB2312" w:cs="Times New Roman"/>
      <w:b/>
      <w:kern w:val="2"/>
      <w:sz w:val="21"/>
      <w:szCs w:val="20"/>
    </w:rPr>
  </w:style>
  <w:style w:type="paragraph" w:customStyle="1" w:styleId="678">
    <w:name w:val="+标题4"/>
    <w:basedOn w:val="5"/>
    <w:qFormat/>
    <w:uiPriority w:val="0"/>
    <w:pPr>
      <w:keepNext w:val="0"/>
      <w:keepLines w:val="0"/>
      <w:spacing w:before="0" w:after="0"/>
      <w:ind w:firstLine="482"/>
      <w:outlineLvl w:val="9"/>
    </w:pPr>
    <w:rPr>
      <w:rFonts w:hAnsi="Times New Roman" w:eastAsia="宋体"/>
      <w:bCs/>
      <w:sz w:val="24"/>
      <w:szCs w:val="24"/>
    </w:rPr>
  </w:style>
  <w:style w:type="paragraph" w:customStyle="1" w:styleId="679">
    <w:name w:val="正文缩进21"/>
    <w:basedOn w:val="1"/>
    <w:qFormat/>
    <w:uiPriority w:val="0"/>
    <w:pPr>
      <w:widowControl w:val="0"/>
      <w:autoSpaceDE w:val="0"/>
      <w:autoSpaceDN w:val="0"/>
      <w:adjustRightInd/>
      <w:snapToGrid/>
      <w:ind w:left="181" w:firstLine="420" w:firstLineChars="0"/>
      <w:jc w:val="both"/>
    </w:pPr>
    <w:rPr>
      <w:rFonts w:ascii="Times New Roman" w:hAnsi="Times New Roman" w:cs="Times New Roman"/>
      <w:kern w:val="2"/>
      <w:szCs w:val="20"/>
    </w:rPr>
  </w:style>
  <w:style w:type="paragraph" w:customStyle="1" w:styleId="680">
    <w:name w:val="Char Char Char Char Char Char Char Char Char Char Char Char Char2"/>
    <w:basedOn w:val="1"/>
    <w:qFormat/>
    <w:uiPriority w:val="0"/>
    <w:pPr>
      <w:adjustRightInd/>
      <w:snapToGrid/>
      <w:spacing w:after="160" w:line="240" w:lineRule="exact"/>
      <w:ind w:firstLine="0" w:firstLineChars="0"/>
    </w:pPr>
    <w:rPr>
      <w:rFonts w:ascii="Verdana" w:hAnsi="Verdana" w:cs="Times New Roman"/>
      <w:sz w:val="20"/>
      <w:szCs w:val="20"/>
      <w:lang w:eastAsia="en-US"/>
    </w:rPr>
  </w:style>
  <w:style w:type="paragraph" w:customStyle="1" w:styleId="681">
    <w:name w:val="表格正文"/>
    <w:basedOn w:val="1"/>
    <w:qFormat/>
    <w:uiPriority w:val="0"/>
    <w:pPr>
      <w:widowControl w:val="0"/>
      <w:adjustRightInd/>
      <w:snapToGrid/>
      <w:spacing w:before="100" w:beforeAutospacing="1" w:after="100" w:afterAutospacing="1" w:line="240" w:lineRule="atLeast"/>
      <w:ind w:firstLine="0" w:firstLineChars="0"/>
      <w:jc w:val="both"/>
    </w:pPr>
    <w:rPr>
      <w:rFonts w:ascii="Times New Roman" w:hAnsi="Times New Roman" w:eastAsia="仿宋_GB2312" w:cs="Times New Roman"/>
      <w:kern w:val="2"/>
      <w:szCs w:val="24"/>
    </w:rPr>
  </w:style>
  <w:style w:type="paragraph" w:customStyle="1" w:styleId="682">
    <w:name w:val="+(1)"/>
    <w:basedOn w:val="577"/>
    <w:qFormat/>
    <w:uiPriority w:val="0"/>
    <w:pPr>
      <w:ind w:left="938" w:firstLine="0" w:firstLineChars="0"/>
    </w:pPr>
  </w:style>
  <w:style w:type="paragraph" w:customStyle="1" w:styleId="683">
    <w:name w:val="xl69"/>
    <w:basedOn w:val="1"/>
    <w:qFormat/>
    <w:uiPriority w:val="0"/>
    <w:pPr>
      <w:pBdr>
        <w:top w:val="single" w:color="auto" w:sz="4" w:space="0"/>
        <w:left w:val="single" w:color="auto" w:sz="4" w:space="0"/>
        <w:bottom w:val="single" w:color="auto" w:sz="4" w:space="0"/>
      </w:pBdr>
      <w:adjustRightInd/>
      <w:snapToGrid/>
      <w:spacing w:before="100" w:beforeAutospacing="1" w:after="100" w:afterAutospacing="1" w:line="240" w:lineRule="auto"/>
      <w:ind w:firstLine="0" w:firstLineChars="0"/>
      <w:jc w:val="both"/>
    </w:pPr>
    <w:rPr>
      <w:rFonts w:hint="eastAsia" w:ascii="宋体" w:hAnsi="宋体" w:cs="Times New Roman"/>
      <w:b/>
      <w:sz w:val="28"/>
      <w:szCs w:val="20"/>
    </w:rPr>
  </w:style>
  <w:style w:type="table" w:customStyle="1" w:styleId="684">
    <w:name w:val="网格型2"/>
    <w:basedOn w:val="59"/>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685">
    <w:name w:val="Table Text"/>
    <w:basedOn w:val="1"/>
    <w:semiHidden/>
    <w:qFormat/>
    <w:uiPriority w:val="0"/>
    <w:rPr>
      <w:rFonts w:ascii="宋体" w:hAnsi="宋体" w:eastAsia="宋体" w:cs="宋体"/>
      <w:sz w:val="24"/>
      <w:szCs w:val="24"/>
      <w:lang w:val="en-US" w:eastAsia="en-US" w:bidi="ar-SA"/>
    </w:rPr>
  </w:style>
  <w:style w:type="paragraph" w:customStyle="1" w:styleId="686">
    <w:name w:val="标题 41"/>
    <w:basedOn w:val="1"/>
    <w:next w:val="1"/>
    <w:qFormat/>
    <w:uiPriority w:val="0"/>
    <w:pPr>
      <w:keepNext/>
      <w:keepLines/>
      <w:numPr>
        <w:ilvl w:val="3"/>
        <w:numId w:val="5"/>
      </w:numPr>
      <w:spacing w:before="280" w:after="290" w:line="376" w:lineRule="auto"/>
      <w:outlineLvl w:val="3"/>
    </w:pPr>
    <w:rPr>
      <w:rFonts w:ascii="Arial" w:hAnsi="Arial" w:eastAsia="黑体"/>
      <w:b/>
      <w:bCs/>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9" Type="http://schemas.openxmlformats.org/officeDocument/2006/relationships/fontTable" Target="fontTable.xml"/><Relationship Id="rId38" Type="http://schemas.openxmlformats.org/officeDocument/2006/relationships/customXml" Target="../customXml/item2.xml"/><Relationship Id="rId37" Type="http://schemas.openxmlformats.org/officeDocument/2006/relationships/numbering" Target="numbering.xml"/><Relationship Id="rId36" Type="http://schemas.openxmlformats.org/officeDocument/2006/relationships/customXml" Target="../customXml/item1.xml"/><Relationship Id="rId35" Type="http://schemas.openxmlformats.org/officeDocument/2006/relationships/image" Target="media/image5.wmf"/><Relationship Id="rId34" Type="http://schemas.openxmlformats.org/officeDocument/2006/relationships/oleObject" Target="embeddings/oleObject5.bin"/><Relationship Id="rId33" Type="http://schemas.openxmlformats.org/officeDocument/2006/relationships/image" Target="media/image4.wmf"/><Relationship Id="rId32" Type="http://schemas.openxmlformats.org/officeDocument/2006/relationships/oleObject" Target="embeddings/oleObject4.bin"/><Relationship Id="rId31" Type="http://schemas.openxmlformats.org/officeDocument/2006/relationships/image" Target="media/image3.wmf"/><Relationship Id="rId30" Type="http://schemas.openxmlformats.org/officeDocument/2006/relationships/oleObject" Target="embeddings/oleObject3.bin"/><Relationship Id="rId3" Type="http://schemas.openxmlformats.org/officeDocument/2006/relationships/footnotes" Target="footnotes.xml"/><Relationship Id="rId29" Type="http://schemas.openxmlformats.org/officeDocument/2006/relationships/image" Target="media/image2.wmf"/><Relationship Id="rId28" Type="http://schemas.openxmlformats.org/officeDocument/2006/relationships/oleObject" Target="embeddings/oleObject2.bin"/><Relationship Id="rId27" Type="http://schemas.openxmlformats.org/officeDocument/2006/relationships/image" Target="media/image1.wmf"/><Relationship Id="rId26" Type="http://schemas.openxmlformats.org/officeDocument/2006/relationships/oleObject" Target="embeddings/oleObject1.bin"/><Relationship Id="rId25" Type="http://schemas.openxmlformats.org/officeDocument/2006/relationships/theme" Target="theme/theme1.xml"/><Relationship Id="rId24" Type="http://schemas.openxmlformats.org/officeDocument/2006/relationships/footer" Target="footer11.xml"/><Relationship Id="rId23" Type="http://schemas.openxmlformats.org/officeDocument/2006/relationships/footer" Target="footer10.xml"/><Relationship Id="rId22" Type="http://schemas.openxmlformats.org/officeDocument/2006/relationships/footer" Target="footer9.xml"/><Relationship Id="rId21" Type="http://schemas.openxmlformats.org/officeDocument/2006/relationships/header" Target="header9.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footer" Target="footer7.xml"/><Relationship Id="rId18" Type="http://schemas.openxmlformats.org/officeDocument/2006/relationships/footer" Target="footer6.xml"/><Relationship Id="rId17" Type="http://schemas.openxmlformats.org/officeDocument/2006/relationships/header" Target="header8.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7A4FCB3-99AF-4411-900D-7EF8CFEED5E8}">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149</Pages>
  <Words>20224</Words>
  <Characters>21244</Characters>
  <Lines>704</Lines>
  <Paragraphs>198</Paragraphs>
  <TotalTime>19</TotalTime>
  <ScaleCrop>false</ScaleCrop>
  <LinksUpToDate>false</LinksUpToDate>
  <CharactersWithSpaces>21603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2023-06-06T06:18:00Z</dcterms:created>
  <dc:creator>Administrator</dc:creator>
  <cp:lastModifiedBy>Administrator</cp:lastModifiedBy>
  <cp:lastPrinted>2023-08-17T02:07:00Z</cp:lastPrinted>
  <dcterms:modified xsi:type="dcterms:W3CDTF">2025-09-26T03:55:35Z</dcterms:modified>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DE7DB13636B34673930C96271DC503A2_13</vt:lpwstr>
  </property>
  <property fmtid="{D5CDD505-2E9C-101B-9397-08002B2CF9AE}" pid="4" name="KSOTemplateDocerSaveRecord">
    <vt:lpwstr>eyJoZGlkIjoiMmEyNTU3NzAzMjhhMGI2ODg2NzA2YjE5OWQ5ZmEzMjMifQ==</vt:lpwstr>
  </property>
</Properties>
</file>