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000000" w:themeColor="text1"/>
          <w:spacing w:val="20"/>
          <w:sz w:val="72"/>
          <w:szCs w:val="72"/>
          <w:highlight w:val="none"/>
          <w14:textFill>
            <w14:solidFill>
              <w14:schemeClr w14:val="tx1"/>
            </w14:solidFill>
          </w14:textFill>
        </w:rPr>
      </w:pPr>
      <w:r>
        <w:rPr>
          <w:rFonts w:hint="eastAsia" w:ascii="宋体" w:hAnsi="宋体" w:eastAsia="宋体" w:cs="宋体"/>
          <w:b/>
          <w:bCs/>
          <w:color w:val="000000" w:themeColor="text1"/>
          <w:spacing w:val="20"/>
          <w:sz w:val="72"/>
          <w:szCs w:val="72"/>
          <w:highlight w:val="none"/>
          <w14:textFill>
            <w14:solidFill>
              <w14:schemeClr w14:val="tx1"/>
            </w14:solidFill>
          </w14:textFill>
        </w:rPr>
        <w:t xml:space="preserve">无锡市政府采购</w:t>
      </w:r>
      <w:r/>
    </w:p>
    <w:p>
      <w:pPr>
        <w:jc w:val="both"/>
        <w:rPr>
          <w:rFonts w:hint="eastAsia" w:ascii="宋体" w:hAnsi="宋体" w:eastAsia="宋体" w:cs="宋体"/>
          <w:b/>
          <w:bCs/>
          <w:color w:val="000000" w:themeColor="text1"/>
          <w:spacing w:val="20"/>
          <w:sz w:val="72"/>
          <w:szCs w:val="72"/>
          <w:highlight w:val="none"/>
          <w14:textFill>
            <w14:solidFill>
              <w14:schemeClr w14:val="tx1"/>
            </w14:solidFill>
          </w14:textFill>
        </w:rPr>
      </w:pPr>
      <w:r>
        <w:rPr>
          <w:rFonts w:hint="eastAsia" w:ascii="宋体" w:hAnsi="宋体" w:eastAsia="宋体" w:cs="宋体"/>
          <w:b/>
          <w:bCs/>
          <w:color w:val="000000" w:themeColor="text1"/>
          <w:spacing w:val="20"/>
          <w:sz w:val="72"/>
          <w:szCs w:val="72"/>
          <w:highlight w:val="none"/>
          <w14:textFill>
            <w14:solidFill>
              <w14:schemeClr w14:val="tx1"/>
            </w14:solidFill>
          </w14:textFill>
        </w:rPr>
      </w:r>
      <w:r/>
    </w:p>
    <w:p>
      <w:pPr>
        <w:jc w:val="center"/>
        <w:rPr>
          <w:rFonts w:hint="eastAsia" w:ascii="宋体" w:hAnsi="宋体" w:eastAsia="宋体" w:cs="宋体"/>
          <w:b/>
          <w:bCs/>
          <w:color w:val="000000" w:themeColor="text1"/>
          <w:spacing w:val="20"/>
          <w:sz w:val="72"/>
          <w:szCs w:val="72"/>
          <w:highlight w:val="none"/>
          <w14:textFill>
            <w14:solidFill>
              <w14:schemeClr w14:val="tx1"/>
            </w14:solidFill>
          </w14:textFill>
        </w:rPr>
      </w:pPr>
      <w:r>
        <w:rPr>
          <w:rFonts w:hint="eastAsia" w:ascii="宋体" w:hAnsi="宋体" w:eastAsia="宋体" w:cs="宋体"/>
          <w:b/>
          <w:bCs/>
          <w:color w:val="000000" w:themeColor="text1"/>
          <w:spacing w:val="20"/>
          <w:sz w:val="72"/>
          <w:szCs w:val="72"/>
          <w:highlight w:val="none"/>
          <w:lang w:val="en-US" w:eastAsia="zh-CN"/>
          <w14:textFill>
            <w14:solidFill>
              <w14:schemeClr w14:val="tx1"/>
            </w14:solidFill>
          </w14:textFill>
        </w:rPr>
        <w:t xml:space="preserve">单一</w:t>
      </w:r>
      <w:r>
        <w:rPr>
          <w:rFonts w:hint="eastAsia" w:ascii="宋体" w:hAnsi="宋体" w:eastAsia="宋体" w:cs="宋体"/>
          <w:b/>
          <w:bCs/>
          <w:color w:val="000000" w:themeColor="text1"/>
          <w:spacing w:val="20"/>
          <w:sz w:val="72"/>
          <w:szCs w:val="72"/>
          <w:highlight w:val="none"/>
          <w14:textFill>
            <w14:solidFill>
              <w14:schemeClr w14:val="tx1"/>
            </w14:solidFill>
          </w14:textFill>
        </w:rPr>
        <w:t xml:space="preserve">来源</w:t>
      </w:r>
      <w:r>
        <w:rPr>
          <w:rFonts w:hint="eastAsia" w:ascii="宋体" w:hAnsi="宋体" w:eastAsia="宋体" w:cs="宋体"/>
          <w:b/>
          <w:bCs/>
          <w:color w:val="000000" w:themeColor="text1"/>
          <w:spacing w:val="20"/>
          <w:sz w:val="72"/>
          <w:szCs w:val="7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0" cy="0"/>
                <wp:effectExtent l="0" t="0" r="0" b="0"/>
                <wp:wrapNone/>
                <wp:docPr id="5" name="直线 9"/>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9.0pt,15.6pt" filled="f" strokecolor="#000000" strokeweight="0.75pt">
                <v:stroke dashstyle="solid"/>
              </v:line>
            </w:pict>
          </mc:Fallback>
        </mc:AlternateContent>
      </w:r>
      <w:r>
        <w:rPr>
          <w:rFonts w:hint="eastAsia" w:ascii="宋体" w:hAnsi="宋体" w:eastAsia="宋体" w:cs="宋体"/>
          <w:b/>
          <w:bCs/>
          <w:color w:val="000000" w:themeColor="text1"/>
          <w:spacing w:val="20"/>
          <w:sz w:val="72"/>
          <w:szCs w:val="72"/>
          <w:highlight w:val="none"/>
          <w14:textFill>
            <w14:solidFill>
              <w14:schemeClr w14:val="tx1"/>
            </w14:solidFill>
          </w14:textFill>
        </w:rPr>
        <w:t xml:space="preserve">采购文件</w:t>
      </w:r>
      <w:r/>
    </w:p>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jc w:val="center"/>
        <w:rPr>
          <w:rFonts w:hint="eastAsia" w:ascii="宋体" w:hAnsi="宋体" w:eastAsia="宋体" w:cs="宋体"/>
          <w:b/>
          <w:bCs w:val="0"/>
          <w:color w:val="000000"/>
          <w:sz w:val="44"/>
          <w:szCs w:val="44"/>
          <w:highlight w:val="none"/>
        </w:rPr>
      </w:pPr>
      <w:r>
        <w:rPr>
          <w:rFonts w:hint="eastAsia" w:ascii="宋体" w:hAnsi="宋体" w:eastAsia="宋体" w:cs="宋体"/>
          <w:b/>
          <w:bCs w:val="0"/>
          <w:color w:val="000000"/>
          <w:sz w:val="44"/>
          <w:szCs w:val="44"/>
          <w:highlight w:val="none"/>
        </w:rPr>
        <w:t xml:space="preserve">（全流程电子化）</w:t>
      </w:r>
      <w:r/>
    </w:p>
    <w:p>
      <w:pPr>
        <w:tabs>
          <w:tab w:val="left" w:pos="9921" w:leader="none"/>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tabs>
          <w:tab w:val="left" w:pos="9921" w:leader="none"/>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tabs>
          <w:tab w:val="left" w:pos="9921" w:leader="none"/>
        </w:tabs>
        <w:rPr>
          <w:rFonts w:hint="eastAsia" w:ascii="宋体" w:hAnsi="宋体" w:eastAsia="宋体" w:cs="宋体"/>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rPr>
          <w:rFonts w:hint="eastAsia" w:ascii="宋体" w:hAnsi="宋体" w:eastAsia="宋体" w:cs="宋体"/>
          <w:color w:val="000000" w:themeColor="text1"/>
          <w:sz w:val="30"/>
          <w:szCs w:val="30"/>
          <w:highlight w:val="none"/>
          <w14:textFill>
            <w14:solidFill>
              <w14:schemeClr w14:val="tx1"/>
            </w14:solidFill>
          </w14:textFill>
        </w:rPr>
      </w:r>
      <w:r/>
    </w:p>
    <w:p>
      <w:pPr>
        <w:tabs>
          <w:tab w:val="left" w:pos="9921" w:leader="none"/>
        </w:tabs>
        <w:rPr>
          <w:rFonts w:hint="eastAsia" w:ascii="宋体" w:hAnsi="宋体" w:eastAsia="宋体" w:cs="宋体"/>
          <w:sz w:val="30"/>
          <w:szCs w:val="30"/>
          <w:highlight w:val="none"/>
          <w14:textFill>
            <w14:solidFill>
              <w14:schemeClr w14:val="tx1"/>
            </w14:solidFill>
          </w14:textFill>
        </w:rPr>
      </w:pPr>
      <w:r>
        <w:rPr>
          <w:rFonts w:hint="eastAsia" w:ascii="宋体" w:hAnsi="宋体" w:eastAsia="宋体" w:cs="宋体"/>
          <w:sz w:val="30"/>
          <w:szCs w:val="30"/>
          <w:highlight w:val="none"/>
          <w14:textFill>
            <w14:solidFill>
              <w14:schemeClr w14:val="tx1"/>
            </w14:solidFill>
          </w14:textFill>
        </w:rPr>
      </w:r>
      <w:r>
        <w:rPr>
          <w:rFonts w:hint="eastAsia" w:ascii="宋体" w:hAnsi="宋体" w:eastAsia="宋体" w:cs="宋体"/>
          <w:sz w:val="30"/>
          <w:szCs w:val="30"/>
          <w:highlight w:val="none"/>
          <w14:textFill>
            <w14:solidFill>
              <w14:schemeClr w14:val="tx1"/>
            </w14:solidFill>
          </w14:textFill>
        </w:rPr>
      </w:r>
      <w:r/>
    </w:p>
    <w:p>
      <w:pPr>
        <w:tabs>
          <w:tab w:val="left" w:pos="9921" w:leader="none"/>
        </w:tabs>
        <w:rPr>
          <w:rFonts w:hint="eastAsia" w:ascii="宋体" w:hAnsi="宋体" w:eastAsia="宋体" w:cs="宋体"/>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spacing w:line="48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项目编号：JSZC-320200-JXCG-D2025-0056</w:t>
      </w:r>
      <w:r/>
    </w:p>
    <w:p>
      <w:pPr>
        <w:jc w:val="both"/>
        <w:spacing w:line="480" w:lineRule="auto"/>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rPr>
        <w:t xml:space="preserve">项目名称：</w:t>
      </w:r>
      <w:r>
        <w:rPr>
          <w:rFonts w:hint="eastAsia" w:ascii="宋体" w:hAnsi="宋体" w:cs="宋体"/>
          <w:b/>
          <w:sz w:val="30"/>
          <w:szCs w:val="30"/>
          <w:highlight w:val="none"/>
          <w:lang w:eastAsia="zh-CN"/>
        </w:rPr>
        <w:t xml:space="preserve">2024年市管绿地“贝碧嘉”台风灾后修复项目</w:t>
      </w:r>
      <w:r/>
    </w:p>
    <w:p>
      <w:pPr>
        <w:jc w:val="both"/>
        <w:spacing w:line="48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采购</w:t>
      </w:r>
      <w:r>
        <w:rPr>
          <w:rFonts w:hint="eastAsia" w:ascii="宋体" w:hAnsi="宋体" w:cs="宋体"/>
          <w:b/>
          <w:sz w:val="30"/>
          <w:szCs w:val="30"/>
          <w:highlight w:val="none"/>
          <w:lang w:val="en-US" w:eastAsia="zh-CN"/>
        </w:rPr>
        <w:t xml:space="preserve">代理</w:t>
      </w:r>
      <w:r>
        <w:rPr>
          <w:rFonts w:hint="eastAsia" w:ascii="宋体" w:hAnsi="宋体" w:eastAsia="宋体" w:cs="宋体"/>
          <w:b/>
          <w:sz w:val="30"/>
          <w:szCs w:val="30"/>
          <w:highlight w:val="none"/>
          <w:lang w:eastAsia="zh-CN"/>
        </w:rPr>
        <w:t xml:space="preserve">机构</w:t>
      </w:r>
      <w:r>
        <w:rPr>
          <w:rFonts w:hint="eastAsia" w:ascii="宋体" w:hAnsi="宋体" w:eastAsia="宋体" w:cs="宋体"/>
          <w:b/>
          <w:sz w:val="30"/>
          <w:szCs w:val="30"/>
          <w:highlight w:val="none"/>
        </w:rPr>
        <w:t xml:space="preserve">: </w:t>
      </w:r>
      <w:r>
        <w:rPr>
          <w:rFonts w:hint="eastAsia" w:ascii="宋体" w:hAnsi="宋体" w:cs="宋体"/>
          <w:b/>
          <w:sz w:val="30"/>
          <w:szCs w:val="30"/>
          <w:highlight w:val="none"/>
          <w:lang w:eastAsia="zh-CN"/>
        </w:rPr>
        <w:t xml:space="preserve">江苏建协全过程工程咨询有限公司</w:t>
      </w:r>
      <w:r/>
    </w:p>
    <w:p>
      <w:pP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sz w:val="30"/>
          <w:szCs w:val="30"/>
          <w:highlight w:val="none"/>
          <w14:textFill>
            <w14:solidFill>
              <w14:schemeClr w14:val="tx1"/>
            </w14:solidFill>
          </w14:textFill>
        </w:rPr>
      </w:pPr>
      <w:r>
        <w:rPr>
          <w:rFonts w:hint="eastAsia" w:ascii="宋体" w:hAnsi="宋体" w:eastAsia="宋体" w:cs="宋体"/>
          <w:sz w:val="30"/>
          <w:szCs w:val="30"/>
          <w:highlight w:val="none"/>
          <w14:textFill>
            <w14:solidFill>
              <w14:schemeClr w14:val="tx1"/>
            </w14:solidFill>
          </w14:textFill>
        </w:rPr>
      </w:r>
      <w:r>
        <w:rPr>
          <w:rFonts w:hint="eastAsia" w:ascii="宋体" w:hAnsi="宋体" w:eastAsia="宋体" w:cs="宋体"/>
          <w:sz w:val="30"/>
          <w:szCs w:val="30"/>
          <w:highlight w:val="none"/>
          <w14:textFill>
            <w14:solidFill>
              <w14:schemeClr w14:val="tx1"/>
            </w14:solidFill>
          </w14:textFill>
        </w:rPr>
      </w:r>
      <w:r/>
    </w:p>
    <w:p>
      <w:pPr>
        <w:rPr>
          <w:rFonts w:hint="eastAsia" w:ascii="宋体" w:hAnsi="宋体" w:eastAsia="宋体" w:cs="宋体"/>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704"/>
        <w:jc w:val="both"/>
        <w:spacing w:line="48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二○二</w:t>
      </w:r>
      <w:r>
        <w:rPr>
          <w:rFonts w:hint="eastAsia" w:ascii="宋体" w:hAnsi="宋体" w:cs="宋体"/>
          <w:b/>
          <w:sz w:val="30"/>
          <w:szCs w:val="30"/>
          <w:highlight w:val="none"/>
          <w:lang w:val="en-US" w:eastAsia="zh-CN"/>
        </w:rPr>
        <w:t xml:space="preserve">五</w:t>
      </w:r>
      <w:r>
        <w:rPr>
          <w:rFonts w:hint="eastAsia" w:ascii="宋体" w:hAnsi="宋体" w:eastAsia="宋体" w:cs="宋体"/>
          <w:b/>
          <w:sz w:val="30"/>
          <w:szCs w:val="30"/>
          <w:highlight w:val="none"/>
          <w:lang w:eastAsia="zh-CN"/>
        </w:rPr>
        <w:t xml:space="preserve">年</w:t>
      </w: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月</w:t>
      </w:r>
      <w:r/>
    </w:p>
    <w:p>
      <w:pPr>
        <w:jc w:val="center"/>
        <w:rPr>
          <w:rStyle w:val="925"/>
          <w:rFonts w:hint="eastAsia" w:ascii="宋体" w:hAnsi="宋体" w:eastAsia="宋体" w:cs="宋体"/>
          <w:b/>
          <w:bCs/>
          <w:sz w:val="48"/>
          <w:szCs w:val="48"/>
          <w:highlight w:val="none"/>
          <w14:textFill>
            <w14:solidFill>
              <w14:schemeClr w14:val="tx1"/>
            </w14:solidFill>
          </w14:textFill>
        </w:rPr>
      </w:pPr>
      <w:r>
        <w:rPr>
          <w:rStyle w:val="925"/>
          <w:rFonts w:hint="eastAsia" w:ascii="宋体" w:hAnsi="宋体" w:eastAsia="宋体" w:cs="宋体"/>
          <w:b/>
          <w:bCs/>
          <w:color w:val="000000" w:themeColor="text1"/>
          <w:sz w:val="48"/>
          <w:szCs w:val="48"/>
          <w:highlight w:val="none"/>
          <w14:textFill>
            <w14:solidFill>
              <w14:schemeClr w14:val="tx1"/>
            </w14:solidFill>
          </w14:textFill>
        </w:rPr>
      </w:r>
      <w:r>
        <w:rPr>
          <w:rStyle w:val="925"/>
          <w:rFonts w:hint="eastAsia" w:ascii="宋体" w:hAnsi="宋体" w:eastAsia="宋体" w:cs="宋体"/>
          <w:b/>
          <w:bCs/>
          <w:color w:val="000000" w:themeColor="text1"/>
          <w:sz w:val="48"/>
          <w:szCs w:val="48"/>
          <w:highlight w:val="none"/>
          <w14:textFill>
            <w14:solidFill>
              <w14:schemeClr w14:val="tx1"/>
            </w14:solidFill>
          </w14:textFill>
        </w:rPr>
      </w:r>
      <w:r/>
    </w:p>
    <w:p>
      <w:pPr>
        <w:jc w:val="center"/>
        <w:rPr>
          <w:rStyle w:val="925"/>
          <w:rFonts w:hint="eastAsia" w:ascii="宋体" w:hAnsi="宋体" w:eastAsia="宋体" w:cs="宋体"/>
          <w:b/>
          <w:bCs/>
          <w:sz w:val="48"/>
          <w:szCs w:val="48"/>
          <w:highlight w:val="none"/>
          <w14:textFill>
            <w14:solidFill>
              <w14:schemeClr w14:val="tx1"/>
            </w14:solidFill>
          </w14:textFill>
        </w:rPr>
      </w:pPr>
      <w:r>
        <w:rPr>
          <w:rStyle w:val="925"/>
          <w:rFonts w:hint="eastAsia" w:ascii="宋体" w:hAnsi="宋体" w:eastAsia="宋体" w:cs="宋体"/>
          <w:b/>
          <w:bCs/>
          <w:color w:val="000000" w:themeColor="text1"/>
          <w:sz w:val="48"/>
          <w:szCs w:val="48"/>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72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一．</w:t>
      </w:r>
      <w:r>
        <w:rPr>
          <w:rFonts w:hint="eastAsia" w:ascii="宋体" w:hAnsi="宋体" w:eastAsia="宋体" w:cs="宋体"/>
          <w:b/>
          <w:bCs/>
          <w:color w:val="000000"/>
          <w:sz w:val="30"/>
          <w:szCs w:val="30"/>
          <w:highlight w:val="none"/>
        </w:rPr>
        <w:t xml:space="preserve">单一来源谈判邀请</w:t>
      </w:r>
      <w:r>
        <w:rPr>
          <w:rFonts w:hint="eastAsia" w:ascii="宋体" w:hAnsi="宋体" w:eastAsia="宋体" w:cs="宋体"/>
          <w:b/>
          <w:bCs/>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30"/>
          <w:szCs w:val="30"/>
          <w:highlight w:val="none"/>
          <w14:textFill>
            <w14:solidFill>
              <w14:schemeClr w14:val="tx1"/>
            </w14:solidFill>
          </w14:textFill>
        </w:rPr>
        <w:t xml:space="preserve">）</w:t>
      </w:r>
      <w:r/>
    </w:p>
    <w:p>
      <w:pPr>
        <w:spacing w:line="72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二．</w:t>
      </w:r>
      <w:r>
        <w:rPr>
          <w:rFonts w:hint="eastAsia" w:ascii="宋体" w:hAnsi="宋体" w:eastAsia="宋体" w:cs="宋体"/>
          <w:b/>
          <w:bCs/>
          <w:color w:val="000000"/>
          <w:sz w:val="30"/>
          <w:szCs w:val="30"/>
          <w:highlight w:val="none"/>
        </w:rPr>
        <w:t xml:space="preserve">单一来源谈判须知</w:t>
      </w:r>
      <w:r>
        <w:rPr>
          <w:rFonts w:hint="eastAsia" w:ascii="宋体" w:hAnsi="宋体" w:eastAsia="宋体" w:cs="宋体"/>
          <w:b/>
          <w:bCs/>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0"/>
          <w:szCs w:val="30"/>
          <w:highlight w:val="none"/>
          <w14:textFill>
            <w14:solidFill>
              <w14:schemeClr w14:val="tx1"/>
            </w14:solidFill>
          </w14:textFill>
        </w:rPr>
        <w:t xml:space="preserve">）</w:t>
      </w:r>
      <w:r/>
    </w:p>
    <w:p>
      <w:pPr>
        <w:spacing w:line="72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三．项目技术</w:t>
      </w:r>
      <w:bookmarkStart w:id="0" w:name="_Hlt49764623"/>
      <w:r>
        <w:rPr>
          <w:rFonts w:hint="eastAsia" w:ascii="宋体" w:hAnsi="宋体" w:eastAsia="宋体" w:cs="宋体"/>
          <w:b/>
          <w:bCs/>
          <w:color w:val="000000" w:themeColor="text1"/>
          <w:sz w:val="30"/>
          <w:szCs w:val="30"/>
          <w:highlight w:val="none"/>
          <w14:textFill>
            <w14:solidFill>
              <w14:schemeClr w14:val="tx1"/>
            </w14:solidFill>
          </w14:textFill>
        </w:rPr>
        <w:t xml:space="preserve">要求和</w:t>
      </w:r>
      <w:bookmarkEnd w:id="0"/>
      <w:r>
        <w:rPr>
          <w:rFonts w:hint="eastAsia" w:ascii="宋体" w:hAnsi="宋体" w:eastAsia="宋体" w:cs="宋体"/>
          <w:b/>
          <w:bCs/>
          <w:color w:val="000000" w:themeColor="text1"/>
          <w:sz w:val="30"/>
          <w:szCs w:val="30"/>
          <w:highlight w:val="none"/>
          <w14:textFill>
            <w14:solidFill>
              <w14:schemeClr w14:val="tx1"/>
            </w14:solidFill>
          </w14:textFill>
        </w:rPr>
        <w:t xml:space="preserve">有</w:t>
      </w:r>
      <w:bookmarkStart w:id="1" w:name="_Hlt15786850"/>
      <w:r/>
      <w:bookmarkStart w:id="2" w:name="_Hlt15786849"/>
      <w:r>
        <w:rPr>
          <w:rFonts w:hint="eastAsia" w:ascii="宋体" w:hAnsi="宋体" w:eastAsia="宋体" w:cs="宋体"/>
          <w:b/>
          <w:bCs/>
          <w:color w:val="000000" w:themeColor="text1"/>
          <w:sz w:val="30"/>
          <w:szCs w:val="30"/>
          <w:highlight w:val="none"/>
          <w14:textFill>
            <w14:solidFill>
              <w14:schemeClr w14:val="tx1"/>
            </w14:solidFill>
          </w14:textFill>
        </w:rPr>
        <w:t xml:space="preserve">关</w:t>
      </w:r>
      <w:bookmarkEnd w:id="1"/>
      <w:r/>
      <w:bookmarkEnd w:id="2"/>
      <w:r>
        <w:rPr>
          <w:rFonts w:hint="eastAsia" w:ascii="宋体" w:hAnsi="宋体" w:eastAsia="宋体" w:cs="宋体"/>
          <w:b/>
          <w:bCs/>
          <w:color w:val="000000" w:themeColor="text1"/>
          <w:sz w:val="30"/>
          <w:szCs w:val="30"/>
          <w:highlight w:val="none"/>
          <w14:textFill>
            <w14:solidFill>
              <w14:schemeClr w14:val="tx1"/>
            </w14:solidFill>
          </w14:textFill>
        </w:rPr>
        <w:t xml:space="preserve">说</w:t>
      </w:r>
      <w:bookmarkStart w:id="3" w:name="_Hlt529244298"/>
      <w:r>
        <w:rPr>
          <w:rFonts w:hint="eastAsia" w:ascii="宋体" w:hAnsi="宋体" w:eastAsia="宋体" w:cs="宋体"/>
          <w:b/>
          <w:bCs/>
          <w:color w:val="000000" w:themeColor="text1"/>
          <w:sz w:val="30"/>
          <w:szCs w:val="30"/>
          <w:highlight w:val="none"/>
          <w14:textFill>
            <w14:solidFill>
              <w14:schemeClr w14:val="tx1"/>
            </w14:solidFill>
          </w14:textFill>
        </w:rPr>
        <w:t xml:space="preserve">明</w:t>
      </w:r>
      <w:bookmarkEnd w:id="3"/>
      <w:r>
        <w:rPr>
          <w:rFonts w:hint="eastAsia" w:ascii="宋体" w:hAnsi="宋体" w:eastAsia="宋体" w:cs="宋体"/>
          <w:b/>
          <w:bCs/>
          <w:color w:val="000000" w:themeColor="text1"/>
          <w:sz w:val="30"/>
          <w:szCs w:val="30"/>
          <w:highlight w:val="none"/>
          <w14:textFill>
            <w14:solidFill>
              <w14:schemeClr w14:val="tx1"/>
            </w14:solidFill>
          </w14:textFill>
        </w:rPr>
        <w:t xml:space="preserve">--------------------------（1</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30"/>
          <w:szCs w:val="30"/>
          <w:highlight w:val="none"/>
          <w14:textFill>
            <w14:solidFill>
              <w14:schemeClr w14:val="tx1"/>
            </w14:solidFill>
          </w14:textFill>
        </w:rPr>
        <w:t xml:space="preserve">）</w:t>
      </w:r>
      <w:r/>
    </w:p>
    <w:p>
      <w:pPr>
        <w:spacing w:line="72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四. 合同</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文本</w:t>
      </w:r>
      <w:r>
        <w:rPr>
          <w:rFonts w:hint="eastAsia" w:ascii="宋体" w:hAnsi="宋体" w:eastAsia="宋体" w:cs="宋体"/>
          <w:b/>
          <w:bCs/>
          <w:color w:val="000000" w:themeColor="text1"/>
          <w:sz w:val="30"/>
          <w:szCs w:val="30"/>
          <w:highlight w:val="none"/>
          <w14:textFill>
            <w14:solidFill>
              <w14:schemeClr w14:val="tx1"/>
            </w14:solidFill>
          </w14:textFill>
        </w:rPr>
        <w:t xml:space="preserve">（格式文本）----------------------------（</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17</w:t>
      </w:r>
      <w:r>
        <w:rPr>
          <w:rFonts w:hint="eastAsia" w:ascii="宋体" w:hAnsi="宋体" w:eastAsia="宋体" w:cs="宋体"/>
          <w:b/>
          <w:bCs/>
          <w:color w:val="000000" w:themeColor="text1"/>
          <w:sz w:val="30"/>
          <w:szCs w:val="30"/>
          <w:highlight w:val="none"/>
          <w14:textFill>
            <w14:solidFill>
              <w14:schemeClr w14:val="tx1"/>
            </w14:solidFill>
          </w14:textFill>
        </w:rPr>
        <w:t xml:space="preserve">）</w:t>
      </w:r>
      <w:r/>
    </w:p>
    <w:p>
      <w:pPr>
        <w:spacing w:line="72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30"/>
          <w:szCs w:val="30"/>
          <w:highlight w:val="none"/>
          <w14:textFill>
            <w14:solidFill>
              <w14:schemeClr w14:val="tx1"/>
            </w14:solidFill>
          </w14:textFill>
        </w:rPr>
        <w:t xml:space="preserve">. 附件（响应文件格式）----------------------------（</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68</w:t>
      </w:r>
      <w:bookmarkStart w:id="625" w:name="_GoBack"/>
      <w:r/>
      <w:bookmarkEnd w:id="625"/>
      <w:r>
        <w:rPr>
          <w:rFonts w:hint="eastAsia" w:ascii="宋体" w:hAnsi="宋体" w:eastAsia="宋体" w:cs="宋体"/>
          <w:b/>
          <w:bCs/>
          <w:color w:val="000000" w:themeColor="text1"/>
          <w:sz w:val="30"/>
          <w:szCs w:val="30"/>
          <w:highlight w:val="none"/>
          <w14:textFill>
            <w14:solidFill>
              <w14:schemeClr w14:val="tx1"/>
            </w14:solidFill>
          </w14:textFill>
        </w:rPr>
        <w:t xml:space="preserve">）</w:t>
      </w:r>
      <w:r/>
    </w:p>
    <w:p>
      <w:pPr>
        <w:spacing w:line="72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sz w:val="36"/>
          <w:szCs w:val="28"/>
          <w:highlight w:val="none"/>
        </w:rPr>
      </w:pPr>
      <w:r/>
      <w:bookmarkStart w:id="4" w:name="报价方须知前附表"/>
      <w:r/>
      <w:bookmarkEnd w:id="4"/>
      <w:r>
        <w:rPr>
          <w:rFonts w:hint="eastAsia" w:ascii="宋体" w:hAnsi="宋体" w:eastAsia="宋体" w:cs="宋体"/>
          <w:b/>
          <w:sz w:val="36"/>
          <w:szCs w:val="28"/>
          <w:highlight w:val="none"/>
        </w:rPr>
        <w:t xml:space="preserve">一．单一来源谈判邀请</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受</w:t>
      </w:r>
      <w:r>
        <w:rPr>
          <w:rFonts w:hint="eastAsia" w:ascii="宋体" w:hAnsi="宋体" w:cs="宋体"/>
          <w:bCs/>
          <w:sz w:val="24"/>
          <w:szCs w:val="24"/>
          <w:highlight w:val="none"/>
          <w:lang w:val="en-US" w:eastAsia="zh-CN"/>
        </w:rPr>
        <w:t xml:space="preserve">无锡市园林绿化管理中心</w:t>
      </w:r>
      <w:r>
        <w:rPr>
          <w:rFonts w:hint="eastAsia" w:ascii="宋体" w:hAnsi="宋体" w:eastAsia="宋体" w:cs="宋体"/>
          <w:bCs/>
          <w:sz w:val="24"/>
          <w:szCs w:val="24"/>
          <w:highlight w:val="none"/>
          <w:lang w:val="en-US" w:eastAsia="zh-CN"/>
        </w:rPr>
        <w:t xml:space="preserve">的委托，</w:t>
      </w:r>
      <w:r>
        <w:rPr>
          <w:rFonts w:hint="eastAsia" w:ascii="宋体" w:hAnsi="宋体" w:cs="宋体"/>
          <w:bCs/>
          <w:sz w:val="24"/>
          <w:szCs w:val="24"/>
          <w:highlight w:val="none"/>
          <w:lang w:val="en-US" w:eastAsia="zh-CN"/>
        </w:rPr>
        <w:t xml:space="preserve">江苏建协全过程工程咨询有限公司</w:t>
      </w:r>
      <w:r>
        <w:rPr>
          <w:rFonts w:hint="eastAsia" w:ascii="宋体" w:hAnsi="宋体" w:eastAsia="宋体" w:cs="宋体"/>
          <w:bCs/>
          <w:sz w:val="24"/>
          <w:szCs w:val="24"/>
          <w:highlight w:val="none"/>
          <w:lang w:val="en-US" w:eastAsia="zh-CN"/>
        </w:rPr>
        <w:t xml:space="preserve">就</w:t>
      </w:r>
      <w:r>
        <w:rPr>
          <w:rFonts w:hint="eastAsia" w:ascii="宋体" w:hAnsi="宋体" w:cs="宋体"/>
          <w:bCs/>
          <w:sz w:val="24"/>
          <w:szCs w:val="24"/>
          <w:highlight w:val="none"/>
          <w:lang w:val="en-US" w:eastAsia="zh-CN"/>
        </w:rPr>
        <w:t xml:space="preserve">2024年市管绿地“贝碧嘉”台风灾后修复项目</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JSZC-320200-JXCG-D2025-0056</w:t>
      </w:r>
      <w:r>
        <w:rPr>
          <w:rFonts w:hint="eastAsia" w:ascii="宋体" w:hAnsi="宋体" w:eastAsia="宋体" w:cs="宋体"/>
          <w:bCs/>
          <w:sz w:val="24"/>
          <w:szCs w:val="24"/>
          <w:highlight w:val="none"/>
          <w:lang w:val="en-US" w:eastAsia="zh-CN"/>
        </w:rPr>
        <w:t xml:space="preserve">）进行单一来源采购，欢迎符合相关条件的合格供应商参加采购活动。</w:t>
      </w:r>
      <w:r/>
    </w:p>
    <w:p>
      <w:pPr>
        <w:ind w:firstLine="482"/>
        <w:keepLines w:val="0"/>
        <w:keepNext w:val="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（一）项目基本信息</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1.项目名称：</w:t>
      </w:r>
      <w:r>
        <w:rPr>
          <w:rFonts w:hint="eastAsia" w:ascii="宋体" w:hAnsi="宋体" w:cs="宋体"/>
          <w:bCs/>
          <w:sz w:val="24"/>
          <w:szCs w:val="24"/>
          <w:highlight w:val="none"/>
          <w:lang w:val="en-US" w:eastAsia="zh-CN"/>
        </w:rPr>
        <w:t xml:space="preserve">2024年市管绿地“贝碧嘉”台风灾后修复项目</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2.项目编号：</w:t>
      </w:r>
      <w:r>
        <w:rPr>
          <w:rFonts w:hint="eastAsia" w:ascii="宋体" w:hAnsi="宋体" w:cs="宋体"/>
          <w:bCs/>
          <w:sz w:val="24"/>
          <w:szCs w:val="24"/>
          <w:highlight w:val="none"/>
          <w:lang w:val="en-US" w:eastAsia="zh-CN"/>
        </w:rPr>
        <w:t xml:space="preserve">JSZC-320200-JXCG-D2025-0056</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sz w:val="24"/>
          <w:szCs w:val="24"/>
          <w:highlight w:val="none"/>
          <w:lang w:val="en-US" w:eastAsia="zh-CN"/>
        </w:rPr>
        <w:t xml:space="preserve">项目预算</w:t>
      </w:r>
      <w:r>
        <w:rPr>
          <w:rFonts w:hint="eastAsia" w:ascii="宋体" w:hAnsi="宋体" w:cs="宋体"/>
          <w:bCs/>
          <w:sz w:val="24"/>
          <w:szCs w:val="24"/>
          <w:highlight w:val="none"/>
          <w:lang w:val="en-US" w:eastAsia="zh-CN"/>
        </w:rPr>
        <w:t xml:space="preserve">（最高限价）</w:t>
      </w:r>
      <w:r>
        <w:rPr>
          <w:rFonts w:hint="eastAsia" w:ascii="宋体" w:hAnsi="宋体" w:eastAsia="宋体" w:cs="宋体"/>
          <w:bCs/>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1414044.00</w:t>
      </w:r>
      <w:r>
        <w:rPr>
          <w:rFonts w:hint="eastAsia" w:ascii="宋体" w:hAnsi="宋体" w:cs="宋体"/>
          <w:bCs/>
          <w:sz w:val="24"/>
          <w:szCs w:val="24"/>
          <w:highlight w:val="none"/>
          <w:lang w:val="en-US" w:eastAsia="zh-CN"/>
        </w:rPr>
        <w:t xml:space="preserve">元，</w:t>
      </w:r>
      <w:r>
        <w:rPr>
          <w:rFonts w:hint="eastAsia" w:ascii="宋体" w:hAnsi="宋体" w:eastAsia="宋体" w:cs="宋体"/>
          <w:bCs/>
          <w:sz w:val="24"/>
          <w:szCs w:val="24"/>
          <w:highlight w:val="none"/>
          <w:lang w:val="en-US" w:eastAsia="zh-CN"/>
        </w:rPr>
        <w:t xml:space="preserve">供应商的报价不得超过此预算，否则作无效响应文件处理</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.服务期：30日历天。</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.误期违约金：合同总价的万分之五/天。</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.质量标准：一次性验收通过，100%合格。</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lang w:val="en-US" w:eastAsia="zh-CN"/>
        </w:rPr>
        <w:t xml:space="preserve">.质量违约金：合同价款的5%。</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lang w:val="en-US" w:eastAsia="zh-CN"/>
        </w:rPr>
        <w:t xml:space="preserve">.养护标准：《江苏省城市园林绿化养护管理规范及分级标准》一级养护标准。</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rPr>
        <w:t xml:space="preserve">.缺陷责任养护期：3个月（通过竣工预验收之日起）。</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采购方式：</w:t>
      </w:r>
      <w:r>
        <w:rPr>
          <w:rFonts w:hint="eastAsia" w:ascii="宋体" w:hAnsi="宋体" w:eastAsia="宋体" w:cs="宋体"/>
          <w:bCs/>
          <w:color w:val="000000" w:themeColor="text1"/>
          <w:sz w:val="24"/>
          <w:highlight w:val="none"/>
          <w14:textFill>
            <w14:solidFill>
              <w14:schemeClr w14:val="tx1"/>
            </w14:solidFill>
          </w14:textFill>
        </w:rPr>
        <w:t xml:space="preserve">单一来源谈判</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11.</w:t>
      </w:r>
      <w:r>
        <w:rPr>
          <w:rFonts w:hint="eastAsia" w:ascii="宋体" w:hAnsi="宋体" w:cs="宋体"/>
          <w:bCs/>
          <w:sz w:val="24"/>
          <w:szCs w:val="22"/>
          <w:highlight w:val="none"/>
        </w:rPr>
        <w:t xml:space="preserve">本项目所属行业：</w:t>
      </w:r>
      <w:r>
        <w:rPr>
          <w:rFonts w:hint="eastAsia" w:ascii="宋体" w:hAnsi="宋体" w:eastAsia="宋体" w:cs="宋体"/>
          <w:bCs/>
          <w:color w:val="auto"/>
          <w:sz w:val="24"/>
          <w:szCs w:val="24"/>
          <w:highlight w:val="none"/>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（二）供应商资格要求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sz w:val="24"/>
          <w:szCs w:val="24"/>
          <w:highlight w:val="none"/>
        </w:rPr>
        <w:t xml:space="preserve">本项目专门面向中小企业，</w:t>
      </w:r>
      <w:r>
        <w:rPr>
          <w:rStyle w:val="1179"/>
          <w:rFonts w:hint="eastAsia" w:ascii="宋体" w:hAnsi="宋体" w:cs="宋体"/>
          <w:sz w:val="24"/>
          <w:szCs w:val="24"/>
          <w:highlight w:val="none"/>
        </w:rPr>
        <w:t xml:space="preserve">报价供应商应为中小微企业或监狱企业或残疾人福利性单位</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未被“信用中国”网站（www.creditchina.gov.cn）、中国政府采购网(www.ccgp.gov.cn)列入失信被执行人、重大税收违法案件当事人名单、政府采购严重违法失信行为记录名单。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.本项目的特定资格要求：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（1）投标人应为中华人民共和国境内经国家相关管理机关注册并登记的具有独立法人资格</w:t>
      </w:r>
      <w:r>
        <w:rPr>
          <w:rFonts w:hint="eastAsia" w:ascii="宋体" w:hAnsi="宋体" w:eastAsia="宋体" w:cs="宋体"/>
          <w:sz w:val="24"/>
          <w:szCs w:val="24"/>
          <w:highlight w:val="none"/>
          <w:lang w:eastAsia="zh-CN"/>
        </w:rPr>
        <w:t xml:space="preserve">的单位；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授权委托人、拟派项目负责人必须为供应商在职员工；</w:t>
      </w:r>
      <w:r/>
    </w:p>
    <w:p>
      <w:pPr>
        <w:ind w:firstLine="480"/>
        <w:spacing w:line="360" w:lineRule="auto"/>
        <w:rPr>
          <w:rFonts w:hint="eastAsia" w:ascii="宋体" w:hAnsi="宋体" w:eastAsia="宋体" w:cs="宋体"/>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不接受联合体报价。</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（三）本项目落实的其他政府采购政策</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1.《政府采购促进中小企业发展管理办法》（财库【2020】46号）</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2.《关于政府采购支持监狱企业发展有关问题的通知》</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3.《关于促进残疾人就业政府采购政策的通知》</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.《关于做好政府采购支持企业发展有关事项的通知》</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sz w:val="24"/>
          <w:szCs w:val="24"/>
          <w:highlight w:val="none"/>
          <w:lang w:val="en-US" w:eastAsia="zh-CN"/>
        </w:rPr>
        <w:t xml:space="preserve">至</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sz w:val="24"/>
          <w:szCs w:val="24"/>
          <w:highlight w:val="none"/>
          <w:lang w:val="en-US" w:eastAsia="zh-CN"/>
        </w:rPr>
        <w:t xml:space="preserve">23:59时止（北京时间，法定节假日除外）截止时间后仍可下载采购文件，但不作为供应商权益受到损害的证明材料和依据。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2.地点：“苏采云”系统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3.方式：供应商持CA数字认证证书登录“江苏省政府采购（苏采云）平台”系统获取电子版单一来源文件。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4.售价：0元。 </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（五）响应文件提交</w:t>
      </w:r>
      <w:r/>
    </w:p>
    <w:p>
      <w:pPr>
        <w:ind w:firstLine="480"/>
        <w:spacing w:line="360" w:lineRule="auto"/>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sz w:val="24"/>
          <w:szCs w:val="24"/>
          <w:highlight w:val="none"/>
          <w:lang w:bidi="ar"/>
        </w:rPr>
        <w:t xml:space="preserve">截止时</w:t>
      </w:r>
      <w:r>
        <w:rPr>
          <w:rFonts w:hint="eastAsia" w:ascii="宋体" w:hAnsi="宋体" w:eastAsia="宋体" w:cs="宋体"/>
          <w:color w:val="000000" w:themeColor="text1"/>
          <w:sz w:val="24"/>
          <w:szCs w:val="24"/>
          <w:highlight w:val="none"/>
          <w:lang w:bidi="ar"/>
          <w14:textFill>
            <w14:solidFill>
              <w14:schemeClr w14:val="tx1"/>
            </w14:solidFill>
          </w14:textFill>
        </w:rPr>
        <w:t xml:space="preserve">间：</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14</w:t>
      </w:r>
      <w:r>
        <w:rPr>
          <w:rFonts w:hint="eastAsia" w:ascii="宋体" w:hAnsi="宋体" w:eastAsia="宋体" w:cs="宋体"/>
          <w:color w:val="000000" w:themeColor="text1"/>
          <w:sz w:val="24"/>
          <w:szCs w:val="24"/>
          <w:highlight w:val="none"/>
          <w:lang w:bidi="ar"/>
          <w14:textFill>
            <w14:solidFill>
              <w14:schemeClr w14:val="tx1"/>
            </w14:solidFill>
          </w14:textFill>
        </w:rPr>
        <w:t xml:space="preserve">点</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00</w:t>
      </w:r>
      <w:r>
        <w:rPr>
          <w:rFonts w:hint="eastAsia" w:ascii="宋体" w:hAnsi="宋体" w:eastAsia="宋体" w:cs="宋体"/>
          <w:color w:val="000000" w:themeColor="text1"/>
          <w:sz w:val="24"/>
          <w:szCs w:val="24"/>
          <w:highlight w:val="none"/>
          <w:lang w:bidi="ar"/>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（北京时间）</w:t>
      </w:r>
      <w:r>
        <w:rPr>
          <w:rFonts w:hint="eastAsia" w:ascii="宋体" w:hAnsi="宋体" w:eastAsia="宋体" w:cs="宋体"/>
          <w:iCs/>
          <w:color w:val="000000" w:themeColor="text1"/>
          <w:sz w:val="24"/>
          <w:szCs w:val="24"/>
          <w:highlight w:val="none"/>
          <w:lang w:bidi="ar"/>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lang w:bidi="ar"/>
        </w:rPr>
        <w:t xml:space="preserve">地点：</w:t>
      </w:r>
      <w:r>
        <w:rPr>
          <w:rFonts w:hint="eastAsia" w:ascii="宋体" w:hAnsi="宋体" w:eastAsia="宋体" w:cs="宋体"/>
          <w:bCs/>
          <w:color w:val="000000"/>
          <w:sz w:val="24"/>
          <w:highlight w:val="none"/>
        </w:rPr>
        <w:t xml:space="preserve">江苏省政府采购（苏采云）平台</w:t>
      </w:r>
      <w:r/>
    </w:p>
    <w:p>
      <w:pPr>
        <w:numPr>
          <w:ilvl w:val="0"/>
          <w:numId w:val="0"/>
        </w:num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报价有效期：</w:t>
      </w:r>
      <w:r>
        <w:rPr>
          <w:rFonts w:hint="eastAsia" w:ascii="宋体" w:hAnsi="宋体" w:eastAsia="宋体" w:cs="宋体"/>
          <w:color w:val="000000" w:themeColor="text1"/>
          <w:sz w:val="24"/>
          <w:szCs w:val="24"/>
          <w:highlight w:val="none"/>
          <w14:textFill>
            <w14:solidFill>
              <w14:schemeClr w14:val="tx1"/>
            </w14:solidFill>
          </w14:textFill>
        </w:rPr>
        <w:t xml:space="preserve">报价截止之日起90天</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
          <w:bCs/>
          <w:color w:val="000000"/>
          <w:sz w:val="24"/>
          <w:szCs w:val="24"/>
          <w:highlight w:val="none"/>
        </w:rPr>
        <w:t xml:space="preserve">其他补充事宜</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潜在供应商访问江苏省政府采购（苏采云）平台的方法：“苏采云”系统用户注册--获取“CA数字证书”--CA绑定与登录--项目参与--下载采购文件（后缀名为“.kedt”）--将后缀名为“.kedt”的采购文件导入政府采购客户端工具--制作响应文件--导出加密的响应文件（后缀名为zip）--通过“苏采云”系统上传响应文件。</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供应商可登录“无锡政府采购网”点击“江苏省政府采购（苏采云）平台”按钮进入注册界面，选择用户类型“供应商”进行账号注册，也可以直接通过http://jszfcg.jscz.gov.cn/jszc/login进入注册界面。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《江苏省政府采购管理交易系统（苏采云）供应商</w:t>
      </w:r>
      <w:r>
        <w:rPr>
          <w:rFonts w:hint="eastAsia" w:ascii="宋体" w:hAnsi="宋体" w:cs="宋体"/>
          <w:sz w:val="24"/>
          <w:szCs w:val="24"/>
          <w:highlight w:val="none"/>
          <w:lang w:eastAsia="zh-CN"/>
        </w:rPr>
        <w:t xml:space="preserve">操作</w:t>
      </w:r>
      <w:r>
        <w:rPr>
          <w:rFonts w:hint="eastAsia" w:ascii="宋体" w:hAnsi="宋体" w:eastAsia="宋体" w:cs="宋体"/>
          <w:sz w:val="24"/>
          <w:szCs w:val="24"/>
          <w:highlight w:val="none"/>
        </w:rPr>
        <w:t xml:space="preserve">指南》（包括江苏省政府采购数字证书(供应商)CA及电子签章办理指南、政务CA方正签章控件驱动安装包及安装说明、“苏采云”系统CA签章切换注意事项、“苏采云”系统供应商操作手册、政府采购客户端安装包）下载链接：</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http://www.ccgp-jiangsu.gov.cn/jiangsu/zlxz/ee/ee3a4bc5a3454aa2b0d9312230633ce9.html</w:t>
      </w:r>
      <w:r>
        <w:rPr>
          <w:rFonts w:hint="eastAsia" w:ascii="宋体" w:hAnsi="宋体" w:eastAsia="宋体" w:cs="宋体"/>
          <w:sz w:val="24"/>
          <w:szCs w:val="24"/>
          <w:highlight w:val="none"/>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5.本项目公告媒体：无锡市政府采购网，江苏省政府采购网。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6.本项目无须缴纳投标保证金。 </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7.有关本次采购的事项若存在变动或修改，敬请及时关注江苏政府采购网和无锡政府采购网发布的信息更正公告。如潜在供应商未按上述要求操作，由此所产生的损失及风险由潜在供应商自行承担。</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）凡对本次采购提出询问，请按以下方式联系。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 称：无锡市园林绿化管理中心</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址：无锡市梁溪区清扬路168号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联系人：吴工 </w:t>
      </w:r>
      <w:r>
        <w:rPr>
          <w:rFonts w:hint="eastAsia" w:ascii="宋体" w:hAnsi="宋体" w:eastAsia="宋体" w:cs="宋体"/>
          <w:sz w:val="24"/>
          <w:szCs w:val="24"/>
          <w:highlight w:val="none"/>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联系方式：0510-83709508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称：</w:t>
      </w:r>
      <w:r>
        <w:rPr>
          <w:rFonts w:hint="eastAsia" w:ascii="宋体" w:hAnsi="宋体" w:cs="宋体"/>
          <w:sz w:val="24"/>
          <w:szCs w:val="24"/>
          <w:highlight w:val="none"/>
          <w:lang w:eastAsia="zh-CN"/>
        </w:rPr>
        <w:t xml:space="preserve">江苏建协全过程工程咨询有限公司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址：无锡市滨湖区蠡湖大道2018号</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rPr>
        <w:t xml:space="preserve">号楼</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夏超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龚丹丹</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联系电</w:t>
      </w:r>
      <w:r>
        <w:rPr>
          <w:rFonts w:hint="eastAsia" w:ascii="宋体" w:hAnsi="宋体" w:eastAsia="宋体" w:cs="宋体"/>
          <w:sz w:val="24"/>
          <w:szCs w:val="24"/>
          <w:highlight w:val="none"/>
          <w:lang w:val="en-US" w:eastAsia="zh-CN"/>
        </w:rPr>
        <w:t xml:space="preserve">话：0510-82835960</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夏超</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龚丹丹</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0510-82835960</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982180124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qq.com</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二．单一来源谈判须知</w:t>
      </w:r>
      <w:r/>
    </w:p>
    <w:p>
      <w:pPr>
        <w:ind w:left="-2"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（一）遵循原则：</w:t>
      </w:r>
      <w:r/>
    </w:p>
    <w:p>
      <w:pPr>
        <w:ind w:firstLine="5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公开透明原则、公平竞争原则、公正原则和诚实信用原则。</w:t>
      </w:r>
      <w:r/>
    </w:p>
    <w:p>
      <w:pPr>
        <w:ind w:left="-2"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bCs/>
          <w:color w:val="000000"/>
          <w:sz w:val="24"/>
          <w:szCs w:val="24"/>
          <w:highlight w:val="none"/>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p>
    <w:p>
      <w:pPr>
        <w:numPr>
          <w:ilvl w:val="0"/>
          <w:numId w:val="4"/>
        </w:numPr>
        <w:ind w:left="0" w:firstLine="629"/>
        <w:spacing w:line="360" w:lineRule="auto"/>
        <w:tabs>
          <w:tab w:val="left" w:pos="-1260" w:leader="none"/>
          <w:tab w:val="left" w:pos="525" w:leader="none"/>
          <w:tab w:val="clear" w:pos="552"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采购文件包括本文件目录所列全部内容，供应商应仔细阅读，并在响应文件中充分响应采购文件的所有要求。</w:t>
      </w:r>
      <w:r/>
    </w:p>
    <w:p>
      <w:pPr>
        <w:numPr>
          <w:ilvl w:val="0"/>
          <w:numId w:val="4"/>
        </w:numPr>
        <w:ind w:left="0" w:firstLine="629"/>
        <w:spacing w:line="360" w:lineRule="auto"/>
        <w:tabs>
          <w:tab w:val="left" w:pos="0" w:leader="none"/>
          <w:tab w:val="left" w:pos="525" w:leader="none"/>
          <w:tab w:val="clear" w:pos="552"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供应商应按采购文件要求提交全部资料并对采购文件各项内容做出实质性响应，否则报价无效。</w:t>
      </w:r>
      <w:r/>
    </w:p>
    <w:p>
      <w:pPr>
        <w:numPr>
          <w:ilvl w:val="0"/>
          <w:numId w:val="4"/>
        </w:numPr>
        <w:ind w:left="0" w:firstLine="629"/>
        <w:spacing w:line="360" w:lineRule="auto"/>
        <w:tabs>
          <w:tab w:val="left" w:pos="0" w:leader="none"/>
          <w:tab w:val="left" w:pos="525" w:leader="none"/>
          <w:tab w:val="clear" w:pos="552"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采购文件仅作为本次</w:t>
      </w:r>
      <w:r>
        <w:rPr>
          <w:rFonts w:hint="eastAsia" w:ascii="宋体" w:hAnsi="宋体" w:eastAsia="宋体" w:cs="宋体"/>
          <w:bCs/>
          <w:color w:val="000000"/>
          <w:sz w:val="24"/>
          <w:szCs w:val="24"/>
          <w:highlight w:val="none"/>
        </w:rPr>
        <w:t xml:space="preserve">采购报价</w:t>
      </w:r>
      <w:r>
        <w:rPr>
          <w:rFonts w:hint="eastAsia" w:ascii="宋体" w:hAnsi="宋体" w:eastAsia="宋体" w:cs="宋体"/>
          <w:color w:val="000000" w:themeColor="text1"/>
          <w:sz w:val="24"/>
          <w:szCs w:val="24"/>
          <w:highlight w:val="none"/>
          <w14:textFill>
            <w14:solidFill>
              <w14:schemeClr w14:val="tx1"/>
            </w14:solidFill>
          </w14:textFill>
        </w:rPr>
        <w:t xml:space="preserve">使用。</w:t>
      </w:r>
      <w:r/>
    </w:p>
    <w:p>
      <w:pPr>
        <w:ind w:left="-2"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（三）采购文件的解释：</w:t>
      </w:r>
      <w:r/>
    </w:p>
    <w:p>
      <w:pPr>
        <w:numPr>
          <w:ilvl w:val="2"/>
          <w:numId w:val="5"/>
        </w:numPr>
        <w:ind w:left="0" w:firstLine="629"/>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供应商如有需要对采购文件要求澄清的问题，请以书面形式提出，并于</w:t>
      </w:r>
      <w:r>
        <w:rPr>
          <w:rFonts w:hint="eastAsia" w:ascii="宋体" w:hAnsi="宋体" w:eastAsia="宋体" w:cs="宋体"/>
          <w:bCs/>
          <w:color w:val="auto"/>
          <w:sz w:val="24"/>
          <w:highlight w:val="none"/>
        </w:rPr>
        <w:t xml:space="preserve">202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lang w:val="en-US" w:eastAsia="zh-CN"/>
        </w:rPr>
        <w:t xml:space="preserve">16</w:t>
      </w:r>
      <w:r>
        <w:rPr>
          <w:rFonts w:hint="eastAsia" w:ascii="宋体" w:hAnsi="宋体" w:eastAsia="宋体" w:cs="宋体"/>
          <w:bCs/>
          <w:color w:val="auto"/>
          <w:sz w:val="24"/>
          <w:highlight w:val="none"/>
        </w:rPr>
        <w:t xml:space="preserve">日</w:t>
      </w:r>
      <w:r>
        <w:rPr>
          <w:rFonts w:hint="eastAsia" w:ascii="宋体" w:hAnsi="宋体" w:eastAsia="宋体" w:cs="宋体"/>
          <w:color w:val="auto"/>
          <w:sz w:val="24"/>
          <w:szCs w:val="24"/>
          <w:highlight w:val="none"/>
        </w:rPr>
        <w:t xml:space="preserve">10:00前</w:t>
      </w:r>
      <w:r>
        <w:rPr>
          <w:rFonts w:hint="eastAsia" w:ascii="宋体" w:hAnsi="宋体" w:cs="宋体"/>
          <w:color w:val="auto"/>
          <w:sz w:val="24"/>
          <w:szCs w:val="24"/>
          <w:highlight w:val="none"/>
          <w:lang w:val="en-US" w:eastAsia="zh-CN"/>
        </w:rPr>
        <w:t xml:space="preserve">发送至982180124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qq.com邮箱</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将于</w:t>
      </w:r>
      <w:r>
        <w:rPr>
          <w:rFonts w:hint="eastAsia" w:ascii="宋体" w:hAnsi="宋体" w:eastAsia="宋体" w:cs="宋体"/>
          <w:bCs/>
          <w:color w:val="auto"/>
          <w:sz w:val="24"/>
          <w:highlight w:val="none"/>
        </w:rPr>
        <w:t xml:space="preserve">202</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年</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月</w:t>
      </w:r>
      <w:r>
        <w:rPr>
          <w:rFonts w:hint="eastAsia" w:ascii="宋体" w:hAnsi="宋体" w:cs="宋体"/>
          <w:bCs/>
          <w:color w:val="auto"/>
          <w:sz w:val="24"/>
          <w:highlight w:val="none"/>
          <w:lang w:val="en-US" w:eastAsia="zh-CN"/>
        </w:rPr>
        <w:t xml:space="preserve">16</w:t>
      </w:r>
      <w:r>
        <w:rPr>
          <w:rFonts w:hint="eastAsia" w:ascii="宋体" w:hAnsi="宋体" w:eastAsia="宋体" w:cs="宋体"/>
          <w:bCs/>
          <w:color w:val="auto"/>
          <w:sz w:val="24"/>
          <w:highlight w:val="none"/>
        </w:rPr>
        <w:t xml:space="preserve">日</w:t>
      </w:r>
      <w:r>
        <w:rPr>
          <w:rFonts w:hint="eastAsia" w:ascii="宋体" w:hAnsi="宋体" w:eastAsia="宋体" w:cs="宋体"/>
          <w:color w:val="auto"/>
          <w:sz w:val="24"/>
          <w:szCs w:val="24"/>
          <w:highlight w:val="none"/>
        </w:rPr>
        <w:t xml:space="preserve">14:00针对采购文件书面提出的要求澄清的问题进行答疑。</w:t>
      </w:r>
      <w:r/>
    </w:p>
    <w:p>
      <w:pPr>
        <w:numPr>
          <w:ilvl w:val="2"/>
          <w:numId w:val="6"/>
        </w:numPr>
        <w:ind w:left="0" w:firstLine="629"/>
        <w:spacing w:line="360" w:lineRule="auto"/>
        <w:tabs>
          <w:tab w:val="left" w:pos="525" w:leader="none"/>
          <w:tab w:val="left" w:pos="1050" w:leader="none"/>
          <w:tab w:val="left" w:pos="17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本文件的最终解释权归</w:t>
      </w:r>
      <w:r>
        <w:rPr>
          <w:rFonts w:hint="eastAsia" w:ascii="宋体" w:hAnsi="宋体" w:cs="宋体"/>
          <w:color w:val="000000" w:themeColor="text1"/>
          <w:sz w:val="24"/>
          <w:szCs w:val="24"/>
          <w:highlight w:val="none"/>
          <w:lang w:eastAsia="zh-CN"/>
          <w14:textFill>
            <w14:solidFill>
              <w14:schemeClr w14:val="tx1"/>
            </w14:solidFill>
          </w14:textFill>
        </w:rPr>
        <w:t xml:space="preserve">江苏建协全过程工程咨询有限公司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2"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（四）采购文件的补充或修正：</w:t>
      </w:r>
      <w:r/>
    </w:p>
    <w:p>
      <w:pPr>
        <w:numPr>
          <w:ilvl w:val="0"/>
          <w:numId w:val="7"/>
        </w:numPr>
        <w:ind w:left="1" w:firstLine="629"/>
        <w:spacing w:line="360" w:lineRule="auto"/>
        <w:tabs>
          <w:tab w:val="left" w:pos="525" w:leader="none"/>
          <w:tab w:val="clear" w:pos="898"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在响应文件接收截止时间三个工作日前</w:t>
      </w:r>
      <w:r>
        <w:rPr>
          <w:rFonts w:hint="eastAsia" w:ascii="宋体" w:hAnsi="宋体" w:cs="宋体"/>
          <w:bCs/>
          <w:color w:val="000000"/>
          <w:sz w:val="24"/>
          <w:highlight w:val="none"/>
          <w:lang w:eastAsia="zh-CN"/>
        </w:rPr>
        <w:t xml:space="preserve">江苏建协全过程工程咨询有限公司</w:t>
      </w:r>
      <w:r>
        <w:rPr>
          <w:rFonts w:hint="eastAsia" w:ascii="宋体" w:hAnsi="宋体" w:eastAsia="宋体" w:cs="宋体"/>
          <w:bCs/>
          <w:color w:val="000000"/>
          <w:sz w:val="24"/>
          <w:highlight w:val="none"/>
        </w:rPr>
        <w:t xml:space="preserve">可对采购文件进行必要的澄清或者修改，并视具体情况，延长报价截止时间。</w:t>
      </w:r>
      <w:r/>
    </w:p>
    <w:p>
      <w:pPr>
        <w:numPr>
          <w:ilvl w:val="0"/>
          <w:numId w:val="7"/>
        </w:numPr>
        <w:ind w:left="1" w:firstLine="629"/>
        <w:spacing w:line="360" w:lineRule="auto"/>
        <w:tabs>
          <w:tab w:val="left" w:pos="525" w:leader="none"/>
          <w:tab w:val="clear" w:pos="898"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如需对采购文件进行补充或修正，</w:t>
      </w:r>
      <w:r>
        <w:rPr>
          <w:rFonts w:hint="eastAsia" w:ascii="宋体" w:hAnsi="宋体" w:cs="宋体"/>
          <w:bCs/>
          <w:color w:val="000000"/>
          <w:sz w:val="24"/>
          <w:highlight w:val="none"/>
          <w:lang w:eastAsia="zh-CN"/>
        </w:rPr>
        <w:t xml:space="preserve">江苏建协全过程工程咨询有限公司</w:t>
      </w:r>
      <w:r>
        <w:rPr>
          <w:rFonts w:hint="eastAsia" w:ascii="宋体" w:hAnsi="宋体" w:eastAsia="宋体" w:cs="宋体"/>
          <w:bCs/>
          <w:color w:val="000000"/>
          <w:sz w:val="24"/>
          <w:highlight w:val="none"/>
        </w:rPr>
        <w:t xml:space="preserve">将在财政部门指定的政府采购信息发布媒体上发布更正公告,该补充或修正的内容为采购文件的组成部分。供应商应在报价截止时间前关注原采购公告媒体上发布的相关更正公告。请采购文件的收受人下载此更正公告后，于报价截止日前书面回函</w:t>
      </w:r>
      <w:r>
        <w:rPr>
          <w:rFonts w:hint="eastAsia" w:ascii="宋体" w:hAnsi="宋体" w:cs="宋体"/>
          <w:bCs/>
          <w:color w:val="000000"/>
          <w:sz w:val="24"/>
          <w:highlight w:val="none"/>
          <w:lang w:eastAsia="zh-CN"/>
        </w:rPr>
        <w:t xml:space="preserve">我司</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val="en-US" w:eastAsia="zh-CN"/>
        </w:rPr>
        <w:t xml:space="preserve">邮箱：</w:t>
      </w:r>
      <w:r>
        <w:rPr>
          <w:rFonts w:hint="eastAsia" w:ascii="宋体" w:hAnsi="宋体" w:cs="宋体"/>
          <w:color w:val="auto"/>
          <w:sz w:val="24"/>
          <w:szCs w:val="24"/>
          <w:highlight w:val="none"/>
          <w:lang w:val="en-US" w:eastAsia="zh-CN"/>
        </w:rPr>
        <w:t xml:space="preserve">982180124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qq.com</w:t>
      </w:r>
      <w:r>
        <w:rPr>
          <w:rFonts w:hint="eastAsia" w:ascii="宋体" w:hAnsi="宋体" w:eastAsia="宋体" w:cs="宋体"/>
          <w:bCs/>
          <w:color w:val="000000"/>
          <w:sz w:val="24"/>
          <w:highlight w:val="none"/>
        </w:rPr>
        <w:t xml:space="preserve">，逾期不回视同收到此公告。因供应商未尽注意义务，未及时全面地关注更正公告导致其提交的报价材料不符合</w:t>
      </w:r>
      <w:r>
        <w:rPr>
          <w:rFonts w:hint="eastAsia" w:ascii="宋体" w:hAnsi="宋体" w:cs="宋体"/>
          <w:bCs/>
          <w:color w:val="000000"/>
          <w:sz w:val="24"/>
          <w:highlight w:val="none"/>
          <w:lang w:eastAsia="zh-CN"/>
        </w:rPr>
        <w:t xml:space="preserve">江苏建协全过程工程咨询有限公司</w:t>
      </w:r>
      <w:r>
        <w:rPr>
          <w:rFonts w:hint="eastAsia" w:ascii="宋体" w:hAnsi="宋体" w:eastAsia="宋体" w:cs="宋体"/>
          <w:bCs/>
          <w:color w:val="000000"/>
          <w:sz w:val="24"/>
          <w:highlight w:val="none"/>
        </w:rPr>
        <w:t xml:space="preserve">的要求，而造成的损失及风险（包括但不限于未成交）由供应商自行承担。</w:t>
      </w:r>
      <w:r/>
    </w:p>
    <w:p>
      <w:pPr>
        <w:numPr>
          <w:ilvl w:val="0"/>
          <w:numId w:val="7"/>
        </w:numPr>
        <w:ind w:left="1" w:firstLine="629"/>
        <w:spacing w:line="360" w:lineRule="auto"/>
        <w:tabs>
          <w:tab w:val="left" w:pos="525" w:leader="none"/>
          <w:tab w:val="clear" w:pos="898"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认为采购文件使自己的权益受到损害的，可以自获取采购文件之日或者采购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000000"/>
          <w:sz w:val="24"/>
          <w:highlight w:val="none"/>
          <w:lang w:eastAsia="zh-CN"/>
        </w:rPr>
        <w:t xml:space="preserve">江苏建协全过程工程咨询有限公司</w:t>
      </w:r>
      <w:r>
        <w:rPr>
          <w:rFonts w:hint="eastAsia" w:ascii="宋体" w:hAnsi="宋体" w:eastAsia="宋体" w:cs="宋体"/>
          <w:bCs/>
          <w:color w:val="000000"/>
          <w:sz w:val="24"/>
          <w:highlight w:val="none"/>
        </w:rPr>
        <w:t xml:space="preserve">将在收到符合上述要求的书面质疑后七个工作日内，依法在委托授权范围内作出答复，答复范围限于采购文件中的采购需求中技术要求、商务要求以外内容。供应商对采购需求中技术要求、商务要求（包括采购标的的功能和质量要求，以及取得采购标的的时间、地点、财务和服务要求等）提出质疑的，由采购人负责答复。投标人在法定质疑期限外送达的质疑函或法定质疑期限内送达的质疑函不符合上述要求的均为无效质疑，</w:t>
      </w:r>
      <w:r>
        <w:rPr>
          <w:rFonts w:hint="eastAsia" w:ascii="宋体" w:hAnsi="宋体" w:cs="宋体"/>
          <w:bCs/>
          <w:color w:val="000000"/>
          <w:sz w:val="24"/>
          <w:highlight w:val="none"/>
          <w:lang w:eastAsia="zh-CN"/>
        </w:rPr>
        <w:t xml:space="preserve">江苏建协全过程工程咨询有限公司</w:t>
      </w:r>
      <w:r>
        <w:rPr>
          <w:rFonts w:hint="eastAsia" w:ascii="宋体" w:hAnsi="宋体" w:eastAsia="宋体" w:cs="宋体"/>
          <w:bCs/>
          <w:color w:val="000000"/>
          <w:sz w:val="24"/>
          <w:highlight w:val="none"/>
        </w:rPr>
        <w:t xml:space="preserve">对无效质疑不予受理。</w:t>
      </w:r>
      <w:r/>
    </w:p>
    <w:p>
      <w:pPr>
        <w:ind w:left="-2" w:firstLine="420"/>
        <w:spacing w:line="360" w:lineRule="auto"/>
        <w:tabs>
          <w:tab w:val="left" w:pos="63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（五）响应文件的组成</w:t>
      </w:r>
      <w:r>
        <w:rPr>
          <w:rFonts w:hint="eastAsia" w:ascii="宋体" w:hAnsi="宋体" w:eastAsia="宋体" w:cs="宋体"/>
          <w:b/>
          <w:bCs/>
          <w:color w:val="000000" w:themeColor="text1"/>
          <w:sz w:val="24"/>
          <w:szCs w:val="24"/>
          <w:highlight w:val="none"/>
          <w14:textFill>
            <w14:solidFill>
              <w14:schemeClr w14:val="tx1"/>
            </w14:solidFill>
          </w14:textFill>
        </w:rPr>
        <w:t xml:space="preserve">（相应内容上传至</w:t>
      </w:r>
      <w:r>
        <w:rPr>
          <w:rFonts w:hint="eastAsia" w:ascii="宋体" w:hAnsi="宋体" w:eastAsia="宋体" w:cs="宋体"/>
          <w:b/>
          <w:color w:val="000000" w:themeColor="text1"/>
          <w:sz w:val="24"/>
          <w:szCs w:val="24"/>
          <w:highlight w:val="none"/>
          <w14:textFill>
            <w14:solidFill>
              <w14:schemeClr w14:val="tx1"/>
            </w14:solidFill>
          </w14:textFill>
        </w:rPr>
        <w:t xml:space="preserve">政采云报价客户端</w:t>
      </w:r>
      <w:r>
        <w:rPr>
          <w:rFonts w:hint="eastAsia" w:ascii="宋体" w:hAnsi="宋体" w:eastAsia="宋体" w:cs="宋体"/>
          <w:b/>
          <w:bCs/>
          <w:color w:val="000000" w:themeColor="text1"/>
          <w:sz w:val="24"/>
          <w:szCs w:val="24"/>
          <w:highlight w:val="none"/>
          <w14:textFill>
            <w14:solidFill>
              <w14:schemeClr w14:val="tx1"/>
            </w14:solidFill>
          </w14:textFill>
        </w:rPr>
        <w:t xml:space="preserve">,按要求加盖电子章、电子签名）</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numPr>
          <w:ilvl w:val="0"/>
          <w:numId w:val="8"/>
        </w:numPr>
        <w:ind w:left="-209" w:firstLine="629"/>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单一来源申请及声明</w:t>
      </w: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p>
      <w:pPr>
        <w:numPr>
          <w:ilvl w:val="0"/>
          <w:numId w:val="8"/>
        </w:numPr>
        <w:ind w:left="-209" w:firstLine="629"/>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资格、资信证明文件</w:t>
      </w:r>
      <w:bookmarkStart w:id="5" w:name="OLE_LINK19"/>
      <w:r/>
      <w:bookmarkStart w:id="6" w:name="OLE_LINK20"/>
      <w:r>
        <w:rPr>
          <w:rFonts w:hint="eastAsia" w:ascii="宋体" w:hAnsi="宋体" w:eastAsia="宋体" w:cs="宋体"/>
          <w:color w:val="000000" w:themeColor="text1"/>
          <w:sz w:val="24"/>
          <w:szCs w:val="24"/>
          <w:highlight w:val="none"/>
          <w14:textFill>
            <w14:solidFill>
              <w14:schemeClr w14:val="tx1"/>
            </w14:solidFill>
          </w14:textFill>
        </w:rPr>
        <w:t xml:space="preserve">（均需加盖报价单位电子公章）</w:t>
      </w:r>
      <w:bookmarkEnd w:id="5"/>
      <w:r/>
      <w:bookmarkEnd w:id="6"/>
      <w:r/>
      <w:r/>
    </w:p>
    <w:p>
      <w:pPr>
        <w:ind w:firstLine="480"/>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关于资格的声明函</w:t>
      </w: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p>
      <w:pPr>
        <w:ind w:firstLine="480"/>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2.2具有独立承担民事责任能力的供应商营业执照（供应商如是允许以分支机构身份参加报价的，提供供应商分支机构的营业执照）</w:t>
      </w:r>
      <w:r/>
    </w:p>
    <w:p>
      <w:pPr>
        <w:ind w:firstLine="480"/>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2.3供应商法定代表人授权委托书（法定代表人亲自参与报价的除外，格式见附件, 供应商如是允许以分支机构身份参加报价的，请自行将“法定代表人”更改为“负责人”，分支机构报价时</w:t>
      </w:r>
      <w:r>
        <w:rPr>
          <w:rFonts w:hint="eastAsia" w:ascii="宋体" w:hAnsi="宋体" w:cs="宋体"/>
          <w:color w:val="000000" w:themeColor="text1"/>
          <w:sz w:val="24"/>
          <w:szCs w:val="24"/>
          <w:highlight w:val="none"/>
          <w:lang w:eastAsia="zh-CN"/>
          <w14:textFill>
            <w14:solidFill>
              <w14:schemeClr w14:val="tx1"/>
            </w14:solidFill>
          </w14:textFill>
        </w:rPr>
        <w:t xml:space="preserve">涉及</w:t>
      </w:r>
      <w:r>
        <w:rPr>
          <w:rFonts w:hint="eastAsia" w:ascii="宋体" w:hAnsi="宋体" w:eastAsia="宋体" w:cs="宋体"/>
          <w:color w:val="000000" w:themeColor="text1"/>
          <w:sz w:val="24"/>
          <w:szCs w:val="24"/>
          <w:highlight w:val="none"/>
          <w14:textFill>
            <w14:solidFill>
              <w14:schemeClr w14:val="tx1"/>
            </w14:solidFill>
          </w14:textFill>
        </w:rPr>
        <w:t xml:space="preserve">采购文件“法定代表人”要求的部分，其具体要求视同本条规定）</w:t>
      </w:r>
      <w:r/>
    </w:p>
    <w:p>
      <w:pPr>
        <w:ind w:firstLine="480"/>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2.4供应商法定代表人身份证及法定代表人授权代表身份证（身份证应为正、反面）</w:t>
      </w:r>
      <w:r/>
    </w:p>
    <w:p>
      <w:pPr>
        <w:ind w:firstLine="480"/>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2.5授权委托人和项目负责人</w:t>
      </w:r>
      <w:r>
        <w:rPr>
          <w:rFonts w:hint="eastAsia" w:ascii="宋体" w:hAnsi="宋体" w:eastAsia="宋体" w:cs="宋体"/>
          <w:color w:val="000000" w:themeColor="text1"/>
          <w:sz w:val="24"/>
          <w:szCs w:val="24"/>
          <w:highlight w:val="none"/>
          <w14:textFill>
            <w14:solidFill>
              <w14:schemeClr w14:val="tx1"/>
            </w14:solidFill>
          </w14:textFill>
        </w:rPr>
        <w:t xml:space="preserve">与投标人企业签订的劳动合同原件扫描件、法定的社保收缴部门出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具的</w:t>
      </w:r>
      <w:r>
        <w:rPr>
          <w:rFonts w:hint="eastAsia" w:ascii="宋体" w:hAnsi="宋体" w:eastAsia="宋体" w:cs="宋体"/>
          <w:color w:val="000000" w:themeColor="text1"/>
          <w:sz w:val="24"/>
          <w:szCs w:val="24"/>
          <w:highlight w:val="none"/>
          <w14:textFill>
            <w14:solidFill>
              <w14:schemeClr w14:val="tx1"/>
            </w14:solidFill>
          </w14:textFill>
        </w:rPr>
        <w:t xml:space="preserve">由投标人本单位为授权委托人依法缴纳的近三个月中任意一个月份（不含投标当月）的社会保障资金的相关材料原件扫描件（投标时必须提交：①劳动合同原件扫描件、②社会保障资金原件扫描件或含有县（区）级及以上社保部门电子签章或带二维码验证的扫描件，法定代表人亲自参与的除外；如投标人成立时间迟于要求的开始月份，则时间要求为投标人成立时间至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sz w:val="24"/>
          <w:szCs w:val="24"/>
          <w:highlight w:val="none"/>
        </w:rPr>
        <w:t xml:space="preserve">近三个月中任意一个月份(不含报价当月)的财务状况报告（资产负债表和利润表）或由会计师事务所出具的近两年中任意一个年度的审计报告和所附已审财务报告</w:t>
      </w:r>
      <w:r/>
    </w:p>
    <w:p>
      <w:pPr>
        <w:ind w:firstLine="480"/>
        <w:spacing w:line="360" w:lineRule="auto"/>
        <w:tabs>
          <w:tab w:val="left" w:pos="52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sz w:val="24"/>
          <w:szCs w:val="24"/>
          <w:highlight w:val="none"/>
        </w:rPr>
        <w:t xml:space="preserve">近三个月中任意一个月份(不含报价当月)的依法缴纳税收的相关材料（提供相关主管部门证明或银行代扣证明，新成立公司按照企业实际成立时间提供相关证明材料）</w:t>
      </w:r>
      <w:r/>
    </w:p>
    <w:p>
      <w:pPr>
        <w:ind w:firstLine="480"/>
        <w:spacing w:line="360" w:lineRule="auto"/>
        <w:tabs>
          <w:tab w:val="left" w:pos="52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sz w:val="24"/>
          <w:szCs w:val="24"/>
          <w:highlight w:val="none"/>
        </w:rPr>
        <w:t xml:space="preserve">近三个月中任意一个月份(不含报价当月)的依法缴纳社会保障资金的相关材料（提供相关主管部门证明或银行代扣证明，新成立公司按照企业实际成立时间提供相关证明材料）</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9供应商提供《中小企业声明函》或《监狱企业证明文件》（省级以上监狱管理局、戒毒管理局出具）或《残疾人福利性单位声明函》（《中小企业声明函》及《残疾人福利性单位声明函》格式见附件）</w:t>
      </w:r>
      <w:r>
        <w:rPr>
          <w:rFonts w:hint="eastAsia" w:ascii="宋体" w:hAnsi="宋体" w:eastAsia="宋体" w:cs="宋体"/>
          <w:bCs/>
          <w:color w:val="000000"/>
          <w:sz w:val="24"/>
          <w:szCs w:val="24"/>
          <w:highlight w:val="none"/>
        </w:rPr>
        <w:t xml:space="preserve">。</w:t>
      </w:r>
      <w:r/>
    </w:p>
    <w:p>
      <w:pPr>
        <w:ind w:firstLine="480"/>
        <w:spacing w:line="360" w:lineRule="auto"/>
        <w:tabs>
          <w:tab w:val="left" w:pos="945" w:leader="none"/>
          <w:tab w:val="left" w:pos="1321" w:leader="none"/>
          <w:tab w:val="left" w:pos="1365" w:leader="none"/>
        </w:tabs>
        <w:rPr>
          <w:rFonts w:hint="eastAsia" w:ascii="宋体" w:hAnsi="宋体" w:eastAsia="宋体" w:cs="宋体"/>
          <w:bCs/>
          <w:color w:val="000000"/>
          <w:sz w:val="24"/>
          <w:szCs w:val="24"/>
          <w:highlight w:val="none"/>
        </w:rPr>
        <w:outlineLvl w:val="1"/>
      </w:pPr>
      <w:r>
        <w:rPr>
          <w:rFonts w:hint="eastAsia" w:ascii="宋体" w:hAnsi="宋体"/>
          <w:color w:val="auto"/>
          <w:sz w:val="24"/>
          <w:highlight w:val="none"/>
          <w:lang w:val="en-US" w:eastAsia="zh-CN"/>
        </w:rPr>
        <w:t xml:space="preserve">2.10</w:t>
      </w:r>
      <w:r>
        <w:rPr>
          <w:rFonts w:hint="eastAsia" w:ascii="宋体" w:hAnsi="宋体" w:cs="宋体"/>
          <w:color w:val="auto"/>
          <w:sz w:val="24"/>
          <w:szCs w:val="24"/>
          <w:highlight w:val="none"/>
        </w:rPr>
        <w:t xml:space="preserve">承诺书一、二、三、四、五</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（格式见附件）；</w:t>
      </w:r>
      <w:r/>
    </w:p>
    <w:p>
      <w:pPr>
        <w:ind w:firstLine="480"/>
        <w:spacing w:line="360" w:lineRule="auto"/>
        <w:tabs>
          <w:tab w:val="left" w:pos="1134"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left="-210" w:firstLine="629"/>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 w:name="OLE_LINK22"/>
      <w:r/>
      <w:bookmarkStart w:id="8" w:name="OLE_LINK21"/>
      <w:r>
        <w:rPr>
          <w:rFonts w:hint="eastAsia" w:ascii="宋体" w:hAnsi="宋体" w:eastAsia="宋体" w:cs="宋体"/>
          <w:color w:val="000000" w:themeColor="text1"/>
          <w:sz w:val="24"/>
          <w:szCs w:val="24"/>
          <w:highlight w:val="none"/>
          <w14:textFill>
            <w14:solidFill>
              <w14:schemeClr w14:val="tx1"/>
            </w14:solidFill>
          </w14:textFill>
        </w:rPr>
        <w:t xml:space="preserve">报价一览表（格式见附件）</w:t>
      </w:r>
      <w:r/>
    </w:p>
    <w:p>
      <w:pPr>
        <w:numPr>
          <w:ilvl w:val="0"/>
          <w:numId w:val="8"/>
        </w:numPr>
        <w:ind w:left="-210" w:firstLine="62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报价文件</w:t>
      </w:r>
      <w:r>
        <w:rPr>
          <w:rFonts w:hint="eastAsia" w:ascii="宋体" w:hAnsi="宋体" w:eastAsia="宋体" w:cs="宋体"/>
          <w:color w:val="000000" w:themeColor="text1"/>
          <w:sz w:val="24"/>
          <w:szCs w:val="24"/>
          <w:highlight w:val="none"/>
          <w14:textFill>
            <w14:solidFill>
              <w14:schemeClr w14:val="tx1"/>
            </w14:solidFill>
          </w14:textFill>
        </w:rPr>
        <w:t xml:space="preserve">（格式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自拟</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8"/>
        </w:numPr>
        <w:ind w:left="-210" w:firstLine="62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其它（供应商认为有必要提供的声明和文件，如有自拟并自行添加）</w:t>
      </w:r>
      <w:bookmarkEnd w:id="7"/>
      <w:r/>
      <w:bookmarkEnd w:id="8"/>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上述资格证明文件遇有国家相关政策规定可不具备的，必须提供相关政策规定或相关单位出具的有效证明</w:t>
      </w:r>
      <w:r>
        <w:rPr>
          <w:rFonts w:hint="eastAsia" w:ascii="宋体" w:hAnsi="宋体" w:cs="宋体"/>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。其中要求提交的原件或公证件必须与响应文件同时提交，如果原件正在年检（或换证），则必须提供法定年检（或换证）单位出具的有效证明原件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（六）响应文件的要求：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1.所有文件、往来函件均应使用简体中文（规格、型号辅助符号例外）。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2.响应文件由供应商按采购文件给定格式如实填写，须有供应商（电子签章）、法定代表人或法定代表人授权代表电子签章，方为有效，未尽事宜可自行补充。</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3.响应文件不应有涂改、增删之处，如必须修改时，修改处必须有供应商法定代表人或授权代表签章，同时加盖供应商公章。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4.如无特别说明，供应商报价一律以人民币为报价结算货币,结算单位为“元”。</w:t>
      </w:r>
      <w:r/>
    </w:p>
    <w:p>
      <w:pPr>
        <w:ind w:firstLine="480"/>
        <w:spacing w:line="360" w:lineRule="auto"/>
        <w:tabs>
          <w:tab w:val="left" w:pos="94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响应文件中的非中文材料，需同时提供经公证处公证的中文翻译件，公证内容应包括中文翻译件与原文一致的内容。</w:t>
      </w:r>
      <w:r/>
    </w:p>
    <w:p>
      <w:pPr>
        <w:ind w:firstLine="48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报价费用自理。</w:t>
      </w:r>
      <w:r/>
    </w:p>
    <w:p>
      <w:pPr>
        <w:ind w:firstLine="480"/>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t xml:space="preserve">(七) 网上报价</w:t>
      </w:r>
      <w:r/>
    </w:p>
    <w:p>
      <w:pPr>
        <w:ind w:firstLine="523"/>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1.供应商应当按照《“苏采云”系统供应商操作手册》规定，在截止时间前制作并上传电子响应文件。</w:t>
      </w:r>
      <w:r/>
    </w:p>
    <w:p>
      <w:pPr>
        <w:ind w:firstLine="523"/>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2.供应商上传电子投标文件的时间不得迟于采购公告中规定的截止时间。</w:t>
      </w:r>
      <w:r/>
    </w:p>
    <w:p>
      <w:pPr>
        <w:ind w:firstLine="523"/>
        <w:spacing w:line="360" w:lineRule="auto"/>
        <w:tabs>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3.</w:t>
      </w:r>
      <w:r>
        <w:rPr>
          <w:rFonts w:hint="eastAsia" w:ascii="宋体" w:hAnsi="宋体" w:cs="宋体"/>
          <w:sz w:val="24"/>
          <w:highlight w:val="none"/>
          <w:lang w:eastAsia="zh-CN"/>
        </w:rPr>
        <w:t xml:space="preserve">江苏建协全过程工程咨询有限公司</w:t>
      </w:r>
      <w:r>
        <w:rPr>
          <w:rFonts w:hint="eastAsia" w:ascii="宋体" w:hAnsi="宋体" w:eastAsia="宋体" w:cs="宋体"/>
          <w:bCs/>
          <w:sz w:val="24"/>
          <w:highlight w:val="none"/>
        </w:rPr>
        <w:t xml:space="preserve">拒绝接收在其规定的截止时间后上传的任何响应文件。</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4.</w:t>
      </w:r>
      <w:r>
        <w:rPr>
          <w:rFonts w:hint="eastAsia" w:ascii="宋体" w:hAnsi="宋体" w:eastAsia="宋体" w:cs="宋体"/>
          <w:sz w:val="24"/>
          <w:highlight w:val="none"/>
        </w:rPr>
        <w:t xml:space="preserve">供应商可在截止时间前，对其电子响应文件进行修改，具体操作方法见《操作手册》。</w:t>
      </w:r>
      <w:r/>
    </w:p>
    <w:p>
      <w:pPr>
        <w:ind w:firstLine="523"/>
        <w:spacing w:line="360" w:lineRule="auto"/>
        <w:tabs>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5.</w:t>
      </w:r>
      <w:r>
        <w:rPr>
          <w:rFonts w:hint="eastAsia" w:ascii="宋体" w:hAnsi="宋体" w:eastAsia="宋体" w:cs="宋体"/>
          <w:bCs/>
          <w:sz w:val="24"/>
          <w:highlight w:val="none"/>
        </w:rPr>
        <w:t xml:space="preserve">在截止时间之后，供应商不得对其电子响应文件作任何修改。</w:t>
      </w:r>
      <w:r/>
    </w:p>
    <w:p>
      <w:pPr>
        <w:ind w:firstLine="523"/>
        <w:spacing w:line="360" w:lineRule="auto"/>
        <w:tabs>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6.在截止时间至有效期满之间的这段时间内，供应商不得撤回其响应文件。</w:t>
      </w:r>
      <w:r/>
    </w:p>
    <w:p>
      <w:pPr>
        <w:ind w:firstLine="480"/>
        <w:spacing w:line="360" w:lineRule="auto"/>
        <w:tabs>
          <w:tab w:val="left" w:pos="945" w:leader="none"/>
        </w:tabs>
        <w:rPr>
          <w:rFonts w:hint="eastAsia" w:ascii="宋体" w:hAnsi="宋体" w:eastAsia="宋体" w:cs="宋体"/>
          <w:bCs/>
          <w:color w:val="000000"/>
          <w:sz w:val="24"/>
          <w:szCs w:val="24"/>
          <w:highlight w:val="none"/>
        </w:rPr>
      </w:pPr>
      <w:r/>
      <w:bookmarkStart w:id="9" w:name="_Toc120614218"/>
      <w:r/>
      <w:bookmarkStart w:id="10" w:name="_Toc513029229"/>
      <w:r/>
      <w:bookmarkStart w:id="11" w:name="_Toc20823301"/>
      <w:r/>
      <w:bookmarkStart w:id="12" w:name="_Toc16938545"/>
      <w:r>
        <w:rPr>
          <w:rFonts w:hint="eastAsia" w:ascii="宋体" w:hAnsi="宋体" w:eastAsia="宋体" w:cs="宋体"/>
          <w:bCs/>
          <w:color w:val="000000"/>
          <w:sz w:val="24"/>
          <w:szCs w:val="24"/>
          <w:highlight w:val="none"/>
        </w:rPr>
        <w:t xml:space="preserve">（八）响应文件的解密与评审</w:t>
      </w:r>
      <w:bookmarkEnd w:id="9"/>
      <w:r/>
      <w:bookmarkEnd w:id="10"/>
      <w:r/>
      <w:bookmarkEnd w:id="11"/>
      <w:r/>
      <w:bookmarkEnd w:id="12"/>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1.响应文件解密：供应商应当按照《操作手册》规定，在苏采云系统规定的时间内对响应文件进行解密。</w:t>
      </w:r>
      <w:r/>
    </w:p>
    <w:p>
      <w:pPr>
        <w:ind w:firstLine="523"/>
        <w:spacing w:line="360" w:lineRule="auto"/>
        <w:tabs>
          <w:tab w:val="left" w:pos="525" w:leader="none"/>
          <w:tab w:val="left" w:pos="945" w:leader="none"/>
        </w:tabs>
        <w:rPr>
          <w:rFonts w:hint="eastAsia" w:ascii="宋体" w:hAnsi="宋体" w:eastAsia="宋体" w:cs="宋体"/>
          <w:sz w:val="24"/>
          <w:highlight w:val="none"/>
        </w:rPr>
      </w:pPr>
      <w:r/>
      <w:bookmarkStart w:id="13" w:name="_Toc16938547"/>
      <w:r/>
      <w:bookmarkStart w:id="14" w:name="_Toc20823303"/>
      <w:r/>
      <w:bookmarkStart w:id="15" w:name="_Toc513029231"/>
      <w:r>
        <w:rPr>
          <w:rFonts w:hint="eastAsia" w:ascii="宋体" w:hAnsi="宋体" w:eastAsia="宋体" w:cs="宋体"/>
          <w:sz w:val="24"/>
          <w:highlight w:val="none"/>
        </w:rPr>
        <w:t xml:space="preserve">2.单一来源谈判小组</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2.1单一来源谈判小组（以下简称“谈判小组”）由政府采购评审专家、采购人代表组成，且人员构成符合政府采购有关规定。</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2.2谈判小组应当按照客观、公正、审慎的原则评审供应商的响应文件，并与供应商协商采购标的的价格。</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3.单一来源谈判过程的保密与公正</w:t>
      </w:r>
      <w:bookmarkEnd w:id="13"/>
      <w:r/>
      <w:bookmarkEnd w:id="14"/>
      <w:r/>
      <w:bookmarkEnd w:id="15"/>
      <w:r/>
      <w:r/>
    </w:p>
    <w:p>
      <w:pPr>
        <w:ind w:firstLine="523"/>
        <w:spacing w:line="360" w:lineRule="auto"/>
        <w:tabs>
          <w:tab w:val="left" w:pos="525" w:leader="none"/>
          <w:tab w:val="left" w:pos="945" w:leader="none"/>
        </w:tabs>
        <w:rPr>
          <w:rFonts w:hint="eastAsia" w:ascii="宋体" w:hAnsi="宋体" w:eastAsia="宋体" w:cs="宋体"/>
          <w:sz w:val="24"/>
          <w:highlight w:val="none"/>
        </w:rPr>
      </w:pPr>
      <w:r/>
      <w:bookmarkStart w:id="16" w:name="_Toc16938548"/>
      <w:r/>
      <w:bookmarkStart w:id="17" w:name="_Toc513029232"/>
      <w:r/>
      <w:bookmarkStart w:id="18" w:name="_Toc20823304"/>
      <w:r>
        <w:rPr>
          <w:rFonts w:hint="eastAsia" w:ascii="宋体" w:hAnsi="宋体" w:eastAsia="宋体" w:cs="宋体"/>
          <w:sz w:val="24"/>
          <w:highlight w:val="none"/>
        </w:rPr>
        <w:t xml:space="preserve">3.1谈判小组、采购人和</w:t>
      </w:r>
      <w:r>
        <w:rPr>
          <w:rFonts w:hint="eastAsia" w:ascii="宋体" w:hAnsi="宋体" w:cs="宋体"/>
          <w:sz w:val="24"/>
          <w:highlight w:val="none"/>
          <w:lang w:eastAsia="zh-CN"/>
        </w:rPr>
        <w:t xml:space="preserve">江苏建协全过程工程咨询有限公司</w:t>
      </w:r>
      <w:r>
        <w:rPr>
          <w:rFonts w:hint="eastAsia" w:ascii="宋体" w:hAnsi="宋体" w:eastAsia="宋体" w:cs="宋体"/>
          <w:sz w:val="24"/>
          <w:highlight w:val="none"/>
        </w:rPr>
        <w:t xml:space="preserve">工作人员、相关监督人员等与评审工作有关的人员，对评审、单一来源谈判情况以及在评审、单一来源谈判过程（以下简称“谈判过程”）中获悉的国家秘密、商业秘密负有保密责任。</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3.2在谈判过程中，供应商不得以任何行为影响评审及谈判过程，否则将会导致其响应文件被拒绝。</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4.评审及谈判过程中的澄清</w:t>
      </w:r>
      <w:bookmarkEnd w:id="16"/>
      <w:r/>
      <w:bookmarkEnd w:id="17"/>
      <w:r/>
      <w:bookmarkEnd w:id="18"/>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4.1项目评审及谈判过程中，谈判小组有权要求供应商对响应文件中含义不明确、同类问题表述不一致或者有明显文字和计算错误的内容等作出必要的澄清、说明或者更正。</w:t>
      </w:r>
      <w:r/>
    </w:p>
    <w:p>
      <w:pPr>
        <w:ind w:firstLine="523"/>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4.2需要供应商进行澄清、说明和更正的，谈判小组将通过苏采云系统向供应商发布“澄清要求函”，接到“澄清要求函”的供应商应当按照要求在苏采云系统中提交“澄清响应函”并加盖CA电子公章。澄</w:t>
      </w:r>
      <w:r>
        <w:rPr>
          <w:rFonts w:hint="eastAsia" w:ascii="宋体" w:hAnsi="宋体" w:eastAsia="宋体" w:cs="宋体"/>
          <w:sz w:val="24"/>
          <w:szCs w:val="24"/>
          <w:highlight w:val="none"/>
        </w:rPr>
        <w:t xml:space="preserve">清、说明和更正的内容作为响应文件的补充部分，具体操作方式见《操作手册》。</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4.3接到谈判小组澄清、说明和更正要求的供应商如未按规定</w:t>
      </w:r>
      <w:r>
        <w:rPr>
          <w:rFonts w:hint="eastAsia" w:ascii="宋体" w:hAnsi="宋体" w:cs="宋体"/>
          <w:sz w:val="24"/>
          <w:highlight w:val="none"/>
          <w:lang w:eastAsia="zh-CN"/>
        </w:rPr>
        <w:t xml:space="preserve">作出</w:t>
      </w:r>
      <w:r>
        <w:rPr>
          <w:rFonts w:hint="eastAsia" w:ascii="宋体" w:hAnsi="宋体" w:eastAsia="宋体" w:cs="宋体"/>
          <w:sz w:val="24"/>
          <w:highlight w:val="none"/>
        </w:rPr>
        <w:t xml:space="preserve">澄清、说明和 更正，其风险由供应商自行承担。</w:t>
      </w:r>
      <w:r/>
    </w:p>
    <w:p>
      <w:pPr>
        <w:ind w:firstLine="523"/>
        <w:spacing w:line="360" w:lineRule="auto"/>
        <w:tabs>
          <w:tab w:val="left" w:pos="525" w:leader="none"/>
          <w:tab w:val="left" w:pos="945" w:leader="none"/>
        </w:tabs>
        <w:rPr>
          <w:rFonts w:hint="eastAsia" w:ascii="宋体" w:hAnsi="宋体" w:eastAsia="宋体" w:cs="宋体"/>
          <w:sz w:val="24"/>
          <w:highlight w:val="none"/>
        </w:rPr>
      </w:pPr>
      <w:r/>
      <w:bookmarkStart w:id="19" w:name="_Toc513029233"/>
      <w:r/>
      <w:bookmarkStart w:id="20" w:name="_Toc20823305"/>
      <w:r/>
      <w:bookmarkStart w:id="21" w:name="_Toc16938549"/>
      <w:r>
        <w:rPr>
          <w:rFonts w:hint="eastAsia" w:ascii="宋体" w:hAnsi="宋体" w:eastAsia="宋体" w:cs="宋体"/>
          <w:sz w:val="24"/>
          <w:highlight w:val="none"/>
        </w:rPr>
        <w:t xml:space="preserve">5.对响应文件的审</w:t>
      </w:r>
      <w:bookmarkEnd w:id="19"/>
      <w:r/>
      <w:bookmarkEnd w:id="20"/>
      <w:r/>
      <w:bookmarkEnd w:id="21"/>
      <w:r>
        <w:rPr>
          <w:rFonts w:hint="eastAsia" w:ascii="宋体" w:hAnsi="宋体" w:eastAsia="宋体" w:cs="宋体"/>
          <w:sz w:val="24"/>
          <w:highlight w:val="none"/>
        </w:rPr>
        <w:t xml:space="preserve">查</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5.1响应文件审查分为资格审查和符合性审查。</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5.1.1资格审查：由谈判小组依据法律法规和谈判文件的规定，对响应文件中的资格证明文件进行审查，以确定供应商是否具备参加单一来源谈判的资格。</w:t>
      </w:r>
      <w:r/>
    </w:p>
    <w:p>
      <w:pPr>
        <w:ind w:firstLine="523"/>
        <w:spacing w:line="360" w:lineRule="auto"/>
        <w:tabs>
          <w:tab w:val="left" w:pos="525" w:leader="none"/>
          <w:tab w:val="left" w:pos="945" w:leader="none"/>
        </w:tabs>
        <w:rPr>
          <w:rFonts w:hint="eastAsia" w:ascii="宋体" w:hAnsi="宋体" w:eastAsia="宋体" w:cs="宋体"/>
          <w:sz w:val="24"/>
          <w:highlight w:val="none"/>
        </w:rPr>
      </w:pPr>
      <w:r>
        <w:rPr>
          <w:rFonts w:hint="eastAsia" w:ascii="宋体" w:hAnsi="宋体" w:eastAsia="宋体" w:cs="宋体"/>
          <w:sz w:val="24"/>
          <w:highlight w:val="none"/>
        </w:rPr>
        <w:t xml:space="preserve">谈判小组在进行资格审查的同时，将在“信用中国”网站（www.creditchina.gov.cn）查询供应商的信用记录，以确定供应商是否具备谈判资格,查询结果留存并归档。</w:t>
      </w:r>
      <w:r/>
    </w:p>
    <w:p>
      <w:pPr>
        <w:ind w:firstLine="523"/>
        <w:spacing w:line="360" w:lineRule="auto"/>
        <w:tabs>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接受联合体的项目</w:t>
      </w:r>
      <w:r>
        <w:rPr>
          <w:rFonts w:hint="eastAsia" w:ascii="宋体" w:hAnsi="宋体" w:eastAsia="宋体" w:cs="宋体"/>
          <w:bCs/>
          <w:sz w:val="24"/>
          <w:highlight w:val="none"/>
        </w:rPr>
        <w:t xml:space="preserve">，两个以上的自然人、法人或者其他组织组成一个联合体，以一个供应商的身份共同参加政府采购活动的,联合体成员中任何一方存在不良信用记录的，视同联合体存在不良应用记录。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5.1.2符合性审查：依据采购文件的规定，由谈判小组从响应文件的有效性、完整性和对采购文件的响应程度进行审查，以确定是否对谈判文件的实质性要求作出响应。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5.1.3未通过资格审查或符合性审查的供应商，谈判</w:t>
      </w:r>
      <w:r>
        <w:rPr>
          <w:rFonts w:hint="eastAsia" w:ascii="宋体" w:hAnsi="宋体" w:eastAsia="宋体" w:cs="宋体"/>
          <w:bCs/>
          <w:color w:val="000000" w:themeColor="text1"/>
          <w:sz w:val="24"/>
          <w:highlight w:val="none"/>
          <w14:textFill>
            <w14:solidFill>
              <w14:schemeClr w14:val="tx1"/>
            </w14:solidFill>
          </w14:textFill>
        </w:rPr>
        <w:t xml:space="preserve">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中告</w:t>
      </w:r>
      <w:r>
        <w:rPr>
          <w:rFonts w:hint="eastAsia" w:ascii="宋体" w:hAnsi="宋体" w:eastAsia="宋体" w:cs="宋体"/>
          <w:bCs/>
          <w:sz w:val="24"/>
          <w:highlight w:val="none"/>
        </w:rPr>
        <w:t xml:space="preserve">知未通过资格审查或符合性审查的原因，评审结束后，谈判小组将不再告知未通过资格审查或符合性审查</w:t>
      </w:r>
      <w:r>
        <w:rPr>
          <w:rFonts w:hint="eastAsia" w:ascii="宋体" w:hAnsi="宋体" w:eastAsia="宋体" w:cs="宋体"/>
          <w:sz w:val="24"/>
          <w:szCs w:val="24"/>
          <w:highlight w:val="none"/>
        </w:rPr>
        <w:t xml:space="preserve">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5.1.4响应文件报价出现前后不一致的，按照下列规定修正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（1）采购报价一览表内容与细目报价表内容不一致的，以采购报价一览表为准；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（2）采购响应文件的大写金额和小写金额不一致的，以大写金额为准；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（4）单价金额小数点或者百分比有明显错位的，以开标一览表的总价为准，并修改单价。</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5.2</w:t>
      </w:r>
      <w:r>
        <w:rPr>
          <w:rFonts w:hint="eastAsia" w:ascii="宋体" w:hAnsi="宋体" w:eastAsia="宋体" w:cs="宋体"/>
          <w:sz w:val="24"/>
          <w:szCs w:val="24"/>
          <w:highlight w:val="none"/>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所谓重大偏离或保留是指与采购文件规定的实质性要求存在负偏离，或者在实质上与采购文件不一致，而且限制了合同中买方和</w:t>
      </w:r>
      <w:r>
        <w:rPr>
          <w:rFonts w:hint="eastAsia" w:ascii="宋体" w:hAnsi="宋体" w:cs="宋体"/>
          <w:sz w:val="24"/>
          <w:szCs w:val="24"/>
          <w:highlight w:val="none"/>
          <w:lang w:eastAsia="zh-CN"/>
        </w:rPr>
        <w:t xml:space="preserve">江苏建协全过程工程咨询有限公司</w:t>
      </w:r>
      <w:r>
        <w:rPr>
          <w:rFonts w:hint="eastAsia" w:ascii="宋体" w:hAnsi="宋体" w:eastAsia="宋体" w:cs="宋体"/>
          <w:sz w:val="24"/>
          <w:szCs w:val="24"/>
          <w:highlight w:val="none"/>
        </w:rPr>
        <w:t xml:space="preserve">的权利或供应商的义务。重大偏离由谈判小组按照少数服从多数的原则认定。谈判小组决定响应文件的响应性只根据响应文件本身的内容，而不寻求外部的证据。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5.3未实质性响应采购文件的情形</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5.3.1</w:t>
      </w:r>
      <w:r>
        <w:rPr>
          <w:rFonts w:hint="eastAsia" w:ascii="宋体" w:hAnsi="宋体" w:eastAsia="宋体" w:cs="宋体"/>
          <w:bCs/>
          <w:color w:val="000000" w:themeColor="text1"/>
          <w:sz w:val="24"/>
          <w:highlight w:val="none"/>
          <w14:textFill>
            <w14:solidFill>
              <w14:schemeClr w14:val="tx1"/>
            </w14:solidFill>
          </w14:textFill>
        </w:rPr>
        <w:t xml:space="preserve">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highlight w:val="none"/>
          <w14:textFill>
            <w14:solidFill>
              <w14:schemeClr w14:val="tx1"/>
            </w14:solidFill>
          </w14:textFill>
        </w:rPr>
        <w:t xml:space="preserve">规定的</w:t>
      </w:r>
      <w:r>
        <w:rPr>
          <w:rFonts w:hint="eastAsia" w:ascii="宋体" w:hAnsi="宋体" w:eastAsia="宋体" w:cs="宋体"/>
          <w:bCs/>
          <w:sz w:val="24"/>
          <w:highlight w:val="none"/>
        </w:rPr>
        <w:t xml:space="preserve">时间内未成功解密电子响应文件的。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5.3.2供应商未按照采购文件要求上传电子响应文件的。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5.3.3供应商提交两个（含两个）以上不同的响应文件或者最后报价的。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5.3.4供应商不具备采购文件中规定资格要求的。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5.3.5供应商的最后报价超过了采购预算。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5.3.6不符合采购文件中规定的实质性要求和条件的。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5.3.8 响应文件含有采购人不能接受的附加条件的。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5.3.10响应文件未按照谈判文件要求加盖CA电子公章的。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5.4未实质性响应采购文件的响应文件按无效响应处理。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5.5如果响应文件实质上没有响应采购文件的要求，谈判小组将予以拒绝。</w:t>
      </w:r>
      <w:r/>
    </w:p>
    <w:p>
      <w:pPr>
        <w:ind w:firstLine="480"/>
        <w:spacing w:line="360" w:lineRule="auto"/>
        <w:rPr>
          <w:rFonts w:hint="eastAsia" w:ascii="宋体" w:hAnsi="宋体" w:eastAsia="宋体" w:cs="宋体"/>
          <w:bCs/>
          <w:sz w:val="24"/>
          <w:highlight w:val="none"/>
        </w:rPr>
      </w:pPr>
      <w:r/>
      <w:bookmarkStart w:id="22" w:name="_Toc513029234"/>
      <w:r/>
      <w:bookmarkStart w:id="23" w:name="_Toc16938550"/>
      <w:r/>
      <w:bookmarkStart w:id="24" w:name="_Toc20823306"/>
      <w:r>
        <w:rPr>
          <w:rFonts w:hint="eastAsia" w:ascii="宋体" w:hAnsi="宋体" w:eastAsia="宋体" w:cs="宋体"/>
          <w:bCs/>
          <w:sz w:val="24"/>
          <w:highlight w:val="none"/>
        </w:rPr>
        <w:t xml:space="preserve">5.6供应商在项目评审及谈判全过程中应保持通讯畅通，并安排专人与</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及谈判小组联系。</w:t>
      </w:r>
      <w:bookmarkEnd w:id="22"/>
      <w:r/>
      <w:bookmarkEnd w:id="23"/>
      <w:r/>
      <w:bookmarkEnd w:id="24"/>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6.单一来源谈判及成交原则</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6.1单一来源谈判</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6.1.1对于通过资格审查和符合性审查的供应商，谈判小组将通过苏采云系统与其就采购标的的价格、服务等内容进行单一来源谈判。</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6.1.2供应商应当在苏采云系统中以书面形式对谈判过程中做出的承诺与澄清进行确认，并在谈判小组规定的时间内完成最后报价。</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6.1.3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6.2成交原则</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谈判小组根据政府采购相关法律、规章的规定，在供应商的响应情况能保证采购项目质量且最后报价合理的基础上确定其为成交供应商。</w:t>
      </w:r>
      <w:r/>
    </w:p>
    <w:p>
      <w:pPr>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（九）确定成交供应商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1.谈判小组根据谈判情况编写单一来源评审报告，推荐成交候选供应商。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2.采购人根据谈判小组推荐的成交候选供应商确定成交供应商。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3.若有充分证据证明，成交供应商出现下列情况之一的，一经查实，将被取消成交资格：</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3.1提供虚假材料谋取成交的。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3.2与评审专家、采购人、其他供应商或者</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工作人员恶意串通的。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3.3向评审专家、采购人或</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工作人员行贿或者提供其他不正当利益的。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3.4恶意竞争，最后报价明显低于其自身合理成本且又无法提供证明的。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3.5不满足本采购文件规定的实质性要求，但在评审过程中又未被谈判小组发现的。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3.6成交后无正当理由拒不与采购人签订政府采购合同或者未按照采购文件确定的事项签订政府采购合同的。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3.7将政府采购合同转包的。</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成交供应商被取消成交资格后，</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有权重新组织采购。</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将在财政部门指定的政府采购信息发布媒体上发布成交公告。</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和谈判小组对未成交原因不</w:t>
      </w:r>
      <w:r>
        <w:rPr>
          <w:rFonts w:hint="eastAsia" w:ascii="宋体" w:hAnsi="宋体" w:cs="宋体"/>
          <w:bCs/>
          <w:sz w:val="24"/>
          <w:highlight w:val="none"/>
          <w:lang w:eastAsia="zh-CN"/>
        </w:rPr>
        <w:t xml:space="preserve">作</w:t>
      </w:r>
      <w:r>
        <w:rPr>
          <w:rFonts w:hint="eastAsia" w:ascii="宋体" w:hAnsi="宋体" w:eastAsia="宋体" w:cs="宋体"/>
          <w:bCs/>
          <w:sz w:val="24"/>
          <w:highlight w:val="none"/>
        </w:rPr>
        <w:t xml:space="preserve">解释。如有质疑，应在法定质疑期限内，即成交公告期限届满之日起7个工作日内，以书面形式（原件）送达</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。针对同一采购程序环节（采购文件，采购过程或结果）的质疑，应当在法定质疑期内一次性提出。质疑函应符合《政府采购质疑和投诉办法》(财政部令第94号) 第十二条、第三十九条，并按中国政府采购网《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"http://download.ccgp.gov.cn/2018/zhiyihanfanben.zip" \t "_blank" </w:instrText>
      </w:r>
      <w:r>
        <w:rPr>
          <w:rFonts w:hint="eastAsia" w:ascii="宋体" w:hAnsi="宋体" w:eastAsia="宋体" w:cs="宋体"/>
          <w:highlight w:val="none"/>
        </w:rPr>
        <w:fldChar w:fldCharType="separate"/>
      </w:r>
      <w:r>
        <w:rPr>
          <w:rFonts w:hint="eastAsia" w:ascii="宋体" w:hAnsi="宋体" w:eastAsia="宋体" w:cs="宋体"/>
          <w:bCs/>
          <w:sz w:val="24"/>
          <w:highlight w:val="none"/>
        </w:rPr>
        <w:t xml:space="preserve">政府采购供应商质疑函范本</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》认真填写。</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将在收到符合上述要求的书面质疑后七个工作日内，对质疑内容</w:t>
      </w:r>
      <w:r>
        <w:rPr>
          <w:rFonts w:hint="eastAsia" w:ascii="宋体" w:hAnsi="宋体" w:cs="宋体"/>
          <w:bCs/>
          <w:sz w:val="24"/>
          <w:highlight w:val="none"/>
          <w:lang w:eastAsia="zh-CN"/>
        </w:rPr>
        <w:t xml:space="preserve">作出</w:t>
      </w:r>
      <w:r>
        <w:rPr>
          <w:rFonts w:hint="eastAsia" w:ascii="宋体" w:hAnsi="宋体" w:eastAsia="宋体" w:cs="宋体"/>
          <w:bCs/>
          <w:sz w:val="24"/>
          <w:highlight w:val="none"/>
        </w:rPr>
        <w:t xml:space="preserve">答复。投标人在法定质疑期限外送达的质疑函或法定质疑期限内送达的质疑函不符合上述要求的均为无效质疑，</w:t>
      </w:r>
      <w:r>
        <w:rPr>
          <w:rFonts w:hint="eastAsia" w:ascii="宋体" w:hAnsi="宋体" w:cs="宋体"/>
          <w:bCs/>
          <w:sz w:val="24"/>
          <w:highlight w:val="none"/>
          <w:lang w:eastAsia="zh-CN"/>
        </w:rPr>
        <w:t xml:space="preserve">江苏建协全过程工程咨询有限公司</w:t>
      </w:r>
      <w:r>
        <w:rPr>
          <w:rFonts w:hint="eastAsia" w:ascii="宋体" w:hAnsi="宋体" w:eastAsia="宋体" w:cs="宋体"/>
          <w:bCs/>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5.在发布成交公告的同时，向成交方发成交通知书。</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6.整个过程均受市级财政部门监督。</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7.供应商电子投标文件将作为电子档案保存。</w:t>
      </w:r>
      <w:r/>
    </w:p>
    <w:p>
      <w:pPr>
        <w:numPr>
          <w:ilvl w:val="0"/>
          <w:numId w:val="9"/>
        </w:numPr>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无成交供应商：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出现下列情况之一的，本次采购无成交供应商：</w:t>
      </w:r>
      <w:r/>
    </w:p>
    <w:p>
      <w:pPr>
        <w:numPr>
          <w:ilvl w:val="0"/>
          <w:numId w:val="10"/>
        </w:num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因情况变化，不再符合规定的单一来源采购方式适用情形的；</w:t>
      </w:r>
      <w:r/>
    </w:p>
    <w:p>
      <w:pPr>
        <w:numPr>
          <w:ilvl w:val="0"/>
          <w:numId w:val="10"/>
        </w:num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出现影响采购公正的违法、违规行为；</w:t>
      </w:r>
      <w:r/>
    </w:p>
    <w:p>
      <w:pPr>
        <w:numPr>
          <w:ilvl w:val="0"/>
          <w:numId w:val="10"/>
        </w:num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供应商的报价均超过采购预算，采购人不能支付的；</w:t>
      </w:r>
      <w:r/>
    </w:p>
    <w:p>
      <w:pPr>
        <w:numPr>
          <w:ilvl w:val="0"/>
          <w:numId w:val="10"/>
        </w:num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因重大变故，采购任务取消。</w:t>
      </w:r>
      <w:r/>
    </w:p>
    <w:p>
      <w:pPr>
        <w:ind w:left="-2"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（十一）签订合同：</w:t>
      </w:r>
      <w:r/>
    </w:p>
    <w:p>
      <w:pPr>
        <w:numPr>
          <w:ilvl w:val="0"/>
          <w:numId w:val="11"/>
        </w:numPr>
        <w:ind w:left="0" w:firstLine="63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成交通知书发出之日起三十日内，按照采购文件和成交供应商响应文件的约定，与成交供应商签订书面合同。所签订的合同不得对采购文件和成交供应商响应文件作实质性修改。采购人不得向成交供应商提出任何不合理的要求，作为签订合同的条件，不得与成交供应商私下订立背离合同实质性内容的协议。合同经</w:t>
      </w:r>
      <w:r>
        <w:rPr>
          <w:rFonts w:hint="eastAsia" w:ascii="宋体" w:hAnsi="宋体" w:cs="宋体"/>
          <w:color w:val="000000"/>
          <w:sz w:val="24"/>
          <w:szCs w:val="24"/>
          <w:highlight w:val="none"/>
          <w:lang w:eastAsia="zh-CN"/>
        </w:rPr>
        <w:t xml:space="preserve">江苏建协全过程工程咨询有限公司</w:t>
      </w:r>
      <w:r>
        <w:rPr>
          <w:rFonts w:hint="eastAsia" w:ascii="宋体" w:hAnsi="宋体" w:eastAsia="宋体" w:cs="宋体"/>
          <w:bCs/>
          <w:color w:val="000000"/>
          <w:sz w:val="24"/>
          <w:szCs w:val="24"/>
          <w:highlight w:val="none"/>
        </w:rPr>
        <w:t xml:space="preserve">见证后生效。</w:t>
      </w:r>
      <w:r/>
    </w:p>
    <w:p>
      <w:pPr>
        <w:numPr>
          <w:ilvl w:val="0"/>
          <w:numId w:val="11"/>
        </w:numPr>
        <w:ind w:left="0" w:firstLine="63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中标、成交供应商可根据自身情况，自行决定是否选择采用合同融资形式。合同融资，是指参与政府采购的供应商，凭借中</w:t>
      </w:r>
      <w:r>
        <w:rPr>
          <w:rFonts w:hint="eastAsia" w:ascii="宋体" w:hAnsi="宋体" w:eastAsia="宋体" w:cs="宋体"/>
          <w:bCs/>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numPr>
          <w:ilvl w:val="0"/>
          <w:numId w:val="11"/>
        </w:numPr>
        <w:ind w:left="0" w:firstLine="63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成交方非因不可抗力未履行采购文件、响应文件和合同规定的义务，一经查实，</w:t>
      </w:r>
      <w:r>
        <w:rPr>
          <w:rFonts w:hint="eastAsia" w:ascii="宋体" w:hAnsi="宋体" w:cs="宋体"/>
          <w:bCs/>
          <w:color w:val="000000"/>
          <w:sz w:val="24"/>
          <w:szCs w:val="24"/>
          <w:highlight w:val="none"/>
          <w:lang w:eastAsia="zh-CN"/>
        </w:rPr>
        <w:t xml:space="preserve">江苏建协全过程工程咨询有限公司</w:t>
      </w:r>
      <w:r>
        <w:rPr>
          <w:rFonts w:hint="eastAsia" w:ascii="宋体" w:hAnsi="宋体" w:eastAsia="宋体" w:cs="宋体"/>
          <w:bCs/>
          <w:color w:val="000000"/>
          <w:sz w:val="24"/>
          <w:szCs w:val="24"/>
          <w:highlight w:val="none"/>
        </w:rPr>
        <w:t xml:space="preserve">将根据具体情况提请政府采购监督管理部门作出相应处理。</w:t>
      </w:r>
      <w:r/>
    </w:p>
    <w:p>
      <w:pPr>
        <w:ind w:left="-2" w:firstLine="420"/>
        <w:spacing w:line="360" w:lineRule="auto"/>
        <w:rPr>
          <w:rFonts w:hint="default"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rPr>
        <w:t xml:space="preserve">（十二）履约保证金：</w:t>
      </w:r>
      <w:r>
        <w:rPr>
          <w:rFonts w:hint="eastAsia" w:ascii="宋体" w:hAnsi="宋体" w:cs="宋体"/>
          <w:color w:val="000000"/>
          <w:sz w:val="24"/>
          <w:szCs w:val="24"/>
          <w:highlight w:val="none"/>
          <w:lang w:val="en-US" w:eastAsia="zh-CN"/>
        </w:rPr>
        <w:t xml:space="preserve">本项目不收取履约保证金。</w:t>
      </w:r>
      <w:r/>
    </w:p>
    <w:p>
      <w:pPr>
        <w:ind w:left="-2" w:firstLine="42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）成交服务费：</w:t>
      </w:r>
      <w:r/>
    </w:p>
    <w:p>
      <w:pPr>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1.本项目代理服务费和编标费由中标供应商领取中标通知书时向采购代理机构一次性付清。</w:t>
      </w:r>
      <w:r/>
    </w:p>
    <w:p>
      <w:pPr>
        <w:ind w:firstLine="480"/>
        <w:spacing w:line="360" w:lineRule="auto"/>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本项目采购代理服务费包括代理费和编标费两部分：代理费以中标金额为计费基础，按差额定率累进法计算，中标金额100万以下费率为1.05%，中标金额100万－500万费率为0.56%。编标费以建安工程造价为计费基础，按差额定率累进法计算，中标金额500万以下费率为0.266%</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）注意事项：</w:t>
      </w:r>
      <w:r/>
    </w:p>
    <w:p>
      <w:pPr>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成交供应商有下列情形之一的，情节严重的，由财政部门将其列入不良行为记录名单，在一至三年内禁止参加政府采购活动，并予以通报：</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（1）中标后无正当理由不与采购人签订合同的；</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（2）将中标项目转让给他人，或者在报价文件中未说明，且未经过采购人同意，将中标项目分包给他人的；</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p>
    <w:p>
      <w:pPr>
        <w:ind w:firstLine="48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tabs>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rPr>
        <w:t xml:space="preserve">三．项目技术要求和有关说明</w:t>
      </w:r>
      <w:r/>
    </w:p>
    <w:p>
      <w:pPr>
        <w:jc w:val="left"/>
        <w:spacing w:before="72" w:after="72"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0"/>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rPr>
      </w:pPr>
      <w:r>
        <w:rPr>
          <w:rFonts w:hint="eastAsia" w:ascii="宋体" w:hAnsi="宋体" w:eastAsia="宋体" w:cs="Times New Roman"/>
          <w:bCs/>
          <w:sz w:val="24"/>
          <w:szCs w:val="24"/>
          <w:highlight w:val="none"/>
          <w:lang w:val="en-US" w:eastAsia="zh-CN"/>
        </w:rPr>
        <w:t xml:space="preserve">2024年市管绿地“贝碧嘉”台风灾后修复项目包含市管绿地范围内受“贝碧嘉”台风影响受损树木及周边树穴道板等设施的修复，包含广石路、江海西路等市管道路</w:t>
      </w:r>
      <w:r>
        <w:rPr>
          <w:rFonts w:hint="eastAsia" w:ascii="宋体" w:hAnsi="宋体" w:eastAsia="宋体" w:cs="宋体"/>
          <w:bCs/>
          <w:color w:val="auto"/>
          <w:sz w:val="24"/>
          <w:szCs w:val="20"/>
          <w:highlight w:val="none"/>
          <w:lang w:eastAsia="zh-CN"/>
        </w:rPr>
        <w:t xml:space="preserve">。</w:t>
      </w:r>
      <w:r/>
    </w:p>
    <w:p>
      <w:pPr>
        <w:jc w:val="left"/>
        <w:spacing w:before="72" w:after="72"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二、采购标的需实现的功能或者目标，以及为落实政府采购政策需满足的要求:</w:t>
      </w:r>
      <w:r/>
    </w:p>
    <w:p>
      <w:pPr>
        <w:ind w:firstLine="424"/>
        <w:jc w:val="left"/>
        <w:spacing w:before="72" w:after="72"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1、采购标的需实现的功能或者目标：</w:t>
      </w:r>
      <w:r>
        <w:rPr>
          <w:rFonts w:hint="eastAsia" w:ascii="宋体" w:hAnsi="宋体" w:eastAsia="宋体" w:cs="宋体"/>
          <w:bCs/>
          <w:color w:val="auto"/>
          <w:sz w:val="24"/>
          <w:szCs w:val="20"/>
          <w:highlight w:val="none"/>
          <w:lang w:val="en-US" w:eastAsia="zh-CN"/>
        </w:rPr>
        <w:t xml:space="preserve">台风灾后修复</w:t>
      </w:r>
      <w:r>
        <w:rPr>
          <w:rFonts w:hint="eastAsia" w:ascii="宋体" w:hAnsi="宋体" w:eastAsia="宋体" w:cs="宋体"/>
          <w:bCs/>
          <w:color w:val="auto"/>
          <w:sz w:val="24"/>
          <w:szCs w:val="20"/>
          <w:highlight w:val="none"/>
        </w:rPr>
        <w:t xml:space="preserve">，提升道路景观面貌。</w:t>
      </w:r>
      <w:r/>
    </w:p>
    <w:p>
      <w:pPr>
        <w:ind w:firstLine="424"/>
        <w:jc w:val="left"/>
        <w:keepLines w:val="0"/>
        <w:keepNext w:val="0"/>
        <w:pageBreakBefore w:val="0"/>
        <w:spacing w:before="72" w:after="72"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2、为落实政府采购政策需满足的要求：</w:t>
      </w:r>
      <w:r>
        <w:rPr>
          <w:rFonts w:hint="eastAsia" w:ascii="宋体" w:hAnsi="宋体" w:eastAsia="宋体" w:cs="宋体"/>
          <w:bCs/>
          <w:color w:val="auto"/>
          <w:sz w:val="24"/>
          <w:szCs w:val="20"/>
          <w:highlight w:val="none"/>
          <w:lang w:val="en-US" w:eastAsia="zh-CN"/>
        </w:rPr>
        <w:t xml:space="preserve">/</w:t>
      </w:r>
      <w:r>
        <w:rPr>
          <w:rFonts w:hint="eastAsia" w:ascii="宋体" w:hAnsi="宋体" w:eastAsia="宋体" w:cs="宋体"/>
          <w:bCs/>
          <w:color w:val="auto"/>
          <w:sz w:val="24"/>
          <w:szCs w:val="20"/>
          <w:highlight w:val="none"/>
        </w:rPr>
        <w:t xml:space="preserve">。</w:t>
      </w:r>
      <w:r/>
    </w:p>
    <w:p>
      <w:pPr>
        <w:ind w:firstLine="424"/>
        <w:jc w:val="left"/>
        <w:keepLines w:val="0"/>
        <w:keepNext w:val="0"/>
        <w:pageBreakBefore w:val="0"/>
        <w:spacing w:before="72" w:after="72" w:line="360" w:lineRule="auto"/>
        <w:widowControl/>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3、本项目是否面向中小企业：</w:t>
      </w:r>
      <w:r>
        <w:rPr>
          <w:rFonts w:hint="eastAsia" w:ascii="宋体" w:hAnsi="宋体" w:eastAsia="宋体" w:cs="宋体"/>
          <w:bCs/>
          <w:color w:val="auto"/>
          <w:sz w:val="24"/>
          <w:szCs w:val="20"/>
          <w:highlight w:val="none"/>
          <w:lang w:val="en-US" w:eastAsia="zh-CN"/>
        </w:rPr>
        <w:t xml:space="preserve">是</w:t>
      </w:r>
      <w:r>
        <w:rPr>
          <w:rFonts w:hint="eastAsia" w:ascii="宋体" w:hAnsi="宋体" w:eastAsia="宋体" w:cs="宋体"/>
          <w:bCs/>
          <w:color w:val="auto"/>
          <w:sz w:val="24"/>
          <w:szCs w:val="20"/>
          <w:highlight w:val="none"/>
        </w:rPr>
        <w:t xml:space="preserve">。</w:t>
      </w:r>
      <w:r/>
    </w:p>
    <w:p>
      <w:pPr>
        <w:keepLines w:val="0"/>
        <w:keepNext w:val="0"/>
        <w:pageBreakBefore w:val="0"/>
        <w:spacing w:before="72" w:after="72" w:line="360" w:lineRule="auto"/>
        <w:tabs>
          <w:tab w:val="left" w:pos="3144"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rPr>
        <w:t xml:space="preserve">采购标的需执行的国家相关标准、行业标准、地方标准或者其他标准、规范主要有：</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《园林绿化工程施工及验收规范》（DGJ32/TJ201-2016）、《江苏省城市园林绿化养护管理规范及分级标准》2015-00029、《无锡市城市绿化管理条例》、《无锡市建设工程安全生产管理条例》</w:t>
      </w:r>
      <w:r>
        <w:rPr>
          <w:rFonts w:hint="eastAsia" w:ascii="宋体" w:hAnsi="宋体" w:eastAsia="宋体" w:cs="宋体"/>
          <w:bCs/>
          <w:color w:val="auto"/>
          <w:sz w:val="24"/>
          <w:szCs w:val="20"/>
          <w:highlight w:val="none"/>
          <w:lang w:eastAsia="zh-CN"/>
        </w:rPr>
        <w:t xml:space="preserve">、《城市道路绿化设计标准》</w:t>
      </w:r>
      <w:r>
        <w:rPr>
          <w:rFonts w:hint="eastAsia" w:ascii="宋体" w:hAnsi="宋体" w:eastAsia="宋体" w:cs="宋体"/>
          <w:bCs/>
          <w:color w:val="auto"/>
          <w:sz w:val="24"/>
          <w:szCs w:val="20"/>
          <w:highlight w:val="none"/>
          <w:lang w:val="en-US" w:eastAsia="zh-CN"/>
        </w:rPr>
        <w:t xml:space="preserve">CJJ</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T</w:t>
      </w:r>
      <w:r>
        <w:rPr>
          <w:rFonts w:hint="eastAsia" w:ascii="宋体" w:hAnsi="宋体" w:eastAsia="宋体" w:cs="宋体"/>
          <w:bCs/>
          <w:color w:val="auto"/>
          <w:sz w:val="24"/>
          <w:szCs w:val="20"/>
          <w:highlight w:val="none"/>
          <w:lang w:eastAsia="zh-CN"/>
        </w:rPr>
        <w:t xml:space="preserve">75-2023</w:t>
      </w:r>
      <w:r>
        <w:rPr>
          <w:rFonts w:hint="eastAsia" w:ascii="宋体" w:hAnsi="宋体" w:eastAsia="宋体" w:cs="宋体"/>
          <w:bCs/>
          <w:color w:val="auto"/>
          <w:sz w:val="24"/>
          <w:szCs w:val="20"/>
          <w:highlight w:val="none"/>
        </w:rPr>
        <w:t xml:space="preserve">等施工及验收规范。</w:t>
      </w:r>
      <w:r/>
    </w:p>
    <w:p>
      <w:pPr>
        <w:jc w:val="left"/>
        <w:keepLines w:val="0"/>
        <w:keepNext w:val="0"/>
        <w:pageBreakBefore w:val="0"/>
        <w:spacing w:before="72" w:after="72"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四、采购标的需满足的服务标准、期限、</w:t>
      </w:r>
      <w:r>
        <w:rPr>
          <w:rFonts w:hint="eastAsia" w:ascii="宋体" w:hAnsi="宋体" w:eastAsia="宋体" w:cs="宋体"/>
          <w:b/>
          <w:color w:val="auto"/>
          <w:sz w:val="24"/>
          <w:szCs w:val="24"/>
          <w:highlight w:val="none"/>
          <w:lang w:val="en-US" w:eastAsia="zh-CN"/>
        </w:rPr>
        <w:t xml:space="preserve">技术、</w:t>
      </w:r>
      <w:r>
        <w:rPr>
          <w:rFonts w:hint="eastAsia" w:ascii="宋体" w:hAnsi="宋体" w:eastAsia="宋体" w:cs="宋体"/>
          <w:b/>
          <w:color w:val="auto"/>
          <w:sz w:val="24"/>
          <w:szCs w:val="24"/>
          <w:highlight w:val="none"/>
        </w:rPr>
        <w:t xml:space="preserve">效率等要求:</w:t>
      </w:r>
      <w:r/>
    </w:p>
    <w:p>
      <w:pPr>
        <w:ind w:firstLine="424"/>
        <w:jc w:val="left"/>
        <w:keepLines w:val="0"/>
        <w:keepNext w:val="0"/>
        <w:pageBreakBefore w:val="0"/>
        <w:spacing w:before="72" w:after="72" w:line="360" w:lineRule="auto"/>
        <w:widowControl/>
        <w:rPr>
          <w:rFonts w:hint="eastAsia" w:ascii="宋体" w:hAnsi="宋体" w:cs="宋体"/>
          <w:bCs/>
          <w:color w:val="auto"/>
          <w:sz w:val="24"/>
          <w:highlight w:val="none"/>
        </w:rPr>
      </w:pPr>
      <w:r>
        <w:rPr>
          <w:rFonts w:hint="eastAsia" w:ascii="宋体" w:hAnsi="宋体" w:eastAsia="宋体" w:cs="宋体"/>
          <w:bCs/>
          <w:color w:val="auto"/>
          <w:sz w:val="24"/>
          <w:szCs w:val="20"/>
          <w:highlight w:val="none"/>
        </w:rPr>
        <w:t xml:space="preserve">1、服务期</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w:t>
      </w:r>
      <w:r/>
    </w:p>
    <w:p>
      <w:pPr>
        <w:ind w:firstLine="424"/>
        <w:jc w:val="left"/>
        <w:keepLines w:val="0"/>
        <w:keepNext w:val="0"/>
        <w:pageBreakBefore w:val="0"/>
        <w:spacing w:before="72" w:after="72" w:line="360" w:lineRule="auto"/>
        <w:widowControl/>
        <w:rPr>
          <w:rFonts w:hint="default" w:ascii="宋体" w:hAnsi="宋体" w:eastAsia="宋体" w:cs="宋体"/>
          <w:bCs/>
          <w:color w:val="auto"/>
          <w:sz w:val="24"/>
          <w:szCs w:val="20"/>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误期违约金：合同总价的万分之五/天</w:t>
      </w:r>
      <w:r>
        <w:rPr>
          <w:rFonts w:hint="eastAsia" w:ascii="宋体" w:hAnsi="宋体" w:eastAsia="宋体" w:cs="宋体"/>
          <w:bCs/>
          <w:color w:val="auto"/>
          <w:sz w:val="24"/>
          <w:szCs w:val="20"/>
          <w:highlight w:val="none"/>
          <w:lang w:val="en-US" w:eastAsia="zh-CN"/>
        </w:rPr>
        <w:t xml:space="preserve">。</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val="en-US" w:eastAsia="zh-CN"/>
        </w:rPr>
        <w:t xml:space="preserve">3</w:t>
      </w:r>
      <w:r>
        <w:rPr>
          <w:rFonts w:hint="eastAsia" w:ascii="宋体" w:hAnsi="宋体" w:eastAsia="宋体" w:cs="宋体"/>
          <w:bCs/>
          <w:color w:val="auto"/>
          <w:sz w:val="24"/>
          <w:szCs w:val="20"/>
          <w:highlight w:val="none"/>
        </w:rPr>
        <w:t xml:space="preserve">、质量要求：一次性验收通过，100%合格</w:t>
      </w:r>
      <w:r>
        <w:rPr>
          <w:rFonts w:hint="eastAsia" w:ascii="宋体" w:hAnsi="宋体" w:eastAsia="宋体" w:cs="宋体"/>
          <w:bCs/>
          <w:color w:val="auto"/>
          <w:sz w:val="24"/>
          <w:szCs w:val="20"/>
          <w:highlight w:val="none"/>
          <w:lang w:eastAsia="zh-CN"/>
        </w:rPr>
        <w:t xml:space="preserve">。</w:t>
      </w:r>
      <w:r/>
    </w:p>
    <w:p>
      <w:pPr>
        <w:ind w:firstLine="424"/>
        <w:jc w:val="left"/>
        <w:keepLines w:val="0"/>
        <w:keepNext w:val="0"/>
        <w:pageBreakBefore w:val="0"/>
        <w:spacing w:before="72" w:after="72" w:line="360" w:lineRule="auto"/>
        <w:widowControl/>
        <w:rPr>
          <w:rFonts w:hint="default"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4、质量违约金：合同价款的5%。</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5、技术规格要求：详见招标清单。</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val="en-US" w:eastAsia="zh-CN"/>
        </w:rPr>
        <w:t xml:space="preserve">6</w:t>
      </w:r>
      <w:r>
        <w:rPr>
          <w:rFonts w:hint="eastAsia" w:ascii="宋体" w:hAnsi="宋体" w:eastAsia="宋体" w:cs="宋体"/>
          <w:bCs/>
          <w:color w:val="auto"/>
          <w:sz w:val="24"/>
          <w:szCs w:val="20"/>
          <w:highlight w:val="none"/>
        </w:rPr>
        <w:t xml:space="preserve">、养护标准和质保期：《江苏省城市园林绿化养护管理规范及分级标准》一级养护标准</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缺陷责任养护期：</w:t>
      </w:r>
      <w:r>
        <w:rPr>
          <w:rFonts w:hint="eastAsia" w:ascii="宋体" w:hAnsi="宋体" w:eastAsia="宋体" w:cs="宋体"/>
          <w:bCs/>
          <w:color w:val="auto"/>
          <w:sz w:val="24"/>
          <w:szCs w:val="20"/>
          <w:highlight w:val="none"/>
          <w:lang w:val="en-US" w:eastAsia="zh-CN"/>
        </w:rPr>
        <w:t xml:space="preserve">3个月</w:t>
      </w:r>
      <w:r>
        <w:rPr>
          <w:rFonts w:hint="eastAsia" w:ascii="宋体" w:hAnsi="宋体" w:eastAsia="宋体" w:cs="宋体"/>
          <w:bCs/>
          <w:color w:val="auto"/>
          <w:sz w:val="24"/>
          <w:szCs w:val="20"/>
          <w:highlight w:val="none"/>
        </w:rPr>
        <w:t xml:space="preserve">（</w:t>
      </w:r>
      <w:r>
        <w:rPr>
          <w:rFonts w:hint="eastAsia" w:ascii="宋体" w:hAnsi="宋体" w:eastAsia="宋体" w:cs="宋体"/>
          <w:color w:val="auto"/>
          <w:sz w:val="24"/>
          <w:szCs w:val="24"/>
          <w:highlight w:val="none"/>
          <w:lang w:eastAsia="zh-CN"/>
        </w:rPr>
        <w:t xml:space="preserve">通过竣工</w:t>
      </w:r>
      <w:r>
        <w:rPr>
          <w:rFonts w:hint="eastAsia" w:ascii="宋体" w:hAnsi="宋体" w:eastAsia="宋体" w:cs="宋体"/>
          <w:color w:val="auto"/>
          <w:sz w:val="24"/>
          <w:szCs w:val="24"/>
          <w:highlight w:val="none"/>
          <w:lang w:val="en-US" w:eastAsia="zh-CN"/>
        </w:rPr>
        <w:t xml:space="preserve">预</w:t>
      </w:r>
      <w:r>
        <w:rPr>
          <w:rFonts w:hint="eastAsia" w:ascii="宋体" w:hAnsi="宋体" w:eastAsia="宋体" w:cs="宋体"/>
          <w:color w:val="auto"/>
          <w:sz w:val="24"/>
          <w:szCs w:val="24"/>
          <w:highlight w:val="none"/>
          <w:lang w:eastAsia="zh-CN"/>
        </w:rPr>
        <w:t xml:space="preserve">验收之日起</w:t>
      </w:r>
      <w:r>
        <w:rPr>
          <w:rFonts w:hint="eastAsia" w:ascii="宋体" w:hAnsi="宋体" w:eastAsia="宋体" w:cs="宋体"/>
          <w:bCs/>
          <w:color w:val="auto"/>
          <w:sz w:val="24"/>
          <w:szCs w:val="20"/>
          <w:highlight w:val="none"/>
        </w:rPr>
        <w:t xml:space="preserve">）</w:t>
      </w:r>
      <w:r>
        <w:rPr>
          <w:rFonts w:hint="eastAsia" w:ascii="宋体" w:hAnsi="宋体" w:eastAsia="宋体" w:cs="宋体"/>
          <w:bCs/>
          <w:color w:val="auto"/>
          <w:sz w:val="24"/>
          <w:szCs w:val="20"/>
          <w:highlight w:val="none"/>
          <w:lang w:eastAsia="zh-CN"/>
        </w:rPr>
        <w:t xml:space="preserve">。</w:t>
      </w:r>
      <w:r/>
    </w:p>
    <w:p>
      <w:pPr>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五、采购标的的验收标准：</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《园林绿化工程施工及验收规范》（DGJ32/TJ201-2016）、《江苏省城市园林绿化养护管理规范及分级标准》2015-00029、《无锡市城市绿化管理条例》、《无锡市建设工程安全生产管理条例》</w:t>
      </w:r>
      <w:r>
        <w:rPr>
          <w:rFonts w:hint="eastAsia" w:ascii="宋体" w:hAnsi="宋体" w:eastAsia="宋体" w:cs="宋体"/>
          <w:bCs/>
          <w:color w:val="auto"/>
          <w:sz w:val="24"/>
          <w:szCs w:val="20"/>
          <w:highlight w:val="none"/>
          <w:lang w:eastAsia="zh-CN"/>
        </w:rPr>
        <w:t xml:space="preserve">、《城市道路绿化设计标准》</w:t>
      </w:r>
      <w:r>
        <w:rPr>
          <w:rFonts w:hint="eastAsia" w:ascii="宋体" w:hAnsi="宋体" w:eastAsia="宋体" w:cs="宋体"/>
          <w:bCs/>
          <w:color w:val="auto"/>
          <w:sz w:val="24"/>
          <w:szCs w:val="20"/>
          <w:highlight w:val="none"/>
          <w:lang w:val="en-US" w:eastAsia="zh-CN"/>
        </w:rPr>
        <w:t xml:space="preserve">CJJ</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T</w:t>
      </w:r>
      <w:r>
        <w:rPr>
          <w:rFonts w:hint="eastAsia" w:ascii="宋体" w:hAnsi="宋体" w:eastAsia="宋体" w:cs="宋体"/>
          <w:bCs/>
          <w:color w:val="auto"/>
          <w:sz w:val="24"/>
          <w:szCs w:val="20"/>
          <w:highlight w:val="none"/>
          <w:lang w:eastAsia="zh-CN"/>
        </w:rPr>
        <w:t xml:space="preserve">75-2023</w:t>
      </w:r>
      <w:r>
        <w:rPr>
          <w:rFonts w:hint="eastAsia" w:ascii="宋体" w:hAnsi="宋体" w:eastAsia="宋体" w:cs="宋体"/>
          <w:bCs/>
          <w:color w:val="auto"/>
          <w:sz w:val="24"/>
          <w:szCs w:val="20"/>
          <w:highlight w:val="none"/>
        </w:rPr>
        <w:t xml:space="preserve">等施工及验收规范。</w:t>
      </w:r>
      <w:r/>
    </w:p>
    <w:p>
      <w:pPr>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六、采购标的的其他情况：</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1、资金来源：财政资金</w:t>
      </w:r>
      <w:r/>
    </w:p>
    <w:p>
      <w:pPr>
        <w:ind w:firstLine="424"/>
        <w:jc w:val="left"/>
        <w:keepLines w:val="0"/>
        <w:keepNext w:val="0"/>
        <w:pageBreakBefore w:val="0"/>
        <w:spacing w:before="72" w:after="72" w:line="360" w:lineRule="auto"/>
        <w:widowControl/>
        <w:rPr>
          <w:rFonts w:hint="default"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2、工程地点：</w:t>
      </w:r>
      <w:r>
        <w:rPr>
          <w:rFonts w:hint="eastAsia" w:ascii="宋体" w:hAnsi="宋体" w:eastAsia="宋体" w:cs="宋体"/>
          <w:bCs/>
          <w:color w:val="auto"/>
          <w:sz w:val="24"/>
          <w:szCs w:val="20"/>
          <w:highlight w:val="none"/>
          <w:lang w:val="en-US" w:eastAsia="zh-CN"/>
        </w:rPr>
        <w:t xml:space="preserve">全市范围内</w:t>
      </w:r>
      <w:r/>
    </w:p>
    <w:p>
      <w:pPr>
        <w:ind w:firstLine="424"/>
        <w:jc w:val="left"/>
        <w:keepLines w:val="0"/>
        <w:keepNext w:val="0"/>
        <w:pageBreakBefore w:val="0"/>
        <w:spacing w:before="72" w:after="72" w:line="360" w:lineRule="auto"/>
        <w:widowControl/>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3.</w:t>
      </w:r>
      <w:r>
        <w:rPr>
          <w:rFonts w:hint="eastAsia" w:ascii="宋体" w:hAnsi="宋体" w:eastAsia="宋体" w:cs="宋体"/>
          <w:bCs/>
          <w:color w:val="auto"/>
          <w:sz w:val="24"/>
          <w:szCs w:val="20"/>
          <w:highlight w:val="none"/>
        </w:rPr>
        <w:t xml:space="preserve">采购预算（最高限价）：</w:t>
      </w:r>
      <w:r>
        <w:rPr>
          <w:rFonts w:hint="eastAsia" w:ascii="宋体" w:hAnsi="宋体" w:eastAsia="宋体" w:cs="宋体"/>
          <w:bCs/>
          <w:color w:val="auto"/>
          <w:sz w:val="24"/>
          <w:szCs w:val="20"/>
          <w:highlight w:val="none"/>
          <w:lang w:val="en-US" w:eastAsia="zh-CN"/>
        </w:rPr>
        <w:t xml:space="preserve">1414044.00</w:t>
      </w:r>
      <w:r>
        <w:rPr>
          <w:rFonts w:hint="eastAsia" w:ascii="宋体" w:hAnsi="宋体" w:eastAsia="宋体" w:cs="宋体"/>
          <w:bCs/>
          <w:color w:val="auto"/>
          <w:sz w:val="24"/>
          <w:szCs w:val="20"/>
          <w:highlight w:val="none"/>
          <w:lang w:eastAsia="zh-CN"/>
        </w:rPr>
        <w:t xml:space="preserve">元</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七、采购标的的其他技术、服务等要求：</w:t>
      </w:r>
      <w:r/>
    </w:p>
    <w:p>
      <w:pPr>
        <w:pStyle w:val="118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作业期间需要占用交通道路的，需向交警部门进行备案，根据现场实际情况进行安全隔离。</w:t>
      </w:r>
      <w:r/>
    </w:p>
    <w:p>
      <w:pPr>
        <w:pStyle w:val="118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2.作业期间遇有燃气等重要管线区域，应先行联系相关主管单位，安排专职安全员现场监督施工，确保设施安全。</w:t>
      </w:r>
      <w:r/>
    </w:p>
    <w:p>
      <w:pPr>
        <w:pStyle w:val="118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安全文明施工要求，对施工队伍进行安全教育，每天对安全工作进行检查，对人员绝缘手套、反光背心、安全帽佩戴进行检查。移植场地及种植场地出入口安排人员不定时进行保洁工作，在树木吊装结束后，及时将现场的落叶、散土等垃圾及时清扫干净，如遇有阴雨天，安排水车对车辆轮胎及路面冲洗干净。在移植、修剪等作业过程中，要求工人必须</w:t>
      </w:r>
      <w:r>
        <w:rPr>
          <w:rFonts w:hint="eastAsia" w:ascii="宋体" w:hAnsi="宋体" w:eastAsia="宋体" w:cs="宋体"/>
          <w:color w:val="auto"/>
          <w:sz w:val="24"/>
          <w:szCs w:val="24"/>
          <w:highlight w:val="none"/>
          <w:lang w:eastAsia="zh-CN"/>
        </w:rPr>
        <w:t xml:space="preserve">戴</w:t>
      </w:r>
      <w:r>
        <w:rPr>
          <w:rFonts w:hint="eastAsia" w:ascii="宋体" w:hAnsi="宋体" w:eastAsia="宋体" w:cs="宋体"/>
          <w:color w:val="auto"/>
          <w:sz w:val="24"/>
          <w:szCs w:val="24"/>
          <w:highlight w:val="none"/>
        </w:rPr>
        <w:t xml:space="preserve">好安全帽，现场必须有管理人员指挥作业。</w:t>
      </w:r>
      <w:r/>
    </w:p>
    <w:p>
      <w:pPr>
        <w:pStyle w:val="118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4.合同期间所产生的绿化废弃物应集中运输堆放至相关地点进行无害处理。</w:t>
      </w:r>
      <w:r/>
    </w:p>
    <w:p>
      <w:pPr>
        <w:pStyle w:val="118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无锡市环境噪声污染防治理办法》规定，12时至14时，19时至次日7时期间不得进行产生环境噪声污染的作业。在其他时间进行作业的，应当采取有效措施，避免或者减轻对周围居民造成环境噪声污染。如因噪音问题被市民投诉，应考虑处理预案。</w:t>
      </w:r>
      <w:r/>
    </w:p>
    <w:p>
      <w:pPr>
        <w:pStyle w:val="118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6.属施工范围内的地下管线及其他设施损坏，属于承包人的责任，修理费用由承包人承担；若承包人对地下管线及其他设施有不负责任行为，除修复并承担修复费用外，视情节严重程度</w:t>
      </w:r>
      <w:r>
        <w:rPr>
          <w:rFonts w:hint="eastAsia" w:ascii="宋体" w:hAnsi="宋体" w:eastAsia="宋体" w:cs="宋体"/>
          <w:color w:val="auto"/>
          <w:sz w:val="24"/>
          <w:szCs w:val="24"/>
          <w:highlight w:val="none"/>
          <w:lang w:eastAsia="zh-CN"/>
        </w:rPr>
        <w:t xml:space="preserve">给予一定</w:t>
      </w:r>
      <w:r>
        <w:rPr>
          <w:rFonts w:hint="eastAsia" w:ascii="宋体" w:hAnsi="宋体" w:eastAsia="宋体" w:cs="宋体"/>
          <w:color w:val="auto"/>
          <w:sz w:val="24"/>
          <w:szCs w:val="24"/>
          <w:highlight w:val="none"/>
        </w:rPr>
        <w:t xml:space="preserve">数额的罚款。</w:t>
      </w:r>
      <w:r/>
    </w:p>
    <w:p>
      <w:pPr>
        <w:jc w:val="left"/>
        <w:keepLines w:val="0"/>
        <w:keepNext w:val="0"/>
        <w:pageBreakBefore w:val="0"/>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p>
      <w:pPr>
        <w:pStyle w:val="920"/>
        <w:rPr>
          <w:rFonts w:hint="eastAsia" w:ascii="宋体" w:hAnsi="宋体" w:eastAsia="宋体" w:cs="宋体"/>
          <w:color w:val="4a4a4a"/>
          <w:szCs w:val="21"/>
          <w:highlight w:val="none"/>
          <w14:ligatures w14:val="none"/>
        </w:rPr>
      </w:pPr>
      <w:r>
        <w:rPr>
          <w:rFonts w:hint="eastAsia" w:ascii="宋体" w:hAnsi="宋体" w:eastAsia="宋体" w:cs="宋体"/>
          <w:color w:val="4a4a4a"/>
          <w:szCs w:val="21"/>
          <w:highlight w:val="none"/>
          <w14:ligatures w14:val="none"/>
        </w:rPr>
      </w:r>
      <w:r/>
    </w:p>
    <w:p>
      <w:pPr>
        <w:pStyle w:val="920"/>
        <w:rPr>
          <w:rFonts w:hint="eastAsia" w:ascii="宋体" w:hAnsi="宋体" w:eastAsia="宋体" w:cs="宋体"/>
          <w:color w:val="4a4a4a"/>
          <w:szCs w:val="21"/>
          <w:highlight w:val="none"/>
          <w14:ligatures w14:val="none"/>
        </w:rPr>
      </w:pPr>
      <w:r>
        <w:rPr>
          <w:rFonts w:hint="eastAsia" w:ascii="宋体" w:hAnsi="宋体" w:eastAsia="宋体" w:cs="宋体"/>
          <w:color w:val="4a4a4a"/>
          <w:szCs w:val="21"/>
          <w:highlight w:val="none"/>
          <w14:ligatures w14:val="none"/>
        </w:rPr>
      </w:r>
      <w:r/>
    </w:p>
    <w:p>
      <w:pPr>
        <w:pStyle w:val="920"/>
        <w:rPr>
          <w:rFonts w:hint="eastAsia" w:ascii="宋体" w:hAnsi="宋体" w:eastAsia="宋体" w:cs="宋体"/>
          <w:color w:val="4a4a4a"/>
          <w:szCs w:val="21"/>
          <w:highlight w:val="none"/>
          <w14:ligatures w14:val="none"/>
        </w:rPr>
      </w:pPr>
      <w:r>
        <w:rPr>
          <w:rFonts w:hint="eastAsia" w:ascii="宋体" w:hAnsi="宋体" w:eastAsia="宋体" w:cs="宋体"/>
          <w:color w:val="4a4a4a"/>
          <w:szCs w:val="21"/>
          <w:highlight w:val="none"/>
          <w14:ligatures w14:val="none"/>
        </w:rPr>
      </w:r>
      <w:r/>
    </w:p>
    <w:p>
      <w:pPr>
        <w:pStyle w:val="920"/>
        <w:rPr>
          <w:rFonts w:hint="eastAsia" w:ascii="宋体" w:hAnsi="宋体" w:eastAsia="宋体" w:cs="宋体"/>
          <w:color w:val="4a4a4a"/>
          <w:szCs w:val="21"/>
          <w:highlight w:val="none"/>
          <w14:ligatures w14:val="none"/>
        </w:rPr>
      </w:pPr>
      <w:r>
        <w:rPr>
          <w:rFonts w:hint="eastAsia" w:ascii="宋体" w:hAnsi="宋体" w:eastAsia="宋体" w:cs="宋体"/>
          <w:color w:val="4a4a4a"/>
          <w:szCs w:val="21"/>
          <w:highlight w:val="none"/>
          <w14:ligatures w14:val="none"/>
        </w:rPr>
      </w:r>
      <w:r/>
    </w:p>
    <w:p>
      <w:pPr>
        <w:pStyle w:val="920"/>
        <w:rPr>
          <w:rFonts w:hint="eastAsia" w:ascii="宋体" w:hAnsi="宋体" w:eastAsia="宋体" w:cs="宋体"/>
          <w:color w:val="4a4a4a"/>
          <w:szCs w:val="21"/>
          <w:highlight w:val="none"/>
          <w14:ligatures w14:val="none"/>
        </w:rPr>
      </w:pPr>
      <w:r>
        <w:rPr>
          <w:rFonts w:hint="eastAsia" w:ascii="宋体" w:hAnsi="宋体" w:eastAsia="宋体" w:cs="宋体"/>
          <w:color w:val="4a4a4a"/>
          <w:szCs w:val="21"/>
          <w:highlight w:val="none"/>
          <w14:ligatures w14:val="none"/>
        </w:rPr>
      </w:r>
      <w:r/>
    </w:p>
    <w:p>
      <w:pPr>
        <w:pStyle w:val="920"/>
        <w:rPr>
          <w:rFonts w:hint="eastAsia" w:ascii="宋体" w:hAnsi="宋体" w:eastAsia="宋体" w:cs="宋体"/>
          <w:color w:val="4a4a4a"/>
          <w:szCs w:val="21"/>
          <w:highlight w:val="none"/>
          <w14:ligatures w14:val="none"/>
        </w:rPr>
      </w:pPr>
      <w:r>
        <w:rPr>
          <w:rFonts w:hint="eastAsia" w:ascii="宋体" w:hAnsi="宋体" w:eastAsia="宋体" w:cs="宋体"/>
          <w:color w:val="4a4a4a"/>
          <w:szCs w:val="21"/>
          <w:highlight w:val="none"/>
          <w14:ligatures w14:val="none"/>
        </w:rPr>
      </w:r>
      <w:r/>
    </w:p>
    <w:p>
      <w:pPr>
        <w:jc w:val="center"/>
        <w:spacing w:line="360" w:lineRule="auto"/>
        <w:rPr>
          <w:rFonts w:hint="eastAsia" w:ascii="黑体" w:hAnsi="宋体" w:eastAsia="黑体"/>
          <w:b/>
          <w:color w:val="auto"/>
          <w:sz w:val="28"/>
          <w:szCs w:val="28"/>
          <w:highlight w:val="none"/>
        </w:rPr>
        <w:outlineLvl w:val="2"/>
      </w:pPr>
      <w:r>
        <w:rPr>
          <w:rFonts w:hint="eastAsia" w:ascii="宋体" w:hAnsi="宋体" w:eastAsia="宋体" w:cs="宋体"/>
          <w:b/>
          <w:sz w:val="36"/>
          <w:szCs w:val="28"/>
          <w:highlight w:val="none"/>
        </w:rPr>
        <w:t xml:space="preserve">四．合同</w:t>
      </w:r>
      <w:r>
        <w:rPr>
          <w:rFonts w:hint="eastAsia" w:ascii="宋体" w:hAnsi="宋体" w:eastAsia="宋体" w:cs="宋体"/>
          <w:b/>
          <w:sz w:val="36"/>
          <w:szCs w:val="28"/>
          <w:highlight w:val="none"/>
          <w:lang w:val="en-US" w:eastAsia="zh-CN"/>
        </w:rPr>
        <w:t xml:space="preserve">文本（格式文本）</w:t>
      </w:r>
      <w:r/>
    </w:p>
    <w:p>
      <w:pPr>
        <w:jc w:val="center"/>
        <w:rPr>
          <w:rFonts w:ascii="宋体" w:hAnsi="Times New Roman" w:eastAsia="仿宋_GB2312" w:cs="Times New Roman"/>
          <w:bCs/>
          <w:color w:val="auto"/>
          <w:sz w:val="32"/>
          <w:szCs w:val="32"/>
          <w:highlight w:val="none"/>
        </w:rPr>
      </w:pPr>
      <w:r>
        <w:rPr>
          <w:rFonts w:ascii="宋体" w:hAnsi="Times New Roman" w:eastAsia="仿宋_GB2312" w:cs="Times New Roman"/>
          <w:bCs/>
          <w:color w:val="auto"/>
          <w:sz w:val="32"/>
          <w:szCs w:val="32"/>
          <w:highlight w:val="none"/>
        </w:rPr>
        <w:t xml:space="preserve">（GF—201</w:t>
      </w:r>
      <w:r>
        <w:rPr>
          <w:rFonts w:hint="eastAsia" w:ascii="宋体" w:hAnsi="Times New Roman" w:eastAsia="仿宋_GB2312" w:cs="Times New Roman"/>
          <w:bCs/>
          <w:color w:val="auto"/>
          <w:sz w:val="32"/>
          <w:szCs w:val="32"/>
          <w:highlight w:val="none"/>
        </w:rPr>
        <w:t xml:space="preserve">7</w:t>
      </w:r>
      <w:r>
        <w:rPr>
          <w:rFonts w:ascii="宋体" w:hAnsi="Times New Roman" w:eastAsia="仿宋_GB2312" w:cs="Times New Roman"/>
          <w:bCs/>
          <w:color w:val="auto"/>
          <w:sz w:val="32"/>
          <w:szCs w:val="32"/>
          <w:highlight w:val="none"/>
        </w:rPr>
        <w:t xml:space="preserve">—</w:t>
      </w:r>
      <w:r>
        <w:rPr>
          <w:rFonts w:hint="eastAsia" w:ascii="宋体" w:hAnsi="Times New Roman" w:eastAsia="仿宋_GB2312" w:cs="Times New Roman"/>
          <w:bCs/>
          <w:color w:val="auto"/>
          <w:sz w:val="32"/>
          <w:szCs w:val="32"/>
          <w:highlight w:val="none"/>
        </w:rPr>
        <w:t xml:space="preserve">0201）</w:t>
      </w:r>
      <w:r/>
    </w:p>
    <w:p>
      <w:pPr>
        <w:jc w:val="center"/>
        <w:rPr>
          <w:rFonts w:hint="eastAsia" w:ascii="宋体" w:hAnsi="Times New Roman" w:eastAsia="华文中宋" w:cs="Times New Roman"/>
          <w:b/>
          <w:color w:val="auto"/>
          <w:sz w:val="72"/>
          <w:szCs w:val="52"/>
          <w:highlight w:val="none"/>
          <w:lang w:eastAsia="zh-CN"/>
        </w:rPr>
      </w:pPr>
      <w:r>
        <w:rPr>
          <w:rFonts w:ascii="宋体" w:hAnsi="Times New Roman" w:eastAsia="华文中宋" w:cs="Times New Roman"/>
          <w:b/>
          <w:color w:val="auto"/>
          <w:sz w:val="72"/>
          <w:szCs w:val="52"/>
          <w:highlight w:val="none"/>
        </w:rPr>
        <w:t xml:space="preserve">建设工程施工合同</w:t>
      </w:r>
      <w:r/>
    </w:p>
    <w:p>
      <w:pPr>
        <w:jc w:val="center"/>
        <w:rPr>
          <w:rFonts w:ascii="宋体" w:hAnsi="Times New Roman" w:eastAsia="华文中宋" w:cs="Times New Roman"/>
          <w:b/>
          <w:color w:val="auto"/>
          <w:sz w:val="52"/>
          <w:szCs w:val="52"/>
          <w:highlight w:val="none"/>
        </w:rPr>
      </w:pPr>
      <w:r>
        <w:rPr>
          <w:rFonts w:ascii="宋体" w:hAnsi="Times New Roman" w:eastAsia="华文中宋" w:cs="Times New Roman"/>
          <w:b/>
          <w:color w:val="auto"/>
          <w:sz w:val="52"/>
          <w:szCs w:val="52"/>
          <w:highlight w:val="none"/>
        </w:rPr>
        <w:t xml:space="preserve">（示范文本）</w:t>
      </w:r>
      <w:r/>
    </w:p>
    <w:p>
      <w:pPr>
        <w:jc w:val="center"/>
        <w:rPr>
          <w:rFonts w:ascii="宋体" w:hAnsi="Times New Roman" w:eastAsia="华文中宋" w:cs="Times New Roman"/>
          <w:b/>
          <w:color w:val="auto"/>
          <w:sz w:val="52"/>
          <w:szCs w:val="52"/>
          <w:highlight w:val="none"/>
        </w:rPr>
      </w:pPr>
      <w:r>
        <w:rPr>
          <w:rFonts w:ascii="宋体" w:hAnsi="Times New Roman" w:eastAsia="华文中宋" w:cs="Times New Roman"/>
          <w:b/>
          <w:color w:val="auto"/>
          <w:sz w:val="52"/>
          <w:szCs w:val="52"/>
          <w:highlight w:val="none"/>
        </w:rPr>
      </w:r>
      <w:r/>
    </w:p>
    <w:p>
      <w:pPr>
        <w:jc w:val="center"/>
        <w:rPr>
          <w:rFonts w:ascii="宋体" w:hAnsi="Times New Roman" w:eastAsia="黑体" w:cs="Times New Roman"/>
          <w:b/>
          <w:color w:val="auto"/>
          <w:sz w:val="72"/>
          <w:szCs w:val="72"/>
          <w:highlight w:val="none"/>
        </w:rPr>
      </w:pPr>
      <w:r>
        <w:rPr>
          <w:rFonts w:ascii="宋体" w:hAnsi="Times New Roman" w:eastAsia="黑体" w:cs="Times New Roman"/>
          <w:b/>
          <w:color w:val="auto"/>
          <w:sz w:val="72"/>
          <w:szCs w:val="72"/>
          <w:highlight w:val="none"/>
        </w:rPr>
      </w:r>
      <w:r/>
    </w:p>
    <w:p>
      <w:pPr>
        <w:jc w:val="center"/>
        <w:rPr>
          <w:rFonts w:ascii="宋体" w:hAnsi="Times New Roman" w:eastAsia="楷体_GB2312" w:cs="Times New Roman"/>
          <w:b/>
          <w:color w:val="auto"/>
          <w:sz w:val="72"/>
          <w:szCs w:val="72"/>
          <w:highlight w:val="none"/>
        </w:rPr>
      </w:pPr>
      <w:r>
        <w:rPr>
          <w:rFonts w:ascii="宋体" w:hAnsi="Times New Roman" w:eastAsia="楷体_GB2312" w:cs="Times New Roman"/>
          <w:b/>
          <w:color w:val="auto"/>
          <w:sz w:val="72"/>
          <w:szCs w:val="72"/>
          <w:highlight w:val="none"/>
        </w:rPr>
      </w:r>
      <w:r/>
    </w:p>
    <w:p>
      <w:pPr>
        <w:jc w:val="center"/>
        <w:rPr>
          <w:rFonts w:ascii="宋体" w:hAnsi="Times New Roman" w:eastAsia="黑体" w:cs="Times New Roman"/>
          <w:b/>
          <w:color w:val="auto"/>
          <w:sz w:val="52"/>
          <w:szCs w:val="52"/>
          <w:highlight w:val="none"/>
        </w:rPr>
      </w:pPr>
      <w:r>
        <w:rPr>
          <w:rFonts w:ascii="宋体" w:hAnsi="Times New Roman" w:eastAsia="黑体" w:cs="Times New Roman"/>
          <w:b/>
          <w:color w:val="auto"/>
          <w:sz w:val="52"/>
          <w:szCs w:val="52"/>
          <w:highlight w:val="none"/>
        </w:rPr>
      </w:r>
      <w:r/>
    </w:p>
    <w:p>
      <w:pPr>
        <w:rPr>
          <w:rFonts w:ascii="宋体" w:hAnsi="Times New Roman" w:eastAsia="宋体" w:cs="Times New Roman"/>
          <w:b/>
          <w:color w:val="auto"/>
          <w:sz w:val="28"/>
          <w:szCs w:val="28"/>
          <w:highlight w:val="none"/>
        </w:rPr>
      </w:pPr>
      <w:r>
        <w:rPr>
          <w:rFonts w:ascii="宋体" w:hAnsi="Times New Roman" w:eastAsia="宋体" w:cs="Times New Roman"/>
          <w:b/>
          <w:color w:val="auto"/>
          <w:sz w:val="28"/>
          <w:szCs w:val="28"/>
          <w:highlight w:val="none"/>
        </w:rPr>
      </w:r>
      <w:r/>
    </w:p>
    <w:p>
      <w:pPr>
        <w:rPr>
          <w:rFonts w:ascii="宋体" w:hAnsi="Times New Roman" w:eastAsia="宋体" w:cs="Times New Roman"/>
          <w:b/>
          <w:color w:val="auto"/>
          <w:sz w:val="28"/>
          <w:szCs w:val="28"/>
          <w:highlight w:val="none"/>
        </w:rPr>
      </w:pPr>
      <w:r>
        <w:rPr>
          <w:rFonts w:ascii="宋体" w:hAnsi="Times New Roman" w:eastAsia="宋体" w:cs="Times New Roman"/>
          <w:b/>
          <w:color w:val="auto"/>
          <w:sz w:val="28"/>
          <w:szCs w:val="28"/>
          <w:highlight w:val="none"/>
        </w:rPr>
      </w:r>
      <w:r/>
    </w:p>
    <w:p>
      <w:pPr>
        <w:rPr>
          <w:rFonts w:ascii="宋体" w:hAnsi="Times New Roman" w:eastAsia="宋体" w:cs="Times New Roman"/>
          <w:b/>
          <w:color w:val="auto"/>
          <w:sz w:val="28"/>
          <w:szCs w:val="28"/>
          <w:highlight w:val="none"/>
        </w:rPr>
      </w:pPr>
      <w:r>
        <w:rPr>
          <w:rFonts w:ascii="宋体" w:hAnsi="Times New Roman" w:eastAsia="宋体" w:cs="Times New Roman"/>
          <w:b/>
          <w:color w:val="auto"/>
          <w:sz w:val="28"/>
          <w:szCs w:val="28"/>
          <w:highlight w:val="none"/>
        </w:rPr>
      </w:r>
      <w:r/>
    </w:p>
    <w:p>
      <w:pPr>
        <w:ind w:right="2719"/>
        <w:jc w:val="both"/>
        <w:rPr>
          <w:rFonts w:ascii="宋体" w:hAnsi="Times New Roman" w:eastAsia="宋体" w:cs="Times New Roman"/>
          <w:b/>
          <w:color w:val="auto"/>
          <w:sz w:val="32"/>
          <w:szCs w:val="28"/>
          <w:highlight w:val="none"/>
        </w:rPr>
      </w:pPr>
      <w:r>
        <w:rPr>
          <w:rFonts w:ascii="宋体" w:hAnsi="Times New Roman" w:eastAsia="宋体" w:cs="Times New Roman"/>
          <w:color w:val="auto"/>
          <w:sz w:val="3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5080" b="508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ascii="宋体" w:hAnsi="Times New Roman" w:eastAsia="宋体" w:cs="Times New Roman"/>
                                <w:b/>
                                <w:bCs/>
                                <w:sz w:val="32"/>
                              </w:rPr>
                            </w:pPr>
                            <w:r>
                              <w:rPr>
                                <w:rFonts w:hint="eastAsia" w:ascii="宋体" w:hAnsi="Times New Roman" w:eastAsia="宋体" w:cs="Times New Roman"/>
                                <w:b/>
                                <w:bCs/>
                                <w:sz w:val="32"/>
                              </w:rPr>
                              <w:t xml:space="preserve">制定</w:t>
                            </w:r>
                            <w:r/>
                          </w:p>
                        </w:txbxContent>
                      </wps:txbx>
                      <wps:bodyPr upright="1"/>
                    </wps:wsp>
                  </a:graphicData>
                </a:graphic>
              </wp:anchor>
            </w:drawing>
          </mc:Choice>
          <mc:Fallback>
            <w:pict>
              <v:shape id="shape 5" o:spid="_x0000_s5" o:spt="202" type="#_x0000_t202" style="position:absolute;z-index:25166233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宋体" w:hAnsi="Times New Roman" w:eastAsia="宋体" w:cs="Times New Roman"/>
                          <w:b/>
                          <w:bCs/>
                          <w:sz w:val="32"/>
                        </w:rPr>
                      </w:pPr>
                      <w:r>
                        <w:rPr>
                          <w:rFonts w:hint="eastAsia" w:ascii="宋体" w:hAnsi="Times New Roman" w:eastAsia="宋体" w:cs="Times New Roman"/>
                          <w:b/>
                          <w:bCs/>
                          <w:sz w:val="32"/>
                        </w:rPr>
                        <w:t xml:space="preserve">制定</w:t>
                      </w:r>
                      <w:r/>
                    </w:p>
                  </w:txbxContent>
                </v:textbox>
              </v:shape>
            </w:pict>
          </mc:Fallback>
        </mc:AlternateContent>
      </w:r>
      <w:r>
        <w:rPr>
          <w:rFonts w:hint="eastAsia" w:ascii="宋体" w:hAnsi="Times New Roman" w:eastAsia="宋体" w:cs="Times New Roman"/>
          <w:b/>
          <w:color w:val="auto"/>
          <w:sz w:val="32"/>
          <w:szCs w:val="28"/>
          <w:highlight w:val="none"/>
        </w:rPr>
        <w:t xml:space="preserve">             </w:t>
      </w:r>
      <w:r>
        <w:rPr>
          <w:rFonts w:hint="eastAsia" w:ascii="宋体" w:hAnsi="Times New Roman" w:eastAsia="宋体" w:cs="Times New Roman"/>
          <w:b/>
          <w:color w:val="auto"/>
          <w:sz w:val="32"/>
          <w:szCs w:val="28"/>
          <w:highlight w:val="none"/>
          <w:lang w:eastAsia="zh-CN"/>
        </w:rPr>
        <w:t xml:space="preserve">住房和城乡建设部</w:t>
      </w:r>
      <w:r/>
    </w:p>
    <w:p>
      <w:pPr>
        <w:ind w:right="2719"/>
        <w:jc w:val="center"/>
        <w:rPr>
          <w:rFonts w:ascii="宋体" w:hAnsi="Times New Roman" w:eastAsia="宋体" w:cs="Times New Roman"/>
          <w:b/>
          <w:color w:val="auto"/>
          <w:sz w:val="32"/>
          <w:szCs w:val="28"/>
          <w:highlight w:val="none"/>
        </w:rPr>
        <w:outlineLvl w:val="3"/>
      </w:pPr>
      <w:r>
        <w:rPr>
          <w:rFonts w:hint="eastAsia" w:ascii="宋体" w:hAnsi="Times New Roman" w:eastAsia="宋体" w:cs="Times New Roman"/>
          <w:b/>
          <w:color w:val="auto"/>
          <w:sz w:val="32"/>
          <w:szCs w:val="28"/>
          <w:highlight w:val="none"/>
        </w:rPr>
        <w:t xml:space="preserve">      </w:t>
      </w:r>
      <w:r>
        <w:rPr>
          <w:rFonts w:ascii="宋体" w:hAnsi="Times New Roman" w:eastAsia="宋体" w:cs="Times New Roman"/>
          <w:b/>
          <w:color w:val="auto"/>
          <w:sz w:val="32"/>
          <w:szCs w:val="28"/>
          <w:highlight w:val="none"/>
        </w:rPr>
        <w:t xml:space="preserve">国家工商行政管理总局</w:t>
      </w:r>
      <w:r/>
    </w:p>
    <w:p>
      <w:pPr>
        <w:jc w:val="center"/>
        <w:keepLines/>
        <w:keepNext/>
        <w:pageBreakBefore w:val="0"/>
        <w:spacing w:line="360" w:lineRule="auto"/>
        <w:widowControl w:val="off"/>
        <w:tabs>
          <w:tab w:val="left" w:pos="1800" w:leader="none"/>
        </w:tabs>
        <w:rPr>
          <w:rFonts w:hint="eastAsia" w:ascii="宋体" w:hAnsi="宋体" w:eastAsia="华文细黑" w:cs="Cambria"/>
          <w:b/>
          <w:bCs/>
          <w:color w:val="auto"/>
          <w:sz w:val="32"/>
          <w:szCs w:val="32"/>
          <w:highlight w:val="none"/>
          <w:lang w:val="zh-CN"/>
        </w:rPr>
        <w:outlineLvl w:val="0"/>
      </w:pPr>
      <w:r>
        <w:rPr>
          <w:rFonts w:ascii="宋体" w:hAnsi="Times New Roman" w:eastAsia="宋体" w:cs="Times New Roman"/>
          <w:color w:val="auto"/>
          <w:sz w:val="34"/>
          <w:highlight w:val="none"/>
        </w:rPr>
        <w:br w:type="page" w:clear="all"/>
      </w:r>
      <w:r>
        <w:rPr>
          <w:rFonts w:hint="eastAsia" w:ascii="宋体" w:hAnsi="宋体" w:eastAsia="华文细黑" w:cs="Cambria"/>
          <w:b/>
          <w:bCs/>
          <w:color w:val="auto"/>
          <w:sz w:val="32"/>
          <w:szCs w:val="32"/>
          <w:highlight w:val="none"/>
          <w:lang w:val="zh-CN"/>
        </w:rPr>
        <w:t xml:space="preserve">说  明</w:t>
      </w:r>
      <w:r/>
    </w:p>
    <w:p>
      <w:pPr>
        <w:ind w:firstLine="480"/>
        <w:pageBreakBefore w:val="0"/>
        <w:spacing w:line="36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为了指导建设工程施工合同当事人的签约行为，维护合同当事人的合法权益，依据《中华人民共和国合同法》、《中华人民共和国建筑法》、《中华人民共和国招标投标法》以及相关法律法规，</w:t>
      </w:r>
      <w:r>
        <w:rPr>
          <w:rFonts w:hint="eastAsia" w:ascii="宋体" w:hAnsi="宋体" w:eastAsia="宋体" w:cs="Times New Roman"/>
          <w:color w:val="auto"/>
          <w:sz w:val="24"/>
          <w:highlight w:val="none"/>
          <w:lang w:eastAsia="zh-CN"/>
        </w:rPr>
        <w:t xml:space="preserve">住房和城乡建设部</w:t>
      </w:r>
      <w:r>
        <w:rPr>
          <w:rFonts w:hint="eastAsia" w:ascii="宋体" w:hAnsi="宋体" w:eastAsia="宋体" w:cs="Times New Roman"/>
          <w:color w:val="auto"/>
          <w:sz w:val="24"/>
          <w:highlight w:val="none"/>
        </w:rPr>
        <w:t xml:space="preserve">、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pageBreakBefore w:val="0"/>
        <w:spacing w:line="360" w:lineRule="auto"/>
        <w:widowControl w:val="off"/>
        <w:rPr>
          <w:rFonts w:hint="eastAsia" w:ascii="宋体" w:hAnsi="宋体" w:eastAsia="宋体" w:cs="Times New Roman"/>
          <w:bCs/>
          <w:color w:val="auto"/>
          <w:sz w:val="24"/>
          <w:highlight w:val="none"/>
        </w:rPr>
        <w:outlineLvl w:val="2"/>
      </w:pPr>
      <w:r>
        <w:rPr>
          <w:rFonts w:hint="eastAsia" w:ascii="宋体" w:hAnsi="宋体" w:eastAsia="宋体" w:cs="Times New Roman"/>
          <w:bCs/>
          <w:color w:val="auto"/>
          <w:sz w:val="24"/>
          <w:highlight w:val="none"/>
        </w:rPr>
        <w:t xml:space="preserve">一、《示范文本》的组成</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《示范文本》由合同协议书、通用合同条款和专用合同条款三部分组成。</w:t>
      </w:r>
      <w:r/>
    </w:p>
    <w:p>
      <w:pPr>
        <w:ind w:firstLine="480"/>
        <w:pageBreakBefore w:val="0"/>
        <w:spacing w:line="360" w:lineRule="auto"/>
        <w:widowControl w:val="off"/>
        <w:rPr>
          <w:rFonts w:hint="eastAsia" w:ascii="宋体" w:hAnsi="宋体" w:eastAsia="宋体" w:cs="Times New Roman"/>
          <w:color w:val="auto"/>
          <w:sz w:val="24"/>
          <w:highlight w:val="none"/>
        </w:rPr>
        <w:outlineLvl w:val="3"/>
      </w:pPr>
      <w:r>
        <w:rPr>
          <w:rFonts w:hint="eastAsia" w:ascii="宋体" w:hAnsi="宋体" w:eastAsia="宋体" w:cs="Times New Roman"/>
          <w:color w:val="auto"/>
          <w:sz w:val="24"/>
          <w:highlight w:val="none"/>
        </w:rPr>
        <w:t xml:space="preserve">（一）合同协议书</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pageBreakBefore w:val="0"/>
        <w:spacing w:line="360" w:lineRule="auto"/>
        <w:widowControl w:val="off"/>
        <w:rPr>
          <w:rFonts w:hint="eastAsia" w:ascii="宋体" w:hAnsi="宋体" w:eastAsia="宋体" w:cs="Times New Roman"/>
          <w:color w:val="auto"/>
          <w:sz w:val="24"/>
          <w:highlight w:val="none"/>
        </w:rPr>
        <w:outlineLvl w:val="3"/>
      </w:pPr>
      <w:r>
        <w:rPr>
          <w:rFonts w:hint="eastAsia" w:ascii="宋体" w:hAnsi="宋体" w:eastAsia="宋体" w:cs="Times New Roman"/>
          <w:color w:val="auto"/>
          <w:sz w:val="24"/>
          <w:highlight w:val="none"/>
        </w:rPr>
        <w:t xml:space="preserve">（二）通用合同条款</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pageBreakBefore w:val="0"/>
        <w:spacing w:line="360" w:lineRule="auto"/>
        <w:widowControl w:val="off"/>
        <w:rPr>
          <w:rFonts w:hint="eastAsia" w:ascii="宋体" w:hAnsi="宋体" w:eastAsia="宋体" w:cs="Times New Roman"/>
          <w:color w:val="auto"/>
          <w:sz w:val="24"/>
          <w:highlight w:val="none"/>
        </w:rPr>
        <w:outlineLvl w:val="3"/>
      </w:pPr>
      <w:r>
        <w:rPr>
          <w:rFonts w:hint="eastAsia" w:ascii="宋体" w:hAnsi="宋体" w:eastAsia="宋体" w:cs="Times New Roman"/>
          <w:color w:val="auto"/>
          <w:sz w:val="24"/>
          <w:highlight w:val="none"/>
        </w:rPr>
        <w:t xml:space="preserve">（三）专用合同条款</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pageBreakBefore w:val="0"/>
        <w:spacing w:line="360" w:lineRule="auto"/>
        <w:widowControl w:val="off"/>
        <w:rPr>
          <w:rFonts w:hint="eastAsia" w:ascii="宋体" w:hAnsi="宋体" w:eastAsia="宋体" w:cs="Times New Roman"/>
          <w:color w:val="auto"/>
          <w:sz w:val="24"/>
          <w:highlight w:val="none"/>
        </w:rPr>
        <w:outlineLvl w:val="1"/>
      </w:pPr>
      <w:r>
        <w:rPr>
          <w:rFonts w:hint="eastAsia" w:ascii="宋体" w:hAnsi="宋体" w:eastAsia="宋体" w:cs="Times New Roman"/>
          <w:color w:val="auto"/>
          <w:sz w:val="24"/>
          <w:highlight w:val="none"/>
        </w:rPr>
        <w:t xml:space="preserve">1.专用合同条款的编号应与相应的通用合同条款的编号一致；</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2.合同当事人可以通过对专用合同条款的修改，满足具体建设工程的特殊要求，避免直接修改通用合同条款；</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80"/>
        <w:pageBreakBefore w:val="0"/>
        <w:spacing w:line="360" w:lineRule="auto"/>
        <w:widowControl w:val="off"/>
        <w:rPr>
          <w:rFonts w:hint="eastAsia" w:ascii="宋体" w:hAnsi="宋体" w:eastAsia="宋体" w:cs="Times New Roman"/>
          <w:b/>
          <w:color w:val="auto"/>
          <w:sz w:val="24"/>
          <w:highlight w:val="none"/>
        </w:rPr>
        <w:outlineLvl w:val="2"/>
      </w:pPr>
      <w:r>
        <w:rPr>
          <w:rFonts w:hint="eastAsia" w:ascii="宋体" w:hAnsi="宋体" w:eastAsia="宋体" w:cs="Times New Roman"/>
          <w:bCs/>
          <w:color w:val="auto"/>
          <w:sz w:val="24"/>
          <w:highlight w:val="none"/>
        </w:rPr>
        <w:t xml:space="preserve">二、《示范文本》的性质和适用范围</w:t>
      </w:r>
      <w:r/>
    </w:p>
    <w:p>
      <w:pPr>
        <w:ind w:firstLine="48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1"/>
          <w:numId w:val="0"/>
        </w:numPr>
        <w:jc w:val="center"/>
        <w:keepLines/>
        <w:keepNext/>
        <w:spacing w:before="260" w:after="260" w:line="416" w:lineRule="auto"/>
        <w:widowControl w:val="off"/>
        <w:rPr>
          <w:rFonts w:hint="eastAsia" w:ascii="宋体" w:hAnsi="宋体" w:eastAsia="宋体" w:cs="宋体"/>
          <w:b/>
          <w:bCs/>
          <w:sz w:val="32"/>
          <w:szCs w:val="32"/>
          <w:highlight w:val="none"/>
          <w:lang w:val="en-US" w:eastAsia="zh-CN" w:bidi="ar-SA"/>
        </w:rPr>
        <w:outlineLvl w:val="1"/>
      </w:pPr>
      <w:r>
        <w:rPr>
          <w:rFonts w:hint="eastAsia" w:ascii="宋体" w:hAnsi="宋体" w:eastAsia="宋体" w:cs="宋体"/>
          <w:b/>
          <w:bCs/>
          <w:sz w:val="32"/>
          <w:szCs w:val="32"/>
          <w:highlight w:val="none"/>
          <w:lang w:val="en-US" w:eastAsia="zh-CN" w:bidi="ar-SA"/>
        </w:rPr>
        <w:t xml:space="preserve">第一部分　</w:t>
      </w:r>
      <w:bookmarkStart w:id="25" w:name="_Toc276025319"/>
      <w:r/>
      <w:bookmarkStart w:id="26" w:name="_Toc277937723"/>
      <w:r>
        <w:rPr>
          <w:rFonts w:hint="eastAsia" w:ascii="宋体" w:hAnsi="宋体" w:eastAsia="宋体" w:cs="宋体"/>
          <w:b/>
          <w:bCs/>
          <w:sz w:val="32"/>
          <w:szCs w:val="32"/>
          <w:highlight w:val="none"/>
          <w:lang w:val="en-US" w:eastAsia="zh-CN" w:bidi="ar-SA"/>
        </w:rPr>
        <w:t xml:space="preserve">合同协议书</w:t>
      </w:r>
      <w:bookmarkEnd w:id="25"/>
      <w:r/>
      <w:bookmarkEnd w:id="26"/>
      <w:r/>
      <w:r/>
    </w:p>
    <w:p>
      <w:pPr>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发包人（全称）：</w:t>
      </w:r>
      <w:r>
        <w:rPr>
          <w:rFonts w:hint="eastAsia" w:ascii="宋体" w:hAnsi="宋体" w:eastAsia="宋体" w:cs="宋体"/>
          <w:b/>
          <w:sz w:val="24"/>
          <w:highlight w:val="none"/>
          <w:u w:val="single"/>
        </w:rPr>
        <w:t xml:space="preserve">无锡市园林绿化管理中心                       </w:t>
      </w:r>
      <w:r/>
    </w:p>
    <w:p>
      <w:pPr>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承包人（全称）：</w:t>
      </w:r>
      <w:r>
        <w:rPr>
          <w:rFonts w:hint="eastAsia" w:ascii="宋体" w:hAnsi="宋体" w:eastAsia="宋体" w:cs="宋体"/>
          <w:b/>
          <w:sz w:val="24"/>
          <w:highlight w:val="none"/>
          <w:u w:val="single"/>
        </w:rPr>
        <w:t xml:space="preserve">                            </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sz w:val="24"/>
          <w:highlight w:val="none"/>
          <w:u w:val="single"/>
          <w:lang w:eastAsia="zh-CN"/>
        </w:rPr>
        <w:t xml:space="preserve">2024年市管绿地“贝碧嘉”台风灾后修复项目</w:t>
      </w:r>
      <w:r>
        <w:rPr>
          <w:rFonts w:hint="eastAsia" w:ascii="宋体" w:hAnsi="宋体" w:eastAsia="宋体" w:cs="宋体"/>
          <w:sz w:val="24"/>
          <w:highlight w:val="none"/>
        </w:rPr>
        <w:t xml:space="preserve">及有关事项协商一致，共同达成如下协议：</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 </w:t>
      </w:r>
      <w:bookmarkStart w:id="27" w:name="_Toc372788914"/>
      <w:r>
        <w:rPr>
          <w:rFonts w:hint="eastAsia" w:ascii="宋体" w:hAnsi="宋体" w:eastAsia="宋体" w:cs="宋体"/>
          <w:b w:val="0"/>
          <w:bCs/>
          <w:sz w:val="24"/>
          <w:szCs w:val="24"/>
          <w:highlight w:val="none"/>
          <w:lang w:val="en-US" w:eastAsia="zh-CN" w:bidi="ar-SA"/>
        </w:rPr>
        <w:t xml:space="preserve">一、</w:t>
      </w:r>
      <w:bookmarkEnd w:id="27"/>
      <w:r>
        <w:rPr>
          <w:rFonts w:hint="eastAsia" w:ascii="宋体" w:hAnsi="宋体" w:eastAsia="宋体" w:cs="宋体"/>
          <w:b w:val="0"/>
          <w:bCs/>
          <w:sz w:val="24"/>
          <w:szCs w:val="24"/>
          <w:highlight w:val="none"/>
          <w:lang w:val="en-US" w:eastAsia="zh-CN" w:bidi="ar-SA"/>
        </w:rPr>
        <w:t xml:space="preserve">项目概况</w:t>
      </w:r>
      <w:r/>
    </w:p>
    <w:p>
      <w:pPr>
        <w:ind w:firstLine="470"/>
        <w:pageBreakBefore w:val="0"/>
        <w:spacing w:line="360" w:lineRule="auto"/>
        <w:rPr>
          <w:rFonts w:hint="eastAsia" w:ascii="宋体" w:hAnsi="宋体" w:eastAsia="宋体" w:cs="宋体"/>
          <w:b/>
          <w:sz w:val="24"/>
          <w:highlight w:val="none"/>
          <w:u w:val="single"/>
        </w:rPr>
      </w:pPr>
      <w:r>
        <w:rPr>
          <w:rFonts w:hint="eastAsia" w:ascii="宋体" w:hAnsi="宋体" w:eastAsia="宋体" w:cs="宋体"/>
          <w:bCs/>
          <w:sz w:val="24"/>
          <w:highlight w:val="none"/>
        </w:rPr>
        <w:t xml:space="preserve">1.项目名称</w:t>
      </w:r>
      <w:r>
        <w:rPr>
          <w:rFonts w:hint="eastAsia" w:ascii="宋体" w:hAnsi="宋体" w:eastAsia="宋体" w:cs="宋体"/>
          <w:sz w:val="24"/>
          <w:highlight w:val="none"/>
        </w:rPr>
        <w:t xml:space="preserve">：</w:t>
      </w:r>
      <w:r>
        <w:rPr>
          <w:rFonts w:hint="eastAsia" w:ascii="宋体" w:hAnsi="宋体" w:eastAsia="宋体" w:cs="宋体"/>
          <w:b/>
          <w:sz w:val="24"/>
          <w:highlight w:val="none"/>
          <w:u w:val="single"/>
        </w:rPr>
        <w:t xml:space="preserve">                                         </w:t>
      </w:r>
      <w:r/>
    </w:p>
    <w:p>
      <w:pPr>
        <w:ind w:firstLine="470"/>
        <w:pageBreakBefore w:val="0"/>
        <w:spacing w:line="360" w:lineRule="auto"/>
        <w:rPr>
          <w:rFonts w:hint="eastAsia" w:ascii="宋体" w:hAnsi="宋体" w:eastAsia="宋体" w:cs="宋体"/>
          <w:b/>
          <w:sz w:val="24"/>
          <w:highlight w:val="none"/>
          <w:u w:val="single"/>
        </w:rPr>
      </w:pPr>
      <w:r>
        <w:rPr>
          <w:rFonts w:hint="eastAsia" w:ascii="宋体" w:hAnsi="宋体" w:eastAsia="宋体" w:cs="宋体"/>
          <w:bCs/>
          <w:sz w:val="24"/>
          <w:highlight w:val="none"/>
        </w:rPr>
        <w:t xml:space="preserve">2.项目地点：</w:t>
      </w:r>
      <w:r>
        <w:rPr>
          <w:rFonts w:hint="eastAsia" w:ascii="宋体" w:hAnsi="宋体" w:eastAsia="宋体" w:cs="宋体"/>
          <w:b/>
          <w:sz w:val="24"/>
          <w:highlight w:val="none"/>
          <w:u w:val="single"/>
        </w:rPr>
        <w:t xml:space="preserve">                                         </w:t>
      </w:r>
      <w:r/>
    </w:p>
    <w:p>
      <w:pPr>
        <w:ind w:firstLine="47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3.项目立项批准文号：</w:t>
      </w:r>
      <w:r>
        <w:rPr>
          <w:rFonts w:hint="eastAsia" w:ascii="宋体" w:hAnsi="宋体" w:eastAsia="宋体" w:cs="宋体"/>
          <w:sz w:val="24"/>
          <w:highlight w:val="none"/>
          <w:u w:val="single"/>
        </w:rPr>
        <w:t xml:space="preserve"> </w:t>
      </w:r>
      <w:r/>
    </w:p>
    <w:p>
      <w:pPr>
        <w:ind w:firstLine="47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4.资金来源：</w:t>
      </w:r>
      <w:r>
        <w:rPr>
          <w:rFonts w:hint="eastAsia" w:ascii="宋体" w:hAnsi="宋体" w:eastAsia="宋体" w:cs="宋体"/>
          <w:sz w:val="24"/>
          <w:highlight w:val="none"/>
          <w:u w:val="single"/>
        </w:rPr>
        <w:t xml:space="preserve">政府投资   </w:t>
      </w:r>
      <w:r/>
    </w:p>
    <w:p>
      <w:pPr>
        <w:ind w:firstLine="47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5.项目内容：</w:t>
      </w:r>
      <w:r>
        <w:rPr>
          <w:rFonts w:hint="eastAsia" w:ascii="宋体" w:hAnsi="宋体" w:eastAsia="宋体" w:cs="宋体"/>
          <w:b/>
          <w:sz w:val="24"/>
          <w:highlight w:val="none"/>
          <w:u w:val="single"/>
        </w:rPr>
        <w:t xml:space="preserve">                                                   </w:t>
      </w:r>
      <w:r/>
    </w:p>
    <w:p>
      <w:pPr>
        <w:ind w:firstLine="47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群体工程应附《承包人承揽工程项目一览表》（附件1）。</w:t>
      </w:r>
      <w:r/>
    </w:p>
    <w:p>
      <w:pPr>
        <w:ind w:firstLine="480"/>
        <w:jc w:val="left"/>
        <w:keepLines w:val="0"/>
        <w:keepNext w:val="0"/>
        <w:pageBreakBefore w:val="0"/>
        <w:spacing w:before="72" w:after="72"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rPr>
        <w:t xml:space="preserve">6.工程承包范围：</w:t>
      </w:r>
      <w:r>
        <w:rPr>
          <w:rFonts w:hint="eastAsia" w:ascii="宋体" w:hAnsi="宋体" w:eastAsia="宋体" w:cs="宋体"/>
          <w:sz w:val="24"/>
          <w:szCs w:val="24"/>
          <w:highlight w:val="none"/>
          <w:u w:val="single"/>
        </w:rPr>
        <w:t xml:space="preserve">施工图纸及清单范围内的</w:t>
      </w:r>
      <w:r>
        <w:rPr>
          <w:rFonts w:hint="eastAsia" w:ascii="宋体" w:hAnsi="宋体" w:eastAsia="宋体" w:cs="Times New Roman"/>
          <w:bCs/>
          <w:sz w:val="24"/>
          <w:szCs w:val="24"/>
          <w:highlight w:val="none"/>
          <w:u w:val="single"/>
          <w:lang w:val="en-US" w:eastAsia="zh-CN"/>
        </w:rPr>
        <w:t xml:space="preserve">2024年市管绿地“贝碧嘉”台风灾后修复项目包含市管绿地范围内受“贝碧嘉”台风影响受损树木及周边树穴道板等设施的修复，包含广石路、江海西路等市管道路</w:t>
      </w:r>
      <w:r>
        <w:rPr>
          <w:rFonts w:hint="eastAsia" w:ascii="宋体" w:hAnsi="宋体" w:eastAsia="宋体" w:cs="宋体"/>
          <w:sz w:val="24"/>
          <w:szCs w:val="24"/>
          <w:highlight w:val="none"/>
          <w:u w:val="single"/>
        </w:rPr>
        <w:t xml:space="preserve">。</w:t>
      </w:r>
      <w:r/>
    </w:p>
    <w:p>
      <w:pPr>
        <w:ind w:firstLine="465"/>
        <w:pageBreakBefore w:val="0"/>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  </w:t>
      </w:r>
      <w:bookmarkStart w:id="28" w:name="_Toc372788915"/>
      <w:r>
        <w:rPr>
          <w:rFonts w:hint="eastAsia" w:ascii="宋体" w:hAnsi="宋体" w:eastAsia="宋体" w:cs="宋体"/>
          <w:b/>
          <w:sz w:val="24"/>
          <w:highlight w:val="none"/>
        </w:rPr>
        <w:t xml:space="preserve">二、合同工期</w:t>
      </w:r>
      <w:bookmarkEnd w:id="28"/>
      <w:r/>
      <w:r/>
    </w:p>
    <w:p>
      <w:pPr>
        <w:ind w:firstLine="459"/>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计划开工日期：</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59"/>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计划竣工日期：</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59"/>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工期总日历天数：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天。工期总日历天数与根据前述计划开竣工日期计算的工期天数不一致的，以工期总日历天数为准。</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bookmarkStart w:id="29" w:name="_Toc372788916"/>
      <w:r>
        <w:rPr>
          <w:rFonts w:hint="eastAsia" w:ascii="宋体" w:hAnsi="宋体" w:eastAsia="宋体" w:cs="宋体"/>
          <w:b w:val="0"/>
          <w:bCs/>
          <w:sz w:val="24"/>
          <w:szCs w:val="24"/>
          <w:highlight w:val="none"/>
          <w:lang w:val="en-US" w:eastAsia="zh-CN" w:bidi="ar-SA"/>
        </w:rPr>
        <w:t xml:space="preserve">三、质量标准</w:t>
      </w:r>
      <w:bookmarkEnd w:id="29"/>
      <w:r/>
      <w:r/>
    </w:p>
    <w:p>
      <w:pPr>
        <w:ind w:firstLine="459"/>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工程质量符合</w:t>
      </w:r>
      <w:r>
        <w:rPr>
          <w:rFonts w:hint="eastAsia" w:ascii="宋体" w:hAnsi="宋体" w:eastAsia="宋体" w:cs="宋体"/>
          <w:sz w:val="24"/>
          <w:highlight w:val="none"/>
          <w:u w:val="single"/>
        </w:rPr>
        <w:t xml:space="preserve">合格</w:t>
      </w:r>
      <w:r>
        <w:rPr>
          <w:rFonts w:hint="eastAsia" w:ascii="宋体" w:hAnsi="宋体" w:eastAsia="宋体" w:cs="宋体"/>
          <w:sz w:val="24"/>
          <w:highlight w:val="none"/>
        </w:rPr>
        <w:t xml:space="preserve">标准。</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t xml:space="preserve"> </w:t>
      </w:r>
      <w:bookmarkStart w:id="30" w:name="_Toc372788917"/>
      <w:r>
        <w:rPr>
          <w:rFonts w:hint="eastAsia" w:ascii="宋体" w:hAnsi="宋体" w:eastAsia="宋体" w:cs="宋体"/>
          <w:b w:val="0"/>
          <w:bCs/>
          <w:sz w:val="24"/>
          <w:szCs w:val="24"/>
          <w:highlight w:val="none"/>
          <w:lang w:val="en-US" w:eastAsia="zh-CN" w:bidi="ar-SA"/>
        </w:rPr>
        <w:t xml:space="preserve">四、签约合同价与合同价格形式</w:t>
      </w:r>
      <w:bookmarkEnd w:id="30"/>
      <w:r>
        <w:rPr>
          <w:rFonts w:hint="eastAsia" w:ascii="宋体" w:hAnsi="宋体" w:eastAsia="宋体" w:cs="宋体"/>
          <w:b w:val="0"/>
          <w:bCs/>
          <w:sz w:val="24"/>
          <w:szCs w:val="24"/>
          <w:highlight w:val="none"/>
          <w:lang w:val="en-US" w:eastAsia="zh-CN" w:bidi="ar-SA"/>
        </w:rPr>
        <w:tab/>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1.签约合同价为：</w:t>
      </w:r>
      <w:r/>
    </w:p>
    <w:p>
      <w:pPr>
        <w:ind w:firstLine="60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其中：</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（1）安全文明施工费：</w:t>
      </w:r>
      <w:r/>
    </w:p>
    <w:p>
      <w:pPr>
        <w:ind w:firstLine="10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（2）材料和工程设备暂估价金额：</w:t>
      </w:r>
      <w:r/>
    </w:p>
    <w:p>
      <w:pPr>
        <w:ind w:firstLine="10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（3）专业工程暂估价金额：</w:t>
      </w:r>
      <w:r/>
    </w:p>
    <w:p>
      <w:pPr>
        <w:ind w:firstLine="10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（4）暂列金额：</w:t>
      </w:r>
      <w:r/>
    </w:p>
    <w:p>
      <w:pPr>
        <w:ind w:firstLine="10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2.合同价格形式：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 </w:t>
      </w:r>
      <w:bookmarkStart w:id="31" w:name="_Toc372788918"/>
      <w:r>
        <w:rPr>
          <w:rFonts w:hint="eastAsia" w:ascii="宋体" w:hAnsi="宋体" w:eastAsia="宋体" w:cs="宋体"/>
          <w:b w:val="0"/>
          <w:bCs/>
          <w:sz w:val="24"/>
          <w:szCs w:val="24"/>
          <w:highlight w:val="none"/>
          <w:lang w:val="en-US" w:eastAsia="zh-CN" w:bidi="ar-SA"/>
        </w:rPr>
        <w:t xml:space="preserve">五、项目负责人</w:t>
      </w:r>
      <w:bookmarkEnd w:id="31"/>
      <w:r/>
      <w:r/>
    </w:p>
    <w:p>
      <w:pPr>
        <w:ind w:firstLine="48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t xml:space="preserve"> </w:t>
      </w:r>
      <w:bookmarkStart w:id="32" w:name="_Toc372788919"/>
      <w:r>
        <w:rPr>
          <w:rFonts w:hint="eastAsia" w:ascii="宋体" w:hAnsi="宋体" w:eastAsia="宋体" w:cs="宋体"/>
          <w:b w:val="0"/>
          <w:bCs/>
          <w:sz w:val="24"/>
          <w:szCs w:val="24"/>
          <w:highlight w:val="none"/>
          <w:lang w:val="en-US" w:eastAsia="zh-CN" w:bidi="ar-SA"/>
        </w:rPr>
        <w:t xml:space="preserve">六、合同文件构成</w:t>
      </w:r>
      <w:bookmarkEnd w:id="32"/>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（1）中标通知书（如果有）；</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（2）投标函及其附录（如果有）； </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（3）专用合同条款及其附件；</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（4）通用合同条款；</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（5）技术标准和要求；</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（6）图纸；</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（7）已标价工程量清单或预算书；</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val="0"/>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 </w:t>
      </w:r>
      <w:bookmarkStart w:id="33" w:name="_Toc372788920"/>
      <w:r>
        <w:rPr>
          <w:rFonts w:hint="eastAsia" w:ascii="宋体" w:hAnsi="宋体" w:eastAsia="宋体" w:cs="宋体"/>
          <w:b w:val="0"/>
          <w:bCs/>
          <w:sz w:val="24"/>
          <w:szCs w:val="24"/>
          <w:highlight w:val="none"/>
          <w:lang w:val="en-US" w:eastAsia="zh-CN" w:bidi="ar-SA"/>
        </w:rPr>
        <w:t xml:space="preserve">七、承诺</w:t>
      </w:r>
      <w:bookmarkEnd w:id="33"/>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1.发包人承诺按照法律规定履行项目审批手续、筹集项目建设资金并按照合同约定的期限和方式支付合同价款。</w:t>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2.承包人承诺按照法律规定及合同约定组织完成项目施工，确保项目质量和安全，不进行转包及违法分包，并在缺陷责任期及保修期内承担相应的项目维修责任。</w:t>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3.发包人和承包人通过招投标形式签订合同的，双方理解并承诺不再就同一项目另行签订与合同实质性内容相背离的协议。</w:t>
      </w:r>
      <w:r/>
    </w:p>
    <w:p>
      <w:pPr>
        <w:pageBreakBefore w:val="0"/>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    八、词语含义</w:t>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本协议书中词语含义与第二部分通用合同条款中赋予的含义相同。</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t xml:space="preserve">  </w:t>
      </w:r>
      <w:bookmarkStart w:id="34" w:name="_Toc372788921"/>
      <w:r>
        <w:rPr>
          <w:rFonts w:hint="eastAsia" w:ascii="宋体" w:hAnsi="宋体" w:eastAsia="宋体" w:cs="宋体"/>
          <w:b w:val="0"/>
          <w:bCs/>
          <w:sz w:val="24"/>
          <w:szCs w:val="24"/>
          <w:highlight w:val="none"/>
          <w:lang w:val="en-US" w:eastAsia="zh-CN" w:bidi="ar-SA"/>
        </w:rPr>
        <w:t xml:space="preserve">九、签订时间</w:t>
      </w:r>
      <w:bookmarkEnd w:id="34"/>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本合同于</w:t>
      </w:r>
      <w:r>
        <w:rPr>
          <w:rFonts w:hint="eastAsia" w:ascii="宋体" w:hAnsi="宋体" w:eastAsia="宋体" w:cs="宋体"/>
          <w:bCs/>
          <w:sz w:val="24"/>
          <w:highlight w:val="none"/>
          <w:u w:val="single"/>
        </w:rPr>
        <w:t xml:space="preserve"> 202</w:t>
      </w:r>
      <w:r>
        <w:rPr>
          <w:rFonts w:hint="eastAsia" w:ascii="宋体" w:hAnsi="宋体" w:eastAsia="宋体" w:cs="宋体"/>
          <w:bCs/>
          <w:sz w:val="24"/>
          <w:highlight w:val="none"/>
          <w:u w:val="single"/>
          <w:lang w:val="en-US" w:eastAsia="zh-CN"/>
        </w:rPr>
        <w:t xml:space="preserve">5</w:t>
      </w:r>
      <w:r>
        <w:rPr>
          <w:rFonts w:hint="eastAsia" w:ascii="宋体" w:hAnsi="宋体" w:eastAsia="宋体" w:cs="宋体"/>
          <w:bCs/>
          <w:sz w:val="24"/>
          <w:highlight w:val="none"/>
        </w:rPr>
        <w:t xml:space="preserve">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日签订。</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bookmarkStart w:id="35" w:name="_Toc372788922"/>
      <w:r>
        <w:rPr>
          <w:rFonts w:hint="eastAsia" w:ascii="宋体" w:hAnsi="宋体" w:eastAsia="宋体" w:cs="宋体"/>
          <w:b w:val="0"/>
          <w:bCs/>
          <w:sz w:val="24"/>
          <w:szCs w:val="24"/>
          <w:highlight w:val="none"/>
          <w:lang w:val="en-US" w:eastAsia="zh-CN" w:bidi="ar-SA"/>
        </w:rPr>
        <w:t xml:space="preserve">十、签订地点</w:t>
      </w:r>
      <w:bookmarkEnd w:id="35"/>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本合同在</w:t>
      </w:r>
      <w:r>
        <w:rPr>
          <w:rFonts w:hint="eastAsia" w:ascii="宋体" w:hAnsi="宋体" w:eastAsia="宋体" w:cs="宋体"/>
          <w:bCs/>
          <w:sz w:val="24"/>
          <w:highlight w:val="none"/>
          <w:u w:val="single"/>
        </w:rPr>
        <w:t xml:space="preserve">    无锡市园林绿化管理中心   </w:t>
      </w:r>
      <w:r>
        <w:rPr>
          <w:rFonts w:hint="eastAsia" w:ascii="宋体" w:hAnsi="宋体" w:eastAsia="宋体" w:cs="宋体"/>
          <w:bCs/>
          <w:sz w:val="24"/>
          <w:highlight w:val="none"/>
        </w:rPr>
        <w:t xml:space="preserve">签订。</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bookmarkStart w:id="36" w:name="_Toc372788923"/>
      <w:r>
        <w:rPr>
          <w:rFonts w:hint="eastAsia" w:ascii="宋体" w:hAnsi="宋体" w:eastAsia="宋体" w:cs="宋体"/>
          <w:b w:val="0"/>
          <w:bCs/>
          <w:sz w:val="24"/>
          <w:szCs w:val="24"/>
          <w:highlight w:val="none"/>
          <w:lang w:val="en-US" w:eastAsia="zh-CN" w:bidi="ar-SA"/>
        </w:rPr>
        <w:t xml:space="preserve">十一、补充协议</w:t>
      </w:r>
      <w:bookmarkEnd w:id="36"/>
      <w:r/>
      <w:r/>
    </w:p>
    <w:p>
      <w:pPr>
        <w:ind w:firstLine="480"/>
        <w:pageBreakBefore w:val="0"/>
        <w:spacing w:line="360" w:lineRule="auto"/>
        <w:rPr>
          <w:rFonts w:hint="eastAsia" w:ascii="宋体" w:hAnsi="宋体" w:eastAsia="宋体" w:cs="宋体"/>
          <w:b/>
          <w:bCs/>
          <w:sz w:val="24"/>
          <w:highlight w:val="none"/>
        </w:rPr>
      </w:pPr>
      <w:r>
        <w:rPr>
          <w:rFonts w:hint="eastAsia" w:ascii="宋体" w:hAnsi="宋体" w:eastAsia="宋体" w:cs="宋体"/>
          <w:bCs/>
          <w:sz w:val="24"/>
          <w:highlight w:val="none"/>
        </w:rPr>
        <w:t xml:space="preserve">合同未尽事宜，合同当事人另行签订补充协议，补充协议是合同的组成部分。</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bookmarkStart w:id="37" w:name="_Toc372788924"/>
      <w:r>
        <w:rPr>
          <w:rFonts w:hint="eastAsia" w:ascii="宋体" w:hAnsi="宋体" w:eastAsia="宋体" w:cs="宋体"/>
          <w:b w:val="0"/>
          <w:bCs/>
          <w:sz w:val="24"/>
          <w:szCs w:val="24"/>
          <w:highlight w:val="none"/>
          <w:lang w:val="en-US" w:eastAsia="zh-CN" w:bidi="ar-SA"/>
        </w:rPr>
        <w:t xml:space="preserve">十二、合同生效</w:t>
      </w:r>
      <w:bookmarkEnd w:id="37"/>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本合同自</w:t>
      </w:r>
      <w:r>
        <w:rPr>
          <w:rFonts w:hint="eastAsia" w:ascii="宋体" w:hAnsi="宋体" w:eastAsia="宋体" w:cs="宋体"/>
          <w:bCs/>
          <w:sz w:val="24"/>
          <w:highlight w:val="none"/>
          <w:u w:val="single"/>
        </w:rPr>
        <w:t xml:space="preserve">     双方签字盖章后            </w:t>
      </w:r>
      <w:r>
        <w:rPr>
          <w:rFonts w:hint="eastAsia" w:ascii="宋体" w:hAnsi="宋体" w:eastAsia="宋体" w:cs="宋体"/>
          <w:bCs/>
          <w:sz w:val="24"/>
          <w:highlight w:val="none"/>
        </w:rPr>
        <w:t xml:space="preserve">生效。</w:t>
      </w:r>
      <w:r/>
    </w:p>
    <w:p>
      <w:pPr>
        <w:numPr>
          <w:ilvl w:val="4"/>
          <w:numId w:val="0"/>
        </w:numPr>
        <w:jc w:val="both"/>
        <w:keepLines/>
        <w:keepNext/>
        <w:pageBreakBefore w:val="0"/>
        <w:spacing w:before="280" w:after="290" w:line="360" w:lineRule="auto"/>
        <w:widowControl w:val="off"/>
        <w:rPr>
          <w:rFonts w:hint="eastAsia" w:ascii="宋体" w:hAnsi="宋体" w:eastAsia="宋体" w:cs="宋体"/>
          <w:b/>
          <w:bCs w:val="0"/>
          <w:sz w:val="24"/>
          <w:szCs w:val="24"/>
          <w:highlight w:val="none"/>
          <w:lang w:val="en-US" w:eastAsia="zh-CN" w:bidi="ar-SA"/>
        </w:rPr>
        <w:outlineLvl w:val="3"/>
      </w:pPr>
      <w:r>
        <w:rPr>
          <w:rFonts w:hint="eastAsia" w:ascii="宋体" w:hAnsi="宋体" w:eastAsia="宋体" w:cs="宋体"/>
          <w:b/>
          <w:bCs w:val="0"/>
          <w:sz w:val="24"/>
          <w:szCs w:val="24"/>
          <w:highlight w:val="none"/>
          <w:lang w:val="en-US" w:eastAsia="zh-CN" w:bidi="ar-SA"/>
        </w:rPr>
        <w:t xml:space="preserve">    </w:t>
      </w:r>
      <w:bookmarkStart w:id="38" w:name="_Toc372788925"/>
      <w:r>
        <w:rPr>
          <w:rFonts w:hint="eastAsia" w:ascii="宋体" w:hAnsi="宋体" w:eastAsia="宋体" w:cs="宋体"/>
          <w:b w:val="0"/>
          <w:bCs/>
          <w:sz w:val="24"/>
          <w:szCs w:val="24"/>
          <w:highlight w:val="none"/>
          <w:lang w:val="en-US" w:eastAsia="zh-CN" w:bidi="ar-SA"/>
        </w:rPr>
        <w:t xml:space="preserve">十三、合同份数</w:t>
      </w:r>
      <w:bookmarkEnd w:id="38"/>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本合同一式</w:t>
      </w:r>
      <w:r>
        <w:rPr>
          <w:rFonts w:hint="eastAsia" w:ascii="宋体" w:hAnsi="宋体" w:eastAsia="宋体" w:cs="宋体"/>
          <w:bCs/>
          <w:sz w:val="24"/>
          <w:highlight w:val="none"/>
          <w:u w:val="single"/>
        </w:rPr>
        <w:t xml:space="preserve">  6  </w:t>
      </w:r>
      <w:r>
        <w:rPr>
          <w:rFonts w:hint="eastAsia" w:ascii="宋体" w:hAnsi="宋体" w:eastAsia="宋体" w:cs="宋体"/>
          <w:bCs/>
          <w:sz w:val="24"/>
          <w:highlight w:val="none"/>
        </w:rPr>
        <w:t xml:space="preserve">份，均具有同等法律效力，发包人执</w:t>
      </w:r>
      <w:r>
        <w:rPr>
          <w:rFonts w:hint="eastAsia" w:ascii="宋体" w:hAnsi="宋体" w:eastAsia="宋体" w:cs="宋体"/>
          <w:bCs/>
          <w:sz w:val="24"/>
          <w:highlight w:val="none"/>
          <w:u w:val="single"/>
        </w:rPr>
        <w:t xml:space="preserve"> 3 </w:t>
      </w:r>
      <w:r>
        <w:rPr>
          <w:rFonts w:hint="eastAsia" w:ascii="宋体" w:hAnsi="宋体" w:eastAsia="宋体" w:cs="宋体"/>
          <w:bCs/>
          <w:sz w:val="24"/>
          <w:highlight w:val="none"/>
        </w:rPr>
        <w:t xml:space="preserve">份，承包人执</w:t>
      </w:r>
      <w:r>
        <w:rPr>
          <w:rFonts w:hint="eastAsia" w:ascii="宋体" w:hAnsi="宋体" w:eastAsia="宋体" w:cs="宋体"/>
          <w:bCs/>
          <w:sz w:val="24"/>
          <w:highlight w:val="none"/>
          <w:u w:val="single"/>
        </w:rPr>
        <w:t xml:space="preserve">   3 </w:t>
      </w:r>
      <w:r>
        <w:rPr>
          <w:rFonts w:hint="eastAsia" w:ascii="宋体" w:hAnsi="宋体" w:eastAsia="宋体" w:cs="宋体"/>
          <w:bCs/>
          <w:sz w:val="24"/>
          <w:highlight w:val="none"/>
        </w:rPr>
        <w:t xml:space="preserve">份。</w:t>
      </w:r>
      <w:r/>
    </w:p>
    <w:p>
      <w:pPr>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  (公章)             承包人：  (公章)</w:t>
      </w:r>
      <w:r/>
    </w:p>
    <w:p>
      <w:pPr>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  法定代表人或其委托代理人：</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（签字）                    （签字）</w:t>
      </w:r>
      <w:r/>
    </w:p>
    <w:p>
      <w:pPr>
        <w:pageBreakBefore w:val="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ageBreakBefore w:val="0"/>
        <w:spacing w:line="360" w:lineRule="auto"/>
        <w:tabs>
          <w:tab w:val="left" w:pos="4410" w:leader="none"/>
        </w:tabs>
        <w:rPr>
          <w:rFonts w:hint="eastAsia" w:ascii="宋体" w:hAnsi="宋体" w:eastAsia="宋体" w:cs="宋体"/>
          <w:sz w:val="24"/>
          <w:highlight w:val="none"/>
        </w:rPr>
      </w:pPr>
      <w:r>
        <w:rPr>
          <w:rFonts w:hint="eastAsia" w:ascii="宋体" w:hAnsi="宋体" w:eastAsia="宋体" w:cs="宋体"/>
          <w:sz w:val="24"/>
          <w:highlight w:val="none"/>
        </w:rPr>
        <w:t xml:space="preserve">组织机构代码：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组织机构代码：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地  址：</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邮政编码：</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法定代表人：</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委托代理人：</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  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  话：</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传  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传  真：</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电子信箱：</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电子信箱：</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开户银行：</w:t>
      </w:r>
      <w:r>
        <w:rPr>
          <w:rFonts w:hint="eastAsia" w:ascii="宋体" w:hAnsi="宋体" w:eastAsia="宋体" w:cs="宋体"/>
          <w:sz w:val="24"/>
          <w:highlight w:val="none"/>
          <w:u w:val="single"/>
        </w:rPr>
        <w:t xml:space="preserve">                   </w:t>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账  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账  号：</w:t>
      </w:r>
      <w:r>
        <w:rPr>
          <w:rFonts w:hint="eastAsia" w:ascii="宋体" w:hAnsi="宋体" w:eastAsia="宋体" w:cs="宋体"/>
          <w:sz w:val="24"/>
          <w:highlight w:val="none"/>
          <w:u w:val="single"/>
        </w:rPr>
        <w:t xml:space="preserve">                     </w:t>
      </w:r>
      <w:r/>
    </w:p>
    <w:p>
      <w:pPr>
        <w:ind w:firstLine="200"/>
        <w:pageBreakBefore w:val="0"/>
        <w:spacing w:line="360" w:lineRule="auto"/>
        <w:rPr>
          <w:rFonts w:hint="eastAsia" w:ascii="宋体" w:hAnsi="宋体" w:eastAsia="宋体" w:cs="宋体"/>
          <w:b/>
          <w:spacing w:val="12"/>
          <w:sz w:val="24"/>
          <w:highlight w:val="none"/>
        </w:rPr>
      </w:pPr>
      <w:r>
        <w:rPr>
          <w:rFonts w:hint="eastAsia" w:ascii="宋体" w:hAnsi="宋体" w:eastAsia="宋体" w:cs="宋体"/>
          <w:b/>
          <w:spacing w:val="12"/>
          <w:sz w:val="24"/>
          <w:highlight w:val="none"/>
        </w:rPr>
      </w:r>
      <w:r/>
    </w:p>
    <w:p>
      <w:pPr>
        <w:ind w:firstLine="200"/>
        <w:pageBreakBefore w:val="0"/>
        <w:spacing w:line="360" w:lineRule="auto"/>
        <w:rPr>
          <w:rFonts w:hint="eastAsia" w:ascii="宋体" w:hAnsi="宋体" w:eastAsia="宋体" w:cs="宋体"/>
          <w:b/>
          <w:spacing w:val="12"/>
          <w:sz w:val="24"/>
          <w:highlight w:val="none"/>
        </w:rPr>
      </w:pPr>
      <w:r>
        <w:rPr>
          <w:rFonts w:hint="eastAsia" w:ascii="宋体" w:hAnsi="宋体" w:eastAsia="宋体" w:cs="宋体"/>
          <w:b/>
          <w:spacing w:val="12"/>
          <w:sz w:val="24"/>
          <w:highlight w:val="none"/>
        </w:rPr>
      </w:r>
      <w:r/>
    </w:p>
    <w:p>
      <w:pPr>
        <w:ind w:firstLine="200"/>
        <w:pageBreakBefore w:val="0"/>
        <w:spacing w:line="360" w:lineRule="auto"/>
        <w:rPr>
          <w:rFonts w:hint="eastAsia" w:ascii="宋体" w:hAnsi="宋体" w:eastAsia="宋体" w:cs="宋体"/>
          <w:b/>
          <w:spacing w:val="12"/>
          <w:sz w:val="24"/>
          <w:highlight w:val="none"/>
        </w:rPr>
      </w:pPr>
      <w:r>
        <w:rPr>
          <w:rFonts w:hint="eastAsia" w:ascii="宋体" w:hAnsi="宋体" w:eastAsia="宋体" w:cs="宋体"/>
          <w:b/>
          <w:spacing w:val="12"/>
          <w:sz w:val="24"/>
          <w:highlight w:val="none"/>
        </w:rPr>
        <w:t xml:space="preserve">见证单位：（公章）</w:t>
      </w:r>
      <w:r/>
    </w:p>
    <w:p>
      <w:pPr>
        <w:ind w:firstLine="200"/>
        <w:pageBreakBefore w:val="0"/>
        <w:spacing w:line="360" w:lineRule="auto"/>
        <w:rPr>
          <w:rFonts w:hint="eastAsia" w:ascii="宋体" w:hAnsi="宋体" w:eastAsia="宋体" w:cs="宋体"/>
          <w:b/>
          <w:spacing w:val="12"/>
          <w:sz w:val="24"/>
          <w:highlight w:val="none"/>
        </w:rPr>
      </w:pPr>
      <w:r>
        <w:rPr>
          <w:rFonts w:hint="eastAsia" w:ascii="宋体" w:hAnsi="宋体" w:eastAsia="宋体" w:cs="宋体"/>
          <w:b/>
          <w:spacing w:val="12"/>
          <w:sz w:val="24"/>
          <w:highlight w:val="none"/>
        </w:rPr>
      </w:r>
      <w:r/>
    </w:p>
    <w:p>
      <w:pPr>
        <w:ind w:firstLine="200"/>
        <w:pageBreakBefore w:val="0"/>
        <w:spacing w:line="360" w:lineRule="auto"/>
        <w:rPr>
          <w:rFonts w:hint="eastAsia" w:ascii="宋体" w:hAnsi="宋体" w:eastAsia="宋体" w:cs="宋体"/>
          <w:b/>
          <w:spacing w:val="12"/>
          <w:sz w:val="24"/>
          <w:highlight w:val="none"/>
        </w:rPr>
      </w:pPr>
      <w:r>
        <w:rPr>
          <w:rFonts w:hint="eastAsia" w:ascii="宋体" w:hAnsi="宋体" w:eastAsia="宋体" w:cs="宋体"/>
          <w:b/>
          <w:spacing w:val="12"/>
          <w:sz w:val="24"/>
          <w:highlight w:val="none"/>
        </w:rPr>
      </w:r>
      <w:r/>
    </w:p>
    <w:p>
      <w:pPr>
        <w:numPr>
          <w:ilvl w:val="0"/>
          <w:numId w:val="0"/>
        </w:numPr>
        <w:jc w:val="both"/>
        <w:keepLines/>
        <w:keepNext/>
        <w:pageBreakBefore w:val="0"/>
        <w:spacing w:before="280" w:after="290" w:line="360" w:lineRule="auto"/>
        <w:widowControl w:val="off"/>
        <w:rPr>
          <w:rFonts w:hint="eastAsia" w:ascii="宋体" w:hAnsi="宋体" w:eastAsia="宋体" w:cs="宋体"/>
          <w:b/>
          <w:bCs/>
          <w:sz w:val="28"/>
          <w:szCs w:val="28"/>
          <w:highlight w:val="none"/>
          <w:lang w:val="en-US" w:eastAsia="zh-CN" w:bidi="ar-SA"/>
        </w:rPr>
        <w:outlineLvl w:val="3"/>
      </w:pPr>
      <w:r>
        <w:rPr>
          <w:rFonts w:hint="eastAsia" w:ascii="宋体" w:hAnsi="宋体" w:eastAsia="宋体" w:cs="宋体"/>
          <w:b/>
          <w:bCs/>
          <w:sz w:val="28"/>
          <w:szCs w:val="28"/>
          <w:highlight w:val="none"/>
          <w:lang w:val="en-US" w:eastAsia="zh-CN" w:bidi="ar-SA"/>
        </w:rPr>
      </w:r>
      <w:r/>
    </w:p>
    <w:p>
      <w:pPr>
        <w:pageBreakBefore w:val="0"/>
        <w:spacing w:line="360" w:lineRule="auto"/>
        <w:rPr>
          <w:rFonts w:hint="eastAsia" w:ascii="宋体" w:hAnsi="宋体" w:eastAsia="宋体" w:cs="宋体"/>
          <w:b/>
          <w:spacing w:val="12"/>
          <w:sz w:val="24"/>
          <w:highlight w:val="none"/>
        </w:rPr>
      </w:pPr>
      <w:r>
        <w:rPr>
          <w:rFonts w:hint="eastAsia" w:ascii="宋体" w:hAnsi="宋体" w:eastAsia="宋体" w:cs="宋体"/>
          <w:b/>
          <w:spacing w:val="12"/>
          <w:sz w:val="24"/>
          <w:highlight w:val="none"/>
        </w:rPr>
      </w:r>
      <w:r/>
    </w:p>
    <w:p>
      <w:pPr>
        <w:numPr>
          <w:ilvl w:val="0"/>
          <w:numId w:val="0"/>
        </w:numPr>
        <w:jc w:val="both"/>
        <w:keepLines/>
        <w:keepNext/>
        <w:pageBreakBefore w:val="0"/>
        <w:spacing w:before="280" w:after="290" w:line="360" w:lineRule="auto"/>
        <w:widowControl w:val="off"/>
        <w:rPr>
          <w:rFonts w:hint="eastAsia" w:ascii="宋体" w:hAnsi="宋体" w:eastAsia="宋体" w:cs="宋体"/>
          <w:b/>
          <w:bCs/>
          <w:sz w:val="28"/>
          <w:szCs w:val="28"/>
          <w:highlight w:val="none"/>
          <w:lang w:val="en-US" w:eastAsia="zh-CN" w:bidi="ar-SA"/>
        </w:rPr>
        <w:outlineLvl w:val="3"/>
      </w:pPr>
      <w:r>
        <w:rPr>
          <w:rFonts w:hint="eastAsia" w:ascii="宋体" w:hAnsi="宋体" w:eastAsia="宋体" w:cs="宋体"/>
          <w:b/>
          <w:bCs/>
          <w:sz w:val="28"/>
          <w:szCs w:val="28"/>
          <w:highlight w:val="none"/>
          <w:lang w:val="en-US" w:eastAsia="zh-CN" w:bidi="ar-SA"/>
        </w:rPr>
      </w:r>
      <w:r/>
    </w:p>
    <w:p>
      <w:pPr>
        <w:ind w:firstLine="200"/>
        <w:pageBreakBefore w:val="0"/>
        <w:spacing w:line="360" w:lineRule="auto"/>
        <w:rPr>
          <w:rFonts w:hint="eastAsia" w:ascii="宋体" w:hAnsi="宋体" w:eastAsia="宋体" w:cs="宋体"/>
          <w:b/>
          <w:spacing w:val="12"/>
          <w:sz w:val="34"/>
          <w:highlight w:val="none"/>
        </w:rPr>
      </w:pPr>
      <w:r>
        <w:rPr>
          <w:rFonts w:hint="eastAsia" w:ascii="宋体" w:hAnsi="宋体" w:eastAsia="宋体" w:cs="宋体"/>
          <w:b/>
          <w:spacing w:val="12"/>
          <w:sz w:val="34"/>
          <w:highlight w:val="none"/>
        </w:rPr>
      </w:r>
      <w:r/>
    </w:p>
    <w:p>
      <w:pPr>
        <w:numPr>
          <w:ilvl w:val="1"/>
          <w:numId w:val="0"/>
        </w:numPr>
        <w:jc w:val="center"/>
        <w:keepLines/>
        <w:keepNext/>
        <w:pageBreakBefore w:val="0"/>
        <w:spacing w:before="260" w:after="260" w:line="360" w:lineRule="auto"/>
        <w:widowControl w:val="off"/>
        <w:rPr>
          <w:rFonts w:hint="eastAsia" w:ascii="宋体" w:hAnsi="宋体" w:eastAsia="宋体" w:cs="宋体"/>
          <w:b/>
          <w:bCs/>
          <w:sz w:val="32"/>
          <w:szCs w:val="32"/>
          <w:highlight w:val="none"/>
          <w:lang w:val="en-US" w:eastAsia="zh-CN" w:bidi="ar-SA"/>
        </w:rPr>
        <w:outlineLvl w:val="1"/>
      </w:pPr>
      <w:r/>
      <w:bookmarkStart w:id="39" w:name="_Toc366589557"/>
      <w:r>
        <w:rPr>
          <w:rFonts w:hint="eastAsia" w:ascii="宋体" w:hAnsi="宋体" w:eastAsia="宋体" w:cs="宋体"/>
          <w:b/>
          <w:bCs/>
          <w:sz w:val="32"/>
          <w:szCs w:val="32"/>
          <w:highlight w:val="none"/>
          <w:lang w:val="en-US" w:eastAsia="zh-CN" w:bidi="ar-SA"/>
        </w:rPr>
        <w:t xml:space="preserve">第二部分　通用合同条款</w:t>
      </w:r>
      <w:bookmarkEnd w:id="39"/>
      <w:r/>
      <w:r/>
    </w:p>
    <w:p>
      <w:pPr>
        <w:ind w:firstLine="560"/>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按照住房和城乡建设部、国家工商行政管理总局制定的《建设工程施工合同（示范文本）》（GF-2017-0201）第二部分 通用合同条款执行。</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numPr>
          <w:ilvl w:val="1"/>
          <w:numId w:val="0"/>
        </w:numPr>
        <w:jc w:val="center"/>
        <w:keepLines/>
        <w:keepNext/>
        <w:pageBreakBefore w:val="0"/>
        <w:spacing w:before="260" w:after="260" w:line="360" w:lineRule="auto"/>
        <w:widowControl w:val="off"/>
        <w:rPr>
          <w:rFonts w:hint="eastAsia" w:ascii="宋体" w:hAnsi="宋体" w:eastAsia="宋体" w:cs="宋体"/>
          <w:b/>
          <w:bCs/>
          <w:sz w:val="32"/>
          <w:szCs w:val="32"/>
          <w:highlight w:val="none"/>
          <w:lang w:val="en-US" w:eastAsia="zh-CN" w:bidi="ar-SA"/>
        </w:rPr>
        <w:outlineLvl w:val="1"/>
      </w:pPr>
      <w:r/>
      <w:bookmarkStart w:id="40" w:name="_Toc366589558"/>
      <w:r>
        <w:rPr>
          <w:rFonts w:hint="eastAsia" w:ascii="宋体" w:hAnsi="宋体" w:eastAsia="宋体" w:cs="宋体"/>
          <w:b/>
          <w:bCs/>
          <w:sz w:val="32"/>
          <w:szCs w:val="32"/>
          <w:highlight w:val="none"/>
          <w:lang w:val="en-US" w:eastAsia="zh-CN" w:bidi="ar-SA"/>
        </w:rPr>
        <w:t xml:space="preserve">第三部分　专用合同条款</w:t>
      </w:r>
      <w:bookmarkEnd w:id="40"/>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41" w:name="_Toc372788928"/>
      <w:r/>
      <w:bookmarkStart w:id="42" w:name="_Toc296891196"/>
      <w:r/>
      <w:bookmarkStart w:id="43" w:name="_Toc296890984"/>
      <w:r/>
      <w:bookmarkStart w:id="44" w:name="_Toc296503156"/>
      <w:r/>
      <w:bookmarkStart w:id="45" w:name="_Toc296347155"/>
      <w:r/>
      <w:bookmarkStart w:id="46" w:name="_Toc292559866"/>
      <w:r/>
      <w:bookmarkStart w:id="47" w:name="_Toc296944495"/>
      <w:r/>
      <w:bookmarkStart w:id="48" w:name="_Toc297120456"/>
      <w:r/>
      <w:bookmarkStart w:id="49" w:name="_Toc296346657"/>
      <w:r/>
      <w:bookmarkStart w:id="50" w:name="_Toc292559361"/>
      <w:r/>
      <w:bookmarkStart w:id="51" w:name="_Toc297048342"/>
      <w:r>
        <w:rPr>
          <w:rFonts w:hint="eastAsia" w:ascii="宋体" w:hAnsi="宋体" w:eastAsia="宋体" w:cs="宋体"/>
          <w:b w:val="0"/>
          <w:bCs/>
          <w:sz w:val="24"/>
          <w:szCs w:val="24"/>
          <w:highlight w:val="none"/>
          <w:lang w:val="en-US" w:eastAsia="zh-CN" w:bidi="ar-SA"/>
        </w:rPr>
        <w:t xml:space="preserve"> 一般约定</w:t>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1.1.1.10其他合同文件包括：</w:t>
      </w:r>
      <w:r>
        <w:rPr>
          <w:rFonts w:hint="eastAsia" w:ascii="宋体" w:hAnsi="宋体" w:eastAsia="宋体" w:cs="宋体"/>
          <w:bCs/>
          <w:sz w:val="24"/>
          <w:szCs w:val="24"/>
          <w:highlight w:val="none"/>
          <w:u w:val="single"/>
        </w:rPr>
        <w:t xml:space="preserve">(1)施工过程中签订的补充协议、（2）本合同协议书、 (3) 中标通知书、(4)招标文件、（5）投标书及其附件、(6) 本合同专用条款 、（7）本合同通用条款、(8) 标准、规范及有关技术文件、(9) 图纸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highlight w:val="none"/>
          <w:u w:val="single"/>
        </w:rPr>
        <w:t xml:space="preserve">符合通用条款规定的发包方提供的施工场地。</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      见规划红线图</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w:t>
      </w:r>
      <w:r>
        <w:rPr>
          <w:rFonts w:hint="eastAsia" w:ascii="宋体" w:hAnsi="宋体" w:eastAsia="宋体" w:cs="宋体"/>
          <w:sz w:val="24"/>
          <w:szCs w:val="24"/>
          <w:highlight w:val="none"/>
          <w:u w:val="single"/>
        </w:rPr>
        <w:t xml:space="preserve">           无           </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left="716" w:hanging="12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中华人民共和国建筑法</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中华人民共和国政府采购法</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中华人民共和国招标投标法</w:t>
      </w:r>
      <w:r>
        <w:rPr>
          <w:rFonts w:hint="eastAsia" w:ascii="宋体" w:hAnsi="宋体" w:eastAsia="宋体" w:cs="宋体"/>
          <w:sz w:val="24"/>
          <w:szCs w:val="24"/>
          <w:highlight w:val="none"/>
          <w:u w:val="single"/>
        </w:rPr>
        <w:t xml:space="preserve">》、《中华人民共和国民法典》、《江苏省工程建设质量管理条例》、《</w:t>
      </w:r>
      <w:r>
        <w:rPr>
          <w:rFonts w:hint="eastAsia" w:ascii="宋体" w:hAnsi="宋体" w:eastAsia="宋体" w:cs="宋体"/>
          <w:sz w:val="24"/>
          <w:szCs w:val="24"/>
          <w:highlight w:val="none"/>
          <w:u w:val="single"/>
          <w:lang w:eastAsia="zh-CN"/>
        </w:rPr>
        <w:t xml:space="preserve">中华人民共和国安全生产法</w:t>
      </w:r>
      <w:r>
        <w:rPr>
          <w:rFonts w:hint="eastAsia" w:ascii="宋体" w:hAnsi="宋体" w:eastAsia="宋体" w:cs="宋体"/>
          <w:sz w:val="24"/>
          <w:szCs w:val="24"/>
          <w:highlight w:val="none"/>
          <w:u w:val="single"/>
        </w:rPr>
        <w:t xml:space="preserve">》及无锡市相关的地方性规章和政策文件。</w:t>
      </w:r>
      <w:r/>
    </w:p>
    <w:p>
      <w:pPr>
        <w:ind w:left="716" w:hanging="12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left="59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1.4.1适用于项目的标准规范包括：</w:t>
      </w:r>
      <w:r>
        <w:rPr>
          <w:rFonts w:hint="eastAsia" w:ascii="宋体" w:hAnsi="宋体" w:eastAsia="宋体" w:cs="宋体"/>
          <w:sz w:val="24"/>
          <w:szCs w:val="24"/>
          <w:highlight w:val="none"/>
          <w:u w:val="single"/>
        </w:rPr>
        <w:t xml:space="preserve">《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w:t>
      </w:r>
      <w:r>
        <w:rPr>
          <w:rFonts w:hint="eastAsia" w:ascii="宋体" w:hAnsi="宋体" w:eastAsia="宋体" w:cs="宋体"/>
          <w:sz w:val="24"/>
          <w:szCs w:val="24"/>
          <w:highlight w:val="none"/>
          <w:u w:val="single"/>
          <w:lang w:eastAsia="zh-CN"/>
        </w:rPr>
        <w:t xml:space="preserve">地方性法规</w:t>
      </w:r>
      <w:r>
        <w:rPr>
          <w:rFonts w:hint="eastAsia" w:ascii="宋体" w:hAnsi="宋体" w:eastAsia="宋体" w:cs="宋体"/>
          <w:sz w:val="24"/>
          <w:szCs w:val="24"/>
          <w:highlight w:val="none"/>
          <w:u w:val="single"/>
        </w:rPr>
        <w:t xml:space="preserve">与国家法规相抵触，按国家法规执行。</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59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1.4.3发包人对项目的技术标准和功能要求的特殊要求：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合同文件的优先顺序</w:t>
      </w:r>
      <w:r/>
    </w:p>
    <w:p>
      <w:pPr>
        <w:ind w:left="473"/>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合同文件组成及优先顺序为：</w:t>
      </w:r>
      <w:r>
        <w:rPr>
          <w:rFonts w:hint="eastAsia" w:ascii="宋体" w:hAnsi="宋体" w:eastAsia="宋体" w:cs="宋体"/>
          <w:sz w:val="24"/>
          <w:szCs w:val="24"/>
          <w:highlight w:val="none"/>
          <w:u w:val="single"/>
          <w:lang w:val="en-US" w:eastAsia="zh-CN" w:bidi="ar-SA"/>
        </w:rPr>
        <w:t xml:space="preserve">(1)施工过程中签订的补充协议、（2）本合同协议书、 (3) 中标通知书、(4)招标文件、（5）投标书及其附件、(6) 本合同专用条款 、（7）本合同通用条款、(8) 标准、规范及有关技术文件、(9) 图纸</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w:t>
      </w:r>
      <w:r/>
    </w:p>
    <w:p>
      <w:pPr>
        <w:ind w:left="596"/>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按发包人需求</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按发包人需求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书面形式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收到相关文件后7天</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 现场图纸准备</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施工现场保留一套完整图纸供发包人、监理人及有关人员使用</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 交通运输</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52" w:name="_Toc300934943"/>
      <w:r/>
      <w:bookmarkStart w:id="53" w:name="_Toc303539100"/>
      <w:r/>
      <w:bookmarkStart w:id="54" w:name="_Toc304295521"/>
      <w:r/>
      <w:bookmarkStart w:id="55" w:name="_Toc312677986"/>
      <w:r/>
      <w:bookmarkStart w:id="56" w:name="_Toc318581155"/>
      <w:r>
        <w:rPr>
          <w:rFonts w:hint="eastAsia" w:ascii="宋体" w:hAnsi="宋体" w:eastAsia="宋体" w:cs="宋体"/>
          <w:sz w:val="24"/>
          <w:szCs w:val="24"/>
          <w:highlight w:val="none"/>
        </w:rPr>
        <w:t xml:space="preserve">.10.1 出入现场的权利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关于出入现场的权利的约定：施工现场内临时道路由承包人负责建设并承担相关费用。</w:t>
      </w:r>
      <w:bookmarkEnd w:id="52"/>
      <w:r/>
      <w:bookmarkEnd w:id="53"/>
      <w:r/>
      <w:bookmarkEnd w:id="54"/>
      <w:r/>
      <w:bookmarkEnd w:id="55"/>
      <w:r/>
      <w:bookmarkEnd w:id="56"/>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57" w:name="_Toc312677987"/>
      <w:r/>
      <w:bookmarkStart w:id="58" w:name="_Toc300934944"/>
      <w:r/>
      <w:bookmarkStart w:id="59" w:name="_Toc318581156"/>
      <w:r/>
      <w:bookmarkStart w:id="60" w:name="_Toc304295522"/>
      <w:r/>
      <w:bookmarkStart w:id="61" w:name="_Toc303539101"/>
      <w:r>
        <w:rPr>
          <w:rFonts w:hint="eastAsia" w:ascii="宋体" w:hAnsi="宋体" w:eastAsia="宋体" w:cs="宋体"/>
          <w:sz w:val="24"/>
          <w:szCs w:val="24"/>
          <w:highlight w:val="none"/>
        </w:rPr>
        <w:t xml:space="preserve">.10.3 场内交通</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bookmarkEnd w:id="57"/>
      <w:r/>
      <w:bookmarkEnd w:id="58"/>
      <w:r/>
      <w:bookmarkEnd w:id="59"/>
      <w:r/>
      <w:bookmarkEnd w:id="60"/>
      <w:r/>
      <w:bookmarkEnd w:id="61"/>
      <w:r>
        <w:rPr>
          <w:rFonts w:hint="eastAsia" w:ascii="宋体" w:hAnsi="宋体" w:eastAsia="宋体" w:cs="宋体"/>
          <w:sz w:val="24"/>
          <w:szCs w:val="24"/>
          <w:highlight w:val="none"/>
        </w:rPr>
        <w:t xml:space="preserve">  </w:t>
      </w:r>
      <w:bookmarkStart w:id="62" w:name="_Toc318581157"/>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1.10.4超大件和超重件的运输</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62"/>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知识产权</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按通用条款执行     </w:t>
      </w:r>
      <w:r>
        <w:rPr>
          <w:rFonts w:hint="eastAsia" w:ascii="宋体" w:hAnsi="宋体" w:eastAsia="宋体" w:cs="宋体"/>
          <w:sz w:val="24"/>
          <w:szCs w:val="24"/>
          <w:highlight w:val="none"/>
        </w:rPr>
        <w:t xml:space="preserve">。</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1.11.2 关于承包人为实施工程所编制文件的著作权的归属：  按通用条款执行。</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按通用条款执行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sz w:val="24"/>
          <w:szCs w:val="24"/>
          <w:highlight w:val="none"/>
          <w:u w:val="single"/>
        </w:rPr>
        <w:t xml:space="preserve">已包含在合同价内</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1.13工程量清单错误的修正</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出现工程量清单错误时，是否调整合同价格：</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允许调整合同价格的工程量偏差范围：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63" w:name="_Toc372788929"/>
      <w:r>
        <w:rPr>
          <w:rFonts w:hint="eastAsia" w:ascii="宋体" w:hAnsi="宋体" w:eastAsia="宋体" w:cs="宋体"/>
          <w:b w:val="0"/>
          <w:bCs/>
          <w:sz w:val="24"/>
          <w:szCs w:val="24"/>
          <w:highlight w:val="none"/>
          <w:lang w:val="en-US" w:eastAsia="zh-CN" w:bidi="ar-SA"/>
        </w:rPr>
        <w:t xml:space="preserve">2</w:t>
      </w:r>
      <w:bookmarkStart w:id="64" w:name="_Toc297048343"/>
      <w:r/>
      <w:bookmarkStart w:id="65" w:name="_Toc292559867"/>
      <w:r/>
      <w:bookmarkStart w:id="66" w:name="_Toc296503157"/>
      <w:r/>
      <w:bookmarkStart w:id="67" w:name="_Toc297120457"/>
      <w:r/>
      <w:bookmarkStart w:id="68" w:name="_Toc296347156"/>
      <w:r/>
      <w:bookmarkStart w:id="69" w:name="_Toc292559362"/>
      <w:r/>
      <w:bookmarkStart w:id="70" w:name="_Toc296346658"/>
      <w:r/>
      <w:bookmarkStart w:id="71" w:name="_Toc296891197"/>
      <w:r/>
      <w:bookmarkStart w:id="72" w:name="_Toc296890985"/>
      <w:r/>
      <w:bookmarkStart w:id="73" w:name="_Toc296944496"/>
      <w:r>
        <w:rPr>
          <w:rFonts w:hint="eastAsia" w:ascii="宋体" w:hAnsi="宋体" w:eastAsia="宋体" w:cs="宋体"/>
          <w:b w:val="0"/>
          <w:bCs/>
          <w:sz w:val="24"/>
          <w:szCs w:val="24"/>
          <w:highlight w:val="none"/>
          <w:lang w:val="en-US" w:eastAsia="zh-CN" w:bidi="ar-SA"/>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发包人代表</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left="315" w:firstLine="12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现场施工、设计管理、组织协调、认可工程量，质量、进度、投资控制，信息处理，付款签证及工程签证、变更的认证及增加的工程量认证等现场的一切事务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施工现场、施工条件和基础资料的提供</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开工前3天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sz w:val="24"/>
          <w:szCs w:val="24"/>
          <w:highlight w:val="none"/>
          <w:u w:val="single"/>
        </w:rPr>
        <w:t xml:space="preserve">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eastAsia="宋体" w:cs="宋体"/>
          <w:sz w:val="24"/>
          <w:szCs w:val="24"/>
          <w:highlight w:val="none"/>
          <w:u w:val="none"/>
        </w:rPr>
        <w:t xml:space="preserve">          </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资金来源证明及支付担保</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        不提供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74" w:name="_Toc372788930"/>
      <w:r>
        <w:rPr>
          <w:rFonts w:hint="eastAsia" w:ascii="宋体" w:hAnsi="宋体" w:eastAsia="宋体" w:cs="宋体"/>
          <w:b w:val="0"/>
          <w:bCs/>
          <w:sz w:val="24"/>
          <w:szCs w:val="24"/>
          <w:highlight w:val="none"/>
          <w:lang w:val="en-US" w:eastAsia="zh-CN" w:bidi="ar-SA"/>
        </w:rPr>
        <w:t xml:space="preserve">3</w:t>
      </w:r>
      <w:bookmarkStart w:id="75" w:name="_Toc296890986"/>
      <w:r/>
      <w:bookmarkStart w:id="76" w:name="_Toc296347157"/>
      <w:r/>
      <w:bookmarkStart w:id="77" w:name="_Toc297048344"/>
      <w:r/>
      <w:bookmarkStart w:id="78" w:name="_Toc296346659"/>
      <w:r/>
      <w:bookmarkStart w:id="79" w:name="_Toc296944497"/>
      <w:r/>
      <w:bookmarkStart w:id="80" w:name="_Toc296503158"/>
      <w:r/>
      <w:bookmarkStart w:id="81" w:name="_Toc297120458"/>
      <w:r/>
      <w:bookmarkStart w:id="82" w:name="_Toc296891198"/>
      <w:r/>
      <w:bookmarkStart w:id="83" w:name="_Toc292559868"/>
      <w:r/>
      <w:bookmarkStart w:id="84" w:name="_Toc292559363"/>
      <w:r>
        <w:rPr>
          <w:rFonts w:hint="eastAsia" w:ascii="宋体" w:hAnsi="宋体" w:eastAsia="宋体" w:cs="宋体"/>
          <w:b w:val="0"/>
          <w:bCs/>
          <w:sz w:val="24"/>
          <w:szCs w:val="24"/>
          <w:highlight w:val="none"/>
          <w:lang w:val="en-US" w:eastAsia="zh-CN" w:bidi="ar-SA"/>
        </w:rPr>
        <w:t xml:space="preserve">. 承包人</w:t>
      </w:r>
      <w:bookmarkEnd w:id="74"/>
      <w:r/>
      <w:bookmarkEnd w:id="75"/>
      <w:r/>
      <w:bookmarkEnd w:id="76"/>
      <w:r/>
      <w:bookmarkEnd w:id="77"/>
      <w:r/>
      <w:bookmarkEnd w:id="78"/>
      <w:r/>
      <w:bookmarkEnd w:id="79"/>
      <w:r/>
      <w:bookmarkEnd w:id="80"/>
      <w:r/>
      <w:bookmarkEnd w:id="81"/>
      <w:r/>
      <w:bookmarkEnd w:id="82"/>
      <w:r/>
      <w:bookmarkEnd w:id="83"/>
      <w:r/>
      <w:bookmarkEnd w:id="84"/>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（5）承包人提交的竣工资料的内容：</w:t>
      </w:r>
      <w:r>
        <w:rPr>
          <w:rFonts w:hint="eastAsia" w:ascii="宋体" w:hAnsi="宋体" w:eastAsia="宋体" w:cs="宋体"/>
          <w:sz w:val="24"/>
          <w:szCs w:val="24"/>
          <w:highlight w:val="none"/>
          <w:u w:val="single"/>
        </w:rPr>
        <w:t xml:space="preserve">  符合无锡市建设工程档案归档规范要求及无锡市城建档案馆要求的竣工图纸及资料。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rPr>
        <w:t xml:space="preserve">       3套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       承包人承担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   竣工验收合格后 30 日内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 书面形式</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（6）承包人应履行的其他义务：</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1)需由设计资质等级和业务范围允许的承包人完成的设计文件提交时间：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36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2)应提供计划、报表的名称及完成时间：</w:t>
      </w:r>
      <w:r>
        <w:rPr>
          <w:rFonts w:hint="eastAsia" w:ascii="宋体" w:hAnsi="宋体" w:eastAsia="宋体" w:cs="宋体"/>
          <w:sz w:val="24"/>
          <w:szCs w:val="24"/>
          <w:highlight w:val="none"/>
          <w:u w:val="single"/>
        </w:rPr>
        <w:t xml:space="preserve">设计交底后3天内提供进度计划、材料进场计划表。</w:t>
      </w:r>
      <w:r/>
    </w:p>
    <w:p>
      <w:pPr>
        <w:ind w:firstLine="36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3) 承担施工安全保卫工作及夜间施工照明的责任和要求：</w:t>
      </w:r>
      <w:r>
        <w:rPr>
          <w:rFonts w:hint="eastAsia" w:ascii="宋体" w:hAnsi="宋体" w:eastAsia="宋体" w:cs="宋体"/>
          <w:bCs/>
          <w:sz w:val="24"/>
          <w:szCs w:val="24"/>
          <w:highlight w:val="none"/>
          <w:u w:val="single"/>
        </w:rPr>
        <w:t xml:space="preserve">切实做好施工范围内的各项安全保卫工作及夜间施工的照明工作</w:t>
      </w:r>
      <w:r>
        <w:rPr>
          <w:rFonts w:hint="eastAsia" w:ascii="宋体" w:hAnsi="宋体" w:eastAsia="宋体" w:cs="宋体"/>
          <w:b/>
          <w:sz w:val="24"/>
          <w:szCs w:val="24"/>
          <w:highlight w:val="none"/>
          <w:u w:val="single"/>
        </w:rPr>
        <w:t xml:space="preserve">，</w:t>
      </w:r>
      <w:r>
        <w:rPr>
          <w:rFonts w:hint="eastAsia" w:ascii="宋体" w:hAnsi="宋体" w:eastAsia="宋体" w:cs="宋体"/>
          <w:bCs/>
          <w:sz w:val="24"/>
          <w:szCs w:val="24"/>
          <w:highlight w:val="none"/>
          <w:u w:val="single"/>
        </w:rPr>
        <w:t xml:space="preserve">各项作业期间，安全员需全程在场负责安全工作。如因承包人安全文明措施或夜间施工照明措施不到位，造成施工无关人员进入施工范围并发生事故，所有责任由承包人承担。</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向发包人提供的办公和生活房屋及设施的要求：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需承包人办理的有关施工场地交通、环卫和施工噪声管理等手续：由承包人办理有关手续，发包人协办。</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已完工程成品保护的特殊要求及费用承担：按本合同通用条款9.1.6条办理，在施工现场范围内，均由承包人承担，其余纳入总包管理、配合范围内的成品保护及损坏修复费用由总包人承担相应责任。</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施工场地周围地下管线和邻近建筑物、构筑物（含文物保护建筑）等的保护要求及费用承担：根据发包人的要求做好保护。属施工范围内的地下管线及其他设施损坏，属于承包人的责任，修理费用由承包人承担；若承包人对地下管线及其他设施有不负责任行为，除修复并承担修复费用外，视情节严重程度</w:t>
      </w:r>
      <w:r>
        <w:rPr>
          <w:rFonts w:hint="eastAsia" w:ascii="宋体" w:hAnsi="宋体" w:eastAsia="宋体" w:cs="宋体"/>
          <w:sz w:val="24"/>
          <w:szCs w:val="24"/>
          <w:highlight w:val="none"/>
          <w:lang w:eastAsia="zh-CN"/>
        </w:rPr>
        <w:t xml:space="preserve">给予一定</w:t>
      </w:r>
      <w:r>
        <w:rPr>
          <w:rFonts w:hint="eastAsia" w:ascii="宋体" w:hAnsi="宋体" w:eastAsia="宋体" w:cs="宋体"/>
          <w:sz w:val="24"/>
          <w:szCs w:val="24"/>
          <w:highlight w:val="none"/>
        </w:rPr>
        <w:t xml:space="preserve">数额的罚款。</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施工场地清洁卫生的要求：①所有的废水、污水应按相关部门的要求处理，不得污染环境，由此而</w:t>
      </w:r>
      <w:r>
        <w:rPr>
          <w:rFonts w:hint="eastAsia" w:ascii="宋体" w:hAnsi="宋体" w:eastAsia="宋体" w:cs="宋体"/>
          <w:sz w:val="24"/>
          <w:szCs w:val="24"/>
          <w:highlight w:val="none"/>
          <w:lang w:eastAsia="zh-CN"/>
        </w:rPr>
        <w:t xml:space="preserve">引起</w:t>
      </w:r>
      <w:r>
        <w:rPr>
          <w:rFonts w:hint="eastAsia" w:ascii="宋体" w:hAnsi="宋体" w:eastAsia="宋体" w:cs="宋体"/>
          <w:sz w:val="24"/>
          <w:szCs w:val="24"/>
          <w:highlight w:val="none"/>
        </w:rPr>
        <w:t xml:space="preserve">的后果由承包人自行负责。②应符合无锡市有关工程施工现场的文明卫生要求。要求如下：首要是施工期间不得影响周边群众的正常工作、生活并无条件接受有关部门的指挥、安排，要加强现场的封闭式管理。封闭围栏要做到整洁、美观、安全可靠。封闭围挡费用由承包人自行承担，费用已包含在合同价中，发包人不另行支付。二是防止抛洒滴漏。按照锡政办发</w:t>
      </w:r>
      <w:r>
        <w:rPr>
          <w:rFonts w:hint="eastAsia" w:ascii="宋体" w:hAnsi="宋体" w:eastAsia="宋体" w:cs="宋体"/>
          <w:sz w:val="24"/>
          <w:szCs w:val="24"/>
          <w:highlight w:val="none"/>
          <w:lang w:eastAsia="zh-CN"/>
        </w:rPr>
        <w:t xml:space="preserve">〔2017〕204号</w:t>
      </w:r>
      <w:r>
        <w:rPr>
          <w:rFonts w:hint="eastAsia" w:ascii="宋体" w:hAnsi="宋体" w:eastAsia="宋体" w:cs="宋体"/>
          <w:sz w:val="24"/>
          <w:szCs w:val="24"/>
          <w:highlight w:val="none"/>
        </w:rPr>
        <w:t xml:space="preserve">文，市政府关于建筑渣土管理的实施意见执行，因执行不到位导致的所有罚款由承包人承担。运输建筑材料、垃圾和工程渣土的车辆，应当采取有效措施，防止建筑材料、垃圾和工程渣土飞扬、</w:t>
      </w:r>
      <w:r>
        <w:rPr>
          <w:rFonts w:hint="eastAsia" w:ascii="宋体" w:hAnsi="宋体" w:eastAsia="宋体" w:cs="宋体"/>
          <w:sz w:val="24"/>
          <w:szCs w:val="24"/>
          <w:highlight w:val="none"/>
          <w:lang w:eastAsia="zh-CN"/>
        </w:rPr>
        <w:t xml:space="preserve">撒落</w:t>
      </w:r>
      <w:r>
        <w:rPr>
          <w:rFonts w:hint="eastAsia" w:ascii="宋体" w:hAnsi="宋体" w:eastAsia="宋体" w:cs="宋体"/>
          <w:sz w:val="24"/>
          <w:szCs w:val="24"/>
          <w:highlight w:val="none"/>
        </w:rPr>
        <w:t xml:space="preserve">或流溢，保证</w:t>
      </w:r>
      <w:r>
        <w:rPr>
          <w:rFonts w:hint="eastAsia" w:ascii="宋体" w:hAnsi="宋体" w:eastAsia="宋体" w:cs="宋体"/>
          <w:sz w:val="24"/>
          <w:szCs w:val="24"/>
          <w:highlight w:val="none"/>
          <w:lang w:eastAsia="zh-CN"/>
        </w:rPr>
        <w:t xml:space="preserve">行驶</w:t>
      </w:r>
      <w:r>
        <w:rPr>
          <w:rFonts w:hint="eastAsia" w:ascii="宋体" w:hAnsi="宋体" w:eastAsia="宋体" w:cs="宋体"/>
          <w:sz w:val="24"/>
          <w:szCs w:val="24"/>
          <w:highlight w:val="none"/>
        </w:rPr>
        <w:t xml:space="preserve">途中不污染道路和环境。主要出入口道路要硬化处理，车辆驶出工地前要坚持冲洗。不冲洗车辆不得出场。三是科学合理地确定交通组织方案。</w:t>
      </w:r>
      <w:r>
        <w:rPr>
          <w:rFonts w:hint="eastAsia" w:ascii="宋体" w:hAnsi="宋体" w:eastAsia="宋体" w:cs="宋体"/>
          <w:sz w:val="24"/>
          <w:szCs w:val="24"/>
          <w:highlight w:val="none"/>
          <w:lang w:eastAsia="zh-CN"/>
        </w:rPr>
        <w:t xml:space="preserve">四是</w:t>
      </w:r>
      <w:r>
        <w:rPr>
          <w:rFonts w:hint="eastAsia" w:ascii="宋体" w:hAnsi="宋体" w:eastAsia="宋体" w:cs="宋体"/>
          <w:sz w:val="24"/>
          <w:szCs w:val="24"/>
          <w:highlight w:val="none"/>
        </w:rPr>
        <w:t xml:space="preserve">加强施工现场管理。施工现场平面布置合理，各类材料的堆放要做到整齐有序，不任意占用车行道、人行道废料、垃圾及不需要的临时设施应及时清除、拆除并外运。</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9)双方约定承包人应做的其他工作：①承包人安排施工进度时，须符合总包制定的计划工期和</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分包工程的施工工期，并协调好与其他各专业分包单位及专业工种的配合；②临时用地由总包人提供，临时用电、用水按总包管理范围内条款执行；③如有需要，则双方协商确定。</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10）本工程确保按要求通过验收，全部“合格”。如验收达不到项目承诺标准，则承包方必须返修整改达到承诺标准为止，才能交付发包方，其返修费用均</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承包方自行承担。</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11）涉及到工程价款的签证，约定＞5万元变更的项目，需经无锡市政府投资评审管理中心确认后予以认可。应有监理方、审计方审核，发包方确认作为结算依据 。所有签证承包方必须在事件发生后14天内报出签证申请，逾期作为让利。</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根据招标文件中相关条款，承包人及其分包人任何车辆上路运输，应事先取得道路管理部门的同意，并承担因损坏所通行的道路或桥梁（包括村镇道路）而发生的修复、加固等费用，这些费用和由此引起的一切索赔、赔偿、诉讼和</w:t>
      </w:r>
      <w:r>
        <w:rPr>
          <w:rFonts w:hint="eastAsia" w:ascii="宋体" w:hAnsi="宋体" w:eastAsia="宋体" w:cs="宋体"/>
          <w:sz w:val="24"/>
          <w:szCs w:val="24"/>
          <w:highlight w:val="none"/>
          <w:lang w:eastAsia="zh-CN"/>
        </w:rPr>
        <w:t xml:space="preserve">其他开支</w:t>
      </w:r>
      <w:r>
        <w:rPr>
          <w:rFonts w:hint="eastAsia" w:ascii="宋体" w:hAnsi="宋体" w:eastAsia="宋体" w:cs="宋体"/>
          <w:sz w:val="24"/>
          <w:szCs w:val="24"/>
          <w:highlight w:val="none"/>
        </w:rPr>
        <w:t xml:space="preserve">，发包人概不承担。</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13）严格施工安全，承包人应对施工人员进行安全教育，不发生人身伤亡事故和火灾事故，并应参加建筑、安装工程保险，施工中发生的质量、安全事故及责任和经济损失均</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承包人负责。</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承包人应按投标承诺委派项目负责人，应保证投标的项目负责人及时到位并常驻现场，项目负责人不得任意调换，如果需要换，应事先取得发包人同意。如果监理工程师或发包人认为委派的项目负责人的工作能力、业务水平不称职，承包人在接到通知后，</w:t>
      </w:r>
      <w:r>
        <w:rPr>
          <w:rFonts w:hint="eastAsia" w:ascii="宋体" w:hAnsi="宋体" w:eastAsia="宋体" w:cs="宋体"/>
          <w:sz w:val="24"/>
          <w:szCs w:val="24"/>
          <w:highlight w:val="none"/>
        </w:rPr>
        <w:t xml:space="preserve">应尽快撤回上述人员，同时委派经发包人同意的、新的项目负责人，否则将视为违约，发包人有权扣除中标价2%的违约金直至终止合同。承包人在投标书所列的各类专业技术人员、施工班组人员、管理人员、未经发包人批准，不应无故不到位或被替换，若确实无法到位或需替换的，应安排同等资历的人员且经发包人批准。尽管承包人已按投标承诺派遣了各类人员，如果发包人认为这些人员仍不足适应现场施工需要且无法保证工程质量时，发包人有权要求承包人增派人员，承包人在接到通知后应立即执行，不得无故拖延。本工程承包人的现场项目管理机构的人员不得同时兼任</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工程项目的工作。</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15）除通用条款约定的不可抗力外，另要约定的不可抗力由发包方、承包方及监理视事件情况共同论定。</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16）承包人宗旨：保证与发包人密切配合，服从统一指挥、统一安排，高标准、严要求、优质、快速地完成该合同工程的施工建设，确保发包人满意。</w:t>
      </w:r>
      <w:r/>
    </w:p>
    <w:p>
      <w:pPr>
        <w:ind w:firstLine="36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17）对施工过程中的主要质量控制的主要要求：施工方法、施工顺序承包人必须严格按发包人（监理）工地代表批准的施工组织设计（施工方案）组织施工，并由发包人（监理）工地代表监督实施。</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18）施工期间，乙方要做到文明施工，并符合市创建卫生城市的要求，材料堆放整齐，做好工地文明创建工作，在施工过程中如受到有关部门的通报批评，则每次按总合同价的2%扣除。</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19）水电费由施工单位承担。</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20）工程施工过程中，如有任何新增、变更、缺项、漏项的项目，且无价格参照依据的，一律无条件先行施工，其价格最终以结算审计时审计部门确认价为准，否则按乙方违约处理。</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21）项目部项目负责人要求压证，项目竣工预验收后返回。</w:t>
      </w:r>
      <w:r/>
    </w:p>
    <w:p>
      <w:pPr>
        <w:ind w:firstLine="480"/>
        <w:pageBreakBefore w:val="0"/>
        <w:spacing w:line="360" w:lineRule="auto"/>
        <w:rPr>
          <w:rFonts w:hint="eastAsia" w:ascii="宋体" w:hAnsi="宋体" w:eastAsia="宋体" w:cs="宋体"/>
          <w:sz w:val="34"/>
          <w:highlight w:val="none"/>
        </w:rPr>
      </w:pPr>
      <w:r>
        <w:rPr>
          <w:rFonts w:hint="eastAsia" w:ascii="宋体" w:hAnsi="宋体" w:eastAsia="宋体" w:cs="宋体"/>
          <w:sz w:val="24"/>
          <w:szCs w:val="24"/>
          <w:highlight w:val="none"/>
          <w:u w:val="single"/>
        </w:rPr>
        <w:t xml:space="preserve">22）承包人应无条件接受财政或上级部门组织的复审,复审结果应作为决算最终依据。</w:t>
      </w:r>
      <w:r/>
    </w:p>
    <w:p>
      <w:pPr>
        <w:ind w:firstLine="480"/>
        <w:jc w:val="both"/>
        <w:pageBreakBefore w:val="0"/>
        <w:spacing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23）养护期内根据采购人考核办法进行考核，合同年度内中标单位累计扣分达到扣款标准的，由甲方在下一次付款周期时予以扣除；</w:t>
      </w:r>
      <w:r/>
    </w:p>
    <w:p>
      <w:pPr>
        <w:ind w:firstLine="480"/>
        <w:jc w:val="both"/>
        <w:pageBreakBefore w:val="0"/>
        <w:spacing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24）凡出现下列情况，甲方有权与中标人解除合同，追究损失，并通报中标人失信行为：</w:t>
      </w:r>
      <w:r/>
    </w:p>
    <w:p>
      <w:pPr>
        <w:jc w:val="both"/>
        <w:pageBreakBefore w:val="0"/>
        <w:spacing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    1）因中标人原因无法在规定时间内完成本项目的。</w:t>
      </w:r>
      <w:r/>
    </w:p>
    <w:p>
      <w:pPr>
        <w:jc w:val="both"/>
        <w:pageBreakBefore w:val="0"/>
        <w:spacing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    2）因管理不当，苗木植物出现大面积死亡，严重影响景观的。</w:t>
      </w:r>
      <w:r/>
    </w:p>
    <w:p>
      <w:pPr>
        <w:jc w:val="both"/>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bidi="ar-SA"/>
        </w:rPr>
        <w:t xml:space="preserve">    3）养护周期内，考核扣分超过30分的。</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项目负责人</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项目负责人：</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承包人对项目负责人的授权范围如下：</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关于项目负责人在施工现场的时间要求：</w:t>
      </w:r>
      <w:r>
        <w:rPr>
          <w:rFonts w:hint="eastAsia" w:ascii="宋体" w:hAnsi="宋体" w:eastAsia="宋体" w:cs="宋体"/>
          <w:sz w:val="24"/>
          <w:szCs w:val="24"/>
          <w:highlight w:val="none"/>
          <w:u w:val="single"/>
        </w:rPr>
        <w:t xml:space="preserve">  不得少于80%的天数，有事临时离开需提前向发包人代表请假</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承包人未提交劳动合同，以及没有为项目负责人缴纳社会保险证明的违约责任：</w:t>
      </w:r>
      <w:r>
        <w:rPr>
          <w:rFonts w:hint="eastAsia" w:ascii="宋体" w:hAnsi="宋体" w:eastAsia="宋体" w:cs="宋体"/>
          <w:sz w:val="24"/>
          <w:szCs w:val="24"/>
          <w:highlight w:val="none"/>
          <w:u w:val="single"/>
        </w:rPr>
        <w:t xml:space="preserve">处以2万元违约金，责令限期提交劳动合同并补缴社会保险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项目负责人未经批准，擅自离开施工现场的违约责任：</w:t>
      </w:r>
      <w:r>
        <w:rPr>
          <w:rFonts w:hint="eastAsia" w:ascii="宋体" w:hAnsi="宋体" w:eastAsia="宋体" w:cs="宋体"/>
          <w:sz w:val="24"/>
          <w:szCs w:val="24"/>
          <w:highlight w:val="none"/>
          <w:u w:val="single"/>
        </w:rPr>
        <w:t xml:space="preserve">处以2万元违约金，承包人承担上述违约给发包人造成的一切损失</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承包人擅自更换项目负责人的违约责任：</w:t>
      </w:r>
      <w:r>
        <w:rPr>
          <w:rFonts w:hint="eastAsia" w:ascii="宋体" w:hAnsi="宋体" w:eastAsia="宋体" w:cs="宋体"/>
          <w:sz w:val="24"/>
          <w:szCs w:val="24"/>
          <w:highlight w:val="none"/>
          <w:u w:val="single"/>
        </w:rPr>
        <w:t xml:space="preserve">处以2万元违约金，承包人承担上述违约给发包人造成的一切损失       </w:t>
      </w:r>
      <w:r>
        <w:rPr>
          <w:rFonts w:hint="eastAsia" w:ascii="宋体" w:hAnsi="宋体" w:eastAsia="宋体" w:cs="宋体"/>
          <w:sz w:val="24"/>
          <w:szCs w:val="24"/>
          <w:highlight w:val="none"/>
        </w:rPr>
        <w:t xml:space="preserve">。</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 承包人无正当理由拒绝更换项目负责人的违约责任：</w:t>
      </w:r>
      <w:r>
        <w:rPr>
          <w:rFonts w:hint="eastAsia" w:ascii="宋体" w:hAnsi="宋体" w:eastAsia="宋体" w:cs="宋体"/>
          <w:sz w:val="24"/>
          <w:szCs w:val="24"/>
          <w:highlight w:val="none"/>
          <w:u w:val="single"/>
        </w:rPr>
        <w:t xml:space="preserve">处以2万元违约金，承包人承担上述违约给发包人造成的一切损失</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开工前7天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 承包人无正当理由拒绝撤换主要施工管理人员的违约责任：</w:t>
      </w:r>
      <w:r>
        <w:rPr>
          <w:rFonts w:hint="eastAsia" w:ascii="宋体" w:hAnsi="宋体" w:eastAsia="宋体" w:cs="宋体"/>
          <w:sz w:val="24"/>
          <w:szCs w:val="24"/>
          <w:highlight w:val="none"/>
          <w:u w:val="single"/>
        </w:rPr>
        <w:t xml:space="preserve">处以5000元/人次罚款，承包人承担上述违约给发包人造成的一切损失</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3.3.4 承包人主要施工管理人员离开施工现场的批准要求：</w:t>
      </w:r>
      <w:r>
        <w:rPr>
          <w:rFonts w:hint="eastAsia" w:ascii="宋体" w:hAnsi="宋体" w:eastAsia="宋体" w:cs="宋体"/>
          <w:sz w:val="24"/>
          <w:szCs w:val="24"/>
          <w:highlight w:val="none"/>
          <w:u w:val="single"/>
        </w:rPr>
        <w:t xml:space="preserve">由总监理工程师批准，发包人认可后方可离开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3.3.5承包人擅自更换主要施工管理人员的违约责任：</w:t>
      </w:r>
      <w:r>
        <w:rPr>
          <w:rFonts w:hint="eastAsia" w:ascii="宋体" w:hAnsi="宋体" w:eastAsia="宋体" w:cs="宋体"/>
          <w:sz w:val="24"/>
          <w:szCs w:val="24"/>
          <w:highlight w:val="none"/>
          <w:u w:val="single"/>
        </w:rPr>
        <w:t xml:space="preserve">处以5000元/人次罚款，承包人承担上述违约给发包人造成的一切损失</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处以5000元/人次罚款，</w:t>
      </w:r>
      <w:r>
        <w:rPr>
          <w:rFonts w:hint="eastAsia" w:ascii="宋体" w:hAnsi="宋体" w:eastAsia="宋体" w:cs="宋体"/>
          <w:b/>
          <w:bCs/>
          <w:sz w:val="24"/>
          <w:szCs w:val="24"/>
          <w:highlight w:val="none"/>
          <w:u w:val="single"/>
        </w:rPr>
        <w:t xml:space="preserve">安全员擅自离开施工现场的，处以10000元/人次罚款，</w:t>
      </w:r>
      <w:r>
        <w:rPr>
          <w:rFonts w:hint="eastAsia" w:ascii="宋体" w:hAnsi="宋体" w:eastAsia="宋体" w:cs="宋体"/>
          <w:sz w:val="24"/>
          <w:szCs w:val="24"/>
          <w:highlight w:val="none"/>
          <w:u w:val="single"/>
        </w:rPr>
        <w:t xml:space="preserve">承包人承担上述违约给发包人造成的一切损失。</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85" w:name="_Toc297120459"/>
      <w:r/>
      <w:bookmarkStart w:id="86" w:name="_Toc296944498"/>
      <w:r/>
      <w:bookmarkStart w:id="87" w:name="_Toc296347158"/>
      <w:r/>
      <w:bookmarkStart w:id="88" w:name="_Toc292559364"/>
      <w:r/>
      <w:bookmarkStart w:id="89" w:name="_Toc296503159"/>
      <w:r/>
      <w:bookmarkStart w:id="90" w:name="_Toc312677988"/>
      <w:r/>
      <w:bookmarkStart w:id="91" w:name="_Toc297216151"/>
      <w:r/>
      <w:bookmarkStart w:id="92" w:name="_Toc304295523"/>
      <w:r/>
      <w:bookmarkStart w:id="93" w:name="_Toc297123492"/>
      <w:r/>
      <w:bookmarkStart w:id="94" w:name="_Toc296891199"/>
      <w:r/>
      <w:bookmarkStart w:id="95" w:name="_Toc297048345"/>
      <w:r/>
      <w:bookmarkStart w:id="96" w:name="_Toc300934945"/>
      <w:r/>
      <w:bookmarkStart w:id="97" w:name="_Toc296890987"/>
      <w:r/>
      <w:bookmarkStart w:id="98" w:name="_Toc296346660"/>
      <w:r/>
      <w:bookmarkStart w:id="99" w:name="_Toc303539102"/>
      <w:r/>
      <w:bookmarkStart w:id="100" w:name="_Toc292559869"/>
      <w:r>
        <w:rPr>
          <w:rFonts w:hint="eastAsia" w:ascii="宋体" w:hAnsi="宋体" w:eastAsia="宋体" w:cs="宋体"/>
          <w:sz w:val="24"/>
          <w:szCs w:val="24"/>
          <w:highlight w:val="none"/>
        </w:rPr>
        <w:t xml:space="preserve">.5 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01" w:name="_Toc297120460"/>
      <w:r/>
      <w:bookmarkStart w:id="102" w:name="_Toc297048346"/>
      <w:r/>
      <w:bookmarkStart w:id="103" w:name="_Toc297123493"/>
      <w:r/>
      <w:bookmarkStart w:id="104" w:name="_Toc304295524"/>
      <w:r/>
      <w:bookmarkStart w:id="105" w:name="_Toc297216152"/>
      <w:r/>
      <w:bookmarkStart w:id="106" w:name="_Toc296891200"/>
      <w:r/>
      <w:bookmarkStart w:id="107" w:name="_Toc296346661"/>
      <w:r/>
      <w:bookmarkStart w:id="108" w:name="_Toc292559870"/>
      <w:r/>
      <w:bookmarkStart w:id="109" w:name="_Toc300934946"/>
      <w:r/>
      <w:bookmarkStart w:id="110" w:name="_Toc296890988"/>
      <w:r/>
      <w:bookmarkStart w:id="111" w:name="_Toc303539103"/>
      <w:r/>
      <w:bookmarkStart w:id="112" w:name="_Toc296347159"/>
      <w:r/>
      <w:bookmarkStart w:id="113" w:name="_Toc296944499"/>
      <w:r/>
      <w:bookmarkStart w:id="114" w:name="_Toc292559365"/>
      <w:r/>
      <w:bookmarkStart w:id="115" w:name="_Toc296503160"/>
      <w:r/>
      <w:bookmarkStart w:id="116" w:name="_Toc312677989"/>
      <w:r/>
      <w:bookmarkStart w:id="117" w:name="_Toc318581158"/>
      <w:r>
        <w:rPr>
          <w:rFonts w:hint="eastAsia" w:ascii="宋体" w:hAnsi="宋体" w:eastAsia="宋体" w:cs="宋体"/>
          <w:sz w:val="24"/>
          <w:szCs w:val="24"/>
          <w:highlight w:val="none"/>
        </w:rPr>
        <w:t xml:space="preserve">.5.1 分包的一般约定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本工程不得分包，若擅自违法分包，一旦发现，一次性扣除10万元，由此产生的一切损失由其承担，并纳入企业不良行为记录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Start w:id="118" w:name="_Toc296891201"/>
      <w:r/>
      <w:bookmarkStart w:id="119" w:name="_Toc300934947"/>
      <w:r/>
      <w:bookmarkStart w:id="120" w:name="_Toc297048347"/>
      <w:r/>
      <w:bookmarkStart w:id="121" w:name="_Toc297123494"/>
      <w:r/>
      <w:bookmarkStart w:id="122" w:name="_Toc297216153"/>
      <w:r/>
      <w:bookmarkStart w:id="123" w:name="_Toc304295525"/>
      <w:r/>
      <w:bookmarkStart w:id="124" w:name="_Toc296347160"/>
      <w:r/>
      <w:bookmarkStart w:id="125" w:name="_Toc296503161"/>
      <w:r/>
      <w:bookmarkStart w:id="126" w:name="_Toc296890989"/>
      <w:r/>
      <w:bookmarkStart w:id="127" w:name="_Toc296944500"/>
      <w:r/>
      <w:bookmarkStart w:id="128" w:name="_Toc303539104"/>
      <w:r/>
      <w:bookmarkStart w:id="129" w:name="_Toc297120461"/>
      <w:r/>
      <w:bookmarkStart w:id="130" w:name="_Toc296346662"/>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31" w:name="_Toc312677990"/>
      <w:r/>
      <w:bookmarkStart w:id="132" w:name="_Toc318581159"/>
      <w:r>
        <w:rPr>
          <w:rFonts w:hint="eastAsia" w:ascii="宋体" w:hAnsi="宋体" w:eastAsia="宋体" w:cs="宋体"/>
          <w:sz w:val="24"/>
          <w:szCs w:val="24"/>
          <w:highlight w:val="none"/>
        </w:rPr>
        <w:t xml:space="preserve">.5.2分包的确定</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131"/>
      <w:r/>
      <w:bookmarkEnd w:id="132"/>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w:t>
      </w:r>
      <w:r/>
    </w:p>
    <w:p>
      <w:pPr>
        <w:ind w:firstLine="480"/>
        <w:pageBreakBefore w:val="0"/>
        <w:spacing w:before="120" w:after="12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  苗木、设备、人员进场至验收交付使用前由承包人负责保修，因偷盗产生的替补损失费用由承包人承担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履约担保</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承包人提供履约担保的形式、金额及期限的：</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133" w:name="_Toc372788931"/>
      <w:r>
        <w:rPr>
          <w:rFonts w:hint="eastAsia" w:ascii="宋体" w:hAnsi="宋体" w:eastAsia="宋体" w:cs="宋体"/>
          <w:b w:val="0"/>
          <w:bCs/>
          <w:sz w:val="24"/>
          <w:szCs w:val="24"/>
          <w:highlight w:val="none"/>
          <w:lang w:val="en-US" w:eastAsia="zh-CN" w:bidi="ar-SA"/>
        </w:rPr>
        <w:t xml:space="preserve">4</w:t>
      </w:r>
      <w:bookmarkStart w:id="134" w:name="_Toc296891202"/>
      <w:r/>
      <w:bookmarkStart w:id="135" w:name="_Toc297120462"/>
      <w:r/>
      <w:bookmarkStart w:id="136" w:name="_Toc292559366"/>
      <w:r/>
      <w:bookmarkStart w:id="137" w:name="_Toc296346663"/>
      <w:r/>
      <w:bookmarkStart w:id="138" w:name="_Toc296503162"/>
      <w:r/>
      <w:bookmarkStart w:id="139" w:name="_Toc296944501"/>
      <w:r/>
      <w:bookmarkStart w:id="140" w:name="_Toc267251413"/>
      <w:r/>
      <w:bookmarkStart w:id="141" w:name="_Toc296347161"/>
      <w:r/>
      <w:bookmarkStart w:id="142" w:name="_Toc292559871"/>
      <w:r/>
      <w:bookmarkStart w:id="143" w:name="_Toc296890990"/>
      <w:r/>
      <w:bookmarkStart w:id="144" w:name="_Toc297048348"/>
      <w:r>
        <w:rPr>
          <w:rFonts w:hint="eastAsia" w:ascii="宋体" w:hAnsi="宋体" w:eastAsia="宋体" w:cs="宋体"/>
          <w:b w:val="0"/>
          <w:bCs/>
          <w:sz w:val="24"/>
          <w:szCs w:val="24"/>
          <w:highlight w:val="none"/>
          <w:lang w:val="en-US" w:eastAsia="zh-CN" w:bidi="ar-SA"/>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eastAsia="宋体" w:cs="宋体"/>
          <w:b w:val="0"/>
          <w:bCs/>
          <w:sz w:val="24"/>
          <w:szCs w:val="24"/>
          <w:highlight w:val="none"/>
          <w:lang w:val="en-US" w:eastAsia="zh-CN" w:bidi="ar-SA"/>
        </w:rPr>
        <w:t xml:space="preserve">理人</w:t>
      </w:r>
      <w:bookmarkEnd w:id="133"/>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4.1监理人的一般规定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    见监理合同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    见监理合同        </w:t>
      </w:r>
      <w:r>
        <w:rPr>
          <w:rFonts w:hint="eastAsia" w:ascii="宋体" w:hAnsi="宋体" w:eastAsia="宋体" w:cs="宋体"/>
          <w:sz w:val="24"/>
          <w:szCs w:val="24"/>
          <w:highlight w:val="none"/>
        </w:rPr>
        <w:t xml:space="preserve">。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  见监理合同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监理人员</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商定或确定</w:t>
      </w:r>
      <w:r/>
    </w:p>
    <w:p>
      <w:pPr>
        <w:ind w:firstLine="480"/>
        <w:pageBreakBefore w:val="0"/>
        <w:spacing w:line="360" w:lineRule="auto"/>
        <w:rPr>
          <w:rFonts w:hint="eastAsia" w:ascii="宋体" w:hAnsi="宋体" w:eastAsia="宋体" w:cs="宋体"/>
          <w:sz w:val="24"/>
          <w:szCs w:val="24"/>
          <w:highlight w:val="none"/>
        </w:rPr>
      </w:pPr>
      <w:r/>
      <w:bookmarkStart w:id="145" w:name="_Toc267251418"/>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146" w:name="_Toc372788932"/>
      <w:r>
        <w:rPr>
          <w:rFonts w:hint="eastAsia" w:ascii="宋体" w:hAnsi="宋体" w:eastAsia="宋体" w:cs="宋体"/>
          <w:b w:val="0"/>
          <w:bCs/>
          <w:sz w:val="24"/>
          <w:szCs w:val="24"/>
          <w:highlight w:val="none"/>
          <w:lang w:val="en-US" w:eastAsia="zh-CN" w:bidi="ar-SA"/>
        </w:rPr>
        <w:t xml:space="preserve">5</w:t>
      </w:r>
      <w:bookmarkEnd w:id="145"/>
      <w:r/>
      <w:bookmarkStart w:id="147" w:name="_Toc296891203"/>
      <w:r/>
      <w:bookmarkStart w:id="148" w:name="_Toc292559367"/>
      <w:r/>
      <w:bookmarkStart w:id="149" w:name="_Toc297048349"/>
      <w:r/>
      <w:bookmarkStart w:id="150" w:name="_Toc296503163"/>
      <w:r/>
      <w:bookmarkStart w:id="151" w:name="_Toc297120463"/>
      <w:r/>
      <w:bookmarkStart w:id="152" w:name="_Toc296346664"/>
      <w:r/>
      <w:bookmarkStart w:id="153" w:name="_Toc296890991"/>
      <w:r/>
      <w:bookmarkStart w:id="154" w:name="_Toc292559872"/>
      <w:r/>
      <w:bookmarkStart w:id="155" w:name="_Toc296347162"/>
      <w:r/>
      <w:bookmarkStart w:id="156" w:name="_Toc296944502"/>
      <w:r>
        <w:rPr>
          <w:rFonts w:hint="eastAsia" w:ascii="宋体" w:hAnsi="宋体" w:eastAsia="宋体" w:cs="宋体"/>
          <w:b w:val="0"/>
          <w:bCs/>
          <w:sz w:val="24"/>
          <w:szCs w:val="24"/>
          <w:highlight w:val="none"/>
          <w:lang w:val="en-US" w:eastAsia="zh-CN" w:bidi="ar-SA"/>
        </w:rPr>
        <w:t xml:space="preserve">. 工程质量</w:t>
      </w:r>
      <w:bookmarkEnd w:id="146"/>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bookmarkStart w:id="157" w:name="_Toc300934949"/>
      <w:r/>
      <w:bookmarkStart w:id="158" w:name="_Toc297216155"/>
      <w:r/>
      <w:bookmarkStart w:id="159" w:name="_Toc312677997"/>
      <w:r/>
      <w:bookmarkStart w:id="160" w:name="_Toc318581164"/>
      <w:r/>
      <w:bookmarkStart w:id="161" w:name="_Toc297123496"/>
      <w:r/>
      <w:bookmarkStart w:id="162" w:name="_Toc304295527"/>
      <w:r/>
      <w:bookmarkStart w:id="163" w:name="_Toc303539106"/>
      <w:r>
        <w:rPr>
          <w:rFonts w:hint="eastAsia" w:ascii="宋体" w:hAnsi="宋体" w:eastAsia="宋体" w:cs="宋体"/>
          <w:sz w:val="24"/>
          <w:szCs w:val="24"/>
          <w:highlight w:val="none"/>
        </w:rPr>
        <w:t xml:space="preserve">.1.1 特殊质量标准和要求：</w:t>
      </w:r>
      <w:r>
        <w:rPr>
          <w:rFonts w:hint="eastAsia" w:ascii="宋体" w:hAnsi="宋体" w:eastAsia="宋体" w:cs="宋体"/>
          <w:sz w:val="24"/>
          <w:szCs w:val="24"/>
          <w:highlight w:val="none"/>
          <w:u w:val="single"/>
        </w:rPr>
        <w:t xml:space="preserve">       一级养护标准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5.1.2惩罚措施：</w:t>
      </w:r>
      <w:r>
        <w:rPr>
          <w:rFonts w:hint="eastAsia" w:ascii="宋体" w:hAnsi="宋体" w:eastAsia="宋体" w:cs="宋体"/>
          <w:sz w:val="24"/>
          <w:szCs w:val="24"/>
          <w:highlight w:val="none"/>
          <w:u w:val="single"/>
        </w:rPr>
        <w:t xml:space="preserve">在施工及养护期内发包人发现质量问题并发出整改通知书的，1处扣500元，整改不及时或整改不到位1处扣1000元。</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隐蔽工程检查</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   共同检查前48小时书面通知监理人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164" w:name="_Toc372788933"/>
      <w:r>
        <w:rPr>
          <w:rFonts w:hint="eastAsia" w:ascii="宋体" w:hAnsi="宋体" w:eastAsia="宋体" w:cs="宋体"/>
          <w:b w:val="0"/>
          <w:bCs/>
          <w:sz w:val="24"/>
          <w:szCs w:val="24"/>
          <w:highlight w:val="none"/>
          <w:lang w:val="en-US" w:eastAsia="zh-CN" w:bidi="ar-SA"/>
        </w:rPr>
        <w:t xml:space="preserve">6. 安全文明施工与环境保护</w:t>
      </w:r>
      <w:bookmarkEnd w:id="164"/>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  按建设行政主管部门的有关规定执行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开工前3天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 文明施工</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   承包人应当遵守工程建设安全生产相关管理规定，严格按安全标准组织施工，并随时接受发包人、监理及行业安全检查人员依法实施的监督检查，采取必要的安全防护措施，消除事故隐患，安全防护费用已含在合同价款内。承包人负责施工现场的安全及第三方人身安全。执行安全施工与文明现场条款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发包人安全检查发现一处不符合《市管绿地绿化养护作业安全规范标准》并发出整改通知书的，1处扣500元，对发现的问题整改不及时或整改不到位的1处扣1000元，并计入绿化企业信用管理记录。</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 纳入合同总价支付  </w:t>
      </w:r>
      <w:r>
        <w:rPr>
          <w:rFonts w:hint="eastAsia" w:ascii="宋体" w:hAnsi="宋体" w:eastAsia="宋体" w:cs="宋体"/>
          <w:sz w:val="24"/>
          <w:szCs w:val="24"/>
          <w:highlight w:val="none"/>
        </w:rPr>
        <w:t xml:space="preserve">。</w:t>
      </w:r>
      <w:bookmarkEnd w:id="157"/>
      <w:r/>
      <w:bookmarkEnd w:id="158"/>
      <w:r/>
      <w:bookmarkEnd w:id="159"/>
      <w:r/>
      <w:bookmarkEnd w:id="160"/>
      <w:r/>
      <w:bookmarkEnd w:id="161"/>
      <w:r/>
      <w:bookmarkEnd w:id="162"/>
      <w:r/>
      <w:bookmarkEnd w:id="163"/>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165" w:name="_Toc372788934"/>
      <w:r>
        <w:rPr>
          <w:rFonts w:hint="eastAsia" w:ascii="宋体" w:hAnsi="宋体" w:eastAsia="宋体" w:cs="宋体"/>
          <w:b w:val="0"/>
          <w:bCs/>
          <w:sz w:val="24"/>
          <w:szCs w:val="24"/>
          <w:highlight w:val="none"/>
          <w:lang w:val="en-US" w:eastAsia="zh-CN" w:bidi="ar-SA"/>
        </w:rPr>
        <w:t xml:space="preserve">7. 工期和进度</w:t>
      </w:r>
      <w:bookmarkEnd w:id="165"/>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                                 </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施工组织设计及进度计划须报发包人及发包人委派的监理工程师审查。承包人向发包人及监理工程师提交符合工程实际</w:t>
      </w:r>
      <w:r>
        <w:rPr>
          <w:rFonts w:hint="eastAsia" w:ascii="宋体" w:hAnsi="宋体" w:eastAsia="宋体" w:cs="宋体"/>
          <w:sz w:val="24"/>
          <w:szCs w:val="24"/>
          <w:highlight w:val="none"/>
          <w:u w:val="single"/>
        </w:rPr>
        <w:t xml:space="preserve">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  开工前3天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     收到后7天内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66" w:name="_Toc303539123"/>
      <w:r/>
      <w:bookmarkStart w:id="167" w:name="_Toc297123514"/>
      <w:r/>
      <w:bookmarkStart w:id="168" w:name="_Toc312677479"/>
      <w:r/>
      <w:bookmarkStart w:id="169" w:name="_Toc297216173"/>
      <w:r/>
      <w:bookmarkStart w:id="170" w:name="_Toc312678005"/>
      <w:r/>
      <w:bookmarkStart w:id="171" w:name="_Toc300934966"/>
      <w:r/>
      <w:bookmarkStart w:id="172" w:name="_Toc304295541"/>
      <w:r>
        <w:rPr>
          <w:rFonts w:hint="eastAsia" w:ascii="宋体" w:hAnsi="宋体" w:eastAsia="宋体" w:cs="宋体"/>
          <w:sz w:val="24"/>
          <w:szCs w:val="24"/>
          <w:highlight w:val="none"/>
        </w:rPr>
        <w:t xml:space="preserve">.2 施工进度计划</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 施工进度计划的修订</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  收到后5天内</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645"/>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  合同签订后、开工前   </w:t>
      </w:r>
      <w:r>
        <w:rPr>
          <w:rFonts w:hint="eastAsia" w:ascii="宋体" w:hAnsi="宋体" w:eastAsia="宋体" w:cs="宋体"/>
          <w:sz w:val="24"/>
          <w:szCs w:val="24"/>
          <w:highlight w:val="none"/>
        </w:rPr>
        <w:t xml:space="preserve">。</w:t>
      </w:r>
      <w:r/>
    </w:p>
    <w:p>
      <w:pPr>
        <w:ind w:firstLine="64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sz w:val="24"/>
          <w:szCs w:val="24"/>
          <w:highlight w:val="none"/>
          <w:u w:val="single"/>
        </w:rPr>
        <w:t xml:space="preserve"> 30</w:t>
      </w:r>
      <w:r>
        <w:rPr>
          <w:rFonts w:hint="eastAsia" w:ascii="宋体" w:hAnsi="宋体" w:eastAsia="宋体" w:cs="宋体"/>
          <w:sz w:val="24"/>
          <w:szCs w:val="24"/>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rPr>
        <w:t xml:space="preserve">         开工前3天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73" w:name="_Toc300934968"/>
      <w:r/>
      <w:bookmarkStart w:id="174" w:name="_Toc303539125"/>
      <w:r/>
      <w:bookmarkStart w:id="175" w:name="_Toc297123516"/>
      <w:r/>
      <w:bookmarkStart w:id="176" w:name="_Toc304295546"/>
      <w:r/>
      <w:bookmarkStart w:id="177" w:name="_Toc312678010"/>
      <w:r/>
      <w:bookmarkStart w:id="178" w:name="_Toc312677484"/>
      <w:r/>
      <w:bookmarkStart w:id="179" w:name="_Toc297216175"/>
      <w:r>
        <w:rPr>
          <w:rFonts w:hint="eastAsia" w:ascii="宋体" w:hAnsi="宋体" w:eastAsia="宋体" w:cs="宋体"/>
          <w:sz w:val="24"/>
          <w:szCs w:val="24"/>
          <w:highlight w:val="none"/>
        </w:rPr>
        <w:t xml:space="preserve">.5 工期延误</w:t>
      </w:r>
      <w:bookmarkEnd w:id="173"/>
      <w:r/>
      <w:bookmarkEnd w:id="174"/>
      <w:r/>
      <w:bookmarkEnd w:id="175"/>
      <w:r/>
      <w:bookmarkEnd w:id="176"/>
      <w:r/>
      <w:bookmarkEnd w:id="177"/>
      <w:r/>
      <w:bookmarkEnd w:id="178"/>
      <w:r/>
      <w:bookmarkEnd w:id="179"/>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因发包人原因导致工期延误</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rPr>
        <w:t xml:space="preserve">   ①重大设计变更而影响施工进度②不可抗力，此延误工期须在发现后七天内办理签证，逾期不予认可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80" w:name="_Toc318581169"/>
      <w:r/>
      <w:bookmarkStart w:id="181" w:name="_Toc312677486"/>
      <w:r/>
      <w:bookmarkStart w:id="182" w:name="_Toc312678012"/>
      <w:r/>
      <w:bookmarkStart w:id="183" w:name="_Toc304295548"/>
      <w:r/>
      <w:bookmarkStart w:id="184" w:name="_Toc303539127"/>
      <w:r/>
      <w:bookmarkStart w:id="185" w:name="_Toc297216177"/>
      <w:r/>
      <w:bookmarkStart w:id="186" w:name="_Toc297123518"/>
      <w:r/>
      <w:bookmarkStart w:id="187" w:name="_Toc300934970"/>
      <w:r>
        <w:rPr>
          <w:rFonts w:hint="eastAsia" w:ascii="宋体" w:hAnsi="宋体" w:eastAsia="宋体" w:cs="宋体"/>
          <w:sz w:val="24"/>
          <w:szCs w:val="24"/>
          <w:highlight w:val="none"/>
        </w:rPr>
        <w:t xml:space="preserve">.5.2 因承包人原因导致工期延误</w:t>
      </w:r>
      <w:bookmarkEnd w:id="180"/>
      <w:r/>
      <w:bookmarkEnd w:id="181"/>
      <w:r/>
      <w:bookmarkEnd w:id="182"/>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bookmarkStart w:id="188" w:name="_Toc312677487"/>
      <w:r/>
      <w:bookmarkStart w:id="189" w:name="_Toc312678013"/>
      <w:r/>
      <w:bookmarkStart w:id="190" w:name="_Toc318581170"/>
      <w:r>
        <w:rPr>
          <w:rFonts w:hint="eastAsia" w:ascii="宋体" w:hAnsi="宋体" w:eastAsia="宋体" w:cs="宋体"/>
          <w:sz w:val="24"/>
          <w:szCs w:val="24"/>
          <w:highlight w:val="none"/>
        </w:rPr>
        <w:t xml:space="preserve">承包人原因造成工期延误，逾期竣工违约金的计算方法为：</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每拖延一天承包人需按合同总价的</w:t>
      </w:r>
      <w:r>
        <w:rPr>
          <w:rFonts w:hint="eastAsia" w:ascii="宋体" w:hAnsi="宋体" w:eastAsia="宋体" w:cs="宋体"/>
          <w:sz w:val="24"/>
          <w:highlight w:val="none"/>
          <w:u w:val="single"/>
          <w:lang w:val="en-US" w:eastAsia="zh-CN"/>
        </w:rPr>
        <w:t xml:space="preserve">万</w:t>
      </w:r>
      <w:r>
        <w:rPr>
          <w:rFonts w:hint="eastAsia" w:ascii="宋体" w:hAnsi="宋体" w:eastAsia="宋体" w:cs="宋体"/>
          <w:sz w:val="24"/>
          <w:highlight w:val="none"/>
          <w:u w:val="single"/>
        </w:rPr>
        <w:t xml:space="preserve">分之</w:t>
      </w:r>
      <w:r>
        <w:rPr>
          <w:rFonts w:hint="eastAsia" w:ascii="宋体" w:hAnsi="宋体" w:eastAsia="宋体" w:cs="宋体"/>
          <w:sz w:val="24"/>
          <w:highlight w:val="none"/>
          <w:u w:val="single"/>
          <w:lang w:val="en-US" w:eastAsia="zh-CN"/>
        </w:rPr>
        <w:t xml:space="preserve">五</w:t>
      </w:r>
      <w:r>
        <w:rPr>
          <w:rFonts w:hint="eastAsia" w:ascii="宋体" w:hAnsi="宋体" w:eastAsia="宋体" w:cs="宋体"/>
          <w:sz w:val="24"/>
          <w:szCs w:val="24"/>
          <w:highlight w:val="none"/>
          <w:u w:val="single"/>
        </w:rPr>
        <w:t xml:space="preserve">支付违约金             </w:t>
      </w:r>
      <w:r>
        <w:rPr>
          <w:rFonts w:hint="eastAsia" w:ascii="宋体" w:hAnsi="宋体" w:eastAsia="宋体" w:cs="宋体"/>
          <w:sz w:val="24"/>
          <w:szCs w:val="24"/>
          <w:highlight w:val="none"/>
        </w:rPr>
        <w:t xml:space="preserve">。</w:t>
      </w:r>
      <w:bookmarkEnd w:id="183"/>
      <w:r/>
      <w:bookmarkEnd w:id="184"/>
      <w:r/>
      <w:bookmarkEnd w:id="185"/>
      <w:r/>
      <w:bookmarkEnd w:id="186"/>
      <w:r/>
      <w:bookmarkEnd w:id="187"/>
      <w:r/>
      <w:bookmarkEnd w:id="188"/>
      <w:r/>
      <w:bookmarkEnd w:id="189"/>
      <w:r/>
      <w:bookmarkEnd w:id="190"/>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因承包人原因造成工期延误，逾</w:t>
      </w:r>
      <w:bookmarkStart w:id="191" w:name="_Toc312678014"/>
      <w:r/>
      <w:bookmarkStart w:id="192" w:name="_Toc318581171"/>
      <w:r>
        <w:rPr>
          <w:rFonts w:hint="eastAsia" w:ascii="宋体" w:hAnsi="宋体" w:eastAsia="宋体" w:cs="宋体"/>
          <w:sz w:val="24"/>
          <w:szCs w:val="24"/>
          <w:highlight w:val="none"/>
        </w:rPr>
        <w:t xml:space="preserve">期竣工违约金的上限：</w:t>
      </w:r>
      <w:r>
        <w:rPr>
          <w:rFonts w:hint="eastAsia" w:ascii="宋体" w:hAnsi="宋体" w:eastAsia="宋体" w:cs="宋体"/>
          <w:sz w:val="24"/>
          <w:szCs w:val="24"/>
          <w:highlight w:val="none"/>
          <w:u w:val="single"/>
        </w:rPr>
        <w:t xml:space="preserve">  误期赔偿费不设上限</w:t>
      </w:r>
      <w:r>
        <w:rPr>
          <w:rFonts w:hint="eastAsia" w:ascii="宋体" w:hAnsi="宋体" w:eastAsia="宋体" w:cs="宋体"/>
          <w:sz w:val="24"/>
          <w:szCs w:val="24"/>
          <w:highlight w:val="none"/>
        </w:rPr>
        <w:t xml:space="preserve">。</w:t>
      </w:r>
      <w:bookmarkEnd w:id="191"/>
      <w:r/>
      <w:bookmarkEnd w:id="192"/>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93" w:name="_Toc312678015"/>
      <w:r/>
      <w:bookmarkStart w:id="194" w:name="_Toc304295549"/>
      <w:r/>
      <w:bookmarkStart w:id="195" w:name="_Toc297123519"/>
      <w:r/>
      <w:bookmarkStart w:id="196" w:name="_Toc303539128"/>
      <w:r/>
      <w:bookmarkStart w:id="197" w:name="_Toc297216178"/>
      <w:r/>
      <w:bookmarkStart w:id="198" w:name="_Toc300934971"/>
      <w:r>
        <w:rPr>
          <w:rFonts w:hint="eastAsia" w:ascii="宋体" w:hAnsi="宋体" w:eastAsia="宋体" w:cs="宋体"/>
          <w:sz w:val="24"/>
          <w:szCs w:val="24"/>
          <w:highlight w:val="none"/>
        </w:rPr>
        <w:t xml:space="preserve">.6 不</w:t>
      </w:r>
      <w:bookmarkEnd w:id="193"/>
      <w:r/>
      <w:bookmarkEnd w:id="194"/>
      <w:r/>
      <w:bookmarkEnd w:id="195"/>
      <w:r/>
      <w:bookmarkEnd w:id="196"/>
      <w:r/>
      <w:bookmarkEnd w:id="197"/>
      <w:r/>
      <w:bookmarkEnd w:id="198"/>
      <w:r>
        <w:rPr>
          <w:rFonts w:hint="eastAsia" w:ascii="宋体" w:hAnsi="宋体" w:eastAsia="宋体" w:cs="宋体"/>
          <w:sz w:val="24"/>
          <w:szCs w:val="24"/>
          <w:highlight w:val="none"/>
        </w:rPr>
        <w:t xml:space="preserve">利物质条件</w:t>
      </w:r>
      <w:r/>
    </w:p>
    <w:p>
      <w:pPr>
        <w:ind w:firstLine="480"/>
        <w:jc w:val="left"/>
        <w:pageBreakBefore w:val="0"/>
        <w:spacing w:line="360" w:lineRule="auto"/>
        <w:rPr>
          <w:rFonts w:hint="eastAsia" w:ascii="宋体" w:hAnsi="宋体" w:eastAsia="宋体" w:cs="宋体"/>
          <w:sz w:val="24"/>
          <w:szCs w:val="24"/>
          <w:highlight w:val="none"/>
        </w:rPr>
      </w:pPr>
      <w:r/>
      <w:bookmarkStart w:id="199" w:name="_Toc312678016"/>
      <w:r/>
      <w:bookmarkStart w:id="200" w:name="_Toc304295550"/>
      <w:r/>
      <w:bookmarkStart w:id="201" w:name="_Toc300934972"/>
      <w:r/>
      <w:bookmarkStart w:id="202" w:name="_Toc303539129"/>
      <w:r/>
      <w:bookmarkStart w:id="203" w:name="_Toc297123520"/>
      <w:r/>
      <w:bookmarkStart w:id="204" w:name="_Toc297216179"/>
      <w:r/>
      <w:bookmarkStart w:id="205" w:name="_Toc318581172"/>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199"/>
      <w:r/>
      <w:bookmarkEnd w:id="200"/>
      <w:r/>
      <w:bookmarkEnd w:id="201"/>
      <w:r/>
      <w:bookmarkEnd w:id="202"/>
      <w:r/>
      <w:bookmarkEnd w:id="203"/>
      <w:r/>
      <w:bookmarkEnd w:id="204"/>
      <w:r/>
      <w:bookmarkEnd w:id="205"/>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6" w:name="_Toc304295551"/>
      <w:r/>
      <w:bookmarkStart w:id="207" w:name="_Toc303539130"/>
      <w:r/>
      <w:bookmarkStart w:id="208" w:name="_Toc300934973"/>
      <w:r/>
      <w:bookmarkStart w:id="209" w:name="_Toc312678017"/>
      <w:r/>
      <w:bookmarkStart w:id="210" w:name="_Toc297123521"/>
      <w:r/>
      <w:bookmarkStart w:id="211" w:name="_Toc297216180"/>
      <w:r>
        <w:rPr>
          <w:rFonts w:hint="eastAsia" w:ascii="宋体" w:hAnsi="宋体" w:eastAsia="宋体" w:cs="宋体"/>
          <w:sz w:val="24"/>
          <w:szCs w:val="24"/>
          <w:highlight w:val="none"/>
        </w:rPr>
        <w:t xml:space="preserve">.7异常恶劣的气候条件</w:t>
      </w:r>
      <w:bookmarkEnd w:id="206"/>
      <w:r/>
      <w:bookmarkEnd w:id="207"/>
      <w:r/>
      <w:bookmarkEnd w:id="208"/>
      <w:r/>
      <w:bookmarkEnd w:id="209"/>
      <w:r/>
      <w:bookmarkEnd w:id="210"/>
      <w:r/>
      <w:bookmarkEnd w:id="211"/>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双方另行协商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 提前竣工的奖励</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7.9.2提前竣工的奖励：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212" w:name="_Toc372788935"/>
      <w:r>
        <w:rPr>
          <w:rFonts w:hint="eastAsia" w:ascii="宋体" w:hAnsi="宋体" w:eastAsia="宋体" w:cs="宋体"/>
          <w:b w:val="0"/>
          <w:bCs/>
          <w:sz w:val="24"/>
          <w:szCs w:val="24"/>
          <w:highlight w:val="none"/>
          <w:lang w:val="en-US" w:eastAsia="zh-CN" w:bidi="ar-SA"/>
        </w:rPr>
        <w:t xml:space="preserve">8. 材料与设备</w:t>
      </w:r>
      <w:bookmarkEnd w:id="212"/>
      <w:r/>
      <w:bookmarkEnd w:id="147"/>
      <w:r/>
      <w:bookmarkEnd w:id="148"/>
      <w:r/>
      <w:bookmarkEnd w:id="149"/>
      <w:r/>
      <w:bookmarkEnd w:id="150"/>
      <w:r/>
      <w:bookmarkEnd w:id="151"/>
      <w:r/>
      <w:bookmarkEnd w:id="152"/>
      <w:r/>
      <w:bookmarkEnd w:id="153"/>
      <w:r/>
      <w:bookmarkEnd w:id="154"/>
      <w:r/>
      <w:bookmarkEnd w:id="155"/>
      <w:r/>
      <w:bookmarkEnd w:id="156"/>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213" w:name="_Toc303539136"/>
      <w:r/>
      <w:bookmarkStart w:id="214" w:name="_Toc297048353"/>
      <w:r/>
      <w:bookmarkStart w:id="215" w:name="_Toc297216186"/>
      <w:r/>
      <w:bookmarkStart w:id="216" w:name="_Toc296944506"/>
      <w:r/>
      <w:bookmarkStart w:id="217" w:name="_Toc296347166"/>
      <w:r/>
      <w:bookmarkStart w:id="218" w:name="_Toc292559877"/>
      <w:r/>
      <w:bookmarkStart w:id="219" w:name="_Toc304295556"/>
      <w:r/>
      <w:bookmarkStart w:id="220" w:name="_Toc300934979"/>
      <w:r/>
      <w:bookmarkStart w:id="221" w:name="_Toc280868654"/>
      <w:r/>
      <w:bookmarkStart w:id="222" w:name="_Toc292559372"/>
      <w:r/>
      <w:bookmarkStart w:id="223" w:name="_Toc297120467"/>
      <w:r/>
      <w:bookmarkStart w:id="224" w:name="_Toc312677493"/>
      <w:r/>
      <w:bookmarkStart w:id="225" w:name="_Toc296891207"/>
      <w:r/>
      <w:bookmarkStart w:id="226" w:name="_Toc312678019"/>
      <w:r/>
      <w:bookmarkStart w:id="227" w:name="_Toc296346668"/>
      <w:r/>
      <w:bookmarkStart w:id="228" w:name="_Toc296890995"/>
      <w:r/>
      <w:bookmarkStart w:id="229" w:name="_Toc296503167"/>
      <w:r/>
      <w:bookmarkStart w:id="230" w:name="_Toc297123527"/>
      <w:r/>
      <w:bookmarkStart w:id="231" w:name="_Toc267251424"/>
      <w:r/>
      <w:bookmarkStart w:id="232" w:name="_Toc280868656"/>
      <w:r/>
      <w:bookmarkStart w:id="233" w:name="_Toc280868655"/>
      <w:r>
        <w:rPr>
          <w:rFonts w:hint="eastAsia" w:ascii="宋体" w:hAnsi="宋体" w:eastAsia="宋体" w:cs="宋体"/>
          <w:sz w:val="24"/>
          <w:szCs w:val="24"/>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234" w:name="_Toc292559373"/>
      <w:r/>
      <w:bookmarkStart w:id="235" w:name="_Toc292559878"/>
      <w:r/>
      <w:bookmarkStart w:id="236" w:name="_Toc296503168"/>
      <w:r/>
      <w:bookmarkStart w:id="237" w:name="_Toc296347167"/>
      <w:r/>
      <w:bookmarkStart w:id="238" w:name="_Toc296890996"/>
      <w:r/>
      <w:bookmarkStart w:id="239" w:name="_Toc303539137"/>
      <w:r/>
      <w:bookmarkStart w:id="240" w:name="_Toc300934980"/>
      <w:r/>
      <w:bookmarkStart w:id="241" w:name="_Toc296944507"/>
      <w:r/>
      <w:bookmarkStart w:id="242" w:name="_Toc297123528"/>
      <w:r/>
      <w:bookmarkStart w:id="243" w:name="_Toc312677494"/>
      <w:r/>
      <w:bookmarkStart w:id="244" w:name="_Toc296346669"/>
      <w:r/>
      <w:bookmarkStart w:id="245" w:name="_Toc318581173"/>
      <w:r/>
      <w:bookmarkStart w:id="246" w:name="_Toc304295557"/>
      <w:r/>
      <w:bookmarkStart w:id="247" w:name="_Toc297120468"/>
      <w:r/>
      <w:bookmarkStart w:id="248" w:name="_Toc296891208"/>
      <w:r/>
      <w:bookmarkStart w:id="249" w:name="_Toc297048354"/>
      <w:r/>
      <w:bookmarkStart w:id="250" w:name="_Toc297216187"/>
      <w:r/>
      <w:bookmarkStart w:id="251" w:name="_Toc312678020"/>
      <w:r>
        <w:rPr>
          <w:rFonts w:hint="eastAsia" w:ascii="宋体" w:hAnsi="宋体" w:eastAsia="宋体" w:cs="宋体"/>
          <w:sz w:val="24"/>
          <w:szCs w:val="24"/>
          <w:highlight w:val="none"/>
        </w:rPr>
        <w:t xml:space="preserve">.4.1发包人供应的材料设备的保管费用的承担：</w:t>
      </w:r>
      <w:r>
        <w:rPr>
          <w:rFonts w:hint="eastAsia" w:ascii="宋体" w:hAnsi="宋体" w:eastAsia="宋体" w:cs="宋体"/>
          <w:sz w:val="24"/>
          <w:szCs w:val="24"/>
          <w:highlight w:val="none"/>
          <w:u w:val="single"/>
        </w:rPr>
        <w:t xml:space="preserve">  由承包人承担     </w:t>
      </w:r>
      <w:r>
        <w:rPr>
          <w:rFonts w:hint="eastAsia" w:ascii="宋体" w:hAnsi="宋体" w:eastAsia="宋体" w:cs="宋体"/>
          <w:sz w:val="24"/>
          <w:szCs w:val="24"/>
          <w:highlight w:val="none"/>
        </w:rPr>
        <w:t xml:space="preserve">。</w:t>
      </w:r>
      <w:bookmarkEnd w:id="234"/>
      <w:r/>
      <w:bookmarkEnd w:id="235"/>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 样品</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样品的报送与封存</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    按发包人要求提供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 施工设备和临时设施</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8.8.1 承包人提供的施工设备和临时设施</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     由承包人承担，所需费用已含在合同价中。</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252" w:name="_Toc372788936"/>
      <w:r>
        <w:rPr>
          <w:rFonts w:hint="eastAsia" w:ascii="宋体" w:hAnsi="宋体" w:eastAsia="宋体" w:cs="宋体"/>
          <w:b w:val="0"/>
          <w:bCs/>
          <w:sz w:val="24"/>
          <w:szCs w:val="24"/>
          <w:highlight w:val="none"/>
          <w:lang w:val="en-US" w:eastAsia="zh-CN" w:bidi="ar-SA"/>
        </w:rPr>
        <w:t xml:space="preserve">9</w:t>
      </w:r>
      <w:bookmarkEnd w:id="231"/>
      <w:r/>
      <w:bookmarkEnd w:id="232"/>
      <w:r/>
      <w:bookmarkEnd w:id="233"/>
      <w:r/>
      <w:bookmarkStart w:id="253" w:name="_Toc297123533"/>
      <w:r/>
      <w:bookmarkStart w:id="254" w:name="_Toc300934982"/>
      <w:r/>
      <w:bookmarkStart w:id="255" w:name="_Toc297216192"/>
      <w:r/>
      <w:bookmarkStart w:id="256" w:name="_Toc312678021"/>
      <w:r/>
      <w:bookmarkStart w:id="257" w:name="_Toc312677495"/>
      <w:r/>
      <w:bookmarkStart w:id="258" w:name="_Toc304295559"/>
      <w:r/>
      <w:bookmarkStart w:id="259" w:name="_Toc303539139"/>
      <w:r/>
      <w:bookmarkStart w:id="260" w:name="_Toc296944512"/>
      <w:r/>
      <w:bookmarkStart w:id="261" w:name="_Toc267251427"/>
      <w:r/>
      <w:bookmarkStart w:id="262" w:name="_Toc296891213"/>
      <w:r/>
      <w:bookmarkStart w:id="263" w:name="_Toc296346674"/>
      <w:r/>
      <w:bookmarkStart w:id="264" w:name="_Toc296347172"/>
      <w:r/>
      <w:bookmarkStart w:id="265" w:name="_Toc292559378"/>
      <w:r/>
      <w:bookmarkStart w:id="266" w:name="_Toc296891001"/>
      <w:r/>
      <w:bookmarkStart w:id="267" w:name="_Toc296503173"/>
      <w:r/>
      <w:bookmarkStart w:id="268" w:name="_Toc297048359"/>
      <w:r/>
      <w:bookmarkStart w:id="269" w:name="_Toc267251428"/>
      <w:r/>
      <w:bookmarkStart w:id="270" w:name="_Toc297120473"/>
      <w:r/>
      <w:bookmarkStart w:id="271" w:name="_Toc292559883"/>
      <w:r>
        <w:rPr>
          <w:rFonts w:hint="eastAsia" w:ascii="宋体" w:hAnsi="宋体" w:eastAsia="宋体" w:cs="宋体"/>
          <w:b w:val="0"/>
          <w:bCs/>
          <w:sz w:val="24"/>
          <w:szCs w:val="24"/>
          <w:highlight w:val="none"/>
          <w:lang w:val="en-US" w:eastAsia="zh-CN" w:bidi="ar-SA"/>
        </w:rPr>
        <w:t xml:space="preserve">. 试验与检验</w:t>
      </w:r>
      <w:bookmarkEnd w:id="252"/>
      <w:r/>
      <w:bookmarkEnd w:id="253"/>
      <w:r/>
      <w:bookmarkEnd w:id="254"/>
      <w:r/>
      <w:bookmarkEnd w:id="255"/>
      <w:r/>
      <w:bookmarkEnd w:id="256"/>
      <w:r/>
      <w:bookmarkEnd w:id="257"/>
      <w:r/>
      <w:bookmarkEnd w:id="258"/>
      <w:r/>
      <w:bookmarkEnd w:id="259"/>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72" w:name="_Toc300934983"/>
      <w:r/>
      <w:bookmarkStart w:id="273" w:name="_Toc297123534"/>
      <w:r/>
      <w:bookmarkStart w:id="274" w:name="_Toc312678022"/>
      <w:r/>
      <w:bookmarkStart w:id="275" w:name="_Toc297216193"/>
      <w:r/>
      <w:bookmarkStart w:id="276" w:name="_Toc312677496"/>
      <w:r/>
      <w:bookmarkStart w:id="277" w:name="_Toc303539140"/>
      <w:r/>
      <w:bookmarkStart w:id="278" w:name="_Toc304295560"/>
      <w:r>
        <w:rPr>
          <w:rFonts w:hint="eastAsia" w:ascii="宋体" w:hAnsi="宋体" w:eastAsia="宋体" w:cs="宋体"/>
          <w:sz w:val="24"/>
          <w:szCs w:val="24"/>
          <w:highlight w:val="none"/>
        </w:rPr>
        <w:t xml:space="preserve">.1试验设备与试验人员</w:t>
      </w:r>
      <w:bookmarkEnd w:id="272"/>
      <w:r/>
      <w:bookmarkEnd w:id="273"/>
      <w:r/>
      <w:bookmarkEnd w:id="274"/>
      <w:r/>
      <w:bookmarkEnd w:id="275"/>
      <w:r/>
      <w:bookmarkEnd w:id="276"/>
      <w:r/>
      <w:bookmarkEnd w:id="277"/>
      <w:r/>
      <w:bookmarkEnd w:id="278"/>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79" w:name="_Toc297123535"/>
      <w:r/>
      <w:bookmarkStart w:id="280" w:name="_Toc303539141"/>
      <w:r/>
      <w:bookmarkStart w:id="281" w:name="_Toc312678023"/>
      <w:r/>
      <w:bookmarkStart w:id="282" w:name="_Toc304295561"/>
      <w:r/>
      <w:bookmarkStart w:id="283" w:name="_Toc300934984"/>
      <w:r/>
      <w:bookmarkStart w:id="284" w:name="_Toc297216194"/>
      <w:r/>
      <w:bookmarkStart w:id="285" w:name="_Toc312677497"/>
      <w:r/>
      <w:bookmarkStart w:id="286" w:name="_Toc318581174"/>
      <w:r>
        <w:rPr>
          <w:rFonts w:hint="eastAsia" w:ascii="宋体" w:hAnsi="宋体" w:eastAsia="宋体" w:cs="宋体"/>
          <w:sz w:val="24"/>
          <w:szCs w:val="24"/>
          <w:highlight w:val="none"/>
        </w:rPr>
        <w:t xml:space="preserve">.1.2 试验设备</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297216195"/>
      <w:r/>
      <w:bookmarkStart w:id="288" w:name="_Toc312678024"/>
      <w:r/>
      <w:bookmarkStart w:id="289" w:name="_Toc304295562"/>
      <w:r/>
      <w:bookmarkStart w:id="290" w:name="_Toc300934985"/>
      <w:r/>
      <w:bookmarkStart w:id="291" w:name="_Toc303539142"/>
      <w:r/>
      <w:bookmarkStart w:id="292" w:name="_Toc297123536"/>
      <w:r/>
      <w:bookmarkStart w:id="293" w:name="_Toc312677498"/>
      <w:r>
        <w:rPr>
          <w:rFonts w:hint="eastAsia" w:ascii="宋体" w:hAnsi="宋体" w:eastAsia="宋体" w:cs="宋体"/>
          <w:sz w:val="24"/>
          <w:szCs w:val="24"/>
          <w:highlight w:val="none"/>
          <w:u w:val="single"/>
        </w:rPr>
        <w:t xml:space="preserve">     按有关规定执行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        按有关规定执行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        按有关规定执行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现场工艺试验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按有关规定执行         </w:t>
      </w:r>
      <w:r>
        <w:rPr>
          <w:rFonts w:hint="eastAsia" w:ascii="宋体" w:hAnsi="宋体" w:eastAsia="宋体" w:cs="宋体"/>
          <w:sz w:val="24"/>
          <w:szCs w:val="24"/>
          <w:highlight w:val="none"/>
        </w:rPr>
        <w:t xml:space="preserve">。</w:t>
      </w:r>
      <w:bookmarkEnd w:id="286"/>
      <w:r/>
      <w:bookmarkEnd w:id="287"/>
      <w:r/>
      <w:bookmarkEnd w:id="288"/>
      <w:r/>
      <w:bookmarkEnd w:id="289"/>
      <w:r/>
      <w:bookmarkEnd w:id="290"/>
      <w:r/>
      <w:bookmarkEnd w:id="291"/>
      <w:r/>
      <w:bookmarkEnd w:id="292"/>
      <w:r/>
      <w:bookmarkEnd w:id="293"/>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294" w:name="_Toc372788937"/>
      <w:r>
        <w:rPr>
          <w:rFonts w:hint="eastAsia" w:ascii="宋体" w:hAnsi="宋体" w:eastAsia="宋体" w:cs="宋体"/>
          <w:b w:val="0"/>
          <w:bCs/>
          <w:sz w:val="24"/>
          <w:szCs w:val="24"/>
          <w:highlight w:val="none"/>
          <w:lang w:val="en-US" w:eastAsia="zh-CN" w:bidi="ar-SA"/>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7048379"/>
      <w:r/>
      <w:bookmarkStart w:id="296" w:name="_Toc297123540"/>
      <w:r/>
      <w:bookmarkStart w:id="297" w:name="_Toc296503193"/>
      <w:r/>
      <w:bookmarkStart w:id="298" w:name="_Toc292559903"/>
      <w:r/>
      <w:bookmarkStart w:id="299" w:name="_Toc292559398"/>
      <w:r/>
      <w:bookmarkStart w:id="300" w:name="_Toc296346694"/>
      <w:r/>
      <w:bookmarkStart w:id="301" w:name="_Toc300934989"/>
      <w:r/>
      <w:bookmarkStart w:id="302" w:name="_Toc304295566"/>
      <w:r/>
      <w:bookmarkStart w:id="303" w:name="_Toc296944532"/>
      <w:r/>
      <w:bookmarkStart w:id="304" w:name="_Toc303539146"/>
      <w:r/>
      <w:bookmarkStart w:id="305" w:name="_Toc296891233"/>
      <w:r/>
      <w:bookmarkStart w:id="306" w:name="_Toc297120493"/>
      <w:r/>
      <w:bookmarkStart w:id="307" w:name="_Toc296891021"/>
      <w:r/>
      <w:bookmarkStart w:id="308" w:name="_Toc296347192"/>
      <w:r/>
      <w:bookmarkStart w:id="309" w:name="_Toc297216199"/>
      <w:r/>
      <w:bookmarkStart w:id="310" w:name="_Toc312677499"/>
      <w:r/>
      <w:bookmarkStart w:id="311" w:name="_Toc312678025"/>
      <w:r/>
      <w:bookmarkStart w:id="312" w:name="_Toc267251433"/>
      <w:r/>
      <w:bookmarkStart w:id="313" w:name="_Toc267251441"/>
      <w:r/>
      <w:bookmarkStart w:id="314" w:name="_Toc267251435"/>
      <w:r/>
      <w:bookmarkStart w:id="315" w:name="_Toc267251437"/>
      <w:r/>
      <w:bookmarkStart w:id="316" w:name="_Toc267251439"/>
      <w:r/>
      <w:bookmarkStart w:id="317" w:name="_Toc267251440"/>
      <w:r/>
      <w:bookmarkStart w:id="318" w:name="_Toc267251442"/>
      <w:r>
        <w:rPr>
          <w:rFonts w:hint="eastAsia" w:ascii="宋体" w:hAnsi="宋体" w:eastAsia="宋体" w:cs="宋体"/>
          <w:b w:val="0"/>
          <w:bCs/>
          <w:sz w:val="24"/>
          <w:szCs w:val="24"/>
          <w:highlight w:val="none"/>
          <w:lang w:val="en-US" w:eastAsia="zh-CN" w:bidi="ar-SA"/>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19" w:name="_Toc303539147"/>
      <w:r/>
      <w:bookmarkStart w:id="320" w:name="_Toc297216200"/>
      <w:r/>
      <w:bookmarkStart w:id="321" w:name="_Toc312677500"/>
      <w:r/>
      <w:bookmarkStart w:id="322" w:name="_Toc304295567"/>
      <w:r/>
      <w:bookmarkStart w:id="323" w:name="_Toc292559904"/>
      <w:r/>
      <w:bookmarkStart w:id="324" w:name="_Toc292559399"/>
      <w:r/>
      <w:bookmarkStart w:id="325" w:name="_Toc312678026"/>
      <w:r/>
      <w:bookmarkStart w:id="326" w:name="_Toc296346695"/>
      <w:r/>
      <w:bookmarkStart w:id="327" w:name="_Toc296944533"/>
      <w:r/>
      <w:bookmarkStart w:id="328" w:name="_Toc296891234"/>
      <w:r/>
      <w:bookmarkStart w:id="329" w:name="_Toc297123541"/>
      <w:r/>
      <w:bookmarkStart w:id="330" w:name="_Toc300934990"/>
      <w:r/>
      <w:bookmarkStart w:id="331" w:name="_Toc297120494"/>
      <w:r/>
      <w:bookmarkStart w:id="332" w:name="_Toc296503194"/>
      <w:r/>
      <w:bookmarkStart w:id="333" w:name="_Toc296891022"/>
      <w:r/>
      <w:bookmarkStart w:id="334" w:name="_Toc297048380"/>
      <w:r/>
      <w:bookmarkStart w:id="335" w:name="_Toc296347193"/>
      <w:r>
        <w:rPr>
          <w:rFonts w:hint="eastAsia" w:ascii="宋体" w:hAnsi="宋体" w:eastAsia="宋体" w:cs="宋体"/>
          <w:sz w:val="24"/>
          <w:szCs w:val="24"/>
          <w:highlight w:val="none"/>
        </w:rPr>
        <w:t xml:space="preserve">0.1变更的范围</w:t>
      </w:r>
      <w:r/>
    </w:p>
    <w:p>
      <w:pPr>
        <w:ind w:firstLine="60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变更估价</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10.4.1 变更估价原则</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关于变更估价的约定: </w:t>
      </w:r>
      <w:r>
        <w:rPr>
          <w:rFonts w:hint="eastAsia" w:ascii="宋体" w:hAnsi="宋体" w:eastAsia="宋体" w:cs="宋体"/>
          <w:sz w:val="24"/>
          <w:szCs w:val="24"/>
          <w:highlight w:val="none"/>
          <w:u w:val="single"/>
        </w:rPr>
        <w:t xml:space="preserve">     按补充条款执行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6944536"/>
      <w:r/>
      <w:bookmarkStart w:id="337" w:name="_Toc296891025"/>
      <w:r/>
      <w:bookmarkStart w:id="338" w:name="_Toc292559907"/>
      <w:r/>
      <w:bookmarkStart w:id="339" w:name="_Toc297120497"/>
      <w:r/>
      <w:bookmarkStart w:id="340" w:name="_Toc297216203"/>
      <w:r/>
      <w:bookmarkStart w:id="341" w:name="_Toc303539150"/>
      <w:r/>
      <w:bookmarkStart w:id="342" w:name="_Toc296503197"/>
      <w:r/>
      <w:bookmarkStart w:id="343" w:name="_Toc297048383"/>
      <w:r/>
      <w:bookmarkStart w:id="344" w:name="_Toc297123544"/>
      <w:r/>
      <w:bookmarkStart w:id="345" w:name="_Toc296891237"/>
      <w:r/>
      <w:bookmarkStart w:id="346" w:name="_Toc296346698"/>
      <w:r/>
      <w:bookmarkStart w:id="347" w:name="_Toc300934993"/>
      <w:r/>
      <w:bookmarkStart w:id="348" w:name="_Toc296347196"/>
      <w:r/>
      <w:bookmarkStart w:id="349" w:name="_Toc292559402"/>
      <w:r/>
      <w:bookmarkStart w:id="350" w:name="_Toc312678029"/>
      <w:r/>
      <w:bookmarkStart w:id="351" w:name="_Toc312677503"/>
      <w:r/>
      <w:bookmarkStart w:id="352" w:name="_Toc304295570"/>
      <w:r>
        <w:rPr>
          <w:rFonts w:hint="eastAsia" w:ascii="宋体" w:hAnsi="宋体" w:eastAsia="宋体" w:cs="宋体"/>
          <w:sz w:val="24"/>
          <w:szCs w:val="24"/>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7120503"/>
      <w:r/>
      <w:bookmarkStart w:id="354" w:name="_Toc303539151"/>
      <w:r/>
      <w:bookmarkStart w:id="355" w:name="_Toc296346704"/>
      <w:r/>
      <w:bookmarkStart w:id="356" w:name="_Toc297216204"/>
      <w:r/>
      <w:bookmarkStart w:id="357" w:name="_Toc292559408"/>
      <w:r/>
      <w:bookmarkStart w:id="358" w:name="_Toc296944542"/>
      <w:r/>
      <w:bookmarkStart w:id="359" w:name="_Toc300934994"/>
      <w:r/>
      <w:bookmarkStart w:id="360" w:name="_Toc296891243"/>
      <w:r/>
      <w:bookmarkStart w:id="361" w:name="_Toc297123545"/>
      <w:r/>
      <w:bookmarkStart w:id="362" w:name="_Toc296891031"/>
      <w:r/>
      <w:bookmarkStart w:id="363" w:name="_Toc292559913"/>
      <w:r/>
      <w:bookmarkStart w:id="364" w:name="_Toc296503203"/>
      <w:r/>
      <w:bookmarkStart w:id="365" w:name="_Toc297048389"/>
      <w:r/>
      <w:bookmarkStart w:id="366" w:name="_Toc296347202"/>
      <w:r>
        <w:rPr>
          <w:rFonts w:hint="eastAsia" w:ascii="宋体" w:hAnsi="宋体" w:eastAsia="宋体" w:cs="宋体"/>
          <w:sz w:val="24"/>
          <w:szCs w:val="24"/>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67" w:name="_Toc296346705"/>
      <w:r/>
      <w:bookmarkStart w:id="368" w:name="_Toc312677504"/>
      <w:r/>
      <w:bookmarkStart w:id="369" w:name="_Toc296891032"/>
      <w:r/>
      <w:bookmarkStart w:id="370" w:name="_Toc296891244"/>
      <w:r/>
      <w:bookmarkStart w:id="371" w:name="_Toc296944543"/>
      <w:r/>
      <w:bookmarkStart w:id="372" w:name="_Toc296503204"/>
      <w:r/>
      <w:bookmarkStart w:id="373" w:name="_Toc297216205"/>
      <w:r/>
      <w:bookmarkStart w:id="374" w:name="_Toc303539152"/>
      <w:r/>
      <w:bookmarkStart w:id="375" w:name="_Toc297123546"/>
      <w:r/>
      <w:bookmarkStart w:id="376" w:name="_Toc297048390"/>
      <w:r/>
      <w:bookmarkStart w:id="377" w:name="_Toc300934995"/>
      <w:r/>
      <w:bookmarkStart w:id="378" w:name="_Toc297120504"/>
      <w:r/>
      <w:bookmarkStart w:id="379" w:name="_Toc318581175"/>
      <w:r/>
      <w:bookmarkStart w:id="380" w:name="_Toc296347203"/>
      <w:r/>
      <w:bookmarkStart w:id="381" w:name="_Toc292559409"/>
      <w:r/>
      <w:bookmarkStart w:id="382" w:name="_Toc304295571"/>
      <w:r/>
      <w:bookmarkStart w:id="383" w:name="_Toc292559914"/>
      <w:r/>
      <w:bookmarkStart w:id="384" w:name="_Toc312678030"/>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85" w:name="_Toc297048385"/>
      <w:r/>
      <w:bookmarkStart w:id="386" w:name="_Toc300934997"/>
      <w:r/>
      <w:bookmarkStart w:id="387" w:name="_Toc304295574"/>
      <w:r/>
      <w:bookmarkStart w:id="388" w:name="_Toc296347198"/>
      <w:r/>
      <w:bookmarkStart w:id="389" w:name="_Toc297120499"/>
      <w:r/>
      <w:bookmarkStart w:id="390" w:name="_Toc297123548"/>
      <w:r/>
      <w:bookmarkStart w:id="391" w:name="_Toc312678033"/>
      <w:r/>
      <w:bookmarkStart w:id="392" w:name="_Toc297216207"/>
      <w:r/>
      <w:bookmarkStart w:id="393" w:name="_Toc303539154"/>
      <w:r/>
      <w:bookmarkStart w:id="394" w:name="_Toc296503199"/>
      <w:r/>
      <w:bookmarkStart w:id="395" w:name="_Toc296346700"/>
      <w:r/>
      <w:bookmarkStart w:id="396" w:name="_Toc292559404"/>
      <w:r/>
      <w:bookmarkStart w:id="397" w:name="_Toc296891027"/>
      <w:r/>
      <w:bookmarkStart w:id="398" w:name="_Toc296891239"/>
      <w:r/>
      <w:bookmarkStart w:id="399" w:name="_Toc296944538"/>
      <w:r/>
      <w:bookmarkStart w:id="400" w:name="_Toc292559909"/>
      <w:r/>
      <w:bookmarkStart w:id="401" w:name="_Toc312677507"/>
      <w:r>
        <w:rPr>
          <w:rFonts w:hint="eastAsia" w:ascii="宋体" w:hAnsi="宋体" w:eastAsia="宋体" w:cs="宋体"/>
          <w:sz w:val="24"/>
          <w:szCs w:val="24"/>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w:t>
      </w:r>
      <w:bookmarkStart w:id="402" w:name="_Toc312677508"/>
      <w:r/>
      <w:bookmarkStart w:id="403" w:name="_Toc312678034"/>
      <w:r/>
      <w:bookmarkStart w:id="404" w:name="_Toc318581176"/>
      <w:r>
        <w:rPr>
          <w:rFonts w:hint="eastAsia" w:ascii="宋体" w:hAnsi="宋体" w:eastAsia="宋体" w:cs="宋体"/>
          <w:sz w:val="24"/>
          <w:szCs w:val="24"/>
          <w:highlight w:val="none"/>
        </w:rPr>
        <w:t xml:space="preserve">估价材料和工程设备的明细详见附件11：《暂估价一览表》。</w:t>
      </w:r>
      <w:bookmarkEnd w:id="402"/>
      <w:r/>
      <w:bookmarkEnd w:id="403"/>
      <w:r/>
      <w:bookmarkEnd w:id="404"/>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405" w:name="_Toc318581177"/>
      <w:r/>
      <w:bookmarkStart w:id="406" w:name="_Toc312678035"/>
      <w:r/>
      <w:bookmarkStart w:id="407" w:name="_Toc312677509"/>
      <w:r>
        <w:rPr>
          <w:rFonts w:hint="eastAsia" w:ascii="宋体" w:hAnsi="宋体" w:eastAsia="宋体" w:cs="宋体"/>
          <w:sz w:val="24"/>
          <w:szCs w:val="24"/>
          <w:highlight w:val="none"/>
        </w:rPr>
        <w:t xml:space="preserve">0.7.1 依法必须招标的暂估价项目</w:t>
      </w:r>
      <w:bookmarkEnd w:id="405"/>
      <w:r/>
      <w:bookmarkEnd w:id="406"/>
      <w:r/>
      <w:bookmarkEnd w:id="407"/>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对于依法必须招标的暂估价项目的确认和批准采取第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种方式确定。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10.7.2 不属于依法必须招标的暂估价项目</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种方式确定。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10.8 暂列金额</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   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408" w:name="_Toc372788938"/>
      <w:r>
        <w:rPr>
          <w:rFonts w:hint="eastAsia" w:ascii="宋体" w:hAnsi="宋体" w:eastAsia="宋体" w:cs="宋体"/>
          <w:b w:val="0"/>
          <w:bCs/>
          <w:sz w:val="24"/>
          <w:szCs w:val="24"/>
          <w:highlight w:val="none"/>
          <w:lang w:val="en-US" w:eastAsia="zh-CN" w:bidi="ar-SA"/>
        </w:rPr>
        <w:t xml:space="preserve">11. 价格调整</w:t>
      </w:r>
      <w:bookmarkEnd w:id="408"/>
      <w:r/>
      <w:r/>
    </w:p>
    <w:p>
      <w:pPr>
        <w:ind w:firstLine="480"/>
        <w:pageBreakBefore w:val="0"/>
        <w:spacing w:after="120" w:line="360" w:lineRule="auto"/>
        <w:rPr>
          <w:rFonts w:hint="eastAsia" w:ascii="宋体" w:hAnsi="宋体" w:eastAsia="宋体" w:cs="宋体"/>
          <w:sz w:val="24"/>
          <w:szCs w:val="24"/>
          <w:highlight w:val="none"/>
        </w:rPr>
      </w:pPr>
      <w:r/>
      <w:bookmarkStart w:id="409" w:name="_Toc292559406"/>
      <w:r/>
      <w:bookmarkStart w:id="410" w:name="_Toc297120501"/>
      <w:r/>
      <w:bookmarkStart w:id="411" w:name="_Toc292559911"/>
      <w:r/>
      <w:bookmarkStart w:id="412" w:name="_Toc296503201"/>
      <w:r/>
      <w:bookmarkStart w:id="413" w:name="_Toc304295577"/>
      <w:r/>
      <w:bookmarkStart w:id="414" w:name="_Toc300935000"/>
      <w:r/>
      <w:bookmarkStart w:id="415" w:name="_Toc296944540"/>
      <w:r/>
      <w:bookmarkStart w:id="416" w:name="_Toc296346702"/>
      <w:r/>
      <w:bookmarkStart w:id="417" w:name="_Toc296347200"/>
      <w:r/>
      <w:bookmarkStart w:id="418" w:name="_Toc297123550"/>
      <w:r/>
      <w:bookmarkStart w:id="419" w:name="_Toc297216209"/>
      <w:r/>
      <w:bookmarkStart w:id="420" w:name="_Toc312678039"/>
      <w:r/>
      <w:bookmarkStart w:id="421" w:name="_Toc296891029"/>
      <w:r/>
      <w:bookmarkStart w:id="422" w:name="_Toc297048387"/>
      <w:r/>
      <w:bookmarkStart w:id="423" w:name="_Toc296891241"/>
      <w:r/>
      <w:bookmarkStart w:id="424" w:name="_Toc303539157"/>
      <w:r>
        <w:rPr>
          <w:rFonts w:hint="eastAsia" w:ascii="宋体" w:hAnsi="宋体" w:eastAsia="宋体" w:cs="宋体"/>
          <w:sz w:val="24"/>
          <w:szCs w:val="24"/>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种方式对合同价格进行调整：</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第1种方式：采用价格指数进行价格调整。</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第2种方式：采用造价信息进行价格调整。</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（2）关于基准价格的约定：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%时，或材料单价跌幅以已标价工程量清单或预算书中载明材料单价为基础超过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%时，材料单价涨幅以已标价工程量清单或预算书中载明材料单价为基础超过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64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%时，其超过部分据实调整。</w:t>
      </w:r>
      <w:r/>
    </w:p>
    <w:p>
      <w:pPr>
        <w:ind w:firstLine="645"/>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第3种方式：其他价格调整方式：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12"/>
      <w:r/>
      <w:bookmarkEnd w:id="313"/>
      <w:r/>
      <w:bookmarkEnd w:id="314"/>
      <w:r/>
      <w:bookmarkEnd w:id="315"/>
      <w:r/>
      <w:bookmarkEnd w:id="316"/>
      <w:r/>
      <w:bookmarkEnd w:id="317"/>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425" w:name="_Toc297048391"/>
      <w:r/>
      <w:bookmarkStart w:id="426" w:name="_Toc296346706"/>
      <w:r/>
      <w:bookmarkStart w:id="427" w:name="_Toc296347204"/>
      <w:r/>
      <w:bookmarkStart w:id="428" w:name="_Toc292559410"/>
      <w:r/>
      <w:bookmarkStart w:id="429" w:name="_Toc296944544"/>
      <w:r/>
      <w:bookmarkStart w:id="430" w:name="_Toc296891033"/>
      <w:r/>
      <w:bookmarkStart w:id="431" w:name="_Toc297120505"/>
      <w:r/>
      <w:bookmarkStart w:id="432" w:name="_Toc296891245"/>
      <w:r/>
      <w:bookmarkStart w:id="433" w:name="_Toc292559915"/>
      <w:r/>
      <w:bookmarkStart w:id="434" w:name="_Toc296503205"/>
      <w:r/>
      <w:bookmarkStart w:id="435" w:name="_Toc372788939"/>
      <w:r/>
      <w:bookmarkStart w:id="436" w:name="_Toc312678040"/>
      <w:r/>
      <w:bookmarkStart w:id="437" w:name="_Toc297216211"/>
      <w:r/>
      <w:bookmarkStart w:id="438" w:name="_Toc300935002"/>
      <w:r/>
      <w:bookmarkStart w:id="439" w:name="_Toc304295579"/>
      <w:r/>
      <w:bookmarkStart w:id="440" w:name="_Toc303539159"/>
      <w:r/>
      <w:bookmarkStart w:id="441" w:name="_Toc297123552"/>
      <w:r>
        <w:rPr>
          <w:rFonts w:hint="eastAsia" w:ascii="宋体" w:hAnsi="宋体" w:eastAsia="宋体" w:cs="宋体"/>
          <w:b w:val="0"/>
          <w:bCs/>
          <w:sz w:val="24"/>
          <w:szCs w:val="24"/>
          <w:highlight w:val="none"/>
          <w:lang w:val="en-US" w:eastAsia="zh-CN" w:bidi="ar-SA"/>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b w:val="0"/>
          <w:bCs/>
          <w:sz w:val="24"/>
          <w:szCs w:val="24"/>
          <w:highlight w:val="none"/>
          <w:lang w:val="en-US" w:eastAsia="zh-CN" w:bidi="ar-SA"/>
        </w:rPr>
        <w:t xml:space="preserve">合同价格、计量与支付</w:t>
      </w:r>
      <w:bookmarkEnd w:id="435"/>
      <w:r/>
      <w:bookmarkEnd w:id="436"/>
      <w:r/>
      <w:bookmarkEnd w:id="437"/>
      <w:r/>
      <w:bookmarkEnd w:id="438"/>
      <w:r/>
      <w:bookmarkEnd w:id="439"/>
      <w:r/>
      <w:bookmarkEnd w:id="440"/>
      <w:r/>
      <w:bookmarkEnd w:id="441"/>
      <w:r/>
      <w:r/>
    </w:p>
    <w:p>
      <w:pPr>
        <w:ind w:firstLine="480"/>
        <w:pageBreakBefore w:val="0"/>
        <w:spacing w:after="120" w:line="360" w:lineRule="auto"/>
        <w:rPr>
          <w:rFonts w:hint="eastAsia" w:ascii="宋体" w:hAnsi="宋体" w:eastAsia="宋体" w:cs="宋体"/>
          <w:sz w:val="24"/>
          <w:szCs w:val="24"/>
          <w:highlight w:val="none"/>
        </w:rPr>
      </w:pPr>
      <w:r/>
      <w:bookmarkStart w:id="442" w:name="_Toc267251461"/>
      <w:r/>
      <w:bookmarkStart w:id="443" w:name="_Toc292559916"/>
      <w:r/>
      <w:bookmarkStart w:id="444" w:name="_Toc292559411"/>
      <w:r/>
      <w:bookmarkStart w:id="445" w:name="_Toc296891246"/>
      <w:r/>
      <w:bookmarkStart w:id="446" w:name="_Toc296347205"/>
      <w:r/>
      <w:bookmarkStart w:id="447" w:name="_Toc297048392"/>
      <w:r/>
      <w:bookmarkStart w:id="448" w:name="_Toc296944545"/>
      <w:r/>
      <w:bookmarkStart w:id="449" w:name="_Toc296891034"/>
      <w:r/>
      <w:bookmarkStart w:id="450" w:name="_Toc297120506"/>
      <w:r/>
      <w:bookmarkStart w:id="451" w:name="_Toc296503206"/>
      <w:r/>
      <w:bookmarkStart w:id="452" w:name="_Toc296346707"/>
      <w:r/>
      <w:bookmarkStart w:id="453" w:name="_Toc297123553"/>
      <w:r/>
      <w:bookmarkStart w:id="454" w:name="_Toc297216212"/>
      <w:r/>
      <w:bookmarkStart w:id="455" w:name="_Toc303539160"/>
      <w:r/>
      <w:bookmarkStart w:id="456" w:name="_Toc300935003"/>
      <w:r/>
      <w:bookmarkStart w:id="457" w:name="_Toc304295580"/>
      <w:r/>
      <w:bookmarkStart w:id="458" w:name="_Toc312678041"/>
      <w:r>
        <w:rPr>
          <w:rFonts w:hint="eastAsia" w:ascii="宋体" w:hAnsi="宋体" w:eastAsia="宋体" w:cs="宋体"/>
          <w:sz w:val="24"/>
          <w:szCs w:val="24"/>
          <w:highlight w:val="none"/>
        </w:rPr>
        <w:t xml:space="preserve">12.1 合</w:t>
      </w:r>
      <w:bookmarkEnd w:id="442"/>
      <w:r/>
      <w:bookmarkEnd w:id="443"/>
      <w:r/>
      <w:bookmarkEnd w:id="444"/>
      <w:r>
        <w:rPr>
          <w:rFonts w:hint="eastAsia" w:ascii="宋体" w:hAnsi="宋体" w:eastAsia="宋体" w:cs="宋体"/>
          <w:sz w:val="24"/>
          <w:szCs w:val="24"/>
          <w:highlight w:val="none"/>
        </w:rPr>
        <w:t xml:space="preserve">同价</w:t>
      </w:r>
      <w:bookmarkEnd w:id="445"/>
      <w:r/>
      <w:bookmarkEnd w:id="446"/>
      <w:r/>
      <w:bookmarkEnd w:id="447"/>
      <w:r/>
      <w:bookmarkEnd w:id="448"/>
      <w:r/>
      <w:bookmarkEnd w:id="449"/>
      <w:r/>
      <w:bookmarkEnd w:id="450"/>
      <w:r/>
      <w:bookmarkEnd w:id="451"/>
      <w:r/>
      <w:bookmarkEnd w:id="452"/>
      <w:r>
        <w:rPr>
          <w:rFonts w:hint="eastAsia" w:ascii="宋体" w:hAnsi="宋体" w:eastAsia="宋体" w:cs="宋体"/>
          <w:sz w:val="24"/>
          <w:szCs w:val="24"/>
          <w:highlight w:val="none"/>
        </w:rPr>
        <w:t xml:space="preserve">格形式</w:t>
      </w:r>
      <w:bookmarkEnd w:id="453"/>
      <w:r/>
      <w:bookmarkEnd w:id="454"/>
      <w:r/>
      <w:bookmarkEnd w:id="455"/>
      <w:r/>
      <w:bookmarkEnd w:id="456"/>
      <w:r/>
      <w:bookmarkEnd w:id="457"/>
      <w:r/>
      <w:bookmarkEnd w:id="458"/>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综合单价包含的风险范围：</w:t>
      </w:r>
      <w:r>
        <w:rPr>
          <w:rFonts w:hint="eastAsia" w:ascii="宋体" w:hAnsi="宋体" w:eastAsia="宋体" w:cs="宋体"/>
          <w:sz w:val="24"/>
          <w:szCs w:val="24"/>
          <w:highlight w:val="none"/>
          <w:u w:val="single"/>
        </w:rPr>
        <w:t xml:space="preserve">各种因素（含政策性调整）引起的材料价格、施工机械使用费、管理费、利润等变化及风险因素。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   承包人在投标时已纳入投标报价中。</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rPr>
        <w:t xml:space="preserve">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1）未发生设计变更的计价：①实际施工过程中无论工程量减少多少，中标供应商必须履行合同义务；②招标图纸范围内投标报价时的综合单价不变，措施项目费以费率报价的费率不变，工程数量按实调整。 </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只有发包人指令和发包人同意的设计变更才能产生造价变更。施工期间如有设计变更(分项变更价款超过5万元的，必须经评审管理中心和发包人共同确认后，方可实施作为决算依据)，而工程量清单中未包含变更工程的综合单价、工程量清单漏项、发包人指令或经发包人同意的设计变更引起新的工程量清单项目，其相应综合单价由承包人按以下规定提出，经发包人确认后作为结算依据：</w:t>
      </w:r>
      <w:r/>
    </w:p>
    <w:p>
      <w:pPr>
        <w:ind w:firstLine="480"/>
        <w:pageBreakBefore w:val="0"/>
        <w:spacing w:after="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①已定规格、型号、厂家、品牌的材料如材料品种发生更换的，则只调整材料价格，</w:t>
      </w:r>
      <w:r>
        <w:rPr>
          <w:rFonts w:hint="eastAsia" w:ascii="宋体" w:hAnsi="宋体" w:eastAsia="宋体" w:cs="宋体"/>
          <w:sz w:val="24"/>
          <w:szCs w:val="24"/>
          <w:highlight w:val="none"/>
          <w:u w:val="single"/>
          <w:lang w:eastAsia="zh-CN"/>
        </w:rPr>
        <w:t xml:space="preserve">其他</w:t>
      </w:r>
      <w:r>
        <w:rPr>
          <w:rFonts w:hint="eastAsia" w:ascii="宋体" w:hAnsi="宋体" w:eastAsia="宋体" w:cs="宋体"/>
          <w:sz w:val="24"/>
          <w:szCs w:val="24"/>
          <w:highlight w:val="none"/>
          <w:u w:val="single"/>
        </w:rPr>
        <w:t xml:space="preserve">都不变。材料价格需同比例让利，让利系数＝1-材料投标价格/经评审的招标控制价中的材料价格。</w:t>
      </w:r>
      <w:r/>
    </w:p>
    <w:p>
      <w:pPr>
        <w:ind w:firstLine="480"/>
        <w:pageBreakBefore w:val="0"/>
        <w:spacing w:after="24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②因采取新工艺、新方法施工组织有变动引起造价调整的，须经监理、发包方同意后才可调整，否则不予调整。</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③因设计变更、施工条件引起变</w:t>
      </w:r>
      <w:r>
        <w:rPr>
          <w:rFonts w:hint="eastAsia" w:ascii="宋体" w:hAnsi="宋体" w:eastAsia="宋体" w:cs="宋体"/>
          <w:sz w:val="24"/>
          <w:szCs w:val="24"/>
          <w:highlight w:val="none"/>
          <w:u w:val="single"/>
        </w:rPr>
        <w:t xml:space="preserve">更增加或减少的工程，报价中有综合单价的按报价中的综合单价执行；无综合单价的工程量清单项目套用2007年《江苏省仿古建筑与园林工程计价定额》、2014年《江苏省建设工程费用定额》，材料价采用施工当期无锡市住建局发布的《无锡工程造价信息》中的指导价，苗木价采用施工同期月份所在半年度的苗木信息价，用上述方法后所组成的分部分项工程量清单单价乘以让利率为变更项目的清单单价，让利率=1-中标价/招标控制价或变更对应部分投标全费用单价/对应经评审的招标控制价中全费用单价，两者取高值，但让利率小于15%时，按15%计取”。</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3）本工程建设工程现场安全文明措施费、基本费足额计取，因无省级市政建筑安全文明施工标准化示范项目创建目标，故省级标化增加费不计取。</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4）材料价格的调整方法——不调整。</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5）人工工资单价不随政策性调整及指导价文件的调整而调整。</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工程量超出原工程量清单中的数量的情况下：本工程若发生不合理报价，且当该清单项目工程量变化幅度超过10%，中标价虽已被发包人接受，但合同履行中发包人发现投标方投标报价中有故意或非故意采取了不合理报价，当该清单子目中的工、料、机含量、费率超过《江苏省仿古建筑与园林工程计价定额》（2007）、2014年《江苏省安装工程计价定额》、《江苏省建设工程费用定额》（2014年）（除设计要求外）规定的任何一项或几项，及材料价格超过投标同期《无锡工程造价信息》中的信息指导价（没有信息指导价的按市场价，苗木信息价按202</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年第</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期）组成的综合单价的10%时，视为不合理报价。发包人将对工程量变化幅度超过10%的部分对中标综合单价进行调整，按照计价表规定的含量和费率及无锡地区的配套规定计算，材料价格按照发标当月无锡市造价管理部门公布的信息指导价（没有信息价的按市场价），组成综合单价后乘以让利率。对报价低的子目不做调整。</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7）承包人应无条件接受财政或上级部门组织的复审,复审结果应作为决算最终依据。</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8）本项目不计取赶工措施费及工期奖。</w:t>
      </w:r>
      <w:r/>
    </w:p>
    <w:p>
      <w:pPr>
        <w:ind w:firstLine="48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9）本项目计税方法为一般计税法。</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总价包含的风险范围：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bookmarkStart w:id="459" w:name="_Toc312678042"/>
      <w:r/>
      <w:bookmarkStart w:id="460" w:name="_Toc297123554"/>
      <w:r/>
      <w:bookmarkStart w:id="461" w:name="_Toc303539161"/>
      <w:r/>
      <w:bookmarkStart w:id="462" w:name="_Toc304295581"/>
      <w:r/>
      <w:bookmarkStart w:id="463" w:name="_Toc300935004"/>
      <w:r/>
      <w:bookmarkStart w:id="464" w:name="_Toc297216213"/>
      <w:r/>
      <w:bookmarkStart w:id="465" w:name="_Toc296346708"/>
      <w:r/>
      <w:bookmarkStart w:id="466" w:name="_Toc296503207"/>
      <w:r/>
      <w:bookmarkStart w:id="467" w:name="_Toc297120507"/>
      <w:r/>
      <w:bookmarkStart w:id="468" w:name="_Toc297048393"/>
      <w:r/>
      <w:bookmarkStart w:id="469" w:name="_Toc296944546"/>
      <w:r/>
      <w:bookmarkStart w:id="470" w:name="_Toc296347206"/>
      <w:r/>
      <w:bookmarkStart w:id="471" w:name="_Toc296891035"/>
      <w:r/>
      <w:bookmarkStart w:id="472" w:name="_Toc292559917"/>
      <w:r/>
      <w:bookmarkStart w:id="473" w:name="_Toc296891247"/>
      <w:r/>
      <w:bookmarkStart w:id="474" w:name="_Toc292559412"/>
      <w:r>
        <w:rPr>
          <w:rFonts w:hint="eastAsia" w:ascii="宋体" w:hAnsi="宋体" w:eastAsia="宋体" w:cs="宋体"/>
          <w:sz w:val="24"/>
          <w:szCs w:val="24"/>
          <w:highlight w:val="none"/>
        </w:rPr>
        <w:t xml:space="preserve">12.2 预付款</w:t>
      </w:r>
      <w:bookmarkEnd w:id="459"/>
      <w:r/>
      <w:bookmarkEnd w:id="460"/>
      <w:r/>
      <w:bookmarkEnd w:id="461"/>
      <w:r/>
      <w:bookmarkEnd w:id="462"/>
      <w:r/>
      <w:bookmarkEnd w:id="463"/>
      <w:r/>
      <w:bookmarkEnd w:id="464"/>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82"/>
        <w:jc w:val="left"/>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预付款支付比例或金额：</w:t>
      </w:r>
      <w:r>
        <w:rPr>
          <w:rFonts w:hint="eastAsia" w:ascii="宋体" w:hAnsi="宋体" w:eastAsia="宋体" w:cs="宋体"/>
          <w:b/>
          <w:sz w:val="24"/>
          <w:szCs w:val="24"/>
          <w:highlight w:val="none"/>
          <w:u w:val="single"/>
        </w:rPr>
        <w:t xml:space="preserve">合同总价的10%       </w:t>
      </w:r>
      <w:r>
        <w:rPr>
          <w:rFonts w:hint="eastAsia" w:ascii="宋体" w:hAnsi="宋体" w:eastAsia="宋体" w:cs="宋体"/>
          <w:b/>
          <w:sz w:val="24"/>
          <w:szCs w:val="24"/>
          <w:highlight w:val="none"/>
        </w:rPr>
        <w:t xml:space="preserve">。</w:t>
      </w:r>
      <w:r/>
    </w:p>
    <w:p>
      <w:pPr>
        <w:ind w:firstLine="482"/>
        <w:jc w:val="left"/>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预付款支付期限：</w:t>
      </w:r>
      <w:r>
        <w:rPr>
          <w:rFonts w:hint="eastAsia" w:ascii="宋体" w:hAnsi="宋体" w:eastAsia="宋体" w:cs="宋体"/>
          <w:b/>
          <w:sz w:val="24"/>
          <w:szCs w:val="24"/>
          <w:highlight w:val="none"/>
          <w:u w:val="single"/>
        </w:rPr>
        <w:t xml:space="preserve">  签订合同后。  </w:t>
      </w:r>
      <w:r>
        <w:rPr>
          <w:rFonts w:hint="eastAsia" w:ascii="宋体" w:hAnsi="宋体" w:eastAsia="宋体" w:cs="宋体"/>
          <w:b/>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b/>
          <w:sz w:val="24"/>
          <w:szCs w:val="24"/>
          <w:highlight w:val="none"/>
          <w:u w:val="single"/>
        </w:rPr>
        <w:t xml:space="preserve"> 项目进度款支付至7</w:t>
      </w:r>
      <w:r>
        <w:rPr>
          <w:rFonts w:hint="eastAsia" w:ascii="宋体" w:hAnsi="宋体" w:eastAsia="宋体" w:cs="宋体"/>
          <w:b/>
          <w:sz w:val="24"/>
          <w:szCs w:val="24"/>
          <w:highlight w:val="none"/>
          <w:u w:val="single"/>
          <w:lang w:val="en-US" w:eastAsia="zh-CN"/>
        </w:rPr>
        <w:t xml:space="preserve">5</w:t>
      </w:r>
      <w:r>
        <w:rPr>
          <w:rFonts w:hint="eastAsia" w:ascii="宋体" w:hAnsi="宋体" w:eastAsia="宋体" w:cs="宋体"/>
          <w:b/>
          <w:sz w:val="24"/>
          <w:szCs w:val="24"/>
          <w:highlight w:val="none"/>
          <w:u w:val="single"/>
        </w:rPr>
        <w:t xml:space="preserve">%时</w:t>
      </w:r>
      <w:r>
        <w:rPr>
          <w:rFonts w:hint="eastAsia" w:ascii="宋体" w:hAnsi="宋体" w:eastAsia="宋体" w:cs="宋体"/>
          <w:b/>
          <w:sz w:val="24"/>
          <w:szCs w:val="24"/>
          <w:highlight w:val="none"/>
          <w:u w:val="single"/>
          <w:lang w:val="en-US" w:eastAsia="zh-CN"/>
        </w:rPr>
        <w:t xml:space="preserve">一次性</w:t>
      </w:r>
      <w:r>
        <w:rPr>
          <w:rFonts w:hint="eastAsia" w:ascii="宋体" w:hAnsi="宋体" w:eastAsia="宋体" w:cs="宋体"/>
          <w:b/>
          <w:sz w:val="24"/>
          <w:szCs w:val="24"/>
          <w:highlight w:val="none"/>
          <w:u w:val="single"/>
        </w:rPr>
        <w:t xml:space="preserve">扣回。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12.2.2 预付款担保</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465"/>
      <w:r/>
      <w:bookmarkEnd w:id="466"/>
      <w:r/>
      <w:bookmarkEnd w:id="467"/>
      <w:r/>
      <w:bookmarkEnd w:id="468"/>
      <w:r/>
      <w:bookmarkEnd w:id="469"/>
      <w:r/>
      <w:bookmarkEnd w:id="470"/>
      <w:r/>
      <w:bookmarkEnd w:id="471"/>
      <w:r/>
      <w:bookmarkEnd w:id="472"/>
      <w:r/>
      <w:bookmarkEnd w:id="473"/>
      <w:r/>
      <w:bookmarkEnd w:id="474"/>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建设工程工程量清单计价规范（2013版）</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按实计量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按实计量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80"/>
        <w:jc w:val="left"/>
        <w:pageBreakBefore w:val="0"/>
        <w:spacing w:line="360" w:lineRule="auto"/>
        <w:rPr>
          <w:rFonts w:hint="eastAsia" w:ascii="宋体" w:hAnsi="宋体" w:eastAsia="宋体" w:cs="宋体"/>
          <w:sz w:val="24"/>
          <w:szCs w:val="24"/>
          <w:highlight w:val="none"/>
        </w:rPr>
      </w:pPr>
      <w:r/>
      <w:bookmarkStart w:id="475" w:name="_Toc300935006"/>
      <w:r/>
      <w:bookmarkStart w:id="476" w:name="_Toc296891039"/>
      <w:r/>
      <w:bookmarkStart w:id="477" w:name="_Toc303539163"/>
      <w:r/>
      <w:bookmarkStart w:id="478" w:name="_Toc297216215"/>
      <w:r/>
      <w:bookmarkStart w:id="479" w:name="_Toc296944550"/>
      <w:r/>
      <w:bookmarkStart w:id="480" w:name="_Toc292559921"/>
      <w:r/>
      <w:bookmarkStart w:id="481" w:name="_Toc296891251"/>
      <w:r/>
      <w:bookmarkStart w:id="482" w:name="_Toc296347210"/>
      <w:r/>
      <w:bookmarkStart w:id="483" w:name="_Toc292559416"/>
      <w:r/>
      <w:bookmarkStart w:id="484" w:name="_Toc296503211"/>
      <w:r/>
      <w:bookmarkStart w:id="485" w:name="_Toc297123556"/>
      <w:r/>
      <w:bookmarkStart w:id="486" w:name="_Toc296346712"/>
      <w:r/>
      <w:bookmarkStart w:id="487" w:name="_Toc297120511"/>
      <w:r/>
      <w:bookmarkStart w:id="488" w:name="_Toc297048397"/>
      <w:r>
        <w:rPr>
          <w:rFonts w:hint="eastAsia" w:ascii="宋体" w:hAnsi="宋体" w:eastAsia="宋体" w:cs="宋体"/>
          <w:sz w:val="24"/>
          <w:szCs w:val="24"/>
          <w:highlight w:val="none"/>
        </w:rPr>
        <w:t xml:space="preserve">12.4.1 付款周期</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w:t>
      </w:r>
      <w:r>
        <w:rPr>
          <w:rFonts w:hint="eastAsia" w:ascii="宋体" w:hAnsi="宋体" w:eastAsia="宋体" w:cs="宋体"/>
          <w:sz w:val="24"/>
          <w:szCs w:val="24"/>
          <w:highlight w:val="none"/>
          <w:u w:val="single"/>
        </w:rPr>
        <w:t xml:space="preserve">按工程进度支付。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b/>
          <w:bCs/>
          <w:sz w:val="24"/>
          <w:szCs w:val="24"/>
          <w:highlight w:val="none"/>
          <w:u w:val="single"/>
        </w:rPr>
        <w:t xml:space="preserve">项目完成并竣工预验收合格，根据当年批准预算支付，付款额度不超过签订合同价的7</w:t>
      </w:r>
      <w:r>
        <w:rPr>
          <w:rFonts w:hint="eastAsia" w:ascii="宋体" w:hAnsi="宋体" w:eastAsia="宋体" w:cs="宋体"/>
          <w:b/>
          <w:bCs/>
          <w:sz w:val="24"/>
          <w:szCs w:val="24"/>
          <w:highlight w:val="none"/>
          <w:u w:val="single"/>
          <w:lang w:val="en-US" w:eastAsia="zh-CN"/>
        </w:rPr>
        <w:t xml:space="preserve">5</w:t>
      </w:r>
      <w:r>
        <w:rPr>
          <w:rFonts w:hint="eastAsia" w:ascii="宋体" w:hAnsi="宋体" w:eastAsia="宋体" w:cs="宋体"/>
          <w:b/>
          <w:bCs/>
          <w:sz w:val="24"/>
          <w:szCs w:val="24"/>
          <w:highlight w:val="none"/>
          <w:u w:val="single"/>
        </w:rPr>
        <w:t xml:space="preserve">%，竣工验收合格审计结束并经相关部门作出批复后付至批复价的90%，缺陷责任养护期满无质量问题，付清余款。本项目实际付款进度还需根据年度计划拨付，延期支付合同款的利息发包人不承担。付款时，承包人应出具满足发包人要求的税务发票。</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宋体" w:hAnsi="宋体" w:eastAsia="宋体" w:cs="宋体"/>
          <w:sz w:val="24"/>
          <w:szCs w:val="24"/>
          <w:highlight w:val="none"/>
        </w:rPr>
        <w:t xml:space="preserve">2.4.3 进度付款申请单的提交</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sz w:val="24"/>
          <w:szCs w:val="24"/>
          <w:highlight w:val="none"/>
          <w:u w:val="single"/>
        </w:rPr>
        <w:t xml:space="preserve">   收到申请后7天内               </w:t>
      </w:r>
      <w:r>
        <w:rPr>
          <w:rFonts w:hint="eastAsia" w:ascii="宋体" w:hAnsi="宋体" w:eastAsia="宋体" w:cs="宋体"/>
          <w:sz w:val="24"/>
          <w:szCs w:val="24"/>
          <w:highlight w:val="none"/>
        </w:rPr>
        <w:t xml:space="preserve">。</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      收到申请后7天内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     签发进度款支付证书后14天内</w:t>
      </w:r>
      <w:r>
        <w:rPr>
          <w:rFonts w:hint="eastAsia" w:ascii="宋体" w:hAnsi="宋体" w:eastAsia="宋体" w:cs="宋体"/>
          <w:sz w:val="24"/>
          <w:szCs w:val="24"/>
          <w:highlight w:val="none"/>
        </w:rPr>
        <w:t xml:space="preserve">。</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60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w:t>
      </w:r>
      <w:r/>
    </w:p>
    <w:p>
      <w:pPr>
        <w:ind w:left="4800" w:hanging="480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bookmarkEnd w:id="318"/>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489" w:name="_Toc372788940"/>
      <w:r/>
      <w:bookmarkStart w:id="490" w:name="_Toc292559929"/>
      <w:r/>
      <w:bookmarkStart w:id="491" w:name="_Toc297048405"/>
      <w:r/>
      <w:bookmarkStart w:id="492" w:name="_Toc296346720"/>
      <w:r/>
      <w:bookmarkStart w:id="493" w:name="_Toc296891259"/>
      <w:r/>
      <w:bookmarkStart w:id="494" w:name="_Toc296891047"/>
      <w:r/>
      <w:bookmarkStart w:id="495" w:name="_Toc297120519"/>
      <w:r/>
      <w:bookmarkStart w:id="496" w:name="_Toc296347218"/>
      <w:r/>
      <w:bookmarkStart w:id="497" w:name="_Toc303539172"/>
      <w:r/>
      <w:bookmarkStart w:id="498" w:name="_Toc312678053"/>
      <w:r/>
      <w:bookmarkStart w:id="499" w:name="_Toc300935015"/>
      <w:r/>
      <w:bookmarkStart w:id="500" w:name="_Toc296503219"/>
      <w:r/>
      <w:bookmarkStart w:id="501" w:name="_Toc296944558"/>
      <w:r/>
      <w:bookmarkStart w:id="502" w:name="_Toc292559424"/>
      <w:r/>
      <w:bookmarkStart w:id="503" w:name="_Toc297123564"/>
      <w:r/>
      <w:bookmarkStart w:id="504" w:name="_Toc297216223"/>
      <w:r/>
      <w:bookmarkStart w:id="505" w:name="_Toc304295593"/>
      <w:r>
        <w:rPr>
          <w:rFonts w:hint="eastAsia" w:ascii="宋体" w:hAnsi="宋体" w:eastAsia="宋体" w:cs="宋体"/>
          <w:b w:val="0"/>
          <w:bCs/>
          <w:sz w:val="24"/>
          <w:szCs w:val="24"/>
          <w:highlight w:val="none"/>
          <w:lang w:val="en-US" w:eastAsia="zh-CN" w:bidi="ar-SA"/>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13.1.2监理人不能按时进行验收时，应提前</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小时提交书面延期要求。</w:t>
      </w:r>
      <w:r/>
    </w:p>
    <w:p>
      <w:pPr>
        <w:ind w:firstLine="480"/>
        <w:jc w:val="left"/>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pageBreakBefore w:val="0"/>
        <w:spacing w:after="120" w:line="360" w:lineRule="auto"/>
        <w:rPr>
          <w:rFonts w:hint="eastAsia" w:ascii="宋体" w:hAnsi="宋体" w:eastAsia="宋体" w:cs="宋体"/>
          <w:sz w:val="24"/>
          <w:szCs w:val="24"/>
          <w:highlight w:val="none"/>
        </w:rPr>
      </w:pPr>
      <w:r/>
      <w:bookmarkStart w:id="506" w:name="_Toc292559933"/>
      <w:r/>
      <w:bookmarkStart w:id="507" w:name="_Toc297123565"/>
      <w:r/>
      <w:bookmarkStart w:id="508" w:name="_Toc300935016"/>
      <w:r/>
      <w:bookmarkStart w:id="509" w:name="_Toc297120523"/>
      <w:r/>
      <w:bookmarkStart w:id="510" w:name="_Toc296891051"/>
      <w:r/>
      <w:bookmarkStart w:id="511" w:name="_Toc303539173"/>
      <w:r/>
      <w:bookmarkStart w:id="512" w:name="_Toc292559428"/>
      <w:r/>
      <w:bookmarkStart w:id="513" w:name="_Toc296347222"/>
      <w:r/>
      <w:bookmarkStart w:id="514" w:name="_Toc297048409"/>
      <w:r/>
      <w:bookmarkStart w:id="515" w:name="_Toc296891263"/>
      <w:r/>
      <w:bookmarkStart w:id="516" w:name="_Toc304295596"/>
      <w:r/>
      <w:bookmarkStart w:id="517" w:name="_Toc297216224"/>
      <w:r/>
      <w:bookmarkStart w:id="518" w:name="_Toc312678056"/>
      <w:r/>
      <w:bookmarkStart w:id="519" w:name="_Toc296944562"/>
      <w:r/>
      <w:bookmarkStart w:id="520" w:name="_Toc296346724"/>
      <w:r/>
      <w:bookmarkStart w:id="521" w:name="_Toc296503223"/>
      <w:r/>
      <w:bookmarkStart w:id="522" w:name="_Toc267251475"/>
      <w:r/>
      <w:bookmarkStart w:id="523" w:name="_Toc267251472"/>
      <w:r/>
      <w:bookmarkStart w:id="524" w:name="_Toc267251476"/>
      <w:r/>
      <w:bookmarkStart w:id="525" w:name="_Toc267251470"/>
      <w:r/>
      <w:bookmarkStart w:id="526" w:name="_Toc267251473"/>
      <w:r/>
      <w:bookmarkStart w:id="527" w:name="_Toc267251474"/>
      <w:r/>
      <w:bookmarkStart w:id="528" w:name="_Toc267251471"/>
      <w:r>
        <w:rPr>
          <w:rFonts w:hint="eastAsia" w:ascii="宋体" w:hAnsi="宋体" w:eastAsia="宋体" w:cs="宋体"/>
          <w:sz w:val="24"/>
          <w:szCs w:val="24"/>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left"/>
        <w:pageBreakBefore w:val="0"/>
        <w:spacing w:line="360" w:lineRule="auto"/>
        <w:rPr>
          <w:rFonts w:hint="eastAsia" w:ascii="宋体" w:hAnsi="宋体" w:eastAsia="宋体" w:cs="宋体"/>
          <w:sz w:val="24"/>
          <w:szCs w:val="24"/>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宋体" w:hAnsi="宋体" w:eastAsia="宋体" w:cs="宋体"/>
          <w:sz w:val="24"/>
          <w:szCs w:val="24"/>
          <w:highlight w:val="none"/>
        </w:rPr>
        <w:t xml:space="preserve">13.2.2竣工验收程序</w:t>
      </w:r>
      <w:bookmarkEnd w:id="529"/>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w:t>
      </w:r>
      <w:r>
        <w:rPr>
          <w:rFonts w:hint="eastAsia" w:ascii="宋体" w:hAnsi="宋体" w:eastAsia="宋体" w:cs="宋体"/>
          <w:sz w:val="24"/>
          <w:szCs w:val="24"/>
          <w:highlight w:val="none"/>
          <w:lang w:eastAsia="zh-CN"/>
        </w:rPr>
        <w:t xml:space="preserve">工程验收</w:t>
      </w:r>
      <w:r>
        <w:rPr>
          <w:rFonts w:hint="eastAsia" w:ascii="宋体" w:hAnsi="宋体" w:eastAsia="宋体" w:cs="宋体"/>
          <w:sz w:val="24"/>
          <w:szCs w:val="24"/>
          <w:highlight w:val="none"/>
        </w:rPr>
        <w:t xml:space="preserve">证书的违约金的计算方法：</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bookmarkEnd w:id="530"/>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w:t>
      </w:r>
      <w:bookmarkEnd w:id="531"/>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532"/>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因承包人原因未及时移交工程的由承包人承担养护费</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533"/>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竣工退场</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   颁发工程接收证书后3天内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535" w:name="_Toc372788941"/>
      <w:r>
        <w:rPr>
          <w:rFonts w:hint="eastAsia" w:ascii="宋体" w:hAnsi="宋体" w:eastAsia="宋体" w:cs="宋体"/>
          <w:b w:val="0"/>
          <w:bCs/>
          <w:sz w:val="24"/>
          <w:szCs w:val="24"/>
          <w:highlight w:val="none"/>
          <w:lang w:val="en-US" w:eastAsia="zh-CN" w:bidi="ar-SA"/>
        </w:rPr>
        <w:t xml:space="preserve">14. 竣工结算</w:t>
      </w:r>
      <w:bookmarkEnd w:id="535"/>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竣工付款申请</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    工程竣工验收合格后28天内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竣工付款申请单应包括的内容：</w:t>
      </w:r>
      <w:r>
        <w:rPr>
          <w:rFonts w:hint="eastAsia" w:ascii="宋体" w:hAnsi="宋体" w:eastAsia="宋体" w:cs="宋体"/>
          <w:sz w:val="24"/>
          <w:szCs w:val="24"/>
          <w:highlight w:val="none"/>
          <w:u w:val="single"/>
        </w:rPr>
        <w:t xml:space="preserve">    见通用条款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      收到竣工付款申请单28天内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    签发竣工付款申请单28天内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     见通用条款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最终结清</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四份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    缺陷期满7天内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  收到申请28天内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   申请签发后14天内                      </w:t>
      </w:r>
      <w:r>
        <w:rPr>
          <w:rFonts w:hint="eastAsia" w:ascii="宋体" w:hAnsi="宋体" w:eastAsia="宋体" w:cs="宋体"/>
          <w:sz w:val="24"/>
          <w:szCs w:val="24"/>
          <w:highlight w:val="none"/>
        </w:rPr>
        <w:t xml:space="preserve">。</w:t>
      </w:r>
      <w:bookmarkEnd w:id="522"/>
      <w:r/>
      <w:bookmarkEnd w:id="523"/>
      <w:r/>
      <w:bookmarkEnd w:id="524"/>
      <w:r/>
      <w:bookmarkEnd w:id="525"/>
      <w:r/>
      <w:bookmarkEnd w:id="526"/>
      <w:r/>
      <w:bookmarkEnd w:id="527"/>
      <w:r/>
      <w:bookmarkEnd w:id="528"/>
      <w:r/>
      <w:bookmarkEnd w:id="534"/>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536" w:name="_Toc372788942"/>
      <w:r/>
      <w:bookmarkStart w:id="537" w:name="_Toc267251483"/>
      <w:r/>
      <w:bookmarkStart w:id="538" w:name="_Toc267251484"/>
      <w:r/>
      <w:bookmarkStart w:id="539" w:name="_Toc267251482"/>
      <w:r/>
      <w:bookmarkStart w:id="540" w:name="_Toc267251485"/>
      <w:r/>
      <w:bookmarkStart w:id="541" w:name="_Toc267251490"/>
      <w:r/>
      <w:bookmarkStart w:id="542" w:name="_Toc267251488"/>
      <w:r/>
      <w:bookmarkStart w:id="543" w:name="_Toc267251486"/>
      <w:r/>
      <w:bookmarkStart w:id="544" w:name="_Toc267251489"/>
      <w:r/>
      <w:bookmarkStart w:id="545" w:name="_Toc267251501"/>
      <w:r/>
      <w:bookmarkStart w:id="546" w:name="_Toc267251492"/>
      <w:r/>
      <w:bookmarkStart w:id="547" w:name="_Toc267251503"/>
      <w:r/>
      <w:bookmarkStart w:id="548" w:name="_Toc267251497"/>
      <w:r/>
      <w:bookmarkStart w:id="549" w:name="_Toc267251495"/>
      <w:r/>
      <w:bookmarkStart w:id="550" w:name="_Toc267251498"/>
      <w:r/>
      <w:bookmarkStart w:id="551" w:name="_Toc267251494"/>
      <w:r/>
      <w:bookmarkStart w:id="552" w:name="_Toc267251493"/>
      <w:r/>
      <w:bookmarkStart w:id="553" w:name="_Toc267251491"/>
      <w:r/>
      <w:bookmarkStart w:id="554" w:name="_Toc267251499"/>
      <w:r/>
      <w:bookmarkStart w:id="555" w:name="_Toc267251502"/>
      <w:r/>
      <w:bookmarkStart w:id="556" w:name="_Toc267251496"/>
      <w:r/>
      <w:bookmarkStart w:id="557" w:name="_Toc267251504"/>
      <w:r/>
      <w:bookmarkStart w:id="558" w:name="_Toc267251506"/>
      <w:r/>
      <w:bookmarkStart w:id="559" w:name="_Toc267251507"/>
      <w:r/>
      <w:bookmarkStart w:id="560" w:name="_Toc267251508"/>
      <w:r/>
      <w:bookmarkStart w:id="561" w:name="_Toc267251509"/>
      <w:r/>
      <w:bookmarkStart w:id="562" w:name="_Toc267251515"/>
      <w:r/>
      <w:bookmarkStart w:id="563" w:name="_Toc267251510"/>
      <w:r/>
      <w:bookmarkStart w:id="564" w:name="_Toc267251511"/>
      <w:r/>
      <w:bookmarkStart w:id="565" w:name="_Toc267251513"/>
      <w:r/>
      <w:bookmarkStart w:id="566" w:name="_Toc267251514"/>
      <w:r>
        <w:rPr>
          <w:rFonts w:hint="eastAsia" w:ascii="宋体" w:hAnsi="宋体" w:eastAsia="宋体" w:cs="宋体"/>
          <w:b w:val="0"/>
          <w:bCs/>
          <w:sz w:val="24"/>
          <w:szCs w:val="24"/>
          <w:highlight w:val="none"/>
          <w:lang w:val="en-US" w:eastAsia="zh-CN" w:bidi="ar-SA"/>
        </w:rPr>
        <w:t xml:space="preserve">15. 缺陷责任期与保修</w:t>
      </w:r>
      <w:bookmarkEnd w:id="536"/>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15.2缺陷责任期</w:t>
      </w:r>
      <w:bookmarkEnd w:id="537"/>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个月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质量保证金</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承包人提供质量保证金的方式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质量保证金的扣留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538"/>
      <w:r/>
      <w:bookmarkEnd w:id="539"/>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15.4保修</w:t>
      </w:r>
      <w:bookmarkEnd w:id="540"/>
      <w:r/>
      <w:r/>
    </w:p>
    <w:p>
      <w:pPr>
        <w:ind w:firstLine="468"/>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15.4.1 工程保修期为：</w:t>
      </w:r>
      <w:r>
        <w:rPr>
          <w:rFonts w:hint="eastAsia" w:ascii="宋体" w:hAnsi="宋体" w:eastAsia="宋体" w:cs="宋体"/>
          <w:sz w:val="24"/>
          <w:szCs w:val="24"/>
          <w:highlight w:val="none"/>
          <w:u w:val="single"/>
        </w:rPr>
        <w:t xml:space="preserve">   见工程质量保修书    </w:t>
      </w:r>
      <w:r>
        <w:rPr>
          <w:rFonts w:hint="eastAsia" w:ascii="宋体" w:hAnsi="宋体" w:eastAsia="宋体" w:cs="宋体"/>
          <w:sz w:val="24"/>
          <w:szCs w:val="24"/>
          <w:highlight w:val="none"/>
        </w:rPr>
        <w:t xml:space="preserve">。</w:t>
      </w:r>
      <w:r/>
    </w:p>
    <w:p>
      <w:pPr>
        <w:ind w:firstLine="468"/>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15.4.2保修责任：</w:t>
      </w:r>
      <w:r>
        <w:rPr>
          <w:rFonts w:hint="eastAsia" w:ascii="宋体" w:hAnsi="宋体" w:eastAsia="宋体" w:cs="宋体"/>
          <w:sz w:val="24"/>
          <w:szCs w:val="24"/>
          <w:highlight w:val="none"/>
          <w:u w:val="single"/>
        </w:rPr>
        <w:t xml:space="preserve">   见工程质量保修书    </w:t>
      </w:r>
      <w:r>
        <w:rPr>
          <w:rFonts w:hint="eastAsia" w:ascii="宋体" w:hAnsi="宋体" w:eastAsia="宋体" w:cs="宋体"/>
          <w:sz w:val="24"/>
          <w:szCs w:val="24"/>
          <w:highlight w:val="none"/>
        </w:rPr>
        <w:t xml:space="preserve">。</w:t>
      </w:r>
      <w:r/>
    </w:p>
    <w:p>
      <w:pPr>
        <w:ind w:firstLine="468"/>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w:t>
      </w:r>
      <w:r/>
    </w:p>
    <w:p>
      <w:pPr>
        <w:ind w:firstLine="468"/>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    收到通知后24小时内    </w:t>
      </w:r>
      <w:r>
        <w:rPr>
          <w:rFonts w:hint="eastAsia" w:ascii="宋体" w:hAnsi="宋体" w:eastAsia="宋体" w:cs="宋体"/>
          <w:sz w:val="24"/>
          <w:szCs w:val="24"/>
          <w:highlight w:val="none"/>
        </w:rPr>
        <w:t xml:space="preserve">。</w:t>
      </w:r>
      <w:bookmarkEnd w:id="541"/>
      <w:r/>
      <w:bookmarkEnd w:id="542"/>
      <w:r/>
      <w:bookmarkEnd w:id="543"/>
      <w:r/>
      <w:bookmarkEnd w:id="544"/>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567" w:name="_Toc372788943"/>
      <w:r/>
      <w:bookmarkStart w:id="568" w:name="_Toc280868717"/>
      <w:r/>
      <w:bookmarkStart w:id="569" w:name="_Toc280868718"/>
      <w:r>
        <w:rPr>
          <w:rFonts w:hint="eastAsia" w:ascii="宋体" w:hAnsi="宋体" w:eastAsia="宋体" w:cs="宋体"/>
          <w:b w:val="0"/>
          <w:bCs/>
          <w:sz w:val="24"/>
          <w:szCs w:val="24"/>
          <w:highlight w:val="none"/>
          <w:lang w:val="en-US" w:eastAsia="zh-CN" w:bidi="ar-SA"/>
        </w:rPr>
        <w:t xml:space="preserve">16. 违约</w:t>
      </w:r>
      <w:bookmarkEnd w:id="567"/>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发包人违约</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16.1.1发包人违约的情形</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1200" w:hanging="120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发包人违约的责任</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（1）因发包人原因未能在计划开工日期前7天内下达开工通知的违约责任：</w:t>
      </w:r>
      <w:r>
        <w:rPr>
          <w:rFonts w:hint="eastAsia" w:ascii="宋体" w:hAnsi="宋体" w:eastAsia="宋体" w:cs="宋体"/>
          <w:sz w:val="24"/>
          <w:szCs w:val="24"/>
          <w:highlight w:val="none"/>
          <w:u w:val="single"/>
        </w:rPr>
        <w:t xml:space="preserve">        双方另行商定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  双方另行商定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              双方另行商定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  双方另行商定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双方另行商定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双方另行商定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60</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  由承包人承担全部费用并承担相关法律责任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pageBreakBefore w:val="0"/>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80"/>
        <w:pageBreakBefore w:val="0"/>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双方另行商定     </w:t>
      </w:r>
      <w:r>
        <w:rPr>
          <w:rFonts w:hint="eastAsia" w:ascii="宋体" w:hAnsi="宋体" w:eastAsia="宋体" w:cs="宋体"/>
          <w:sz w:val="24"/>
          <w:szCs w:val="24"/>
          <w:highlight w:val="none"/>
        </w:rPr>
        <w:t xml:space="preserve">。</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570" w:name="_Toc372788944"/>
      <w:r>
        <w:rPr>
          <w:rFonts w:hint="eastAsia" w:ascii="宋体" w:hAnsi="宋体" w:eastAsia="宋体" w:cs="宋体"/>
          <w:b w:val="0"/>
          <w:bCs/>
          <w:sz w:val="24"/>
          <w:szCs w:val="24"/>
          <w:highlight w:val="none"/>
          <w:lang w:val="en-US" w:eastAsia="zh-CN" w:bidi="ar-SA"/>
        </w:rPr>
        <w:t xml:space="preserve">17. 不可抗力</w:t>
      </w:r>
      <w:bookmarkEnd w:id="570"/>
      <w:r>
        <w:rPr>
          <w:rFonts w:hint="eastAsia" w:ascii="宋体" w:hAnsi="宋体" w:eastAsia="宋体" w:cs="宋体"/>
          <w:b w:val="0"/>
          <w:bCs/>
          <w:sz w:val="24"/>
          <w:szCs w:val="24"/>
          <w:highlight w:val="none"/>
          <w:lang w:val="en-US" w:eastAsia="zh-CN" w:bidi="ar-SA"/>
        </w:rPr>
        <w:t xml:space="preserve"> </w:t>
      </w:r>
      <w:bookmarkEnd w:id="568"/>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因不可抗力解除合同</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 60</w:t>
      </w:r>
      <w:r>
        <w:rPr>
          <w:rFonts w:hint="eastAsia" w:ascii="宋体" w:hAnsi="宋体" w:eastAsia="宋体" w:cs="宋体"/>
          <w:sz w:val="24"/>
          <w:szCs w:val="24"/>
          <w:highlight w:val="none"/>
        </w:rPr>
        <w:t xml:space="preserve">天内完成款项的支付。</w:t>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571" w:name="_Toc372788945"/>
      <w:r>
        <w:rPr>
          <w:rFonts w:hint="eastAsia" w:ascii="宋体" w:hAnsi="宋体" w:eastAsia="宋体" w:cs="宋体"/>
          <w:b w:val="0"/>
          <w:bCs/>
          <w:sz w:val="24"/>
          <w:szCs w:val="24"/>
          <w:highlight w:val="none"/>
          <w:lang w:val="en-US" w:eastAsia="zh-CN" w:bidi="ar-SA"/>
        </w:rPr>
        <w:t xml:space="preserve">18. 保险</w:t>
      </w:r>
      <w:bookmarkEnd w:id="571"/>
      <w:r/>
      <w:bookmarkEnd w:id="569"/>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其他保险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       按通用条款执行                                           </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通知义务</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bookmarkStart w:id="572" w:name="_Toc372788946"/>
      <w:r>
        <w:rPr>
          <w:rFonts w:hint="eastAsia" w:ascii="宋体" w:hAnsi="宋体" w:eastAsia="宋体" w:cs="宋体"/>
          <w:b w:val="0"/>
          <w:bCs/>
          <w:sz w:val="24"/>
          <w:szCs w:val="24"/>
          <w:highlight w:val="none"/>
          <w:lang w:val="en-US" w:eastAsia="zh-CN" w:bidi="ar-SA"/>
        </w:rPr>
        <w:t xml:space="preserve">20. 争议解决</w:t>
      </w:r>
      <w:bookmarkEnd w:id="572"/>
      <w:r/>
      <w:bookmarkEnd w:id="557"/>
      <w:r/>
      <w:bookmarkEnd w:id="558"/>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争</w:t>
      </w:r>
      <w:bookmarkEnd w:id="559"/>
      <w:r>
        <w:rPr>
          <w:rFonts w:hint="eastAsia" w:ascii="宋体" w:hAnsi="宋体" w:eastAsia="宋体" w:cs="宋体"/>
          <w:sz w:val="24"/>
          <w:szCs w:val="24"/>
          <w:highlight w:val="none"/>
        </w:rPr>
        <w:t xml:space="preserve">议评审</w:t>
      </w:r>
      <w:r/>
    </w:p>
    <w:p>
      <w:pPr>
        <w:ind w:left="149" w:firstLine="36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20.3.1 争议评审小组的确定</w:t>
      </w:r>
      <w:r/>
    </w:p>
    <w:p>
      <w:pPr>
        <w:ind w:firstLine="480"/>
        <w:jc w:val="left"/>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20.3.2 争议评审小组的决定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20.4仲裁或诉讼</w:t>
      </w:r>
      <w:bookmarkEnd w:id="560"/>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w:t>
      </w:r>
      <w:r>
        <w:rPr>
          <w:rFonts w:hint="eastAsia" w:ascii="宋体" w:hAnsi="宋体" w:eastAsia="宋体" w:cs="宋体"/>
          <w:sz w:val="24"/>
          <w:szCs w:val="24"/>
          <w:highlight w:val="none"/>
        </w:rPr>
        <w:t xml:space="preserve">种方式解决：</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发包人  </w:t>
      </w:r>
      <w:r>
        <w:rPr>
          <w:rFonts w:hint="eastAsia" w:ascii="宋体" w:hAnsi="宋体" w:eastAsia="宋体" w:cs="宋体"/>
          <w:sz w:val="24"/>
          <w:szCs w:val="24"/>
          <w:highlight w:val="none"/>
        </w:rPr>
        <w:t xml:space="preserve">人民法院起诉。</w:t>
      </w:r>
      <w:bookmarkEnd w:id="561"/>
      <w:r/>
      <w:bookmarkEnd w:id="562"/>
      <w:r/>
      <w:bookmarkEnd w:id="563"/>
      <w:r/>
      <w:bookmarkEnd w:id="564"/>
      <w:r/>
      <w:bookmarkEnd w:id="565"/>
      <w:r/>
      <w:bookmarkEnd w:id="566"/>
      <w:r/>
      <w:r/>
    </w:p>
    <w:p>
      <w:pPr>
        <w:numPr>
          <w:ilvl w:val="4"/>
          <w:numId w:val="0"/>
        </w:numPr>
        <w:jc w:val="both"/>
        <w:keepLines/>
        <w:keepNext/>
        <w:pageBreakBefore w:val="0"/>
        <w:spacing w:before="280" w:after="290" w:line="360" w:lineRule="auto"/>
        <w:widowControl w:val="off"/>
        <w:rPr>
          <w:rFonts w:hint="eastAsia" w:ascii="宋体" w:hAnsi="宋体" w:eastAsia="宋体" w:cs="宋体"/>
          <w:b w:val="0"/>
          <w:bCs/>
          <w:sz w:val="24"/>
          <w:szCs w:val="24"/>
          <w:highlight w:val="none"/>
          <w:lang w:val="en-US" w:eastAsia="zh-CN" w:bidi="ar-SA"/>
        </w:rPr>
        <w:outlineLvl w:val="3"/>
      </w:pPr>
      <w:r>
        <w:rPr>
          <w:rFonts w:hint="eastAsia" w:ascii="宋体" w:hAnsi="宋体" w:eastAsia="宋体" w:cs="宋体"/>
          <w:b w:val="0"/>
          <w:bCs/>
          <w:sz w:val="24"/>
          <w:szCs w:val="24"/>
          <w:highlight w:val="none"/>
          <w:lang w:val="en-US" w:eastAsia="zh-CN" w:bidi="ar-SA"/>
        </w:rPr>
        <w:t xml:space="preserve">21、需要调整的合同条款</w:t>
      </w:r>
      <w:r/>
    </w:p>
    <w:p>
      <w:pPr>
        <w:ind w:firstLine="480"/>
        <w:pageBreakBefore w:val="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（在签订合同时如需修改，在本条进行约定，但不得违背招标文件中合同主要条款约定的实质性内容）</w:t>
      </w:r>
      <w:r/>
    </w:p>
    <w:p>
      <w:pPr>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                                                 </w:t>
      </w:r>
      <w:r/>
    </w:p>
    <w:p>
      <w:pPr>
        <w:jc w:val="both"/>
        <w:keepLines/>
        <w:keepNext/>
        <w:pageBreakBefore w:val="0"/>
        <w:spacing w:before="260" w:after="260" w:line="360" w:lineRule="auto"/>
        <w:widowControl w:val="off"/>
        <w:rPr>
          <w:rFonts w:hint="eastAsia" w:ascii="宋体" w:hAnsi="宋体" w:eastAsia="宋体" w:cs="宋体"/>
          <w:b/>
          <w:bCs/>
          <w:sz w:val="24"/>
          <w:szCs w:val="24"/>
          <w:highlight w:val="none"/>
          <w:lang w:val="en-US" w:eastAsia="zh-CN" w:bidi="ar-SA"/>
        </w:rPr>
        <w:outlineLvl w:val="2"/>
      </w:pPr>
      <w:r/>
      <w:bookmarkStart w:id="573" w:name="_Toc366589570"/>
      <w:r>
        <w:rPr>
          <w:rFonts w:hint="eastAsia" w:ascii="宋体" w:hAnsi="宋体" w:eastAsia="宋体" w:cs="宋体"/>
          <w:b/>
          <w:bCs/>
          <w:sz w:val="24"/>
          <w:szCs w:val="24"/>
          <w:highlight w:val="none"/>
          <w:lang w:val="en-US" w:eastAsia="zh-CN" w:bidi="ar-SA"/>
        </w:rPr>
        <w:t xml:space="preserve">十二、附件</w:t>
      </w:r>
      <w:bookmarkEnd w:id="573"/>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协议书附件：</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附件1：承包人承揽工程项目一览表</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专用合同条款附件：</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附件2：发包人供应材料设备一览表</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附件3：工程质量保修书</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附件4：主要建设工程文件目录</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附件5：承包人用于本工程施工的机械设备表</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附件6：承包人主要施工管理人员表</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附件7：履约担保格式</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附件8：预付款担保格式</w:t>
      </w:r>
      <w:r/>
    </w:p>
    <w:p>
      <w:pPr>
        <w:jc w:val="left"/>
        <w:pageBreakBefore w:val="0"/>
        <w:spacing w:line="360" w:lineRule="auto"/>
        <w:rPr>
          <w:rFonts w:hint="eastAsia" w:ascii="宋体" w:hAnsi="宋体" w:eastAsia="宋体" w:cs="宋体"/>
          <w:sz w:val="34"/>
          <w:highlight w:val="none"/>
        </w:rPr>
      </w:pPr>
      <w:r>
        <w:rPr>
          <w:rFonts w:hint="eastAsia" w:ascii="宋体" w:hAnsi="宋体" w:eastAsia="宋体" w:cs="宋体"/>
          <w:sz w:val="24"/>
          <w:szCs w:val="24"/>
          <w:highlight w:val="none"/>
        </w:rPr>
        <w:t xml:space="preserve">附件9：</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担保格式</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附件10：廉政协议</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附件11. 信用承诺书</w:t>
      </w:r>
      <w:r/>
    </w:p>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附件12. 安全生产责任保险承诺书</w:t>
      </w:r>
      <w:r/>
    </w:p>
    <w:p>
      <w:pPr>
        <w:ind w:firstLine="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附件13. 专业设备机械投入承诺书</w:t>
      </w:r>
      <w:r/>
    </w:p>
    <w:p>
      <w:pPr>
        <w:numPr>
          <w:ilvl w:val="0"/>
          <w:numId w:val="0"/>
        </w:numPr>
        <w:jc w:val="both"/>
        <w:keepLines/>
        <w:keepNext/>
        <w:pageBreakBefore w:val="0"/>
        <w:spacing w:before="280" w:after="290" w:line="360" w:lineRule="auto"/>
        <w:widowControl w:val="off"/>
        <w:rPr>
          <w:rFonts w:hint="eastAsia" w:ascii="Arial" w:hAnsi="Arial" w:eastAsia="黑体" w:cs="Times New Roman"/>
          <w:b/>
          <w:bCs/>
          <w:sz w:val="28"/>
          <w:szCs w:val="28"/>
          <w:highlight w:val="none"/>
          <w:lang w:val="en-US" w:eastAsia="zh-CN" w:bidi="ar-SA"/>
        </w:rPr>
        <w:outlineLvl w:val="3"/>
      </w:pPr>
      <w:r>
        <w:rPr>
          <w:rFonts w:hint="eastAsia" w:ascii="Arial" w:hAnsi="Arial" w:eastAsia="黑体" w:cs="Times New Roman"/>
          <w:b/>
          <w:bCs/>
          <w:sz w:val="28"/>
          <w:szCs w:val="28"/>
          <w:highlight w:val="none"/>
          <w:lang w:val="en-US" w:eastAsia="zh-CN" w:bidi="ar-SA"/>
        </w:rPr>
      </w:r>
      <w:r/>
    </w:p>
    <w:p>
      <w:pPr>
        <w:pageBreakBefore w:val="0"/>
        <w:spacing w:line="360" w:lineRule="auto"/>
        <w:rPr>
          <w:rFonts w:hint="eastAsia" w:ascii="宋体" w:hAnsi="宋体" w:eastAsia="宋体" w:cs="宋体"/>
          <w:highlight w:val="none"/>
          <w:lang w:val="en-US" w:eastAsia="zh-CN"/>
        </w:rPr>
        <w:sectPr>
          <w:headerReference w:type="default" r:id="rId9"/>
          <w:headerReference w:type="first" r:id="rId10"/>
          <w:footerReference w:type="default" r:id="rId13"/>
          <w:footerReference w:type="first" r:id="rId14"/>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eastAsia="宋体" w:cs="宋体"/>
          <w:highlight w:val="none"/>
          <w:lang w:val="en-US" w:eastAsia="zh-CN"/>
        </w:rPr>
      </w:r>
      <w:r/>
    </w:p>
    <w:p>
      <w:pPr>
        <w:jc w:val="left"/>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w:t>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承包人承揽工程项目一览表</w:t>
      </w:r>
      <w:r/>
    </w:p>
    <w:tbl>
      <w:tblPr>
        <w:tblStyle w:val="873"/>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单位项目名称</w:t>
            </w:r>
            <w:r/>
          </w:p>
        </w:tc>
        <w:tc>
          <w:tcPr>
            <w:tcBorders>
              <w:top w:val="single" w:color="auto" w:sz="12" w:space="0"/>
              <w:bottom w:val="single" w:color="auto" w:sz="6"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建设规模</w:t>
            </w:r>
            <w:r/>
          </w:p>
        </w:tc>
        <w:tc>
          <w:tcPr>
            <w:tcBorders>
              <w:top w:val="single" w:color="auto" w:sz="12" w:space="0"/>
              <w:bottom w:val="single" w:color="auto" w:sz="6"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结构形式</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层数</w:t>
            </w:r>
            <w:r/>
          </w:p>
        </w:tc>
        <w:tc>
          <w:tcPr>
            <w:tcBorders>
              <w:top w:val="single" w:color="auto" w:sz="12" w:space="0"/>
              <w:bottom w:val="single" w:color="auto" w:sz="6"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生产能力</w:t>
            </w:r>
            <w:r/>
          </w:p>
        </w:tc>
        <w:tc>
          <w:tcPr>
            <w:tcBorders>
              <w:top w:val="single" w:color="auto" w:sz="12" w:space="0"/>
              <w:bottom w:val="single" w:color="auto" w:sz="6"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Borders>
              <w:top w:val="none" w:color="000000" w:sz="4" w:space="0"/>
            </w:tcBorders>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127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8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1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12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spacing w:line="440" w:lineRule="exact"/>
        <w:rPr>
          <w:rFonts w:hint="eastAsia" w:hAnsi="宋体" w:cs="宋体"/>
          <w:b/>
          <w:sz w:val="24"/>
          <w:szCs w:val="24"/>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hint="eastAsia" w:hAnsi="宋体" w:cs="宋体"/>
          <w:b/>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w:t>
      </w:r>
      <w:bookmarkStart w:id="574" w:name="_Toc296503225"/>
      <w:r/>
      <w:bookmarkStart w:id="575" w:name="_Toc296891053"/>
      <w:r/>
      <w:bookmarkStart w:id="576" w:name="_Toc296944564"/>
      <w:r/>
      <w:bookmarkStart w:id="577" w:name="_Toc296346726"/>
      <w:r/>
      <w:bookmarkStart w:id="578" w:name="_Toc296891265"/>
      <w:r/>
      <w:bookmarkStart w:id="579" w:name="_Toc267261692"/>
      <w:r/>
      <w:bookmarkStart w:id="580" w:name="_Toc296347224"/>
      <w:r>
        <w:rPr>
          <w:rFonts w:hint="eastAsia" w:ascii="宋体" w:hAnsi="宋体" w:eastAsia="宋体" w:cs="宋体"/>
          <w:sz w:val="24"/>
          <w:szCs w:val="24"/>
          <w:highlight w:val="none"/>
        </w:rPr>
        <w:t xml:space="preserve">件2：</w:t>
      </w:r>
      <w:bookmarkEnd w:id="574"/>
      <w:r/>
      <w:bookmarkEnd w:id="575"/>
      <w:r/>
      <w:bookmarkEnd w:id="576"/>
      <w:r/>
      <w:bookmarkEnd w:id="577"/>
      <w:r/>
      <w:bookmarkEnd w:id="578"/>
      <w:r/>
      <w:bookmarkEnd w:id="579"/>
      <w:r/>
      <w:bookmarkEnd w:id="580"/>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发包人供应材料设备一览表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材料、</w:t>
            </w:r>
            <w:r/>
          </w:p>
          <w:p>
            <w:pPr>
              <w:ind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单价（元）</w:t>
            </w:r>
            <w:r/>
          </w:p>
        </w:tc>
        <w:tc>
          <w:tcPr>
            <w:tcBorders>
              <w:top w:val="single" w:color="auto" w:sz="12" w:space="0"/>
              <w:bottom w:val="single" w:color="auto" w:sz="6" w:space="0"/>
            </w:tcBorders>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4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4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9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w:t>
      </w:r>
      <w:bookmarkStart w:id="581" w:name="_Toc296944565"/>
      <w:r/>
      <w:bookmarkStart w:id="582" w:name="_Toc296891054"/>
      <w:r/>
      <w:bookmarkStart w:id="583" w:name="_Toc296346727"/>
      <w:r/>
      <w:bookmarkStart w:id="584" w:name="_Toc296503226"/>
      <w:r/>
      <w:bookmarkStart w:id="585" w:name="_Toc267261693"/>
      <w:r/>
      <w:bookmarkStart w:id="586" w:name="_Toc296891266"/>
      <w:r/>
      <w:bookmarkStart w:id="587" w:name="_Toc296347225"/>
      <w:r>
        <w:rPr>
          <w:rFonts w:hint="eastAsia" w:ascii="宋体" w:hAnsi="宋体" w:eastAsia="宋体" w:cs="宋体"/>
          <w:sz w:val="24"/>
          <w:szCs w:val="24"/>
          <w:highlight w:val="none"/>
        </w:rPr>
        <w:t xml:space="preserve">件3：</w:t>
      </w:r>
      <w:bookmarkEnd w:id="581"/>
      <w:r/>
      <w:bookmarkEnd w:id="582"/>
      <w:r/>
      <w:bookmarkEnd w:id="583"/>
      <w:r/>
      <w:bookmarkEnd w:id="584"/>
      <w:r/>
      <w:bookmarkEnd w:id="585"/>
      <w:r/>
      <w:bookmarkEnd w:id="586"/>
      <w:r/>
      <w:bookmarkEnd w:id="587"/>
      <w:r>
        <w:rPr>
          <w:rFonts w:hint="eastAsia" w:ascii="宋体" w:hAnsi="宋体" w:eastAsia="宋体" w:cs="宋体"/>
          <w:sz w:val="24"/>
          <w:szCs w:val="24"/>
          <w:highlight w:val="none"/>
        </w:rPr>
        <w:t xml:space="preserve">    </w:t>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工程质量保修书</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w:t>
      </w:r>
      <w:r>
        <w:rPr>
          <w:rFonts w:hint="eastAsia" w:ascii="宋体" w:hAnsi="宋体" w:eastAsia="宋体" w:cs="宋体"/>
          <w:sz w:val="24"/>
          <w:szCs w:val="24"/>
          <w:highlight w:val="none"/>
          <w:u w:val="single"/>
        </w:rPr>
        <w:t xml:space="preserve">  无锡市园林绿化管理中心  </w:t>
      </w:r>
      <w:r>
        <w:rPr>
          <w:rFonts w:hint="eastAsia" w:ascii="宋体" w:hAnsi="宋体" w:eastAsia="宋体" w:cs="宋体"/>
          <w:sz w:val="24"/>
          <w:szCs w:val="24"/>
          <w:highlight w:val="none"/>
        </w:rPr>
        <w:t xml:space="preserve">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承包人（全称）：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发包人和承包人根据《中华人民共和国建筑法》和《建设工程质量管理条例》，经协商一致就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（工程全称）签订工程质量保修书。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一、工程质量保修范围和内容</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承包人在质量保修期内，按照有关法律规定和合同约定，承担工程质量保修责任。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二、质量保修期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根据《建设工程质量管理条例》及有关规定，工程的质量保修期如下：</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1．地基基础工程和主体结构工程为设计文件规定的工程合理使用年限；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2．屋面防水工程、有防水要求的卫生间、房间和外墙面的防渗为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p>
    <w:p>
      <w:pPr>
        <w:ind w:left="420" w:firstLine="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3．装修工程为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p>
    <w:p>
      <w:pPr>
        <w:ind w:left="420" w:firstLine="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4．电气管线、给排水管道、设备安装工程为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p>
    <w:p>
      <w:pPr>
        <w:ind w:left="420" w:firstLine="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5．供热与供冷系统为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个采暖期、供冷期；</w:t>
      </w:r>
      <w:r/>
    </w:p>
    <w:p>
      <w:pPr>
        <w:ind w:left="420" w:firstLine="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6．住宅小区内的给排水设施、道路等配套工程为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p>
    <w:p>
      <w:pPr>
        <w:ind w:left="420" w:firstLine="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7．其他项目保修期限约定如下：</w:t>
      </w:r>
      <w:r/>
    </w:p>
    <w:p>
      <w:pPr>
        <w:ind w:firstLine="7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质量保修期自工程竣工预验收合格之日起计算。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三、缺陷责任期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工程缺陷责任期暂定为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rPr>
        <w:t xml:space="preserve">个月，缺陷责任期自</w:t>
      </w:r>
      <w:r>
        <w:rPr>
          <w:rFonts w:hint="eastAsia" w:ascii="宋体" w:hAnsi="宋体" w:eastAsia="宋体" w:cs="宋体"/>
          <w:sz w:val="24"/>
          <w:szCs w:val="24"/>
          <w:highlight w:val="none"/>
          <w:u w:val="single"/>
        </w:rPr>
        <w:t xml:space="preserve">工程竣工预验收合格之日起计算至竣工验收合格之日结束</w:t>
      </w:r>
      <w:r>
        <w:rPr>
          <w:rFonts w:hint="eastAsia" w:ascii="宋体" w:hAnsi="宋体" w:eastAsia="宋体" w:cs="宋体"/>
          <w:sz w:val="24"/>
          <w:szCs w:val="24"/>
          <w:highlight w:val="none"/>
        </w:rPr>
        <w:t xml:space="preserve">。单位工程先于全部工程进行验收，单位工程缺陷责任期自单位工程预验收合格之日起算。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四、质量保修责任</w:t>
      </w:r>
      <w:r/>
    </w:p>
    <w:p>
      <w:pPr>
        <w:ind w:left="105" w:firstLine="49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保修范围、内容的项目，承包人应在发生台风、汛期、干旱、雪灾、火情、冰冻、病虫害等应急事件前，按照发包人要求做好预防工作，并在应急事件发生时做好应急抢险工作，并做好后续统计及灾后恢复工作。发生紧急事故需抢修的，承包人在接到事故通知后，应当立即到达事故现场抢修。</w:t>
      </w:r>
      <w:r/>
    </w:p>
    <w:p>
      <w:pPr>
        <w:ind w:left="105" w:firstLine="49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4．质量保修完成后，由发包人组织验收。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五、保修费用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保修费用由造成质量缺陷的责任方承担。</w:t>
      </w:r>
      <w:r/>
    </w:p>
    <w:p>
      <w:pPr>
        <w:ind w:firstLine="600"/>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w:t>
      </w:r>
      <w:r>
        <w:rPr>
          <w:rFonts w:hint="eastAsia" w:ascii="宋体" w:hAnsi="宋体" w:eastAsia="宋体" w:cs="宋体"/>
          <w:sz w:val="24"/>
          <w:szCs w:val="24"/>
          <w:highlight w:val="none"/>
        </w:rPr>
        <w:t xml:space="preserve">、双方约定的其他工程质量保修事项：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发包人(公章)：</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 承包人(公章)：</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委托代理人(签字)：</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r>
        <w:rPr>
          <w:rFonts w:hint="eastAsia" w:ascii="宋体" w:hAnsi="宋体" w:eastAsia="宋体" w:cs="宋体"/>
          <w:sz w:val="24"/>
          <w:szCs w:val="24"/>
          <w:highlight w:val="none"/>
        </w:rPr>
      </w:r>
      <w:r>
        <w:rPr>
          <w:rFonts w:hint="eastAsia" w:ascii="宋体" w:hAnsi="宋体" w:eastAsia="宋体" w:cs="宋体"/>
          <w:sz w:val="24"/>
          <w:szCs w:val="24"/>
          <w:highlight w:val="none"/>
          <w:u w:val="single"/>
        </w:rPr>
        <w:t xml:space="preserve">   </w:t>
      </w:r>
      <w:r/>
    </w:p>
    <w:p>
      <w:pPr>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4"/>
          <w:szCs w:val="24"/>
          <w:highlight w:val="none"/>
        </w:rPr>
        <w:t xml:space="preserve">附件4：</w:t>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主要建设工程文件目录</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76"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3"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7"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w:t>
      </w:r>
      <w:bookmarkStart w:id="588" w:name="_Toc267261698"/>
      <w:r/>
      <w:bookmarkStart w:id="589" w:name="_Toc296346728"/>
      <w:r/>
      <w:bookmarkStart w:id="590" w:name="_Toc296347226"/>
      <w:r/>
      <w:bookmarkStart w:id="591" w:name="_Toc296503227"/>
      <w:r/>
      <w:bookmarkStart w:id="592" w:name="_Toc296891055"/>
      <w:r/>
      <w:bookmarkStart w:id="593" w:name="_Toc296891267"/>
      <w:r/>
      <w:bookmarkStart w:id="594" w:name="_Toc296944566"/>
      <w:r>
        <w:rPr>
          <w:rFonts w:hint="eastAsia" w:ascii="宋体" w:hAnsi="宋体" w:eastAsia="宋体" w:cs="宋体"/>
          <w:sz w:val="24"/>
          <w:szCs w:val="24"/>
          <w:highlight w:val="none"/>
        </w:rPr>
        <w:t xml:space="preserve">件5：</w:t>
      </w:r>
      <w:bookmarkEnd w:id="588"/>
      <w:r/>
      <w:bookmarkEnd w:id="589"/>
      <w:r/>
      <w:bookmarkEnd w:id="590"/>
      <w:r/>
      <w:bookmarkEnd w:id="591"/>
      <w:r/>
      <w:bookmarkEnd w:id="592"/>
      <w:r/>
      <w:bookmarkEnd w:id="593"/>
      <w:r/>
      <w:bookmarkEnd w:id="594"/>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承包人用于本工程施工的机械设备表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6" w:space="0"/>
              <w:bottom w:val="single" w:color="auto" w:sz="6" w:space="0"/>
            </w:tcBorders>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5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5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20"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2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8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1"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w:t>
      </w:r>
      <w:bookmarkStart w:id="595" w:name="_Toc296891056"/>
      <w:r/>
      <w:bookmarkStart w:id="596" w:name="_Toc296347227"/>
      <w:r/>
      <w:bookmarkStart w:id="597" w:name="_Toc296944567"/>
      <w:r/>
      <w:bookmarkStart w:id="598" w:name="_Toc267261699"/>
      <w:r/>
      <w:bookmarkStart w:id="599" w:name="_Toc296346729"/>
      <w:r/>
      <w:bookmarkStart w:id="600" w:name="_Toc296891268"/>
      <w:r/>
      <w:bookmarkStart w:id="601" w:name="_Toc296503228"/>
      <w:r>
        <w:rPr>
          <w:rFonts w:hint="eastAsia" w:ascii="宋体" w:hAnsi="宋体" w:eastAsia="宋体" w:cs="宋体"/>
          <w:sz w:val="24"/>
          <w:szCs w:val="24"/>
          <w:highlight w:val="none"/>
        </w:rPr>
        <w:t xml:space="preserve">件6：</w:t>
      </w:r>
      <w:bookmarkEnd w:id="595"/>
      <w:r/>
      <w:bookmarkEnd w:id="596"/>
      <w:r/>
      <w:bookmarkEnd w:id="597"/>
      <w:r/>
      <w:bookmarkEnd w:id="598"/>
      <w:r/>
      <w:bookmarkEnd w:id="599"/>
      <w:r/>
      <w:bookmarkEnd w:id="600"/>
      <w:r/>
      <w:bookmarkEnd w:id="601"/>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项目主管</w:t>
            </w:r>
            <w:r/>
          </w:p>
        </w:tc>
        <w:tc>
          <w:tcPr>
            <w:tcBorders>
              <w:top w:val="none" w:color="000000" w:sz="4"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tcBorders>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其他人员</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项目负责人</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项目副经理</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技术负责人</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造价管理</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质量管理</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材料管理</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计划管理</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安全管理</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其他人员</w:t>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none" w:color="000000" w:sz="4"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none" w:color="000000" w:sz="4"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none" w:color="000000" w:sz="4" w:space="0"/>
            </w:tcBorders>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single" w:color="auto" w:sz="12" w:space="0"/>
            </w:tcBorders>
            <w:tcW w:w="1418"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single" w:color="auto" w:sz="12" w:space="0"/>
            </w:tcBorders>
            <w:tcW w:w="1134"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bottom w:val="single" w:color="auto" w:sz="12" w:space="0"/>
            </w:tcBorders>
            <w:tcW w:w="4252" w:type="dxa"/>
            <w:vAlign w:val="center"/>
            <w:textDirection w:val="lrTb"/>
            <w:noWrap w:val="false"/>
          </w:tcPr>
          <w:p>
            <w:pPr>
              <w:ind w:left="63" w:right="63"/>
              <w:jc w:val="both"/>
              <w:keepNext/>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Start w:id="602" w:name="_Toc267261701"/>
      <w:r>
        <w:rPr>
          <w:rFonts w:hint="eastAsia" w:ascii="宋体" w:hAnsi="宋体" w:eastAsia="宋体" w:cs="宋体"/>
          <w:sz w:val="24"/>
          <w:szCs w:val="24"/>
          <w:highlight w:val="none"/>
        </w:rPr>
        <w:t xml:space="preserve">附</w:t>
      </w:r>
      <w:bookmarkStart w:id="603" w:name="_Toc296503231"/>
      <w:r/>
      <w:bookmarkStart w:id="604" w:name="_Toc296891059"/>
      <w:r/>
      <w:bookmarkStart w:id="605" w:name="_Toc296944570"/>
      <w:r/>
      <w:bookmarkStart w:id="606" w:name="_Toc296346732"/>
      <w:r/>
      <w:bookmarkStart w:id="607" w:name="_Toc296891271"/>
      <w:r/>
      <w:bookmarkStart w:id="608" w:name="_Toc296347230"/>
      <w:r>
        <w:rPr>
          <w:rFonts w:hint="eastAsia" w:ascii="宋体" w:hAnsi="宋体" w:eastAsia="宋体" w:cs="宋体"/>
          <w:sz w:val="24"/>
          <w:szCs w:val="24"/>
          <w:highlight w:val="none"/>
        </w:rPr>
        <w:t xml:space="preserve">件7：</w:t>
      </w:r>
      <w:bookmarkEnd w:id="602"/>
      <w:r/>
      <w:bookmarkEnd w:id="603"/>
      <w:r/>
      <w:bookmarkEnd w:id="604"/>
      <w:r/>
      <w:bookmarkEnd w:id="605"/>
      <w:r/>
      <w:bookmarkEnd w:id="606"/>
      <w:r/>
      <w:bookmarkEnd w:id="607"/>
      <w:r/>
      <w:bookmarkEnd w:id="608"/>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履约担保</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（发包人名称）：</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（发包人名称，以下简称“发包人”）与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（承包人名称）（以</w:t>
      </w:r>
      <w:r>
        <w:rPr>
          <w:rFonts w:hint="eastAsia" w:ascii="宋体" w:hAnsi="宋体" w:eastAsia="宋体" w:cs="宋体"/>
          <w:sz w:val="24"/>
          <w:szCs w:val="24"/>
          <w:highlight w:val="none"/>
          <w:lang w:eastAsia="zh-CN"/>
        </w:rPr>
        <w:t xml:space="preserve">下简</w:t>
      </w:r>
      <w:r>
        <w:rPr>
          <w:rFonts w:hint="eastAsia" w:ascii="宋体" w:hAnsi="宋体" w:eastAsia="宋体" w:cs="宋体"/>
          <w:sz w:val="24"/>
          <w:szCs w:val="24"/>
          <w:highlight w:val="none"/>
        </w:rPr>
        <w:t xml:space="preserve">称“承包人”）于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（项目名称）施工及有关事项协商一致共同签订《建设工程施工合同》。我方愿意无条件地、不可撤销地就承包人履行与你方签订的合同，向你方提供连带责任担保。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担保金额人民币（大写）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担保有效期自你方与承包人签订的合同生效之日起至你方签发或应签发工程接收证书之日止。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你方和承包人按合同约定变更合同时，我方承担本担保规定的义务不变。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因本保函发生的纠纷，可由双方协商解决，协商不成的，任何一方均可提请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仲裁委员会仲裁。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本保函自我方法定代表人（或其授权代理人）签字并加盖公章之日起生效。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担 保 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p>
    <w:p>
      <w:pPr>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left="1519" w:hanging="151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left="1519" w:hanging="151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w:t>
      </w:r>
      <w:bookmarkStart w:id="609" w:name="_Toc296891272"/>
      <w:r/>
      <w:bookmarkStart w:id="610" w:name="_Toc267261702"/>
      <w:r/>
      <w:bookmarkStart w:id="611" w:name="_Toc296891060"/>
      <w:r/>
      <w:bookmarkStart w:id="612" w:name="_Toc296346733"/>
      <w:r/>
      <w:bookmarkStart w:id="613" w:name="_Toc296944571"/>
      <w:r/>
      <w:bookmarkStart w:id="614" w:name="_Toc296347231"/>
      <w:r/>
      <w:bookmarkStart w:id="615" w:name="_Toc296503232"/>
      <w:r>
        <w:rPr>
          <w:rFonts w:hint="eastAsia" w:ascii="宋体" w:hAnsi="宋体" w:eastAsia="宋体" w:cs="宋体"/>
          <w:sz w:val="24"/>
          <w:szCs w:val="24"/>
          <w:highlight w:val="none"/>
        </w:rPr>
        <w:t xml:space="preserve">件8 ：</w:t>
      </w:r>
      <w:bookmarkEnd w:id="609"/>
      <w:r/>
      <w:bookmarkEnd w:id="610"/>
      <w:r/>
      <w:bookmarkEnd w:id="611"/>
      <w:r/>
      <w:bookmarkEnd w:id="612"/>
      <w:r/>
      <w:bookmarkEnd w:id="613"/>
      <w:r/>
      <w:bookmarkEnd w:id="614"/>
      <w:r/>
      <w:bookmarkEnd w:id="615"/>
      <w:r/>
      <w:r/>
    </w:p>
    <w:p>
      <w:pPr>
        <w:jc w:val="center"/>
        <w:spacing w:before="156" w:after="156"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（发包人名称）：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（承包人名称）（以下称“承包人”）与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（发包人名称）（以下简称“发包人”）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日签订的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（项目名称）《建设工程施工合同》，承包人按约定的金额向你方提交一份预付款担保，即有权得到你方支付相等金额的预付款。我方愿意就你方提供给承包人的预付款为承包人提供连带责任担保。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担保金额人民币（大写）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担保有效期自预付款支付给承包人起生效，至你方签发的进度款支付证书说明已完全扣清止。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你方和承包人按合同约定变更合同时，我方承担本保函规定的义务不变。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因本保函发生的纠纷，可由双方协商解决，协商不成的，任何一方均可提请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仲裁委员会仲裁。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本保函自我方法定代表人（或其授权代理人）签字并加盖公章之日起生效。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担保人：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4"/>
          <w:szCs w:val="24"/>
          <w:highlight w:val="none"/>
        </w:rPr>
        <w:t xml:space="preserve">附</w:t>
      </w:r>
      <w:bookmarkStart w:id="616" w:name="_Toc296503233"/>
      <w:r/>
      <w:bookmarkStart w:id="617" w:name="_Toc296346734"/>
      <w:r/>
      <w:bookmarkStart w:id="618" w:name="_Toc296891273"/>
      <w:r/>
      <w:bookmarkStart w:id="619" w:name="_Toc296944572"/>
      <w:r/>
      <w:bookmarkStart w:id="620" w:name="_Toc296891061"/>
      <w:r/>
      <w:bookmarkStart w:id="621" w:name="_Toc296347232"/>
      <w:r>
        <w:rPr>
          <w:rFonts w:hint="eastAsia" w:ascii="宋体" w:hAnsi="宋体" w:eastAsia="宋体" w:cs="宋体"/>
          <w:sz w:val="24"/>
          <w:szCs w:val="24"/>
          <w:highlight w:val="none"/>
        </w:rPr>
        <w:t xml:space="preserve">件9:  </w:t>
      </w:r>
      <w:bookmarkEnd w:id="616"/>
      <w:r/>
      <w:bookmarkEnd w:id="617"/>
      <w:r/>
      <w:bookmarkEnd w:id="618"/>
      <w:r/>
      <w:bookmarkEnd w:id="619"/>
      <w:r/>
      <w:bookmarkEnd w:id="620"/>
      <w:r/>
      <w:bookmarkEnd w:id="621"/>
      <w:r/>
      <w:r/>
    </w:p>
    <w:p>
      <w:pPr>
        <w:jc w:val="center"/>
        <w:spacing w:before="156" w:after="15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支付担保</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（承包人）：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鉴于你方作为承包人已经与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（发包人名称）（以下称“发包人”）于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日签订了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（项目名称）《建设工程施工合同》（以下称“主合同”），应发包人的申请，我方愿就发包人履行主合同约定的工程款支付义务以保证的方式向你方提供如下担保：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一、保证的范围及保证金额</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我方的保证范围是主合同约定的工程款。</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本保函所称主合同约定的工程款是指主合同约定的除工程质量保证金以外的合同价款。</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我方保证的金额是主合同约定的工程款的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%，数额最高不超过人民币元（大写：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二、保证的方式及保证期间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我方保证的方式为：连带责任保证。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我方保证的期间为：自本合同生效之日起至主合同约定的工程款支付完毕之日后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你方与发包人协议变更工程款支付日期的，经我方书面同意后，保证期间按照变更后的支付日期做相应调整。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三、承担保证责任的形式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我方承担保证责任的形式是代为支付。发包人未按主合同约定向你方支付工程款的，由我方在保证金额内代为支付。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四、代偿的安排</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我方收到你方的书面索赔通知及相应的证明材料后７天内无条件支付。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五、保证责任的解除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在本保函承诺的保证期间内，你方未书面向我方主张保证责任的，自保证期间届满次日起，我方保证责任解除。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发包人按主合同约定履行了工程款的全部支付义务的，自本保函承诺的保证期间届满次日起，我方保证责任解除。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我方按照本保函向你方履行保证责任所支付金额达到本保函保证金额时，自我方向你方支付（支付款项从我方账户划出）之日起，保证责任即解除。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按照法律法规的规定或出现应解除我方保证责任的其他情形的，我方在本保函项下的保证责任亦解除。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我方解除保证责任后，你方应自我方保证责任解除之日起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个工作日内，将本保函原件返还我方。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六、免责条款</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因你方违约致使发包人不能履行义务的，我方不承担保证责任。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依照法律法规的规定或你方与发包人的另行约定，免除发包人部分或全部义务的，我方亦免除其相应的保证责任。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因不可抗力造成发包人不能履行义务的，我方不承担保证责任。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七、争议解决</w:t>
      </w:r>
      <w:r/>
    </w:p>
    <w:p>
      <w:pPr>
        <w:ind w:firstLine="48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因本保函或本保函相关事项发生的纠纷，可由双方协商解决，协商不成的，按下列第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仲裁委员会申请仲裁；</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人民法院起诉。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八、保函的生效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本保函自我方法定代表人（或其授权代理人）签字并加盖公章之日起生效。</w:t>
      </w:r>
      <w:r/>
    </w:p>
    <w:p>
      <w:pPr>
        <w:ind w:right="60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担保人：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w:t>
      </w:r>
      <w:r/>
    </w:p>
    <w:p>
      <w:pPr>
        <w:ind w:right="12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p>
    <w:p>
      <w:pPr>
        <w:ind w:right="150"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w:t>
      </w:r>
      <w:r/>
    </w:p>
    <w:p>
      <w:pPr>
        <w:jc w:val="center"/>
        <w:pageBreakBefore w:val="0"/>
        <w:spacing w:line="360" w:lineRule="auto"/>
        <w:widowControl/>
        <w:rPr>
          <w:rFonts w:hint="eastAsia" w:ascii="Calibri" w:hAnsi="Calibri" w:eastAsia="宋体" w:cs="宋体"/>
          <w:b/>
          <w:color w:val="auto"/>
          <w:sz w:val="32"/>
          <w:szCs w:val="32"/>
          <w:highlight w:val="none"/>
        </w:rPr>
      </w:pPr>
      <w:r>
        <w:rPr>
          <w:rFonts w:hint="eastAsia" w:ascii="Calibri" w:hAnsi="Calibri" w:eastAsia="宋体" w:cs="宋体"/>
          <w:b/>
          <w:color w:val="auto"/>
          <w:sz w:val="32"/>
          <w:szCs w:val="32"/>
          <w:highlight w:val="none"/>
        </w:rPr>
        <w:t xml:space="preserve">廉</w:t>
      </w:r>
      <w:r>
        <w:rPr>
          <w:rFonts w:hint="eastAsia" w:ascii="Calibri" w:hAnsi="Calibri" w:eastAsia="宋体" w:cs="宋体"/>
          <w:b/>
          <w:color w:val="auto"/>
          <w:sz w:val="32"/>
          <w:szCs w:val="32"/>
          <w:highlight w:val="none"/>
          <w:lang w:eastAsia="zh-CN"/>
        </w:rPr>
        <w:t xml:space="preserve">政</w:t>
      </w:r>
      <w:r>
        <w:rPr>
          <w:rFonts w:hint="eastAsia" w:ascii="Calibri" w:hAnsi="Calibri" w:eastAsia="宋体" w:cs="宋体"/>
          <w:b/>
          <w:color w:val="auto"/>
          <w:sz w:val="32"/>
          <w:szCs w:val="32"/>
          <w:highlight w:val="none"/>
        </w:rPr>
        <w:t xml:space="preserve">协议书</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项目名称：</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项目地址：无锡市</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委托单位名称：无锡市市政设施管理中心（简称发包方）</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承包单位名称：                      （简称承包方）</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为加强本项目实施中的廉</w:t>
      </w:r>
      <w:r>
        <w:rPr>
          <w:rFonts w:hint="eastAsia" w:ascii="Calibri" w:hAnsi="Calibri" w:eastAsia="宋体" w:cs="Times New Roman"/>
          <w:color w:val="auto"/>
          <w:sz w:val="24"/>
          <w:szCs w:val="24"/>
          <w:highlight w:val="none"/>
          <w:lang w:eastAsia="zh-CN"/>
        </w:rPr>
        <w:t xml:space="preserve">政</w:t>
      </w:r>
      <w:r>
        <w:rPr>
          <w:rFonts w:hint="eastAsia" w:ascii="Calibri" w:hAnsi="Calibri" w:eastAsia="宋体" w:cs="Times New Roman"/>
          <w:color w:val="auto"/>
          <w:sz w:val="24"/>
          <w:szCs w:val="24"/>
          <w:highlight w:val="none"/>
        </w:rPr>
        <w:t xml:space="preserve">建设，规范项目实施有关各方的各项活动，防止发生各种谋取不正当利益的违法违纪行为，保护国家、集体和当事人的合法权益，根据国家有关项目建设的法律法规和</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建设规定，特订立本</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协议。</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同时面向社会接受监督，发包方监督部门将认真履行监督执纪问责职责，对违法违纪问题发现一起、查处一起，并追究相关责任。（举报电话0510-81823671，电子邮箱地址：szyljzf@163.com）</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第一条  发包方工作人员在项目的事前、事中、事后应遵守以下规定。</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（一）不准向承包方索要或接受回扣、礼金、有价证券、贵重物品和好处费、感谢费等；不准在承包方报销任何应由发包方或其工作人员个人支付的费用。</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（二）不准参加承包方安排的超标准宴请及健身、娱乐等活动；不得接受承包方</w:t>
      </w:r>
      <w:r>
        <w:rPr>
          <w:rFonts w:hint="eastAsia" w:ascii="Calibri" w:hAnsi="Calibri" w:eastAsia="宋体" w:cs="Times New Roman"/>
          <w:color w:val="auto"/>
          <w:sz w:val="24"/>
          <w:szCs w:val="24"/>
          <w:highlight w:val="none"/>
          <w:lang w:eastAsia="zh-CN"/>
        </w:rPr>
        <w:t xml:space="preserve">提供的通信</w:t>
      </w:r>
      <w:r>
        <w:rPr>
          <w:rFonts w:hint="eastAsia" w:ascii="Calibri" w:hAnsi="Calibri" w:eastAsia="宋体" w:cs="Times New Roman"/>
          <w:color w:val="auto"/>
          <w:sz w:val="24"/>
          <w:szCs w:val="24"/>
          <w:highlight w:val="none"/>
        </w:rPr>
        <w:t xml:space="preserve">工具、交通工具、高档办公用品等。</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（三）不准要求、暗示和接受承包方为个人装修住房、婚丧嫁娶、配偶子女工作安排以及出国（境）、旅游等提供方便。</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（四）配偶、子女不得参与承包方承包本项目有关的服务、设备材料供应、项目分包、劳务等经济活动。</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（五）不得以任何理由向承包方推荐分包单位或要求承包方购买项目协议规定以外的材料、设备和服务等。</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（七）</w:t>
      </w:r>
      <w:r>
        <w:rPr>
          <w:rFonts w:hint="eastAsia" w:ascii="Calibri" w:hAnsi="Calibri" w:eastAsia="宋体" w:cs="Times New Roman"/>
          <w:color w:val="auto"/>
          <w:sz w:val="24"/>
          <w:szCs w:val="24"/>
          <w:highlight w:val="none"/>
          <w:lang w:eastAsia="zh-CN"/>
        </w:rPr>
        <w:t xml:space="preserve">其他</w:t>
      </w:r>
      <w:r>
        <w:rPr>
          <w:rFonts w:hint="eastAsia" w:ascii="Calibri" w:hAnsi="Calibri" w:eastAsia="宋体" w:cs="Times New Roman"/>
          <w:color w:val="auto"/>
          <w:sz w:val="24"/>
          <w:szCs w:val="24"/>
          <w:highlight w:val="none"/>
        </w:rPr>
        <w:t xml:space="preserve">与项目有关的党风</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建设和预防腐败的规定。</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第二条  承包方应与发包方保持正常的业务交往，按照有关法律法规和程序开展业务工作，严格执行项目建设的有关政策、法规，特别是有关强制性标准和规范，并遵守以下规定：</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（一）不准以任何理由向发包方及其工作人员行贿或赠送礼金、有价证券、贵重物品等。</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（二）不准以任何名义为发包方及其工作人员报销应由发包方或个人支付的费用。</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（三）不准以任何理由安排发包方工作人员参加超标准宴请及健身、娱乐和旅游等活动。</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（四）不准为发包方及其工作人员购置或提供通讯工具、交通工具、高档办公用品和装修住房等。</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（五）严格执行“亮灯警告”制度，严格遵守各项廉政规定，不得安排全局上下任何干部职工参加宴请、旅游、娱乐等活动，不得以任何形式赠送礼品、礼金等。合同期内一旦发生上述不</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行为被查实，情节较轻的，亮“黄灯”，按照协议约定在考核或验收中扣除涉案金额的10倍以示惩戒，并由局党组约谈公司实际控制人；情节较重、造成重大影响或者合同期内再次发生不</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行为被查实的，亮“红灯”，除扣除涉案金额的10倍外，将相关情况通报市财政局政府采购处和信用评价单位依法依规予以处理；凡被亮灯的项目，接受局党组的重点督办，确保制度执行到位。</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（六）</w:t>
      </w:r>
      <w:r>
        <w:rPr>
          <w:rFonts w:hint="eastAsia" w:ascii="Calibri" w:hAnsi="Calibri" w:eastAsia="宋体" w:cs="Times New Roman"/>
          <w:color w:val="auto"/>
          <w:sz w:val="24"/>
          <w:szCs w:val="24"/>
          <w:highlight w:val="none"/>
          <w:lang w:eastAsia="zh-CN"/>
        </w:rPr>
        <w:t xml:space="preserve">其他有关的</w:t>
      </w:r>
      <w:r>
        <w:rPr>
          <w:rFonts w:hint="eastAsia" w:ascii="Calibri" w:hAnsi="Calibri" w:eastAsia="宋体" w:cs="Times New Roman"/>
          <w:color w:val="auto"/>
          <w:sz w:val="24"/>
          <w:szCs w:val="24"/>
          <w:highlight w:val="none"/>
        </w:rPr>
        <w:t xml:space="preserve">党风</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建设和预防腐败的规定。</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第三条  发包方、承包方双方不得违反项目管理规章制度，不得为获取不正当利益，就项目费用、材料供应、工程量变动、项目验收、项目质量等问题相互串通，损害国家、集体或他人利益。</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第四条  发包方、承包方双方发现对方在业务活动中有违反本协议行为的，有及时提醒对方纠正的权利和义务。情节严重的，有向对方上级有关部门举报的权利。</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第五条  发包方监督部门对发包方、承包方双方履行协议的情况进行监督，其职责是：</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（一）严格依据国家</w:t>
      </w:r>
      <w:r>
        <w:rPr>
          <w:rFonts w:hint="eastAsia" w:ascii="Calibri" w:hAnsi="Calibri" w:eastAsia="宋体" w:cs="Times New Roman"/>
          <w:color w:val="auto"/>
          <w:sz w:val="24"/>
          <w:szCs w:val="24"/>
          <w:highlight w:val="none"/>
          <w:lang w:eastAsia="zh-CN"/>
        </w:rPr>
        <w:t xml:space="preserve">法律法规</w:t>
      </w:r>
      <w:r>
        <w:rPr>
          <w:rFonts w:hint="eastAsia" w:ascii="Calibri" w:hAnsi="Calibri" w:eastAsia="宋体" w:cs="Times New Roman"/>
          <w:color w:val="auto"/>
          <w:sz w:val="24"/>
          <w:szCs w:val="24"/>
          <w:highlight w:val="none"/>
        </w:rPr>
        <w:t xml:space="preserve">及党和政府的政策、制度、规定和党纪、政纪条规，对发包方、承包方双方遵纪守法情况进行监督检查；</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（二）协助和指导发包方、承包方双方抓好</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建设，对发包方、承包方双方工作人员有针对性地进行</w:t>
      </w:r>
      <w:r>
        <w:rPr>
          <w:rFonts w:hint="eastAsia" w:ascii="Calibri" w:hAnsi="Calibri" w:eastAsia="宋体" w:cs="Times New Roman"/>
          <w:color w:val="auto"/>
          <w:sz w:val="24"/>
          <w:szCs w:val="24"/>
          <w:highlight w:val="none"/>
          <w:lang w:eastAsia="zh-CN"/>
        </w:rPr>
        <w:t xml:space="preserve">廉政</w:t>
      </w:r>
      <w:r>
        <w:rPr>
          <w:rFonts w:hint="eastAsia" w:ascii="Calibri" w:hAnsi="Calibri" w:eastAsia="宋体" w:cs="Times New Roman"/>
          <w:color w:val="auto"/>
          <w:sz w:val="24"/>
          <w:szCs w:val="24"/>
          <w:highlight w:val="none"/>
        </w:rPr>
        <w:t xml:space="preserve">教育。</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第六条  违约责任</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一）发包方工作人员有违反本协议第一条、第三条行为的，发包方监督部门按照管理权限，依据有关法律法规和规定给予党纪、政纪处分或组织处理；涉嫌犯罪的，移交司法机关追究刑事责任；造成经济损失的，</w:t>
      </w:r>
      <w:r>
        <w:rPr>
          <w:rFonts w:hint="eastAsia" w:ascii="Calibri" w:hAnsi="Calibri" w:eastAsia="宋体" w:cs="Times New Roman"/>
          <w:color w:val="auto"/>
          <w:sz w:val="24"/>
          <w:szCs w:val="24"/>
          <w:highlight w:val="none"/>
          <w:lang w:eastAsia="zh-CN"/>
        </w:rPr>
        <w:t xml:space="preserve">应当</w:t>
      </w:r>
      <w:r>
        <w:rPr>
          <w:rFonts w:hint="eastAsia" w:ascii="Calibri" w:hAnsi="Calibri" w:eastAsia="宋体" w:cs="Times New Roman"/>
          <w:color w:val="auto"/>
          <w:sz w:val="24"/>
          <w:szCs w:val="24"/>
          <w:highlight w:val="none"/>
        </w:rPr>
        <w:t xml:space="preserve">予以赔偿。</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二）承包方工作人员有违反本协议第二条、第三条行为的，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（三）承包方将部分辅助项目依法分包的，承包方与分包单位就协议的履行承担连带责任。</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第七条  本协议作为合同的附件，与主合同具有同等法律效力，本协议自双方法定代表人（负责人）或授权代表签章并加盖双方单位公章后生效。</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发包方（盖章）：</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法定代表人（责任人）或授权代表（签章）：</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承包方（盖章）：</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法定代表人（责任人）或授权代表（签章）：</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60" w:firstLine="72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jc w:val="left"/>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br w:type="page" w:clear="all"/>
      </w:r>
      <w:r>
        <w:rPr>
          <w:rFonts w:hint="eastAsia" w:ascii="宋体" w:hAnsi="宋体" w:eastAsia="宋体" w:cs="宋体"/>
          <w:sz w:val="24"/>
          <w:szCs w:val="24"/>
          <w:highlight w:val="none"/>
          <w:lang w:val="en-US" w:eastAsia="zh-CN" w:bidi="ar-SA"/>
        </w:rPr>
        <w:t xml:space="preserve">附件11：</w:t>
      </w:r>
      <w:r/>
    </w:p>
    <w:p>
      <w:pPr>
        <w:ind w:firstLine="420"/>
        <w:jc w:val="center"/>
        <w:spacing w:line="312"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420"/>
        <w:jc w:val="center"/>
        <w:spacing w:line="312"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信用承诺书（格式）</w:t>
      </w:r>
      <w:r/>
    </w:p>
    <w:p>
      <w:pPr>
        <w:ind w:left="1050" w:firstLine="420"/>
        <w:jc w:val="left"/>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为推进社会信用体系建设，维护良好的市场营商环境，加强企业诚信自律，建立诚信经营长效机制，我单位公开向社会承诺:</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一、以诚实守信为荣，以见利忘义为耻，将诚信经营成为全体员工的共同理念和行为准则。</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二、严格执行国家有关的法律法规，依法经营，自觉维护市场经营活动正常秩序，不违背社会公德，不生产销售假冒伪劣商品。</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三、遵循公平、公开、公正的竞争原则，与同行保持良好的竞争与合作，不搞不正当竞争。</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四、严格履行承诺，信守合同，不欺诈、哄骗和损害消费者与用户利益。</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五、坚持以人为本，完善服务体系，及时合理地解决消费者与用户投诉。</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六、加强企业管理，做好教育培训，培育诚信经营的企业文化。</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七、自觉参加各类公益活动，积极承担社会责任。</w:t>
      </w:r>
      <w:r/>
    </w:p>
    <w:p>
      <w:pPr>
        <w:ind w:firstLine="420"/>
        <w:jc w:val="both"/>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八、自愿接受社会各界对本单位经营活动的监督。如有违法或失信行为，将自觉接受监督部门的惩戒和约束。</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0"/>
        <w:spacing w:before="72" w:after="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0"/>
        <w:spacing w:before="72" w:after="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righ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投标供应商：                （公章）</w:t>
      </w:r>
      <w:r/>
    </w:p>
    <w:p>
      <w:pPr>
        <w:ind w:right="480" w:firstLine="480"/>
        <w:jc w:val="righ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法定代表人签名或盖章：            </w:t>
      </w:r>
      <w:r/>
    </w:p>
    <w:p>
      <w:pPr>
        <w:ind w:firstLine="51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57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34"/>
          <w:highlight w:val="none"/>
        </w:rPr>
      </w:pPr>
      <w:r>
        <w:rPr>
          <w:rFonts w:hint="eastAsia" w:ascii="宋体" w:hAnsi="宋体" w:eastAsia="宋体" w:cs="宋体"/>
          <w:sz w:val="24"/>
          <w:szCs w:val="24"/>
          <w:highlight w:val="none"/>
        </w:rPr>
        <w:t xml:space="preserve">附件12：</w:t>
      </w:r>
      <w:r/>
    </w:p>
    <w:p>
      <w:pPr>
        <w:ind w:firstLine="420"/>
        <w:jc w:val="center"/>
        <w:spacing w:line="312"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安全生产责任保险承诺书（格式）</w:t>
      </w:r>
      <w:r/>
    </w:p>
    <w:p>
      <w:pPr>
        <w:ind w:left="1050" w:firstLine="420"/>
        <w:jc w:val="left"/>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我公司承诺：若中标，在收到中标通知书（中标公告发布）之日起一个月内提交符合招标文件要求缴纳的建筑施工行业安全生产责任保险保单原件。建筑施工行业安全生产责任保险保障范围为：B 档：每次事故/累计赔偿限额为 1000 万元（含人员伤亡和第三者财产损失）。其中，人员伤亡部分为每次事故每人赔偿限额50万元，医疗费用赔偿限额10万元，第三者财产部分的财产损失赔付不超过保单累计赔偿限额的30%（人员伤亡部分赔偿金额达到1000万元的，不再赔付第三者财产损失）；一个月内未提供的，视为我公司主动放弃中标资格。</w:t>
      </w:r>
      <w:r/>
    </w:p>
    <w:p>
      <w:pPr>
        <w:ind w:firstLine="480"/>
        <w:spacing w:before="72" w:after="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righ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投标供应商：                （公章）</w:t>
      </w:r>
      <w:r/>
    </w:p>
    <w:p>
      <w:pPr>
        <w:ind w:right="480" w:firstLine="480"/>
        <w:jc w:val="right"/>
        <w:spacing w:before="24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法定代表人签名或盖章：            </w:t>
      </w:r>
      <w:r/>
    </w:p>
    <w:p>
      <w:pPr>
        <w:ind w:firstLine="51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5793"/>
        <w:spacing w:line="360" w:lineRule="auto"/>
        <w:rPr>
          <w:rFonts w:hint="eastAsia" w:hAnsi="宋体" w:cs="宋体"/>
          <w:bCs/>
          <w:sz w:val="24"/>
          <w:szCs w:val="24"/>
          <w:highlight w:val="none"/>
        </w:rPr>
        <w:sectPr>
          <w:headerReference w:type="default" r:id="rId11"/>
          <w:footerReference w:type="default" r:id="rId15"/>
          <w:footnotePr/>
          <w:endnotePr/>
          <w:type w:val="nextPage"/>
          <w:pgSz w:w="11906" w:h="16838" w:orient="portrait"/>
          <w:pgMar w:top="1440" w:right="1287" w:bottom="1440" w:left="1440" w:header="851" w:footer="992" w:gutter="0"/>
          <w:cols w:num="1" w:sep="0" w:space="720" w:equalWidth="1"/>
          <w:docGrid w:linePitch="360"/>
        </w:sectPr>
      </w:pPr>
      <w:r>
        <w:rPr>
          <w:rFonts w:hint="eastAsia" w:ascii="宋体" w:hAnsi="宋体" w:eastAsia="宋体" w:cs="宋体"/>
          <w:sz w:val="24"/>
          <w:szCs w:val="24"/>
          <w:highlight w:val="none"/>
        </w:rPr>
        <w:t xml:space="preserve">日期：     年   月    </w:t>
      </w:r>
      <w:r/>
    </w:p>
    <w:p>
      <w:pPr>
        <w:rPr>
          <w:rFonts w:hint="eastAsia" w:ascii="宋体" w:hAnsi="宋体" w:eastAsia="宋体" w:cs="宋体"/>
          <w:sz w:val="34"/>
          <w:highlight w:val="none"/>
        </w:rPr>
      </w:pPr>
      <w:r>
        <w:rPr>
          <w:rFonts w:hint="eastAsia" w:ascii="宋体" w:hAnsi="宋体" w:eastAsia="宋体" w:cs="宋体"/>
          <w:sz w:val="24"/>
          <w:szCs w:val="24"/>
          <w:highlight w:val="none"/>
        </w:rPr>
        <w:t xml:space="preserve">附件13：</w:t>
      </w:r>
      <w:r/>
    </w:p>
    <w:p>
      <w:pPr>
        <w:ind w:firstLine="420"/>
        <w:jc w:val="center"/>
        <w:spacing w:line="312"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专业设备机械投入承诺书（格式）</w:t>
      </w:r>
      <w:r/>
    </w:p>
    <w:p>
      <w:pPr>
        <w:numPr>
          <w:ilvl w:val="4"/>
          <w:numId w:val="0"/>
        </w:numPr>
        <w:ind w:firstLine="480"/>
        <w:jc w:val="both"/>
        <w:keepLines/>
        <w:keepNext/>
        <w:spacing w:before="280" w:after="290" w:line="360" w:lineRule="auto"/>
        <w:widowControl w:val="off"/>
        <w:rPr>
          <w:rFonts w:hint="eastAsia" w:ascii="宋体" w:hAnsi="宋体" w:eastAsia="宋体" w:cs="宋体"/>
          <w:b w:val="0"/>
          <w:bCs w:val="0"/>
          <w:sz w:val="24"/>
          <w:szCs w:val="24"/>
          <w:highlight w:val="none"/>
          <w:lang w:val="en-US" w:eastAsia="zh-CN" w:bidi="ar-SA"/>
        </w:rPr>
        <w:outlineLvl w:val="3"/>
      </w:pPr>
      <w:r>
        <w:rPr>
          <w:rFonts w:hint="eastAsia" w:ascii="宋体" w:hAnsi="宋体" w:eastAsia="宋体" w:cs="宋体"/>
          <w:b w:val="0"/>
          <w:bCs w:val="0"/>
          <w:sz w:val="24"/>
          <w:szCs w:val="24"/>
          <w:highlight w:val="none"/>
          <w:lang w:val="en-US" w:eastAsia="zh-CN" w:bidi="ar-SA"/>
        </w:rPr>
        <w:t xml:space="preserve">为保证</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（项目名称）顺利进行</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我单位承诺：一旦我单位中标，在项目实施过程中投入自有（或租赁）专业设备机械及相关配套操作人员。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我单位</w:t>
      </w:r>
      <w:r>
        <w:rPr>
          <w:rFonts w:ascii="宋体" w:hAnsi="宋体" w:eastAsia="宋体" w:cs="宋体"/>
          <w:sz w:val="24"/>
          <w:szCs w:val="24"/>
          <w:highlight w:val="none"/>
        </w:rPr>
        <w:t xml:space="preserve">就自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在工程进行工程中产生的一切问题作出承诺如下:</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一、</w:t>
      </w:r>
      <w:r>
        <w:rPr>
          <w:rFonts w:hint="eastAsia" w:ascii="宋体" w:hAnsi="宋体" w:eastAsia="宋体" w:cs="宋体"/>
          <w:sz w:val="24"/>
          <w:szCs w:val="24"/>
          <w:highlight w:val="none"/>
        </w:rPr>
        <w:t xml:space="preserve">我单位</w:t>
      </w:r>
      <w:r>
        <w:rPr>
          <w:rFonts w:ascii="宋体" w:hAnsi="宋体" w:eastAsia="宋体" w:cs="宋体"/>
          <w:sz w:val="24"/>
          <w:szCs w:val="24"/>
          <w:highlight w:val="none"/>
        </w:rPr>
        <w:t xml:space="preserve">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必须为合格产品，必须符合国家相关技术质量规范标准和国家相关安全规范标准。</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二、在进行</w:t>
      </w:r>
      <w:r>
        <w:rPr>
          <w:rFonts w:hint="eastAsia" w:ascii="宋体" w:hAnsi="宋体" w:eastAsia="宋体" w:cs="宋体"/>
          <w:sz w:val="24"/>
          <w:szCs w:val="24"/>
          <w:highlight w:val="none"/>
        </w:rPr>
        <w:t xml:space="preserve">相关</w:t>
      </w:r>
      <w:r>
        <w:rPr>
          <w:rFonts w:ascii="宋体" w:hAnsi="宋体" w:eastAsia="宋体" w:cs="宋体"/>
          <w:sz w:val="24"/>
          <w:szCs w:val="24"/>
          <w:highlight w:val="none"/>
        </w:rPr>
        <w:t xml:space="preserve">作业前</w:t>
      </w:r>
      <w:r>
        <w:rPr>
          <w:rFonts w:hint="eastAsia" w:ascii="宋体" w:hAnsi="宋体" w:eastAsia="宋体" w:cs="宋体"/>
          <w:sz w:val="24"/>
          <w:szCs w:val="24"/>
          <w:highlight w:val="none"/>
        </w:rPr>
        <w:t xml:space="preserve">，我方</w:t>
      </w:r>
      <w:r>
        <w:rPr>
          <w:rFonts w:ascii="宋体" w:hAnsi="宋体" w:eastAsia="宋体" w:cs="宋体"/>
          <w:sz w:val="24"/>
          <w:szCs w:val="24"/>
          <w:highlight w:val="none"/>
        </w:rPr>
        <w:t xml:space="preserve">负责提供</w:t>
      </w:r>
      <w:r>
        <w:rPr>
          <w:rFonts w:hint="eastAsia" w:ascii="宋体" w:hAnsi="宋体" w:eastAsia="宋体" w:cs="宋体"/>
          <w:sz w:val="24"/>
          <w:szCs w:val="24"/>
          <w:highlight w:val="none"/>
        </w:rPr>
        <w:t xml:space="preserve">专业设备机械的自购发票及行驶证或专业设备机械</w:t>
      </w:r>
      <w:r>
        <w:rPr>
          <w:rFonts w:ascii="宋体" w:hAnsi="宋体" w:eastAsia="宋体" w:cs="宋体"/>
          <w:sz w:val="24"/>
          <w:szCs w:val="24"/>
          <w:highlight w:val="none"/>
        </w:rPr>
        <w:t xml:space="preserve">租赁合同</w:t>
      </w:r>
      <w:r>
        <w:rPr>
          <w:rFonts w:hint="eastAsia" w:ascii="宋体" w:hAnsi="宋体" w:eastAsia="宋体" w:cs="宋体"/>
          <w:sz w:val="24"/>
          <w:szCs w:val="24"/>
          <w:highlight w:val="none"/>
        </w:rPr>
        <w:t xml:space="preserve">（协议）；我方</w:t>
      </w:r>
      <w:r>
        <w:rPr>
          <w:rFonts w:ascii="宋体" w:hAnsi="宋体" w:eastAsia="宋体" w:cs="宋体"/>
          <w:sz w:val="24"/>
          <w:szCs w:val="24"/>
          <w:highlight w:val="none"/>
        </w:rPr>
        <w:t xml:space="preserve">负责提供</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操作人员的身份证明、</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操作证书等。</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w:t>
      </w:r>
      <w:r>
        <w:rPr>
          <w:rFonts w:ascii="宋体" w:hAnsi="宋体" w:eastAsia="宋体" w:cs="宋体"/>
          <w:sz w:val="24"/>
          <w:szCs w:val="24"/>
          <w:highlight w:val="none"/>
        </w:rPr>
        <w:t xml:space="preserve">、我</w:t>
      </w: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负责自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的协调、运输、安装、调试、日常维护保养</w:t>
      </w:r>
      <w:r>
        <w:rPr>
          <w:rFonts w:hint="eastAsia" w:ascii="宋体" w:hAnsi="宋体" w:eastAsia="宋体" w:cs="宋体"/>
          <w:sz w:val="24"/>
          <w:szCs w:val="24"/>
          <w:highlight w:val="none"/>
        </w:rPr>
        <w:t xml:space="preserve">及</w:t>
      </w:r>
      <w:r>
        <w:rPr>
          <w:rFonts w:ascii="宋体" w:hAnsi="宋体" w:eastAsia="宋体" w:cs="宋体"/>
          <w:sz w:val="24"/>
          <w:szCs w:val="24"/>
          <w:highlight w:val="none"/>
        </w:rPr>
        <w:t xml:space="preserve">维修工作</w:t>
      </w:r>
      <w:r>
        <w:rPr>
          <w:rFonts w:hint="eastAsia" w:ascii="宋体" w:hAnsi="宋体" w:eastAsia="宋体" w:cs="宋体"/>
          <w:sz w:val="24"/>
          <w:szCs w:val="24"/>
          <w:highlight w:val="none"/>
        </w:rPr>
        <w:t xml:space="preserve">等</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使用</w:t>
      </w:r>
      <w:r>
        <w:rPr>
          <w:rFonts w:hint="eastAsia" w:ascii="宋体" w:hAnsi="宋体" w:eastAsia="宋体" w:cs="宋体"/>
          <w:sz w:val="24"/>
          <w:szCs w:val="24"/>
          <w:highlight w:val="none"/>
        </w:rPr>
        <w:t xml:space="preserve">依照</w:t>
      </w:r>
      <w:r>
        <w:rPr>
          <w:rFonts w:ascii="宋体" w:hAnsi="宋体" w:eastAsia="宋体" w:cs="宋体"/>
          <w:sz w:val="24"/>
          <w:szCs w:val="24"/>
          <w:highlight w:val="none"/>
        </w:rPr>
        <w:t xml:space="preserve">国家地方相关规定的要求</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我</w:t>
      </w: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负责自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操作人员的操作使用规程教育、安全生产教育等工作，设备使用地点悬挂设备安全操作规程、安全生产警示牌等。上述工作产生的一切费用</w:t>
      </w:r>
      <w:r>
        <w:rPr>
          <w:rFonts w:hint="eastAsia" w:ascii="宋体" w:hAnsi="宋体" w:eastAsia="宋体" w:cs="宋体"/>
          <w:sz w:val="24"/>
          <w:szCs w:val="24"/>
          <w:highlight w:val="none"/>
        </w:rPr>
        <w:t xml:space="preserve">及责任</w:t>
      </w:r>
      <w:r>
        <w:rPr>
          <w:rFonts w:ascii="宋体" w:hAnsi="宋体" w:eastAsia="宋体" w:cs="宋体"/>
          <w:sz w:val="24"/>
          <w:szCs w:val="24"/>
          <w:highlight w:val="none"/>
        </w:rPr>
        <w:t xml:space="preserve">由我方自行承担。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如达不到上述要求，我单位自愿取消中标资格，并承担一切采购人因此产生的损失！</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投标供应商：                （公章）</w:t>
      </w:r>
      <w:r/>
    </w:p>
    <w:p>
      <w:pPr>
        <w:ind w:right="480"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法定代表人签名或盖章：            </w:t>
      </w:r>
      <w:r/>
    </w:p>
    <w:p>
      <w:pPr>
        <w:ind w:firstLine="513"/>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5793"/>
        <w:spacing w:line="360" w:lineRule="auto"/>
        <w:rPr>
          <w:rFonts w:hint="eastAsia" w:ascii="宋体" w:hAnsi="宋体" w:eastAsia="宋体" w:cs="宋体"/>
          <w:sz w:val="34"/>
          <w:highlight w:val="none"/>
        </w:rPr>
      </w:pPr>
      <w:r>
        <w:rPr>
          <w:rFonts w:hint="eastAsia" w:ascii="宋体" w:hAnsi="宋体" w:eastAsia="宋体" w:cs="宋体"/>
          <w:sz w:val="24"/>
          <w:highlight w:val="none"/>
        </w:rPr>
        <w:t xml:space="preserve">日期：     年   月    日</w:t>
      </w:r>
      <w:r/>
    </w:p>
    <w:p>
      <w:pPr>
        <w:ind w:left="450" w:hanging="450"/>
        <w:jc w:val="both"/>
        <w:spacing w:after="20" w:line="288" w:lineRule="auto"/>
        <w:widowControl w:val="off"/>
        <w:tabs>
          <w:tab w:val="left" w:pos="420" w:leader="none"/>
          <w:tab w:val="left" w:pos="450" w:leader="none"/>
          <w:tab w:val="left" w:pos="89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ind w:left="450" w:hanging="450"/>
        <w:jc w:val="both"/>
        <w:spacing w:after="20" w:line="288" w:lineRule="auto"/>
        <w:widowControl w:val="off"/>
        <w:tabs>
          <w:tab w:val="left" w:pos="420" w:leader="none"/>
          <w:tab w:val="left" w:pos="450" w:leader="none"/>
          <w:tab w:val="left" w:pos="89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ind w:left="450" w:hanging="450"/>
        <w:jc w:val="both"/>
        <w:spacing w:after="20" w:line="288" w:lineRule="auto"/>
        <w:widowControl w:val="off"/>
        <w:tabs>
          <w:tab w:val="left" w:pos="420" w:leader="none"/>
          <w:tab w:val="left" w:pos="450" w:leader="none"/>
          <w:tab w:val="left" w:pos="898"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jc w:val="center"/>
        <w:keepLines w:val="0"/>
        <w:keepNext w:val="0"/>
        <w:pageBreakBefore w:val="0"/>
        <w:spacing w:line="348"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keepLines w:val="0"/>
        <w:keepNext w:val="0"/>
        <w:pageBreakBefore w:val="0"/>
        <w:spacing w:line="348"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sz w:val="36"/>
          <w:szCs w:val="28"/>
          <w:highlight w:val="none"/>
          <w:lang w:val="en-US" w:eastAsia="zh-CN"/>
        </w:rPr>
      </w:pPr>
      <w:r>
        <w:rPr>
          <w:rFonts w:hint="eastAsia" w:ascii="宋体" w:hAnsi="宋体" w:eastAsia="宋体" w:cs="宋体"/>
          <w:b/>
          <w:sz w:val="36"/>
          <w:szCs w:val="28"/>
          <w:highlight w:val="none"/>
          <w:lang w:val="en-US" w:eastAsia="zh-CN"/>
        </w:rPr>
      </w:r>
      <w:r/>
    </w:p>
    <w:p>
      <w:pPr>
        <w:jc w:val="center"/>
        <w:spacing w:line="360" w:lineRule="auto"/>
        <w:rPr>
          <w:rFonts w:hint="eastAsia" w:ascii="宋体" w:hAnsi="宋体" w:eastAsia="宋体" w:cs="宋体"/>
          <w:b/>
          <w:sz w:val="36"/>
          <w:szCs w:val="28"/>
          <w:highlight w:val="none"/>
          <w:lang w:val="en-US" w:eastAsia="zh-CN"/>
        </w:rPr>
      </w:pPr>
      <w:r>
        <w:rPr>
          <w:rFonts w:hint="eastAsia" w:ascii="宋体" w:hAnsi="宋体" w:eastAsia="宋体" w:cs="宋体"/>
          <w:b/>
          <w:sz w:val="36"/>
          <w:szCs w:val="28"/>
          <w:highlight w:val="none"/>
          <w:lang w:val="en-US" w:eastAsia="zh-CN"/>
        </w:rPr>
      </w:r>
      <w:r/>
    </w:p>
    <w:p>
      <w:pPr>
        <w:jc w:val="center"/>
        <w:spacing w:line="360" w:lineRule="auto"/>
        <w:rPr>
          <w:rFonts w:hint="eastAsia" w:ascii="宋体" w:hAnsi="宋体" w:eastAsia="宋体" w:cs="宋体"/>
          <w:b/>
          <w:sz w:val="36"/>
          <w:szCs w:val="28"/>
          <w:highlight w:val="none"/>
          <w:lang w:val="en-US" w:eastAsia="zh-CN"/>
        </w:rPr>
      </w:pPr>
      <w:r>
        <w:rPr>
          <w:rFonts w:hint="eastAsia" w:ascii="宋体" w:hAnsi="宋体" w:eastAsia="宋体" w:cs="宋体"/>
          <w:b/>
          <w:sz w:val="36"/>
          <w:szCs w:val="28"/>
          <w:highlight w:val="none"/>
          <w:lang w:val="en-US" w:eastAsia="zh-CN"/>
        </w:rPr>
      </w:r>
      <w:r/>
    </w:p>
    <w:p>
      <w:pPr>
        <w:jc w:val="center"/>
        <w:spacing w:line="360" w:lineRule="auto"/>
        <w:rPr>
          <w:rFonts w:hint="eastAsia" w:ascii="宋体" w:hAnsi="宋体" w:eastAsia="宋体" w:cs="宋体"/>
          <w:b/>
          <w:sz w:val="36"/>
          <w:szCs w:val="28"/>
          <w:highlight w:val="none"/>
        </w:rPr>
      </w:pPr>
      <w:r>
        <w:rPr>
          <w:rFonts w:hint="eastAsia" w:ascii="宋体" w:hAnsi="宋体" w:eastAsia="宋体" w:cs="宋体"/>
          <w:b/>
          <w:sz w:val="36"/>
          <w:szCs w:val="28"/>
          <w:highlight w:val="none"/>
          <w:lang w:val="en-US" w:eastAsia="zh-CN"/>
        </w:rPr>
        <w:t xml:space="preserve">五</w:t>
      </w:r>
      <w:r>
        <w:rPr>
          <w:rFonts w:hint="eastAsia" w:ascii="宋体" w:hAnsi="宋体" w:eastAsia="宋体" w:cs="宋体"/>
          <w:b/>
          <w:sz w:val="36"/>
          <w:szCs w:val="28"/>
          <w:highlight w:val="none"/>
        </w:rPr>
        <w:t xml:space="preserve">. 附件（响应文件格式）</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left="0" w:right="0"/>
        <w:jc w:val="center"/>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622" w:name="一．报价函（格式）"/>
      <w:r/>
      <w:bookmarkEnd w:id="622"/>
      <w:r>
        <w:rPr>
          <w:rFonts w:hint="eastAsia" w:ascii="宋体" w:hAnsi="宋体" w:eastAsia="宋体" w:cs="宋体"/>
          <w:b/>
          <w:bCs/>
          <w:color w:val="000000"/>
          <w:sz w:val="72"/>
          <w:szCs w:val="72"/>
          <w:highlight w:val="none"/>
          <w:lang w:val="en-US" w:eastAsia="zh-CN" w:bidi="ar-SA"/>
        </w:rPr>
        <w:t xml:space="preserve">响应</w:t>
      </w:r>
      <w:r>
        <w:rPr>
          <w:rFonts w:ascii="宋体" w:hAnsi="宋体" w:eastAsia="宋体" w:cs="宋体"/>
          <w:b/>
          <w:bCs/>
          <w:color w:val="000000"/>
          <w:sz w:val="72"/>
          <w:szCs w:val="72"/>
          <w:highlight w:val="none"/>
          <w:lang w:val="en-US" w:eastAsia="zh-CN" w:bidi="ar-SA"/>
        </w:rPr>
        <w:t xml:space="preserve">文件</w:t>
      </w:r>
      <w:r/>
    </w:p>
    <w:p>
      <w:pPr>
        <w:jc w:val="center"/>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highlight w:val="none"/>
          <w:lang w:val="en-US" w:eastAsia="zh-CN" w:bidi="ar-SA"/>
        </w:rPr>
        <w:t xml:space="preserve"> </w:t>
      </w:r>
      <w:r/>
    </w:p>
    <w:p>
      <w:pPr>
        <w:jc w:val="center"/>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highlight w:val="none"/>
          <w:lang w:val="en-US" w:eastAsia="zh-CN" w:bidi="ar-SA"/>
        </w:rPr>
        <w:t xml:space="preserve"> </w:t>
      </w:r>
      <w:r/>
    </w:p>
    <w:p>
      <w:pPr>
        <w:jc w:val="center"/>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lang w:val="en-US" w:eastAsia="zh-CN" w:bidi="ar-SA"/>
        </w:rPr>
        <w:t xml:space="preserve"> </w:t>
      </w:r>
      <w:r/>
    </w:p>
    <w:p>
      <w:pPr>
        <w:jc w:val="center"/>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lang w:val="en-US" w:eastAsia="zh-CN" w:bidi="ar-SA"/>
        </w:rPr>
        <w:t xml:space="preserve"> </w:t>
      </w:r>
      <w:r/>
    </w:p>
    <w:p>
      <w:pPr>
        <w:jc w:val="center"/>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lang w:val="en-US" w:eastAsia="zh-CN" w:bidi="ar-SA"/>
        </w:rPr>
        <w:t xml:space="preserve"> </w:t>
      </w:r>
      <w:r/>
    </w:p>
    <w:p>
      <w:pPr>
        <w:ind w:left="0" w:firstLine="1081"/>
        <w:jc w:val="both"/>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lang w:val="en-US" w:eastAsia="zh-CN" w:bidi="ar-SA"/>
        </w:rPr>
        <w:t xml:space="preserve">项 目 名 称：</w:t>
      </w:r>
      <w:r>
        <w:rPr>
          <w:rFonts w:ascii="宋体" w:hAnsi="宋体" w:eastAsia="宋体" w:cs="宋体"/>
          <w:b/>
          <w:bCs/>
          <w:color w:val="000000"/>
          <w:sz w:val="36"/>
          <w:szCs w:val="36"/>
          <w:highlight w:val="none"/>
          <w:u w:val="single"/>
          <w:lang w:val="en-US" w:eastAsia="zh-CN" w:bidi="ar-SA"/>
        </w:rPr>
        <w:t xml:space="preserve">          </w:t>
      </w:r>
      <w:r/>
    </w:p>
    <w:p>
      <w:pPr>
        <w:ind w:left="0" w:firstLine="1081"/>
        <w:jc w:val="both"/>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highlight w:val="none"/>
          <w:lang w:val="en-US" w:eastAsia="zh-CN" w:bidi="ar-SA"/>
        </w:rPr>
        <w:t xml:space="preserve">项 目 编 号</w:t>
      </w:r>
      <w:r>
        <w:rPr>
          <w:rFonts w:ascii="宋体" w:hAnsi="宋体" w:eastAsia="宋体" w:cs="宋体"/>
          <w:b/>
          <w:bCs/>
          <w:color w:val="000000"/>
          <w:sz w:val="36"/>
          <w:szCs w:val="36"/>
          <w:highlight w:val="none"/>
          <w:lang w:val="en-US" w:eastAsia="zh-CN" w:bidi="ar-SA"/>
        </w:rPr>
        <w:t xml:space="preserve">：</w:t>
      </w:r>
      <w:r>
        <w:rPr>
          <w:rFonts w:ascii="宋体" w:hAnsi="宋体" w:eastAsia="宋体" w:cs="宋体"/>
          <w:b/>
          <w:bCs/>
          <w:color w:val="000000"/>
          <w:sz w:val="36"/>
          <w:szCs w:val="36"/>
          <w:highlight w:val="none"/>
          <w:u w:val="single"/>
          <w:lang w:val="en-US" w:eastAsia="zh-CN" w:bidi="ar-SA"/>
        </w:rPr>
        <w:t xml:space="preserve">          </w:t>
      </w:r>
      <w:r/>
    </w:p>
    <w:p>
      <w:pPr>
        <w:jc w:val="both"/>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lang w:val="en-US" w:eastAsia="zh-CN" w:bidi="ar-SA"/>
        </w:rPr>
        <w:t xml:space="preserve">   </w:t>
      </w:r>
      <w:r>
        <w:rPr>
          <w:rFonts w:hint="eastAsia" w:ascii="宋体" w:hAnsi="宋体" w:eastAsia="宋体" w:cs="宋体"/>
          <w:b/>
          <w:bCs/>
          <w:color w:val="000000"/>
          <w:sz w:val="36"/>
          <w:szCs w:val="36"/>
          <w:highlight w:val="none"/>
          <w:lang w:val="en-US" w:eastAsia="zh-CN" w:bidi="ar-SA"/>
        </w:rPr>
        <w:t xml:space="preserve">供应商</w:t>
      </w:r>
      <w:r>
        <w:rPr>
          <w:rFonts w:ascii="宋体" w:hAnsi="宋体" w:eastAsia="宋体" w:cs="宋体"/>
          <w:b/>
          <w:bCs/>
          <w:color w:val="000000"/>
          <w:sz w:val="36"/>
          <w:szCs w:val="36"/>
          <w:highlight w:val="none"/>
          <w:lang w:val="en-US" w:eastAsia="zh-CN" w:bidi="ar-SA"/>
        </w:rPr>
        <w:t xml:space="preserve">名称 ：</w:t>
      </w:r>
      <w:r>
        <w:rPr>
          <w:rFonts w:ascii="宋体" w:hAnsi="宋体" w:eastAsia="宋体" w:cs="宋体"/>
          <w:b/>
          <w:bCs/>
          <w:color w:val="000000"/>
          <w:sz w:val="36"/>
          <w:szCs w:val="36"/>
          <w:highlight w:val="none"/>
          <w:u w:val="single"/>
          <w:lang w:val="en-US" w:eastAsia="zh-CN" w:bidi="ar-SA"/>
        </w:rPr>
        <w:t xml:space="preserve">（加盖CA电子公章）</w:t>
      </w:r>
      <w:r/>
    </w:p>
    <w:p>
      <w:pPr>
        <w:jc w:val="both"/>
        <w:keepLines w:val="0"/>
        <w:keepNext w:val="0"/>
        <w:spacing w:before="0" w:beforeAutospacing="0" w:after="0" w:afterAutospacing="0"/>
        <w:widowControl/>
        <w:rPr>
          <w:rFonts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highlight w:val="none"/>
          <w:lang w:val="en-US" w:eastAsia="zh-CN" w:bidi="ar-SA"/>
        </w:rPr>
        <w:t xml:space="preserve">   日 </w:t>
      </w:r>
      <w:r>
        <w:rPr>
          <w:rFonts w:hint="eastAsia" w:ascii="宋体" w:hAnsi="宋体" w:eastAsia="宋体" w:cs="宋体"/>
          <w:b/>
          <w:bCs/>
          <w:color w:val="000000"/>
          <w:sz w:val="36"/>
          <w:szCs w:val="36"/>
          <w:highlight w:val="none"/>
          <w:lang w:val="en-US" w:eastAsia="zh-CN" w:bidi="ar-SA"/>
        </w:rPr>
        <w:t xml:space="preserve">    </w:t>
      </w:r>
      <w:r>
        <w:rPr>
          <w:rFonts w:ascii="宋体" w:hAnsi="宋体" w:eastAsia="宋体" w:cs="宋体"/>
          <w:b/>
          <w:bCs/>
          <w:color w:val="000000"/>
          <w:sz w:val="36"/>
          <w:szCs w:val="36"/>
          <w:highlight w:val="none"/>
          <w:lang w:val="en-US" w:eastAsia="zh-CN" w:bidi="ar-SA"/>
        </w:rPr>
        <w:t xml:space="preserve">期 ：</w:t>
      </w:r>
      <w:r>
        <w:rPr>
          <w:rFonts w:ascii="宋体" w:hAnsi="宋体" w:eastAsia="宋体" w:cs="宋体"/>
          <w:b/>
          <w:bCs/>
          <w:color w:val="000000"/>
          <w:sz w:val="36"/>
          <w:szCs w:val="36"/>
          <w:highlight w:val="none"/>
          <w:u w:val="single"/>
          <w:lang w:val="en-US" w:eastAsia="zh-CN" w:bidi="ar-SA"/>
        </w:rPr>
        <w:t xml:space="preserve">          </w:t>
      </w:r>
      <w:r/>
    </w:p>
    <w:p>
      <w:pPr>
        <w:jc w:val="center"/>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r>
      <w:r/>
    </w:p>
    <w:p>
      <w:pPr>
        <w:jc w:val="both"/>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r>
      <w:r/>
    </w:p>
    <w:p>
      <w:pPr>
        <w:jc w:val="both"/>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r>
      <w:r/>
    </w:p>
    <w:p>
      <w:pPr>
        <w:jc w:val="both"/>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r>
      <w:r/>
    </w:p>
    <w:p>
      <w:pPr>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pStyle w:val="866"/>
        <w:rPr>
          <w:rFonts w:hint="eastAsia"/>
          <w:highlight w:val="none"/>
        </w:rPr>
      </w:pPr>
      <w:r>
        <w:rPr>
          <w:rFonts w:hint="eastAsia"/>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（一）单一来源申请及声明（格式）：</w:t>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jc w:val="center"/>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单一来源申请及声明</w:t>
      </w:r>
      <w:r/>
    </w:p>
    <w:p>
      <w:pP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eastAsia="zh-CN"/>
        </w:rPr>
        <w:t xml:space="preserve">无锡市园林绿化管理中心</w:t>
      </w:r>
      <w:r/>
    </w:p>
    <w:p>
      <w:pPr>
        <w:ind w:firstLine="420"/>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江苏建协全过程工程咨询有限公司</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cs="宋体"/>
          <w:sz w:val="24"/>
          <w:szCs w:val="24"/>
          <w:highlight w:val="none"/>
          <w:u w:val="single"/>
          <w:lang w:eastAsia="zh-CN"/>
        </w:rPr>
        <w:t xml:space="preserve">2024年市管绿地“贝碧嘉”台风灾后修复项目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u w:val="single"/>
          <w:lang w:eastAsia="zh-CN"/>
        </w:rPr>
        <w:t xml:space="preserve">JSZC-320200-JXCG-D2025-0056</w:t>
      </w:r>
      <w:r>
        <w:rPr>
          <w:rFonts w:hint="eastAsia" w:ascii="宋体" w:hAnsi="宋体" w:eastAsia="宋体" w:cs="宋体"/>
          <w:sz w:val="24"/>
          <w:szCs w:val="24"/>
          <w:highlight w:val="none"/>
        </w:rPr>
        <w:t xml:space="preserve">（采购编号）单一来源采购邀请，正式授权下述签字人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（供应商名称），提交响应文件并参加商谈。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我们的资格条件完全符合政府采购法和本次单一来源采购要求</w:t>
      </w:r>
      <w:r>
        <w:rPr>
          <w:rFonts w:hint="eastAsia" w:ascii="宋体" w:hAnsi="宋体" w:eastAsia="宋体" w:cs="宋体"/>
          <w:sz w:val="24"/>
          <w:szCs w:val="24"/>
          <w:highlight w:val="none"/>
        </w:rPr>
        <w:t xml:space="preserve">，我们同意并向贵方提供了与本次采购活动有关的所有文件和资料。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3、按单一来源采购要求，我们的首次报价为（大写）</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元人民币。</w:t>
      </w:r>
      <w:r/>
    </w:p>
    <w:p>
      <w:pPr>
        <w:ind w:firstLine="42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4、我们已详细审核全部单一来源采购文件及其有效补充文件，我们放弃对单一来源采购文件任何误解的权利，提交响应文件后，</w:t>
      </w:r>
      <w:r>
        <w:rPr>
          <w:rFonts w:hint="eastAsia" w:ascii="宋体" w:hAnsi="宋体" w:eastAsia="宋体" w:cs="宋体"/>
          <w:b/>
          <w:sz w:val="24"/>
          <w:szCs w:val="24"/>
          <w:highlight w:val="none"/>
        </w:rPr>
        <w:t xml:space="preserve">不对单一来源采购文件本身提出质疑。</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5、一旦我方成交，我方将根据单一来源采购文件的规定，严格履行合同，</w:t>
      </w:r>
      <w:r>
        <w:rPr>
          <w:rFonts w:hint="eastAsia" w:ascii="宋体" w:hAnsi="宋体" w:eastAsia="宋体" w:cs="宋体"/>
          <w:color w:val="000000"/>
          <w:sz w:val="24"/>
          <w:szCs w:val="24"/>
          <w:highlight w:val="none"/>
        </w:rPr>
        <w:t xml:space="preserve">保证于承诺的时间内完成本项目规定的货物及服务内容。</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商谈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7、我方正式通讯方式为：</w:t>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8、我方正式开户银行和</w:t>
      </w:r>
      <w:r>
        <w:rPr>
          <w:rFonts w:hint="eastAsia" w:ascii="宋体" w:hAnsi="宋体" w:cs="宋体"/>
          <w:sz w:val="24"/>
          <w:szCs w:val="24"/>
          <w:highlight w:val="none"/>
          <w:lang w:eastAsia="zh-CN"/>
        </w:rPr>
        <w:t xml:space="preserve">账号为</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账</w:t>
      </w:r>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供应商授权代表姓名（签字）：</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供应商名称（公章）：</w:t>
      </w:r>
      <w:r>
        <w:rPr>
          <w:rFonts w:hint="eastAsia" w:ascii="宋体" w:hAnsi="宋体" w:eastAsia="宋体" w:cs="宋体"/>
          <w:sz w:val="24"/>
          <w:szCs w:val="24"/>
          <w:highlight w:val="none"/>
          <w:u w:val="singl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（二）（供应商）关于资格的声明函（格式）：</w:t>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rPr>
        <w:outlineLvl w:val="0"/>
      </w:pPr>
      <w:r/>
      <w:bookmarkStart w:id="623" w:name="报价方关于资格的声明函（格式）"/>
      <w:r/>
      <w:bookmarkEnd w:id="623"/>
      <w:r>
        <w:rPr>
          <w:rFonts w:hint="eastAsia" w:ascii="宋体" w:hAnsi="宋体" w:eastAsia="宋体" w:cs="宋体"/>
          <w:b/>
          <w:bCs/>
          <w:color w:val="000000"/>
          <w:sz w:val="28"/>
          <w:szCs w:val="28"/>
          <w:highlight w:val="none"/>
        </w:rPr>
        <w:t xml:space="preserve">关于资格的声明函</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eastAsia="zh-CN"/>
        </w:rPr>
        <w:t xml:space="preserve">项目编号</w:t>
      </w:r>
      <w:r>
        <w:rPr>
          <w:rFonts w:hint="eastAsia" w:ascii="宋体" w:hAnsi="宋体" w:eastAsia="宋体" w:cs="宋体"/>
          <w:bCs/>
          <w:color w:val="000000"/>
          <w:sz w:val="24"/>
          <w:szCs w:val="24"/>
          <w:highlight w:val="none"/>
        </w:rPr>
        <w:t xml:space="preserve">：</w:t>
      </w:r>
      <w:r/>
    </w:p>
    <w:p>
      <w:pPr>
        <w:jc w:val="center"/>
        <w:spacing w:line="36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江苏建协全过程工程咨询有限公司</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我公司（单位）参加本次项目【</w:t>
      </w:r>
      <w:r>
        <w:rPr>
          <w:rFonts w:hint="eastAsia" w:ascii="宋体" w:hAnsi="宋体" w:cs="宋体"/>
          <w:color w:val="000000"/>
          <w:sz w:val="24"/>
          <w:szCs w:val="24"/>
          <w:highlight w:val="none"/>
          <w:lang w:eastAsia="zh-CN"/>
        </w:rPr>
        <w:t xml:space="preserve">JSZC-320200-JXCG-D2025-0056</w:t>
      </w:r>
      <w:r>
        <w:rPr>
          <w:rFonts w:hint="eastAsia" w:ascii="宋体" w:hAnsi="宋体" w:eastAsia="宋体" w:cs="宋体"/>
          <w:color w:val="000000"/>
          <w:sz w:val="24"/>
          <w:szCs w:val="24"/>
          <w:highlight w:val="none"/>
        </w:rPr>
        <w:t xml:space="preserve">】政府采购活动前三年内，在经营活动中没有重大违法记录；未被列入失信执行人、重大税收违法案件当事人名单、政府采购严重违法失信行为记录名单。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我公司（单位）从未有采用财物或者其他手段贿赂有关单位和个人以谋取交易机会或者竞争优势的行为发生。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我公司（单位）愿针对本次项目【</w:t>
      </w:r>
      <w:r>
        <w:rPr>
          <w:rFonts w:hint="eastAsia" w:ascii="宋体" w:hAnsi="宋体" w:cs="宋体"/>
          <w:color w:val="000000"/>
          <w:sz w:val="24"/>
          <w:szCs w:val="24"/>
          <w:highlight w:val="none"/>
          <w:lang w:eastAsia="zh-CN"/>
        </w:rPr>
        <w:t xml:space="preserve">JSZC-320200-JXCG-D2025-0056</w:t>
      </w:r>
      <w:r>
        <w:rPr>
          <w:rFonts w:hint="eastAsia" w:ascii="宋体" w:hAnsi="宋体" w:eastAsia="宋体" w:cs="宋体"/>
          <w:color w:val="000000"/>
          <w:sz w:val="24"/>
          <w:szCs w:val="24"/>
          <w:highlight w:val="none"/>
        </w:rPr>
        <w:t xml:space="preserve">】进行投标，响应文件中所有关于投标资格的文件、证明、陈述均是真实的、准确的。若有违背，我公司（单位）愿意承担由此而产生的一切后果。</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w:t>
      </w:r>
      <w:r>
        <w:rPr>
          <w:rFonts w:hint="eastAsia" w:ascii="宋体" w:hAnsi="宋体" w:eastAsia="宋体" w:cs="宋体"/>
          <w:b/>
          <w:bCs/>
          <w:color w:val="000000"/>
          <w:sz w:val="24"/>
          <w:szCs w:val="24"/>
          <w:highlight w:val="none"/>
        </w:rPr>
        <w:t xml:space="preserve">CA签</w:t>
      </w:r>
      <w:r>
        <w:rPr>
          <w:rFonts w:hint="eastAsia" w:ascii="宋体" w:hAnsi="宋体" w:eastAsia="宋体" w:cs="宋体"/>
          <w:b/>
          <w:color w:val="000000"/>
          <w:sz w:val="24"/>
          <w:szCs w:val="24"/>
          <w:highlight w:val="none"/>
        </w:rPr>
        <w:t xml:space="preserve">章</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
          <w:bCs/>
          <w:color w:val="000000"/>
          <w:sz w:val="24"/>
          <w:szCs w:val="24"/>
          <w:highlight w:val="none"/>
        </w:rPr>
        <w:t xml:space="preserve">CA签</w:t>
      </w:r>
      <w:r>
        <w:rPr>
          <w:rFonts w:hint="eastAsia" w:ascii="宋体" w:hAnsi="宋体" w:eastAsia="宋体" w:cs="宋体"/>
          <w:b/>
          <w:color w:val="000000"/>
          <w:sz w:val="24"/>
          <w:szCs w:val="24"/>
          <w:highlight w:val="none"/>
        </w:rPr>
        <w:t xml:space="preserve">章</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4"/>
          <w:szCs w:val="24"/>
          <w:highlight w:val="none"/>
        </w:rPr>
        <w:t xml:space="preserve">（三）（供应商）法定代表人授权委托书（格式）：</w:t>
      </w:r>
      <w:r/>
    </w:p>
    <w:p>
      <w:pP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t xml:space="preserve">法定代表人授权委托书</w:t>
      </w:r>
      <w:r/>
    </w:p>
    <w:p>
      <w:pPr>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cs="宋体"/>
          <w:bCs/>
          <w:color w:val="000000"/>
          <w:sz w:val="24"/>
          <w:szCs w:val="24"/>
          <w:highlight w:val="none"/>
          <w:lang w:eastAsia="zh-CN"/>
        </w:rPr>
        <w:t xml:space="preserve">项目编号</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江苏建协全过程工程咨询有限公司</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系中华人民共和国合法企业，特授权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w:t>
      </w:r>
      <w:r>
        <w:rPr>
          <w:rFonts w:hint="eastAsia" w:ascii="宋体" w:hAnsi="宋体" w:cs="宋体"/>
          <w:bCs/>
          <w:color w:val="000000"/>
          <w:sz w:val="24"/>
          <w:szCs w:val="24"/>
          <w:highlight w:val="none"/>
          <w:u w:val="single"/>
          <w:lang w:eastAsia="zh-CN"/>
        </w:rPr>
        <w:t xml:space="preserve">2024年市管绿地“贝碧嘉”台风灾后修复项目</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JSZC-320200-JXCG-D2025-0056</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的谈判，以我公司（单位）名义处理一切与之有关的事务（质疑、投诉事项除外），并签署全部有关的文件、协议及合同。</w:t>
      </w:r>
      <w:r/>
    </w:p>
    <w:p>
      <w:pPr>
        <w:ind w:firstLine="5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我公司（单位）对被授权人的签名负全部责任。</w:t>
      </w:r>
      <w:r/>
    </w:p>
    <w:p>
      <w:pPr>
        <w:ind w:firstLine="52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被授权人情况：</w:t>
      </w:r>
      <w:r/>
    </w:p>
    <w:p>
      <w:pPr>
        <w:ind w:firstLine="5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52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身份证件号码：        </w:t>
      </w:r>
      <w:r/>
    </w:p>
    <w:p>
      <w:pPr>
        <w:ind w:firstLine="328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w:t>
      </w:r>
      <w:r>
        <w:rPr>
          <w:rFonts w:hint="eastAsia" w:ascii="宋体" w:hAnsi="宋体" w:eastAsia="宋体" w:cs="宋体"/>
          <w:b/>
          <w:bCs/>
          <w:color w:val="000000"/>
          <w:sz w:val="24"/>
          <w:szCs w:val="24"/>
          <w:highlight w:val="none"/>
        </w:rPr>
        <w:t xml:space="preserve">CA签</w:t>
      </w:r>
      <w:r>
        <w:rPr>
          <w:rFonts w:hint="eastAsia" w:ascii="宋体" w:hAnsi="宋体" w:eastAsia="宋体" w:cs="宋体"/>
          <w:b/>
          <w:color w:val="000000"/>
          <w:sz w:val="24"/>
          <w:szCs w:val="24"/>
          <w:highlight w:val="none"/>
        </w:rPr>
        <w:t xml:space="preserve">章</w:t>
      </w:r>
      <w:r>
        <w:rPr>
          <w:rFonts w:hint="eastAsia" w:ascii="宋体" w:hAnsi="宋体" w:eastAsia="宋体" w:cs="宋体"/>
          <w:bCs/>
          <w:color w:val="000000"/>
          <w:sz w:val="24"/>
          <w:szCs w:val="24"/>
          <w:highlight w:val="none"/>
        </w:rPr>
        <w:t xml:space="preserve">）：</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
          <w:bCs/>
          <w:color w:val="000000"/>
          <w:sz w:val="24"/>
          <w:szCs w:val="24"/>
          <w:highlight w:val="none"/>
        </w:rPr>
        <w:t xml:space="preserve">CA签</w:t>
      </w:r>
      <w:r>
        <w:rPr>
          <w:rFonts w:hint="eastAsia" w:ascii="宋体" w:hAnsi="宋体" w:eastAsia="宋体" w:cs="宋体"/>
          <w:b/>
          <w:color w:val="000000"/>
          <w:sz w:val="24"/>
          <w:szCs w:val="24"/>
          <w:highlight w:val="none"/>
        </w:rPr>
        <w:t xml:space="preserve">章</w:t>
      </w:r>
      <w:r>
        <w:rPr>
          <w:rFonts w:hint="eastAsia" w:ascii="宋体" w:hAnsi="宋体" w:eastAsia="宋体" w:cs="宋体"/>
          <w:bCs/>
          <w:color w:val="000000"/>
          <w:sz w:val="24"/>
          <w:szCs w:val="24"/>
          <w:highlight w:val="none"/>
        </w:rPr>
        <w:t xml:space="preserve">）：</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161290</wp:posOffset>
                </wp:positionV>
                <wp:extent cx="2867025" cy="1584960"/>
                <wp:effectExtent l="4445" t="4445" r="5080" b="1079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6" o:spid="_x0000_s6" o:spt="202" type="#_x0000_t202" style="position:absolute;z-index:251660288;o:allowoverlap:true;o:allowincell:true;mso-position-horizontal-relative:text;margin-left:0.0pt;mso-position-horizontal:absolute;mso-position-vertical-relative:text;margin-top:12.7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161290</wp:posOffset>
                </wp:positionV>
                <wp:extent cx="2867025" cy="1584960"/>
                <wp:effectExtent l="4445" t="4445" r="5080" b="10795"/>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被授权人身份证复印件</w:t>
                            </w:r>
                            <w:r/>
                          </w:p>
                        </w:txbxContent>
                      </wps:txbx>
                      <wps:bodyPr upright="1"/>
                    </wps:wsp>
                  </a:graphicData>
                </a:graphic>
              </wp:anchor>
            </w:drawing>
          </mc:Choice>
          <mc:Fallback>
            <w:pict>
              <v:shape id="shape 7" o:spid="_x0000_s7" o:spt="202" type="#_x0000_t202" style="position:absolute;z-index:251661312;o:allowoverlap:true;o:allowincell:true;mso-position-horizontal-relative:text;margin-left:257.2pt;mso-position-horizontal:absolute;mso-position-vertical-relative:text;margin-top:12.7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被授权人身份证复印件</w:t>
                      </w:r>
                      <w:r/>
                    </w:p>
                  </w:txbxContent>
                </v:textbox>
              </v:shape>
            </w:pict>
          </mc:Fallback>
        </mc:AlternateContent>
      </w:r>
      <w:r/>
    </w:p>
    <w:p>
      <w:pPr>
        <w:ind w:firstLine="420"/>
        <w:spacing w:line="36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spacing w:line="36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spacing w:line="36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spacing w:line="36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）报价一览表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lang w:eastAsia="zh-CN"/>
        </w:rPr>
        <w:t xml:space="preserve">）</w:t>
      </w:r>
      <w:r/>
    </w:p>
    <w:p>
      <w:pPr>
        <w:jc w:val="center"/>
        <w:spacing w:line="360" w:lineRule="auto"/>
        <w:rPr>
          <w:rFonts w:hint="eastAsia" w:eastAsia="宋体"/>
          <w:highlight w:val="none"/>
          <w:lang w:val="en-US" w:eastAsia="zh-CN"/>
        </w:rPr>
        <w:outlineLvl w:val="0"/>
      </w:pPr>
      <w:r>
        <w:rPr>
          <w:rFonts w:hint="eastAsia" w:ascii="宋体" w:hAnsi="宋体" w:eastAsia="宋体" w:cs="宋体"/>
          <w:b/>
          <w:bCs/>
          <w:color w:val="000000"/>
          <w:sz w:val="28"/>
          <w:szCs w:val="28"/>
          <w:highlight w:val="none"/>
        </w:rPr>
        <w:t xml:space="preserve">报价一览表</w:t>
      </w:r>
      <w:r/>
    </w:p>
    <w:p>
      <w:pPr>
        <w:spacing w:line="300" w:lineRule="auto"/>
        <w:rPr>
          <w:rFonts w:hint="eastAsia" w:ascii="宋体" w:hAnsi="宋体" w:eastAsia="宋体" w:cs="宋体"/>
          <w:color w:val="auto"/>
          <w:sz w:val="24"/>
          <w:highlight w:val="none"/>
        </w:rPr>
      </w:pPr>
      <w:r>
        <w:rPr>
          <w:rFonts w:hint="eastAsia" w:ascii="黑体" w:hAnsi="Times New Roman" w:eastAsia="黑体" w:cs="Times New Roman"/>
          <w:bCs/>
          <w:color w:val="auto"/>
          <w:sz w:val="24"/>
          <w:szCs w:val="24"/>
          <w:highlight w:val="none"/>
        </w:rPr>
        <w:t xml:space="preserve">报价供应商全称（加盖公章）：</w:t>
      </w:r>
      <w:r>
        <w:rPr>
          <w:rFonts w:hint="eastAsia" w:ascii="黑体" w:hAnsi="Times New Roman" w:eastAsia="黑体" w:cs="Times New Roman"/>
          <w:bCs/>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黑体" w:eastAsia="黑体"/>
          <w:bCs/>
          <w:color w:val="auto"/>
          <w:sz w:val="24"/>
          <w:szCs w:val="24"/>
          <w:highlight w:val="none"/>
        </w:rPr>
        <w:t xml:space="preserve">单位：人民币</w:t>
      </w:r>
      <w:r>
        <w:rPr>
          <w:rFonts w:hint="eastAsia" w:ascii="黑体" w:eastAsia="黑体"/>
          <w:bCs/>
          <w:color w:val="auto"/>
          <w:sz w:val="24"/>
          <w:szCs w:val="24"/>
          <w:highlight w:val="none"/>
          <w:lang w:val="en-US" w:eastAsia="zh-CN"/>
        </w:rPr>
        <w:t xml:space="preserve">/</w:t>
      </w:r>
      <w:r>
        <w:rPr>
          <w:rFonts w:hint="eastAsia" w:ascii="黑体" w:eastAsia="黑体"/>
          <w:bCs/>
          <w:color w:val="auto"/>
          <w:sz w:val="24"/>
          <w:szCs w:val="24"/>
          <w:highlight w:val="none"/>
        </w:rPr>
        <w:t xml:space="preserve">元</w:t>
      </w:r>
      <w:r/>
    </w:p>
    <w:p>
      <w:pPr>
        <w:spacing w:line="30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 xml:space="preserve">采购编号： </w:t>
      </w:r>
      <w:r/>
    </w:p>
    <w:tbl>
      <w:tblPr>
        <w:tblStyle w:val="87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6"/>
        <w:gridCol w:w="7823"/>
      </w:tblGrid>
      <w:tr>
        <w:trPr>
          <w:cantSplit/>
          <w:trHeight w:val="1223"/>
        </w:trPr>
        <w:tc>
          <w:tcPr>
            <w:tcW w:w="1138" w:type="pct"/>
            <w:vAlign w:val="center"/>
            <w:textDirection w:val="lrTb"/>
            <w:noWrap w:val="false"/>
          </w:tcPr>
          <w:p>
            <w:pPr>
              <w:jc w:val="center"/>
              <w:spacing w:line="30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总报价</w:t>
            </w:r>
            <w:r/>
          </w:p>
        </w:tc>
        <w:tc>
          <w:tcPr>
            <w:tcW w:w="3861" w:type="pct"/>
            <w:vAlign w:val="center"/>
            <w:textDirection w:val="lrTb"/>
            <w:noWrap w:val="false"/>
          </w:tcPr>
          <w:p>
            <w:pPr>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p>
            <w:pPr>
              <w:jc w:val="both"/>
              <w:spacing w:line="300" w:lineRule="auto"/>
              <w:widowControl w:val="off"/>
              <w:rPr>
                <w:rFonts w:hint="eastAsia" w:ascii="宋体" w:hAnsi="Times New Roman" w:eastAsia="宋体" w:cs="Times New Roman"/>
                <w:color w:val="auto"/>
                <w:sz w:val="34"/>
                <w:highlight w:val="none"/>
                <w:lang w:val="en-US" w:eastAsia="zh-CN"/>
              </w:rPr>
            </w:pPr>
            <w:r>
              <w:rPr>
                <w:rFonts w:hint="eastAsia" w:ascii="宋体" w:hAnsi="宋体" w:eastAsia="宋体" w:cs="宋体"/>
                <w:color w:val="auto"/>
                <w:sz w:val="24"/>
                <w:szCs w:val="24"/>
                <w:highlight w:val="none"/>
                <w:lang w:val="en-US" w:eastAsia="zh-CN" w:bidi="ar-SA"/>
              </w:rPr>
              <w:t xml:space="preserve">小写：               </w:t>
            </w:r>
            <w:r/>
          </w:p>
        </w:tc>
      </w:tr>
      <w:tr>
        <w:trPr>
          <w:cantSplit/>
          <w:trHeight w:val="1031"/>
        </w:trPr>
        <w:tc>
          <w:tcPr>
            <w:tcW w:w="1138" w:type="pct"/>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工期</w:t>
            </w:r>
            <w:r/>
          </w:p>
        </w:tc>
        <w:tc>
          <w:tcPr>
            <w:tcW w:w="3861" w:type="pct"/>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1031"/>
        </w:trPr>
        <w:tc>
          <w:tcPr>
            <w:tcW w:w="1138" w:type="pct"/>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误期违约金</w:t>
            </w:r>
            <w:r/>
          </w:p>
        </w:tc>
        <w:tc>
          <w:tcPr>
            <w:tcW w:w="3861" w:type="pct"/>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 xml:space="preserve">合同总价的万分之五/天</w:t>
            </w:r>
            <w:r/>
          </w:p>
        </w:tc>
      </w:tr>
      <w:tr>
        <w:trPr>
          <w:cantSplit/>
          <w:trHeight w:val="1031"/>
        </w:trPr>
        <w:tc>
          <w:tcPr>
            <w:tcW w:w="1138" w:type="pct"/>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质量标准</w:t>
            </w:r>
            <w:r/>
          </w:p>
        </w:tc>
        <w:tc>
          <w:tcPr>
            <w:tcW w:w="3861" w:type="pct"/>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lang w:val="en-US" w:eastAsia="zh-CN"/>
              </w:rPr>
              <w:t xml:space="preserve">一次性验收通过，100%合格</w:t>
            </w:r>
            <w:r/>
          </w:p>
        </w:tc>
      </w:tr>
      <w:tr>
        <w:trPr>
          <w:cantSplit/>
          <w:trHeight w:val="1031"/>
        </w:trPr>
        <w:tc>
          <w:tcPr>
            <w:tcW w:w="1138" w:type="pct"/>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项目负责人</w:t>
            </w:r>
            <w:r/>
          </w:p>
        </w:tc>
        <w:tc>
          <w:tcPr>
            <w:tcW w:w="3861" w:type="pct"/>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1031"/>
        </w:trPr>
        <w:tc>
          <w:tcPr>
            <w:tcW w:w="1138" w:type="pct"/>
            <w:vAlign w:val="center"/>
            <w:textDirection w:val="lrTb"/>
            <w:noWrap w:val="false"/>
          </w:tcPr>
          <w:p>
            <w:pPr>
              <w:jc w:val="center"/>
              <w:spacing w:line="30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4"/>
                <w:highlight w:val="none"/>
              </w:rPr>
              <w:t xml:space="preserve">缺陷责任养护期</w:t>
            </w:r>
            <w:r/>
          </w:p>
        </w:tc>
        <w:tc>
          <w:tcPr>
            <w:tcW w:w="3861" w:type="pct"/>
            <w:vAlign w:val="center"/>
            <w:textDirection w:val="lrTb"/>
            <w:noWrap w:val="false"/>
          </w:tcPr>
          <w:p>
            <w:pPr>
              <w:spacing w:line="400" w:lineRule="exact"/>
              <w:widowControl/>
              <w:rPr>
                <w:rFonts w:hint="default" w:ascii="宋体" w:hAnsi="宋体" w:eastAsia="宋体" w:cs="宋体"/>
                <w:color w:val="auto"/>
                <w:sz w:val="24"/>
                <w:szCs w:val="28"/>
                <w:highlight w:val="none"/>
                <w:lang w:val="en-US"/>
              </w:rPr>
            </w:pPr>
            <w:r>
              <w:rPr>
                <w:rFonts w:hint="eastAsia" w:ascii="宋体" w:hAnsi="宋体" w:eastAsia="宋体" w:cs="宋体"/>
                <w:color w:val="auto"/>
                <w:sz w:val="24"/>
                <w:szCs w:val="24"/>
                <w:highlight w:val="none"/>
              </w:rPr>
              <w:t xml:space="preserve">缺陷责任养护期：</w:t>
            </w:r>
            <w:r>
              <w:rPr>
                <w:rFonts w:hint="eastAsia" w:ascii="宋体" w:hAnsi="宋体" w:eastAsia="宋体" w:cs="宋体"/>
                <w:color w:val="auto"/>
                <w:sz w:val="24"/>
                <w:szCs w:val="24"/>
                <w:highlight w:val="none"/>
                <w:lang w:val="en-US" w:eastAsia="zh-CN"/>
              </w:rPr>
              <w:t xml:space="preserve">3个月</w:t>
            </w:r>
            <w:r/>
          </w:p>
        </w:tc>
      </w:tr>
      <w:tr>
        <w:trPr>
          <w:cantSplit/>
          <w:trHeight w:val="1031"/>
        </w:trPr>
        <w:tc>
          <w:tcPr>
            <w:tcW w:w="1138" w:type="pct"/>
            <w:vAlign w:val="center"/>
            <w:textDirection w:val="lrTb"/>
            <w:noWrap w:val="false"/>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养护等级</w:t>
            </w:r>
            <w:r/>
          </w:p>
        </w:tc>
        <w:tc>
          <w:tcPr>
            <w:tcW w:w="3861" w:type="pct"/>
            <w:vAlign w:val="center"/>
            <w:textDirection w:val="lrTb"/>
            <w:noWrap w:val="false"/>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《江苏省城市园林绿化养护管理规范及分级标准》一级养护标准</w:t>
            </w:r>
            <w:r/>
          </w:p>
        </w:tc>
      </w:tr>
    </w:tbl>
    <w:p>
      <w:pPr>
        <w:keepLines w:val="0"/>
        <w:keepNext w:val="0"/>
        <w:pageBreakBefore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法定代表人或法定代表人授权代表签字或盖章：</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400" w:lineRule="exact"/>
        <w:rPr>
          <w:rFonts w:ascii="宋体" w:hAnsi="宋体"/>
          <w:szCs w:val="21"/>
          <w:highlight w:val="none"/>
        </w:rPr>
      </w:pPr>
      <w:r>
        <w:rPr>
          <w:rFonts w:ascii="宋体" w:hAnsi="宋体"/>
          <w:szCs w:val="21"/>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（五）项目管理机构配备情况（格式）</w:t>
      </w:r>
      <w:r/>
    </w:p>
    <w:p>
      <w:pPr>
        <w:ind w:right="-21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（1）项目管理机构配备情况表               表1</w:t>
      </w:r>
      <w:r/>
    </w:p>
    <w:p>
      <w:pPr>
        <w:ind w:right="-212"/>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（2）项目负责人简历表                     表2</w:t>
      </w:r>
      <w:r/>
    </w:p>
    <w:p>
      <w:pPr>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）项目管理机构配备情况辅助说明资料     表</w:t>
      </w:r>
      <w:r>
        <w:rPr>
          <w:rFonts w:hint="eastAsia" w:ascii="宋体" w:hAnsi="宋体" w:eastAsia="宋体" w:cs="宋体"/>
          <w:color w:val="auto"/>
          <w:sz w:val="24"/>
          <w:highlight w:val="none"/>
          <w:lang w:val="en-US" w:eastAsia="zh-CN"/>
        </w:rPr>
        <w:t xml:space="preserve">3</w:t>
      </w:r>
      <w:r/>
    </w:p>
    <w:p>
      <w:pPr>
        <w:spacing w:line="360" w:lineRule="auto"/>
        <w:tabs>
          <w:tab w:val="left" w:pos="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）项目管理机构配备情况辅助说明资料     表</w:t>
      </w:r>
      <w:r>
        <w:rPr>
          <w:rFonts w:hint="eastAsia" w:ascii="宋体" w:hAnsi="宋体" w:eastAsia="宋体" w:cs="宋体"/>
          <w:color w:val="auto"/>
          <w:sz w:val="24"/>
          <w:highlight w:val="none"/>
          <w:lang w:val="en-US" w:eastAsia="zh-CN"/>
        </w:rPr>
        <w:t xml:space="preserve">4</w:t>
      </w:r>
      <w:r/>
    </w:p>
    <w:p>
      <w:pPr>
        <w:pStyle w:val="880"/>
        <w:rPr>
          <w:rFonts w:hint="eastAsia"/>
          <w:color w:val="auto"/>
          <w:highlight w:val="none"/>
          <w:lang w:eastAsia="zh-CN"/>
        </w:rPr>
      </w:pPr>
      <w:r>
        <w:rPr>
          <w:rFonts w:hint="eastAsia"/>
          <w:color w:val="auto"/>
          <w:highlight w:val="none"/>
          <w:lang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项目管理机构配备情况表</w:t>
      </w:r>
      <w:r/>
    </w:p>
    <w:p>
      <w:pPr>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34"/>
          <w:highlight w:val="none"/>
        </w:rPr>
        <w:t xml:space="preserve">表1</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6"/>
            <w:tcW w:w="5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已承担在建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80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级别</w:t>
            </w:r>
            <w:r/>
          </w:p>
        </w:tc>
        <w:tc>
          <w:tcPr>
            <w:tcW w:w="73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W w:w="8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原服务单位</w:t>
            </w:r>
            <w:r/>
          </w:p>
        </w:tc>
        <w:tc>
          <w:tcPr>
            <w:tcW w:w="106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0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0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0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0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0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0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979"/>
        </w:trPr>
        <w:tc>
          <w:tcPr>
            <w:gridSpan w:val="11"/>
            <w:tcW w:w="9453" w:type="dxa"/>
            <w:vAlign w:val="top"/>
            <w:textDirection w:val="lrTb"/>
            <w:noWrap w:val="false"/>
          </w:tcPr>
          <w:p>
            <w:pPr>
              <w:ind w:left="0" w:right="34" w:firstLine="0"/>
              <w:jc w:val="left"/>
              <w:spacing w:before="120" w:line="360"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一旦我单位中标，将实行项目负责人负责制，我方保证并配备上述项目管理机构。上述填报内容真实，若不真实，愿按有关规定接受处理。项目管理班子机构设置、职责分工等情况另附资料说明。后附上述人员相关资料复印件加盖公章。             </w:t>
            </w:r>
            <w:r/>
          </w:p>
        </w:tc>
      </w:tr>
    </w:tbl>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项目负责人简历表</w:t>
      </w:r>
      <w:r/>
    </w:p>
    <w:p>
      <w:pPr>
        <w:ind w:left="420"/>
        <w:jc w:val="both"/>
        <w:keepLines/>
        <w:keepNext/>
        <w:spacing w:before="260" w:after="260" w:line="416" w:lineRule="auto"/>
        <w:widowControl w:val="off"/>
        <w:rPr>
          <w:rFonts w:hint="eastAsia" w:ascii="宋体" w:hAnsi="宋体" w:eastAsia="宋体" w:cs="宋体"/>
          <w:b w:val="0"/>
          <w:bCs w:val="0"/>
          <w:color w:val="auto"/>
          <w:sz w:val="21"/>
          <w:szCs w:val="32"/>
          <w:highlight w:val="none"/>
          <w:lang w:val="en-US" w:eastAsia="zh-CN" w:bidi="ar-SA"/>
        </w:rPr>
        <w:outlineLvl w:val="2"/>
      </w:pPr>
      <w:r>
        <w:rPr>
          <w:rFonts w:hint="eastAsia" w:ascii="宋体" w:hAnsi="宋体" w:eastAsia="宋体" w:cs="宋体"/>
          <w:b w:val="0"/>
          <w:bCs w:val="0"/>
          <w:color w:val="auto"/>
          <w:sz w:val="24"/>
          <w:szCs w:val="32"/>
          <w:highlight w:val="none"/>
          <w:u w:val="single"/>
          <w:lang w:val="en-US" w:eastAsia="zh-CN" w:bidi="ar-SA"/>
        </w:rPr>
        <w:t xml:space="preserve">        </w:t>
      </w:r>
      <w:r>
        <w:rPr>
          <w:rFonts w:hint="eastAsia" w:ascii="黑体" w:hAnsi="宋体" w:eastAsia="黑体" w:cs="宋体"/>
          <w:b/>
          <w:bCs/>
          <w:color w:val="auto"/>
          <w:sz w:val="24"/>
          <w:szCs w:val="32"/>
          <w:highlight w:val="none"/>
          <w:u w:val="single"/>
          <w:lang w:val="en-US" w:eastAsia="zh-CN" w:bidi="ar-SA"/>
        </w:rPr>
        <w:t xml:space="preserve">项目</w:t>
      </w:r>
      <w:r>
        <w:rPr>
          <w:rFonts w:hint="eastAsia" w:ascii="宋体" w:hAnsi="宋体" w:eastAsia="宋体" w:cs="宋体"/>
          <w:b w:val="0"/>
          <w:bCs w:val="0"/>
          <w:color w:val="auto"/>
          <w:sz w:val="24"/>
          <w:szCs w:val="32"/>
          <w:highlight w:val="non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                                      </w:t>
      </w:r>
      <w:r>
        <w:rPr>
          <w:rFonts w:hint="eastAsia" w:ascii="宋体" w:hAnsi="宋体" w:eastAsia="宋体" w:cs="宋体"/>
          <w:color w:val="auto"/>
          <w:sz w:val="34"/>
          <w:highlight w:val="none"/>
          <w:lang w:val="en-US" w:eastAsia="zh-CN"/>
        </w:rPr>
        <w:t xml:space="preserve"> 表2  </w:t>
      </w:r>
      <w:r>
        <w:rPr>
          <w:rFonts w:hint="eastAsia" w:ascii="宋体" w:hAnsi="宋体" w:eastAsia="宋体" w:cs="宋体"/>
          <w:b/>
          <w:bCs/>
          <w:color w:val="auto"/>
          <w:sz w:val="32"/>
          <w:szCs w:val="32"/>
          <w:highlight w:val="none"/>
          <w:lang w:val="en-US" w:eastAsia="zh-CN" w:bidi="ar-SA"/>
        </w:rPr>
        <w:t xml:space="preserve">                                                                                      </w:t>
      </w:r>
      <w:r/>
    </w:p>
    <w:tbl>
      <w:tblPr>
        <w:tblStyle w:val="873"/>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gridSpan w:val="2"/>
            <w:tcW w:w="18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gridSpan w:val="2"/>
            <w:tcW w:w="18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担任项目负责人年限</w:t>
            </w:r>
            <w:r/>
          </w:p>
        </w:tc>
        <w:tc>
          <w:tcPr>
            <w:tcW w:w="13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注册建造师注册编号</w:t>
            </w:r>
            <w:r/>
          </w:p>
        </w:tc>
        <w:tc>
          <w:tcPr>
            <w:gridSpan w:val="10"/>
            <w:tcW w:w="59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0"/>
        </w:trPr>
        <w:tc>
          <w:tcPr>
            <w:gridSpan w:val="13"/>
            <w:tcW w:w="87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在建和已完工程项目情况</w:t>
            </w:r>
            <w:r/>
          </w:p>
        </w:tc>
      </w:tr>
      <w:tr>
        <w:trPr>
          <w:trHeight w:val="1228"/>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开、竣工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tc>
        <w:tc>
          <w:tcPr>
            <w:gridSpan w:val="2"/>
            <w:tcW w:w="105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在建或已完</w:t>
            </w:r>
            <w:r>
              <w:rPr>
                <w:rFonts w:hint="eastAsia" w:ascii="宋体" w:hAnsi="宋体" w:eastAsia="宋体" w:cs="宋体"/>
                <w:color w:val="auto"/>
                <w:sz w:val="24"/>
                <w:highlight w:val="none"/>
                <w:lang w:val="en-US" w:eastAsia="zh-CN"/>
              </w:rPr>
              <w:t xml:space="preserve">工程</w:t>
            </w:r>
            <w:r/>
          </w:p>
        </w:tc>
        <w:tc>
          <w:tcPr>
            <w:tcW w:w="13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both"/>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项目管理机构配备情况辅助说明资料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highlight w:val="none"/>
        </w:rPr>
        <w:t xml:space="preserve">                                            </w:t>
      </w:r>
      <w:r>
        <w:rPr>
          <w:rFonts w:hint="eastAsia" w:ascii="宋体" w:hAnsi="宋体" w:eastAsia="宋体" w:cs="宋体"/>
          <w:color w:val="auto"/>
          <w:sz w:val="34"/>
          <w:szCs w:val="21"/>
          <w:highlight w:val="none"/>
        </w:rPr>
        <w:t xml:space="preserve"> </w:t>
      </w:r>
      <w:r>
        <w:rPr>
          <w:rFonts w:hint="eastAsia" w:ascii="宋体" w:hAnsi="宋体" w:eastAsia="宋体" w:cs="宋体"/>
          <w:b/>
          <w:bCs/>
          <w:color w:val="auto"/>
          <w:sz w:val="32"/>
          <w:szCs w:val="32"/>
          <w:highlight w:val="none"/>
          <w:lang w:val="en-US" w:eastAsia="zh-CN" w:bidi="ar-SA"/>
        </w:rPr>
        <w:t xml:space="preserve">表3</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jc w:val="center"/>
              <w:spacing w:line="360" w:lineRule="auto"/>
              <w:tabs>
                <w:tab w:val="left" w:pos="0" w:leader="none"/>
              </w:tabs>
              <w:rPr>
                <w:rFonts w:hint="eastAsia" w:ascii="宋体" w:hAnsi="宋体" w:eastAsia="宋体" w:cs="宋体"/>
                <w:b/>
                <w:color w:val="auto"/>
                <w:sz w:val="34"/>
                <w:highlight w:val="none"/>
              </w:rPr>
            </w:pPr>
            <w:r>
              <w:rPr>
                <w:rFonts w:hint="eastAsia" w:ascii="宋体" w:hAnsi="宋体" w:eastAsia="宋体" w:cs="宋体"/>
                <w:b/>
                <w:color w:val="auto"/>
                <w:sz w:val="34"/>
                <w:highlight w:val="none"/>
              </w:rPr>
            </w:r>
            <w:r/>
          </w:p>
          <w:p>
            <w:pPr>
              <w:ind w:right="-212"/>
              <w:spacing w:line="360" w:lineRule="auto"/>
              <w:tabs>
                <w:tab w:val="left" w:pos="0" w:leader="none"/>
              </w:tabs>
              <w:rPr>
                <w:rFonts w:hint="eastAsia" w:ascii="宋体" w:hAnsi="宋体" w:eastAsia="宋体" w:cs="宋体"/>
                <w:color w:val="auto"/>
                <w:sz w:val="34"/>
                <w:highlight w:val="none"/>
              </w:rPr>
            </w:pPr>
            <w:r>
              <w:rPr>
                <w:rFonts w:hint="eastAsia" w:ascii="宋体" w:hAnsi="宋体" w:eastAsia="宋体" w:cs="宋体"/>
                <w:color w:val="auto"/>
                <w:sz w:val="34"/>
                <w:highlight w:val="none"/>
              </w:rPr>
            </w:r>
            <w:r/>
          </w:p>
        </w:tc>
      </w:tr>
    </w:tbl>
    <w:p>
      <w:pPr>
        <w:ind w:left="697" w:right="34" w:hanging="697"/>
        <w:jc w:val="left"/>
        <w:spacing w:before="120"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注：1.辅助说明资料主要包括管理机构的机构设置、职责分工、有关复印证明资料以及报价供应商认为有必要提供的资料。辅助说明资料格式不作统一规定，由报价供应商自行设计。</w:t>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2.项目管理班子配备情况辅助说明资料另附（与本响应文件一起装订）。</w:t>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pStyle w:val="880"/>
        <w:rPr>
          <w:rFonts w:hint="eastAsia"/>
          <w:color w:val="auto"/>
          <w:highlight w:val="none"/>
          <w:lang w:val="en-US" w:eastAsia="zh-CN"/>
        </w:rPr>
      </w:pPr>
      <w:r>
        <w:rPr>
          <w:rFonts w:hint="eastAsia"/>
          <w:color w:val="auto"/>
          <w:highlight w:val="none"/>
          <w:lang w:val="en-US" w:eastAsia="zh-CN"/>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ind w:left="0" w:right="34" w:firstLine="403"/>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项目施工班组</w:t>
      </w:r>
      <w:r/>
    </w:p>
    <w:p>
      <w:pPr>
        <w:rPr>
          <w:rFonts w:hint="eastAsia" w:ascii="宋体" w:hAnsi="Times New Roman" w:eastAsia="宋体" w:cs="Times New Roman"/>
          <w:color w:val="auto"/>
          <w:sz w:val="34"/>
          <w:highlight w:val="none"/>
          <w:lang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项目</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34"/>
          <w:szCs w:val="21"/>
          <w:highlight w:val="none"/>
        </w:rPr>
        <w:t xml:space="preserve">表</w:t>
      </w:r>
      <w:r>
        <w:rPr>
          <w:rFonts w:hint="eastAsia" w:ascii="宋体" w:hAnsi="宋体" w:eastAsia="宋体" w:cs="宋体"/>
          <w:color w:val="auto"/>
          <w:sz w:val="34"/>
          <w:szCs w:val="21"/>
          <w:highlight w:val="none"/>
          <w:lang w:val="en-US" w:eastAsia="zh-CN"/>
        </w:rPr>
        <w:t xml:space="preserve">4</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765"/>
        <w:gridCol w:w="720"/>
        <w:gridCol w:w="1245"/>
        <w:gridCol w:w="825"/>
        <w:gridCol w:w="900"/>
        <w:gridCol w:w="945"/>
        <w:gridCol w:w="1620"/>
        <w:gridCol w:w="975"/>
      </w:tblGrid>
      <w:tr>
        <w:trPr>
          <w:cantSplit/>
          <w:trHeight w:val="467"/>
        </w:trPr>
        <w:tc>
          <w:tcPr>
            <w:tcW w:w="864"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序号</w:t>
            </w:r>
            <w:r/>
          </w:p>
        </w:tc>
        <w:tc>
          <w:tcPr>
            <w:tcW w:w="765"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72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6"/>
            <w:tcW w:w="65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执业或职业资格证明</w:t>
            </w:r>
            <w:r/>
          </w:p>
        </w:tc>
      </w:tr>
      <w:tr>
        <w:trPr>
          <w:cantSplit/>
          <w:trHeight w:val="444"/>
        </w:trPr>
        <w:tc>
          <w:tcPr>
            <w:tcW w:w="864"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82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级别</w:t>
            </w:r>
            <w:r/>
          </w:p>
        </w:tc>
        <w:tc>
          <w:tcPr>
            <w:tcW w:w="9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9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1620"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备注</w:t>
            </w:r>
            <w:r/>
          </w:p>
        </w:tc>
        <w:tc>
          <w:tcPr>
            <w:tcW w:w="97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86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86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86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86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86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864"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7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left="0" w:right="34" w:firstLine="0"/>
        <w:jc w:val="left"/>
        <w:spacing w:before="120" w:line="360" w:lineRule="auto"/>
        <w:widowControl w:val="off"/>
        <w:rPr>
          <w:rFonts w:hint="default"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后附上述人员相关资料复印件加盖公章。</w:t>
      </w:r>
      <w:r/>
    </w:p>
    <w:p>
      <w:pPr>
        <w:numPr>
          <w:ilvl w:val="0"/>
          <w:numId w:val="0"/>
        </w:numPr>
        <w:jc w:val="both"/>
        <w:spacing w:after="20" w:line="288" w:lineRule="auto"/>
        <w:widowControl w:val="off"/>
        <w:rPr>
          <w:rFonts w:hint="eastAsia" w:ascii="宋体" w:hAnsi="Times New Roman" w:eastAsia="宋体" w:cs="Times New Roman"/>
          <w:color w:val="auto"/>
          <w:sz w:val="34"/>
          <w:szCs w:val="20"/>
          <w:highlight w:val="none"/>
          <w:lang w:val="en-US" w:eastAsia="zh-CN" w:bidi="ar-SA"/>
        </w:rPr>
      </w:pPr>
      <w:r>
        <w:rPr>
          <w:rFonts w:hint="eastAsia" w:ascii="宋体" w:hAnsi="Times New Roman" w:eastAsia="宋体" w:cs="Times New Roman"/>
          <w:color w:val="auto"/>
          <w:sz w:val="34"/>
          <w:szCs w:val="20"/>
          <w:highlight w:val="none"/>
          <w:lang w:val="en-US" w:eastAsia="zh-CN" w:bidi="ar-SA"/>
        </w:rPr>
      </w:r>
      <w:r/>
    </w:p>
    <w:p>
      <w:pPr>
        <w:ind w:firstLine="480"/>
        <w:jc w:val="right"/>
        <w:spacing w:before="24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投标供应商：</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（公章）</w:t>
      </w:r>
      <w:r/>
    </w:p>
    <w:p>
      <w:pPr>
        <w:ind w:right="480" w:firstLine="480"/>
        <w:jc w:val="right"/>
        <w:spacing w:before="240" w:line="360" w:lineRule="auto"/>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法定代表人签名或盖章：          </w:t>
      </w:r>
      <w:r>
        <w:rPr>
          <w:rFonts w:hint="eastAsia" w:ascii="宋体" w:hAnsi="Times New Roman" w:eastAsia="宋体" w:cs="Times New Roman"/>
          <w:color w:val="auto"/>
          <w:sz w:val="24"/>
          <w:highlight w:val="none"/>
        </w:rPr>
        <w:t xml:space="preserve">  </w:t>
      </w:r>
      <w:r/>
    </w:p>
    <w:p>
      <w:pPr>
        <w:ind w:firstLine="51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w:t>
      </w:r>
      <w:r/>
    </w:p>
    <w:p>
      <w:pPr>
        <w:ind w:firstLine="579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日期：     年   月    日</w:t>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）（供应商）中小企业声明函 (格式)</w:t>
      </w:r>
      <w:r/>
    </w:p>
    <w:p>
      <w:pPr>
        <w:spacing w:line="48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中小企业声明函（服务）</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采购活动，服务全部由符合政策要求的中小企业承接。相关企业（含联合体中的中小企业、签订分包意向协议的中小企业）的具体情况如下：</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 </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单一来源</w:t>
      </w:r>
      <w:r>
        <w:rPr>
          <w:rFonts w:hint="eastAsia" w:ascii="宋体" w:hAnsi="宋体" w:cs="宋体"/>
          <w:sz w:val="24"/>
          <w:szCs w:val="24"/>
          <w:highlight w:val="none"/>
          <w:u w:val="single"/>
        </w:rPr>
        <w:t xml:space="preserve">文件中明确的所属行业）</w:t>
      </w:r>
      <w:r>
        <w:rPr>
          <w:rFonts w:hint="eastAsia" w:ascii="宋体" w:hAnsi="宋体" w:cs="宋体"/>
          <w:sz w:val="24"/>
          <w:szCs w:val="24"/>
          <w:highlight w:val="none"/>
        </w:rPr>
        <w:t xml:space="preserve">；承接企业为（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单一来源</w:t>
      </w:r>
      <w:r>
        <w:rPr>
          <w:rFonts w:hint="eastAsia" w:ascii="宋体" w:hAnsi="宋体" w:cs="宋体"/>
          <w:sz w:val="24"/>
          <w:szCs w:val="24"/>
          <w:highlight w:val="none"/>
          <w:u w:val="single"/>
        </w:rPr>
        <w:t xml:space="preserve">文件中明确的所属行业）</w:t>
      </w:r>
      <w:r>
        <w:rPr>
          <w:rFonts w:hint="eastAsia" w:ascii="宋体" w:hAnsi="宋体" w:cs="宋体"/>
          <w:sz w:val="24"/>
          <w:szCs w:val="24"/>
          <w:highlight w:val="none"/>
        </w:rPr>
        <w:t xml:space="preserve">；承接企业为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企业名称（盖章）：</w:t>
      </w:r>
      <w:r/>
    </w:p>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146"/>
        <w:spacing w:line="360" w:lineRule="auto"/>
        <w:rPr>
          <w:rFonts w:hint="eastAsia" w:ascii="宋体" w:hAnsi="宋体" w:cs="宋体"/>
          <w:b/>
          <w:sz w:val="18"/>
          <w:szCs w:val="18"/>
          <w:highlight w:val="none"/>
        </w:rPr>
      </w:pPr>
      <w:r>
        <w:rPr>
          <w:rFonts w:hint="eastAsia" w:ascii="宋体" w:hAnsi="宋体" w:cs="宋体"/>
          <w:b/>
          <w:sz w:val="18"/>
          <w:szCs w:val="18"/>
          <w:highlight w:val="none"/>
        </w:rPr>
        <w:t xml:space="preserve">注：1.从业人员、营业收入、资产总额填报上一年度数据，无上一年度数据的新成立企业可不填报。</w:t>
      </w:r>
      <w:r/>
    </w:p>
    <w:p>
      <w:pPr>
        <w:ind w:firstLine="146"/>
        <w:spacing w:line="360" w:lineRule="auto"/>
        <w:rPr>
          <w:rFonts w:hint="eastAsia" w:ascii="宋体" w:hAnsi="宋体" w:cs="宋体"/>
          <w:b/>
          <w:sz w:val="18"/>
          <w:szCs w:val="18"/>
          <w:highlight w:val="none"/>
        </w:rPr>
      </w:pPr>
      <w:r/>
      <w:bookmarkStart w:id="624" w:name="_Hlk62576033"/>
      <w:r>
        <w:rPr>
          <w:rFonts w:hint="eastAsia" w:ascii="宋体" w:hAnsi="宋体" w:cs="宋体"/>
          <w:b/>
          <w:sz w:val="18"/>
          <w:szCs w:val="18"/>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bookmarkEnd w:id="624"/>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）（供应商）残疾人福利性单位声明函(格式)</w:t>
      </w:r>
      <w:r/>
    </w:p>
    <w:p>
      <w:pPr>
        <w:pStyle w:val="866"/>
        <w:rPr>
          <w:rFonts w:hint="eastAsia"/>
          <w:highlight w:val="none"/>
        </w:rPr>
      </w:pPr>
      <w:r>
        <w:rPr>
          <w:rFonts w:hint="eastAsia"/>
          <w:highlight w:val="none"/>
        </w:rPr>
      </w:r>
      <w:r/>
    </w:p>
    <w:p>
      <w:pPr>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残疾人福利性单位声明函</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  期：</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（八）承诺书一（格式）</w:t>
      </w:r>
      <w:r/>
    </w:p>
    <w:p>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color w:val="auto"/>
          <w:sz w:val="24"/>
          <w:highlight w:val="none"/>
          <w:u w:val="single"/>
        </w:rPr>
        <w:t xml:space="preserve">    （采购人名称）           </w:t>
      </w:r>
      <w:r/>
    </w:p>
    <w:p>
      <w:pPr>
        <w:ind w:firstLine="480"/>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我公司自愿参加贵单位（公司）</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w:t>
      </w:r>
      <w:r>
        <w:rPr>
          <w:rFonts w:hint="eastAsia" w:ascii="宋体" w:hAnsi="宋体" w:eastAsia="宋体" w:cs="Times New Roman"/>
          <w:color w:val="auto"/>
          <w:sz w:val="24"/>
          <w:highlight w:val="none"/>
          <w:lang w:val="en-US" w:eastAsia="zh-CN"/>
        </w:rPr>
        <w:t xml:space="preserve">我公司主动放弃中标资格</w:t>
      </w:r>
      <w:r>
        <w:rPr>
          <w:rFonts w:hint="eastAsia" w:ascii="宋体" w:hAnsi="宋体" w:eastAsia="宋体" w:cs="Times New Roman"/>
          <w:color w:val="auto"/>
          <w:sz w:val="24"/>
          <w:highlight w:val="none"/>
        </w:rPr>
        <w:t xml:space="preserve">，并接受政府采购主管部门对我公司弄虚作假、违反公平和诚实信用原则做出的任何处理。</w:t>
      </w:r>
      <w:r/>
    </w:p>
    <w:p>
      <w:pPr>
        <w:ind w:firstLine="480"/>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单位：（盖章）          </w:t>
      </w:r>
      <w:r/>
    </w:p>
    <w:p>
      <w:pPr>
        <w:ind w:firstLine="480"/>
        <w:jc w:val="right"/>
        <w:spacing w:before="240" w:line="360" w:lineRule="auto"/>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法定代表人签名或盖章：          </w:t>
      </w:r>
      <w:r>
        <w:rPr>
          <w:rFonts w:hint="eastAsia" w:ascii="宋体" w:hAnsi="Times New Roman" w:eastAsia="宋体" w:cs="Times New Roman"/>
          <w:color w:val="auto"/>
          <w:sz w:val="24"/>
          <w:highlight w:val="none"/>
        </w:rPr>
        <w:t xml:space="preserve">  </w:t>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年    月    日</w:t>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905"/>
        <w:numPr>
          <w:ilvl w:val="0"/>
          <w:numId w:val="0"/>
        </w:numPr>
        <w:jc w:val="both"/>
        <w:spacing w:after="20" w:line="288" w:lineRule="auto"/>
        <w:widowControl w:val="off"/>
        <w:rPr>
          <w:rFonts w:hint="eastAsia" w:ascii="宋体" w:hAnsi="宋体" w:eastAsia="黑体" w:cs="Times New Roman"/>
          <w:b/>
          <w:bCs w:val="0"/>
          <w:color w:val="auto"/>
          <w:sz w:val="32"/>
          <w:szCs w:val="32"/>
          <w:highlight w:val="none"/>
          <w:lang w:val="en-US" w:eastAsia="zh-CN" w:bidi="ar-SA"/>
        </w:rPr>
      </w:pPr>
      <w:r>
        <w:rPr>
          <w:rFonts w:hint="eastAsia" w:ascii="宋体" w:hAnsi="宋体" w:eastAsia="黑体" w:cs="Times New Roman"/>
          <w:b/>
          <w:bCs w:val="0"/>
          <w:color w:val="auto"/>
          <w:sz w:val="32"/>
          <w:szCs w:val="32"/>
          <w:highlight w:val="none"/>
          <w:lang w:val="en-US" w:eastAsia="zh-CN" w:bidi="ar-SA"/>
        </w:rPr>
      </w:r>
      <w:r/>
    </w:p>
    <w:p>
      <w:pPr>
        <w:pStyle w:val="880"/>
        <w:rPr>
          <w:rFonts w:hint="eastAsia" w:ascii="宋体" w:hAnsi="宋体" w:eastAsia="黑体" w:cs="Times New Roman"/>
          <w:b/>
          <w:bCs w:val="0"/>
          <w:color w:val="auto"/>
          <w:sz w:val="32"/>
          <w:szCs w:val="32"/>
          <w:highlight w:val="none"/>
          <w:lang w:val="en-US" w:eastAsia="zh-CN" w:bidi="ar-SA"/>
        </w:rPr>
      </w:pPr>
      <w:r>
        <w:rPr>
          <w:rFonts w:hint="eastAsia" w:ascii="宋体" w:hAnsi="宋体" w:eastAsia="黑体" w:cs="Times New Roman"/>
          <w:b/>
          <w:bCs w:val="0"/>
          <w:color w:val="auto"/>
          <w:sz w:val="32"/>
          <w:szCs w:val="32"/>
          <w:highlight w:val="none"/>
          <w:lang w:val="en-US" w:eastAsia="zh-CN" w:bidi="ar-SA"/>
        </w:rPr>
      </w:r>
      <w:r/>
    </w:p>
    <w:p>
      <w:pPr>
        <w:jc w:val="both"/>
        <w:keepLines/>
        <w:keepNext/>
        <w:spacing w:before="260" w:after="260" w:line="416" w:lineRule="auto"/>
        <w:widowControl w:val="off"/>
        <w:rPr>
          <w:rFonts w:hint="eastAsia" w:ascii="宋体" w:hAnsi="宋体" w:eastAsia="黑体" w:cs="Times New Roman"/>
          <w:b/>
          <w:bCs w:val="0"/>
          <w:color w:val="auto"/>
          <w:sz w:val="32"/>
          <w:szCs w:val="32"/>
          <w:highlight w:val="none"/>
          <w:lang w:val="en-US" w:eastAsia="zh-CN" w:bidi="ar-SA"/>
        </w:rPr>
        <w:outlineLvl w:val="2"/>
      </w:pPr>
      <w:r>
        <w:rPr>
          <w:rFonts w:hint="eastAsia" w:ascii="宋体" w:hAnsi="宋体" w:eastAsia="黑体" w:cs="Times New Roman"/>
          <w:b/>
          <w:bCs w:val="0"/>
          <w:color w:val="auto"/>
          <w:sz w:val="32"/>
          <w:szCs w:val="32"/>
          <w:highlight w:val="none"/>
          <w:lang w:val="en-US" w:eastAsia="zh-CN" w:bidi="ar-SA"/>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承诺书二  项目负责人无在建工程承诺（格式）</w:t>
      </w:r>
      <w:r/>
    </w:p>
    <w:p>
      <w:pPr>
        <w:ind w:firstLine="480"/>
        <w:spacing w:before="240"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   （采购人名称）      </w:t>
      </w:r>
      <w:r>
        <w:rPr>
          <w:rFonts w:hint="eastAsia" w:ascii="宋体" w:hAnsi="宋体" w:eastAsia="宋体" w:cs="Times New Roman"/>
          <w:color w:val="auto"/>
          <w:sz w:val="24"/>
          <w:highlight w:val="none"/>
        </w:rPr>
        <w:t xml:space="preserve">：</w:t>
      </w:r>
      <w:r/>
    </w:p>
    <w:p>
      <w:pPr>
        <w:ind w:firstLine="480"/>
        <w:spacing w:before="24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我公司保证参与</w:t>
      </w:r>
      <w:r>
        <w:rPr>
          <w:rFonts w:hint="eastAsia" w:ascii="宋体" w:hAnsi="宋体" w:eastAsia="宋体" w:cs="Times New Roman"/>
          <w:color w:val="auto"/>
          <w:sz w:val="24"/>
          <w:highlight w:val="none"/>
          <w:u w:val="single"/>
        </w:rPr>
        <w:t xml:space="preserve">（拟招标项目名称）</w:t>
      </w:r>
      <w:r>
        <w:rPr>
          <w:rFonts w:hint="eastAsia" w:ascii="宋体" w:hAnsi="宋体" w:eastAsia="宋体" w:cs="Times New Roman"/>
          <w:color w:val="auto"/>
          <w:sz w:val="24"/>
          <w:highlight w:val="none"/>
        </w:rPr>
        <w:t xml:space="preserve">投标的拟任项目负责人无任何在建工程项目，提交的项目负责人的职称证书原件是真实的，以上承诺如有不实，采购人可取消我方投标资格，如中标</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我公司主动放弃中标资格并</w:t>
      </w:r>
      <w:r>
        <w:rPr>
          <w:rFonts w:hint="eastAsia" w:ascii="宋体" w:hAnsi="宋体" w:eastAsia="宋体" w:cs="Times New Roman"/>
          <w:color w:val="auto"/>
          <w:sz w:val="24"/>
          <w:highlight w:val="none"/>
        </w:rPr>
        <w:t xml:space="preserve">承担一切由此造成的法律后果。</w:t>
      </w:r>
      <w:r/>
    </w:p>
    <w:p>
      <w:pPr>
        <w:ind w:firstLine="480"/>
        <w:spacing w:before="24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p>
    <w:p>
      <w:pPr>
        <w:ind w:firstLine="480"/>
        <w:jc w:val="right"/>
        <w:spacing w:before="240"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（公章）</w:t>
      </w:r>
      <w:r/>
    </w:p>
    <w:p>
      <w:pPr>
        <w:ind w:firstLine="480"/>
        <w:jc w:val="right"/>
        <w:spacing w:before="240" w:line="360" w:lineRule="auto"/>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法定代表人签名或盖章：          </w:t>
      </w:r>
      <w:r>
        <w:rPr>
          <w:rFonts w:hint="eastAsia" w:ascii="宋体" w:hAnsi="Times New Roman" w:eastAsia="宋体" w:cs="Times New Roman"/>
          <w:color w:val="auto"/>
          <w:sz w:val="24"/>
          <w:highlight w:val="none"/>
        </w:rPr>
        <w:t xml:space="preserve">  </w:t>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年    月    日</w:t>
      </w:r>
      <w:r>
        <w:rPr>
          <w:rFonts w:ascii="宋体" w:hAnsi="宋体" w:eastAsia="宋体" w:cs="Times New Roman"/>
          <w:color w:val="auto"/>
          <w:sz w:val="24"/>
          <w:highlight w:val="none"/>
        </w:rPr>
        <w:t xml:space="preserve">   </w:t>
      </w:r>
      <w:r/>
    </w:p>
    <w:p>
      <w:pPr>
        <w:ind w:firstLine="480"/>
        <w:jc w:val="right"/>
        <w:spacing w:before="240"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before="4" w:line="360" w:lineRule="auto"/>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ind w:firstLine="643"/>
        <w:jc w:val="center"/>
        <w:spacing w:line="360" w:lineRule="auto"/>
        <w:rPr>
          <w:rFonts w:hint="eastAsia" w:ascii="宋体" w:hAnsi="宋体" w:eastAsia="黑体" w:cs="Times New Roman"/>
          <w:b/>
          <w:bCs w:val="0"/>
          <w:color w:val="auto"/>
          <w:sz w:val="32"/>
          <w:szCs w:val="32"/>
          <w:highlight w:val="none"/>
          <w:lang w:val="en-US" w:eastAsia="zh-CN" w:bidi="ar-SA"/>
        </w:rPr>
      </w:pPr>
      <w:r>
        <w:rPr>
          <w:rFonts w:hint="eastAsia" w:ascii="宋体" w:hAnsi="宋体" w:eastAsia="黑体" w:cs="Times New Roman"/>
          <w:b/>
          <w:bCs w:val="0"/>
          <w:color w:val="auto"/>
          <w:sz w:val="32"/>
          <w:szCs w:val="32"/>
          <w:highlight w:val="none"/>
          <w:lang w:val="en-US" w:eastAsia="zh-CN" w:bidi="ar-SA"/>
        </w:rPr>
      </w:r>
      <w:r/>
    </w:p>
    <w:p>
      <w:pPr>
        <w:jc w:val="both"/>
        <w:keepLines/>
        <w:keepNext/>
        <w:spacing w:before="260" w:after="260" w:line="416" w:lineRule="auto"/>
        <w:widowControl w:val="off"/>
        <w:rPr>
          <w:rFonts w:hint="eastAsia" w:ascii="宋体" w:hAnsi="宋体" w:eastAsia="黑体" w:cs="Times New Roman"/>
          <w:b/>
          <w:bCs w:val="0"/>
          <w:color w:val="auto"/>
          <w:sz w:val="32"/>
          <w:szCs w:val="32"/>
          <w:highlight w:val="none"/>
          <w:lang w:val="en-US" w:eastAsia="zh-CN" w:bidi="ar-SA"/>
        </w:rPr>
        <w:outlineLvl w:val="2"/>
      </w:pPr>
      <w:r>
        <w:rPr>
          <w:rFonts w:hint="eastAsia" w:ascii="宋体" w:hAnsi="宋体" w:eastAsia="黑体" w:cs="Times New Roman"/>
          <w:b/>
          <w:bCs w:val="0"/>
          <w:color w:val="auto"/>
          <w:sz w:val="32"/>
          <w:szCs w:val="32"/>
          <w:highlight w:val="none"/>
          <w:lang w:val="en-US" w:eastAsia="zh-CN" w:bidi="ar-SA"/>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承诺书三  不拖欠农民工工资承诺书（格式）</w:t>
      </w:r>
      <w:r/>
    </w:p>
    <w:p>
      <w:pPr>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致：</w:t>
      </w:r>
      <w:r>
        <w:rPr>
          <w:rFonts w:hint="eastAsia" w:ascii="宋体" w:hAnsi="宋体" w:eastAsia="宋体" w:cs="Times New Roman"/>
          <w:color w:val="auto"/>
          <w:sz w:val="24"/>
          <w:highlight w:val="none"/>
          <w:u w:val="single"/>
        </w:rPr>
        <w:t xml:space="preserve">   （采购人名称）    </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为保护农民工的合法权益，不拖欠农民工工资，本</w:t>
      </w:r>
      <w:r>
        <w:rPr>
          <w:rFonts w:hint="eastAsia" w:ascii="宋体" w:hAnsi="宋体" w:eastAsia="宋体" w:cs="Times New Roman"/>
          <w:color w:val="auto"/>
          <w:sz w:val="24"/>
          <w:highlight w:val="none"/>
        </w:rPr>
        <w:t xml:space="preserve">签名</w:t>
      </w:r>
      <w:r>
        <w:rPr>
          <w:rFonts w:ascii="宋体" w:hAnsi="宋体" w:eastAsia="宋体" w:cs="Times New Roman"/>
          <w:color w:val="auto"/>
          <w:sz w:val="24"/>
          <w:highlight w:val="none"/>
        </w:rPr>
        <w:t xml:space="preserve">人郑重承诺：</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本企业如果中标承建</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项目，需要使用农民工时，将保证做到：</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1、按照《</w:t>
      </w:r>
      <w:r>
        <w:rPr>
          <w:rFonts w:hint="eastAsia" w:ascii="宋体" w:hAnsi="宋体" w:eastAsia="宋体" w:cs="Times New Roman"/>
          <w:color w:val="auto"/>
          <w:sz w:val="24"/>
          <w:highlight w:val="none"/>
          <w:lang w:eastAsia="zh-CN"/>
        </w:rPr>
        <w:t xml:space="preserve">中华人民共和国劳动法</w:t>
      </w:r>
      <w:r>
        <w:rPr>
          <w:rFonts w:ascii="宋体" w:hAnsi="宋体" w:eastAsia="宋体" w:cs="Times New Roman"/>
          <w:color w:val="auto"/>
          <w:sz w:val="24"/>
          <w:highlight w:val="none"/>
        </w:rPr>
        <w:t xml:space="preserve">》规定雇佣和使用农民工，工资将直接发放给农民工本人，严禁发放给“包工头”。</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3、如果发生违反规定拖欠或克扣农民工工资行为，造成农民工上访，本公司愿意接受业主暂停我公司1年期间参加业主招标项目投标资格的处罚，同时愿意接受行政主管部门依照有关规定作出的</w:t>
      </w:r>
      <w:r>
        <w:rPr>
          <w:rFonts w:hint="eastAsia" w:ascii="宋体" w:hAnsi="宋体" w:eastAsia="宋体" w:cs="Times New Roman"/>
          <w:color w:val="auto"/>
          <w:sz w:val="24"/>
          <w:highlight w:val="none"/>
          <w:lang w:eastAsia="zh-CN"/>
        </w:rPr>
        <w:t xml:space="preserve">其他</w:t>
      </w:r>
      <w:r>
        <w:rPr>
          <w:rFonts w:ascii="宋体" w:hAnsi="宋体" w:eastAsia="宋体" w:cs="Times New Roman"/>
          <w:color w:val="auto"/>
          <w:sz w:val="24"/>
          <w:highlight w:val="none"/>
        </w:rPr>
        <w:t xml:space="preserve">处罚决定。</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4、本公司同意：</w:t>
      </w:r>
      <w:r>
        <w:rPr>
          <w:rFonts w:hint="eastAsia" w:ascii="宋体" w:hAnsi="宋体" w:eastAsia="宋体" w:cs="Times New Roman"/>
          <w:color w:val="auto"/>
          <w:sz w:val="24"/>
          <w:highlight w:val="none"/>
        </w:rPr>
        <w:t xml:space="preserve">在合同执行期间由业主</w:t>
      </w:r>
      <w:r>
        <w:rPr>
          <w:rFonts w:ascii="宋体" w:hAnsi="宋体" w:eastAsia="宋体" w:cs="Times New Roman"/>
          <w:color w:val="auto"/>
          <w:sz w:val="24"/>
          <w:highlight w:val="none"/>
        </w:rPr>
        <w:t xml:space="preserve">按</w:t>
      </w:r>
      <w:r>
        <w:rPr>
          <w:rFonts w:hint="eastAsia" w:ascii="宋体" w:hAnsi="宋体" w:eastAsia="宋体" w:cs="Times New Roman"/>
          <w:color w:val="auto"/>
          <w:sz w:val="24"/>
          <w:highlight w:val="none"/>
        </w:rPr>
        <w:t xml:space="preserve">规定每月扣留工程计量款的1%作为农民工工资保障金：工程结束后，业主代表视承包人对农民工工资支付情况，据实结算返还剩余的保障金。</w:t>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513"/>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right"/>
        <w:spacing w:before="24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投标供应商：</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（公章）</w:t>
      </w:r>
      <w:r/>
    </w:p>
    <w:p>
      <w:pPr>
        <w:ind w:right="480" w:firstLine="480"/>
        <w:jc w:val="right"/>
        <w:spacing w:before="240" w:line="360" w:lineRule="auto"/>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法定代表人签名或盖章：          </w:t>
      </w:r>
      <w:r>
        <w:rPr>
          <w:rFonts w:hint="eastAsia" w:ascii="宋体" w:hAnsi="Times New Roman" w:eastAsia="宋体" w:cs="Times New Roman"/>
          <w:color w:val="auto"/>
          <w:sz w:val="24"/>
          <w:highlight w:val="none"/>
        </w:rPr>
        <w:t xml:space="preserve">  </w:t>
      </w:r>
      <w:r/>
    </w:p>
    <w:p>
      <w:pPr>
        <w:ind w:firstLine="51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w:t>
      </w:r>
      <w:r/>
    </w:p>
    <w:p>
      <w:pPr>
        <w:ind w:firstLine="579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日期：     年   月    日</w:t>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jc w:val="center"/>
        <w:spacing w:before="4" w:line="360" w:lineRule="auto"/>
        <w:widowControl/>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pStyle w:val="880"/>
        <w:rPr>
          <w:rFonts w:hint="eastAsia"/>
          <w:color w:val="auto"/>
          <w:highlight w:val="none"/>
        </w:rPr>
      </w:pPr>
      <w:r>
        <w:rPr>
          <w:rFonts w:hint="eastAsia"/>
          <w:color w:val="auto"/>
          <w:highlight w:val="none"/>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承诺书四  投标单位廉洁承诺书（格式）</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为了积极配合贵局的招标工作，有效遏制不公平竞争和违规违纪问题的发生，确保招标工作的公平、公正、公开，我们保证认真贯彻《招投标法》等相关规定以及相关廉洁要求，特向贵局承诺如下事项：</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1、自觉遵守国家法律法规及有关廉政建设制度。</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2、主动了解贵局招投标纪律，积极配合贵局执行招投标廉政建设的有关规定。</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3、不使用不正当手段妨碍、排挤其他投标单位或串通投标。</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4、按照招标文件规定的方式进行投标，不隐瞒本单位投标资质的真实情况，投标资质符合规定。</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6、不向设计招标的单位及个人购置或</w:t>
      </w:r>
      <w:r>
        <w:rPr>
          <w:rFonts w:hint="eastAsia" w:ascii="宋体" w:hAnsi="宋体" w:eastAsia="宋体" w:cs="Times New Roman"/>
          <w:color w:val="auto"/>
          <w:sz w:val="24"/>
          <w:highlight w:val="none"/>
          <w:lang w:eastAsia="zh-CN"/>
        </w:rPr>
        <w:t xml:space="preserve">提供通信</w:t>
      </w:r>
      <w:r>
        <w:rPr>
          <w:rFonts w:hint="eastAsia" w:ascii="宋体" w:hAnsi="宋体" w:eastAsia="宋体" w:cs="Times New Roman"/>
          <w:color w:val="auto"/>
          <w:sz w:val="24"/>
          <w:highlight w:val="none"/>
        </w:rPr>
        <w:t xml:space="preserve">工具、交通工具和高档办公用品等。</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8、不向涉及招标的单位及个人支付好处费、介绍费。</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9、一旦发现相关人员在招标过程中有索要财物等不廉洁行为，坚决予以抵制，并及时向贵局纪检监察室举报。（举报电话：0510</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81823663）</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我们若违反上述承诺，愿</w:t>
      </w:r>
      <w:r>
        <w:rPr>
          <w:rFonts w:hint="eastAsia" w:ascii="宋体" w:hAnsi="宋体" w:eastAsia="宋体" w:cs="Times New Roman"/>
          <w:color w:val="auto"/>
          <w:sz w:val="24"/>
          <w:highlight w:val="none"/>
          <w:lang w:eastAsia="zh-CN"/>
        </w:rPr>
        <w:t xml:space="preserve">接受</w:t>
      </w:r>
      <w:r>
        <w:rPr>
          <w:rFonts w:hint="eastAsia" w:ascii="宋体" w:hAnsi="宋体" w:eastAsia="宋体" w:cs="Times New Roman"/>
          <w:color w:val="auto"/>
          <w:sz w:val="24"/>
          <w:highlight w:val="none"/>
        </w:rPr>
        <w:t xml:space="preserve">取消投标资格及其他任何形式的处理。</w:t>
      </w:r>
      <w:r/>
    </w:p>
    <w:p>
      <w:pPr>
        <w:ind w:firstLine="480"/>
        <w:jc w:val="right"/>
        <w:spacing w:before="24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投标供应商：</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（公章）</w:t>
      </w:r>
      <w:r/>
    </w:p>
    <w:p>
      <w:pPr>
        <w:ind w:right="480" w:firstLine="480"/>
        <w:jc w:val="right"/>
        <w:spacing w:before="240" w:line="360" w:lineRule="auto"/>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法定代表人签名或盖章：          </w:t>
      </w:r>
      <w:r>
        <w:rPr>
          <w:rFonts w:hint="eastAsia" w:ascii="宋体" w:hAnsi="Times New Roman" w:eastAsia="宋体" w:cs="Times New Roman"/>
          <w:color w:val="auto"/>
          <w:sz w:val="24"/>
          <w:highlight w:val="none"/>
        </w:rPr>
        <w:t xml:space="preserve">  </w:t>
      </w:r>
      <w:r/>
    </w:p>
    <w:p>
      <w:pPr>
        <w:ind w:firstLine="51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w:t>
      </w:r>
      <w:r/>
    </w:p>
    <w:p>
      <w:pPr>
        <w:ind w:firstLine="579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日期：     年   月    日</w:t>
      </w:r>
      <w:r/>
    </w:p>
    <w:p>
      <w:pPr>
        <w:jc w:val="both"/>
        <w:widowControl w:val="off"/>
        <w:rPr>
          <w:rFonts w:hint="eastAsia" w:ascii="宋体" w:hAnsi="宋体" w:eastAsia="仿宋_GB2312" w:cs="Times New Roman"/>
          <w:bCs w:val="0"/>
          <w:color w:val="auto"/>
          <w:sz w:val="28"/>
          <w:highlight w:val="none"/>
          <w:lang w:val="en-US" w:eastAsia="zh-CN" w:bidi="ar-SA"/>
        </w:rPr>
      </w:pPr>
      <w:r>
        <w:rPr>
          <w:rFonts w:hint="eastAsia" w:ascii="宋体" w:hAnsi="宋体" w:eastAsia="仿宋_GB2312" w:cs="Times New Roman"/>
          <w:bCs w:val="0"/>
          <w:color w:val="auto"/>
          <w:sz w:val="28"/>
          <w:highlight w:val="none"/>
          <w:lang w:val="en-US" w:eastAsia="zh-CN" w:bidi="ar-SA"/>
        </w:rPr>
      </w:r>
      <w:r/>
    </w:p>
    <w:p>
      <w:pPr>
        <w:rPr>
          <w:rFonts w:hint="eastAsia" w:ascii="宋体" w:hAnsi="Times New Roman" w:eastAsia="宋体" w:cs="Times New Roman"/>
          <w:color w:val="auto"/>
          <w:sz w:val="34"/>
          <w:highlight w:val="none"/>
        </w:rPr>
      </w:pPr>
      <w:r>
        <w:rPr>
          <w:rFonts w:hint="eastAsia" w:ascii="宋体" w:hAnsi="Times New Roman" w:eastAsia="宋体" w:cs="Times New Roman"/>
          <w:color w:val="auto"/>
          <w:sz w:val="34"/>
          <w:highlight w:val="none"/>
        </w:rPr>
      </w:r>
      <w:r/>
    </w:p>
    <w:p>
      <w:pPr>
        <w:pStyle w:val="905"/>
        <w:numPr>
          <w:ilvl w:val="0"/>
          <w:numId w:val="0"/>
        </w:numPr>
        <w:rPr>
          <w:rFonts w:hint="eastAsia"/>
          <w:color w:val="auto"/>
          <w:highlight w:val="none"/>
        </w:rPr>
      </w:pPr>
      <w:r>
        <w:rPr>
          <w:rFonts w:hint="eastAsia"/>
          <w:color w:val="auto"/>
          <w:highlight w:val="none"/>
        </w:rPr>
      </w:r>
      <w:r/>
    </w:p>
    <w:p>
      <w:pPr>
        <w:pStyle w:val="905"/>
        <w:numPr>
          <w:ilvl w:val="0"/>
          <w:numId w:val="0"/>
        </w:numPr>
        <w:rPr>
          <w:rFonts w:hint="eastAsia"/>
          <w:color w:val="auto"/>
          <w:highlight w:val="none"/>
        </w:rPr>
      </w:pPr>
      <w:r>
        <w:rPr>
          <w:rFonts w:hint="eastAsia"/>
          <w:color w:val="auto"/>
          <w:highlight w:val="none"/>
        </w:rPr>
      </w:r>
      <w:r/>
    </w:p>
    <w:p>
      <w:pPr>
        <w:jc w:val="center"/>
        <w:spacing w:before="4" w:line="360" w:lineRule="auto"/>
        <w:widowControl/>
        <w:rPr>
          <w:rFonts w:hint="eastAsia"/>
          <w:color w:val="auto"/>
          <w:highlight w:val="none"/>
        </w:rPr>
      </w:pPr>
      <w:r>
        <w:rPr>
          <w:rFonts w:hint="eastAsia"/>
          <w:color w:val="auto"/>
          <w:highlight w:val="none"/>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承诺书五  安全生产责任保险承诺书（格式）</w:t>
      </w:r>
      <w:r/>
    </w:p>
    <w:p>
      <w:pPr>
        <w:ind w:left="1050" w:firstLine="420"/>
        <w:jc w:val="left"/>
        <w:spacing w:line="288" w:lineRule="auto"/>
        <w:widowControl w:val="off"/>
        <w:rPr>
          <w:rFonts w:hint="eastAsia" w:ascii="宋体" w:hAnsi="Times New Roman" w:eastAsia="宋体" w:cs="Times New Roman"/>
          <w:color w:val="auto"/>
          <w:sz w:val="18"/>
          <w:szCs w:val="18"/>
          <w:highlight w:val="none"/>
          <w:lang w:val="en-US" w:eastAsia="zh-CN" w:bidi="ar-SA"/>
        </w:rPr>
      </w:pPr>
      <w:r>
        <w:rPr>
          <w:rFonts w:hint="eastAsia" w:ascii="宋体" w:hAnsi="Times New Roman" w:eastAsia="宋体" w:cs="Times New Roman"/>
          <w:color w:val="auto"/>
          <w:sz w:val="18"/>
          <w:szCs w:val="18"/>
          <w:highlight w:val="none"/>
          <w:lang w:val="en-US" w:eastAsia="zh-CN" w:bidi="ar-SA"/>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32"/>
          <w:highlight w:val="none"/>
          <w:lang w:val="en-US" w:eastAsia="zh-CN"/>
        </w:rPr>
        <w:t xml:space="preserve">我公司承诺：若中标，在收到中标通知书（中标公告发布）之日起一个月内提交符合招标文件要求缴纳的建筑施工行业安全生产责任保险保单原件。</w:t>
      </w:r>
      <w:r>
        <w:rPr>
          <w:rFonts w:hint="eastAsia" w:ascii="宋体" w:hAnsi="宋体" w:eastAsia="宋体" w:cs="Times New Roman"/>
          <w:color w:val="auto"/>
          <w:sz w:val="24"/>
          <w:szCs w:val="24"/>
          <w:highlight w:val="none"/>
          <w:lang w:val="en-US" w:eastAsia="zh-CN"/>
        </w:rPr>
        <w:t xml:space="preserve">建筑施工行业安全生产责任保险保障范围为：B 档：每次事故/累计赔偿限额为 1000 万元（含人员伤亡和第三者财产损失）。其中，人员伤亡部分为每次事故每人赔偿限额50万元，医疗费用赔偿限额10万元，第三者财产部分的财产损失赔付不超过保单累计赔偿限额的30%（人员伤亡部分赔偿金额达到1000万元的，不再赔付第三者财产损失）；</w:t>
      </w:r>
      <w:r>
        <w:rPr>
          <w:rFonts w:hint="eastAsia" w:ascii="宋体" w:hAnsi="宋体" w:eastAsia="宋体" w:cs="宋体"/>
          <w:color w:val="auto"/>
          <w:sz w:val="24"/>
          <w:highlight w:val="none"/>
          <w:lang w:val="en-US" w:eastAsia="zh-CN"/>
        </w:rPr>
        <w:t xml:space="preserve">一个月</w:t>
      </w:r>
      <w:r>
        <w:rPr>
          <w:rFonts w:hint="eastAsia" w:ascii="宋体" w:hAnsi="宋体" w:eastAsia="宋体" w:cs="Times New Roman"/>
          <w:color w:val="auto"/>
          <w:sz w:val="24"/>
          <w:szCs w:val="24"/>
          <w:highlight w:val="none"/>
        </w:rPr>
        <w:t xml:space="preserve">内未提供的，视为我公司放弃中标资格。</w:t>
      </w:r>
      <w:r/>
    </w:p>
    <w:p>
      <w:pPr>
        <w:ind w:firstLine="480"/>
        <w:spacing w:before="72" w:after="72"/>
        <w:rPr>
          <w:rFonts w:hint="eastAsia" w:ascii="宋体" w:hAnsi="宋体" w:eastAsia="宋体" w:cs="Times New Roman"/>
          <w:color w:val="auto"/>
          <w:sz w:val="24"/>
          <w:szCs w:val="32"/>
          <w:highlight w:val="none"/>
          <w:lang w:val="en-US" w:eastAsia="zh-CN"/>
        </w:rPr>
      </w:pPr>
      <w:r>
        <w:rPr>
          <w:rFonts w:hint="eastAsia" w:ascii="宋体" w:hAnsi="宋体" w:eastAsia="宋体" w:cs="Times New Roman"/>
          <w:color w:val="auto"/>
          <w:sz w:val="24"/>
          <w:szCs w:val="32"/>
          <w:highlight w:val="none"/>
          <w:lang w:val="en-US" w:eastAsia="zh-CN"/>
        </w:rPr>
      </w:r>
      <w:r/>
    </w:p>
    <w:p>
      <w:pPr>
        <w:ind w:firstLine="480"/>
        <w:jc w:val="right"/>
        <w:spacing w:before="240"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投标供应商：</w:t>
      </w: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（公章）</w:t>
      </w:r>
      <w:r/>
    </w:p>
    <w:p>
      <w:pPr>
        <w:ind w:right="480" w:firstLine="480"/>
        <w:jc w:val="right"/>
        <w:spacing w:before="240" w:line="360" w:lineRule="auto"/>
        <w:rPr>
          <w:rFonts w:hint="eastAsia" w:ascii="宋体" w:hAnsi="Times New Roman" w:eastAsia="宋体" w:cs="Times New Roman"/>
          <w:color w:val="auto"/>
          <w:sz w:val="24"/>
          <w:highlight w:val="none"/>
        </w:rPr>
      </w:pPr>
      <w:r>
        <w:rPr>
          <w:rFonts w:hint="eastAsia" w:ascii="宋体" w:hAnsi="宋体" w:eastAsia="宋体" w:cs="Times New Roman"/>
          <w:color w:val="auto"/>
          <w:sz w:val="24"/>
          <w:highlight w:val="none"/>
        </w:rPr>
        <w:t xml:space="preserve">法定代表人签名或盖章：          </w:t>
      </w:r>
      <w:r>
        <w:rPr>
          <w:rFonts w:hint="eastAsia" w:ascii="宋体" w:hAnsi="Times New Roman" w:eastAsia="宋体" w:cs="Times New Roman"/>
          <w:color w:val="auto"/>
          <w:sz w:val="24"/>
          <w:highlight w:val="none"/>
        </w:rPr>
        <w:t xml:space="preserve">  </w:t>
      </w:r>
      <w:r/>
    </w:p>
    <w:p>
      <w:pPr>
        <w:ind w:firstLine="51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                    </w:t>
      </w:r>
      <w:r/>
    </w:p>
    <w:p>
      <w:pPr>
        <w:ind w:firstLine="5793"/>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日期：     年   月    日</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widowControl w:val="off"/>
        <w:rPr>
          <w:rFonts w:hint="eastAsia" w:ascii="仿宋_GB2312" w:hAnsi="宋体" w:eastAsia="仿宋_GB2312" w:cs="宋体"/>
          <w:b/>
          <w:color w:val="auto"/>
          <w:sz w:val="24"/>
          <w:highlight w:val="none"/>
          <w:lang w:val="en-US" w:eastAsia="zh-CN" w:bidi="ar-SA"/>
        </w:rPr>
      </w:pPr>
      <w:r>
        <w:rPr>
          <w:rFonts w:hint="eastAsia" w:ascii="仿宋_GB2312" w:hAnsi="宋体" w:eastAsia="仿宋_GB2312" w:cs="宋体"/>
          <w:b/>
          <w:color w:val="auto"/>
          <w:sz w:val="24"/>
          <w:highlight w:val="none"/>
          <w:lang w:val="en-US" w:eastAsia="zh-CN" w:bidi="ar-SA"/>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widowControl w:val="off"/>
        <w:rPr>
          <w:rFonts w:hint="eastAsia" w:ascii="仿宋_GB2312" w:hAnsi="宋体" w:eastAsia="仿宋_GB2312" w:cs="宋体"/>
          <w:b/>
          <w:color w:val="auto"/>
          <w:sz w:val="24"/>
          <w:highlight w:val="none"/>
          <w:lang w:val="en-US" w:eastAsia="zh-CN" w:bidi="ar-SA"/>
        </w:rPr>
      </w:pPr>
      <w:r>
        <w:rPr>
          <w:rFonts w:hint="eastAsia" w:ascii="仿宋_GB2312" w:hAnsi="宋体" w:eastAsia="仿宋_GB2312" w:cs="宋体"/>
          <w:b/>
          <w:color w:val="auto"/>
          <w:sz w:val="24"/>
          <w:highlight w:val="none"/>
          <w:lang w:val="en-US" w:eastAsia="zh-CN" w:bidi="ar-SA"/>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widowControl w:val="off"/>
        <w:rPr>
          <w:rFonts w:hint="eastAsia" w:ascii="仿宋_GB2312" w:hAnsi="宋体" w:eastAsia="仿宋_GB2312" w:cs="宋体"/>
          <w:b/>
          <w:color w:val="auto"/>
          <w:sz w:val="24"/>
          <w:highlight w:val="none"/>
          <w:lang w:val="en-US" w:eastAsia="zh-CN" w:bidi="ar-SA"/>
        </w:rPr>
      </w:pPr>
      <w:r>
        <w:rPr>
          <w:rFonts w:hint="eastAsia" w:ascii="仿宋_GB2312" w:hAnsi="宋体" w:eastAsia="仿宋_GB2312" w:cs="宋体"/>
          <w:b/>
          <w:color w:val="auto"/>
          <w:sz w:val="24"/>
          <w:highlight w:val="none"/>
          <w:lang w:val="en-US" w:eastAsia="zh-CN" w:bidi="ar-SA"/>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widowControl w:val="off"/>
        <w:rPr>
          <w:rFonts w:hint="eastAsia" w:ascii="仿宋_GB2312" w:hAnsi="宋体" w:eastAsia="仿宋_GB2312" w:cs="宋体"/>
          <w:b/>
          <w:color w:val="auto"/>
          <w:sz w:val="24"/>
          <w:highlight w:val="none"/>
          <w:lang w:val="en-US" w:eastAsia="zh-CN" w:bidi="ar-SA"/>
        </w:rPr>
      </w:pPr>
      <w:r>
        <w:rPr>
          <w:rFonts w:hint="eastAsia" w:ascii="仿宋_GB2312" w:hAnsi="宋体" w:eastAsia="仿宋_GB2312" w:cs="宋体"/>
          <w:b/>
          <w:color w:val="auto"/>
          <w:sz w:val="24"/>
          <w:highlight w:val="none"/>
          <w:lang w:val="en-US" w:eastAsia="zh-CN" w:bidi="ar-SA"/>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widowControl w:val="off"/>
        <w:rPr>
          <w:rFonts w:hint="eastAsia" w:ascii="仿宋_GB2312" w:hAnsi="宋体" w:eastAsia="仿宋_GB2312" w:cs="宋体"/>
          <w:b/>
          <w:color w:val="auto"/>
          <w:sz w:val="24"/>
          <w:highlight w:val="none"/>
          <w:lang w:val="en-US" w:eastAsia="zh-CN" w:bidi="ar-SA"/>
        </w:rPr>
      </w:pPr>
      <w:r>
        <w:rPr>
          <w:rFonts w:hint="eastAsia" w:ascii="仿宋_GB2312" w:hAnsi="宋体" w:eastAsia="仿宋_GB2312" w:cs="宋体"/>
          <w:b/>
          <w:color w:val="auto"/>
          <w:sz w:val="24"/>
          <w:highlight w:val="none"/>
          <w:lang w:val="en-US" w:eastAsia="zh-CN" w:bidi="ar-SA"/>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05"/>
        <w:numPr>
          <w:ilvl w:val="0"/>
          <w:numId w:val="0"/>
        </w:numPr>
        <w:jc w:val="both"/>
        <w:spacing w:after="20" w:line="28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05"/>
        <w:numPr>
          <w:ilvl w:val="0"/>
          <w:numId w:val="0"/>
        </w:numPr>
        <w:jc w:val="both"/>
        <w:spacing w:after="20" w:line="28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05"/>
        <w:numPr>
          <w:ilvl w:val="0"/>
          <w:numId w:val="0"/>
        </w:numPr>
        <w:jc w:val="both"/>
        <w:spacing w:after="20" w:line="28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05"/>
        <w:numPr>
          <w:ilvl w:val="0"/>
          <w:numId w:val="0"/>
        </w:numPr>
        <w:jc w:val="both"/>
        <w:spacing w:after="20" w:line="28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05"/>
        <w:numPr>
          <w:ilvl w:val="0"/>
          <w:numId w:val="0"/>
        </w:numPr>
        <w:jc w:val="both"/>
        <w:spacing w:after="20" w:line="288"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both"/>
        <w:widowControl w:val="off"/>
        <w:rPr>
          <w:rFonts w:hint="eastAsia" w:ascii="仿宋_GB2312" w:hAnsi="宋体" w:eastAsia="仿宋_GB2312" w:cs="宋体"/>
          <w:b/>
          <w:color w:val="auto"/>
          <w:sz w:val="24"/>
          <w:highlight w:val="none"/>
          <w:lang w:val="en-US" w:eastAsia="zh-CN" w:bidi="ar-SA"/>
        </w:rPr>
      </w:pPr>
      <w:r>
        <w:rPr>
          <w:rFonts w:hint="eastAsia" w:ascii="仿宋_GB2312" w:hAnsi="宋体" w:eastAsia="仿宋_GB2312" w:cs="宋体"/>
          <w:b/>
          <w:color w:val="auto"/>
          <w:sz w:val="24"/>
          <w:highlight w:val="none"/>
          <w:lang w:val="en-US" w:eastAsia="zh-CN" w:bidi="ar-SA"/>
        </w:rPr>
      </w:r>
      <w:r/>
    </w:p>
    <w:p>
      <w:pPr>
        <w:ind w:left="0" w:right="34" w:firstLine="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 </w:t>
      </w:r>
      <w:r/>
    </w:p>
    <w:p>
      <w:pPr>
        <w:numPr>
          <w:ilvl w:val="0"/>
          <w:numId w:val="0"/>
        </w:numPr>
        <w:jc w:val="both"/>
        <w:spacing w:after="20" w:line="288" w:lineRule="auto"/>
        <w:widowControl w:val="off"/>
        <w:rPr>
          <w:rFonts w:hint="eastAsia" w:ascii="宋体" w:hAnsi="Times New Roman" w:eastAsia="宋体" w:cs="Times New Roman"/>
          <w:color w:val="auto"/>
          <w:sz w:val="34"/>
          <w:szCs w:val="20"/>
          <w:highlight w:val="none"/>
          <w:lang w:val="en-US" w:eastAsia="zh-CN" w:bidi="ar-SA"/>
        </w:rPr>
      </w:pPr>
      <w:r>
        <w:rPr>
          <w:rFonts w:hint="eastAsia" w:ascii="宋体" w:hAnsi="Times New Roman" w:eastAsia="宋体" w:cs="Times New Roman"/>
          <w:color w:val="auto"/>
          <w:sz w:val="34"/>
          <w:szCs w:val="20"/>
          <w:highlight w:val="none"/>
          <w:lang w:val="en-US" w:eastAsia="zh-CN" w:bidi="ar-SA"/>
        </w:rPr>
      </w:r>
      <w:r/>
    </w:p>
    <w:p>
      <w:pPr>
        <w:numPr>
          <w:ilvl w:val="0"/>
          <w:numId w:val="0"/>
        </w:numPr>
        <w:jc w:val="both"/>
        <w:spacing w:after="20" w:line="288" w:lineRule="auto"/>
        <w:widowControl w:val="off"/>
        <w:rPr>
          <w:rFonts w:hint="eastAsia" w:ascii="宋体" w:hAnsi="Times New Roman" w:eastAsia="宋体" w:cs="Times New Roman"/>
          <w:color w:val="auto"/>
          <w:sz w:val="34"/>
          <w:szCs w:val="20"/>
          <w:highlight w:val="none"/>
          <w:lang w:val="en-US" w:eastAsia="zh-CN" w:bidi="ar-SA"/>
        </w:rPr>
      </w:pPr>
      <w:r>
        <w:rPr>
          <w:rFonts w:hint="eastAsia" w:ascii="宋体" w:hAnsi="Times New Roman" w:eastAsia="宋体" w:cs="Times New Roman"/>
          <w:color w:val="auto"/>
          <w:sz w:val="34"/>
          <w:szCs w:val="20"/>
          <w:highlight w:val="none"/>
          <w:lang w:val="en-US" w:eastAsia="zh-CN" w:bidi="ar-SA"/>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t xml:space="preserve">承诺书六 专业设备机械投入承诺书</w:t>
      </w:r>
      <w:r/>
    </w:p>
    <w:p>
      <w:pPr>
        <w:numPr>
          <w:ilvl w:val="4"/>
          <w:numId w:val="0"/>
        </w:numPr>
        <w:ind w:firstLine="480"/>
        <w:jc w:val="both"/>
        <w:keepLines/>
        <w:keepNext/>
        <w:spacing w:before="280" w:after="290" w:line="360" w:lineRule="auto"/>
        <w:widowControl w:val="off"/>
        <w:rPr>
          <w:rFonts w:hint="eastAsia" w:ascii="宋体" w:hAnsi="宋体" w:eastAsia="宋体" w:cs="宋体"/>
          <w:b w:val="0"/>
          <w:bCs w:val="0"/>
          <w:sz w:val="24"/>
          <w:szCs w:val="24"/>
          <w:highlight w:val="none"/>
          <w:lang w:val="en-US" w:eastAsia="zh-CN" w:bidi="ar-SA"/>
        </w:rPr>
        <w:outlineLvl w:val="3"/>
      </w:pPr>
      <w:r>
        <w:rPr>
          <w:rFonts w:hint="eastAsia" w:ascii="宋体" w:hAnsi="宋体" w:eastAsia="宋体" w:cs="宋体"/>
          <w:b w:val="0"/>
          <w:bCs w:val="0"/>
          <w:sz w:val="24"/>
          <w:szCs w:val="24"/>
          <w:highlight w:val="none"/>
          <w:lang w:val="en-US" w:eastAsia="zh-CN" w:bidi="ar-SA"/>
        </w:rPr>
        <w:t xml:space="preserve">为保证</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（项目名称）顺利进行</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我单位承诺：一旦我单位中标，在项目实施过程中投入自有（或租赁）专业设备机械及相关配套操作人员。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我单位</w:t>
      </w:r>
      <w:r>
        <w:rPr>
          <w:rFonts w:ascii="宋体" w:hAnsi="宋体" w:eastAsia="宋体" w:cs="宋体"/>
          <w:sz w:val="24"/>
          <w:szCs w:val="24"/>
          <w:highlight w:val="none"/>
        </w:rPr>
        <w:t xml:space="preserve">就自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在工程进行工程中产生的一切问题作出承诺如下:</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一、</w:t>
      </w:r>
      <w:r>
        <w:rPr>
          <w:rFonts w:hint="eastAsia" w:ascii="宋体" w:hAnsi="宋体" w:eastAsia="宋体" w:cs="宋体"/>
          <w:sz w:val="24"/>
          <w:szCs w:val="24"/>
          <w:highlight w:val="none"/>
        </w:rPr>
        <w:t xml:space="preserve">我单位</w:t>
      </w:r>
      <w:r>
        <w:rPr>
          <w:rFonts w:ascii="宋体" w:hAnsi="宋体" w:eastAsia="宋体" w:cs="宋体"/>
          <w:sz w:val="24"/>
          <w:szCs w:val="24"/>
          <w:highlight w:val="none"/>
        </w:rPr>
        <w:t xml:space="preserve">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必须为合格产品，必须符合国家相关技术质量规范标准和国家相关安全规范标准。</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二、在进行</w:t>
      </w:r>
      <w:r>
        <w:rPr>
          <w:rFonts w:hint="eastAsia" w:ascii="宋体" w:hAnsi="宋体" w:eastAsia="宋体" w:cs="宋体"/>
          <w:sz w:val="24"/>
          <w:szCs w:val="24"/>
          <w:highlight w:val="none"/>
        </w:rPr>
        <w:t xml:space="preserve">相关</w:t>
      </w:r>
      <w:r>
        <w:rPr>
          <w:rFonts w:ascii="宋体" w:hAnsi="宋体" w:eastAsia="宋体" w:cs="宋体"/>
          <w:sz w:val="24"/>
          <w:szCs w:val="24"/>
          <w:highlight w:val="none"/>
        </w:rPr>
        <w:t xml:space="preserve">作业前</w:t>
      </w:r>
      <w:r>
        <w:rPr>
          <w:rFonts w:hint="eastAsia" w:ascii="宋体" w:hAnsi="宋体" w:eastAsia="宋体" w:cs="宋体"/>
          <w:sz w:val="24"/>
          <w:szCs w:val="24"/>
          <w:highlight w:val="none"/>
        </w:rPr>
        <w:t xml:space="preserve">，我方</w:t>
      </w:r>
      <w:r>
        <w:rPr>
          <w:rFonts w:ascii="宋体" w:hAnsi="宋体" w:eastAsia="宋体" w:cs="宋体"/>
          <w:sz w:val="24"/>
          <w:szCs w:val="24"/>
          <w:highlight w:val="none"/>
        </w:rPr>
        <w:t xml:space="preserve">负责提供</w:t>
      </w:r>
      <w:r>
        <w:rPr>
          <w:rFonts w:hint="eastAsia" w:ascii="宋体" w:hAnsi="宋体" w:eastAsia="宋体" w:cs="宋体"/>
          <w:sz w:val="24"/>
          <w:szCs w:val="24"/>
          <w:highlight w:val="none"/>
        </w:rPr>
        <w:t xml:space="preserve">专业设备机械的自购发票及行驶证或专业设备机械</w:t>
      </w:r>
      <w:r>
        <w:rPr>
          <w:rFonts w:ascii="宋体" w:hAnsi="宋体" w:eastAsia="宋体" w:cs="宋体"/>
          <w:sz w:val="24"/>
          <w:szCs w:val="24"/>
          <w:highlight w:val="none"/>
        </w:rPr>
        <w:t xml:space="preserve">租赁合同</w:t>
      </w:r>
      <w:r>
        <w:rPr>
          <w:rFonts w:hint="eastAsia" w:ascii="宋体" w:hAnsi="宋体" w:eastAsia="宋体" w:cs="宋体"/>
          <w:sz w:val="24"/>
          <w:szCs w:val="24"/>
          <w:highlight w:val="none"/>
        </w:rPr>
        <w:t xml:space="preserve">（协议）；我方</w:t>
      </w:r>
      <w:r>
        <w:rPr>
          <w:rFonts w:ascii="宋体" w:hAnsi="宋体" w:eastAsia="宋体" w:cs="宋体"/>
          <w:sz w:val="24"/>
          <w:szCs w:val="24"/>
          <w:highlight w:val="none"/>
        </w:rPr>
        <w:t xml:space="preserve">负责提供</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操作人员的身份证明、</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操作证书等。</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w:t>
      </w:r>
      <w:r>
        <w:rPr>
          <w:rFonts w:ascii="宋体" w:hAnsi="宋体" w:eastAsia="宋体" w:cs="宋体"/>
          <w:sz w:val="24"/>
          <w:szCs w:val="24"/>
          <w:highlight w:val="none"/>
        </w:rPr>
        <w:t xml:space="preserve">、我</w:t>
      </w: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负责自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的协调、运输、安装、调试、日常维护保养</w:t>
      </w:r>
      <w:r>
        <w:rPr>
          <w:rFonts w:hint="eastAsia" w:ascii="宋体" w:hAnsi="宋体" w:eastAsia="宋体" w:cs="宋体"/>
          <w:sz w:val="24"/>
          <w:szCs w:val="24"/>
          <w:highlight w:val="none"/>
        </w:rPr>
        <w:t xml:space="preserve">及</w:t>
      </w:r>
      <w:r>
        <w:rPr>
          <w:rFonts w:ascii="宋体" w:hAnsi="宋体" w:eastAsia="宋体" w:cs="宋体"/>
          <w:sz w:val="24"/>
          <w:szCs w:val="24"/>
          <w:highlight w:val="none"/>
        </w:rPr>
        <w:t xml:space="preserve">维修工作</w:t>
      </w:r>
      <w:r>
        <w:rPr>
          <w:rFonts w:hint="eastAsia" w:ascii="宋体" w:hAnsi="宋体" w:eastAsia="宋体" w:cs="宋体"/>
          <w:sz w:val="24"/>
          <w:szCs w:val="24"/>
          <w:highlight w:val="none"/>
        </w:rPr>
        <w:t xml:space="preserve">等</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使用</w:t>
      </w:r>
      <w:r>
        <w:rPr>
          <w:rFonts w:hint="eastAsia" w:ascii="宋体" w:hAnsi="宋体" w:eastAsia="宋体" w:cs="宋体"/>
          <w:sz w:val="24"/>
          <w:szCs w:val="24"/>
          <w:highlight w:val="none"/>
        </w:rPr>
        <w:t xml:space="preserve">依照</w:t>
      </w:r>
      <w:r>
        <w:rPr>
          <w:rFonts w:ascii="宋体" w:hAnsi="宋体" w:eastAsia="宋体" w:cs="宋体"/>
          <w:sz w:val="24"/>
          <w:szCs w:val="24"/>
          <w:highlight w:val="none"/>
        </w:rPr>
        <w:t xml:space="preserve">国家地方相关规定的要求</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我</w:t>
      </w: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负责自</w:t>
      </w:r>
      <w:r>
        <w:rPr>
          <w:rFonts w:hint="eastAsia" w:ascii="宋体" w:hAnsi="宋体" w:eastAsia="宋体" w:cs="宋体"/>
          <w:sz w:val="24"/>
          <w:szCs w:val="24"/>
          <w:highlight w:val="none"/>
        </w:rPr>
        <w:t xml:space="preserve">有</w:t>
      </w:r>
      <w:r>
        <w:rPr>
          <w:rFonts w:ascii="宋体" w:hAnsi="宋体" w:eastAsia="宋体" w:cs="宋体"/>
          <w:sz w:val="24"/>
          <w:szCs w:val="24"/>
          <w:highlight w:val="none"/>
        </w:rPr>
        <w:t xml:space="preserve">(或</w:t>
      </w:r>
      <w:r>
        <w:rPr>
          <w:rFonts w:hint="eastAsia" w:ascii="宋体" w:hAnsi="宋体" w:eastAsia="宋体" w:cs="宋体"/>
          <w:sz w:val="24"/>
          <w:szCs w:val="24"/>
          <w:highlight w:val="none"/>
        </w:rPr>
        <w:t xml:space="preserve">租赁</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专业设备机械</w:t>
      </w:r>
      <w:r>
        <w:rPr>
          <w:rFonts w:ascii="宋体" w:hAnsi="宋体" w:eastAsia="宋体" w:cs="宋体"/>
          <w:sz w:val="24"/>
          <w:szCs w:val="24"/>
          <w:highlight w:val="none"/>
        </w:rPr>
        <w:t xml:space="preserve">操作人员的操作使用规程教育、安全生产教育等工作，设备使用地点悬挂设备安全操作规程、安全生产警示牌等。上述工作产生的一切费用</w:t>
      </w:r>
      <w:r>
        <w:rPr>
          <w:rFonts w:hint="eastAsia" w:ascii="宋体" w:hAnsi="宋体" w:eastAsia="宋体" w:cs="宋体"/>
          <w:sz w:val="24"/>
          <w:szCs w:val="24"/>
          <w:highlight w:val="none"/>
        </w:rPr>
        <w:t xml:space="preserve">及责任</w:t>
      </w:r>
      <w:r>
        <w:rPr>
          <w:rFonts w:ascii="宋体" w:hAnsi="宋体" w:eastAsia="宋体" w:cs="宋体"/>
          <w:sz w:val="24"/>
          <w:szCs w:val="24"/>
          <w:highlight w:val="none"/>
        </w:rPr>
        <w:t xml:space="preserve">由我方自行承担。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如达不到上述要求，我单位自愿取消中标资格，并承担一切采购人因此产生的损失！</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投标供应商：                （公章）</w:t>
      </w:r>
      <w:r/>
    </w:p>
    <w:p>
      <w:pPr>
        <w:ind w:right="480"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法定代表人签名或盖章：            </w:t>
      </w:r>
      <w:r/>
    </w:p>
    <w:p>
      <w:pPr>
        <w:ind w:firstLine="513"/>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numPr>
          <w:ilvl w:val="0"/>
          <w:numId w:val="0"/>
        </w:numPr>
        <w:jc w:val="both"/>
        <w:spacing w:after="20" w:line="288"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en-US" w:eastAsia="zh-CN"/>
        </w:rPr>
        <w:outlineLvl w:val="4"/>
      </w:pPr>
      <w:r>
        <w:rPr>
          <w:rFonts w:hint="eastAsia" w:ascii="黑体" w:hAnsi="宋体" w:eastAsia="黑体" w:cs="Times New Roman"/>
          <w:bCs/>
          <w:color w:val="auto"/>
          <w:sz w:val="30"/>
          <w:szCs w:val="30"/>
          <w:highlight w:val="none"/>
          <w:lang w:val="en-US" w:eastAsia="zh-CN"/>
        </w:rPr>
      </w:r>
      <w:r/>
    </w:p>
    <w:p>
      <w:pPr>
        <w:jc w:val="center"/>
        <w:spacing w:line="360" w:lineRule="auto"/>
        <w:rPr>
          <w:rFonts w:hint="eastAsia" w:ascii="黑体" w:hAnsi="宋体" w:eastAsia="黑体" w:cs="Times New Roman"/>
          <w:bCs/>
          <w:color w:val="auto"/>
          <w:sz w:val="30"/>
          <w:szCs w:val="30"/>
          <w:highlight w:val="none"/>
          <w:lang w:val="zh-CN" w:eastAsia="zh-CN"/>
        </w:rPr>
        <w:outlineLvl w:val="4"/>
      </w:pPr>
      <w:r>
        <w:rPr>
          <w:rFonts w:hint="eastAsia" w:ascii="黑体" w:hAnsi="宋体" w:eastAsia="黑体" w:cs="Times New Roman"/>
          <w:bCs/>
          <w:color w:val="auto"/>
          <w:sz w:val="30"/>
          <w:szCs w:val="30"/>
          <w:highlight w:val="none"/>
          <w:lang w:val="en-US" w:eastAsia="zh-CN"/>
        </w:rPr>
        <w:t xml:space="preserve">（九）报价文件格式</w:t>
      </w:r>
      <w:r/>
    </w:p>
    <w:p>
      <w:pPr>
        <w:jc w:val="center"/>
        <w:rPr>
          <w:rFonts w:hint="eastAsia" w:ascii="黑体" w:hAnsi="Times New Roman" w:eastAsia="黑体" w:cs="宋体"/>
          <w:b/>
          <w:color w:val="auto"/>
          <w:sz w:val="32"/>
          <w:szCs w:val="32"/>
          <w:highlight w:val="none"/>
        </w:rPr>
      </w:pPr>
      <w:r>
        <w:rPr>
          <w:rFonts w:hint="eastAsia" w:ascii="黑体" w:hAnsi="Times New Roman" w:eastAsia="黑体" w:cs="宋体"/>
          <w:b/>
          <w:color w:val="auto"/>
          <w:sz w:val="32"/>
          <w:szCs w:val="32"/>
          <w:highlight w:val="none"/>
        </w:rPr>
        <w:t xml:space="preserve">一、投 标 总 价</w:t>
      </w:r>
      <w:r/>
    </w:p>
    <w:p>
      <w:pPr>
        <w:jc w:val="right"/>
        <w:spacing w:line="30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表1</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招 标 人：</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  项目名称：</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投标总价（小写</w:t>
      </w:r>
      <w:r>
        <w:rPr>
          <w:rFonts w:ascii="宋体" w:hAnsi="宋体" w:eastAsia="宋体" w:cs="Times New Roman"/>
          <w:color w:val="auto"/>
          <w:sz w:val="28"/>
          <w:highlight w:val="none"/>
        </w:rPr>
        <w:t xml:space="preserve">）</w:t>
      </w:r>
      <w:r>
        <w:rPr>
          <w:rFonts w:hint="eastAsia" w:ascii="宋体" w:hAnsi="宋体" w:eastAsia="宋体" w:cs="Times New Roman"/>
          <w:color w:val="auto"/>
          <w:sz w:val="28"/>
          <w:highlight w:val="none"/>
        </w:rPr>
        <w:t xml:space="preserve">:</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   </w:t>
      </w:r>
      <w:r/>
    </w:p>
    <w:p>
      <w:pPr>
        <w:ind w:firstLine="140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（大写</w:t>
      </w:r>
      <w:r>
        <w:rPr>
          <w:rFonts w:ascii="宋体" w:hAnsi="宋体" w:eastAsia="宋体" w:cs="Times New Roman"/>
          <w:color w:val="auto"/>
          <w:sz w:val="28"/>
          <w:highlight w:val="none"/>
        </w:rPr>
        <w:t xml:space="preserve">）</w:t>
      </w:r>
      <w:r>
        <w:rPr>
          <w:rFonts w:hint="eastAsia" w:ascii="宋体" w:hAnsi="宋体" w:eastAsia="宋体" w:cs="Times New Roman"/>
          <w:color w:val="auto"/>
          <w:sz w:val="28"/>
          <w:highlight w:val="none"/>
        </w:rPr>
        <w:t xml:space="preserve">:</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投 标 人：</w:t>
      </w:r>
      <w:r>
        <w:rPr>
          <w:rFonts w:hint="eastAsia" w:ascii="宋体" w:hAnsi="宋体" w:eastAsia="宋体" w:cs="Times New Roman"/>
          <w:color w:val="auto"/>
          <w:sz w:val="28"/>
          <w:highlight w:val="none"/>
          <w:u w:val="single"/>
        </w:rPr>
        <w:t xml:space="preserve">                                                </w:t>
      </w:r>
      <w:r/>
    </w:p>
    <w:p>
      <w:pPr>
        <w:ind w:firstLine="7200"/>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（单位盖章）  </w:t>
      </w:r>
      <w:r/>
    </w:p>
    <w:p>
      <w:pPr>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法定代表人</w:t>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或其授权人：</w:t>
      </w:r>
      <w:r>
        <w:rPr>
          <w:rFonts w:hint="eastAsia" w:ascii="宋体" w:hAnsi="宋体" w:eastAsia="宋体" w:cs="Times New Roman"/>
          <w:color w:val="auto"/>
          <w:sz w:val="28"/>
          <w:highlight w:val="none"/>
          <w:u w:val="single"/>
        </w:rPr>
        <w:t xml:space="preserve">                                               </w:t>
      </w:r>
      <w:r/>
    </w:p>
    <w:p>
      <w:pPr>
        <w:ind w:firstLine="729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18"/>
          <w:szCs w:val="18"/>
          <w:highlight w:val="none"/>
        </w:rPr>
        <w:t xml:space="preserve">（单位盖章）</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编制人：</w:t>
      </w:r>
      <w:r>
        <w:rPr>
          <w:rFonts w:hint="eastAsia" w:ascii="宋体" w:hAnsi="宋体" w:eastAsia="宋体" w:cs="Times New Roman"/>
          <w:color w:val="auto"/>
          <w:sz w:val="28"/>
          <w:highlight w:val="none"/>
          <w:u w:val="single"/>
        </w:rPr>
        <w:t xml:space="preserve">                                                   </w:t>
      </w:r>
      <w:r/>
    </w:p>
    <w:p>
      <w:pPr>
        <w:ind w:firstLine="6390"/>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（造价人员签字盖专用章）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编制时间：      年      月      日</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840"/>
        <w:spacing w:line="54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840"/>
        <w:spacing w:line="54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pStyle w:val="880"/>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单位工程投标报价汇总表</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表2</w:t>
      </w:r>
      <w:r/>
    </w:p>
    <w:tbl>
      <w:tblPr>
        <w:tblStyle w:val="8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29"/>
        <w:gridCol w:w="4112"/>
        <w:gridCol w:w="1204"/>
        <w:gridCol w:w="973"/>
        <w:gridCol w:w="2619"/>
      </w:tblGrid>
      <w:tr>
        <w:trPr>
          <w:trHeight w:val="752"/>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353"/>
        </w:trPr>
        <w:tc>
          <w:tcPr>
            <w:gridSpan w:val="2"/>
            <w:tcBorders>
              <w:top w:val="none" w:color="000000" w:sz="4" w:space="0"/>
              <w:left w:val="none" w:color="000000" w:sz="4" w:space="0"/>
              <w:bottom w:val="single" w:color="000000" w:sz="8" w:space="0"/>
              <w:right w:val="none" w:color="000000" w:sz="4" w:space="0"/>
            </w:tcBorders>
            <w:tcW w:w="263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tcBorders>
              <w:top w:val="none" w:color="000000" w:sz="4" w:space="0"/>
              <w:left w:val="none" w:color="000000" w:sz="4" w:space="0"/>
              <w:bottom w:val="single" w:color="000000" w:sz="8" w:space="0"/>
              <w:right w:val="none" w:color="000000" w:sz="4" w:space="0"/>
            </w:tcBorders>
            <w:tcW w:w="59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2"/>
            <w:tcBorders>
              <w:top w:val="none" w:color="000000" w:sz="4" w:space="0"/>
              <w:left w:val="none" w:color="000000" w:sz="4" w:space="0"/>
              <w:bottom w:val="single" w:color="000000" w:sz="8" w:space="0"/>
              <w:right w:val="none" w:color="000000" w:sz="4" w:space="0"/>
            </w:tcBorders>
            <w:tcW w:w="177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第1页 共1页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汇总内容</w:t>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107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c>
          <w:tcPr>
            <w:shd w:val="clear" w:color="ffffff" w:fill="ffffff"/>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其中:暂估价(元)</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分部分项工程费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施工机具使用费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企业管理费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措施项目费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单价措施项目费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总价措施项目费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其中：安全文明施工措施费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其他项目费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其中：暂列金额</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其中：专业工程暂估</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其中：计日工</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其中：总承包服务费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规费</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60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202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2"/>
            <w:tcBorders>
              <w:top w:val="single" w:color="000000" w:sz="4" w:space="0"/>
              <w:left w:val="none" w:color="000000" w:sz="4" w:space="0"/>
              <w:bottom w:val="single" w:color="000000" w:sz="4"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9"/>
        </w:trPr>
        <w:tc>
          <w:tcPr>
            <w:gridSpan w:val="2"/>
            <w:tcBorders>
              <w:top w:val="single" w:color="000000" w:sz="4" w:space="0"/>
              <w:left w:val="single" w:color="000000" w:sz="8" w:space="0"/>
              <w:bottom w:val="single" w:color="000000" w:sz="8" w:space="0"/>
              <w:right w:val="single" w:color="000000" w:sz="4" w:space="0"/>
            </w:tcBorders>
            <w:tcW w:w="263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投标报价合计=1+2+3+4+5</w:t>
            </w:r>
            <w:r/>
          </w:p>
        </w:tc>
        <w:tc>
          <w:tcPr>
            <w:gridSpan w:val="2"/>
            <w:tcBorders>
              <w:top w:val="single" w:color="000000" w:sz="4" w:space="0"/>
              <w:left w:val="none" w:color="000000" w:sz="4" w:space="0"/>
              <w:bottom w:val="single" w:color="000000" w:sz="8" w:space="0"/>
              <w:right w:val="single" w:color="000000" w:sz="4" w:space="0"/>
            </w:tcBorders>
            <w:tcW w:w="1074"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29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仿宋_GB2312" w:hAnsi="Times New Roman" w:eastAsia="仿宋_GB2312" w:cs="Times New Roman"/>
          <w:color w:val="auto"/>
          <w:sz w:val="28"/>
          <w:highlight w:val="none"/>
          <w:lang w:val="en-US" w:eastAsia="zh-CN" w:bidi="ar-SA"/>
        </w:rPr>
      </w:pPr>
      <w:r>
        <w:rPr>
          <w:rFonts w:hint="eastAsia" w:ascii="仿宋_GB2312" w:hAnsi="Times New Roman" w:eastAsia="仿宋_GB2312" w:cs="Times New Roman"/>
          <w:color w:val="auto"/>
          <w:sz w:val="28"/>
          <w:highlight w:val="none"/>
          <w:lang w:val="en-US" w:eastAsia="zh-CN" w:bidi="ar-SA"/>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0"/>
        <w:rPr>
          <w:rFonts w:hint="eastAsia"/>
          <w:color w:val="auto"/>
          <w:highlight w:val="none"/>
        </w:rPr>
      </w:pPr>
      <w:r>
        <w:rPr>
          <w:rFonts w:hint="eastAsia"/>
          <w:color w:val="auto"/>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cs="宋体"/>
          <w:b/>
          <w:bCs/>
          <w:color w:val="auto"/>
          <w:sz w:val="24"/>
          <w:szCs w:val="24"/>
          <w:highlight w:val="none"/>
        </w:rPr>
        <w:t xml:space="preserve">分部分项工程和单价措施项目清单与计价表</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表3</w:t>
      </w:r>
      <w:r/>
    </w:p>
    <w:tbl>
      <w:tblPr>
        <w:tblStyle w:val="87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33"/>
        <w:gridCol w:w="1458"/>
        <w:gridCol w:w="1581"/>
        <w:gridCol w:w="1829"/>
        <w:gridCol w:w="637"/>
        <w:gridCol w:w="47"/>
        <w:gridCol w:w="898"/>
        <w:gridCol w:w="107"/>
        <w:gridCol w:w="843"/>
        <w:gridCol w:w="1150"/>
        <w:gridCol w:w="1054"/>
      </w:tblGrid>
      <w:tr>
        <w:trPr>
          <w:trHeight w:val="69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353"/>
        </w:trPr>
        <w:tc>
          <w:tcPr>
            <w:gridSpan w:val="6"/>
            <w:tcBorders>
              <w:top w:val="none" w:color="000000" w:sz="4" w:space="0"/>
              <w:left w:val="none" w:color="000000" w:sz="4" w:space="0"/>
              <w:bottom w:val="single" w:color="000000" w:sz="8" w:space="0"/>
              <w:right w:val="none" w:color="000000" w:sz="4" w:space="0"/>
            </w:tcBorders>
            <w:tcW w:w="300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gridSpan w:val="2"/>
            <w:tcBorders>
              <w:top w:val="none" w:color="000000" w:sz="4" w:space="0"/>
              <w:left w:val="none" w:color="000000" w:sz="4" w:space="0"/>
              <w:bottom w:val="single" w:color="000000" w:sz="8" w:space="0"/>
              <w:right w:val="none" w:color="000000" w:sz="4" w:space="0"/>
            </w:tcBorders>
            <w:tcW w:w="496"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150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第1页 共1页</w:t>
            </w:r>
            <w:r/>
          </w:p>
        </w:tc>
      </w:tr>
      <w:tr>
        <w:trPr>
          <w:trHeight w:val="308"/>
        </w:trPr>
        <w:tc>
          <w:tcPr>
            <w:shd w:val="clear" w:color="ffffff" w:fill="ffffff"/>
            <w:tcBorders>
              <w:top w:val="none" w:color="000000" w:sz="4" w:space="0"/>
              <w:left w:val="single" w:color="000000" w:sz="8" w:space="0"/>
              <w:bottom w:val="single" w:color="000000" w:sz="4" w:space="0"/>
              <w:right w:val="single" w:color="000000" w:sz="4" w:space="0"/>
            </w:tcBorders>
            <w:tcW w:w="263"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single" w:color="000000" w:sz="4" w:space="0"/>
              <w:bottom w:val="single" w:color="000000" w:sz="4" w:space="0"/>
              <w:right w:val="single" w:color="000000" w:sz="4" w:space="0"/>
            </w:tcBorders>
            <w:tcW w:w="719"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项目编码</w:t>
            </w:r>
            <w:r/>
          </w:p>
        </w:tc>
        <w:tc>
          <w:tcPr>
            <w:shd w:val="clear" w:color="ffffff" w:fill="ffffff"/>
            <w:tcBorders>
              <w:top w:val="non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shd w:val="clear" w:color="ffffff" w:fill="ffffff"/>
            <w:tcBorders>
              <w:top w:val="none" w:color="000000" w:sz="4" w:space="0"/>
              <w:left w:val="single" w:color="000000" w:sz="4" w:space="0"/>
              <w:bottom w:val="single" w:color="000000" w:sz="4" w:space="0"/>
              <w:right w:val="single" w:color="000000" w:sz="4" w:space="0"/>
            </w:tcBorders>
            <w:tcW w:w="902"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项目特征描述</w:t>
            </w:r>
            <w:r/>
          </w:p>
        </w:tc>
        <w:tc>
          <w:tcPr>
            <w:shd w:val="clear" w:color="ffffff" w:fill="ffffff"/>
            <w:tcBorders>
              <w:top w:val="none" w:color="000000" w:sz="4" w:space="0"/>
              <w:left w:val="single" w:color="000000" w:sz="4" w:space="0"/>
              <w:bottom w:val="single" w:color="000000" w:sz="4" w:space="0"/>
              <w:right w:val="single" w:color="000000" w:sz="4" w:space="0"/>
            </w:tcBorders>
            <w:tcW w:w="314" w:type="pct"/>
            <w:vAlign w:val="center"/>
            <w:vMerge w:val="restart"/>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计量</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466"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w:t>
            </w:r>
            <w:r/>
          </w:p>
        </w:tc>
        <w:tc>
          <w:tcPr>
            <w:gridSpan w:val="4"/>
            <w:shd w:val="clear" w:color="ffffff" w:fill="ffffff"/>
            <w:tcBorders>
              <w:top w:val="single" w:color="000000" w:sz="8" w:space="0"/>
              <w:left w:val="none" w:color="000000" w:sz="4" w:space="0"/>
              <w:bottom w:val="single" w:color="000000" w:sz="4" w:space="0"/>
              <w:right w:val="single" w:color="000000" w:sz="8" w:space="0"/>
            </w:tcBorders>
            <w:tcW w:w="155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trHeight w:val="308"/>
        </w:trPr>
        <w:tc>
          <w:tcPr>
            <w:shd w:val="clear" w:color="auto" w:fill="auto"/>
            <w:tcBorders>
              <w:top w:val="none" w:color="000000" w:sz="4" w:space="0"/>
              <w:left w:val="single" w:color="000000" w:sz="8" w:space="0"/>
              <w:bottom w:val="single" w:color="000000" w:sz="4" w:space="0"/>
              <w:right w:val="single" w:color="000000" w:sz="4" w:space="0"/>
            </w:tcBorders>
            <w:tcW w:w="263"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71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902"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314"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466"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466"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w:t>
            </w:r>
            <w:r/>
          </w:p>
        </w:tc>
        <w:tc>
          <w:tcPr>
            <w:shd w:val="clear" w:color="ffffff" w:fill="ffffff"/>
            <w:tcBorders>
              <w:top w:val="non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w:t>
            </w:r>
            <w:r/>
          </w:p>
        </w:tc>
        <w:tc>
          <w:tcPr>
            <w:shd w:val="clear" w:color="ffffff" w:fill="ffffff"/>
            <w:tcBorders>
              <w:top w:val="none" w:color="000000" w:sz="4" w:space="0"/>
              <w:left w:val="none" w:color="000000" w:sz="4" w:space="0"/>
              <w:bottom w:val="single" w:color="000000" w:sz="4" w:space="0"/>
              <w:right w:val="single" w:color="000000" w:sz="8" w:space="0"/>
            </w:tcBorders>
            <w:tcW w:w="51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r>
      <w:tr>
        <w:trPr>
          <w:trHeight w:val="293"/>
        </w:trPr>
        <w:tc>
          <w:tcPr>
            <w:shd w:val="clear" w:color="auto" w:fill="auto"/>
            <w:tcBorders>
              <w:top w:val="none" w:color="000000" w:sz="4" w:space="0"/>
              <w:left w:val="single" w:color="000000" w:sz="8" w:space="0"/>
              <w:bottom w:val="single" w:color="000000" w:sz="4" w:space="0"/>
              <w:right w:val="single" w:color="000000" w:sz="4" w:space="0"/>
            </w:tcBorders>
            <w:tcW w:w="263"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719"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902"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314"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466"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ffffff" w:fill="ffffff"/>
            <w:tcBorders>
              <w:top w:val="none" w:color="000000" w:sz="4" w:space="0"/>
              <w:left w:val="none" w:color="000000" w:sz="4" w:space="0"/>
              <w:bottom w:val="single" w:color="000000" w:sz="4" w:space="0"/>
              <w:right w:val="single" w:color="000000" w:sz="8" w:space="0"/>
            </w:tcBorders>
            <w:tcW w:w="51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w:t>
            </w:r>
            <w:r/>
          </w:p>
        </w:tc>
      </w:tr>
      <w:tr>
        <w:trPr>
          <w:trHeight w:val="353"/>
        </w:trPr>
        <w:tc>
          <w:tcPr>
            <w:tcBorders>
              <w:top w:val="none" w:color="000000" w:sz="4" w:space="0"/>
              <w:left w:val="single" w:color="000000" w:sz="8" w:space="0"/>
              <w:bottom w:val="single" w:color="000000" w:sz="4" w:space="0"/>
              <w:right w:val="single" w:color="000000" w:sz="4" w:space="0"/>
            </w:tcBorders>
            <w:tcW w:w="2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8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14"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6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2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8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14"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6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2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8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14"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6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2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8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14"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6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2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8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314"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66"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6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1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58"/>
        </w:trPr>
        <w:tc>
          <w:tcPr>
            <w:gridSpan w:val="9"/>
            <w:tcBorders>
              <w:top w:val="single" w:color="000000" w:sz="4" w:space="0"/>
              <w:left w:val="single" w:color="000000" w:sz="8" w:space="0"/>
              <w:bottom w:val="single" w:color="000000" w:sz="4" w:space="0"/>
              <w:right w:val="single" w:color="000000" w:sz="4" w:space="0"/>
            </w:tcBorders>
            <w:tcW w:w="391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本页小计</w:t>
            </w:r>
            <w:r/>
          </w:p>
        </w:tc>
        <w:tc>
          <w:tcPr>
            <w:tcBorders>
              <w:top w:val="none" w:color="000000" w:sz="4" w:space="0"/>
              <w:left w:val="none" w:color="000000" w:sz="4" w:space="0"/>
              <w:bottom w:val="single" w:color="000000" w:sz="4" w:space="0"/>
              <w:right w:val="single" w:color="000000" w:sz="4" w:space="0"/>
            </w:tcBorders>
            <w:tcW w:w="56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19"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9"/>
        </w:trPr>
        <w:tc>
          <w:tcPr>
            <w:gridSpan w:val="9"/>
            <w:tcBorders>
              <w:top w:val="single" w:color="000000" w:sz="4" w:space="0"/>
              <w:left w:val="single" w:color="000000" w:sz="8" w:space="0"/>
              <w:bottom w:val="single" w:color="000000" w:sz="8" w:space="0"/>
              <w:right w:val="single" w:color="000000" w:sz="4" w:space="0"/>
            </w:tcBorders>
            <w:tcW w:w="391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tcBorders>
              <w:top w:val="none" w:color="000000" w:sz="4" w:space="0"/>
              <w:left w:val="none" w:color="000000" w:sz="4" w:space="0"/>
              <w:bottom w:val="single" w:color="000000" w:sz="8" w:space="0"/>
              <w:right w:val="single" w:color="000000" w:sz="4" w:space="0"/>
            </w:tcBorders>
            <w:tcW w:w="56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519"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四、综合单价分析表</w:t>
      </w:r>
      <w:r/>
    </w:p>
    <w:p>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表4  </w:t>
      </w:r>
      <w:r/>
    </w:p>
    <w:tbl>
      <w:tblPr>
        <w:tblStyle w:val="8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052"/>
        <w:gridCol w:w="1310"/>
        <w:gridCol w:w="2771"/>
      </w:tblGrid>
      <w:tr>
        <w:trPr>
          <w:trHeight w:val="353"/>
        </w:trPr>
        <w:tc>
          <w:tcPr>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tcBorders>
              <w:top w:val="single" w:color="auto" w:sz="4" w:space="0"/>
              <w:left w:val="none" w:color="000000" w:sz="4" w:space="0"/>
              <w:bottom w:val="single" w:color="auto" w:sz="4" w:space="0"/>
              <w:right w:val="single" w:color="auto" w:sz="4" w:space="0"/>
            </w:tcBorders>
            <w:tcW w:w="646"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tcBorders>
              <w:top w:val="single" w:color="auto" w:sz="4" w:space="0"/>
              <w:left w:val="none" w:color="000000" w:sz="4" w:space="0"/>
              <w:bottom w:val="single" w:color="auto" w:sz="4" w:space="0"/>
              <w:right w:val="single" w:color="auto" w:sz="4" w:space="0"/>
            </w:tcBorders>
            <w:tcW w:w="136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  页 共  页</w:t>
            </w:r>
            <w:r/>
          </w:p>
        </w:tc>
      </w:tr>
      <w:tr>
        <w:trPr>
          <w:trHeight w:val="1470"/>
        </w:trPr>
        <w:tc>
          <w:tcPr>
            <w:tcBorders>
              <w:top w:val="single" w:color="auto" w:sz="4" w:space="0"/>
              <w:left w:val="single" w:color="auto" w:sz="4" w:space="0"/>
              <w:bottom w:val="single" w:color="auto" w:sz="4" w:space="0"/>
              <w:right w:val="single" w:color="000000" w:sz="4" w:space="0"/>
            </w:tcBorders>
            <w:tcW w:w="2985" w:type="pct"/>
            <w:vAlign w:val="bottom"/>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46" w:type="pct"/>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367" w:type="pct"/>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470"/>
        </w:trPr>
        <w:tc>
          <w:tcPr>
            <w:tcBorders>
              <w:top w:val="single" w:color="auto" w:sz="4" w:space="0"/>
              <w:left w:val="single" w:color="auto" w:sz="4" w:space="0"/>
              <w:bottom w:val="single" w:color="auto" w:sz="4" w:space="0"/>
              <w:right w:val="single" w:color="000000" w:sz="4" w:space="0"/>
            </w:tcBorders>
            <w:tcW w:w="2985" w:type="pct"/>
            <w:vAlign w:val="bottom"/>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46" w:type="pct"/>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367" w:type="pct"/>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rPr>
          <w:rFonts w:hint="eastAsia" w:ascii="宋体" w:hAnsi="Times New Roman" w:eastAsia="宋体" w:cs="Times New Roman"/>
          <w:color w:val="auto"/>
          <w:sz w:val="34"/>
          <w:highlight w:val="none"/>
        </w:rPr>
      </w:pPr>
      <w:r>
        <w:rPr>
          <w:rFonts w:hint="eastAsia" w:ascii="宋体" w:hAnsi="Times New Roman" w:eastAsia="宋体" w:cs="Times New Roman"/>
          <w:color w:val="auto"/>
          <w:sz w:val="34"/>
          <w:highlight w:val="none"/>
        </w:rPr>
      </w:r>
      <w:r/>
    </w:p>
    <w:p>
      <w:pPr>
        <w:rPr>
          <w:rFonts w:hint="eastAsia" w:ascii="宋体" w:hAnsi="Times New Roman" w:eastAsia="宋体" w:cs="Times New Roman"/>
          <w:color w:val="auto"/>
          <w:sz w:val="34"/>
          <w:highlight w:val="none"/>
        </w:rPr>
      </w:pPr>
      <w:r>
        <w:rPr>
          <w:rFonts w:hint="eastAsia" w:ascii="宋体" w:hAnsi="Times New Roman" w:eastAsia="宋体" w:cs="Times New Roman"/>
          <w:color w:val="auto"/>
          <w:sz w:val="34"/>
          <w:highlight w:val="none"/>
        </w:rPr>
      </w:r>
      <w:r/>
    </w:p>
    <w:p>
      <w:pPr>
        <w:rPr>
          <w:rFonts w:hint="eastAsia" w:ascii="宋体" w:hAnsi="Times New Roman" w:eastAsia="宋体" w:cs="Times New Roman"/>
          <w:color w:val="auto"/>
          <w:sz w:val="34"/>
          <w:highlight w:val="none"/>
        </w:rPr>
      </w:pPr>
      <w:r>
        <w:rPr>
          <w:rFonts w:hint="eastAsia" w:ascii="宋体" w:hAnsi="Times New Roman" w:eastAsia="宋体" w:cs="Times New Roman"/>
          <w:color w:val="auto"/>
          <w:sz w:val="3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bCs/>
          <w:color w:val="auto"/>
          <w:sz w:val="24"/>
          <w:szCs w:val="24"/>
          <w:highlight w:val="none"/>
        </w:rPr>
        <w:t xml:space="preserve">总价措施项目清单与计价表</w:t>
      </w:r>
      <w:r/>
    </w:p>
    <w:p>
      <w:pPr>
        <w:ind w:firstLine="1620"/>
        <w:jc w:val="right"/>
        <w:spacing w:line="440" w:lineRule="exact"/>
        <w:tabs>
          <w:tab w:val="left" w:pos="55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表5</w:t>
      </w:r>
      <w:r/>
    </w:p>
    <w:tbl>
      <w:tblPr>
        <w:tblStyle w:val="8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48"/>
        <w:gridCol w:w="1459"/>
        <w:gridCol w:w="1618"/>
        <w:gridCol w:w="1283"/>
        <w:gridCol w:w="1028"/>
        <w:gridCol w:w="205"/>
        <w:gridCol w:w="805"/>
        <w:gridCol w:w="827"/>
        <w:gridCol w:w="1297"/>
        <w:gridCol w:w="963"/>
      </w:tblGrid>
      <w:tr>
        <w:trPr>
          <w:trHeight w:val="555"/>
        </w:trPr>
        <w:tc>
          <w:tcPr>
            <w:gridSpan w:val="6"/>
            <w:tcBorders>
              <w:top w:val="none" w:color="000000" w:sz="4" w:space="0"/>
              <w:left w:val="none" w:color="000000" w:sz="4" w:space="0"/>
              <w:bottom w:val="single" w:color="000000" w:sz="8" w:space="0"/>
              <w:right w:val="none" w:color="000000" w:sz="4" w:space="0"/>
            </w:tcBorders>
            <w:tcW w:w="307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tcBorders>
              <w:top w:val="none" w:color="000000" w:sz="4" w:space="0"/>
              <w:left w:val="none" w:color="000000" w:sz="4" w:space="0"/>
              <w:bottom w:val="single" w:color="000000" w:sz="8" w:space="0"/>
              <w:right w:val="none" w:color="000000" w:sz="4" w:space="0"/>
            </w:tcBorders>
            <w:tcW w:w="39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1523"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第1页 共2页</w:t>
            </w:r>
            <w:r/>
          </w:p>
        </w:tc>
      </w:tr>
      <w:tr>
        <w:trPr>
          <w:trHeight w:val="945"/>
        </w:trPr>
        <w:tc>
          <w:tcPr>
            <w:shd w:val="clear" w:color="ffffff" w:fill="ffffff"/>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项目编码</w:t>
            </w:r>
            <w:r/>
          </w:p>
        </w:tc>
        <w:tc>
          <w:tcPr>
            <w:shd w:val="clear" w:color="ffffff" w:fill="ffffff"/>
            <w:tcBorders>
              <w:top w:val="single" w:color="000000" w:sz="8" w:space="0"/>
              <w:left w:val="none" w:color="000000" w:sz="4" w:space="0"/>
              <w:bottom w:val="single" w:color="000000" w:sz="4" w:space="0"/>
              <w:right w:val="single" w:color="000000" w:sz="4" w:space="0"/>
            </w:tcBorders>
            <w:tcW w:w="798"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计算基础</w:t>
            </w:r>
            <w:r/>
          </w:p>
        </w:tc>
        <w:tc>
          <w:tcPr>
            <w:shd w:val="clear" w:color="ffffff" w:fill="ffffff"/>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4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c>
          <w:tcPr>
            <w:shd w:val="clear" w:color="ffffff" w:fill="ffffff"/>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调整</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c>
          <w:tcPr>
            <w:shd w:val="clear" w:color="ffffff" w:fill="ffffff"/>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调整后</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c>
          <w:tcPr>
            <w:shd w:val="clear" w:color="ffffff" w:fill="ffffff"/>
            <w:tcBorders>
              <w:top w:val="single" w:color="000000" w:sz="8" w:space="0"/>
              <w:left w:val="none" w:color="000000" w:sz="4" w:space="0"/>
              <w:bottom w:val="single" w:color="000000" w:sz="4" w:space="0"/>
              <w:right w:val="single" w:color="000000" w:sz="8" w:space="0"/>
            </w:tcBorders>
            <w:tcW w:w="47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2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安全文明施工费</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2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基本费</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2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增加费</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10"/>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夜间施工</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60"/>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非夜间施工照明</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750"/>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二次搬运</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73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冬雨季施工</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2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地上、地下设施、建筑物的临时保护设施</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已完工程及设备保护</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临时设施</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赶工措施</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工程按质论价</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5"/>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住宅分户验收</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720"/>
        </w:trPr>
        <w:tc>
          <w:tcPr>
            <w:tcBorders>
              <w:top w:val="none" w:color="000000" w:sz="4" w:space="0"/>
              <w:left w:val="single" w:color="000000" w:sz="8" w:space="0"/>
              <w:bottom w:val="single" w:color="000000" w:sz="4" w:space="0"/>
              <w:right w:val="single" w:color="000000" w:sz="4" w:space="0"/>
            </w:tcBorders>
            <w:tcW w:w="3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72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7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特殊条件下施工增加费</w:t>
            </w:r>
            <w:r/>
          </w:p>
        </w:tc>
        <w:tc>
          <w:tcPr>
            <w:tcBorders>
              <w:top w:val="none" w:color="000000" w:sz="4" w:space="0"/>
              <w:left w:val="none" w:color="000000" w:sz="4" w:space="0"/>
              <w:bottom w:val="single" w:color="000000" w:sz="4" w:space="0"/>
              <w:right w:val="single" w:color="000000" w:sz="4" w:space="0"/>
            </w:tcBorders>
            <w:tcW w:w="63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50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9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408"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none" w:color="000000" w:sz="4" w:space="0"/>
              <w:bottom w:val="single" w:color="000000" w:sz="4" w:space="0"/>
              <w:right w:val="single" w:color="000000" w:sz="8" w:space="0"/>
            </w:tcBorders>
            <w:tcW w:w="474"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六、其他项目清单与计价汇总表</w:t>
      </w:r>
      <w:r/>
    </w:p>
    <w:p>
      <w:pPr>
        <w:ind w:firstLine="1620"/>
        <w:jc w:val="right"/>
        <w:spacing w:line="440" w:lineRule="exact"/>
        <w:tabs>
          <w:tab w:val="left" w:pos="5580" w:leader="none"/>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表6</w:t>
      </w:r>
      <w:r/>
    </w:p>
    <w:tbl>
      <w:tblPr>
        <w:tblStyle w:val="873"/>
        <w:tblW w:w="10407" w:type="dxa"/>
        <w:jc w:val="center"/>
        <w:tblLayout w:type="autofit"/>
        <w:tblCellMar>
          <w:left w:w="108" w:type="dxa"/>
          <w:top w:w="0" w:type="dxa"/>
          <w:right w:w="108" w:type="dxa"/>
          <w:bottom w:w="0" w:type="dxa"/>
        </w:tblCellMar>
        <w:tblLook w:val="04A0" w:firstRow="1" w:lastRow="0" w:firstColumn="1" w:lastColumn="0" w:noHBand="0" w:noVBand="1"/>
      </w:tblPr>
      <w:tblGrid>
        <w:gridCol w:w="10407"/>
      </w:tblGrid>
      <w:tr>
        <w:trPr>
          <w:jc w:val="center"/>
          <w:trHeight w:val="870"/>
        </w:trPr>
        <w:tc>
          <w:tcPr>
            <w:tcBorders>
              <w:top w:val="none" w:color="000000" w:sz="4" w:space="0"/>
              <w:left w:val="none" w:color="000000" w:sz="4" w:space="0"/>
              <w:bottom w:val="none" w:color="000000" w:sz="4" w:space="0"/>
              <w:right w:val="none" w:color="000000" w:sz="4" w:space="0"/>
            </w:tcBorders>
            <w:tcW w:w="10407" w:type="dxa"/>
            <w:vAlign w:val="center"/>
            <w:textDirection w:val="lrTb"/>
            <w:noWrap w:val="false"/>
          </w:tcPr>
          <w:tbl>
            <w:tblPr>
              <w:tblStyle w:val="87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972"/>
              <w:gridCol w:w="2444"/>
              <w:gridCol w:w="1926"/>
              <w:gridCol w:w="789"/>
              <w:gridCol w:w="1013"/>
              <w:gridCol w:w="145"/>
              <w:gridCol w:w="2900"/>
            </w:tblGrid>
            <w:tr>
              <w:trPr>
                <w:trHeight w:val="353"/>
              </w:trPr>
              <w:tc>
                <w:tcPr>
                  <w:gridSpan w:val="4"/>
                  <w:tcBorders>
                    <w:top w:val="none" w:color="000000" w:sz="4" w:space="0"/>
                    <w:left w:val="none" w:color="000000" w:sz="4" w:space="0"/>
                    <w:bottom w:val="single" w:color="000000" w:sz="8" w:space="0"/>
                    <w:right w:val="none" w:color="000000" w:sz="4" w:space="0"/>
                  </w:tcBorders>
                  <w:tcW w:w="300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tcBorders>
                    <w:top w:val="none" w:color="000000" w:sz="4" w:space="0"/>
                    <w:left w:val="none" w:color="000000" w:sz="4" w:space="0"/>
                    <w:bottom w:val="single" w:color="000000" w:sz="8" w:space="0"/>
                    <w:right w:val="none" w:color="000000" w:sz="4" w:space="0"/>
                  </w:tcBorders>
                  <w:tcW w:w="497"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2"/>
                  <w:tcBorders>
                    <w:top w:val="none" w:color="000000" w:sz="4" w:space="0"/>
                    <w:left w:val="none" w:color="000000" w:sz="4" w:space="0"/>
                    <w:bottom w:val="single" w:color="000000" w:sz="8" w:space="0"/>
                    <w:right w:val="none" w:color="000000" w:sz="4" w:space="0"/>
                  </w:tcBorders>
                  <w:tcW w:w="1493"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  页 共  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95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结算金额(元)</w:t>
                  </w:r>
                  <w:r/>
                </w:p>
              </w:tc>
              <w:tc>
                <w:tcPr>
                  <w:shd w:val="clear" w:color="ffffff" w:fill="ffffff"/>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353"/>
              </w:trPr>
              <w:tc>
                <w:tcPr>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暂列金额</w:t>
                  </w:r>
                  <w:r/>
                </w:p>
              </w:tc>
              <w:tc>
                <w:tcPr>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w:t>
                  </w:r>
                  <w:r/>
                </w:p>
              </w:tc>
              <w:tc>
                <w:tcPr>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材料暂估价</w:t>
                  </w:r>
                  <w:r/>
                </w:p>
              </w:tc>
              <w:tc>
                <w:tcPr>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专业工程暂估价</w:t>
                  </w:r>
                  <w:r/>
                </w:p>
              </w:tc>
              <w:tc>
                <w:tcPr>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计日工</w:t>
                  </w:r>
                  <w:r/>
                </w:p>
              </w:tc>
              <w:tc>
                <w:tcPr>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4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19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总承包服务费</w:t>
                  </w:r>
                  <w:r/>
                </w:p>
              </w:tc>
              <w:tc>
                <w:tcPr>
                  <w:tcBorders>
                    <w:top w:val="none" w:color="000000" w:sz="4" w:space="0"/>
                    <w:left w:val="none" w:color="000000" w:sz="4" w:space="0"/>
                    <w:bottom w:val="single" w:color="000000" w:sz="4"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47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9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4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95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142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9"/>
              </w:trPr>
              <w:tc>
                <w:tcPr>
                  <w:gridSpan w:val="2"/>
                  <w:tcBorders>
                    <w:top w:val="single" w:color="000000" w:sz="4" w:space="0"/>
                    <w:left w:val="single" w:color="000000" w:sz="8" w:space="0"/>
                    <w:bottom w:val="single" w:color="000000" w:sz="8" w:space="0"/>
                    <w:right w:val="single" w:color="000000" w:sz="4" w:space="0"/>
                  </w:tcBorders>
                  <w:tcW w:w="167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tcBorders>
                    <w:top w:val="none" w:color="000000" w:sz="4" w:space="0"/>
                    <w:left w:val="none" w:color="000000" w:sz="4" w:space="0"/>
                    <w:bottom w:val="single" w:color="000000" w:sz="8" w:space="0"/>
                    <w:right w:val="single" w:color="000000" w:sz="4" w:space="0"/>
                  </w:tcBorders>
                  <w:tcW w:w="945"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8" w:space="0"/>
                    <w:right w:val="single" w:color="000000" w:sz="4" w:space="0"/>
                  </w:tcBorders>
                  <w:tcW w:w="95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42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、专业工程暂估价及结算价表</w:t>
      </w:r>
      <w:r/>
    </w:p>
    <w:p>
      <w:pPr>
        <w:jc w:val="righ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7</w:t>
      </w:r>
      <w:r/>
    </w:p>
    <w:tbl>
      <w:tblPr>
        <w:tblStyle w:val="8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40"/>
        <w:gridCol w:w="2200"/>
        <w:gridCol w:w="1829"/>
        <w:gridCol w:w="1318"/>
        <w:gridCol w:w="162"/>
        <w:gridCol w:w="843"/>
        <w:gridCol w:w="616"/>
        <w:gridCol w:w="1336"/>
        <w:gridCol w:w="1089"/>
      </w:tblGrid>
      <w:tr>
        <w:trPr>
          <w:trHeight w:val="353"/>
        </w:trPr>
        <w:tc>
          <w:tcPr>
            <w:gridSpan w:val="4"/>
            <w:tcBorders>
              <w:top w:val="none" w:color="000000" w:sz="4" w:space="0"/>
              <w:left w:val="none" w:color="000000" w:sz="4" w:space="0"/>
              <w:bottom w:val="single" w:color="000000" w:sz="8" w:space="0"/>
              <w:right w:val="none" w:color="000000" w:sz="4" w:space="0"/>
            </w:tcBorders>
            <w:tcW w:w="300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gridSpan w:val="2"/>
            <w:tcBorders>
              <w:top w:val="none" w:color="000000" w:sz="4" w:space="0"/>
              <w:left w:val="none" w:color="000000" w:sz="4" w:space="0"/>
              <w:bottom w:val="single" w:color="000000" w:sz="8" w:space="0"/>
              <w:right w:val="none" w:color="000000" w:sz="4" w:space="0"/>
            </w:tcBorders>
            <w:tcW w:w="496"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150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  页 共 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36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1085"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90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工程内容</w:t>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73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暂估金额(元)</w:t>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72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结算金额(元)</w:t>
            </w:r>
            <w:r/>
          </w:p>
        </w:tc>
        <w:tc>
          <w:tcPr>
            <w:shd w:val="clear" w:color="ffffff" w:fill="ffffff"/>
            <w:tcBorders>
              <w:top w:val="none" w:color="000000" w:sz="4" w:space="0"/>
              <w:left w:val="none" w:color="000000" w:sz="4" w:space="0"/>
              <w:bottom w:val="single" w:color="000000" w:sz="4" w:space="0"/>
              <w:right w:val="single" w:color="000000" w:sz="4" w:space="0"/>
            </w:tcBorders>
            <w:tcW w:w="65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差额±(元)</w:t>
            </w:r>
            <w:r/>
          </w:p>
        </w:tc>
        <w:tc>
          <w:tcPr>
            <w:shd w:val="clear" w:color="ffffff" w:fill="ffffff"/>
            <w:tcBorders>
              <w:top w:val="none" w:color="000000" w:sz="4" w:space="0"/>
              <w:left w:val="none" w:color="000000" w:sz="4" w:space="0"/>
              <w:bottom w:val="single" w:color="000000" w:sz="4" w:space="0"/>
              <w:right w:val="single" w:color="000000" w:sz="8" w:space="0"/>
            </w:tcBorders>
            <w:tcW w:w="53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353"/>
        </w:trPr>
        <w:tc>
          <w:tcPr>
            <w:tcBorders>
              <w:top w:val="none" w:color="000000" w:sz="4" w:space="0"/>
              <w:left w:val="single" w:color="000000" w:sz="8" w:space="0"/>
              <w:bottom w:val="single" w:color="000000" w:sz="4" w:space="0"/>
              <w:right w:val="single" w:color="000000" w:sz="4" w:space="0"/>
            </w:tcBorders>
            <w:tcW w:w="36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3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2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3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36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3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2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3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36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3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2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3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36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0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3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72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5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53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9"/>
        </w:trPr>
        <w:tc>
          <w:tcPr>
            <w:gridSpan w:val="3"/>
            <w:tcBorders>
              <w:top w:val="single" w:color="000000" w:sz="4" w:space="0"/>
              <w:left w:val="single" w:color="000000" w:sz="8" w:space="0"/>
              <w:bottom w:val="single" w:color="000000" w:sz="8" w:space="0"/>
              <w:right w:val="single" w:color="000000" w:sz="4" w:space="0"/>
            </w:tcBorders>
            <w:tcW w:w="235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gridSpan w:val="2"/>
            <w:tcBorders>
              <w:top w:val="single" w:color="000000" w:sz="4" w:space="0"/>
              <w:left w:val="none" w:color="000000" w:sz="4" w:space="0"/>
              <w:bottom w:val="single" w:color="000000" w:sz="8" w:space="0"/>
              <w:right w:val="single" w:color="000000" w:sz="4" w:space="0"/>
            </w:tcBorders>
            <w:tcW w:w="73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8" w:space="0"/>
              <w:right w:val="single" w:color="000000" w:sz="4" w:space="0"/>
            </w:tcBorders>
            <w:tcW w:w="72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4" w:space="0"/>
            </w:tcBorders>
            <w:tcW w:w="65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53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jc w:val="left"/>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、专业工程暂估价表</w:t>
      </w:r>
      <w:r/>
    </w:p>
    <w:p>
      <w:pPr>
        <w:jc w:val="righ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8</w:t>
      </w:r>
      <w:r/>
    </w:p>
    <w:tbl>
      <w:tblPr>
        <w:tblStyle w:val="8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81"/>
        <w:gridCol w:w="1952"/>
        <w:gridCol w:w="1561"/>
        <w:gridCol w:w="1561"/>
        <w:gridCol w:w="231"/>
        <w:gridCol w:w="1006"/>
        <w:gridCol w:w="324"/>
        <w:gridCol w:w="1170"/>
        <w:gridCol w:w="1547"/>
      </w:tblGrid>
      <w:tr>
        <w:trPr>
          <w:trHeight w:val="353"/>
        </w:trPr>
        <w:tc>
          <w:tcPr>
            <w:gridSpan w:val="5"/>
            <w:tcBorders>
              <w:top w:val="none" w:color="000000" w:sz="4" w:space="0"/>
              <w:left w:val="none" w:color="000000" w:sz="4" w:space="0"/>
              <w:bottom w:val="single" w:color="000000" w:sz="8" w:space="0"/>
              <w:right w:val="none" w:color="000000" w:sz="4" w:space="0"/>
            </w:tcBorders>
            <w:tcW w:w="3002"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tcBorders>
              <w:top w:val="none" w:color="000000" w:sz="4" w:space="0"/>
              <w:left w:val="none" w:color="000000" w:sz="4" w:space="0"/>
              <w:bottom w:val="single" w:color="000000" w:sz="8" w:space="0"/>
              <w:right w:val="none" w:color="000000" w:sz="4" w:space="0"/>
            </w:tcBorders>
            <w:tcW w:w="496"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150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第1页 共1页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项目价值(元)</w:t>
            </w:r>
            <w:r/>
          </w:p>
        </w:tc>
        <w:tc>
          <w:tcPr>
            <w:shd w:val="clear" w:color="ffffff" w:fill="ffffff"/>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77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计算基础</w:t>
            </w:r>
            <w:r/>
          </w:p>
        </w:tc>
        <w:tc>
          <w:tcPr>
            <w:shd w:val="clear" w:color="ffffff" w:fill="ffffff"/>
            <w:tcBorders>
              <w:top w:val="none" w:color="000000" w:sz="4" w:space="0"/>
              <w:left w:val="non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c>
          <w:tcPr>
            <w:shd w:val="clear" w:color="ffffff" w:fill="ffffff"/>
            <w:tcBorders>
              <w:top w:val="none" w:color="000000" w:sz="4" w:space="0"/>
              <w:left w:val="none" w:color="000000" w:sz="4" w:space="0"/>
              <w:bottom w:val="single" w:color="000000" w:sz="4" w:space="0"/>
              <w:right w:val="single" w:color="000000" w:sz="8" w:space="0"/>
            </w:tcBorders>
            <w:tcW w:w="76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trHeight w:val="600"/>
        </w:trPr>
        <w:tc>
          <w:tcPr>
            <w:tcBorders>
              <w:top w:val="none" w:color="000000" w:sz="4" w:space="0"/>
              <w:left w:val="single" w:color="000000" w:sz="8"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96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发包人发包专业工程</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57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76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38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963"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发包人供应材料</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57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76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3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7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761"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3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63"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57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8" w:space="0"/>
            </w:tcBorders>
            <w:tcW w:w="761"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9"/>
        </w:trPr>
        <w:tc>
          <w:tcPr>
            <w:tcBorders>
              <w:top w:val="none" w:color="000000" w:sz="4" w:space="0"/>
              <w:left w:val="single" w:color="000000" w:sz="8" w:space="0"/>
              <w:bottom w:val="single" w:color="000000" w:sz="8" w:space="0"/>
              <w:right w:val="single" w:color="000000" w:sz="4" w:space="0"/>
            </w:tcBorders>
            <w:tcW w:w="38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4" w:space="0"/>
            </w:tcBorders>
            <w:tcW w:w="96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tcBorders>
              <w:top w:val="none" w:color="000000" w:sz="4" w:space="0"/>
              <w:left w:val="none" w:color="000000" w:sz="4" w:space="0"/>
              <w:bottom w:val="single" w:color="000000" w:sz="8"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3"/>
            <w:tcBorders>
              <w:top w:val="single" w:color="000000" w:sz="4" w:space="0"/>
              <w:left w:val="none" w:color="000000" w:sz="4" w:space="0"/>
              <w:bottom w:val="single" w:color="000000" w:sz="8" w:space="0"/>
              <w:right w:val="single" w:color="000000" w:sz="4" w:space="0"/>
            </w:tcBorders>
            <w:tcW w:w="77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4" w:space="0"/>
            </w:tcBorders>
            <w:tcW w:w="57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761"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、规费、税金项目计价表</w:t>
      </w:r>
      <w:r/>
    </w:p>
    <w:p>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9</w:t>
      </w:r>
      <w:r/>
    </w:p>
    <w:tbl>
      <w:tblPr>
        <w:tblStyle w:val="87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40"/>
        <w:gridCol w:w="1802"/>
        <w:gridCol w:w="1500"/>
        <w:gridCol w:w="265"/>
        <w:gridCol w:w="1415"/>
        <w:gridCol w:w="2063"/>
        <w:gridCol w:w="268"/>
        <w:gridCol w:w="1642"/>
        <w:gridCol w:w="338"/>
      </w:tblGrid>
      <w:tr>
        <w:trPr>
          <w:gridAfter w:val="1"/>
          <w:trHeight w:val="353"/>
        </w:trPr>
        <w:tc>
          <w:tcPr>
            <w:gridSpan w:val="3"/>
            <w:tcBorders>
              <w:top w:val="none" w:color="000000" w:sz="4" w:space="0"/>
              <w:left w:val="none" w:color="000000" w:sz="4" w:space="0"/>
              <w:bottom w:val="single" w:color="000000" w:sz="8" w:space="0"/>
              <w:right w:val="none" w:color="000000" w:sz="4" w:space="0"/>
            </w:tcBorders>
            <w:tcW w:w="2044"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项目名称：xx项目</w:t>
            </w:r>
            <w:r/>
          </w:p>
        </w:tc>
        <w:tc>
          <w:tcPr>
            <w:gridSpan w:val="2"/>
            <w:tcBorders>
              <w:top w:val="none" w:color="000000" w:sz="4" w:space="0"/>
              <w:left w:val="none" w:color="000000" w:sz="4" w:space="0"/>
              <w:bottom w:val="single" w:color="000000" w:sz="8" w:space="0"/>
              <w:right w:val="none" w:color="000000" w:sz="4" w:space="0"/>
            </w:tcBorders>
            <w:tcW w:w="82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1959"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690"/>
        </w:trPr>
        <w:tc>
          <w:tcPr>
            <w:shd w:val="clear" w:color="ffffff" w:fill="ffffff"/>
            <w:tcBorders>
              <w:top w:val="none" w:color="000000" w:sz="4" w:space="0"/>
              <w:left w:val="single" w:color="000000" w:sz="8"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gridSpan w:val="2"/>
            <w:shd w:val="clear" w:color="ffffff" w:fill="ffffff"/>
            <w:tcBorders>
              <w:top w:val="single" w:color="000000" w:sz="8" w:space="0"/>
              <w:left w:val="none" w:color="000000" w:sz="4" w:space="0"/>
              <w:bottom w:val="single" w:color="000000" w:sz="4" w:space="0"/>
              <w:right w:val="single" w:color="000000" w:sz="4" w:space="0"/>
            </w:tcBorders>
            <w:tcW w:w="87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计算基础</w:t>
            </w:r>
            <w:r/>
          </w:p>
        </w:tc>
        <w:tc>
          <w:tcPr>
            <w:shd w:val="clear" w:color="ffffff" w:fill="ffffff"/>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计算基数(元)</w:t>
            </w:r>
            <w:r/>
          </w:p>
        </w:tc>
        <w:tc>
          <w:tcPr>
            <w:shd w:val="clear" w:color="ffffff" w:fill="ffffff"/>
            <w:tcBorders>
              <w:top w:val="none" w:color="000000" w:sz="4" w:space="0"/>
              <w:left w:val="none" w:color="000000" w:sz="4" w:space="0"/>
              <w:bottom w:val="single" w:color="000000" w:sz="4" w:space="0"/>
              <w:right w:val="single" w:color="000000" w:sz="4" w:space="0"/>
            </w:tcBorders>
            <w:tcW w:w="1018"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计算费率(％)</w:t>
            </w:r>
            <w:r/>
          </w:p>
        </w:tc>
        <w:tc>
          <w:tcPr>
            <w:gridSpan w:val="2"/>
            <w:shd w:val="clear" w:color="ffffff" w:fill="ffffff"/>
            <w:tcBorders>
              <w:top w:val="single" w:color="000000" w:sz="8" w:space="0"/>
              <w:left w:val="none" w:color="000000" w:sz="4" w:space="0"/>
              <w:bottom w:val="single" w:color="000000" w:sz="4" w:space="0"/>
              <w:right w:val="single" w:color="000000" w:sz="8" w:space="0"/>
            </w:tcBorders>
            <w:tcW w:w="94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8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规费</w:t>
            </w:r>
            <w:r/>
          </w:p>
        </w:tc>
        <w:tc>
          <w:tcPr>
            <w:gridSpan w:val="2"/>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1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8" w:space="0"/>
            </w:tcBorders>
            <w:tcW w:w="9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8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社会保险费</w:t>
            </w:r>
            <w:r/>
          </w:p>
        </w:tc>
        <w:tc>
          <w:tcPr>
            <w:gridSpan w:val="2"/>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1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8" w:space="0"/>
            </w:tcBorders>
            <w:tcW w:w="9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8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gridSpan w:val="2"/>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1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8" w:space="0"/>
            </w:tcBorders>
            <w:tcW w:w="9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900"/>
        </w:trPr>
        <w:tc>
          <w:tcPr>
            <w:tcBorders>
              <w:top w:val="none" w:color="000000" w:sz="4" w:space="0"/>
              <w:left w:val="single" w:color="000000" w:sz="8"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8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工程排污费</w:t>
            </w:r>
            <w:r/>
          </w:p>
        </w:tc>
        <w:tc>
          <w:tcPr>
            <w:gridSpan w:val="2"/>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1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8" w:space="0"/>
            </w:tcBorders>
            <w:tcW w:w="9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1200"/>
        </w:trPr>
        <w:tc>
          <w:tcPr>
            <w:tcBorders>
              <w:top w:val="none" w:color="000000" w:sz="4" w:space="0"/>
              <w:left w:val="single" w:color="000000" w:sz="8" w:space="0"/>
              <w:bottom w:val="single" w:color="000000" w:sz="4" w:space="0"/>
              <w:right w:val="single" w:color="000000" w:sz="4" w:space="0"/>
            </w:tcBorders>
            <w:tcW w:w="415"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889"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2"/>
            <w:tcBorders>
              <w:top w:val="single" w:color="000000" w:sz="4" w:space="0"/>
              <w:left w:val="none" w:color="000000" w:sz="4" w:space="0"/>
              <w:bottom w:val="single" w:color="000000" w:sz="4" w:space="0"/>
              <w:right w:val="single" w:color="000000" w:sz="4" w:space="0"/>
            </w:tcBorders>
            <w:tcW w:w="87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697"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18"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8" w:space="0"/>
            </w:tcBorders>
            <w:tcW w:w="940" w:type="pct"/>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353"/>
        </w:trPr>
        <w:tc>
          <w:tcPr>
            <w:tcBorders>
              <w:top w:val="none" w:color="000000" w:sz="4" w:space="0"/>
              <w:left w:val="single" w:color="000000" w:sz="8" w:space="0"/>
              <w:bottom w:val="single" w:color="000000" w:sz="4" w:space="0"/>
              <w:right w:val="single" w:color="000000" w:sz="4" w:space="0"/>
            </w:tcBorders>
            <w:tcW w:w="41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88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871"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18"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single" w:color="000000" w:sz="4" w:space="0"/>
              <w:left w:val="none" w:color="000000" w:sz="4" w:space="0"/>
              <w:bottom w:val="single" w:color="000000" w:sz="4" w:space="0"/>
              <w:right w:val="single" w:color="000000" w:sz="8" w:space="0"/>
            </w:tcBorders>
            <w:tcW w:w="940"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689"/>
        </w:trPr>
        <w:tc>
          <w:tcPr>
            <w:gridSpan w:val="8"/>
            <w:tcBorders>
              <w:top w:val="none" w:color="000000" w:sz="4" w:space="0"/>
              <w:left w:val="single" w:color="000000" w:sz="8" w:space="0"/>
              <w:bottom w:val="single" w:color="000000" w:sz="4" w:space="0"/>
              <w:right w:val="single" w:color="000000" w:sz="8" w:space="0"/>
            </w:tcBorders>
            <w:tcW w:w="4832" w:type="pct"/>
            <w:vAlign w:val="top"/>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r>
      <w:tr>
        <w:trPr>
          <w:trHeight w:val="15"/>
        </w:trPr>
        <w:tc>
          <w:tcPr>
            <w:tcBorders>
              <w:top w:val="none" w:color="000000" w:sz="4" w:space="0"/>
              <w:left w:val="none" w:color="000000" w:sz="4" w:space="0"/>
              <w:bottom w:val="none" w:color="000000" w:sz="4" w:space="0"/>
              <w:right w:val="none" w:color="000000" w:sz="4" w:space="0"/>
            </w:tcBorders>
            <w:tcW w:w="41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88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739"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31"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697"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018"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32"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975" w:type="pct"/>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866"/>
        <w:jc w:val="both"/>
        <w:rPr>
          <w:rFonts w:hint="eastAsia"/>
          <w:highlight w:val="none"/>
        </w:rPr>
      </w:pPr>
      <w:r>
        <w:rPr>
          <w:rFonts w:hint="eastAsia"/>
          <w:highlight w:val="none"/>
        </w:rPr>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5"/>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headerReference w:type="default" r:id="rId12"/>
      <w:footerReference w:type="default" r:id="rId16"/>
      <w:footerReference w:type="first" r:id="rId17"/>
      <w:footnotePr/>
      <w:endnotePr/>
      <w:type w:val="nextPage"/>
      <w:pgSz w:w="11906" w:h="16838" w:orient="portrait"/>
      <w:pgMar w:top="567" w:right="851" w:bottom="567" w:left="1134" w:header="624" w:footer="907" w:gutter="0"/>
      <w:pgNumType w:start="6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Wingdings">
    <w:panose1 w:val="05000000000000000000"/>
  </w:font>
  <w:font w:name="仿宋">
    <w:panose1 w:val="02010609060101010101"/>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mbria">
    <w:panose1 w:val="02040503050406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60</w:t>
                          </w:r>
                          <w:r>
                            <w:rPr>
                              <w:rFonts w:ascii="Times New Roman" w:hAnsi="Times New Roman" w:eastAsia="宋体" w:cs="Times New Roman"/>
                              <w:sz w:val="18"/>
                              <w:szCs w:val="18"/>
                              <w:lang w:val="en-US" w:eastAsia="zh-CN" w:bidi="ar-SA"/>
                            </w:rPr>
                            <w:fldChar w:fldCharType="end"/>
                          </w:r>
                          <w:r>
                            <w:rPr>
                              <w:rFonts w:hint="eastAsia" w:ascii="Times New Roman" w:hAnsi="Times New Roman" w:eastAsia="宋体" w:cs="Times New Roman"/>
                              <w:sz w:val="18"/>
                              <w:szCs w:val="18"/>
                              <w:lang w:val="en-US" w:eastAsia="zh-CN" w:bidi="ar-SA"/>
                            </w:rPr>
                            <w:t xml:space="preserve">-</w:t>
                          </w:r>
                          <w:r/>
                        </w:p>
                      </w:txbxContent>
                    </wps:txbx>
                    <wps:bodyPr wrap="none" lIns="0" tIns="0" rIns="0" bIns="0" upright="0">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60</w:t>
                    </w:r>
                    <w:r>
                      <w:rPr>
                        <w:rFonts w:ascii="Times New Roman" w:hAnsi="Times New Roman" w:eastAsia="宋体" w:cs="Times New Roman"/>
                        <w:sz w:val="18"/>
                        <w:szCs w:val="18"/>
                        <w:lang w:val="en-US" w:eastAsia="zh-CN" w:bidi="ar-SA"/>
                      </w:rPr>
                      <w:fldChar w:fldCharType="end"/>
                    </w:r>
                    <w:r>
                      <w:rPr>
                        <w:rFonts w:hint="eastAsia" w:ascii="Times New Roman" w:hAnsi="Times New Roman" w:eastAsia="宋体" w:cs="Times New Roman"/>
                        <w:sz w:val="18"/>
                        <w:szCs w:val="18"/>
                        <w:lang w:val="en-US" w:eastAsia="zh-CN" w:bidi="ar-SA"/>
                      </w:rPr>
                      <w:t xml:space="preserve">-</w:t>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61</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61</w:t>
                    </w:r>
                    <w:r>
                      <w:rPr>
                        <w:rFonts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589"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76</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76</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t xml:space="preserve">- </w:t>
    </w:r>
    <w:r>
      <w:fldChar w:fldCharType="begin"/>
    </w:r>
    <w:r>
      <w:instrText xml:space="preserve"> PAGE </w:instrText>
    </w:r>
    <w:r>
      <w:fldChar w:fldCharType="separate"/>
    </w:r>
    <w:r>
      <w:t xml:space="preserve">6</w:t>
    </w:r>
    <w:r>
      <w:fldChar w:fldCharType="end"/>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61</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61</w:t>
                    </w:r>
                    <w:r>
                      <w:rPr>
                        <w:rFonts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Bdr>
        <w:bottom w:val="single" w:color="auto" w:sz="4" w:space="0"/>
      </w:pBdr>
    </w:pPr>
    <w:r>
      <w:rPr>
        <w:rFonts w:hint="eastAsia" w:ascii="宋体" w:hAnsi="宋体" w:eastAsia="宋体" w:cs="宋体"/>
        <w:bCs/>
        <w:sz w:val="18"/>
        <w:szCs w:val="18"/>
        <w:lang w:val="en-US" w:eastAsia="zh-CN" w:bidi="ar-S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ascii="宋体" w:hAnsi="Times New Roman" w:eastAsia="宋体" w:cs="Times New Roman"/>
        <w:bCs/>
        <w:sz w:val="34"/>
      </w:rPr>
    </w:pPr>
    <w:r>
      <w:rPr>
        <w:rFonts w:hint="eastAsia" w:ascii="宋体" w:hAnsi="宋体" w:eastAsia="宋体" w:cs="宋体"/>
        <w:bCs/>
        <w:sz w:val="34"/>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eastAsia" w:ascii="Times New Roman" w:hAnsi="Times New Roman" w:eastAsia="宋体" w:cs="Times New Roman"/>
        <w:sz w:val="18"/>
        <w:szCs w:val="18"/>
        <w:lang w:val="en-US" w:eastAsia="zh-CN" w:bidi="ar-SA"/>
      </w:rPr>
      <w:pBdr>
        <w:bottom w:val="none" w:color="auto" w:sz="0" w:space="1"/>
      </w:pBdr>
    </w:pPr>
    <w:r>
      <w:rPr>
        <w:rFonts w:hint="eastAsia"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both"/>
      <w:rPr>
        <w:rFonts w:hint="eastAsia" w:ascii="宋体" w:hAnsi="宋体" w:eastAsia="宋体" w:cs="宋体"/>
        <w:lang w:eastAsia="zh-CN"/>
      </w:rPr>
      <w:pBdr>
        <w:bottom w:val="single" w:color="auto" w:sz="6" w:space="0"/>
      </w:pBdr>
    </w:pPr>
    <w:r>
      <w:rPr>
        <w:rFonts w:hint="eastAsia" w:ascii="宋体" w:hAnsi="宋体" w:eastAsia="宋体" w:cs="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right"/>
      <w:pPr>
        <w:ind w:left="1438" w:hanging="420"/>
        <w:tabs>
          <w:tab w:val="left" w:pos="1438" w:leader="none"/>
        </w:tabs>
      </w:pPr>
      <w:rPr>
        <w:rFonts w:ascii="Times New Roman" w:hAnsi="Times New Roman" w:eastAsia="Times New Roman" w:cs="Times New Roman"/>
        <w:color w:val="auto"/>
      </w:rPr>
    </w:lvl>
    <w:lvl w:ilvl="3">
      <w:start w:val="1"/>
      <w:numFmt w:val="decimal"/>
      <w:isLgl w:val="false"/>
      <w:suff w:val="tab"/>
      <w:lvlText w:val="%4."/>
      <w:lvlJc w:val="left"/>
      <w:pPr>
        <w:ind w:left="1858" w:hanging="420"/>
        <w:tabs>
          <w:tab w:val="left" w:pos="1858" w:leader="none"/>
        </w:tabs>
      </w:pPr>
    </w:lvl>
    <w:lvl w:ilvl="4">
      <w:start w:val="1"/>
      <w:numFmt w:val="lowerLetter"/>
      <w:isLgl w:val="false"/>
      <w:suff w:val="tab"/>
      <w:lvlText w:val="%5)"/>
      <w:lvlJc w:val="left"/>
      <w:pPr>
        <w:ind w:left="2278" w:hanging="420"/>
        <w:tabs>
          <w:tab w:val="left" w:pos="2278" w:leader="none"/>
        </w:tabs>
      </w:pPr>
    </w:lvl>
    <w:lvl w:ilvl="5">
      <w:start w:val="1"/>
      <w:numFmt w:val="lowerRoman"/>
      <w:isLgl w:val="false"/>
      <w:suff w:val="tab"/>
      <w:lvlText w:val="%6."/>
      <w:lvlJc w:val="right"/>
      <w:pPr>
        <w:ind w:left="2698" w:hanging="420"/>
        <w:tabs>
          <w:tab w:val="left" w:pos="2698" w:leader="none"/>
        </w:tabs>
      </w:pPr>
    </w:lvl>
    <w:lvl w:ilvl="6">
      <w:start w:val="1"/>
      <w:numFmt w:val="decimal"/>
      <w:isLgl w:val="false"/>
      <w:suff w:val="tab"/>
      <w:lvlText w:val="%7."/>
      <w:lvlJc w:val="left"/>
      <w:pPr>
        <w:ind w:left="3118" w:hanging="420"/>
        <w:tabs>
          <w:tab w:val="left" w:pos="3118" w:leader="none"/>
        </w:tabs>
      </w:pPr>
    </w:lvl>
    <w:lvl w:ilvl="7">
      <w:start w:val="1"/>
      <w:numFmt w:val="lowerLetter"/>
      <w:isLgl w:val="false"/>
      <w:suff w:val="tab"/>
      <w:lvlText w:val="%8)"/>
      <w:lvlJc w:val="left"/>
      <w:pPr>
        <w:ind w:left="3538" w:hanging="420"/>
        <w:tabs>
          <w:tab w:val="left" w:pos="3538" w:leader="none"/>
        </w:tabs>
      </w:pPr>
    </w:lvl>
    <w:lvl w:ilvl="8">
      <w:start w:val="1"/>
      <w:numFmt w:val="lowerRoman"/>
      <w:isLgl w:val="false"/>
      <w:suff w:val="tab"/>
      <w:lvlText w:val="%9."/>
      <w:lvlJc w:val="right"/>
      <w:pPr>
        <w:ind w:left="3958" w:hanging="420"/>
        <w:tabs>
          <w:tab w:val="left" w:pos="3958" w:leader="none"/>
        </w:tabs>
      </w:p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8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bullet"/>
      <w:pStyle w:val="89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94" w:hanging="420"/>
        <w:tabs>
          <w:tab w:val="left" w:pos="704" w:leader="none"/>
        </w:tabs>
      </w:pPr>
    </w:lvl>
    <w:lvl w:ilvl="1">
      <w:start w:val="1"/>
      <w:numFmt w:val="lowerLetter"/>
      <w:isLgl w:val="false"/>
      <w:suff w:val="tab"/>
      <w:lvlText w:val="%2)"/>
      <w:lvlJc w:val="left"/>
      <w:pPr>
        <w:ind w:left="840" w:hanging="420"/>
        <w:tabs>
          <w:tab w:val="left" w:pos="1050" w:leader="none"/>
        </w:tabs>
      </w:pPr>
    </w:lvl>
    <w:lvl w:ilvl="2">
      <w:start w:val="1"/>
      <w:numFmt w:val="lowerRoman"/>
      <w:isLgl w:val="false"/>
      <w:suff w:val="tab"/>
      <w:lvlText w:val="%3."/>
      <w:lvlJc w:val="right"/>
      <w:pPr>
        <w:ind w:left="1260" w:hanging="420"/>
        <w:tabs>
          <w:tab w:val="left" w:pos="1470" w:leader="none"/>
        </w:tabs>
      </w:pPr>
    </w:lvl>
    <w:lvl w:ilvl="3">
      <w:start w:val="1"/>
      <w:numFmt w:val="decimal"/>
      <w:isLgl w:val="false"/>
      <w:suff w:val="tab"/>
      <w:lvlText w:val="%4."/>
      <w:lvlJc w:val="left"/>
      <w:pPr>
        <w:ind w:left="1680" w:hanging="420"/>
        <w:tabs>
          <w:tab w:val="left" w:pos="1890" w:leader="none"/>
        </w:tabs>
      </w:pPr>
    </w:lvl>
    <w:lvl w:ilvl="4">
      <w:start w:val="1"/>
      <w:numFmt w:val="lowerLetter"/>
      <w:isLgl w:val="false"/>
      <w:suff w:val="tab"/>
      <w:lvlText w:val="%5)"/>
      <w:lvlJc w:val="left"/>
      <w:pPr>
        <w:ind w:left="2100" w:hanging="420"/>
        <w:tabs>
          <w:tab w:val="left" w:pos="2310" w:leader="none"/>
        </w:tabs>
      </w:pPr>
    </w:lvl>
    <w:lvl w:ilvl="5">
      <w:start w:val="1"/>
      <w:numFmt w:val="lowerRoman"/>
      <w:isLgl w:val="false"/>
      <w:suff w:val="tab"/>
      <w:lvlText w:val="%6."/>
      <w:lvlJc w:val="right"/>
      <w:pPr>
        <w:ind w:left="2520" w:hanging="420"/>
        <w:tabs>
          <w:tab w:val="left" w:pos="2730" w:leader="none"/>
        </w:tabs>
      </w:pPr>
    </w:lvl>
    <w:lvl w:ilvl="6">
      <w:start w:val="1"/>
      <w:numFmt w:val="decimal"/>
      <w:isLgl w:val="false"/>
      <w:suff w:val="tab"/>
      <w:lvlText w:val="%7."/>
      <w:lvlJc w:val="left"/>
      <w:pPr>
        <w:ind w:left="2940" w:hanging="420"/>
        <w:tabs>
          <w:tab w:val="left" w:pos="3150" w:leader="none"/>
        </w:tabs>
      </w:pPr>
    </w:lvl>
    <w:lvl w:ilvl="7">
      <w:start w:val="1"/>
      <w:numFmt w:val="lowerLetter"/>
      <w:isLgl w:val="false"/>
      <w:suff w:val="tab"/>
      <w:lvlText w:val="%8)"/>
      <w:lvlJc w:val="left"/>
      <w:pPr>
        <w:ind w:left="3360" w:hanging="420"/>
        <w:tabs>
          <w:tab w:val="left" w:pos="3570" w:leader="none"/>
        </w:tabs>
      </w:pPr>
    </w:lvl>
    <w:lvl w:ilvl="8">
      <w:start w:val="1"/>
      <w:numFmt w:val="lowerRoman"/>
      <w:isLgl w:val="false"/>
      <w:suff w:val="tab"/>
      <w:lvlText w:val="%9."/>
      <w:lvlJc w:val="right"/>
      <w:pPr>
        <w:ind w:left="3780" w:hanging="420"/>
        <w:tabs>
          <w:tab w:val="left" w:pos="3990" w:leader="none"/>
        </w:tabs>
      </w:pPr>
    </w:lvl>
  </w:abstractNum>
  <w:abstractNum w:abstractNumId="7">
    <w:multiLevelType w:val="hybridMultilevel"/>
    <w:lvl w:ilvl="0">
      <w:start w:val="1"/>
      <w:numFmt w:val="bullet"/>
      <w:pStyle w:val="90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0"/>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5"/>
  </w:num>
  <w:num w:numId="3">
    <w:abstractNumId w:val="7"/>
  </w:num>
  <w:num w:numId="4">
    <w:abstractNumId w:val="2"/>
  </w:num>
  <w:num w:numId="5">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num>
  <w:num w:numId="10">
    <w:abstractNumId w:val="4"/>
  </w:num>
  <w:num w:numId="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3">
    <w:name w:val="Heading 1"/>
    <w:basedOn w:val="862"/>
    <w:next w:val="862"/>
    <w:link w:val="1089"/>
    <w:uiPriority w:val="99"/>
    <w:qFormat/>
    <w:pPr>
      <w:jc w:val="center"/>
      <w:keepNext/>
      <w:outlineLvl w:val="0"/>
    </w:pPr>
    <w:rPr>
      <w:b/>
      <w:bCs/>
      <w:sz w:val="44"/>
      <w:szCs w:val="44"/>
    </w:rPr>
  </w:style>
  <w:style w:type="paragraph" w:styleId="864">
    <w:name w:val="Heading 2"/>
    <w:basedOn w:val="862"/>
    <w:next w:val="862"/>
    <w:link w:val="1090"/>
    <w:uiPriority w:val="99"/>
    <w:qFormat/>
    <w:pPr>
      <w:jc w:val="center"/>
      <w:keepNext/>
      <w:outlineLvl w:val="1"/>
    </w:pPr>
    <w:rPr>
      <w:rFonts w:ascii="Cambria" w:hAnsi="Cambria" w:cs="Cambria"/>
      <w:b/>
      <w:bCs/>
      <w:sz w:val="32"/>
      <w:szCs w:val="32"/>
    </w:rPr>
  </w:style>
  <w:style w:type="paragraph" w:styleId="865">
    <w:name w:val="Heading 3"/>
    <w:basedOn w:val="862"/>
    <w:next w:val="862"/>
    <w:link w:val="1091"/>
    <w:uiPriority w:val="99"/>
    <w:qFormat/>
    <w:pPr>
      <w:jc w:val="center"/>
      <w:keepNext/>
      <w:outlineLvl w:val="2"/>
    </w:pPr>
    <w:rPr>
      <w:b/>
      <w:bCs/>
      <w:sz w:val="32"/>
      <w:szCs w:val="32"/>
    </w:rPr>
  </w:style>
  <w:style w:type="paragraph" w:styleId="866">
    <w:name w:val="Heading 4"/>
    <w:basedOn w:val="862"/>
    <w:next w:val="862"/>
    <w:link w:val="1092"/>
    <w:uiPriority w:val="99"/>
    <w:qFormat/>
    <w:pPr>
      <w:jc w:val="center"/>
      <w:keepNext/>
      <w:outlineLvl w:val="3"/>
    </w:pPr>
    <w:rPr>
      <w:rFonts w:ascii="Cambria" w:hAnsi="Cambria" w:cs="Cambria"/>
      <w:b/>
      <w:bCs/>
      <w:sz w:val="28"/>
      <w:szCs w:val="28"/>
    </w:rPr>
  </w:style>
  <w:style w:type="paragraph" w:styleId="867">
    <w:name w:val="Heading 5"/>
    <w:basedOn w:val="862"/>
    <w:next w:val="862"/>
    <w:link w:val="1093"/>
    <w:uiPriority w:val="99"/>
    <w:qFormat/>
    <w:pPr>
      <w:ind w:left="360" w:hanging="360"/>
      <w:keepNext/>
      <w:tabs>
        <w:tab w:val="left" w:pos="360" w:leader="none"/>
      </w:tabs>
      <w:outlineLvl w:val="4"/>
    </w:pPr>
    <w:rPr>
      <w:b/>
      <w:bCs/>
      <w:sz w:val="28"/>
      <w:szCs w:val="28"/>
    </w:rPr>
  </w:style>
  <w:style w:type="paragraph" w:styleId="868">
    <w:name w:val="Heading 6"/>
    <w:basedOn w:val="862"/>
    <w:next w:val="862"/>
    <w:link w:val="947"/>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49"/>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50"/>
    <w:uiPriority w:val="9"/>
    <w:unhideWhenUsed/>
    <w:qFormat/>
    <w:pPr>
      <w:keepLines/>
      <w:keepNext/>
      <w:spacing w:before="320" w:after="200"/>
      <w:outlineLvl w:val="8"/>
    </w:pPr>
    <w:rPr>
      <w:rFonts w:ascii="Arial" w:hAnsi="Arial" w:eastAsia="Arial" w:cs="Arial"/>
      <w:i/>
      <w:iCs/>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99"/>
    <w:semiHidden/>
    <w:qFormat/>
    <w:pPr>
      <w:ind w:left="2520"/>
    </w:pPr>
    <w:rPr>
      <w:rFonts w:eastAsia="楷体_GB2312"/>
      <w:sz w:val="26"/>
      <w:szCs w:val="26"/>
    </w:rPr>
  </w:style>
  <w:style w:type="paragraph" w:styleId="875">
    <w:name w:val="index 8"/>
    <w:basedOn w:val="862"/>
    <w:next w:val="862"/>
    <w:uiPriority w:val="99"/>
    <w:semiHidden/>
    <w:qFormat/>
    <w:pPr>
      <w:ind w:left="2940"/>
    </w:pPr>
    <w:rPr>
      <w:rFonts w:eastAsia="楷体_GB2312"/>
      <w:sz w:val="26"/>
      <w:szCs w:val="26"/>
    </w:rPr>
  </w:style>
  <w:style w:type="paragraph" w:styleId="876">
    <w:name w:val="Normal Indent"/>
    <w:basedOn w:val="862"/>
    <w:uiPriority w:val="99"/>
    <w:qFormat/>
    <w:pPr>
      <w:ind w:firstLine="420"/>
    </w:pPr>
  </w:style>
  <w:style w:type="paragraph" w:styleId="877">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8">
    <w:name w:val="index 5"/>
    <w:basedOn w:val="862"/>
    <w:next w:val="862"/>
    <w:uiPriority w:val="99"/>
    <w:semiHidden/>
    <w:qFormat/>
    <w:pPr>
      <w:ind w:left="1680"/>
    </w:pPr>
    <w:rPr>
      <w:rFonts w:eastAsia="楷体_GB2312"/>
      <w:sz w:val="26"/>
      <w:szCs w:val="26"/>
    </w:rPr>
  </w:style>
  <w:style w:type="paragraph" w:styleId="879">
    <w:name w:val="List Bullet"/>
    <w:basedOn w:val="880"/>
    <w:uiPriority w:val="99"/>
    <w:qFormat/>
    <w:pPr>
      <w:ind w:left="576"/>
      <w:jc w:val="left"/>
      <w:spacing w:before="120" w:after="120" w:line="288" w:lineRule="auto"/>
      <w:widowControl/>
      <w:tabs>
        <w:tab w:val="left" w:pos="360" w:leader="none"/>
      </w:tabs>
    </w:pPr>
    <w:rPr>
      <w:sz w:val="22"/>
      <w:szCs w:val="22"/>
      <w:lang w:eastAsia="en-US"/>
    </w:rPr>
  </w:style>
  <w:style w:type="paragraph" w:styleId="880">
    <w:name w:val="Body Text"/>
    <w:basedOn w:val="862"/>
    <w:next w:val="862"/>
    <w:link w:val="1158"/>
    <w:uiPriority w:val="99"/>
    <w:qFormat/>
    <w:rPr>
      <w:sz w:val="20"/>
      <w:szCs w:val="20"/>
    </w:rPr>
  </w:style>
  <w:style w:type="paragraph" w:styleId="881">
    <w:name w:val="Document Map"/>
    <w:basedOn w:val="862"/>
    <w:link w:val="1151"/>
    <w:uiPriority w:val="99"/>
    <w:semiHidden/>
    <w:qFormat/>
    <w:pPr>
      <w:shd w:val="clear" w:color="auto" w:fill="000080"/>
    </w:pPr>
    <w:rPr>
      <w:sz w:val="2"/>
      <w:szCs w:val="2"/>
    </w:rPr>
  </w:style>
  <w:style w:type="paragraph" w:styleId="882">
    <w:name w:val="annotation text"/>
    <w:basedOn w:val="862"/>
    <w:link w:val="1165"/>
    <w:uiPriority w:val="99"/>
    <w:semiHidden/>
    <w:qFormat/>
    <w:pPr>
      <w:jc w:val="left"/>
    </w:pPr>
    <w:rPr>
      <w:sz w:val="20"/>
      <w:szCs w:val="20"/>
    </w:rPr>
  </w:style>
  <w:style w:type="paragraph" w:styleId="883">
    <w:name w:val="index 6"/>
    <w:basedOn w:val="862"/>
    <w:next w:val="862"/>
    <w:uiPriority w:val="99"/>
    <w:semiHidden/>
    <w:qFormat/>
    <w:pPr>
      <w:ind w:left="2100"/>
    </w:pPr>
    <w:rPr>
      <w:rFonts w:eastAsia="楷体_GB2312"/>
      <w:sz w:val="26"/>
      <w:szCs w:val="26"/>
    </w:rPr>
  </w:style>
  <w:style w:type="paragraph" w:styleId="884">
    <w:name w:val="Body Text Indent"/>
    <w:basedOn w:val="862"/>
    <w:next w:val="885"/>
    <w:link w:val="1115"/>
    <w:uiPriority w:val="99"/>
    <w:qFormat/>
    <w:pPr>
      <w:ind w:firstLine="576"/>
    </w:pPr>
    <w:rPr>
      <w:sz w:val="20"/>
      <w:szCs w:val="20"/>
    </w:rPr>
  </w:style>
  <w:style w:type="paragraph" w:styleId="885">
    <w:name w:val="envelope return"/>
    <w:basedOn w:val="862"/>
    <w:uiPriority w:val="0"/>
    <w:qFormat/>
    <w:rPr>
      <w:rFonts w:ascii="Arial" w:hAnsi="Arial"/>
    </w:rPr>
  </w:style>
  <w:style w:type="paragraph" w:styleId="886">
    <w:name w:val="List Bullet 2"/>
    <w:basedOn w:val="862"/>
    <w:uiPriority w:val="99"/>
    <w:unhideWhenUsed/>
    <w:qFormat/>
    <w:pPr>
      <w:numPr>
        <w:ilvl w:val="0"/>
        <w:numId w:val="1"/>
      </w:numPr>
      <w:contextualSpacing/>
    </w:pPr>
  </w:style>
  <w:style w:type="paragraph" w:styleId="887">
    <w:name w:val="index 4"/>
    <w:basedOn w:val="862"/>
    <w:next w:val="862"/>
    <w:uiPriority w:val="99"/>
    <w:semiHidden/>
    <w:qFormat/>
    <w:pPr>
      <w:ind w:left="1260"/>
    </w:pPr>
    <w:rPr>
      <w:rFonts w:eastAsia="楷体_GB2312"/>
      <w:sz w:val="26"/>
      <w:szCs w:val="26"/>
    </w:rPr>
  </w:style>
  <w:style w:type="paragraph" w:styleId="888">
    <w:name w:val="toc 5"/>
    <w:basedOn w:val="862"/>
    <w:next w:val="862"/>
    <w:uiPriority w:val="99"/>
    <w:semiHidden/>
    <w:qFormat/>
    <w:pPr>
      <w:ind w:left="1680"/>
    </w:pPr>
    <w:rPr>
      <w:rFonts w:eastAsia="楷体_GB2312"/>
      <w:sz w:val="26"/>
      <w:szCs w:val="26"/>
    </w:rPr>
  </w:style>
  <w:style w:type="paragraph" w:styleId="889">
    <w:name w:val="toc 3"/>
    <w:basedOn w:val="862"/>
    <w:next w:val="862"/>
    <w:uiPriority w:val="99"/>
    <w:semiHidden/>
    <w:qFormat/>
    <w:pPr>
      <w:ind w:left="840"/>
    </w:pPr>
    <w:rPr>
      <w:rFonts w:eastAsia="楷体_GB2312"/>
      <w:sz w:val="26"/>
      <w:szCs w:val="26"/>
    </w:rPr>
  </w:style>
  <w:style w:type="paragraph" w:styleId="890">
    <w:name w:val="Plain Text"/>
    <w:basedOn w:val="862"/>
    <w:link w:val="1132"/>
    <w:uiPriority w:val="99"/>
    <w:qFormat/>
    <w:rPr>
      <w:rFonts w:ascii="宋体" w:hAnsi="Courier New" w:cs="宋体"/>
      <w:sz w:val="20"/>
      <w:szCs w:val="20"/>
    </w:rPr>
  </w:style>
  <w:style w:type="paragraph" w:styleId="891">
    <w:name w:val="List Bullet 5"/>
    <w:basedOn w:val="862"/>
    <w:uiPriority w:val="99"/>
    <w:semiHidden/>
    <w:unhideWhenUsed/>
    <w:qFormat/>
    <w:pPr>
      <w:numPr>
        <w:ilvl w:val="0"/>
        <w:numId w:val="2"/>
      </w:numPr>
    </w:pPr>
  </w:style>
  <w:style w:type="paragraph" w:styleId="892">
    <w:name w:val="toc 8"/>
    <w:basedOn w:val="862"/>
    <w:next w:val="862"/>
    <w:uiPriority w:val="99"/>
    <w:semiHidden/>
    <w:qFormat/>
    <w:pPr>
      <w:ind w:left="2940"/>
    </w:pPr>
    <w:rPr>
      <w:rFonts w:eastAsia="楷体_GB2312"/>
      <w:sz w:val="26"/>
      <w:szCs w:val="26"/>
    </w:rPr>
  </w:style>
  <w:style w:type="paragraph" w:styleId="893">
    <w:name w:val="index 3"/>
    <w:basedOn w:val="862"/>
    <w:next w:val="862"/>
    <w:uiPriority w:val="99"/>
    <w:semiHidden/>
    <w:qFormat/>
    <w:pPr>
      <w:ind w:left="840"/>
    </w:pPr>
    <w:rPr>
      <w:rFonts w:eastAsia="楷体_GB2312"/>
      <w:sz w:val="26"/>
      <w:szCs w:val="26"/>
    </w:rPr>
  </w:style>
  <w:style w:type="paragraph" w:styleId="894">
    <w:name w:val="Date"/>
    <w:basedOn w:val="862"/>
    <w:next w:val="862"/>
    <w:link w:val="1110"/>
    <w:uiPriority w:val="99"/>
    <w:qFormat/>
    <w:rPr>
      <w:sz w:val="20"/>
      <w:szCs w:val="20"/>
    </w:rPr>
  </w:style>
  <w:style w:type="paragraph" w:styleId="895">
    <w:name w:val="Body Text Indent 2"/>
    <w:basedOn w:val="862"/>
    <w:link w:val="1095"/>
    <w:uiPriority w:val="99"/>
    <w:qFormat/>
    <w:pPr>
      <w:ind w:left="900"/>
    </w:pPr>
    <w:rPr>
      <w:sz w:val="20"/>
      <w:szCs w:val="20"/>
    </w:rPr>
  </w:style>
  <w:style w:type="paragraph" w:styleId="896">
    <w:name w:val="endnote text"/>
    <w:basedOn w:val="862"/>
    <w:link w:val="1087"/>
    <w:uiPriority w:val="99"/>
    <w:semiHidden/>
    <w:unhideWhenUsed/>
    <w:qFormat/>
    <w:rPr>
      <w:sz w:val="20"/>
    </w:rPr>
  </w:style>
  <w:style w:type="paragraph" w:styleId="897">
    <w:name w:val="Balloon Text"/>
    <w:basedOn w:val="862"/>
    <w:link w:val="1167"/>
    <w:uiPriority w:val="99"/>
    <w:semiHidden/>
    <w:qFormat/>
    <w:rPr>
      <w:sz w:val="2"/>
      <w:szCs w:val="2"/>
    </w:rPr>
  </w:style>
  <w:style w:type="paragraph" w:styleId="898">
    <w:name w:val="Footer"/>
    <w:basedOn w:val="862"/>
    <w:link w:val="1097"/>
    <w:uiPriority w:val="99"/>
    <w:qFormat/>
    <w:pPr>
      <w:jc w:val="left"/>
      <w:tabs>
        <w:tab w:val="center" w:pos="4153" w:leader="none"/>
        <w:tab w:val="right" w:pos="8306" w:leader="none"/>
      </w:tabs>
    </w:pPr>
    <w:rPr>
      <w:sz w:val="18"/>
      <w:szCs w:val="18"/>
    </w:rPr>
  </w:style>
  <w:style w:type="paragraph" w:styleId="899">
    <w:name w:val="Header"/>
    <w:basedOn w:val="862"/>
    <w:link w:val="1096"/>
    <w:uiPriority w:val="0"/>
    <w:qFormat/>
    <w:pPr>
      <w:jc w:val="center"/>
      <w:tabs>
        <w:tab w:val="center" w:pos="4153" w:leader="none"/>
        <w:tab w:val="right" w:pos="8306" w:leader="none"/>
      </w:tabs>
      <w:pBdr>
        <w:bottom w:val="single" w:color="auto" w:sz="6" w:space="1"/>
      </w:pBdr>
    </w:pPr>
    <w:rPr>
      <w:sz w:val="18"/>
      <w:szCs w:val="18"/>
    </w:rPr>
  </w:style>
  <w:style w:type="paragraph" w:styleId="900">
    <w:name w:val="toc 1"/>
    <w:basedOn w:val="862"/>
    <w:next w:val="862"/>
    <w:uiPriority w:val="99"/>
    <w:semiHidden/>
    <w:qFormat/>
    <w:pPr>
      <w:jc w:val="left"/>
    </w:pPr>
    <w:rPr>
      <w:rFonts w:eastAsia="楷体_GB2312"/>
      <w:sz w:val="24"/>
      <w:szCs w:val="24"/>
    </w:rPr>
  </w:style>
  <w:style w:type="paragraph" w:styleId="901">
    <w:name w:val="toc 4"/>
    <w:basedOn w:val="862"/>
    <w:next w:val="862"/>
    <w:uiPriority w:val="99"/>
    <w:semiHidden/>
    <w:qFormat/>
    <w:pPr>
      <w:ind w:left="1260"/>
    </w:pPr>
    <w:rPr>
      <w:rFonts w:eastAsia="楷体_GB2312"/>
      <w:sz w:val="26"/>
      <w:szCs w:val="26"/>
    </w:rPr>
  </w:style>
  <w:style w:type="paragraph" w:styleId="902">
    <w:name w:val="index heading"/>
    <w:basedOn w:val="862"/>
    <w:next w:val="903"/>
    <w:uiPriority w:val="99"/>
    <w:semiHidden/>
    <w:qFormat/>
    <w:rPr>
      <w:rFonts w:eastAsia="楷体_GB2312"/>
      <w:sz w:val="26"/>
      <w:szCs w:val="26"/>
    </w:rPr>
  </w:style>
  <w:style w:type="paragraph" w:styleId="903">
    <w:name w:val="index 1"/>
    <w:basedOn w:val="862"/>
    <w:next w:val="862"/>
    <w:uiPriority w:val="99"/>
    <w:semiHidden/>
    <w:qFormat/>
    <w:rPr>
      <w:rFonts w:eastAsia="楷体_GB2312"/>
      <w:sz w:val="26"/>
      <w:szCs w:val="26"/>
    </w:rPr>
  </w:style>
  <w:style w:type="paragraph" w:styleId="904">
    <w:name w:val="Subtitle"/>
    <w:basedOn w:val="862"/>
    <w:next w:val="862"/>
    <w:link w:val="953"/>
    <w:uiPriority w:val="11"/>
    <w:qFormat/>
    <w:pPr>
      <w:spacing w:before="200" w:after="200"/>
    </w:pPr>
    <w:rPr>
      <w:sz w:val="24"/>
      <w:szCs w:val="24"/>
    </w:rPr>
  </w:style>
  <w:style w:type="paragraph" w:styleId="905">
    <w:name w:val="List"/>
    <w:uiPriority w:val="0"/>
    <w:qFormat/>
    <w:pPr>
      <w:numPr>
        <w:ilvl w:val="0"/>
        <w:numId w:val="3"/>
      </w:numPr>
      <w:jc w:val="both"/>
      <w:spacing w:after="20" w:line="288" w:lineRule="auto"/>
      <w:widowControl w:val="off"/>
    </w:pPr>
    <w:rPr>
      <w:rFonts w:ascii="宋体" w:hAnsi="Times New Roman" w:eastAsia="宋体" w:cs="Times New Roman"/>
      <w:sz w:val="34"/>
      <w:szCs w:val="20"/>
      <w:lang w:val="en-GB" w:eastAsia="zh-CN" w:bidi="ar-SA"/>
    </w:rPr>
  </w:style>
  <w:style w:type="paragraph" w:styleId="906">
    <w:name w:val="footnote text"/>
    <w:basedOn w:val="862"/>
    <w:link w:val="1123"/>
    <w:uiPriority w:val="99"/>
    <w:semiHidden/>
    <w:qFormat/>
    <w:pPr>
      <w:jc w:val="left"/>
    </w:pPr>
    <w:rPr>
      <w:sz w:val="18"/>
      <w:szCs w:val="18"/>
    </w:rPr>
  </w:style>
  <w:style w:type="paragraph" w:styleId="907">
    <w:name w:val="toc 6"/>
    <w:basedOn w:val="862"/>
    <w:next w:val="862"/>
    <w:uiPriority w:val="99"/>
    <w:semiHidden/>
    <w:qFormat/>
    <w:pPr>
      <w:ind w:left="2100"/>
    </w:pPr>
    <w:rPr>
      <w:rFonts w:eastAsia="楷体_GB2312"/>
      <w:sz w:val="26"/>
      <w:szCs w:val="26"/>
    </w:rPr>
  </w:style>
  <w:style w:type="paragraph" w:styleId="908">
    <w:name w:val="Body Text Indent 3"/>
    <w:basedOn w:val="862"/>
    <w:link w:val="1142"/>
    <w:uiPriority w:val="99"/>
    <w:qFormat/>
    <w:pPr>
      <w:ind w:left="359" w:firstLine="359"/>
    </w:pPr>
    <w:rPr>
      <w:sz w:val="16"/>
      <w:szCs w:val="16"/>
    </w:rPr>
  </w:style>
  <w:style w:type="paragraph" w:styleId="909">
    <w:name w:val="index 7"/>
    <w:basedOn w:val="862"/>
    <w:next w:val="862"/>
    <w:uiPriority w:val="99"/>
    <w:semiHidden/>
    <w:qFormat/>
    <w:pPr>
      <w:ind w:left="2520"/>
    </w:pPr>
    <w:rPr>
      <w:rFonts w:eastAsia="楷体_GB2312"/>
      <w:sz w:val="26"/>
      <w:szCs w:val="26"/>
    </w:rPr>
  </w:style>
  <w:style w:type="paragraph" w:styleId="910">
    <w:name w:val="index 9"/>
    <w:basedOn w:val="862"/>
    <w:next w:val="862"/>
    <w:uiPriority w:val="99"/>
    <w:semiHidden/>
    <w:qFormat/>
    <w:pPr>
      <w:ind w:left="3360"/>
    </w:pPr>
    <w:rPr>
      <w:rFonts w:eastAsia="楷体_GB2312"/>
      <w:sz w:val="26"/>
      <w:szCs w:val="26"/>
    </w:rPr>
  </w:style>
  <w:style w:type="paragraph" w:styleId="911">
    <w:name w:val="table of figures"/>
    <w:basedOn w:val="862"/>
    <w:next w:val="862"/>
    <w:uiPriority w:val="99"/>
    <w:semiHidden/>
    <w:qFormat/>
    <w:pPr>
      <w:ind w:left="420" w:hanging="420"/>
      <w:jc w:val="left"/>
    </w:pPr>
    <w:rPr>
      <w:rFonts w:eastAsia="楷体_GB2312"/>
      <w:smallCaps/>
      <w:sz w:val="24"/>
      <w:szCs w:val="24"/>
    </w:rPr>
  </w:style>
  <w:style w:type="paragraph" w:styleId="912">
    <w:name w:val="toc 2"/>
    <w:basedOn w:val="862"/>
    <w:next w:val="862"/>
    <w:uiPriority w:val="99"/>
    <w:semiHidden/>
    <w:qFormat/>
    <w:pPr>
      <w:ind w:left="420"/>
    </w:pPr>
    <w:rPr>
      <w:rFonts w:eastAsia="楷体_GB2312"/>
      <w:sz w:val="26"/>
      <w:szCs w:val="26"/>
    </w:rPr>
  </w:style>
  <w:style w:type="paragraph" w:styleId="913">
    <w:name w:val="toc 9"/>
    <w:basedOn w:val="862"/>
    <w:next w:val="862"/>
    <w:uiPriority w:val="99"/>
    <w:semiHidden/>
    <w:qFormat/>
    <w:pPr>
      <w:ind w:left="3360"/>
    </w:pPr>
    <w:rPr>
      <w:rFonts w:eastAsia="楷体_GB2312"/>
      <w:sz w:val="26"/>
      <w:szCs w:val="26"/>
    </w:rPr>
  </w:style>
  <w:style w:type="paragraph" w:styleId="914">
    <w:name w:val="Body Text 2"/>
    <w:basedOn w:val="862"/>
    <w:link w:val="1109"/>
    <w:uiPriority w:val="99"/>
    <w:qFormat/>
    <w:pPr>
      <w:spacing w:after="120" w:line="480" w:lineRule="auto"/>
    </w:pPr>
    <w:rPr>
      <w:sz w:val="20"/>
      <w:szCs w:val="20"/>
    </w:rPr>
  </w:style>
  <w:style w:type="paragraph" w:styleId="915">
    <w:name w:val="HTML Preformatted"/>
    <w:basedOn w:val="862"/>
    <w:link w:val="11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16">
    <w:name w:val="Normal (Web)"/>
    <w:basedOn w:val="862"/>
    <w:uiPriority w:val="99"/>
    <w:qFormat/>
    <w:pPr>
      <w:jc w:val="left"/>
      <w:spacing w:before="100" w:beforeAutospacing="1" w:after="100" w:afterAutospacing="1"/>
      <w:widowControl/>
    </w:pPr>
    <w:rPr>
      <w:rFonts w:ascii="宋体" w:hAnsi="宋体" w:cs="宋体"/>
      <w:sz w:val="24"/>
      <w:szCs w:val="24"/>
    </w:rPr>
  </w:style>
  <w:style w:type="paragraph" w:styleId="917">
    <w:name w:val="index 2"/>
    <w:basedOn w:val="862"/>
    <w:next w:val="862"/>
    <w:uiPriority w:val="99"/>
    <w:semiHidden/>
    <w:qFormat/>
    <w:pPr>
      <w:ind w:left="420"/>
    </w:pPr>
    <w:rPr>
      <w:rFonts w:eastAsia="楷体_GB2312"/>
      <w:sz w:val="26"/>
      <w:szCs w:val="26"/>
    </w:rPr>
  </w:style>
  <w:style w:type="paragraph" w:styleId="918">
    <w:name w:val="Title"/>
    <w:basedOn w:val="862"/>
    <w:next w:val="862"/>
    <w:link w:val="952"/>
    <w:uiPriority w:val="10"/>
    <w:qFormat/>
    <w:pPr>
      <w:contextualSpacing/>
      <w:spacing w:before="300" w:after="200"/>
    </w:pPr>
    <w:rPr>
      <w:sz w:val="48"/>
      <w:szCs w:val="48"/>
    </w:rPr>
  </w:style>
  <w:style w:type="paragraph" w:styleId="919">
    <w:name w:val="annotation subject"/>
    <w:basedOn w:val="882"/>
    <w:next w:val="882"/>
    <w:link w:val="1166"/>
    <w:uiPriority w:val="99"/>
    <w:semiHidden/>
    <w:qFormat/>
    <w:rPr>
      <w:b/>
      <w:bCs/>
    </w:rPr>
  </w:style>
  <w:style w:type="paragraph" w:styleId="920">
    <w:name w:val="Body Text First Indent 2"/>
    <w:basedOn w:val="884"/>
    <w:next w:val="876"/>
    <w:uiPriority w:val="99"/>
    <w:unhideWhenUsed/>
    <w:qFormat/>
    <w:pPr>
      <w:ind w:left="420" w:firstLine="420"/>
      <w:spacing w:line="240" w:lineRule="auto"/>
    </w:pPr>
    <w:rPr>
      <w:rFonts w:ascii="Times New Roman" w:eastAsia="宋体"/>
      <w:sz w:val="21"/>
      <w:szCs w:val="24"/>
    </w:rPr>
  </w:style>
  <w:style w:type="table" w:styleId="921">
    <w:name w:val="Table Grid"/>
    <w:basedOn w:val="8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72"/>
    <w:uiPriority w:val="99"/>
    <w:qFormat/>
    <w:rPr>
      <w:b/>
      <w:bCs/>
    </w:rPr>
  </w:style>
  <w:style w:type="character" w:styleId="923">
    <w:name w:val="endnote reference"/>
    <w:basedOn w:val="872"/>
    <w:uiPriority w:val="99"/>
    <w:semiHidden/>
    <w:unhideWhenUsed/>
    <w:qFormat/>
    <w:rPr>
      <w:vertAlign w:val="superscript"/>
    </w:rPr>
  </w:style>
  <w:style w:type="character" w:styleId="924">
    <w:name w:val="page number"/>
    <w:basedOn w:val="872"/>
    <w:uiPriority w:val="99"/>
    <w:qFormat/>
  </w:style>
  <w:style w:type="character" w:styleId="925">
    <w:name w:val="FollowedHyperlink"/>
    <w:basedOn w:val="872"/>
    <w:uiPriority w:val="99"/>
    <w:qFormat/>
    <w:rPr>
      <w:color w:val="auto"/>
      <w:u w:val="none"/>
    </w:rPr>
  </w:style>
  <w:style w:type="character" w:styleId="926">
    <w:name w:val="Emphasis"/>
    <w:basedOn w:val="872"/>
    <w:uiPriority w:val="20"/>
    <w:qFormat/>
    <w:rPr>
      <w:color w:val="auto"/>
    </w:rPr>
  </w:style>
  <w:style w:type="character" w:styleId="927">
    <w:name w:val="HTML Typewriter"/>
    <w:basedOn w:val="872"/>
    <w:uiPriority w:val="99"/>
    <w:qFormat/>
    <w:rPr>
      <w:rFonts w:ascii="宋体" w:hAnsi="宋体" w:eastAsia="宋体" w:cs="宋体"/>
      <w:sz w:val="24"/>
      <w:szCs w:val="24"/>
    </w:rPr>
  </w:style>
  <w:style w:type="character" w:styleId="928">
    <w:name w:val="Hyperlink"/>
    <w:basedOn w:val="872"/>
    <w:uiPriority w:val="99"/>
    <w:qFormat/>
    <w:rPr>
      <w:color w:val="auto"/>
      <w:u w:val="none"/>
    </w:rPr>
  </w:style>
  <w:style w:type="character" w:styleId="929">
    <w:name w:val="HTML Code"/>
    <w:basedOn w:val="872"/>
    <w:uiPriority w:val="99"/>
    <w:qFormat/>
    <w:rPr>
      <w:rFonts w:ascii="宋体" w:hAnsi="宋体" w:eastAsia="宋体" w:cs="宋体"/>
      <w:sz w:val="24"/>
      <w:szCs w:val="24"/>
    </w:rPr>
  </w:style>
  <w:style w:type="character" w:styleId="930">
    <w:name w:val="annotation reference"/>
    <w:basedOn w:val="872"/>
    <w:uiPriority w:val="99"/>
    <w:semiHidden/>
    <w:qFormat/>
    <w:rPr>
      <w:sz w:val="21"/>
      <w:szCs w:val="21"/>
    </w:rPr>
  </w:style>
  <w:style w:type="character" w:styleId="931">
    <w:name w:val="footnote reference"/>
    <w:basedOn w:val="872"/>
    <w:uiPriority w:val="99"/>
    <w:unhideWhenUsed/>
    <w:qFormat/>
    <w:rPr>
      <w:vertAlign w:val="superscript"/>
    </w:rPr>
  </w:style>
  <w:style w:type="character" w:styleId="932" w:customStyle="1">
    <w:name w:val="Heading 6 Char"/>
    <w:basedOn w:val="872"/>
    <w:uiPriority w:val="9"/>
    <w:qFormat/>
    <w:rPr>
      <w:rFonts w:ascii="Arial" w:hAnsi="Arial" w:eastAsia="Arial" w:cs="Arial"/>
      <w:b/>
      <w:bCs/>
      <w:sz w:val="22"/>
      <w:szCs w:val="22"/>
    </w:rPr>
  </w:style>
  <w:style w:type="character" w:styleId="933" w:customStyle="1">
    <w:name w:val="Heading 7 Char"/>
    <w:basedOn w:val="872"/>
    <w:uiPriority w:val="9"/>
    <w:qFormat/>
    <w:rPr>
      <w:rFonts w:ascii="Arial" w:hAnsi="Arial" w:eastAsia="Arial" w:cs="Arial"/>
      <w:b/>
      <w:bCs/>
      <w:i/>
      <w:iCs/>
      <w:sz w:val="22"/>
      <w:szCs w:val="22"/>
    </w:rPr>
  </w:style>
  <w:style w:type="character" w:styleId="934" w:customStyle="1">
    <w:name w:val="Heading 8 Char"/>
    <w:basedOn w:val="872"/>
    <w:uiPriority w:val="9"/>
    <w:qFormat/>
    <w:rPr>
      <w:rFonts w:ascii="Arial" w:hAnsi="Arial" w:eastAsia="Arial" w:cs="Arial"/>
      <w:i/>
      <w:iCs/>
      <w:sz w:val="22"/>
      <w:szCs w:val="22"/>
    </w:rPr>
  </w:style>
  <w:style w:type="character" w:styleId="935" w:customStyle="1">
    <w:name w:val="Heading 9 Char"/>
    <w:basedOn w:val="872"/>
    <w:uiPriority w:val="9"/>
    <w:qFormat/>
    <w:rPr>
      <w:rFonts w:ascii="Arial" w:hAnsi="Arial" w:eastAsia="Arial" w:cs="Arial"/>
      <w:i/>
      <w:iCs/>
      <w:sz w:val="21"/>
      <w:szCs w:val="21"/>
    </w:rPr>
  </w:style>
  <w:style w:type="character" w:styleId="936" w:customStyle="1">
    <w:name w:val="Title Char"/>
    <w:basedOn w:val="872"/>
    <w:uiPriority w:val="10"/>
    <w:qFormat/>
    <w:rPr>
      <w:sz w:val="48"/>
      <w:szCs w:val="48"/>
    </w:rPr>
  </w:style>
  <w:style w:type="character" w:styleId="937" w:customStyle="1">
    <w:name w:val="Subtitle Char"/>
    <w:basedOn w:val="872"/>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character" w:styleId="940" w:customStyle="1">
    <w:name w:val="Endnote Text Char"/>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character" w:styleId="942" w:customStyle="1">
    <w:name w:val="Heading 1 Char"/>
    <w:basedOn w:val="872"/>
    <w:uiPriority w:val="9"/>
    <w:qFormat/>
    <w:rPr>
      <w:rFonts w:ascii="Arial" w:hAnsi="Arial" w:eastAsia="Arial" w:cs="Arial"/>
      <w:sz w:val="40"/>
      <w:szCs w:val="40"/>
    </w:rPr>
  </w:style>
  <w:style w:type="character" w:styleId="943" w:customStyle="1">
    <w:name w:val="Heading 2 Char"/>
    <w:basedOn w:val="872"/>
    <w:uiPriority w:val="9"/>
    <w:qFormat/>
    <w:rPr>
      <w:rFonts w:ascii="Arial" w:hAnsi="Arial" w:eastAsia="Arial" w:cs="Arial"/>
      <w:sz w:val="34"/>
    </w:rPr>
  </w:style>
  <w:style w:type="character" w:styleId="944" w:customStyle="1">
    <w:name w:val="Heading 3 Char"/>
    <w:basedOn w:val="872"/>
    <w:uiPriority w:val="9"/>
    <w:qFormat/>
    <w:rPr>
      <w:rFonts w:ascii="Arial" w:hAnsi="Arial" w:eastAsia="Arial" w:cs="Arial"/>
      <w:sz w:val="30"/>
      <w:szCs w:val="30"/>
    </w:rPr>
  </w:style>
  <w:style w:type="character" w:styleId="945" w:customStyle="1">
    <w:name w:val="Heading 4 Char"/>
    <w:basedOn w:val="872"/>
    <w:uiPriority w:val="9"/>
    <w:qFormat/>
    <w:rPr>
      <w:rFonts w:ascii="Arial" w:hAnsi="Arial" w:eastAsia="Arial" w:cs="Arial"/>
      <w:b/>
      <w:bCs/>
      <w:sz w:val="26"/>
      <w:szCs w:val="26"/>
    </w:rPr>
  </w:style>
  <w:style w:type="character" w:styleId="946" w:customStyle="1">
    <w:name w:val="Heading 5 Char"/>
    <w:basedOn w:val="872"/>
    <w:uiPriority w:val="9"/>
    <w:qFormat/>
    <w:rPr>
      <w:rFonts w:ascii="Arial" w:hAnsi="Arial" w:eastAsia="Arial" w:cs="Arial"/>
      <w:b/>
      <w:bCs/>
      <w:sz w:val="24"/>
      <w:szCs w:val="24"/>
    </w:rPr>
  </w:style>
  <w:style w:type="character" w:styleId="947" w:customStyle="1">
    <w:name w:val="标题 6 Char"/>
    <w:basedOn w:val="872"/>
    <w:link w:val="868"/>
    <w:uiPriority w:val="9"/>
    <w:qFormat/>
    <w:rPr>
      <w:rFonts w:ascii="Arial" w:hAnsi="Arial" w:eastAsia="Arial" w:cs="Arial"/>
      <w:b/>
      <w:bCs/>
      <w:sz w:val="22"/>
      <w:szCs w:val="22"/>
    </w:rPr>
  </w:style>
  <w:style w:type="character" w:styleId="948" w:customStyle="1">
    <w:name w:val="标题 7 Char"/>
    <w:basedOn w:val="872"/>
    <w:link w:val="869"/>
    <w:uiPriority w:val="9"/>
    <w:qFormat/>
    <w:rPr>
      <w:rFonts w:ascii="Arial" w:hAnsi="Arial" w:eastAsia="Arial" w:cs="Arial"/>
      <w:b/>
      <w:bCs/>
      <w:i/>
      <w:iCs/>
      <w:sz w:val="22"/>
      <w:szCs w:val="22"/>
    </w:rPr>
  </w:style>
  <w:style w:type="character" w:styleId="949" w:customStyle="1">
    <w:name w:val="标题 8 Char"/>
    <w:basedOn w:val="872"/>
    <w:link w:val="870"/>
    <w:uiPriority w:val="9"/>
    <w:qFormat/>
    <w:rPr>
      <w:rFonts w:ascii="Arial" w:hAnsi="Arial" w:eastAsia="Arial" w:cs="Arial"/>
      <w:i/>
      <w:iCs/>
      <w:sz w:val="22"/>
      <w:szCs w:val="22"/>
    </w:rPr>
  </w:style>
  <w:style w:type="character" w:styleId="950" w:customStyle="1">
    <w:name w:val="标题 9 Char"/>
    <w:basedOn w:val="872"/>
    <w:link w:val="871"/>
    <w:uiPriority w:val="9"/>
    <w:qFormat/>
    <w:rPr>
      <w:rFonts w:ascii="Arial" w:hAnsi="Arial" w:eastAsia="Arial" w:cs="Arial"/>
      <w:i/>
      <w:iCs/>
      <w:sz w:val="21"/>
      <w:szCs w:val="21"/>
    </w:rPr>
  </w:style>
  <w:style w:type="paragraph" w:styleId="951">
    <w:name w:val="No Spacing"/>
    <w:uiPriority w:val="1"/>
    <w:qFormat/>
    <w:rPr>
      <w:rFonts w:hint="default" w:ascii="Times New Roman" w:hAnsi="Times New Roman" w:eastAsia="宋体" w:cs="Times New Roman"/>
      <w:lang w:val="en-US" w:eastAsia="zh-CN" w:bidi="ar-SA"/>
    </w:rPr>
  </w:style>
  <w:style w:type="character" w:styleId="952" w:customStyle="1">
    <w:name w:val="标题 Char"/>
    <w:basedOn w:val="872"/>
    <w:link w:val="918"/>
    <w:uiPriority w:val="10"/>
    <w:qFormat/>
    <w:rPr>
      <w:sz w:val="48"/>
      <w:szCs w:val="48"/>
    </w:rPr>
  </w:style>
  <w:style w:type="character" w:styleId="953" w:customStyle="1">
    <w:name w:val="副标题 Char"/>
    <w:basedOn w:val="872"/>
    <w:link w:val="904"/>
    <w:uiPriority w:val="11"/>
    <w:qFormat/>
    <w:rPr>
      <w:sz w:val="24"/>
      <w:szCs w:val="24"/>
    </w:rPr>
  </w:style>
  <w:style w:type="paragraph" w:styleId="954">
    <w:name w:val="Quote"/>
    <w:basedOn w:val="862"/>
    <w:next w:val="862"/>
    <w:link w:val="955"/>
    <w:uiPriority w:val="29"/>
    <w:qFormat/>
    <w:pPr>
      <w:ind w:left="720" w:right="720"/>
    </w:pPr>
    <w:rPr>
      <w:i/>
    </w:rPr>
  </w:style>
  <w:style w:type="character" w:styleId="955" w:customStyle="1">
    <w:name w:val="引用 Char"/>
    <w:link w:val="954"/>
    <w:uiPriority w:val="29"/>
    <w:qFormat/>
    <w:rPr>
      <w:i/>
    </w:rPr>
  </w:style>
  <w:style w:type="paragraph" w:styleId="956">
    <w:name w:val="Intense Quote"/>
    <w:basedOn w:val="862"/>
    <w:next w:val="862"/>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Char"/>
    <w:link w:val="956"/>
    <w:uiPriority w:val="30"/>
    <w:qFormat/>
    <w:rPr>
      <w:i/>
    </w:rPr>
  </w:style>
  <w:style w:type="character" w:styleId="958" w:customStyle="1">
    <w:name w:val="Header Char"/>
    <w:basedOn w:val="872"/>
    <w:uiPriority w:val="99"/>
    <w:qFormat/>
  </w:style>
  <w:style w:type="character" w:styleId="959" w:customStyle="1">
    <w:name w:val="Footer Char"/>
    <w:basedOn w:val="872"/>
    <w:uiPriority w:val="99"/>
    <w:qFormat/>
  </w:style>
  <w:style w:type="character" w:styleId="960" w:customStyle="1">
    <w:name w:val="Caption Char"/>
    <w:uiPriority w:val="99"/>
    <w:qFormat/>
  </w:style>
  <w:style w:type="table" w:styleId="961" w:customStyle="1">
    <w:name w:val="Table Grid Light"/>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Plain Table 1"/>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2"/>
    <w:basedOn w:val="8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3"/>
    <w:basedOn w:val="8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Plain Table 4"/>
    <w:basedOn w:val="8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Plain Table 5"/>
    <w:basedOn w:val="8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Grid Table 1 Light"/>
    <w:basedOn w:val="8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Grid Table 2"/>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Grid Table 3"/>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4"/>
    <w:basedOn w:val="8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Grid Table 6 Colorful"/>
    <w:basedOn w:val="8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basedOn w:val="8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basedOn w:val="8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Grid Table 7 Colorful"/>
    <w:basedOn w:val="8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List Table 1 Light"/>
    <w:basedOn w:val="8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7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7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7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7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7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7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List Table 2"/>
    <w:basedOn w:val="8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basedOn w:val="8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basedOn w:val="8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basedOn w:val="8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basedOn w:val="8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basedOn w:val="8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List Table 3"/>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List Table 4"/>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basedOn w:val="8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basedOn w:val="8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basedOn w:val="8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basedOn w:val="8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basedOn w:val="8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List Table 5 Dark"/>
    <w:basedOn w:val="8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w:basedOn w:val="8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7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basedOn w:val="87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basedOn w:val="87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basedOn w:val="87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basedOn w:val="87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basedOn w:val="87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List Table 7 Colorful"/>
    <w:basedOn w:val="8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7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7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7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7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7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7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basedOn w:val="8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basedOn w:val="8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basedOn w:val="8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basedOn w:val="8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basedOn w:val="8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basedOn w:val="8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basedOn w:val="8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basedOn w:val="8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basedOn w:val="8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basedOn w:val="8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basedOn w:val="8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basedOn w:val="8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basedOn w:val="8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Footnote Text Char"/>
    <w:uiPriority w:val="99"/>
    <w:qFormat/>
    <w:rPr>
      <w:sz w:val="18"/>
    </w:rPr>
  </w:style>
  <w:style w:type="character" w:styleId="1087" w:customStyle="1">
    <w:name w:val="尾注文本 Char"/>
    <w:link w:val="896"/>
    <w:uiPriority w:val="99"/>
    <w:qFormat/>
    <w:rPr>
      <w:sz w:val="20"/>
    </w:rPr>
  </w:style>
  <w:style w:type="paragraph" w:styleId="1088" w:customStyle="1">
    <w:name w:val="TOC 标题1"/>
    <w:uiPriority w:val="39"/>
    <w:unhideWhenUsed/>
    <w:qFormat/>
    <w:rPr>
      <w:rFonts w:hint="default" w:ascii="Times New Roman" w:hAnsi="Times New Roman" w:eastAsia="宋体" w:cs="Times New Roman"/>
      <w:lang w:val="en-US" w:eastAsia="zh-CN" w:bidi="ar-SA"/>
    </w:rPr>
  </w:style>
  <w:style w:type="character" w:styleId="1089" w:customStyle="1">
    <w:name w:val="标题 1 Char"/>
    <w:basedOn w:val="872"/>
    <w:link w:val="863"/>
    <w:uiPriority w:val="99"/>
    <w:qFormat/>
    <w:rPr>
      <w:b/>
      <w:bCs/>
      <w:sz w:val="44"/>
      <w:szCs w:val="44"/>
    </w:rPr>
  </w:style>
  <w:style w:type="character" w:styleId="1090" w:customStyle="1">
    <w:name w:val="标题 2 Char"/>
    <w:basedOn w:val="872"/>
    <w:link w:val="864"/>
    <w:uiPriority w:val="99"/>
    <w:semiHidden/>
    <w:qFormat/>
    <w:rPr>
      <w:rFonts w:ascii="Cambria" w:hAnsi="Cambria" w:eastAsia="宋体" w:cs="Cambria"/>
      <w:b/>
      <w:bCs/>
      <w:sz w:val="32"/>
      <w:szCs w:val="32"/>
    </w:rPr>
  </w:style>
  <w:style w:type="character" w:styleId="1091" w:customStyle="1">
    <w:name w:val="标题 3 Char"/>
    <w:basedOn w:val="872"/>
    <w:link w:val="865"/>
    <w:uiPriority w:val="99"/>
    <w:semiHidden/>
    <w:qFormat/>
    <w:rPr>
      <w:b/>
      <w:bCs/>
      <w:sz w:val="32"/>
      <w:szCs w:val="32"/>
    </w:rPr>
  </w:style>
  <w:style w:type="character" w:styleId="1092" w:customStyle="1">
    <w:name w:val="标题 4 Char"/>
    <w:basedOn w:val="872"/>
    <w:link w:val="866"/>
    <w:uiPriority w:val="99"/>
    <w:semiHidden/>
    <w:qFormat/>
    <w:rPr>
      <w:rFonts w:ascii="Cambria" w:hAnsi="Cambria" w:eastAsia="宋体" w:cs="Cambria"/>
      <w:b/>
      <w:bCs/>
      <w:sz w:val="28"/>
      <w:szCs w:val="28"/>
    </w:rPr>
  </w:style>
  <w:style w:type="character" w:styleId="1093" w:customStyle="1">
    <w:name w:val="标题 5 Char"/>
    <w:basedOn w:val="872"/>
    <w:link w:val="867"/>
    <w:uiPriority w:val="99"/>
    <w:semiHidden/>
    <w:qFormat/>
    <w:rPr>
      <w:b/>
      <w:bCs/>
      <w:sz w:val="28"/>
      <w:szCs w:val="28"/>
    </w:rPr>
  </w:style>
  <w:style w:type="character" w:styleId="1094" w:customStyle="1">
    <w:name w:val="case31"/>
    <w:uiPriority w:val="99"/>
    <w:qFormat/>
    <w:rPr>
      <w:sz w:val="21"/>
      <w:szCs w:val="21"/>
    </w:rPr>
  </w:style>
  <w:style w:type="character" w:styleId="1095" w:customStyle="1">
    <w:name w:val="正文文本缩进 2 Char"/>
    <w:basedOn w:val="872"/>
    <w:link w:val="895"/>
    <w:uiPriority w:val="99"/>
    <w:semiHidden/>
    <w:qFormat/>
    <w:rPr>
      <w:sz w:val="20"/>
      <w:szCs w:val="20"/>
    </w:rPr>
  </w:style>
  <w:style w:type="character" w:styleId="1096" w:customStyle="1">
    <w:name w:val="页眉 Char"/>
    <w:basedOn w:val="872"/>
    <w:link w:val="899"/>
    <w:uiPriority w:val="0"/>
    <w:qFormat/>
    <w:rPr>
      <w:sz w:val="18"/>
      <w:szCs w:val="18"/>
    </w:rPr>
  </w:style>
  <w:style w:type="character" w:styleId="1097" w:customStyle="1">
    <w:name w:val="页脚 Char"/>
    <w:basedOn w:val="872"/>
    <w:link w:val="898"/>
    <w:uiPriority w:val="99"/>
    <w:semiHidden/>
    <w:qFormat/>
    <w:rPr>
      <w:sz w:val="18"/>
      <w:szCs w:val="18"/>
    </w:rPr>
  </w:style>
  <w:style w:type="paragraph" w:styleId="1098" w:customStyle="1">
    <w:name w:val="xl41"/>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27"/>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0" w:customStyle="1">
    <w:name w:val="xl32"/>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1" w:customStyle="1">
    <w:name w:val="xl58"/>
    <w:basedOn w:val="86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02" w:customStyle="1">
    <w:name w:val="xl46"/>
    <w:basedOn w:val="86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03" w:customStyle="1">
    <w:name w:val="xl45"/>
    <w:basedOn w:val="86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04" w:customStyle="1">
    <w:name w:val="font13"/>
    <w:basedOn w:val="862"/>
    <w:uiPriority w:val="99"/>
    <w:qFormat/>
    <w:pPr>
      <w:jc w:val="left"/>
      <w:spacing w:before="100" w:beforeAutospacing="1" w:after="100" w:afterAutospacing="1"/>
      <w:widowControl/>
    </w:pPr>
    <w:rPr>
      <w:i/>
      <w:iCs/>
      <w:sz w:val="36"/>
      <w:szCs w:val="36"/>
    </w:rPr>
  </w:style>
  <w:style w:type="paragraph" w:styleId="1105">
    <w:name w:val="List Paragraph"/>
    <w:basedOn w:val="862"/>
    <w:uiPriority w:val="34"/>
    <w:qFormat/>
    <w:pPr>
      <w:ind w:firstLine="420"/>
    </w:pPr>
    <w:rPr>
      <w:rFonts w:ascii="Calibri" w:hAnsi="Calibri" w:cs="Calibri"/>
    </w:rPr>
  </w:style>
  <w:style w:type="paragraph" w:styleId="1106" w:customStyle="1">
    <w:name w:val="font10"/>
    <w:basedOn w:val="862"/>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1107" w:customStyle="1">
    <w:name w:val="默认段落字体 Para Char"/>
    <w:basedOn w:val="862"/>
    <w:uiPriority w:val="99"/>
    <w:qFormat/>
    <w:pPr>
      <w:ind w:left="552" w:hanging="420"/>
      <w:tabs>
        <w:tab w:val="left" w:pos="552" w:leader="none"/>
      </w:tabs>
    </w:pPr>
    <w:rPr>
      <w:sz w:val="24"/>
      <w:szCs w:val="24"/>
    </w:rPr>
  </w:style>
  <w:style w:type="character" w:styleId="1108" w:customStyle="1">
    <w:name w:val="HTML 预设格式 Char"/>
    <w:basedOn w:val="872"/>
    <w:link w:val="915"/>
    <w:uiPriority w:val="99"/>
    <w:semiHidden/>
    <w:qFormat/>
    <w:rPr>
      <w:rFonts w:ascii="Courier New" w:hAnsi="Courier New" w:cs="Courier New"/>
      <w:sz w:val="20"/>
      <w:szCs w:val="20"/>
    </w:rPr>
  </w:style>
  <w:style w:type="character" w:styleId="1109" w:customStyle="1">
    <w:name w:val="正文文本 2 Char"/>
    <w:basedOn w:val="872"/>
    <w:link w:val="914"/>
    <w:uiPriority w:val="99"/>
    <w:semiHidden/>
    <w:qFormat/>
    <w:rPr>
      <w:sz w:val="20"/>
      <w:szCs w:val="20"/>
    </w:rPr>
  </w:style>
  <w:style w:type="character" w:styleId="1110" w:customStyle="1">
    <w:name w:val="日期 Char"/>
    <w:basedOn w:val="872"/>
    <w:link w:val="894"/>
    <w:uiPriority w:val="99"/>
    <w:semiHidden/>
    <w:qFormat/>
    <w:rPr>
      <w:sz w:val="20"/>
      <w:szCs w:val="20"/>
    </w:rPr>
  </w:style>
  <w:style w:type="paragraph" w:styleId="1111" w:customStyle="1">
    <w:name w:val="xl35"/>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12" w:customStyle="1">
    <w:name w:val="xl53"/>
    <w:basedOn w:val="86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13" w:customStyle="1">
    <w:name w:val="font6"/>
    <w:basedOn w:val="862"/>
    <w:uiPriority w:val="99"/>
    <w:qFormat/>
    <w:pPr>
      <w:jc w:val="left"/>
      <w:spacing w:before="100" w:beforeAutospacing="1" w:after="100" w:afterAutospacing="1"/>
      <w:widowControl/>
    </w:pPr>
    <w:rPr>
      <w:rFonts w:ascii="宋体" w:hAnsi="宋体" w:cs="宋体"/>
      <w:b/>
      <w:bCs/>
      <w:sz w:val="20"/>
      <w:szCs w:val="20"/>
    </w:rPr>
  </w:style>
  <w:style w:type="paragraph" w:styleId="1114" w:customStyle="1">
    <w:name w:val="xl62"/>
    <w:basedOn w:val="86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character" w:styleId="1115" w:customStyle="1">
    <w:name w:val="正文文本缩进 Char"/>
    <w:basedOn w:val="872"/>
    <w:link w:val="884"/>
    <w:uiPriority w:val="99"/>
    <w:semiHidden/>
    <w:qFormat/>
    <w:rPr>
      <w:sz w:val="20"/>
      <w:szCs w:val="20"/>
    </w:rPr>
  </w:style>
  <w:style w:type="paragraph" w:styleId="1116" w:customStyle="1">
    <w:name w:val="xl63"/>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17" w:customStyle="1">
    <w:name w:val="xl54"/>
    <w:basedOn w:val="86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18" w:customStyle="1">
    <w:name w:val="xl61"/>
    <w:basedOn w:val="86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19" w:customStyle="1">
    <w:name w:val="xl25"/>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0" w:customStyle="1">
    <w:name w:val="font11"/>
    <w:basedOn w:val="862"/>
    <w:uiPriority w:val="99"/>
    <w:qFormat/>
    <w:pPr>
      <w:jc w:val="left"/>
      <w:spacing w:before="100" w:beforeAutospacing="1" w:after="100" w:afterAutospacing="1"/>
      <w:widowControl/>
    </w:pPr>
    <w:rPr>
      <w:b/>
      <w:bCs/>
      <w:sz w:val="18"/>
      <w:szCs w:val="18"/>
    </w:rPr>
  </w:style>
  <w:style w:type="paragraph" w:styleId="1121" w:customStyle="1">
    <w:name w:val="xl40"/>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2" w:customStyle="1">
    <w:name w:val="xl29"/>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character" w:styleId="1123" w:customStyle="1">
    <w:name w:val="脚注文本 Char"/>
    <w:basedOn w:val="872"/>
    <w:link w:val="906"/>
    <w:uiPriority w:val="99"/>
    <w:semiHidden/>
    <w:qFormat/>
    <w:rPr>
      <w:sz w:val="18"/>
      <w:szCs w:val="18"/>
    </w:rPr>
  </w:style>
  <w:style w:type="paragraph" w:styleId="1124" w:customStyle="1">
    <w:name w:val="xl28"/>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5" w:customStyle="1">
    <w:name w:val="xl50"/>
    <w:basedOn w:val="86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26" w:customStyle="1">
    <w:name w:val="font7"/>
    <w:basedOn w:val="862"/>
    <w:uiPriority w:val="99"/>
    <w:qFormat/>
    <w:pPr>
      <w:jc w:val="left"/>
      <w:spacing w:before="100" w:beforeAutospacing="1" w:after="100" w:afterAutospacing="1"/>
      <w:widowControl/>
    </w:pPr>
    <w:rPr>
      <w:b/>
      <w:bCs/>
      <w:i/>
      <w:iCs/>
      <w:sz w:val="20"/>
      <w:szCs w:val="20"/>
    </w:rPr>
  </w:style>
  <w:style w:type="paragraph" w:styleId="1127" w:customStyle="1">
    <w:name w:val="普通文字"/>
    <w:basedOn w:val="862"/>
    <w:next w:val="862"/>
    <w:uiPriority w:val="0"/>
    <w:qFormat/>
    <w:rPr>
      <w:rFonts w:ascii="宋体" w:cs="宋体"/>
      <w:sz w:val="24"/>
      <w:szCs w:val="24"/>
    </w:rPr>
  </w:style>
  <w:style w:type="paragraph" w:styleId="1128" w:customStyle="1">
    <w:name w:val="xl37"/>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29" w:customStyle="1">
    <w:name w:val="font8"/>
    <w:basedOn w:val="862"/>
    <w:uiPriority w:val="99"/>
    <w:qFormat/>
    <w:pPr>
      <w:jc w:val="left"/>
      <w:spacing w:before="100" w:beforeAutospacing="1" w:after="100" w:afterAutospacing="1"/>
      <w:widowControl/>
    </w:pPr>
    <w:rPr>
      <w:rFonts w:ascii="宋体" w:hAnsi="宋体" w:cs="宋体"/>
      <w:b/>
      <w:bCs/>
      <w:i/>
      <w:iCs/>
      <w:sz w:val="20"/>
      <w:szCs w:val="20"/>
    </w:rPr>
  </w:style>
  <w:style w:type="paragraph" w:styleId="1130" w:customStyle="1">
    <w:name w:val="xl26"/>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1" w:customStyle="1">
    <w:name w:val="xl49"/>
    <w:basedOn w:val="86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1132" w:customStyle="1">
    <w:name w:val="纯文本 Char"/>
    <w:basedOn w:val="872"/>
    <w:link w:val="890"/>
    <w:uiPriority w:val="99"/>
    <w:semiHidden/>
    <w:qFormat/>
    <w:rPr>
      <w:rFonts w:ascii="宋体" w:hAnsi="Courier New" w:cs="宋体"/>
      <w:sz w:val="21"/>
      <w:szCs w:val="21"/>
    </w:rPr>
  </w:style>
  <w:style w:type="paragraph" w:styleId="1133" w:customStyle="1">
    <w:name w:val="xl38"/>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4" w:customStyle="1">
    <w:name w:val="xl39"/>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5" w:customStyle="1">
    <w:name w:val="xl47"/>
    <w:basedOn w:val="86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36" w:customStyle="1">
    <w:name w:val="font14"/>
    <w:basedOn w:val="862"/>
    <w:uiPriority w:val="99"/>
    <w:qFormat/>
    <w:pPr>
      <w:jc w:val="left"/>
      <w:spacing w:before="100" w:beforeAutospacing="1" w:after="100" w:afterAutospacing="1"/>
      <w:widowControl/>
    </w:pPr>
    <w:rPr>
      <w:sz w:val="36"/>
      <w:szCs w:val="36"/>
    </w:rPr>
  </w:style>
  <w:style w:type="paragraph" w:styleId="1137" w:customStyle="1">
    <w:name w:val="xl30"/>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8" w:customStyle="1">
    <w:name w:val="Char Char Char Char"/>
    <w:basedOn w:val="881"/>
    <w:uiPriority w:val="99"/>
    <w:qFormat/>
    <w:pPr>
      <w:spacing w:line="360" w:lineRule="auto"/>
    </w:pPr>
    <w:rPr>
      <w:rFonts w:ascii="Tahoma" w:hAnsi="Tahoma" w:cs="Tahoma"/>
      <w:sz w:val="24"/>
      <w:szCs w:val="24"/>
    </w:rPr>
  </w:style>
  <w:style w:type="paragraph" w:styleId="1139" w:customStyle="1">
    <w:name w:val="xl52"/>
    <w:basedOn w:val="86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0" w:customStyle="1">
    <w:name w:val="xl55"/>
    <w:basedOn w:val="86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41" w:customStyle="1">
    <w:name w:val="xl34"/>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1142" w:customStyle="1">
    <w:name w:val="正文文本缩进 3 Char"/>
    <w:basedOn w:val="872"/>
    <w:link w:val="908"/>
    <w:uiPriority w:val="99"/>
    <w:semiHidden/>
    <w:qFormat/>
    <w:rPr>
      <w:sz w:val="16"/>
      <w:szCs w:val="16"/>
    </w:rPr>
  </w:style>
  <w:style w:type="paragraph" w:styleId="1143" w:customStyle="1">
    <w:name w:val="xl36"/>
    <w:basedOn w:val="86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xl51"/>
    <w:basedOn w:val="86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45" w:customStyle="1">
    <w:name w:val="font12"/>
    <w:basedOn w:val="862"/>
    <w:uiPriority w:val="99"/>
    <w:qFormat/>
    <w:pPr>
      <w:jc w:val="left"/>
      <w:spacing w:before="100" w:beforeAutospacing="1" w:after="100" w:afterAutospacing="1"/>
      <w:widowControl/>
    </w:pPr>
    <w:rPr>
      <w:rFonts w:ascii="宋体" w:hAnsi="宋体" w:cs="宋体"/>
      <w:sz w:val="36"/>
      <w:szCs w:val="36"/>
    </w:rPr>
  </w:style>
  <w:style w:type="paragraph" w:styleId="1146" w:customStyle="1">
    <w:name w:val="xl56"/>
    <w:basedOn w:val="86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47" w:customStyle="1">
    <w:name w:val="font5"/>
    <w:basedOn w:val="862"/>
    <w:uiPriority w:val="99"/>
    <w:qFormat/>
    <w:pPr>
      <w:jc w:val="left"/>
      <w:spacing w:before="100" w:beforeAutospacing="1" w:after="100" w:afterAutospacing="1"/>
      <w:widowControl/>
    </w:pPr>
    <w:rPr>
      <w:rFonts w:ascii="宋体" w:hAnsi="宋体" w:cs="宋体"/>
      <w:sz w:val="18"/>
      <w:szCs w:val="18"/>
    </w:rPr>
  </w:style>
  <w:style w:type="paragraph" w:styleId="1148" w:customStyle="1">
    <w:name w:val="xl59"/>
    <w:basedOn w:val="86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49" w:customStyle="1">
    <w:name w:val="font9"/>
    <w:basedOn w:val="862"/>
    <w:uiPriority w:val="99"/>
    <w:qFormat/>
    <w:pPr>
      <w:jc w:val="left"/>
      <w:spacing w:before="100" w:beforeAutospacing="1" w:after="100" w:afterAutospacing="1"/>
      <w:widowControl/>
    </w:pPr>
    <w:rPr>
      <w:b/>
      <w:bCs/>
      <w:sz w:val="20"/>
      <w:szCs w:val="20"/>
    </w:rPr>
  </w:style>
  <w:style w:type="paragraph" w:styleId="1150" w:customStyle="1">
    <w:name w:val="xl43"/>
    <w:basedOn w:val="86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character" w:styleId="1151" w:customStyle="1">
    <w:name w:val="文档结构图 Char"/>
    <w:basedOn w:val="872"/>
    <w:link w:val="881"/>
    <w:uiPriority w:val="99"/>
    <w:semiHidden/>
    <w:qFormat/>
    <w:rPr>
      <w:sz w:val="2"/>
      <w:szCs w:val="2"/>
    </w:rPr>
  </w:style>
  <w:style w:type="paragraph" w:styleId="1152" w:customStyle="1">
    <w:name w:val="Char"/>
    <w:basedOn w:val="862"/>
    <w:uiPriority w:val="99"/>
    <w:qFormat/>
  </w:style>
  <w:style w:type="paragraph" w:styleId="1153" w:customStyle="1">
    <w:name w:val="xl31"/>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1154" w:customStyle="1">
    <w:name w:val="xl60"/>
    <w:basedOn w:val="86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55" w:customStyle="1">
    <w:name w:val="xl44"/>
    <w:basedOn w:val="86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56" w:customStyle="1">
    <w:name w:val="xl57"/>
    <w:basedOn w:val="86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57" w:customStyle="1">
    <w:name w:val="xl48"/>
    <w:basedOn w:val="86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character" w:styleId="1158" w:customStyle="1">
    <w:name w:val="正文文本 Char"/>
    <w:basedOn w:val="872"/>
    <w:link w:val="880"/>
    <w:uiPriority w:val="99"/>
    <w:qFormat/>
    <w:rPr>
      <w:sz w:val="20"/>
      <w:szCs w:val="20"/>
    </w:rPr>
  </w:style>
  <w:style w:type="paragraph" w:styleId="1159" w:customStyle="1">
    <w:name w:val="xl24"/>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0" w:customStyle="1">
    <w:name w:val="xl42"/>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1" w:customStyle="1">
    <w:name w:val="纯文本1"/>
    <w:basedOn w:val="862"/>
    <w:uiPriority w:val="99"/>
    <w:qFormat/>
    <w:rPr>
      <w:rFonts w:ascii="宋体" w:hAnsi="Courier New" w:eastAsia="楷体_GB2312" w:cs="宋体"/>
      <w:sz w:val="26"/>
      <w:szCs w:val="26"/>
    </w:rPr>
  </w:style>
  <w:style w:type="paragraph" w:styleId="1162" w:customStyle="1">
    <w:name w:val="xl33"/>
    <w:basedOn w:val="86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3" w:customStyle="1">
    <w:name w:val="Char Char Char Char Char Char Char Char"/>
    <w:basedOn w:val="862"/>
    <w:uiPriority w:val="99"/>
    <w:qFormat/>
    <w:pPr>
      <w:jc w:val="left"/>
      <w:spacing w:after="160" w:line="240" w:lineRule="exact"/>
      <w:widowControl/>
    </w:pPr>
    <w:rPr>
      <w:rFonts w:ascii="Verdana" w:hAnsi="Verdana" w:cs="Verdana"/>
      <w:sz w:val="20"/>
      <w:szCs w:val="20"/>
      <w:lang w:eastAsia="en-US"/>
    </w:rPr>
  </w:style>
  <w:style w:type="paragraph" w:styleId="1164" w:customStyle="1">
    <w:name w:val="Char1 Char Char Char"/>
    <w:basedOn w:val="862"/>
    <w:uiPriority w:val="99"/>
    <w:qFormat/>
    <w:pPr>
      <w:spacing w:line="360" w:lineRule="auto"/>
    </w:pPr>
    <w:rPr>
      <w:rFonts w:ascii="Tahoma" w:hAnsi="Tahoma" w:cs="Tahoma"/>
      <w:sz w:val="24"/>
      <w:szCs w:val="24"/>
    </w:rPr>
  </w:style>
  <w:style w:type="character" w:styleId="1165" w:customStyle="1">
    <w:name w:val="批注文字 Char"/>
    <w:basedOn w:val="872"/>
    <w:link w:val="882"/>
    <w:uiPriority w:val="99"/>
    <w:semiHidden/>
    <w:qFormat/>
    <w:rPr>
      <w:sz w:val="20"/>
      <w:szCs w:val="20"/>
    </w:rPr>
  </w:style>
  <w:style w:type="character" w:styleId="1166" w:customStyle="1">
    <w:name w:val="批注主题 Char"/>
    <w:basedOn w:val="1165"/>
    <w:link w:val="919"/>
    <w:uiPriority w:val="99"/>
    <w:semiHidden/>
    <w:qFormat/>
    <w:rPr>
      <w:b/>
      <w:bCs/>
      <w:sz w:val="20"/>
      <w:szCs w:val="20"/>
    </w:rPr>
  </w:style>
  <w:style w:type="character" w:styleId="1167" w:customStyle="1">
    <w:name w:val="批注框文本 Char"/>
    <w:basedOn w:val="872"/>
    <w:link w:val="897"/>
    <w:uiPriority w:val="99"/>
    <w:semiHidden/>
    <w:qFormat/>
    <w:rPr>
      <w:sz w:val="2"/>
      <w:szCs w:val="2"/>
    </w:rPr>
  </w:style>
  <w:style w:type="paragraph" w:styleId="1168" w:customStyle="1">
    <w:name w:val="Char Char Char Char Char Char Char Char1"/>
    <w:basedOn w:val="862"/>
    <w:uiPriority w:val="99"/>
    <w:qFormat/>
    <w:pPr>
      <w:jc w:val="left"/>
      <w:spacing w:after="160" w:line="240" w:lineRule="exact"/>
      <w:widowControl/>
    </w:pPr>
    <w:rPr>
      <w:rFonts w:ascii="Verdana" w:hAnsi="Verdana" w:cs="Verdana"/>
      <w:sz w:val="20"/>
      <w:szCs w:val="20"/>
      <w:lang w:eastAsia="en-US"/>
    </w:rPr>
  </w:style>
  <w:style w:type="paragraph" w:styleId="1169" w:customStyle="1">
    <w:name w:val="正文 A"/>
    <w:uiPriority w:val="99"/>
    <w:qFormat/>
    <w:pPr>
      <w:jc w:val="both"/>
      <w:widowControl w:val="off"/>
    </w:pPr>
    <w:rPr>
      <w:rFonts w:hint="default" w:ascii="Times New Roman" w:hAnsi="Times New Roman" w:eastAsia="幼圆" w:cs="Times New Roman"/>
      <w:color w:val="000000"/>
      <w:sz w:val="21"/>
      <w:szCs w:val="21"/>
      <w:lang w:val="en-US" w:eastAsia="zh-CN" w:bidi="ar-SA"/>
    </w:rPr>
  </w:style>
  <w:style w:type="paragraph" w:styleId="1170" w:customStyle="1">
    <w:name w:val="p0"/>
    <w:basedOn w:val="862"/>
    <w:uiPriority w:val="99"/>
    <w:qFormat/>
    <w:pPr>
      <w:jc w:val="left"/>
      <w:widowControl/>
    </w:pPr>
    <w:rPr>
      <w:rFonts w:ascii="Calibri" w:hAnsi="Calibri" w:cs="Calibri"/>
      <w:sz w:val="24"/>
      <w:szCs w:val="24"/>
    </w:rPr>
  </w:style>
  <w:style w:type="paragraph" w:styleId="1171" w:customStyle="1">
    <w:name w:val="列出段落1"/>
    <w:basedOn w:val="862"/>
    <w:uiPriority w:val="34"/>
    <w:qFormat/>
    <w:pPr>
      <w:ind w:firstLine="420"/>
    </w:pPr>
  </w:style>
  <w:style w:type="paragraph" w:styleId="1172" w:customStyle="1">
    <w:name w:val="p15"/>
    <w:basedOn w:val="862"/>
    <w:uiPriority w:val="99"/>
    <w:qFormat/>
    <w:pPr>
      <w:ind w:firstLine="420"/>
      <w:widowControl/>
    </w:pPr>
    <w:rPr>
      <w:rFonts w:ascii="Calibri" w:hAnsi="Calibri" w:cs="Calibri"/>
    </w:rPr>
  </w:style>
  <w:style w:type="paragraph" w:styleId="1173" w:customStyle="1">
    <w:name w:val="ecxp0"/>
    <w:basedOn w:val="862"/>
    <w:uiPriority w:val="99"/>
    <w:qFormat/>
    <w:pPr>
      <w:jc w:val="left"/>
      <w:spacing w:after="324"/>
      <w:widowControl/>
    </w:pPr>
    <w:rPr>
      <w:rFonts w:ascii="宋体" w:hAnsi="宋体" w:cs="宋体"/>
      <w:sz w:val="24"/>
      <w:szCs w:val="24"/>
    </w:rPr>
  </w:style>
  <w:style w:type="paragraph" w:styleId="1174" w:customStyle="1">
    <w:name w:val="Char Char Char Char Char1 Char Char Char Char"/>
    <w:basedOn w:val="862"/>
    <w:uiPriority w:val="99"/>
    <w:qFormat/>
    <w:pPr>
      <w:ind w:firstLine="420"/>
      <w:spacing w:line="360" w:lineRule="auto"/>
    </w:pPr>
    <w:rPr>
      <w:rFonts w:eastAsia="仿宋_GB2312"/>
      <w:sz w:val="32"/>
      <w:szCs w:val="32"/>
    </w:rPr>
  </w:style>
  <w:style w:type="paragraph" w:styleId="1175" w:customStyle="1">
    <w:name w:val="Body 1"/>
    <w:uiPriority w:val="99"/>
    <w:qFormat/>
    <w:pPr>
      <w:outlineLvl w:val="0"/>
    </w:pPr>
    <w:rPr>
      <w:rFonts w:hint="default" w:ascii="Helvetica" w:hAnsi="Helvetica" w:eastAsia="宋体" w:cs="Helvetica"/>
      <w:b/>
      <w:bCs/>
      <w:color w:val="000000"/>
      <w:lang w:val="en-US" w:eastAsia="zh-CN" w:bidi="ar-SA"/>
    </w:rPr>
  </w:style>
  <w:style w:type="character" w:styleId="1176" w:customStyle="1">
    <w:name w:val="bookmark-item"/>
    <w:basedOn w:val="872"/>
    <w:uiPriority w:val="99"/>
    <w:qFormat/>
  </w:style>
  <w:style w:type="paragraph" w:styleId="1177" w:customStyle="1">
    <w:name w:val="flNote"/>
    <w:basedOn w:val="862"/>
    <w:uiPriority w:val="99"/>
    <w:qFormat/>
    <w:pPr>
      <w:jc w:val="center"/>
      <w:spacing w:before="320" w:after="160" w:line="360" w:lineRule="atLeast"/>
    </w:pPr>
    <w:rPr>
      <w:rFonts w:ascii="Arial" w:eastAsia="黑体" w:cs="Arial"/>
      <w:sz w:val="30"/>
      <w:szCs w:val="30"/>
    </w:rPr>
  </w:style>
  <w:style w:type="paragraph" w:styleId="1178" w:customStyle="1">
    <w:name w:val="列出段落3"/>
    <w:basedOn w:val="862"/>
    <w:uiPriority w:val="99"/>
    <w:qFormat/>
    <w:pPr>
      <w:ind w:firstLine="420"/>
    </w:pPr>
  </w:style>
  <w:style w:type="character" w:styleId="1179" w:customStyle="1">
    <w:name w:val="NormalCharacter"/>
    <w:link w:val="1180"/>
    <w:uiPriority w:val="99"/>
    <w:semiHidden/>
    <w:qFormat/>
  </w:style>
  <w:style w:type="paragraph" w:styleId="1180" w:customStyle="1">
    <w:name w:val="UserStyle_4"/>
    <w:basedOn w:val="862"/>
    <w:link w:val="1179"/>
    <w:uiPriority w:val="99"/>
    <w:qFormat/>
  </w:style>
  <w:style w:type="paragraph" w:styleId="1181" w:customStyle="1">
    <w:name w:val="_Style 9"/>
    <w:basedOn w:val="862"/>
    <w:next w:val="1105"/>
    <w:uiPriority w:val="34"/>
    <w:qFormat/>
    <w:pPr>
      <w:ind w:firstLine="420"/>
    </w:pPr>
    <w:rPr>
      <w:rFonts w:ascii="Calibri" w:hAnsi="Calibri" w:eastAsia="微软雅黑"/>
      <w:szCs w:val="20"/>
    </w:rPr>
  </w:style>
  <w:style w:type="character" w:styleId="1182" w:customStyle="1">
    <w:name w:val="None"/>
    <w:uiPriority w:val="0"/>
    <w:qFormat/>
    <w:rPr>
      <w:lang w:val="zh-TW" w:eastAsia="zh-TW"/>
    </w:rPr>
  </w:style>
  <w:style w:type="paragraph" w:styleId="1183" w:customStyle="1">
    <w:name w:val="Default"/>
    <w:uiPriority w:val="0"/>
    <w:qFormat/>
    <w:pPr>
      <w:widowControl w:val="off"/>
    </w:pPr>
    <w:rPr>
      <w:rFonts w:hint="default" w:ascii="仿宋" w:eastAsia="仿宋" w:cs="仿宋" w:hAnsiTheme="minorHAnsi"/>
      <w:color w:val="000000"/>
      <w:sz w:val="24"/>
      <w:szCs w:val="24"/>
      <w:lang w:val="en-US" w:eastAsia="zh-CN" w:bidi="ar-SA"/>
    </w:rPr>
  </w:style>
  <w:style w:type="paragraph" w:styleId="1184" w:customStyle="1">
    <w:name w:val="CM11"/>
    <w:basedOn w:val="1183"/>
    <w:next w:val="1183"/>
    <w:uiPriority w:val="99"/>
    <w:qFormat/>
    <w:pPr>
      <w:spacing w:line="520" w:lineRule="atLeast"/>
    </w:pPr>
    <w:rPr>
      <w:rFonts w:cstheme="minorBidi"/>
      <w:color w:val="auto"/>
    </w:rPr>
  </w:style>
  <w:style w:type="paragraph" w:styleId="1185" w:customStyle="1">
    <w:name w:val="CM13"/>
    <w:basedOn w:val="1183"/>
    <w:next w:val="1183"/>
    <w:uiPriority w:val="99"/>
    <w:qFormat/>
    <w:pPr>
      <w:spacing w:line="520" w:lineRule="atLeast"/>
    </w:pPr>
    <w:rPr>
      <w:rFonts w:cstheme="minorBidi"/>
      <w:color w:val="auto"/>
    </w:rPr>
  </w:style>
  <w:style w:type="character" w:styleId="1186" w:customStyle="1">
    <w:name w:val="font31"/>
    <w:basedOn w:val="872"/>
    <w:uiPriority w:val="0"/>
    <w:qFormat/>
    <w:rPr>
      <w:rFonts w:hint="default" w:ascii="Arial" w:hAnsi="Arial" w:cs="Arial"/>
      <w:color w:val="000000"/>
      <w:sz w:val="20"/>
      <w:szCs w:val="20"/>
      <w:u w:val="none"/>
    </w:rPr>
  </w:style>
  <w:style w:type="character" w:styleId="1187" w:customStyle="1">
    <w:name w:val="font21"/>
    <w:basedOn w:val="872"/>
    <w:uiPriority w:val="0"/>
    <w:qFormat/>
    <w:rPr>
      <w:rFonts w:hint="eastAsia" w:ascii="宋体" w:hAnsi="宋体" w:eastAsia="宋体" w:cs="宋体"/>
      <w:color w:val="000000"/>
      <w:sz w:val="20"/>
      <w:szCs w:val="20"/>
      <w:u w:val="none"/>
    </w:rPr>
  </w:style>
  <w:style w:type="paragraph" w:styleId="1188" w:customStyle="1">
    <w:name w:val="彩色列表1"/>
    <w:basedOn w:val="862"/>
    <w:uiPriority w:val="34"/>
    <w:qFormat/>
    <w:pPr>
      <w:ind w:firstLine="420"/>
    </w:pPr>
    <w:rPr>
      <w:rFonts w:asciiTheme="minorHAnsi" w:hAnsiTheme="minorHAnsi" w:eastAsiaTheme="minorEastAsia" w:cstheme="minorBidi"/>
      <w:szCs w:val="24"/>
    </w:rPr>
  </w:style>
  <w:style w:type="character" w:styleId="1189" w:customStyle="1">
    <w:name w:val="Unresolved Mention"/>
    <w:basedOn w:val="872"/>
    <w:uiPriority w:val="99"/>
    <w:semiHidden/>
    <w:unhideWhenUsed/>
    <w:qFormat/>
    <w:rPr>
      <w:color w:val="605e5c"/>
      <w:shd w:val="clear" w:color="auto" w:fill="e1dfdd"/>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 锡 市 政 府 采 购</dc:title>
  <dc:creator>雨林木风</dc:creator>
  <cp:lastModifiedBy>龚丹丹</cp:lastModifiedBy>
  <cp:revision>113</cp:revision>
  <dcterms:created xsi:type="dcterms:W3CDTF">2022-09-23T01:49:00Z</dcterms:created>
  <dcterms:modified xsi:type="dcterms:W3CDTF">2025-07-09T08:05:16Z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34860AE19D2A427CA4484089415D9077_13</vt:lpwstr>
  </property>
  <property fmtid="{D5CDD505-2E9C-101B-9397-08002B2CF9AE}" pid="4" name="KSOTemplateDocerSaveRecord">
    <vt:lpwstr>eyJoZGlkIjoiZWFhYzRmMmU3Y2ZhNzk2MTQ0NzY2ZmMwNTIyZTg0MzgiLCJ1c2VySWQiOiI0MDcwOTI5MjkifQ==</vt:lpwstr>
  </property>
</Properties>
</file>