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60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南通高新区2024年雨污水管网维护服务项目</w:t>
      </w:r>
      <w:r/>
    </w:p>
    <w:p>
      <w:pPr>
        <w:ind w:left="0" w:right="0" w:firstLine="60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b/>
          <w:color w:val="000000"/>
          <w:sz w:val="30"/>
          <w:u w:val="single"/>
        </w:rPr>
        <w:t xml:space="preserve">JSZC-320612-HSGL-G2024-0073</w:t>
      </w:r>
      <w:r/>
    </w:p>
    <w:p>
      <w:pPr>
        <w:ind w:left="0" w:right="0" w:firstLine="2249"/>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248025" cy="24955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73993" name=""/>
                              <pic:cNvPicPr>
                                <a:picLocks noChangeAspect="1"/>
                              </pic:cNvPicPr>
                              <pic:nvPr/>
                            </pic:nvPicPr>
                            <pic:blipFill>
                              <a:blip/>
                              <a:stretch/>
                            </pic:blipFill>
                            <pic:spPr bwMode="auto">
                              <a:xfrm>
                                <a:off x="0" y="0"/>
                                <a:ext cx="3248024" cy="2495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8pt;height:196.5pt;mso-wrap-distance-left:0.0pt;mso-wrap-distance-top:0.0pt;mso-wrap-distance-right:0.0pt;mso-wrap-distance-bottom:0.0pt;" stroked="false">
                      <v:path textboxrect="0,0,0,0"/>
                    </v:shape>
                  </w:pict>
                </mc:Fallback>
              </mc:AlternateConten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100" w:right="0" w:hanging="301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南通高新技术产业开发区招商服务中心</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二〇二四年八月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3"/>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受[南通高新技术产业开发区招商服务中心]的委托，江苏衡晟项目管理咨询有限公司就[南通高新区2024年雨污水管网维护服务项目]进行公开招标采购，欢迎符合条件的供应商投标。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南通高新区2024年雨污水管网维护服务</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2024年9月19日 9点 30分（</w:t>
      </w:r>
      <w:r>
        <w:rPr>
          <w:rFonts w:ascii="SimSun" w:hAnsi="SimSun" w:eastAsia="SimSun" w:cs="SimSun"/>
          <w:color w:val="000000"/>
          <w:sz w:val="24"/>
        </w:rPr>
        <w:t xml:space="preserve">北京时间）前递交投标文件。</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1.项目编号：JSZC-320612-HSGL-G2024-0073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2.项目名称：南通高新区2024年雨污水管网维护服务项目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3.预算金额：本项目采购预算为人民币约1300万元。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本项目招标控制费率为《城镇排水管道检测与非开挖修复工程消耗量定额2020》×90%，投标报价超过最高限价的投标将作为无效投标处理。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高新区范围内雨污水管道疏通及维修。包含但不仅限于对南通高新区西区、南区、西南区等道路雨污水管网进行封堵、抽水、疏通、清淤、修复等，具体施工工艺以设计单位设计为准，计划工程量详见清单内容，清单上的数量为暂估量，最终以派工及审计为准。按实结算，最终价格以区审计局审定金额为准，最高不超过1300万元。（详细内容见本招标文件第四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6.合同履行期限：1年。具体详见项目需求部分。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pacing w:val="7"/>
          <w:sz w:val="24"/>
        </w:rPr>
        <w:t xml:space="preserve">质量要求：</w:t>
      </w:r>
      <w:r>
        <w:rPr>
          <w:rFonts w:ascii="SimSun" w:hAnsi="SimSun" w:eastAsia="SimSun" w:cs="SimSun"/>
          <w:color w:val="000000"/>
          <w:sz w:val="24"/>
        </w:rPr>
        <w:t xml:space="preserve">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1、投标人具备市政公用工程施工总承包三级及以上资质和安全生产许可证。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拟派项目负责人：具备市政公用工程二级及以上注册建造师资格，同时需持有安全B证；拟派项目负责人需提供投标单位与拟派项目负责人签订的有效劳动合同和投标企业为其缴纳的投标截止时间前三个月（不含投标截止时间当月）中至少一个月的养老保险缴纳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住房和城乡建设部办公厅关于全面实行一级建造师电子注册证书的通知》（建办市〔2021〕40号）的规定，自2022年1月1日起，一级建造师统一使用电子证书，纸质注册证书作废。若投标人拟派项目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投标人拟派的项目负责人为二级注册建造师的，必须根据《省住房和城乡建设厅关于我省二级建造师、二级造价工程师、二级注册建筑师、二级注册结构工程师注册证书电子证照换发的公告》〔2023〕第26号文件要求执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1"/>
        </w:rPr>
        <w:t xml:space="preserve">如未按上述文件要求提供电子证书的，该电子证书无效，视为项目负责人的资格不符合招标文件要求。</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2024 年  9月19日9点30 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w:t>
      </w:r>
      <w:r>
        <w:rPr>
          <w:rFonts w:ascii="SimSun" w:hAnsi="SimSun" w:eastAsia="SimSun" w:cs="SimSun"/>
          <w:color w:val="000000"/>
          <w:sz w:val="24"/>
          <w:u w:val="single"/>
        </w:rPr>
        <w:t xml:space="preserve">点：“苏采云”政府采购交易系统网上开标大厅。</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南通高新技术产业开发区招商服务中心    </w:t>
      </w:r>
      <w:r>
        <w:rPr>
          <w:rFonts w:ascii="SimSun" w:hAnsi="SimSun" w:eastAsia="SimSun" w:cs="SimSun"/>
          <w:color w:val="000000"/>
          <w:sz w:val="24"/>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曹先生  86028603</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高先生15106289000  15206290292</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3、交易系统软件维护人员：0519-86722801、0519-86722806</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70"/>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4.2本次招标交易中心和采购人不收取标书工本费与中标服务费。</w:t>
      </w:r>
      <w:r/>
    </w:p>
    <w:p>
      <w:pPr>
        <w:ind w:left="72" w:right="30" w:firstLine="0"/>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4.3本项目代理费为10830元，由中标供应商支付，投标报价时综合考虑。</w:t>
      </w:r>
      <w:r/>
    </w:p>
    <w:p>
      <w:pPr>
        <w:pStyle w:val="672"/>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70"/>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前按招标公告中的通讯地址，以书面形式通知采购人或采购代理。</w:t>
      </w:r>
      <w:r/>
    </w:p>
    <w:p>
      <w:pPr>
        <w:pStyle w:val="67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7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7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投标人提交的投标文件以及投标人与交易中心就有关投标的所有来往通知、函件和文件均应使用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投标有效期为交易中心规定的开标之日后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7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72"/>
        <w:ind w:left="0" w:right="0" w:firstLine="56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17.2中标单位在在中标结果公示结束并经确认后，提供叁份相同的和网上投标文件一致的投标文件（加盖投标单位公章）及不加密电子投标文件（U盘一份）送给招标人和招标代理机构，办领中标通知书，不提供不得办领中标通知书。</w:t>
      </w:r>
      <w:r/>
    </w:p>
    <w:p>
      <w:pPr>
        <w:pStyle w:val="672"/>
        <w:ind w:left="0" w:right="0" w:firstLine="420"/>
        <w:jc w:val="both"/>
        <w:spacing w:before="280" w:after="29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7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25.6投标人在开、评标全过程中应保持通讯畅通，及时登录苏采云系统查阅、答复相关信息，并安排专人与交易中心及评标委员会联系。</w:t>
      </w:r>
      <w:r/>
    </w:p>
    <w:p>
      <w:pPr>
        <w:pStyle w:val="67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70"/>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交招标人和招标代理将在“江苏政府采购网”发布中标公告，公告期限为1个工作日。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70"/>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2"/>
        <w:ind w:left="0" w:right="0" w:firstLine="600"/>
        <w:jc w:val="both"/>
        <w:spacing w:before="0" w:after="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提交的履约保证金为人民币100万元整。以银行汇票或现金支票或银行保函（见索即付）形式在签订合同前交纳。招标人账户信息：南通高新技术产业开发区财政局，账号：32001647454052501495，开户银行：建行银河路支行。投标人在收到中标通知书后，须在签订合同前向招标人足额提交履约保证金，否则招标人可以取消其中标资格。履约保证金用以约束成交供应商在合同履行中的行为，弥补合同执行中由于自身行为可能给采购人带来的各种损失。</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第一部分协议书</w:t>
      </w:r>
      <w:r/>
    </w:p>
    <w:p>
      <w:pPr>
        <w:ind w:left="0" w:right="0" w:firstLine="0"/>
        <w:jc w:val="center"/>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甲方：南通高新技术产业开发区招商服务中心       合同编号：</w:t>
      </w:r>
      <w:r/>
    </w:p>
    <w:p>
      <w:pPr>
        <w:ind w:left="310" w:right="0" w:hanging="310"/>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乙方：签订地：</w:t>
      </w:r>
      <w:r/>
    </w:p>
    <w:p>
      <w:pPr>
        <w:ind w:left="0" w:right="0" w:firstLine="411"/>
        <w:spacing w:before="0" w:after="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根据《中华人民共和国民法典》、《中华人民共和国政府采购法》和有关法律法规，及其他有关法律、行政法规，遵循平等、自愿、公平和诚实信用的原则，双方就</w:t>
      </w:r>
      <w:r>
        <w:rPr>
          <w:rFonts w:ascii="SimSun" w:hAnsi="SimSun" w:eastAsia="SimSun" w:cs="SimSun"/>
          <w:b/>
          <w:color w:val="000000"/>
          <w:sz w:val="21"/>
          <w:u w:val="single"/>
        </w:rPr>
        <w:t xml:space="preserve">              </w:t>
      </w:r>
      <w:r>
        <w:rPr>
          <w:rFonts w:ascii="SimSun" w:hAnsi="SimSun" w:eastAsia="SimSun" w:cs="SimSun"/>
          <w:color w:val="000000"/>
          <w:sz w:val="21"/>
        </w:rPr>
        <w:t xml:space="preserve">项目事项协商一致，订立本合同。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第一条项目概况</w:t>
      </w:r>
      <w:r>
        <w:rPr>
          <w:rFonts w:ascii="SimSun" w:hAnsi="SimSun" w:eastAsia="SimSun" w:cs="SimSun"/>
          <w:color w:val="000000"/>
          <w:sz w:val="21"/>
        </w:rPr>
        <w:t xml:space="preserve">：</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1、项目地点：南通高新区西区、南区、西南区。</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2、项目规模：对南通高新区西区、南区、西南区等道路雨污水管网进行封堵、抽水、疏通、清淤、修复等，具体工程量详见清单。</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3、时间要求：</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  2024年月日，工程实际开工时间以发包人签发的开工报告时间为准。</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 2025年月日（含不可预知的停工、阻工时间，含各类节假日，但因不可抗力引起的延期除外）。</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工期总日历天数：365天。工期总日历天数与根据前述计划开竣工日期计算的工期天数不一致的，以工期总日历天数为准。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4、质量要求：合格，且符合招标要求、满足国家、省市及行业相关验收标准。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第二条工作范围：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对南通高新区西区、南区、西南区等道路雨污水管网进行封堵、抽水、疏通、清淤、修复等，</w:t>
      </w:r>
      <w:r>
        <w:rPr>
          <w:rFonts w:ascii="SimSun" w:hAnsi="SimSun" w:eastAsia="SimSun" w:cs="SimSun"/>
          <w:color w:val="000000"/>
          <w:sz w:val="21"/>
          <w:highlight w:val="yellow"/>
        </w:rPr>
        <w:t xml:space="preserve">具体施工工艺以设计单位设计为准，计划工程量详见清单内容，清单上的数量为暂估量，最终以派工及审计为准。按实结算，最终价格以区审计局审定金额为准，最高不超过1300万元。</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第三条签约合同价与合同价格形式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按实结算，最终价格以区审计局审定金额为准，最高不超过1300万元。</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2、价格计算方式：</w:t>
      </w:r>
      <w:r>
        <w:rPr>
          <w:rFonts w:ascii="SimSun" w:hAnsi="SimSun" w:eastAsia="SimSun" w:cs="SimSun"/>
          <w:b/>
          <w:color w:val="000000"/>
          <w:sz w:val="21"/>
        </w:rPr>
        <w:t xml:space="preserve">城镇排水管道检测与非开挖修复工程消耗量定额2020×90%×中标费率。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第四条工程款支付方法</w:t>
      </w:r>
      <w:r/>
    </w:p>
    <w:p>
      <w:pPr>
        <w:ind w:left="42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付款方式：农民工工资按合同价的10%分月支付，半年支付已完成工程量初审价的70％，结算审计后支付至审计价的97%,余款在质保期满（竣工验收后满24个月）付清。</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第五条履约保证金</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承包人提供履约保证金金额（大写）：人民币 100万元，提交形式可以采用银行汇票或现金支票或银行保函（见索即付）。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第六条甲方的义务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1、自合同签订之日起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日内向乙方提交有关资料。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2、自接到乙方编制的技术书之日起</w:t>
      </w:r>
      <w:r>
        <w:rPr>
          <w:rFonts w:ascii="SimSun" w:hAnsi="SimSun" w:eastAsia="SimSun" w:cs="SimSun"/>
          <w:color w:val="000000"/>
          <w:sz w:val="21"/>
          <w:u w:val="single"/>
        </w:rPr>
        <w:t xml:space="preserve">　五　</w:t>
      </w:r>
      <w:r>
        <w:rPr>
          <w:rFonts w:ascii="SimSun" w:hAnsi="SimSun" w:eastAsia="SimSun" w:cs="SimSun"/>
          <w:color w:val="000000"/>
          <w:sz w:val="21"/>
        </w:rPr>
        <w:t xml:space="preserve">日内完成技术书的审定工作，并提出书面审定意见。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w:t>
      </w:r>
      <w:r>
        <w:rPr>
          <w:rFonts w:ascii="SimSun" w:hAnsi="SimSun" w:eastAsia="SimSun" w:cs="SimSun"/>
          <w:color w:val="000000"/>
          <w:sz w:val="21"/>
        </w:rPr>
        <w:t xml:space="preserve"> </w:t>
      </w:r>
      <w:r>
        <w:rPr>
          <w:rFonts w:ascii="SimSun" w:hAnsi="SimSun" w:eastAsia="SimSun" w:cs="SimSun"/>
          <w:b/>
          <w:color w:val="000000"/>
          <w:sz w:val="21"/>
        </w:rPr>
        <w:t xml:space="preserve">乙方的义务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1、自收到甲方的有关材料之日起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日内，根据甲方的有关资料和本合同的技术要求，完成技术设计书的编制，并交甲方审定。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2、自收到甲方对技术设计书同意实施的审定意见之日起</w:t>
      </w:r>
      <w:r>
        <w:rPr>
          <w:rFonts w:ascii="SimSun" w:hAnsi="SimSun" w:eastAsia="SimSun" w:cs="SimSun"/>
          <w:color w:val="000000"/>
          <w:sz w:val="21"/>
          <w:u w:val="single"/>
        </w:rPr>
        <w:t xml:space="preserve">　两　</w:t>
      </w:r>
      <w:r>
        <w:rPr>
          <w:rFonts w:ascii="SimSun" w:hAnsi="SimSun" w:eastAsia="SimSun" w:cs="SimSun"/>
          <w:color w:val="000000"/>
          <w:sz w:val="21"/>
        </w:rPr>
        <w:t xml:space="preserve">日内组织队伍进场作业。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3、乙方应当根据技术设计书要求确保项目如期完成。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4、未经甲方允许，乙方不得将本合同标的的全部或部分转包给第三方。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5、乙方应当于全部成果交付前五日书面通知甲方验收。 </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6、乙方关于此工程的所有成果的所有权、使用权和著作权归甲方所有。</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乙方根据技术设计书的要求向甲方交付全部成果。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8、乙方应尽力保护甲方井盖等市政设施，不得任意破坏，施工过程中非乙方原因造成井盖等损坏，应及时设置防护措施和标志，并及时报告有关部门进行修复。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9、在合同期内遇灾害性天气，乙方应及时配合甲方做好排涝工作。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乙方违约责任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1、合同签订后，如乙方擅自中途停止或解除合同，甲方没收乙方的履约保证金。</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2、在甲方提供了必要的工作、生活条件，并且保证了工程款按时到位，乙方未能按合同规定的工期提交成果时，没收工期保证金，并向甲方赔偿拖期损失费</w:t>
      </w:r>
      <w:r>
        <w:rPr>
          <w:rFonts w:ascii="SimSun" w:hAnsi="SimSun" w:eastAsia="SimSun" w:cs="SimSun"/>
          <w:color w:val="000000"/>
          <w:sz w:val="21"/>
          <w:u w:val="single"/>
        </w:rPr>
        <w:t xml:space="preserve">  500  </w:t>
      </w:r>
      <w:r>
        <w:rPr>
          <w:rFonts w:ascii="SimSun" w:hAnsi="SimSun" w:eastAsia="SimSun" w:cs="SimSun"/>
          <w:color w:val="000000"/>
          <w:sz w:val="21"/>
        </w:rPr>
        <w:t xml:space="preserve">元/天。因天气、交通、政府行为、甲方提供的资料不准确等客观原因造成的工程拖期，乙方不承担赔偿责任。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3、对于甲方提供的图纸和技术资料以及属于甲方的测绘成果，乙方有保密义务，不得向第三人转让，否则按合同款的五倍赔偿。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4、乙方擅自转包本合同标的的，甲方有权解除合同，并没收质量保证金。</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5、乙方野蛮施工造成破坏甲方市政设施的应予赔偿。</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第九条附则</w:t>
      </w:r>
      <w:r/>
    </w:p>
    <w:p>
      <w:pPr>
        <w:ind w:left="0" w:right="0" w:firstLine="573"/>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1、组成合同的文件及其解释顺序</w:t>
      </w:r>
      <w:r/>
    </w:p>
    <w:p>
      <w:pPr>
        <w:ind w:left="0" w:right="0" w:firstLine="31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（1）组成本合同的文件包括：</w:t>
      </w:r>
      <w:r/>
    </w:p>
    <w:p>
      <w:pPr>
        <w:numPr>
          <w:ilvl w:val="0"/>
          <w:numId w:val="1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本合同书；</w:t>
      </w:r>
      <w:r/>
    </w:p>
    <w:p>
      <w:pPr>
        <w:numPr>
          <w:ilvl w:val="0"/>
          <w:numId w:val="1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中标通知书；</w:t>
      </w:r>
      <w:r/>
    </w:p>
    <w:p>
      <w:pPr>
        <w:numPr>
          <w:ilvl w:val="0"/>
          <w:numId w:val="1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合同履行中双方有关本项目的洽谈、变更等书面协议、文件；</w:t>
      </w:r>
      <w:r/>
    </w:p>
    <w:p>
      <w:pPr>
        <w:numPr>
          <w:ilvl w:val="0"/>
          <w:numId w:val="1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招标文件及补充文件；</w:t>
      </w:r>
      <w:r/>
    </w:p>
    <w:p>
      <w:pPr>
        <w:numPr>
          <w:ilvl w:val="0"/>
          <w:numId w:val="14"/>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投标书及其附件；</w:t>
      </w:r>
      <w:r/>
    </w:p>
    <w:p>
      <w:pPr>
        <w:ind w:left="0" w:right="0" w:firstLine="73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 标准、规范及有关技术文件；</w:t>
      </w:r>
      <w:r/>
    </w:p>
    <w:p>
      <w:pPr>
        <w:ind w:left="0" w:right="0" w:firstLine="70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 其他：</w:t>
      </w:r>
      <w:r>
        <w:rPr>
          <w:rFonts w:ascii="SimSun" w:hAnsi="SimSun" w:eastAsia="SimSun" w:cs="SimSun"/>
          <w:color w:val="000000"/>
          <w:sz w:val="21"/>
          <w:u w:val="single"/>
        </w:rPr>
        <w:t xml:space="preserve">               无</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（2）合同文件应能相互解释，互为说明。经双方协商，本合同文件优先解释顺序如下：</w:t>
      </w:r>
      <w:r>
        <w:rPr>
          <w:rFonts w:ascii="SimSun" w:hAnsi="SimSun" w:eastAsia="SimSun" w:cs="SimSun"/>
          <w:color w:val="000000"/>
          <w:sz w:val="21"/>
          <w:u w:val="single"/>
        </w:rPr>
        <w:t xml:space="preserve">  ①②③④⑤⑥⑦                       </w:t>
      </w:r>
      <w:r>
        <w:rPr>
          <w:rFonts w:ascii="SimSun" w:hAnsi="SimSun" w:eastAsia="SimSun" w:cs="SimSun"/>
          <w:color w:val="000000"/>
          <w:sz w:val="21"/>
        </w:rPr>
        <w:t xml:space="preserve">。</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2、由于不可抗力，致使合同无法履行时，双方应按有关法律规定及时协商处理。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3、本合同未尽事宜，双方可签订补充协议作为附件，补充协议与本合同具有同等效力。</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4、本合同在履行过程中发生争议的，甲方与乙方可以和解或者通过</w:t>
      </w:r>
      <w:r>
        <w:rPr>
          <w:rFonts w:ascii="SimSun" w:hAnsi="SimSun" w:eastAsia="SimSun" w:cs="SimSun"/>
          <w:color w:val="000000"/>
          <w:sz w:val="21"/>
          <w:u w:val="single"/>
        </w:rPr>
        <w:t xml:space="preserve">                 </w:t>
      </w:r>
      <w:r>
        <w:rPr>
          <w:rFonts w:ascii="SimSun" w:hAnsi="SimSun" w:eastAsia="SimSun" w:cs="SimSun"/>
          <w:color w:val="000000"/>
          <w:sz w:val="21"/>
        </w:rPr>
        <w:t xml:space="preserve">调解，双方不愿和解、调解或者和解、调解不成的，双方约定向工程所在地有管辖权的人民法院起诉。</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5、本合同正本一式二份， 甲乙双方各执一份。副本</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贰 </w:t>
      </w:r>
      <w:r>
        <w:rPr>
          <w:rFonts w:ascii="SimSun" w:hAnsi="SimSun" w:eastAsia="SimSun" w:cs="SimSun"/>
          <w:color w:val="000000"/>
          <w:sz w:val="21"/>
        </w:rPr>
        <w:t xml:space="preserve">份，与合同正本具有同等效力。</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6、本合同经双方法定代表人或委托代理人签字盖章并提交履约保证金后生效。全部成果交接完毕和工程费结算完成后，本合同终止。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委托方（盖章）：承包方（盖章）：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住所：住所：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法定代表人（签字）：法定代表人（签字）：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委托代理人（签字）：委托代理人（签字）：</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rPr>
          <w:rFonts w:ascii="SimSun" w:hAnsi="SimSun" w:eastAsia="SimSun" w:cs="SimSun"/>
          <w:color w:val="000000"/>
          <w:spacing w:val="36"/>
          <w:sz w:val="21"/>
        </w:rPr>
        <w:t xml:space="preserve">开户银行</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帐号：帐号：</w:t>
      </w:r>
      <w:r>
        <w:rPr>
          <w:rFonts w:ascii="SimSun" w:hAnsi="SimSun" w:eastAsia="SimSun" w:cs="SimSun"/>
          <w:color w:val="000000"/>
          <w:sz w:val="21"/>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rPr>
          <w:rFonts w:ascii="SimSun" w:hAnsi="SimSun" w:eastAsia="SimSun" w:cs="SimSun"/>
          <w:color w:val="000000"/>
          <w:spacing w:val="36"/>
          <w:sz w:val="21"/>
        </w:rPr>
        <w:t xml:space="preserve">邮政编码</w:t>
      </w:r>
      <w:r>
        <w:rPr>
          <w:rFonts w:ascii="SimSun" w:hAnsi="SimSun" w:eastAsia="SimSun" w:cs="SimSun"/>
          <w:color w:val="000000"/>
          <w:sz w:val="21"/>
        </w:rPr>
        <w:t xml:space="preserve">：</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numPr>
          <w:ilvl w:val="2"/>
          <w:numId w:val="15"/>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通用合同条款（略）</w:t>
      </w:r>
      <w:r/>
    </w:p>
    <w:p>
      <w:pPr>
        <w:numPr>
          <w:ilvl w:val="2"/>
          <w:numId w:val="15"/>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具体详见（GF-2013-0201）</w:t>
      </w:r>
      <w:r/>
    </w:p>
    <w:p>
      <w:pPr>
        <w:numPr>
          <w:ilvl w:val="2"/>
          <w:numId w:val="15"/>
        </w:numPr>
        <w:jc w:val="center"/>
        <w:keepLines/>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 一般约定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735" w:right="0" w:hanging="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经监理工程师、发包人代表签字并经发包人盖章确认的涉及工期、质量、价款调整内容的签证单、联系函、技术核定单等。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设计人：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国民法典》、《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标准和规范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1.3.1适用于工程的标准规范包括：</w:t>
      </w:r>
      <w:r>
        <w:rPr>
          <w:rFonts w:ascii="SimSun" w:hAnsi="SimSun" w:eastAsia="SimSun" w:cs="SimSun"/>
          <w:color w:val="000000"/>
          <w:sz w:val="21"/>
          <w:u w:val="single"/>
        </w:rPr>
        <w:t xml:space="preserve">现行建筑工程相关的规范、规程、标准、规定、图集等。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1.3.3发包人对工程的技术标准和功能要求的特殊要求：</w:t>
      </w:r>
      <w:r>
        <w:rPr>
          <w:rFonts w:ascii="SimSun" w:hAnsi="SimSun" w:eastAsia="SimSun" w:cs="SimSun"/>
          <w:color w:val="000000"/>
          <w:sz w:val="21"/>
          <w:u w:val="single"/>
        </w:rPr>
        <w:t xml:space="preserve">前述标准、规范由承包人自行收集，费用包含在合同价款内。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合同文件的优先顺序</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本合同专用条款；（4）招标文件及其补充文件；（5）投标书及其附件；（6）本合同通用条款；（7）标准、规范及有关技术文件；（8）图纸；（9）工程报价单或预算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图纸和承包人文件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图纸的提供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工程开工前；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发包人向承包人提供图纸及报告书的数量：</w:t>
      </w:r>
      <w:r>
        <w:rPr>
          <w:rFonts w:ascii="SimSun" w:hAnsi="SimSun" w:eastAsia="SimSun" w:cs="SimSun"/>
          <w:color w:val="000000"/>
          <w:sz w:val="21"/>
          <w:u w:val="single"/>
        </w:rPr>
        <w:t xml:space="preserve">发包人仅提供电子版图纸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本合同承包范围内的全部建筑工程的施工图纸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承包人文件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       同上</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         一式四套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    书面版和电子版</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   收到文件后7天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现场图纸准备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由承包人负责准备现场图纸</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联络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1.6.1发包人和承包人应当在</w:t>
      </w:r>
      <w:r>
        <w:rPr>
          <w:rFonts w:ascii="SimSun" w:hAnsi="SimSun" w:eastAsia="SimSun" w:cs="SimSun"/>
          <w:color w:val="000000"/>
          <w:sz w:val="21"/>
          <w:u w:val="single"/>
        </w:rPr>
        <w:t xml:space="preserve">    3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发包人接收文件的地点：</w:t>
      </w:r>
      <w:r>
        <w:rPr>
          <w:rFonts w:ascii="SimSun" w:hAnsi="SimSun" w:eastAsia="SimSun" w:cs="SimSun"/>
          <w:color w:val="000000"/>
          <w:sz w:val="21"/>
          <w:u w:val="single"/>
        </w:rPr>
        <w:t xml:space="preserve">   发包人办公室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项目现场办公室或承包人住所地</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项目部人员</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项目现场办公室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交通运输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出入现场的权利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①承包人已对施工场地现场勘察，由发包人按现状交付承包人施工，且施工场地平整等费用已包含在合同价款中。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场内交通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发包人的用地红线范围为边界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均由承包人完成，费用已含在约定的合同价款计价方法中</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1.7.3超大件和超重件的运输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知识产权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1.8.1关于发包人提供给承包人的图纸、发包人为实施工程自行编制或委托编制的技术规范以及反映发包人关于合同要求或其他类似性质的文件的著作权均归属于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关于承包人为实施工程所编制文件的著作权归属于</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承包人在施工过程中所采用的专利、专有技术、技术秘密的使用费的承担方式：</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已具备移交条件</w:t>
      </w:r>
      <w:r>
        <w:rPr>
          <w:rFonts w:ascii="SimSun" w:hAnsi="SimSun" w:eastAsia="SimSun" w:cs="SimSun"/>
          <w:color w:val="000000"/>
          <w:sz w:val="21"/>
        </w:rPr>
        <w:t xml:space="preserve">。</w:t>
      </w:r>
      <w:r>
        <w:rPr>
          <w:rFonts w:ascii="SimSun" w:hAnsi="SimSun" w:eastAsia="SimSun" w:cs="SimSun"/>
          <w:color w:val="000000"/>
          <w:sz w:val="21"/>
          <w:highlight w:val="yellow"/>
        </w:rPr>
        <w:t xml:space="preserve">具体施工工艺以设计单位设计为准。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水准点与坐标控制点以书面形式交给承包人，并于开工前进行现场交验；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 承包人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（1）承包人提交的竣工资料的内容：</w:t>
      </w:r>
      <w:r>
        <w:rPr>
          <w:rFonts w:ascii="SimSun" w:hAnsi="SimSun" w:eastAsia="SimSun" w:cs="SimSun"/>
          <w:color w:val="000000"/>
          <w:sz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    三套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   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1.工程具备竣工验收条件后，承包人应按《建设工程文件归档整理规范》（GB/T50328-2014）的要求，向发包人提供3套完整并符合要求的竣工资料和工程竣工报告，工程竣工报告应经过总监理工程师审核认可。2．承包人应在工程竣工报告获得监理单位及发包人批准同意后一周内提交合格的工程竣工资料给发包人。如承包人不按约定提交合格的竣工资料，发包人有权没收竣工资料保证金。3.承包人在工程竣工后一月内提供经监理工程师审查通过的叁套完整的竣工图、竣工结算及其他资料，便于发包人安排工程结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书面及电子文档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（2）承包人应履行的其他义务：</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1)在本合同签订后至开工前，承包人应积极做好开工前的各项准备工作。</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2)场内外道路：场外道路已开通，场地内施工临时道路、硬化等由承包人自行安排，相关费用由承包人承担。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应提供计划、报表的名称及完成时间：每周五下午5：00前提供下周计划和本周完成情况统计表，完成工程量价款汇总（一式三份）交监理机构。</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 需承包人办理的有关施工场地交通、环卫环保和施工噪音管理等手续：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遵守政府有关主管部门对施工场地交通、施工噪音、环境保护和安全生产等的管理规定，按规定办理有关手续，并以书面形式通知发包人，所有费用均已含在合同价款中。</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 已完工程成品保护的特殊要求及费用承担：已竣工工程未交付发包人之前，承包人负责已完成工程的保护工作，所需费用含在合同价款内。</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 施工场地周围地下管线和邻近建筑物、构筑物（含文物保护建）、古树名木的保护要求及费用承担：负责做好施工场地周围地下管线和邻近建筑物、构筑物（含文物保护建筑）、古树名木保护措施，费用含在合同价款中。</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 施工场地清洁卫生的要求：施工现场材料堆放要整齐，并有遮盖，不得扬尘，机械停放有序，符合清洁卫生要求，承担因自身原因违反有关规定造成的损失和罚款。</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交工前将所有的建筑垃圾及有关临时硬化的道路、场地等从施工场地清除，分类运输，堆放地址必须符合有关部门的要求，不允许乱堆乱倒，同时将所有施工机械、设备及承包人的临时设施从施工场地运走。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双方约定承包人应做的其他工作：施工场地要设立标语、标牌，做到文明施工，树立企业形象，主动接受社会监督和有关部门的管理。</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平整场地、施工便道、清除现场障碍物、高压线防护、施工区域防护（如临时围墙、安全通道等）、除草、青苗补偿、杂树清理及外运、建筑垃圾处理（含外运）、施工噪音对邻居影响、邻居对施工干扰等费用均作为措施费包含在合同价款中，结算不再调整。</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12）承包人已仔细勘察并充分考虑施工范围内地面以上及地面以下将产生的建筑垃圾、杂土清运的工程量，且费用已包含在合同价款中。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rPr>
          <w:rFonts w:ascii="SimSun" w:hAnsi="SimSun" w:eastAsia="SimSun" w:cs="SimSun"/>
          <w:color w:val="000000"/>
          <w:sz w:val="21"/>
          <w:u w:val="single"/>
        </w:rPr>
        <w:t xml:space="preserve">承包人应根据当地政府及相关部门的新冠疫情防控要求做好疫情防控工作，且费用已包含在合同价款中。</w:t>
      </w:r>
      <w:r/>
    </w:p>
    <w:p>
      <w:pPr>
        <w:ind w:left="0" w:right="0" w:firstLine="518"/>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作为承包人代表，负责本工程项目施工全过程中全面管理的责任和义务，全权代表承包人履行合同义务</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处以3万元罚款，责令限期提交劳动合同并补缴社会保险；承包人承担因此产生的全部损失和责任，工期不予顺延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处以5万元罚款，承包人承担上述违约给发包人造成的一切损失，发包人有权单方面解除合同，已完工程不做结算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3.2.2 承包人无正当理由拒绝更换项目经理的违约责任：</w:t>
      </w:r>
      <w:r>
        <w:rPr>
          <w:rFonts w:ascii="SimSun" w:hAnsi="SimSun" w:eastAsia="SimSun" w:cs="SimSun"/>
          <w:color w:val="000000"/>
          <w:sz w:val="21"/>
          <w:u w:val="single"/>
        </w:rPr>
        <w:t xml:space="preserve">处以5万元罚款，承包人承担上述违约给发包人造成的一切损失，发包人有权单方面解除合同，已完工程不做结算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工程开工前7天</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承包人无正当理由拒绝撤换主要施工管理人员的违约责任：</w:t>
      </w:r>
      <w:r>
        <w:rPr>
          <w:rFonts w:ascii="SimSun" w:hAnsi="SimSun" w:eastAsia="SimSun" w:cs="SimSun"/>
          <w:color w:val="000000"/>
          <w:sz w:val="21"/>
          <w:u w:val="single"/>
        </w:rPr>
        <w:t xml:space="preserve">处以2万元罚款，承包人承担上述违约给发包人造成的一切损失，发包人有权单方面解除合同，已完工程不做结算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承包人主要施工管理人员离开施工现场的批准要求：</w:t>
      </w:r>
      <w:r>
        <w:rPr>
          <w:rFonts w:ascii="SimSun" w:hAnsi="SimSun" w:eastAsia="SimSun" w:cs="SimSun"/>
          <w:color w:val="000000"/>
          <w:sz w:val="21"/>
          <w:u w:val="single"/>
        </w:rPr>
        <w:t xml:space="preserve">由总监理工程师批准，发包人书面认可后方可离开</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承包人主要施工管理人员擅自离开施工现场的违约责任</w:t>
      </w:r>
      <w:r>
        <w:rPr>
          <w:rFonts w:ascii="SimSun" w:hAnsi="SimSun" w:eastAsia="SimSun" w:cs="SimSun"/>
          <w:color w:val="000000"/>
          <w:sz w:val="21"/>
        </w:rPr>
        <w:t xml:space="preserve">：</w:t>
      </w:r>
      <w:r>
        <w:rPr>
          <w:rFonts w:ascii="SimSun" w:hAnsi="SimSun" w:eastAsia="SimSun" w:cs="SimSun"/>
          <w:color w:val="000000"/>
          <w:sz w:val="21"/>
          <w:u w:val="single"/>
        </w:rPr>
        <w:t xml:space="preserve">处以200元罚款，承包人承担上述违约给发包人造成的一切损失</w:t>
      </w:r>
      <w:r>
        <w:rPr>
          <w:rFonts w:ascii="SimSun" w:hAnsi="SimSun" w:eastAsia="SimSun" w:cs="SimSun"/>
          <w:color w:val="000000"/>
          <w:sz w:val="21"/>
        </w:rPr>
        <w:t xml:space="preserve">。</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3.3.4承包人擅自更换主要施工管理人员的违约责任：</w:t>
      </w:r>
      <w:r>
        <w:rPr>
          <w:rFonts w:ascii="SimSun" w:hAnsi="SimSun" w:eastAsia="SimSun" w:cs="SimSun"/>
          <w:color w:val="000000"/>
          <w:sz w:val="21"/>
          <w:u w:val="single"/>
        </w:rPr>
        <w:t xml:space="preserve">处以1000元罚款，承包人承担上述违约给发包人造成的一切损失，发包人有权单方面解除合同，已完工程不做结算</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分包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3.4.1分包的确定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本工程不允许转包和违法分包，否则一经发现，取消承包人的施工资格，已完工程量不予结算，一切责任均由承包人负责</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专业分包需经过发包人书面同意，分包单位必须具备资质，且信誉良好，承包人对分包人的施工质量负责。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在清单中给定暂估价的专业工程属于依法必须招标的范围并达到规定的规模标准的，由总承包人以招标的方式选择分包人，发包人参与专业工程分包招标决策，有关招标文件只有经发包人加盖法人印鉴后才能生效。招标有关的费用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工程照管与成品、半成品保护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从承包人设备、材料进场之日起，到竣工移交手续办理之日止。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履约担保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提供</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提供人民币100万元作为履约保证金，其中：工期履约保证金为20万元 ，质量履约保证金为30万元，安全履约保证金为30万元 ，廉政履约保证金为20万元；可以用银行汇票或现金支票或银行保函（见索即付）等形式提供，其中银行保函必须是银行出具的无条件赔付、连带保证责任、不可撤销的银行保函，且担保时间必须满足本合同约定的履约保证金返还时间要求。采用银行保函方式的应将保函正本交至建设单位财务处保存，并确保实际施工期银行保函的有效性。对银行保函未能覆盖工程实际施工期及质保期的，应在银行保函失效期前办理与银行保函等额的其它</w:t>
      </w:r>
      <w:r>
        <w:rPr>
          <w:rFonts w:ascii="SimSun" w:hAnsi="SimSun" w:eastAsia="SimSun" w:cs="SimSun"/>
          <w:color w:val="000000"/>
          <w:sz w:val="21"/>
          <w:u w:val="single"/>
        </w:rPr>
        <w:t xml:space="preserve">形式担保，直至工程验收合格及质保期满。提交时间为本合同签订前。上述履约保证金分别的、共同的承担合同义务和责任。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双方约定本工程的履约担保的效力期间为工程开工至本合同范围内的所有工程项目完工并验收合格。履约保证金除廉政保证金在质保期满退还，其余保证金在竣工验收合格后按合同规定退还。</w:t>
      </w:r>
      <w:r>
        <w:rPr>
          <w:rFonts w:ascii="SimSun" w:hAnsi="SimSun" w:eastAsia="SimSun" w:cs="SimSun"/>
          <w:color w:val="000000"/>
          <w:sz w:val="21"/>
        </w:rPr>
        <w:t xml:space="preserve">采用银行保函方式的应将保函正本交至建设单位财务处保存，并确保实际施工期银行保函的有效性。对银行保函未能覆盖工程实际施工期及质保期的，应在银行保函失效期前办理与银行保函等额的其它形式担保，直至工程验收合格及质保期满。</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 监理人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见本工程《建设工程委托监理合同》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监理人自理，不再单独计取费用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 工程质量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工程质量达不到本合同约定要求，发包人有权没收全部的质量保证金，施工单位须无偿返工直至达到合格。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根据工程规模和质监部门要求确定，本工程约定验收为竣工验收。如不能按招标文件要求验收合格，发包人有权从工程款中直接扣除罚款（5万元）。并由承包人承担责任及返工修复并承担费用，直至验收合格为止。关键工序施工完毕后，须经监理、发包人验收合格并签字后（承包人应在验收前向监理提交工程验收资料），方可进行下道工序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隐蔽工程检查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5.2.1承包人提前通知监理人隐蔽工程检查的期限的约定：</w:t>
      </w:r>
      <w:r>
        <w:rPr>
          <w:rFonts w:ascii="SimSun" w:hAnsi="SimSun" w:eastAsia="SimSun" w:cs="SimSun"/>
          <w:color w:val="000000"/>
          <w:sz w:val="21"/>
          <w:u w:val="single"/>
        </w:rPr>
        <w:t xml:space="preserve">共同检查前24小时书面通知监理人</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 </w:t>
      </w:r>
      <w:r>
        <w:rPr>
          <w:rFonts w:ascii="SimSun" w:hAnsi="SimSun" w:eastAsia="SimSun" w:cs="SimSun"/>
          <w:color w:val="000000"/>
          <w:sz w:val="21"/>
          <w:u w:val="single"/>
        </w:rPr>
        <w:t xml:space="preserve">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 安全文明施工与环境保护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要求达到《建筑施工安全检查标准》（JGJ59-2011）标准，承包人应严格按工程建设安全生产的有关规定，采取安全措施组织施工。若发生安全责任事故，一切责任由承包人承担。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承包人应尽到总承包单位的义务，对施工现场的安全生产管理负总责，承包人在工地现场必须按规定要求配备专职安全员。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承包人使用的安全防护用具、机械设备、施工机具及配件，应当具有生产（制造）许可证、产品合格证，并在进入施工现场前进行查验，经监理工程师签字确认后方可使用；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提供和维修施工使用照明、警示照明、围栏设施，指示标志、警告标志、禁止标志等安全防护措施。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承包人若不按工程建设安全生产的有关规定组织施工及设置安全设施，或发生较大安全责任事故的，发包人有权没收安全保证金。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承包人在开工前提供施工场地治安管理计划，负责夜间和非夜间的安全巡逻和保卫，统一管理施工场地治安保卫事项并承担相应责任。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21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由承包人承担，并以书面形式告知发包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关于安全文明施工费支付比例和支付期限的约定：纳入合同价款支付。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在项目实施过程中，承包人必须服从发包人和监理人对施工现场安全监督管理，如承包人违反安全生产管理有关规定的，可参照发包人制定的《南通高新区工程建设项目标后监管实施办法》的有关规定执行。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 工期和进度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按招标文件约定，招标文件无约定的按通用条款或双方另行约定。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开工前7日。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收到后5天内予以确认或提出修改意见</w:t>
      </w:r>
      <w:r>
        <w:rPr>
          <w:rFonts w:ascii="SimSun" w:hAnsi="SimSun" w:eastAsia="SimSun" w:cs="SimSun"/>
          <w:b/>
          <w:color w:val="000000"/>
          <w:sz w:val="21"/>
        </w:rPr>
        <w:t xml:space="preserve">。</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7.2.1施工进度计划的修订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收到后5天内；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承包人每周五下午5：00前提供下周计划和本周完成情况统计表（一式三份）交监理机构。</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施工月进度计划：第一次在开工前7日，以后在上月25日前提供；在每月25日前，将本月进度统计报表及纠偏措施与下月施工进度计划同时提供。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64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合同签订后、开工前</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按通用条款。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因承包人原因造成工期延误，逾期竣工违约金的计算方法为：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因承包人原因延误总工期每延迟一天罚款10000元，超过15天（含15天）工期履约保证金不退还，并处以工程结算价为基数每天千分之五罚款，其他按通用条款中约定的内容执行。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因承包人原因未及时开工，按照约定的开工日期，每拖延一天罚款10000元。</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 材料与设备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8.1材料与工程设备的保管与使用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8.11发包人供应的材料设备的保管费用的承担：</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8.2.1样品的报送与封存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：按管理部门要求和发包人需求确定</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由承包人承担</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 试验与检验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 试验设备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按有关规定执行</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 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工程变更主要包括以下内容：</w:t>
      </w:r>
      <w:r>
        <w:rPr>
          <w:rFonts w:ascii="SimSun" w:hAnsi="SimSun" w:eastAsia="SimSun" w:cs="SimSun"/>
          <w:color w:val="000000"/>
          <w:sz w:val="21"/>
          <w:u w:val="single"/>
        </w:rPr>
        <w:t xml:space="preserve">（1）工程设计变更；（2）不可预见性变更；（3）其他实质性变更。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工程变更引起已标价项目其工程数量发生变化，调整数量，执行投标单价。</w:t>
      </w:r>
      <w:r/>
    </w:p>
    <w:p>
      <w:pPr>
        <w:ind w:left="0" w:right="0" w:firstLine="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变更引起无标价项目，由承包人根据变更工程资料、计量规则和计价办法、工程造价管理机构发布的信息价格和承包人报价浮动率提出变更工程项目的单价，报发包人确认后调整。承包人报价浮动率按下列公式计算：承包人报价浮动率L=（1—中标价/招标文件中规定的最高限价）×100%。</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 价格调整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市场价格波动不调整合同价格。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遇必须开挖维修，套用《江苏省市政设施维修养护定额》2013版相对应子目，人工费按2014年83号文，材料价格参照投标截止日期前28天《南通市建设工程造价信息》。取费标准：执行省住房城乡建设厅关于印发《江苏省市政设施养护维修定额取费标准》的通知(苏建城[2014]280号)。最终造价乘以中标费率”。</w:t>
      </w:r>
      <w:r/>
    </w:p>
    <w:p>
      <w:pPr>
        <w:ind w:left="0" w:right="0" w:firstLine="42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 合同价格、计量与支付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合同价格形式：本项目为全费用固定费率合同。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12.1.1投标报价应包含投标人的投标价，应是完成南通高新区西区、南区、西南区道路雨污水管网进行封堵、抽水、疏通、修复等所有内容的综合报价。</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12.1.2项目实施中清理管内污泥、杂物、挖除 至地面归堆并装车外弃或处理，外弃及处理必须符合环保要求，甲方不再另行承担费用，也不承担任何环保责任；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12.1.3如遇必须开挖维修，套用《江苏省市政设施维修养护定额》2013版相对应子目，人工费按2014年83号文，材料价格参照投标截止日期前28天《南通市建设工程造价信息》。取费标准：执行省住房城乡建设厅关于印发《江苏省市政设施养护维修定额取费标准》的通知(苏建城[2014]280号)。最终造价乘以中标费率”。</w:t>
      </w:r>
      <w:r/>
    </w:p>
    <w:p>
      <w:pPr>
        <w:ind w:left="0" w:right="0" w:firstLine="399"/>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12.1.4如投标人中标，在本合同实施期间，除另有规定外，单价不予调整，因此，投标人应充分考虑本项目实施期间的各种风险。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建设工程工程量清单计价规范》GB50854-2013；《江苏省市政设施养护维修定额》（2013年版）；《江苏省安装工程计价定额表》（2014年版）；《江苏省市政工程计价定额表》（2014年版）及相关补充定额；《江苏省建设工程费用定额》（2014）、执行省住房城乡建设厅关于印发《江苏省市政设施养护维修定额取费标准》的通知(苏建城[2014]280号)、《城镇排水管道检测与非开挖修复工程消耗量定额2020》等现行的国家标准和行业标准为依据</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rPr>
          <w:rFonts w:ascii="SimSun" w:hAnsi="SimSun" w:eastAsia="SimSun" w:cs="SimSun"/>
          <w:color w:val="000000"/>
          <w:sz w:val="21"/>
          <w:u w:val="single"/>
        </w:rPr>
        <w:t xml:space="preserve">双方约定的工程款(进度款)支付的方式和时间：</w:t>
      </w:r>
      <w:r/>
    </w:p>
    <w:p>
      <w:pPr>
        <w:ind w:left="0" w:right="0" w:firstLine="42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农民工工资按合同价的10%计，分12个月按月支付，半年支付已完成工程量初审价的70％，结算审计后支付至审计价的97%,余款在质保期满（竣工验收后满24个月）付清</w:t>
      </w:r>
      <w:r>
        <w:rPr>
          <w:rFonts w:ascii="SimSun" w:hAnsi="SimSun" w:eastAsia="SimSun" w:cs="SimSun"/>
          <w:b/>
          <w:color w:val="000000"/>
          <w:sz w:val="24"/>
          <w:u w:val="single"/>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每次支付前，承包人均应出具项目所在地财政局开具的相应金额的税务发票，否则发包人有权拒付且不承担任何违约责任。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工程款汇入承包人账户应专款专用，一旦发现占用工程款，导致材料、设备、人工费支付不到位造成停工，发包人即停止付款，由此发生的损失费用由承包人承担。</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12.4.2 进度付款申请单的编制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已完成约定进度的证明，相应金额的税务发票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  按节点提交</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收到申请7天内  </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收到通过监理审查的审核表后10天内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按合同要求执行</w:t>
      </w:r>
      <w:r>
        <w:rPr>
          <w:rFonts w:ascii="SimSun" w:hAnsi="SimSun" w:eastAsia="SimSun" w:cs="SimSun"/>
          <w:color w:val="000000"/>
          <w:sz w:val="21"/>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发包人逾期支付进度款的违约金的计算方式：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承包人每次申请支付前，均应按政府有关规定开具财税部门认可的税务发票，否则发包人有权拒付且不承担任何违约责任。</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 验收和工程试车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  12  </w:t>
      </w:r>
      <w:r>
        <w:rPr>
          <w:rFonts w:ascii="SimSun" w:hAnsi="SimSun" w:eastAsia="SimSun" w:cs="SimSun"/>
          <w:color w:val="000000"/>
          <w:sz w:val="21"/>
        </w:rPr>
        <w:t xml:space="preserve">小时提交书面延期要求。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24  </w:t>
      </w:r>
      <w:r>
        <w:rPr>
          <w:rFonts w:ascii="SimSun" w:hAnsi="SimSun" w:eastAsia="SimSun" w:cs="SimSun"/>
          <w:color w:val="000000"/>
          <w:sz w:val="21"/>
        </w:rPr>
        <w:t xml:space="preserve">小时。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left="0" w:right="0" w:firstLine="4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若有需要)。属于发包人应提供的资料，由发包人负责及时提供给承包人，由承包人汇总整理后，交由发包人移交档案馆。承包人未按规定向发包人移交资料造成的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13.2.2移交、接收全部与部分工程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承包人每日需向发包人按照工程合同暂定造价0.5‰承担违约责任，赔偿未按时移交工程给发包人产生的其他直接和间接损失。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39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工程竣工验收合格，30天内向发包人和监理人提交竣工结算申请单，并提交完整的结算资料。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按通用条款，提交的竣工结算资料必须完整，发包人不分次接受竣工结算资料；承包人逾期提交结算资料，造成竣工结算迟延支付的，发包人不承担违约责任。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：四份</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   质量保修期满</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收到申请28天内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申请签发14天内        </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15. 缺陷责任期与保修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详见质量保修协议。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扣留</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3  </w:t>
      </w:r>
      <w:r>
        <w:rPr>
          <w:rFonts w:ascii="SimSun" w:hAnsi="SimSun" w:eastAsia="SimSun" w:cs="SimSun"/>
          <w:color w:val="000000"/>
          <w:sz w:val="21"/>
        </w:rPr>
        <w:t xml:space="preserve">%的工程款；</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详见质量保修协议。</w:t>
      </w:r>
      <w:r/>
    </w:p>
    <w:p>
      <w:pPr>
        <w:ind w:left="0" w:right="0" w:firstLine="40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详见质量保修协议。</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 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630" w:right="0" w:hanging="63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1050" w:right="0" w:hanging="105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发包人有权根据实际情况增减部分工程量，承包人对此不提出索赔</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按本合同16.2.2条及其它条款的约定。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 承包人明确表示或者以其行为表明不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w:t>
      </w:r>
      <w:r>
        <w:rPr>
          <w:rFonts w:ascii="SimSun" w:hAnsi="SimSun" w:eastAsia="SimSun" w:cs="SimSun"/>
          <w:color w:val="000000"/>
          <w:sz w:val="21"/>
          <w:u w:val="single"/>
        </w:rPr>
        <w:t xml:space="preserve">完成的工程量进行固定，承包人自行撤场。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5万元的违约金。同时，承包人应无条件返工至合格并采取措施清除不良影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6.承包人未能按施工进度计划及时完成合同约定的工作，造成工期延误的违约责任：按7.5条约定 。</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8.承包人未能按照合同约定履行其他义务的违约责任：</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left="0" w:right="0" w:firstLine="411"/>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③承包人要做到减少噪音及环境污染，文明施工达标，如因承包人原因导致工地在市、区检查中被评为不合格工地的，按每有一起罚款4000元。</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不计费用</w:t>
      </w:r>
      <w:r>
        <w:rPr>
          <w:rFonts w:ascii="SimSun" w:hAnsi="SimSun" w:eastAsia="SimSun" w:cs="SimSun"/>
          <w:color w:val="000000"/>
          <w:sz w:val="21"/>
        </w:rPr>
        <w:t xml:space="preserve">。</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17.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  由市级以上有关部门正式发布和认定的自然灾害。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因不可抗力解除合同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 60  </w:t>
      </w:r>
      <w:r>
        <w:rPr>
          <w:rFonts w:ascii="SimSun" w:hAnsi="SimSun" w:eastAsia="SimSun" w:cs="SimSun"/>
          <w:color w:val="000000"/>
          <w:sz w:val="21"/>
        </w:rPr>
        <w:t xml:space="preserve">天内完成款项的支付。</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 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发包人投保内容：建设工程和施工场地内的自有人员生命财产险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发包人委托承包人办理的保险事项：         /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各自办理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p>
    <w:p>
      <w:pPr>
        <w:ind w:left="0" w:right="0" w:firstLine="0"/>
        <w:jc w:val="both"/>
        <w:spacing w:before="280" w:after="29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 争议解决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 </w:t>
      </w:r>
      <w:r>
        <w:rPr>
          <w:rFonts w:ascii="SimSun" w:hAnsi="SimSun" w:eastAsia="SimSun" w:cs="SimSun"/>
          <w:color w:val="000000"/>
          <w:sz w:val="21"/>
        </w:rPr>
        <w:t xml:space="preserve">种方式解决：</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南通市通州区 </w:t>
      </w:r>
      <w:r>
        <w:rPr>
          <w:rFonts w:ascii="SimSun" w:hAnsi="SimSun" w:eastAsia="SimSun" w:cs="SimSun"/>
          <w:color w:val="000000"/>
          <w:sz w:val="21"/>
        </w:rPr>
        <w:t xml:space="preserve">人民法院起诉。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rPr>
          <w:rFonts w:ascii="SimSun" w:hAnsi="SimSun" w:eastAsia="SimSun" w:cs="SimSun"/>
          <w:b/>
          <w:color w:val="000000"/>
          <w:sz w:val="21"/>
        </w:rPr>
        <w:t xml:space="preserve">                      </w:t>
      </w:r>
      <w:r>
        <w:rPr>
          <w:rFonts w:ascii="SimSun" w:hAnsi="SimSun" w:eastAsia="SimSun" w:cs="SimSun"/>
          <w:b/>
          <w:color w:val="000000"/>
          <w:sz w:val="28"/>
        </w:rPr>
        <w:t xml:space="preserve"> 廉政合同</w:t>
      </w:r>
      <w:r/>
    </w:p>
    <w:p>
      <w:pPr>
        <w:ind w:left="0" w:right="0" w:firstLine="422"/>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南通高新技术产业开发区招商服务中心 </w:t>
      </w:r>
      <w:r/>
    </w:p>
    <w:p>
      <w:pPr>
        <w:ind w:left="0" w:right="0" w:firstLine="10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pacing w:val="2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为进一步加强党风廉政建设，保证工程建设优质、高效、有序地进行，</w:t>
      </w:r>
      <w:r>
        <w:rPr>
          <w:rFonts w:ascii="SimSun" w:hAnsi="SimSun" w:eastAsia="SimSun" w:cs="SimSun"/>
          <w:color w:val="000000"/>
          <w:sz w:val="21"/>
          <w:u w:val="single"/>
        </w:rPr>
        <w:t xml:space="preserve">南通高新技术产业开发区招商服务中心</w:t>
      </w:r>
      <w:r>
        <w:rPr>
          <w:rFonts w:ascii="SimSun" w:hAnsi="SimSun" w:eastAsia="SimSun" w:cs="SimSun"/>
          <w:color w:val="000000"/>
          <w:sz w:val="21"/>
        </w:rPr>
        <w:t xml:space="preserve">（以下简称“甲方”）与承担</w:t>
      </w:r>
      <w:r>
        <w:rPr>
          <w:rFonts w:ascii="SimSun" w:hAnsi="SimSun" w:eastAsia="SimSun" w:cs="SimSun"/>
          <w:color w:val="000000"/>
          <w:sz w:val="21"/>
          <w:u w:val="single"/>
        </w:rPr>
        <w:t xml:space="preserve">                    </w:t>
      </w:r>
      <w:r>
        <w:rPr>
          <w:rFonts w:ascii="SimSun" w:hAnsi="SimSun" w:eastAsia="SimSun" w:cs="SimSun"/>
          <w:color w:val="000000"/>
          <w:sz w:val="21"/>
        </w:rPr>
        <w:t xml:space="preserve">工程的施工单位 </w:t>
      </w:r>
      <w:r>
        <w:rPr>
          <w:rFonts w:ascii="SimSun" w:hAnsi="SimSun" w:eastAsia="SimSun" w:cs="SimSun"/>
          <w:color w:val="000000"/>
          <w:sz w:val="21"/>
          <w:u w:val="single"/>
        </w:rPr>
        <w:t xml:space="preserve">                  </w:t>
      </w:r>
      <w:r>
        <w:rPr>
          <w:rFonts w:ascii="SimSun" w:hAnsi="SimSun" w:eastAsia="SimSun" w:cs="SimSun"/>
          <w:color w:val="000000"/>
          <w:sz w:val="21"/>
        </w:rPr>
        <w:t xml:space="preserve">，经双方协商一致，自愿签订以下廉政合同。</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（一）甲方及其工作人员不得挤占、截留、挪用工程款或超进度拨付工程款。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（四）甲方工作人员不准参加乙方提供的宴请、娱乐活动；不准要求乙方提供交通工具、通讯工具、高档办公用品等。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（一）甲方若违法乱纪违反本《廉政合同》有关规定的，对违法乱纪人员，由甲方依据有关规定查处，给乙方造成的损失，按有关规定予以赔偿。</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双方约定：自愿接受各相关监督主体对合同执行情况的监督检查，接受提出本合同规定范围内的裁定意见。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第七条：本合同有效期为工程开工之日起至该合同段工程项目竣工验收合格且质保期满后止。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第八条：本合同一式三份，甲、乙双方各执一份，送交督查部门一份。</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6"/>
        <w:gridCol w:w="3141"/>
        <w:gridCol w:w="29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525" w:right="0" w:hanging="5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6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157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廉政监督单位(盖章)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340" w:after="33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b/>
          <w:color w:val="000000"/>
          <w:sz w:val="30"/>
        </w:rPr>
        <w:t xml:space="preserve">         </w:t>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357"/>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安全生产合同</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w:t>
      </w:r>
      <w:r>
        <w:rPr>
          <w:rFonts w:ascii="SimSun" w:hAnsi="SimSun" w:eastAsia="SimSun" w:cs="SimSun"/>
          <w:color w:val="000000"/>
          <w:sz w:val="21"/>
          <w:u w:val="single"/>
        </w:rPr>
        <w:t xml:space="preserve">                            </w:t>
      </w:r>
      <w:r/>
    </w:p>
    <w:p>
      <w:pPr>
        <w:ind w:left="0" w:right="0" w:firstLine="10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w:t>
      </w:r>
      <w:r>
        <w:rPr>
          <w:rFonts w:ascii="SimSun" w:hAnsi="SimSun" w:eastAsia="SimSun" w:cs="SimSun"/>
          <w:color w:val="000000"/>
          <w:spacing w:val="20"/>
          <w:sz w:val="21"/>
          <w:u w:val="single"/>
        </w:rPr>
        <w:t xml:space="preserve">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为在 </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工程施工合同的实施过程中创造安全、整洁的施工环境，切实搞好本项目的安全管理工作，本项目发包人与承包人特此签订安全生产合同：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一、发包人职责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1．自觉遵守国家有关安全生产的法律法规、认真执行工程承包合同中的有关安全要求。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2．按照“安全第一、预防为主”和坚持“管生产必须管安全”的原则进行安全生产管理，做到生产与安全工作同时。</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3．重要的安全设施必须坚持与主体工程“三同时”的原则，即：同时设计、审批，同时施工，同时验收，投入使用。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4．组织对承包人施工现场安全生产检查，监督承包人及时处理发现的各项隐患并组织召开安全生产协调会。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二、承包人职责</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1．严格遵守国家有关安全生产的法律法规和有关安全生产的规定，认真执行工程承包合同中的有关安全要求。</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规定配备安全员，专职负责所有员工的安全和治安保卫工作及预防事故的发生。安全机构人员，有权按有关规定发布指令，并采取保护性措施防止事故发生。</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4．承包人在任何时候都应采取各种合理的预防措施，防止其员工发生任何违法、违禁、暴力或妨碍治安的行为。</w:t>
      </w:r>
      <w:r/>
    </w:p>
    <w:p>
      <w:pPr>
        <w:ind w:left="99" w:right="0" w:hanging="9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7．操作人员上岗，必须按规定穿戴防护用品。施工负责人和安全检查员应随时检查劳动防护用品的穿戴情况，不按规定穿戴防护用品的人员不得上岗。</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8．所有施工机具设备和高空作业的设备均应定期检查，并有安全员的签字记录，保证其经常处于完好状态；不合格的机具、设备和劳动保护用品严禁使用。</w:t>
      </w:r>
      <w:r/>
    </w:p>
    <w:p>
      <w:pPr>
        <w:ind w:left="297" w:right="0" w:hanging="29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9．施工中采用新技术、新工艺、新设备、新材料时，必须制定相应的安全技术措施，施工现场必须具有相关的安全标志牌。</w:t>
      </w:r>
      <w:r/>
    </w:p>
    <w:p>
      <w:pPr>
        <w:ind w:left="396" w:right="0" w:hanging="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三、违约责任</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若发生由承包人责任所引起的各类事故、事件及违章违规行为的，将接受有关部门处罚。</w:t>
      </w:r>
      <w:r/>
    </w:p>
    <w:p>
      <w:pPr>
        <w:ind w:left="0" w:right="0" w:firstLine="396"/>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本合同正本一式二份，副本八份，合同双方各执正本一份，副本四份。由双方法定代表人或其授权的代理人签署与加盖公章后生效，全部工程竣工验收后失效。</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  包  人：(公章)</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法定代表人：法定代表人：</w:t>
      </w:r>
      <w:r/>
    </w:p>
    <w:p>
      <w:pPr>
        <w:ind w:left="0" w:right="0" w:firstLine="459"/>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委托代表人：委托代表人： </w:t>
      </w:r>
      <w:r/>
    </w:p>
    <w:p>
      <w:pPr>
        <w:ind w:left="0" w:right="0" w:firstLine="6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8"/>
        <w:ind w:left="0" w:right="0" w:firstLine="288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rPr>
          <w:rFonts w:ascii="SimSun" w:hAnsi="SimSun" w:eastAsia="SimSun" w:cs="SimSun"/>
          <w:color w:val="000000"/>
          <w:sz w:val="24"/>
          <w:highlight w:val="white"/>
          <w:u w:val="single"/>
        </w:rPr>
        <w:t xml:space="preserve">南通高新技术产业开发区招商服务中心</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b/>
          <w:color w:val="000000"/>
          <w:sz w:val="24"/>
          <w:u w:val="single"/>
        </w:rPr>
        <w:t xml:space="preserve">                          </w:t>
      </w:r>
      <w:r>
        <w:rPr>
          <w:rFonts w:ascii="SimSun" w:hAnsi="SimSun" w:eastAsia="SimSun" w:cs="SimSun"/>
          <w:color w:val="000000"/>
          <w:sz w:val="24"/>
        </w:rPr>
        <w:t xml:space="preserve"> </w:t>
      </w:r>
      <w:r/>
    </w:p>
    <w:p>
      <w:pPr>
        <w:ind w:left="0" w:right="0" w:firstLine="47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发包人、承包人根据《中华人民共和国建筑法》、《建设工程质量管理条例》和《房屋建筑工程质量保修办法》，经协商一致，对</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w:t>
      </w:r>
      <w:r>
        <w:rPr>
          <w:rFonts w:ascii="SimSun" w:hAnsi="SimSun" w:eastAsia="SimSun" w:cs="SimSun"/>
          <w:color w:val="000000"/>
          <w:sz w:val="24"/>
        </w:rPr>
        <w:t xml:space="preserve">工程名称）签订工程质量保修书。</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1.工程质量保修范围和内容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承包人在质量保修期内，按照有关法律、法规、规章的管理规定和双方约定，承担本工程质量保修责任。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b/>
          <w:color w:val="000000"/>
          <w:sz w:val="24"/>
          <w:u w:val="single"/>
        </w:rPr>
        <w:t xml:space="preserve">承包人所施工的内容。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2.质量保修期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2.1.双方根据《建设工程质量管理条例》及有关规定，约定本工程的质量保修期如下：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（1）地基基础工程和主体结构工程为设计文件规定的该工程合理使用年限；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（2）屋面防水工程、有防水要求的卫生间、房间和外墙面的防渗漏为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（3）装修工程为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（4）电气管线、给排水管道、设备安装工程为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（5）供热与供冷系统为</w:t>
      </w:r>
      <w:r>
        <w:rPr>
          <w:rFonts w:ascii="SimSun" w:hAnsi="SimSun" w:eastAsia="SimSun" w:cs="SimSun"/>
          <w:color w:val="000000"/>
          <w:sz w:val="24"/>
          <w:u w:val="single"/>
        </w:rPr>
        <w:t xml:space="preserve">   /   </w:t>
      </w:r>
      <w:r>
        <w:rPr>
          <w:rFonts w:ascii="SimSun" w:hAnsi="SimSun" w:eastAsia="SimSun" w:cs="SimSun"/>
          <w:color w:val="000000"/>
          <w:sz w:val="24"/>
        </w:rPr>
        <w:t xml:space="preserve">个采暖期、供冷期；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（6）住宅小区内的给排水设施、道路等配套工程为</w:t>
      </w:r>
      <w:r>
        <w:rPr>
          <w:rFonts w:ascii="SimSun" w:hAnsi="SimSun" w:eastAsia="SimSun" w:cs="SimSun"/>
          <w:color w:val="000000"/>
          <w:sz w:val="24"/>
          <w:u w:val="single"/>
        </w:rPr>
        <w:t xml:space="preserve">   /    </w:t>
      </w:r>
      <w:r>
        <w:rPr>
          <w:rFonts w:ascii="SimSun" w:hAnsi="SimSun" w:eastAsia="SimSun" w:cs="SimSun"/>
          <w:color w:val="000000"/>
          <w:sz w:val="24"/>
        </w:rPr>
        <w:t xml:space="preserve">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（7）其他项目保修期限约定如下：</w:t>
      </w:r>
      <w:r>
        <w:rPr>
          <w:rFonts w:ascii="SimSun" w:hAnsi="SimSun" w:eastAsia="SimSun" w:cs="SimSun"/>
          <w:b/>
          <w:color w:val="000000"/>
          <w:sz w:val="24"/>
          <w:u w:val="single"/>
        </w:rPr>
        <w:t xml:space="preserve">本工程保修期为24个月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2.2.质量保修期自工程竣工验收合格之日起计算。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3.质量保修责任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3.1.属于保修范围、内容的项目，承包人应当在接到保修通知之日起7天内派人保修。承包人不在约定期限内派人保修的，发包人可以委托他人修理。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3.4.质量保修完成后，由发包人组织验收。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4.保修费用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4.1.保修费用由造成质量缺陷的责任方承担。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工程质量保修金为工程总价（审计后）的3%,保修费从工程质量保修金内扣除（土方施工类、环境整治类、应急类等一次性完成的无需质保的施工项目，不再计取工程质量保修金）。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本工程质量保修书，由施工合同发包人、承包人双方在竣工验收前共同签署，作为施工合同附件，其有效期限至保修期满。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　包　人(公章)：　　　　　      承　包　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w:t>
      </w:r>
      <w:r/>
    </w:p>
    <w:p>
      <w:pPr>
        <w:ind w:left="0" w:right="0" w:firstLine="21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　　　 年　月　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发包人保留对合同修改和完善的权利。</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8、采购需求中必须满足的实质性要求。（请单独列出）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一、项目名称：南通高新区2024年雨污水管网维护服务项目。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二、招标范围：高新区雨污水管道疏通及维修。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三、预算金额：本项目采购预算为人民币约1300万元。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四、本项目设定最高限价：本项目招标控制费率为《城镇排水管道检测与非开挖修复工程消耗量定额2020》×90%，投标报价超过最高限价的投标将作为无效投标处理。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五、其他详细需求：详见本项目附件和合同条款。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9、采购标的对应的中小企业划分标准所属行业一览表</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南通高新区2024年雨污水管网维护服务项目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68"/>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（9）拟派项目负责人具备市政公用工程二级及以上注册建造师，同时需持有项目经理安全B证；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420" w:firstLine="47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详细评审标准</w:t>
      </w:r>
      <w:r/>
    </w:p>
    <w:p>
      <w:pPr>
        <w:ind w:left="0" w:right="174"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4.1商务技术标评审标准（70分）</w:t>
      </w:r>
      <w:r/>
    </w:p>
    <w:p>
      <w:pPr>
        <w:ind w:left="482"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1、企业资信（6分）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1）投标供应商通过ISO9001质量管理体系认证且在有效期内的得基本分1分，认证范围包括管道疏通或者修复的再得1分。【需提供复印件以及国家认监委员会官网查询截图为考评依据，否则不得分。】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投标供应商通过ISO14001环境管理体系认证且在有效期内的得基本分1分。认证范围包括管道疏通或者修复的再得1分。【需提供复印件以及国家认监委员会官网查询截图为考评依据，否则不得分。】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3）投标供应商通过GB/T45001-2020职业健康安全管理体系认证且在有效期内的得1分，认证范围包括管道疏通或者修复的再得1分。【需提供复印件以及国家认监委员会官网查询截图为考评依据，否则不得分。】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2、相关业绩（8分）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年9月（以合同签订时间为准）至今投标人承接过类似疏通或维修项目的，每个得2分，最多8分【需提供项目中标通知书、中标公告网址及网页截屏、合同关键页、竣工验收证书，四样缺一不可。不按要求提供或提供网址无效的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3、拟投入人员情况（13分）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1）投标供应商拟派项目人员具备给排水相关专业中级或以上职称的得1分；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2）投标供应商拟派项目人员须具备至少2名中级养护工,具备2名得1分，在此基础上每增加1名得1分，本项最多得4分；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3）投标供应商拟派项目人员须具备至少2名有毒有害有限空间作业员，具备2名得1分，在此基础上每增加1名得1分，最多得4分；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4）投标供应商拟派项目人员须具备至少2名潜水员，具备2名得1分，在此基础上每增加1名得1分，最多得4分；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拥有证书人员必须是企业合法员工且拥有证书人员需1人1岗，若存在一人多岗的，仅能按其中一个岗位计算得分，并提供自投标截止时间前三个月（不含投标截止日当月）内任意一个月社保部门出具的本单位为其缴纳的社会保险证明，否则不得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4、拟投入设备情况（25分）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1.投标供应商至少具有2台有毒有害气体测试仪，具有2台得1分，在此基础上每增加1台得1分，最多得4分；【注：需提供设备近期照片、发票复印件。】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2.投标供应商至少具有2套呼吸器，具有2台得1分，在此基础上每增加1台得1分，最多得4分；【注：需提供设备近期照片、发票复印件。】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3.投标供应商具有高压疏通车，具有2台得1分，在此基础上每增加1台得1分，本项最多得4分。【需提供设备照片、发票、车辆行驶证（行驶证中需注明是专项作业车），】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4.投标供应商具有吸污车，具有2台得1分，在此基础上每增加1台得1分。本项最多得4分。【需提供设备照片、发票、车辆行驶证】</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5.投标供应商具有裂管设备、CIPP紫外光整修设备、CIPP热水固化设备每套得1分，三项都有得4分，提供其中二项得3分，提供其中一项得1分，不提供不得分。本项最多得4分。【需提供设备照片、发票】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以上五项设备中投标人提供的发票和相关证件证明属自有的（即设备发票上的购买人或车辆行驶证的拥有人和投标人为同一人或同一单位的）每项各加1分，最多加5分，本项最高得分为25分。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5、施工方案（18分）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1）详细的污水管道封堵、临时翻水方案（3分）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2）详细的污水管道清淤方案（3分）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3）详细可行的路面维护、交通导行、下井作业方案（3分）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4）劳动力和机械设备投入方案（3分）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5）污水管网缺陷整体修复和局部修复的实施方案及安全管理保证措施（3分）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6）本项目中的重点、难点及合理化建议（3分）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以上各项符合或优于项目需求的每项得3分，有一定关联的得2分，欠合理的得1分，不提供不得分。本项目最高得18分。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w:t>
      </w:r>
      <w:r>
        <w:rPr>
          <w:rFonts w:ascii="SimSun" w:hAnsi="SimSun" w:eastAsia="SimSun" w:cs="SimSun"/>
          <w:color w:val="000000"/>
          <w:sz w:val="24"/>
        </w:rPr>
        <w:t xml:space="preserve">30分</w:t>
      </w:r>
      <w:r>
        <w:rPr>
          <w:rFonts w:ascii="SimSun" w:hAnsi="SimSun" w:eastAsia="SimSun" w:cs="SimSun"/>
          <w:b/>
          <w:color w:val="000000"/>
          <w:sz w:val="24"/>
        </w:rPr>
        <w:t xml:space="preserve">）</w:t>
      </w:r>
      <w:r/>
    </w:p>
    <w:p>
      <w:pPr>
        <w:numPr>
          <w:ilvl w:val="0"/>
          <w:numId w:val="16"/>
        </w:numPr>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=（评标基准价/报价）×100%×30</w:t>
      </w:r>
      <w:r>
        <w:rPr>
          <w:rFonts w:ascii="SimSun" w:hAnsi="SimSun" w:eastAsia="SimSun" w:cs="SimSun"/>
          <w:b/>
          <w:color w:val="000000"/>
          <w:sz w:val="24"/>
        </w:rPr>
        <w:t xml:space="preserve">。</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5、成交原则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3、评标委员会将向招标人推荐评标最后综合得分最高的前三名投标人为中标候选人，并标明排列顺序。（若“四舍五入”后出现得分相同且影响中标候选人排名时，则应以可排名的数值为准而决定排名顺序）。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6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资格审查材料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（4）上一年度的财务状况报告（成立不满一年无需提供）；</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（8）投标人资质要求：具备市政施工总承包三级及以上资质和安全生产许可证。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（9）拟派项目负责人具备市政公用工程二级及以上注册建造师，同时需持有项目经理安全B证；</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（10）拟派项目负责人有效劳动合同，投标企业为其缴纳的投标截止时间前三个月（不含投标截止时间当月）中至少一个月的养老保险缴纳证明材料；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符合性条件材料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13.商务要求响应及偏离表</w:t>
      </w:r>
      <w:r/>
    </w:p>
    <w:p>
      <w:pPr>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商务技术文件材料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14.投标人根据招标文件打分项，提交的材料</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报价折扣证明材料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15.中小微企业声明函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17.监狱企业证明函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招标编号：标段：</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本项目采用的是费率报价，因苏采云报价系统中显示的为优惠率，如在开标一览表中优惠率为10%，则表示投标人对该项目的投标费率为（1-10%）。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70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ascii="Times New Roman" w:hAnsi="Times New Roman" w:eastAsia="Times New Roman" w:cs="Times New Roman"/>
          <w:color w:val="000000"/>
          <w:sz w:val="32"/>
        </w:rPr>
        <w:t xml:space="preserve">57</w:t>
      </w:r>
      <w:r>
        <w:rPr>
          <w:rFonts w:ascii="FangSong" w:hAnsi="FangSong" w:eastAsia="FangSong" w:cs="FangSong"/>
          <w:color w:val="000000"/>
          <w:sz w:val="32"/>
        </w:rPr>
        <w:t xml:space="preserve">号）和《关于深入开展南通市政府采购线上合同信用融资业务的通知》（通财购〔</w:t>
      </w:r>
      <w:r>
        <w:rPr>
          <w:rFonts w:ascii="Times New Roman" w:hAnsi="Times New Roman" w:eastAsia="Times New Roman" w:cs="Times New Roman"/>
          <w:color w:val="000000"/>
          <w:sz w:val="32"/>
        </w:rPr>
        <w:t xml:space="preserve">2022</w:t>
      </w: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68</w:t>
      </w:r>
      <w:r>
        <w:rPr>
          <w:rFonts w:ascii="FangSong" w:hAnsi="FangSong" w:eastAsia="FangSong" w:cs="FangSong"/>
          <w:color w:val="000000"/>
          <w:sz w:val="32"/>
        </w:rPr>
        <w:t xml:space="preserve">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2">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6">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10">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900" w:hanging="360"/>
      </w:pPr>
    </w:lvl>
    <w:lvl w:ilvl="1">
      <w:start w:val="1"/>
      <w:numFmt w:val="lowerLetter"/>
      <w:isLgl w:val="false"/>
      <w:suff w:val="tab"/>
      <w:lvlText w:val="%2)"/>
      <w:lvlJc w:val="left"/>
      <w:pPr>
        <w:ind w:left="1380" w:hanging="420"/>
      </w:pPr>
    </w:lvl>
    <w:lvl w:ilvl="2">
      <w:start w:val="1"/>
      <w:numFmt w:val="decimal"/>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decimal"/>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decimal"/>
      <w:isLgl w:val="false"/>
      <w:suff w:val="tab"/>
      <w:lvlText w:val="%9."/>
      <w:lvlJc w:val="right"/>
      <w:pPr>
        <w:ind w:left="4320" w:hanging="420"/>
      </w:pPr>
    </w:lvl>
  </w:abstractNum>
  <w:abstractNum w:abstractNumId="14">
    <w:multiLevelType w:val="hybridMultilevel"/>
    <w:lvl w:ilvl="0">
      <w:start w:val="1"/>
      <w:numFmt w:val="bullet"/>
      <w:isLgl w:val="false"/>
      <w:suff w:val="tab"/>
      <w:lvlText w:val="·"/>
      <w:lvlJc w:val="left"/>
      <w:pPr>
        <w:ind w:left="720" w:hanging="360"/>
      </w:pPr>
    </w:lvl>
    <w:lvl w:ilvl="1">
      <w:start w:val="1"/>
      <w:numFmt w:val="none"/>
      <w:isLgl w:val="false"/>
      <w:suff w:val="tab"/>
      <w:lvlText w:val=" "/>
      <w:lvlJc w:val="left"/>
      <w:pPr>
        <w:ind w:left="576" w:hanging="576"/>
      </w:pPr>
      <w:rPr>
        <w:rFonts w:ascii="SimSun" w:hAnsi="SimSun" w:eastAsia="SimSun" w:cs="SimSun"/>
      </w:rPr>
    </w:lvl>
    <w:lvl w:ilvl="2">
      <w:start w:val="1"/>
      <w:numFmt w:val="bullet"/>
      <w:isLgl w:val="false"/>
      <w:suff w:val="tab"/>
      <w:lvlText w:val="§"/>
      <w:lvlJc w:val="left"/>
      <w:pPr>
        <w:ind w:left="2160" w:hanging="360"/>
      </w:pPr>
    </w:lvl>
    <w:lvl w:ilvl="3">
      <w:start w:val="1"/>
      <w:numFmt w:val="none"/>
      <w:isLgl w:val="false"/>
      <w:suff w:val="tab"/>
      <w:lvlText w:val="    "/>
      <w:lvlJc w:val="left"/>
      <w:pPr>
        <w:ind w:left="864" w:hanging="864"/>
      </w:pPr>
      <w:rPr>
        <w:rFonts w:ascii="SimSun" w:hAnsi="SimSun" w:eastAsia="SimSun" w:cs="SimSun"/>
      </w:rPr>
    </w:lvl>
    <w:lvl w:ilvl="4">
      <w:start w:val="1"/>
      <w:numFmt w:val="none"/>
      <w:isLgl w:val="false"/>
      <w:suff w:val="tab"/>
      <w:lvlText w:val="      "/>
      <w:lvlJc w:val="left"/>
      <w:pPr>
        <w:ind w:left="1008" w:hanging="1008"/>
      </w:pPr>
      <w:rPr>
        <w:rFonts w:ascii="SimSun" w:hAnsi="SimSun" w:eastAsia="SimSun" w:cs="SimSun"/>
      </w:rPr>
    </w:lvl>
    <w:lvl w:ilvl="5">
      <w:start w:val="1"/>
      <w:numFmt w:val="none"/>
      <w:isLgl w:val="false"/>
      <w:suff w:val="tab"/>
      <w:lvlText w:val="           "/>
      <w:lvlJc w:val="left"/>
      <w:pPr>
        <w:ind w:left="1152" w:hanging="1152"/>
      </w:pPr>
      <w:rPr>
        <w:rFonts w:ascii="SimSun" w:hAnsi="SimSun" w:eastAsia="SimSun" w:cs="SimSun"/>
      </w:rPr>
    </w:lvl>
    <w:lvl w:ilvl="6">
      <w:start w:val="1"/>
      <w:numFmt w:val="decimal"/>
      <w:isLgl w:val="false"/>
      <w:suff w:val="tab"/>
      <w:lvlText w:val="%1.%2.%3.%4.%5.%6.%7"/>
      <w:lvlJc w:val="left"/>
      <w:pPr>
        <w:ind w:left="1296" w:hanging="1296"/>
      </w:pPr>
      <w:rPr>
        <w:rFonts w:ascii="SimSun" w:hAnsi="SimSun" w:eastAsia="SimSun" w:cs="SimSun"/>
      </w:rPr>
    </w:lvl>
    <w:lvl w:ilvl="7">
      <w:start w:val="1"/>
      <w:numFmt w:val="decimal"/>
      <w:isLgl w:val="false"/>
      <w:suff w:val="tab"/>
      <w:lvlText w:val="%1.%2.%3.%4.%5.%6.%7.%8"/>
      <w:lvlJc w:val="left"/>
      <w:pPr>
        <w:ind w:left="1440" w:hanging="1440"/>
      </w:pPr>
      <w:rPr>
        <w:rFonts w:ascii="SimSun" w:hAnsi="SimSun" w:eastAsia="SimSun" w:cs="SimSun"/>
      </w:rPr>
    </w:lvl>
    <w:lvl w:ilvl="8">
      <w:start w:val="1"/>
      <w:numFmt w:val="decimal"/>
      <w:isLgl w:val="false"/>
      <w:suff w:val="tab"/>
      <w:lvlText w:val="%1.%2.%3.%4.%5.%6.%7.%8.%9"/>
      <w:lvlJc w:val="left"/>
      <w:pPr>
        <w:ind w:left="1584" w:hanging="1584"/>
      </w:pPr>
      <w:rPr>
        <w:rFonts w:ascii="SimSun" w:hAnsi="SimSun" w:eastAsia="SimSun" w:cs="SimSun"/>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6">
    <w:name w:val="Heading 1"/>
    <w:link w:val="667"/>
    <w:uiPriority w:val="9"/>
    <w:qFormat/>
    <w:pPr>
      <w:keepLines/>
      <w:keepNext/>
      <w:spacing w:before="480" w:after="200"/>
      <w:outlineLvl w:val="0"/>
    </w:pPr>
    <w:rPr>
      <w:rFonts w:ascii="Arial" w:hAnsi="Arial" w:eastAsia="Arial" w:cs="Arial"/>
      <w:sz w:val="40"/>
      <w:szCs w:val="40"/>
    </w:rPr>
  </w:style>
  <w:style w:type="character" w:styleId="667">
    <w:name w:val="Heading 1 Char"/>
    <w:link w:val="666"/>
    <w:uiPriority w:val="9"/>
    <w:rPr>
      <w:rFonts w:ascii="Arial" w:hAnsi="Arial" w:eastAsia="Arial" w:cs="Arial"/>
      <w:sz w:val="40"/>
      <w:szCs w:val="40"/>
    </w:rPr>
  </w:style>
  <w:style w:type="paragraph" w:styleId="668">
    <w:name w:val="Heading 2"/>
    <w:link w:val="669"/>
    <w:uiPriority w:val="9"/>
    <w:unhideWhenUsed/>
    <w:qFormat/>
    <w:pPr>
      <w:keepLines/>
      <w:keepNext/>
      <w:spacing w:before="360" w:after="200"/>
      <w:outlineLvl w:val="1"/>
    </w:pPr>
    <w:rPr>
      <w:rFonts w:ascii="Arial" w:hAnsi="Arial" w:eastAsia="Arial" w:cs="Arial"/>
      <w:sz w:val="34"/>
    </w:rPr>
  </w:style>
  <w:style w:type="character" w:styleId="669">
    <w:name w:val="Heading 2 Char"/>
    <w:link w:val="668"/>
    <w:uiPriority w:val="9"/>
    <w:rPr>
      <w:rFonts w:ascii="Arial" w:hAnsi="Arial" w:eastAsia="Arial" w:cs="Arial"/>
      <w:sz w:val="34"/>
    </w:rPr>
  </w:style>
  <w:style w:type="paragraph" w:styleId="670">
    <w:name w:val="Heading 3"/>
    <w:link w:val="671"/>
    <w:uiPriority w:val="9"/>
    <w:unhideWhenUsed/>
    <w:qFormat/>
    <w:pPr>
      <w:keepLines/>
      <w:keepNext/>
      <w:spacing w:before="320" w:after="200"/>
      <w:outlineLvl w:val="2"/>
    </w:pPr>
    <w:rPr>
      <w:rFonts w:ascii="Arial" w:hAnsi="Arial" w:eastAsia="Arial" w:cs="Arial"/>
      <w:sz w:val="30"/>
      <w:szCs w:val="30"/>
    </w:rPr>
  </w:style>
  <w:style w:type="character" w:styleId="671">
    <w:name w:val="Heading 3 Char"/>
    <w:link w:val="670"/>
    <w:uiPriority w:val="9"/>
    <w:rPr>
      <w:rFonts w:ascii="Arial" w:hAnsi="Arial" w:eastAsia="Arial" w:cs="Arial"/>
      <w:sz w:val="30"/>
      <w:szCs w:val="30"/>
    </w:rPr>
  </w:style>
  <w:style w:type="paragraph" w:styleId="672">
    <w:name w:val="Heading 4"/>
    <w:link w:val="673"/>
    <w:uiPriority w:val="9"/>
    <w:unhideWhenUsed/>
    <w:qFormat/>
    <w:pPr>
      <w:keepLines/>
      <w:keepNext/>
      <w:spacing w:before="320" w:after="200"/>
      <w:outlineLvl w:val="3"/>
    </w:pPr>
    <w:rPr>
      <w:rFonts w:ascii="Arial" w:hAnsi="Arial" w:eastAsia="Arial" w:cs="Arial"/>
      <w:b/>
      <w:bCs/>
      <w:sz w:val="26"/>
      <w:szCs w:val="26"/>
    </w:rPr>
  </w:style>
  <w:style w:type="character" w:styleId="673">
    <w:name w:val="Heading 4 Char"/>
    <w:link w:val="672"/>
    <w:uiPriority w:val="9"/>
    <w:rPr>
      <w:rFonts w:ascii="Arial" w:hAnsi="Arial" w:eastAsia="Arial" w:cs="Arial"/>
      <w:b/>
      <w:bCs/>
      <w:sz w:val="26"/>
      <w:szCs w:val="26"/>
    </w:rPr>
  </w:style>
  <w:style w:type="paragraph" w:styleId="674">
    <w:name w:val="Heading 5"/>
    <w:link w:val="675"/>
    <w:uiPriority w:val="9"/>
    <w:unhideWhenUsed/>
    <w:qFormat/>
    <w:pPr>
      <w:keepLines/>
      <w:keepNext/>
      <w:spacing w:before="320" w:after="200"/>
      <w:outlineLvl w:val="4"/>
    </w:pPr>
    <w:rPr>
      <w:rFonts w:ascii="Arial" w:hAnsi="Arial" w:eastAsia="Arial" w:cs="Arial"/>
      <w:b/>
      <w:bCs/>
      <w:sz w:val="24"/>
      <w:szCs w:val="24"/>
    </w:rPr>
  </w:style>
  <w:style w:type="character" w:styleId="675">
    <w:name w:val="Heading 5 Char"/>
    <w:link w:val="674"/>
    <w:uiPriority w:val="9"/>
    <w:rPr>
      <w:rFonts w:ascii="Arial" w:hAnsi="Arial" w:eastAsia="Arial" w:cs="Arial"/>
      <w:b/>
      <w:bCs/>
      <w:sz w:val="24"/>
      <w:szCs w:val="24"/>
    </w:rPr>
  </w:style>
  <w:style w:type="paragraph" w:styleId="676">
    <w:name w:val="Heading 6"/>
    <w:link w:val="677"/>
    <w:uiPriority w:val="9"/>
    <w:unhideWhenUsed/>
    <w:qFormat/>
    <w:pPr>
      <w:keepLines/>
      <w:keepNext/>
      <w:spacing w:before="320" w:after="200"/>
      <w:outlineLvl w:val="5"/>
    </w:pPr>
    <w:rPr>
      <w:rFonts w:ascii="Arial" w:hAnsi="Arial" w:eastAsia="Arial" w:cs="Arial"/>
      <w:b/>
      <w:bCs/>
      <w:sz w:val="22"/>
      <w:szCs w:val="22"/>
    </w:rPr>
  </w:style>
  <w:style w:type="character" w:styleId="677">
    <w:name w:val="Heading 6 Char"/>
    <w:link w:val="676"/>
    <w:uiPriority w:val="9"/>
    <w:rPr>
      <w:rFonts w:ascii="Arial" w:hAnsi="Arial" w:eastAsia="Arial" w:cs="Arial"/>
      <w:b/>
      <w:bCs/>
      <w:sz w:val="22"/>
      <w:szCs w:val="22"/>
    </w:rPr>
  </w:style>
  <w:style w:type="paragraph" w:styleId="678">
    <w:name w:val="Heading 7"/>
    <w:link w:val="679"/>
    <w:uiPriority w:val="9"/>
    <w:unhideWhenUsed/>
    <w:qFormat/>
    <w:pPr>
      <w:keepLines/>
      <w:keepNext/>
      <w:spacing w:before="320" w:after="200"/>
      <w:outlineLvl w:val="6"/>
    </w:pPr>
    <w:rPr>
      <w:rFonts w:ascii="Arial" w:hAnsi="Arial" w:eastAsia="Arial" w:cs="Arial"/>
      <w:b/>
      <w:bCs/>
      <w:i/>
      <w:iCs/>
      <w:sz w:val="22"/>
      <w:szCs w:val="22"/>
    </w:rPr>
  </w:style>
  <w:style w:type="character" w:styleId="679">
    <w:name w:val="Heading 7 Char"/>
    <w:link w:val="678"/>
    <w:uiPriority w:val="9"/>
    <w:rPr>
      <w:rFonts w:ascii="Arial" w:hAnsi="Arial" w:eastAsia="Arial" w:cs="Arial"/>
      <w:b/>
      <w:bCs/>
      <w:i/>
      <w:iCs/>
      <w:sz w:val="22"/>
      <w:szCs w:val="22"/>
    </w:rPr>
  </w:style>
  <w:style w:type="paragraph" w:styleId="680">
    <w:name w:val="Heading 8"/>
    <w:link w:val="681"/>
    <w:uiPriority w:val="9"/>
    <w:unhideWhenUsed/>
    <w:qFormat/>
    <w:pPr>
      <w:keepLines/>
      <w:keepNext/>
      <w:spacing w:before="320" w:after="200"/>
      <w:outlineLvl w:val="7"/>
    </w:pPr>
    <w:rPr>
      <w:rFonts w:ascii="Arial" w:hAnsi="Arial" w:eastAsia="Arial" w:cs="Arial"/>
      <w:i/>
      <w:iCs/>
      <w:sz w:val="22"/>
      <w:szCs w:val="22"/>
    </w:rPr>
  </w:style>
  <w:style w:type="character" w:styleId="681">
    <w:name w:val="Heading 8 Char"/>
    <w:link w:val="680"/>
    <w:uiPriority w:val="9"/>
    <w:rPr>
      <w:rFonts w:ascii="Arial" w:hAnsi="Arial" w:eastAsia="Arial" w:cs="Arial"/>
      <w:i/>
      <w:iCs/>
      <w:sz w:val="22"/>
      <w:szCs w:val="22"/>
    </w:rPr>
  </w:style>
  <w:style w:type="paragraph" w:styleId="682">
    <w:name w:val="Heading 9"/>
    <w:link w:val="683"/>
    <w:uiPriority w:val="9"/>
    <w:unhideWhenUsed/>
    <w:qFormat/>
    <w:pPr>
      <w:keepLines/>
      <w:keepNext/>
      <w:spacing w:before="320" w:after="200"/>
      <w:outlineLvl w:val="8"/>
    </w:pPr>
    <w:rPr>
      <w:rFonts w:ascii="Arial" w:hAnsi="Arial" w:eastAsia="Arial" w:cs="Arial"/>
      <w:i/>
      <w:iCs/>
      <w:sz w:val="21"/>
      <w:szCs w:val="21"/>
    </w:rPr>
  </w:style>
  <w:style w:type="character" w:styleId="683">
    <w:name w:val="Heading 9 Char"/>
    <w:link w:val="682"/>
    <w:uiPriority w:val="9"/>
    <w:rPr>
      <w:rFonts w:ascii="Arial" w:hAnsi="Arial" w:eastAsia="Arial" w:cs="Arial"/>
      <w:i/>
      <w:iCs/>
      <w:sz w:val="21"/>
      <w:szCs w:val="21"/>
    </w:rPr>
  </w:style>
  <w:style w:type="paragraph" w:styleId="684">
    <w:name w:val="List Paragraph"/>
    <w:uiPriority w:val="34"/>
    <w:qFormat/>
    <w:pPr>
      <w:contextualSpacing/>
      <w:ind w:left="720"/>
    </w:pPr>
  </w:style>
  <w:style w:type="paragraph" w:styleId="685">
    <w:name w:val="No Spacing"/>
    <w:uiPriority w:val="1"/>
    <w:qFormat/>
    <w:pPr>
      <w:spacing w:before="0" w:after="0" w:line="240" w:lineRule="auto"/>
    </w:pPr>
  </w:style>
  <w:style w:type="paragraph" w:styleId="686">
    <w:name w:val="Title"/>
    <w:link w:val="687"/>
    <w:uiPriority w:val="10"/>
    <w:qFormat/>
    <w:pPr>
      <w:contextualSpacing/>
      <w:spacing w:before="300" w:after="200"/>
    </w:pPr>
    <w:rPr>
      <w:sz w:val="48"/>
      <w:szCs w:val="48"/>
    </w:rPr>
  </w:style>
  <w:style w:type="character" w:styleId="687">
    <w:name w:val="Title Char"/>
    <w:link w:val="686"/>
    <w:uiPriority w:val="10"/>
    <w:rPr>
      <w:sz w:val="48"/>
      <w:szCs w:val="48"/>
    </w:rPr>
  </w:style>
  <w:style w:type="paragraph" w:styleId="688">
    <w:name w:val="Subtitle"/>
    <w:link w:val="689"/>
    <w:uiPriority w:val="11"/>
    <w:qFormat/>
    <w:pPr>
      <w:spacing w:before="200" w:after="200"/>
    </w:pPr>
    <w:rPr>
      <w:sz w:val="24"/>
      <w:szCs w:val="24"/>
    </w:rPr>
  </w:style>
  <w:style w:type="character" w:styleId="689">
    <w:name w:val="Subtitle Char"/>
    <w:link w:val="688"/>
    <w:uiPriority w:val="11"/>
    <w:rPr>
      <w:sz w:val="24"/>
      <w:szCs w:val="24"/>
    </w:rPr>
  </w:style>
  <w:style w:type="paragraph" w:styleId="690">
    <w:name w:val="Quote"/>
    <w:link w:val="691"/>
    <w:uiPriority w:val="29"/>
    <w:qFormat/>
    <w:pPr>
      <w:ind w:left="720" w:right="720"/>
    </w:pPr>
    <w:rPr>
      <w:i/>
    </w:rPr>
  </w:style>
  <w:style w:type="character" w:styleId="691">
    <w:name w:val="Quote Char"/>
    <w:link w:val="690"/>
    <w:uiPriority w:val="29"/>
    <w:rPr>
      <w:i/>
    </w:rPr>
  </w:style>
  <w:style w:type="paragraph" w:styleId="692">
    <w:name w:val="Intense Quote"/>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paragraph" w:styleId="694">
    <w:name w:val="Header"/>
    <w:link w:val="695"/>
    <w:uiPriority w:val="99"/>
    <w:unhideWhenUsed/>
    <w:pPr>
      <w:spacing w:after="0" w:line="240" w:lineRule="auto"/>
      <w:tabs>
        <w:tab w:val="center" w:pos="7143" w:leader="none"/>
        <w:tab w:val="right" w:pos="14287" w:leader="none"/>
      </w:tabs>
    </w:pPr>
  </w:style>
  <w:style w:type="character" w:styleId="695">
    <w:name w:val="Header Char"/>
    <w:link w:val="694"/>
    <w:uiPriority w:val="99"/>
  </w:style>
  <w:style w:type="paragraph" w:styleId="696">
    <w:name w:val="Footer"/>
    <w:link w:val="699"/>
    <w:uiPriority w:val="99"/>
    <w:unhideWhenUsed/>
    <w:pPr>
      <w:spacing w:after="0" w:line="240" w:lineRule="auto"/>
      <w:tabs>
        <w:tab w:val="center" w:pos="7143" w:leader="none"/>
        <w:tab w:val="right" w:pos="14287" w:leader="none"/>
      </w:tabs>
    </w:pPr>
  </w:style>
  <w:style w:type="character" w:styleId="697">
    <w:name w:val="Footer Char"/>
    <w:link w:val="696"/>
    <w:uiPriority w:val="99"/>
  </w:style>
  <w:style w:type="paragraph" w:styleId="698">
    <w:name w:val="Caption"/>
    <w:uiPriority w:val="35"/>
    <w:semiHidden/>
    <w:unhideWhenUsed/>
    <w:qFormat/>
    <w:pPr>
      <w:spacing w:line="276" w:lineRule="auto"/>
    </w:pPr>
    <w:rPr>
      <w:b/>
      <w:bCs/>
      <w:color w:val="4f81bd" w:themeColor="accent1"/>
      <w:sz w:val="18"/>
      <w:szCs w:val="18"/>
    </w:rPr>
  </w:style>
  <w:style w:type="character" w:styleId="699">
    <w:name w:val="Caption Char"/>
    <w:basedOn w:val="698"/>
    <w:link w:val="696"/>
    <w:uiPriority w:val="99"/>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6">
    <w:name w:val="Hyperlink"/>
    <w:uiPriority w:val="99"/>
    <w:unhideWhenUsed/>
    <w:rPr>
      <w:color w:val="0000ff" w:themeColor="hyperlink"/>
      <w:u w:val="single"/>
    </w:rPr>
  </w:style>
  <w:style w:type="paragraph" w:styleId="827">
    <w:name w:val="footnote text"/>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uiPriority w:val="99"/>
    <w:unhideWhenUsed/>
    <w:rPr>
      <w:vertAlign w:val="superscript"/>
    </w:rPr>
  </w:style>
  <w:style w:type="paragraph" w:styleId="830">
    <w:name w:val="endnote text"/>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uiPriority w:val="99"/>
    <w:semiHidden/>
    <w:unhideWhenUsed/>
    <w:rPr>
      <w:vertAlign w:val="superscript"/>
    </w:rPr>
  </w:style>
  <w:style w:type="paragraph" w:styleId="833">
    <w:name w:val="toc 1"/>
    <w:uiPriority w:val="39"/>
    <w:unhideWhenUsed/>
    <w:pPr>
      <w:ind w:left="0" w:right="0" w:firstLine="0"/>
      <w:spacing w:after="57"/>
    </w:pPr>
  </w:style>
  <w:style w:type="paragraph" w:styleId="834">
    <w:name w:val="toc 2"/>
    <w:uiPriority w:val="39"/>
    <w:unhideWhenUsed/>
    <w:pPr>
      <w:ind w:left="283" w:right="0" w:firstLine="0"/>
      <w:spacing w:after="57"/>
    </w:pPr>
  </w:style>
  <w:style w:type="paragraph" w:styleId="835">
    <w:name w:val="toc 3"/>
    <w:uiPriority w:val="39"/>
    <w:unhideWhenUsed/>
    <w:pPr>
      <w:ind w:left="567" w:right="0" w:firstLine="0"/>
      <w:spacing w:after="57"/>
    </w:pPr>
  </w:style>
  <w:style w:type="paragraph" w:styleId="836">
    <w:name w:val="toc 4"/>
    <w:uiPriority w:val="39"/>
    <w:unhideWhenUsed/>
    <w:pPr>
      <w:ind w:left="850" w:right="0" w:firstLine="0"/>
      <w:spacing w:after="57"/>
    </w:pPr>
  </w:style>
  <w:style w:type="paragraph" w:styleId="837">
    <w:name w:val="toc 5"/>
    <w:uiPriority w:val="39"/>
    <w:unhideWhenUsed/>
    <w:pPr>
      <w:ind w:left="1134" w:right="0" w:firstLine="0"/>
      <w:spacing w:after="57"/>
    </w:pPr>
  </w:style>
  <w:style w:type="paragraph" w:styleId="838">
    <w:name w:val="toc 6"/>
    <w:uiPriority w:val="39"/>
    <w:unhideWhenUsed/>
    <w:pPr>
      <w:ind w:left="1417" w:right="0" w:firstLine="0"/>
      <w:spacing w:after="57"/>
    </w:pPr>
  </w:style>
  <w:style w:type="paragraph" w:styleId="839">
    <w:name w:val="toc 7"/>
    <w:uiPriority w:val="39"/>
    <w:unhideWhenUsed/>
    <w:pPr>
      <w:ind w:left="1701" w:right="0" w:firstLine="0"/>
      <w:spacing w:after="57"/>
    </w:pPr>
  </w:style>
  <w:style w:type="paragraph" w:styleId="840">
    <w:name w:val="toc 8"/>
    <w:uiPriority w:val="39"/>
    <w:unhideWhenUsed/>
    <w:pPr>
      <w:ind w:left="1984" w:right="0" w:firstLine="0"/>
      <w:spacing w:after="57"/>
    </w:pPr>
  </w:style>
  <w:style w:type="paragraph" w:styleId="841">
    <w:name w:val="toc 9"/>
    <w:uiPriority w:val="39"/>
    <w:unhideWhenUsed/>
    <w:pPr>
      <w:ind w:left="2268" w:right="0" w:firstLine="0"/>
      <w:spacing w:after="57"/>
    </w:pPr>
  </w:style>
  <w:style w:type="paragraph" w:styleId="842">
    <w:name w:val="TOC Heading"/>
    <w:uiPriority w:val="39"/>
    <w:unhideWhenUsed/>
  </w:style>
  <w:style w:type="paragraph" w:styleId="843">
    <w:name w:val="table of figures"/>
    <w:uiPriority w:val="99"/>
    <w:unhideWhenUsed/>
    <w:pPr>
      <w:spacing w:after="0" w:afterAutospacing="0"/>
    </w:pPr>
  </w:style>
  <w:style w:type="character" w:styleId="844" w:default="1">
    <w:name w:val="Default Paragraph Font"/>
    <w:uiPriority w:val="1"/>
    <w:semiHidden/>
    <w:unhideWhenUsed/>
  </w:style>
  <w:style w:type="numbering" w:styleId="845" w:default="1">
    <w:name w:val="No List"/>
    <w:uiPriority w:val="99"/>
    <w:semiHidden/>
    <w:unhideWhenUsed/>
  </w:style>
  <w:style w:type="paragraph" w:styleId="846" w:default="1">
    <w:name w:val="Normal"/>
    <w:qFormat/>
  </w:style>
  <w:style w:type="table" w:styleId="8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7</cp:revision>
  <dcterms:created xsi:type="dcterms:W3CDTF">2024-08-22T01:17:12Z</dcterms:created>
  <dcterms:modified xsi:type="dcterms:W3CDTF">2024-08-29T06:10:47Z</dcterms:modified>
</cp:coreProperties>
</file>