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30"/>
          <w:szCs w:val="30"/>
          <w:lang w:eastAsia="zh-CN"/>
        </w:rPr>
      </w:pPr>
      <w:r>
        <w:rPr>
          <w:rFonts w:hint="eastAsia" w:ascii="宋体" w:hAnsi="宋体" w:cs="宋体"/>
          <w:b/>
          <w:color w:val="auto"/>
          <w:sz w:val="30"/>
          <w:szCs w:val="30"/>
          <w:lang w:eastAsia="zh-CN"/>
        </w:rPr>
        <w:t>大港中学双电源工程</w:t>
      </w:r>
    </w:p>
    <w:p>
      <w:pPr>
        <w:spacing w:line="360" w:lineRule="auto"/>
        <w:jc w:val="center"/>
        <w:rPr>
          <w:rFonts w:ascii="宋体" w:hAnsi="宋体" w:cs="宋体"/>
          <w:b/>
          <w:color w:val="auto"/>
          <w:sz w:val="30"/>
          <w:szCs w:val="30"/>
        </w:rPr>
      </w:pPr>
      <w:r>
        <w:rPr>
          <w:rFonts w:hint="eastAsia" w:ascii="宋体" w:hAnsi="宋体" w:cs="宋体"/>
          <w:b/>
          <w:color w:val="auto"/>
          <w:sz w:val="30"/>
          <w:szCs w:val="30"/>
        </w:rPr>
        <w:t>工程量清单编制说明</w:t>
      </w:r>
    </w:p>
    <w:p>
      <w:pPr>
        <w:spacing w:line="360" w:lineRule="auto"/>
        <w:rPr>
          <w:rFonts w:ascii="宋体" w:hAnsi="宋体" w:cs="宋体"/>
          <w:b/>
          <w:color w:val="auto"/>
          <w:sz w:val="24"/>
        </w:rPr>
      </w:pPr>
      <w:r>
        <w:rPr>
          <w:rFonts w:hint="eastAsia" w:ascii="宋体" w:hAnsi="宋体" w:cs="宋体"/>
          <w:b/>
          <w:color w:val="auto"/>
          <w:sz w:val="24"/>
        </w:rPr>
        <w:t>一、工程概况</w:t>
      </w:r>
    </w:p>
    <w:p>
      <w:pPr>
        <w:spacing w:line="360" w:lineRule="auto"/>
        <w:ind w:firstLine="480"/>
        <w:jc w:val="left"/>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大港中学双电源工程位于</w:t>
      </w:r>
      <w:r>
        <w:rPr>
          <w:rFonts w:hint="eastAsia" w:ascii="宋体" w:hAnsi="宋体" w:cs="宋体"/>
          <w:color w:val="auto"/>
          <w:sz w:val="24"/>
          <w:lang w:val="en-US" w:eastAsia="zh-CN"/>
        </w:rPr>
        <w:t>大港中学内</w:t>
      </w:r>
      <w:r>
        <w:rPr>
          <w:rFonts w:hint="eastAsia" w:ascii="宋体" w:hAnsi="宋体" w:cs="宋体"/>
          <w:color w:val="auto"/>
          <w:sz w:val="24"/>
          <w:lang w:val="zh-CN"/>
        </w:rPr>
        <w:t>，</w:t>
      </w:r>
      <w:r>
        <w:rPr>
          <w:rFonts w:hint="eastAsia" w:ascii="宋体" w:hAnsi="宋体" w:cs="宋体"/>
          <w:color w:val="auto"/>
          <w:sz w:val="24"/>
          <w:lang w:val="en-US" w:eastAsia="zh-CN"/>
        </w:rPr>
        <w:t>主要为增加一路10kV电源进线，增设二台630kVA变压器</w:t>
      </w:r>
      <w:r>
        <w:rPr>
          <w:rFonts w:hint="eastAsia" w:ascii="宋体" w:hAnsi="宋体" w:cs="宋体"/>
          <w:color w:val="auto"/>
          <w:sz w:val="24"/>
        </w:rPr>
        <w:t>等</w:t>
      </w:r>
      <w:r>
        <w:rPr>
          <w:rFonts w:hint="eastAsia" w:ascii="宋体" w:hAnsi="宋体" w:cs="宋体"/>
          <w:color w:val="auto"/>
          <w:sz w:val="24"/>
          <w:lang w:val="zh-CN"/>
        </w:rPr>
        <w:t>。</w:t>
      </w:r>
    </w:p>
    <w:p>
      <w:pPr>
        <w:spacing w:line="360" w:lineRule="auto"/>
        <w:ind w:firstLine="480"/>
        <w:jc w:val="left"/>
        <w:rPr>
          <w:rFonts w:ascii="宋体" w:hAnsi="宋体" w:cs="宋体"/>
          <w:color w:val="auto"/>
          <w:sz w:val="24"/>
          <w:lang w:val="zh-CN"/>
        </w:rPr>
      </w:pPr>
      <w:r>
        <w:rPr>
          <w:rFonts w:hint="eastAsia" w:ascii="宋体" w:hAnsi="宋体" w:cs="宋体"/>
          <w:color w:val="auto"/>
          <w:sz w:val="24"/>
          <w:lang w:val="zh-CN"/>
        </w:rPr>
        <w:t>2、工期要求：详见招标文件。</w:t>
      </w:r>
    </w:p>
    <w:p>
      <w:pPr>
        <w:spacing w:line="360" w:lineRule="auto"/>
        <w:ind w:firstLine="480"/>
        <w:jc w:val="left"/>
        <w:rPr>
          <w:rFonts w:ascii="宋体" w:hAnsi="宋体" w:cs="宋体"/>
          <w:color w:val="auto"/>
          <w:sz w:val="24"/>
          <w:lang w:val="zh-CN"/>
        </w:rPr>
      </w:pPr>
      <w:r>
        <w:rPr>
          <w:rFonts w:hint="eastAsia" w:ascii="宋体" w:hAnsi="宋体" w:cs="宋体"/>
          <w:color w:val="auto"/>
          <w:sz w:val="24"/>
          <w:lang w:val="zh-CN"/>
        </w:rPr>
        <w:t>3、质量要求：详见招标文件，同时应满足国家有关的设计、施工以及验收规范的要求。</w:t>
      </w:r>
    </w:p>
    <w:p>
      <w:pPr>
        <w:spacing w:line="360" w:lineRule="auto"/>
        <w:outlineLvl w:val="0"/>
        <w:rPr>
          <w:rFonts w:ascii="宋体" w:hAnsi="宋体" w:cs="宋体"/>
          <w:b/>
          <w:color w:val="auto"/>
          <w:sz w:val="24"/>
        </w:rPr>
      </w:pPr>
      <w:r>
        <w:rPr>
          <w:rFonts w:hint="eastAsia" w:ascii="宋体" w:hAnsi="宋体" w:cs="宋体"/>
          <w:b/>
          <w:color w:val="auto"/>
          <w:sz w:val="24"/>
        </w:rPr>
        <w:t>二、工程量清单编制范围和依据</w:t>
      </w:r>
    </w:p>
    <w:p>
      <w:pPr>
        <w:spacing w:line="360" w:lineRule="auto"/>
        <w:ind w:firstLine="480" w:firstLineChars="200"/>
        <w:outlineLvl w:val="0"/>
        <w:rPr>
          <w:rFonts w:ascii="宋体" w:hAnsi="宋体" w:cs="宋体"/>
          <w:b/>
          <w:color w:val="auto"/>
          <w:sz w:val="24"/>
        </w:rPr>
      </w:pPr>
      <w:r>
        <w:rPr>
          <w:rFonts w:hint="eastAsia" w:ascii="宋体" w:hAnsi="宋体" w:cs="宋体"/>
          <w:color w:val="auto"/>
          <w:sz w:val="24"/>
        </w:rPr>
        <w:t>1、</w:t>
      </w:r>
      <w:r>
        <w:rPr>
          <w:rFonts w:hint="eastAsia" w:ascii="宋体" w:hAnsi="宋体" w:cs="宋体"/>
          <w:color w:val="auto"/>
          <w:sz w:val="24"/>
          <w:lang w:val="zh-CN"/>
        </w:rPr>
        <w:t>本工程量清单根据</w:t>
      </w:r>
      <w:r>
        <w:rPr>
          <w:rFonts w:hint="eastAsia" w:ascii="宋体" w:hAnsi="宋体" w:cs="宋体"/>
          <w:color w:val="auto"/>
          <w:sz w:val="24"/>
        </w:rPr>
        <w:t>业主</w:t>
      </w:r>
      <w:r>
        <w:rPr>
          <w:rFonts w:hint="eastAsia" w:ascii="宋体" w:hAnsi="宋体" w:cs="宋体"/>
          <w:color w:val="auto"/>
          <w:sz w:val="24"/>
          <w:lang w:val="zh-CN"/>
        </w:rPr>
        <w:t>提供的</w:t>
      </w:r>
      <w:r>
        <w:rPr>
          <w:rFonts w:hint="eastAsia" w:ascii="宋体" w:hAnsi="宋体" w:cs="宋体"/>
          <w:color w:val="auto"/>
          <w:sz w:val="24"/>
        </w:rPr>
        <w:t>相关</w:t>
      </w:r>
      <w:r>
        <w:rPr>
          <w:rFonts w:hint="eastAsia" w:ascii="宋体" w:hAnsi="宋体" w:cs="宋体"/>
          <w:color w:val="auto"/>
          <w:sz w:val="24"/>
          <w:lang w:val="en-US" w:eastAsia="zh-CN"/>
        </w:rPr>
        <w:t>资料</w:t>
      </w:r>
      <w:r>
        <w:rPr>
          <w:rFonts w:hint="eastAsia" w:ascii="宋体" w:hAnsi="宋体" w:cs="宋体"/>
          <w:color w:val="auto"/>
          <w:sz w:val="24"/>
          <w:lang w:val="zh-CN"/>
        </w:rPr>
        <w:t>与建设工程有关的标准、规范与技术资料；常规施工方案。</w:t>
      </w:r>
    </w:p>
    <w:p>
      <w:pPr>
        <w:spacing w:line="360" w:lineRule="auto"/>
        <w:ind w:firstLine="480" w:firstLineChars="200"/>
        <w:jc w:val="left"/>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本工程采用工程量清单计价方式，执行</w:t>
      </w:r>
      <w:r>
        <w:rPr>
          <w:rFonts w:hint="eastAsia" w:ascii="宋体" w:hAnsi="宋体" w:cs="宋体"/>
          <w:color w:val="auto"/>
          <w:sz w:val="24"/>
        </w:rPr>
        <w:t>《建设工程工程量清单计价规范》（GB50500-2013）、《</w:t>
      </w:r>
      <w:r>
        <w:rPr>
          <w:rFonts w:hint="eastAsia" w:ascii="宋体" w:hAnsi="宋体" w:cs="宋体"/>
          <w:color w:val="auto"/>
          <w:sz w:val="24"/>
          <w:lang w:val="en-US" w:eastAsia="zh-CN"/>
        </w:rPr>
        <w:t>建筑</w:t>
      </w:r>
      <w:r>
        <w:rPr>
          <w:rFonts w:hint="eastAsia" w:ascii="宋体" w:hAnsi="宋体" w:cs="宋体"/>
          <w:color w:val="auto"/>
          <w:sz w:val="24"/>
        </w:rPr>
        <w:t>工程工程量计算规范》（GB5085</w:t>
      </w:r>
      <w:r>
        <w:rPr>
          <w:rFonts w:hint="eastAsia" w:ascii="宋体" w:hAnsi="宋体" w:cs="宋体"/>
          <w:color w:val="auto"/>
          <w:sz w:val="24"/>
          <w:lang w:val="en-US" w:eastAsia="zh-CN"/>
        </w:rPr>
        <w:t>6</w:t>
      </w:r>
      <w:r>
        <w:rPr>
          <w:rFonts w:hint="eastAsia" w:ascii="宋体" w:hAnsi="宋体" w:cs="宋体"/>
          <w:color w:val="auto"/>
          <w:sz w:val="24"/>
        </w:rPr>
        <w:t>-2013）</w:t>
      </w:r>
      <w:r>
        <w:rPr>
          <w:rFonts w:hint="eastAsia" w:ascii="宋体" w:hAnsi="宋体" w:cs="宋体"/>
          <w:color w:val="auto"/>
          <w:sz w:val="24"/>
          <w:lang w:val="en-US" w:eastAsia="zh-CN"/>
        </w:rPr>
        <w:t>、</w:t>
      </w:r>
      <w:r>
        <w:rPr>
          <w:rFonts w:hint="eastAsia" w:ascii="宋体" w:hAnsi="宋体"/>
          <w:color w:val="auto"/>
          <w:sz w:val="24"/>
        </w:rPr>
        <w:t>2014年《江苏省</w:t>
      </w:r>
      <w:r>
        <w:rPr>
          <w:rFonts w:hint="eastAsia" w:ascii="宋体" w:hAnsi="宋体"/>
          <w:color w:val="auto"/>
          <w:sz w:val="24"/>
          <w:lang w:val="en-US" w:eastAsia="zh-CN"/>
        </w:rPr>
        <w:t>建筑</w:t>
      </w:r>
      <w:r>
        <w:rPr>
          <w:rFonts w:hint="eastAsia" w:ascii="宋体" w:hAnsi="宋体"/>
          <w:color w:val="auto"/>
          <w:sz w:val="24"/>
        </w:rPr>
        <w:t>工程计价定额》</w:t>
      </w:r>
      <w:r>
        <w:rPr>
          <w:rFonts w:hint="eastAsia" w:ascii="宋体" w:hAnsi="宋体"/>
          <w:color w:val="auto"/>
          <w:sz w:val="24"/>
          <w:lang w:eastAsia="zh-CN"/>
        </w:rPr>
        <w:t>、</w:t>
      </w:r>
      <w:r>
        <w:rPr>
          <w:rFonts w:hint="eastAsia" w:ascii="宋体" w:hAnsi="宋体"/>
          <w:color w:val="auto"/>
          <w:sz w:val="24"/>
        </w:rPr>
        <w:t>2014年《江苏省</w:t>
      </w:r>
      <w:r>
        <w:rPr>
          <w:rFonts w:hint="eastAsia" w:ascii="宋体" w:hAnsi="宋体"/>
          <w:color w:val="auto"/>
          <w:sz w:val="24"/>
          <w:lang w:val="en-US" w:eastAsia="zh-CN"/>
        </w:rPr>
        <w:t>安装</w:t>
      </w:r>
      <w:r>
        <w:rPr>
          <w:rFonts w:hint="eastAsia" w:ascii="宋体" w:hAnsi="宋体"/>
          <w:color w:val="auto"/>
          <w:sz w:val="24"/>
        </w:rPr>
        <w:t>工程计价定额》</w:t>
      </w:r>
      <w:r>
        <w:rPr>
          <w:rFonts w:hint="eastAsia" w:ascii="宋体" w:hAnsi="宋体" w:cs="宋体"/>
          <w:color w:val="auto"/>
          <w:sz w:val="24"/>
          <w:lang w:val="en-US" w:eastAsia="zh-CN"/>
        </w:rPr>
        <w:t>等</w:t>
      </w:r>
      <w:r>
        <w:rPr>
          <w:rFonts w:hint="eastAsia" w:ascii="宋体" w:hAnsi="宋体" w:cs="宋体"/>
          <w:color w:val="auto"/>
          <w:sz w:val="24"/>
        </w:rPr>
        <w:t>及</w:t>
      </w:r>
      <w:r>
        <w:rPr>
          <w:rFonts w:hint="eastAsia" w:ascii="宋体" w:hAnsi="宋体" w:cs="宋体"/>
          <w:color w:val="auto"/>
          <w:sz w:val="24"/>
          <w:lang w:val="zh-CN"/>
        </w:rPr>
        <w:t>《</w:t>
      </w:r>
      <w:r>
        <w:rPr>
          <w:rFonts w:hint="eastAsia" w:ascii="宋体" w:hAnsi="宋体" w:cs="宋体"/>
          <w:color w:val="auto"/>
          <w:sz w:val="24"/>
        </w:rPr>
        <w:t>省住房城乡建设厅关于调整建设工程计价增值税税率的通知</w:t>
      </w:r>
      <w:r>
        <w:rPr>
          <w:rFonts w:hint="eastAsia" w:ascii="宋体" w:hAnsi="宋体" w:cs="宋体"/>
          <w:color w:val="auto"/>
          <w:sz w:val="24"/>
          <w:lang w:val="zh-CN"/>
        </w:rPr>
        <w:t>》（苏建函价（</w:t>
      </w:r>
      <w:r>
        <w:rPr>
          <w:rFonts w:hint="eastAsia" w:ascii="宋体" w:hAnsi="宋体" w:cs="宋体"/>
          <w:color w:val="auto"/>
          <w:sz w:val="24"/>
        </w:rPr>
        <w:t>2019）178</w:t>
      </w:r>
      <w:r>
        <w:rPr>
          <w:rFonts w:hint="eastAsia" w:ascii="宋体" w:hAnsi="宋体" w:cs="宋体"/>
          <w:color w:val="auto"/>
          <w:sz w:val="24"/>
          <w:lang w:val="zh-CN"/>
        </w:rPr>
        <w:t>号）。</w:t>
      </w:r>
    </w:p>
    <w:p>
      <w:pPr>
        <w:spacing w:line="360" w:lineRule="auto"/>
        <w:ind w:firstLine="480" w:firstLineChars="200"/>
        <w:jc w:val="left"/>
        <w:rPr>
          <w:rFonts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zh-CN"/>
        </w:rPr>
        <w:t>、镇江市建设工程造价管理处《关于明确镇江市建设工程安全文明施工措施费计价管理有关事项的通知》（镇建价〔2020〕12号）。</w:t>
      </w:r>
    </w:p>
    <w:p>
      <w:pPr>
        <w:spacing w:line="360" w:lineRule="auto"/>
        <w:ind w:firstLine="480" w:firstLineChars="200"/>
        <w:jc w:val="left"/>
        <w:rPr>
          <w:rFonts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val="zh-CN"/>
        </w:rPr>
        <w:t>、镇江市建设工程造价管理处《关于明确镇江市建设工程环境保护税计价问题的通知》（镇建价〔201</w:t>
      </w:r>
      <w:r>
        <w:rPr>
          <w:rFonts w:hint="eastAsia" w:ascii="宋体" w:hAnsi="宋体" w:cs="宋体"/>
          <w:color w:val="auto"/>
          <w:sz w:val="24"/>
        </w:rPr>
        <w:t>9</w:t>
      </w:r>
      <w:r>
        <w:rPr>
          <w:rFonts w:hint="eastAsia" w:ascii="宋体" w:hAnsi="宋体" w:cs="宋体"/>
          <w:color w:val="auto"/>
          <w:sz w:val="24"/>
          <w:lang w:val="zh-CN"/>
        </w:rPr>
        <w:t>〕</w:t>
      </w:r>
      <w:r>
        <w:rPr>
          <w:rFonts w:hint="eastAsia" w:ascii="宋体" w:hAnsi="宋体" w:cs="宋体"/>
          <w:color w:val="auto"/>
          <w:sz w:val="24"/>
        </w:rPr>
        <w:t>14</w:t>
      </w:r>
      <w:r>
        <w:rPr>
          <w:rFonts w:hint="eastAsia" w:ascii="宋体" w:hAnsi="宋体" w:cs="宋体"/>
          <w:color w:val="auto"/>
          <w:sz w:val="24"/>
          <w:lang w:val="zh-CN"/>
        </w:rPr>
        <w:t>号）。</w:t>
      </w:r>
    </w:p>
    <w:p>
      <w:pPr>
        <w:spacing w:line="360" w:lineRule="exact"/>
        <w:ind w:firstLine="480" w:firstLineChars="200"/>
        <w:rPr>
          <w:rFonts w:ascii="宋体" w:hAnsi="宋体" w:cs="宋体"/>
          <w:color w:val="auto"/>
          <w:sz w:val="24"/>
        </w:rPr>
      </w:pPr>
      <w:r>
        <w:rPr>
          <w:rFonts w:hint="eastAsia" w:ascii="宋体" w:hAnsi="宋体" w:cs="宋体"/>
          <w:color w:val="auto"/>
          <w:sz w:val="24"/>
        </w:rPr>
        <w:t>5、委托方编标要求。</w:t>
      </w:r>
    </w:p>
    <w:p>
      <w:pPr>
        <w:tabs>
          <w:tab w:val="left" w:pos="540"/>
          <w:tab w:val="left" w:pos="2700"/>
          <w:tab w:val="left" w:pos="5040"/>
        </w:tabs>
        <w:spacing w:line="380" w:lineRule="exact"/>
        <w:outlineLvl w:val="0"/>
        <w:rPr>
          <w:rFonts w:ascii="宋体" w:hAnsi="宋体" w:cs="宋体"/>
          <w:b/>
          <w:color w:val="auto"/>
          <w:sz w:val="24"/>
        </w:rPr>
      </w:pPr>
      <w:r>
        <w:rPr>
          <w:rFonts w:hint="eastAsia" w:ascii="宋体" w:hAnsi="宋体" w:cs="宋体"/>
          <w:b/>
          <w:color w:val="auto"/>
          <w:sz w:val="24"/>
        </w:rPr>
        <w:t>三、工程类别及取费标准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1、工程类别按2014年《江苏省建设工程费用定额》划分标准执行，按</w:t>
      </w:r>
      <w:r>
        <w:rPr>
          <w:rFonts w:hint="eastAsia" w:ascii="宋体" w:hAnsi="宋体" w:cs="宋体"/>
          <w:b/>
          <w:bCs/>
          <w:color w:val="auto"/>
          <w:sz w:val="24"/>
          <w:u w:val="single"/>
          <w:lang w:val="en-US" w:eastAsia="zh-CN"/>
        </w:rPr>
        <w:t>建筑</w:t>
      </w:r>
      <w:r>
        <w:rPr>
          <w:rFonts w:hint="eastAsia" w:ascii="宋体" w:hAnsi="宋体" w:cs="宋体"/>
          <w:b/>
          <w:bCs/>
          <w:color w:val="auto"/>
          <w:sz w:val="24"/>
          <w:u w:val="single"/>
        </w:rPr>
        <w:t>工程</w:t>
      </w:r>
      <w:r>
        <w:rPr>
          <w:rFonts w:hint="eastAsia" w:ascii="宋体" w:hAnsi="宋体" w:cs="宋体"/>
          <w:b/>
          <w:bCs/>
          <w:color w:val="auto"/>
          <w:sz w:val="24"/>
          <w:u w:val="single"/>
          <w:lang w:val="en-US" w:eastAsia="zh-CN"/>
        </w:rPr>
        <w:t>三类，安装工程三类</w:t>
      </w:r>
      <w:r>
        <w:rPr>
          <w:rFonts w:hint="eastAsia" w:ascii="宋体" w:hAnsi="宋体" w:cs="宋体"/>
          <w:color w:val="auto"/>
          <w:sz w:val="24"/>
        </w:rPr>
        <w:t>取费。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2、规费及现场安全文明措施费率：安全文明施工措施费、各项规费、税金按镇江市规定费率计取，其余由各投标单位自主报价。</w:t>
      </w:r>
    </w:p>
    <w:p>
      <w:pPr>
        <w:spacing w:line="360" w:lineRule="auto"/>
        <w:ind w:firstLine="480" w:firstLineChars="200"/>
        <w:rPr>
          <w:rFonts w:ascii="宋体" w:hAnsi="宋体" w:cs="宋体"/>
          <w:color w:val="auto"/>
          <w:sz w:val="24"/>
        </w:rPr>
      </w:pPr>
      <w:r>
        <w:rPr>
          <w:rFonts w:hint="eastAsia" w:ascii="宋体" w:hAnsi="宋体" w:cs="宋体"/>
          <w:color w:val="auto"/>
          <w:sz w:val="24"/>
        </w:rPr>
        <w:t>3、各项规费税金税率（%）如下：</w:t>
      </w:r>
    </w:p>
    <w:tbl>
      <w:tblPr>
        <w:tblStyle w:val="6"/>
        <w:tblW w:w="8946" w:type="dxa"/>
        <w:tblInd w:w="0" w:type="dxa"/>
        <w:tblLayout w:type="fixed"/>
        <w:tblCellMar>
          <w:top w:w="0" w:type="dxa"/>
          <w:left w:w="0" w:type="dxa"/>
          <w:bottom w:w="0" w:type="dxa"/>
          <w:right w:w="0" w:type="dxa"/>
        </w:tblCellMar>
      </w:tblPr>
      <w:tblGrid>
        <w:gridCol w:w="1797"/>
        <w:gridCol w:w="1136"/>
        <w:gridCol w:w="900"/>
        <w:gridCol w:w="1080"/>
        <w:gridCol w:w="1186"/>
        <w:gridCol w:w="1276"/>
        <w:gridCol w:w="1571"/>
      </w:tblGrid>
      <w:tr>
        <w:trPr>
          <w:cantSplit/>
          <w:trHeight w:val="312" w:hRule="atLeast"/>
        </w:trPr>
        <w:tc>
          <w:tcPr>
            <w:tcW w:w="179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Cs w:val="21"/>
              </w:rPr>
            </w:pPr>
            <w:r>
              <w:rPr>
                <w:rFonts w:hint="eastAsia" w:ascii="宋体" w:hAnsi="宋体" w:cs="宋体"/>
                <w:color w:val="auto"/>
                <w:szCs w:val="21"/>
              </w:rPr>
              <w:t>工程项目</w:t>
            </w:r>
          </w:p>
        </w:tc>
        <w:tc>
          <w:tcPr>
            <w:tcW w:w="1136" w:type="dxa"/>
            <w:vMerge w:val="restart"/>
            <w:tcBorders>
              <w:top w:val="single" w:color="auto" w:sz="4" w:space="0"/>
              <w:left w:val="single" w:color="auto" w:sz="4" w:space="0"/>
              <w:right w:val="single" w:color="auto" w:sz="4" w:space="0"/>
            </w:tcBorders>
            <w:noWrap/>
            <w:vAlign w:val="center"/>
          </w:tcPr>
          <w:p>
            <w:pPr>
              <w:jc w:val="center"/>
              <w:rPr>
                <w:rFonts w:hint="eastAsia" w:ascii="宋体" w:hAnsi="宋体" w:cs="宋体"/>
                <w:color w:val="auto"/>
                <w:szCs w:val="21"/>
              </w:rPr>
            </w:pPr>
            <w:r>
              <w:rPr>
                <w:rFonts w:hint="eastAsia" w:ascii="宋体" w:hAnsi="宋体" w:cs="宋体"/>
                <w:color w:val="auto"/>
                <w:szCs w:val="21"/>
              </w:rPr>
              <w:t>社会保</w:t>
            </w:r>
          </w:p>
          <w:p>
            <w:pPr>
              <w:jc w:val="center"/>
              <w:rPr>
                <w:rFonts w:hint="eastAsia" w:ascii="宋体" w:hAnsi="宋体" w:cs="宋体"/>
                <w:color w:val="auto"/>
                <w:szCs w:val="21"/>
              </w:rPr>
            </w:pPr>
            <w:r>
              <w:rPr>
                <w:rFonts w:hint="eastAsia" w:ascii="宋体" w:hAnsi="宋体" w:cs="宋体"/>
                <w:color w:val="auto"/>
                <w:szCs w:val="21"/>
              </w:rPr>
              <w:t>障费率</w:t>
            </w:r>
          </w:p>
          <w:p>
            <w:pPr>
              <w:jc w:val="center"/>
              <w:rPr>
                <w:rFonts w:ascii="宋体" w:hAnsi="宋体" w:cs="宋体"/>
                <w:color w:val="auto"/>
                <w:szCs w:val="21"/>
              </w:rPr>
            </w:pPr>
            <w:r>
              <w:rPr>
                <w:rFonts w:hint="eastAsia" w:ascii="宋体" w:hAnsi="宋体" w:cs="宋体"/>
                <w:color w:val="auto"/>
                <w:kern w:val="0"/>
                <w:szCs w:val="21"/>
              </w:rPr>
              <w:t>（%）</w:t>
            </w:r>
          </w:p>
        </w:tc>
        <w:tc>
          <w:tcPr>
            <w:tcW w:w="900"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公积金</w:t>
            </w:r>
          </w:p>
          <w:p>
            <w:pPr>
              <w:jc w:val="center"/>
              <w:rPr>
                <w:rFonts w:hint="eastAsia" w:ascii="宋体" w:hAnsi="宋体" w:cs="宋体"/>
                <w:color w:val="auto"/>
                <w:szCs w:val="21"/>
              </w:rPr>
            </w:pPr>
            <w:r>
              <w:rPr>
                <w:rFonts w:hint="eastAsia" w:ascii="宋体" w:hAnsi="宋体" w:cs="宋体"/>
                <w:color w:val="auto"/>
                <w:szCs w:val="21"/>
              </w:rPr>
              <w:t>费率</w:t>
            </w:r>
          </w:p>
          <w:p>
            <w:pPr>
              <w:jc w:val="center"/>
              <w:rPr>
                <w:rFonts w:ascii="宋体" w:hAnsi="宋体" w:cs="宋体"/>
                <w:color w:val="auto"/>
                <w:szCs w:val="21"/>
              </w:rPr>
            </w:pPr>
            <w:r>
              <w:rPr>
                <w:rFonts w:hint="eastAsia" w:ascii="宋体" w:hAnsi="宋体" w:cs="宋体"/>
                <w:color w:val="auto"/>
                <w:kern w:val="0"/>
                <w:szCs w:val="21"/>
              </w:rPr>
              <w:t>（%）</w:t>
            </w:r>
          </w:p>
        </w:tc>
        <w:tc>
          <w:tcPr>
            <w:tcW w:w="1080" w:type="dxa"/>
            <w:vMerge w:val="restart"/>
            <w:tcBorders>
              <w:top w:val="single" w:color="auto" w:sz="4" w:space="0"/>
              <w:left w:val="single" w:color="auto" w:sz="4" w:space="0"/>
              <w:right w:val="single" w:color="auto" w:sz="4" w:space="0"/>
            </w:tcBorders>
            <w:noWrap/>
            <w:vAlign w:val="center"/>
          </w:tcPr>
          <w:p>
            <w:pPr>
              <w:jc w:val="center"/>
              <w:rPr>
                <w:rFonts w:hint="eastAsia" w:ascii="宋体" w:hAnsi="宋体" w:cs="宋体"/>
                <w:color w:val="auto"/>
                <w:szCs w:val="21"/>
              </w:rPr>
            </w:pPr>
            <w:r>
              <w:rPr>
                <w:rFonts w:hint="eastAsia" w:ascii="宋体" w:hAnsi="宋体" w:cs="宋体"/>
                <w:color w:val="auto"/>
                <w:szCs w:val="21"/>
              </w:rPr>
              <w:t>增值税税率</w:t>
            </w:r>
          </w:p>
          <w:p>
            <w:pPr>
              <w:jc w:val="center"/>
              <w:rPr>
                <w:rFonts w:ascii="宋体" w:hAnsi="宋体" w:cs="宋体"/>
                <w:color w:val="auto"/>
                <w:szCs w:val="21"/>
              </w:rPr>
            </w:pPr>
            <w:r>
              <w:rPr>
                <w:rFonts w:hint="eastAsia" w:ascii="宋体" w:hAnsi="宋体" w:cs="宋体"/>
                <w:color w:val="auto"/>
                <w:kern w:val="0"/>
                <w:szCs w:val="21"/>
              </w:rPr>
              <w:t>（%）</w:t>
            </w:r>
          </w:p>
        </w:tc>
        <w:tc>
          <w:tcPr>
            <w:tcW w:w="403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现场安全文明施工措施费率</w:t>
            </w:r>
          </w:p>
        </w:tc>
      </w:tr>
      <w:tr>
        <w:trPr>
          <w:cantSplit/>
          <w:trHeight w:val="836" w:hRule="atLeast"/>
        </w:trPr>
        <w:tc>
          <w:tcPr>
            <w:tcW w:w="17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p>
        </w:tc>
        <w:tc>
          <w:tcPr>
            <w:tcW w:w="1136" w:type="dxa"/>
            <w:vMerge w:val="continue"/>
            <w:tcBorders>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p>
        </w:tc>
        <w:tc>
          <w:tcPr>
            <w:tcW w:w="900" w:type="dxa"/>
            <w:vMerge w:val="continue"/>
            <w:tcBorders>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p>
        </w:tc>
        <w:tc>
          <w:tcPr>
            <w:tcW w:w="1080" w:type="dxa"/>
            <w:vMerge w:val="continue"/>
            <w:tcBorders>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基本费率</w:t>
            </w:r>
          </w:p>
          <w:p>
            <w:pPr>
              <w:jc w:val="center"/>
              <w:rPr>
                <w:rFonts w:ascii="宋体" w:hAnsi="宋体" w:cs="宋体"/>
                <w:color w:val="auto"/>
                <w:szCs w:val="21"/>
              </w:rPr>
            </w:pPr>
            <w:r>
              <w:rPr>
                <w:rFonts w:hint="eastAsia" w:ascii="宋体" w:hAnsi="宋体" w:cs="宋体"/>
                <w:color w:val="auto"/>
                <w:kern w:val="0"/>
                <w:szCs w:val="21"/>
              </w:rPr>
              <w:t>（%）</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增加费率</w:t>
            </w:r>
          </w:p>
          <w:p>
            <w:pPr>
              <w:jc w:val="center"/>
              <w:rPr>
                <w:rFonts w:ascii="宋体" w:hAnsi="宋体" w:cs="宋体"/>
                <w:color w:val="auto"/>
                <w:szCs w:val="21"/>
              </w:rPr>
            </w:pPr>
            <w:r>
              <w:rPr>
                <w:rFonts w:hint="eastAsia" w:ascii="宋体" w:hAnsi="宋体" w:cs="宋体"/>
                <w:color w:val="auto"/>
                <w:kern w:val="0"/>
                <w:szCs w:val="21"/>
              </w:rPr>
              <w:t>（%）</w:t>
            </w:r>
          </w:p>
        </w:tc>
        <w:tc>
          <w:tcPr>
            <w:tcW w:w="157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rPr>
            </w:pPr>
            <w:r>
              <w:rPr>
                <w:rFonts w:hint="eastAsia" w:ascii="宋体" w:hAnsi="宋体" w:cs="宋体"/>
                <w:color w:val="auto"/>
                <w:szCs w:val="21"/>
              </w:rPr>
              <w:t>扬尘污染防治</w:t>
            </w:r>
          </w:p>
          <w:p>
            <w:pPr>
              <w:jc w:val="center"/>
              <w:rPr>
                <w:rFonts w:ascii="宋体" w:hAnsi="宋体" w:cs="宋体"/>
                <w:color w:val="auto"/>
                <w:szCs w:val="21"/>
              </w:rPr>
            </w:pPr>
            <w:r>
              <w:rPr>
                <w:rFonts w:hint="eastAsia" w:ascii="宋体" w:hAnsi="宋体" w:cs="宋体"/>
                <w:color w:val="auto"/>
                <w:szCs w:val="21"/>
              </w:rPr>
              <w:t>增加费（%）</w:t>
            </w:r>
          </w:p>
        </w:tc>
      </w:tr>
      <w:tr>
        <w:tblPrEx>
          <w:tblCellMar>
            <w:top w:w="0" w:type="dxa"/>
            <w:left w:w="0" w:type="dxa"/>
            <w:bottom w:w="0" w:type="dxa"/>
            <w:right w:w="0" w:type="dxa"/>
          </w:tblCellMar>
        </w:tblPrEx>
        <w:trPr>
          <w:trHeight w:val="427" w:hRule="atLeast"/>
        </w:trPr>
        <w:tc>
          <w:tcPr>
            <w:tcW w:w="179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color w:val="auto"/>
                <w:szCs w:val="21"/>
              </w:rPr>
            </w:pPr>
            <w:r>
              <w:rPr>
                <w:rFonts w:hint="eastAsia" w:ascii="宋体" w:hAnsi="宋体" w:cs="宋体"/>
                <w:color w:val="auto"/>
                <w:szCs w:val="21"/>
                <w:lang w:val="en-US" w:eastAsia="zh-CN"/>
              </w:rPr>
              <w:t>建筑</w:t>
            </w:r>
            <w:r>
              <w:rPr>
                <w:rFonts w:hint="eastAsia" w:ascii="宋体" w:hAnsi="宋体" w:cs="宋体"/>
                <w:color w:val="auto"/>
                <w:szCs w:val="21"/>
              </w:rPr>
              <w:t>工程</w:t>
            </w:r>
          </w:p>
        </w:tc>
        <w:tc>
          <w:tcPr>
            <w:tcW w:w="113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3.2</w:t>
            </w:r>
          </w:p>
        </w:tc>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bCs/>
                <w:color w:val="auto"/>
                <w:szCs w:val="21"/>
                <w:lang w:val="en-US" w:eastAsia="zh-CN"/>
              </w:rPr>
            </w:pPr>
            <w:r>
              <w:rPr>
                <w:rFonts w:hint="eastAsia" w:ascii="宋体" w:hAnsi="宋体" w:cs="宋体"/>
                <w:bCs/>
                <w:color w:val="auto"/>
                <w:szCs w:val="21"/>
              </w:rPr>
              <w:t>0.</w:t>
            </w:r>
            <w:r>
              <w:rPr>
                <w:rFonts w:hint="eastAsia" w:ascii="宋体" w:hAnsi="宋体" w:cs="宋体"/>
                <w:bCs/>
                <w:color w:val="auto"/>
                <w:szCs w:val="21"/>
                <w:lang w:val="en-US" w:eastAsia="zh-CN"/>
              </w:rPr>
              <w:t>53</w:t>
            </w: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Cs w:val="21"/>
              </w:rPr>
            </w:pPr>
            <w:r>
              <w:rPr>
                <w:rFonts w:hint="eastAsia" w:ascii="宋体" w:hAnsi="宋体" w:cs="宋体"/>
                <w:bCs/>
                <w:color w:val="auto"/>
                <w:szCs w:val="21"/>
              </w:rPr>
              <w:t>9</w:t>
            </w: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3.1</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w:t>
            </w:r>
          </w:p>
        </w:tc>
        <w:tc>
          <w:tcPr>
            <w:tcW w:w="157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rPr>
              <w:t>0.</w:t>
            </w:r>
            <w:r>
              <w:rPr>
                <w:rFonts w:hint="eastAsia" w:ascii="宋体" w:hAnsi="宋体" w:cs="宋体"/>
                <w:color w:val="auto"/>
                <w:szCs w:val="21"/>
                <w:lang w:val="en-US" w:eastAsia="zh-CN"/>
              </w:rPr>
              <w:t>31</w:t>
            </w:r>
          </w:p>
        </w:tc>
      </w:tr>
      <w:tr>
        <w:tblPrEx>
          <w:tblCellMar>
            <w:top w:w="0" w:type="dxa"/>
            <w:left w:w="0" w:type="dxa"/>
            <w:bottom w:w="0" w:type="dxa"/>
            <w:right w:w="0" w:type="dxa"/>
          </w:tblCellMar>
        </w:tblPrEx>
        <w:trPr>
          <w:trHeight w:val="427" w:hRule="atLeast"/>
        </w:trPr>
        <w:tc>
          <w:tcPr>
            <w:tcW w:w="179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安装工程</w:t>
            </w:r>
          </w:p>
        </w:tc>
        <w:tc>
          <w:tcPr>
            <w:tcW w:w="113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2.4</w:t>
            </w:r>
          </w:p>
        </w:tc>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0.42</w:t>
            </w: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9</w:t>
            </w: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w:t>
            </w:r>
          </w:p>
        </w:tc>
        <w:tc>
          <w:tcPr>
            <w:tcW w:w="157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0.21</w:t>
            </w:r>
          </w:p>
        </w:tc>
      </w:tr>
    </w:tbl>
    <w:p>
      <w:pPr>
        <w:tabs>
          <w:tab w:val="left" w:pos="900"/>
        </w:tabs>
        <w:spacing w:line="360" w:lineRule="auto"/>
        <w:ind w:firstLine="360" w:firstLineChars="150"/>
        <w:rPr>
          <w:rFonts w:ascii="宋体" w:hAnsi="宋体" w:cs="宋体"/>
          <w:color w:val="auto"/>
          <w:sz w:val="24"/>
        </w:rPr>
      </w:pPr>
      <w:r>
        <w:rPr>
          <w:rFonts w:hint="eastAsia" w:ascii="宋体" w:hAnsi="宋体" w:cs="宋体"/>
          <w:color w:val="auto"/>
          <w:sz w:val="24"/>
        </w:rPr>
        <w:t>4、各项措施费率如下：临时设施费按相关约定取定，投标单位自主报价。各投标单位应结合工程实际、工期、设计要求和投标单位的施工组织设计、施工方案等综合考虑一切可见和不可见因素，相关的费用均视为已含在措施费用或报价中，竣工结算时不再调整和增加任何费用，除措施项目清单中所列项目外，投标人根据施工组织设计需要自主增加和报价。</w:t>
      </w:r>
    </w:p>
    <w:p>
      <w:pPr>
        <w:spacing w:line="360" w:lineRule="auto"/>
        <w:rPr>
          <w:rFonts w:ascii="宋体" w:hAnsi="宋体" w:cs="宋体"/>
          <w:b/>
          <w:color w:val="auto"/>
          <w:sz w:val="24"/>
        </w:rPr>
      </w:pPr>
      <w:r>
        <w:rPr>
          <w:rFonts w:hint="eastAsia" w:ascii="宋体" w:hAnsi="宋体" w:cs="宋体"/>
          <w:b/>
          <w:color w:val="auto"/>
          <w:sz w:val="24"/>
        </w:rPr>
        <w:t>四、其他项目费</w:t>
      </w:r>
    </w:p>
    <w:p>
      <w:pPr>
        <w:tabs>
          <w:tab w:val="left" w:pos="900"/>
        </w:tabs>
        <w:spacing w:line="360" w:lineRule="auto"/>
        <w:ind w:firstLine="360" w:firstLineChars="150"/>
        <w:rPr>
          <w:rFonts w:ascii="宋体" w:hAnsi="宋体" w:cs="宋体"/>
          <w:color w:val="auto"/>
          <w:sz w:val="24"/>
        </w:rPr>
      </w:pPr>
      <w:r>
        <w:rPr>
          <w:rFonts w:hint="eastAsia" w:ascii="宋体" w:hAnsi="宋体" w:cs="宋体"/>
          <w:color w:val="auto"/>
          <w:sz w:val="24"/>
        </w:rPr>
        <w:t>1、暂列金额：详见其他项目清单暂列金额。</w:t>
      </w:r>
    </w:p>
    <w:p>
      <w:pPr>
        <w:tabs>
          <w:tab w:val="left" w:pos="900"/>
        </w:tabs>
        <w:spacing w:line="360" w:lineRule="auto"/>
        <w:ind w:firstLine="360" w:firstLineChars="150"/>
        <w:rPr>
          <w:rFonts w:ascii="宋体" w:hAnsi="宋体" w:cs="宋体"/>
          <w:color w:val="auto"/>
          <w:sz w:val="24"/>
        </w:rPr>
      </w:pPr>
      <w:r>
        <w:rPr>
          <w:rFonts w:hint="eastAsia" w:ascii="宋体" w:hAnsi="宋体" w:cs="宋体"/>
          <w:color w:val="auto"/>
          <w:sz w:val="24"/>
        </w:rPr>
        <w:t>2、专业工程暂估价:详见其他项目清单材料暂估价。</w:t>
      </w:r>
    </w:p>
    <w:p>
      <w:pPr>
        <w:spacing w:line="360" w:lineRule="auto"/>
        <w:rPr>
          <w:rFonts w:ascii="宋体" w:hAnsi="宋体" w:cs="宋体"/>
          <w:b/>
          <w:bCs/>
          <w:color w:val="auto"/>
          <w:sz w:val="24"/>
        </w:rPr>
      </w:pPr>
      <w:r>
        <w:rPr>
          <w:rFonts w:hint="eastAsia" w:ascii="宋体" w:hAnsi="宋体" w:cs="宋体"/>
          <w:b/>
          <w:bCs/>
          <w:color w:val="auto"/>
          <w:sz w:val="24"/>
        </w:rPr>
        <w:t>五、人工及材料价格取定</w:t>
      </w:r>
    </w:p>
    <w:p>
      <w:pPr>
        <w:spacing w:line="360" w:lineRule="auto"/>
        <w:ind w:firstLine="480"/>
        <w:jc w:val="left"/>
        <w:rPr>
          <w:rFonts w:ascii="宋体" w:hAnsi="宋体" w:cs="宋体"/>
          <w:color w:val="auto"/>
          <w:sz w:val="24"/>
          <w:lang w:val="zh-CN"/>
        </w:rPr>
      </w:pPr>
      <w:r>
        <w:rPr>
          <w:rFonts w:hint="eastAsia" w:ascii="宋体" w:hAnsi="宋体" w:cs="宋体"/>
          <w:color w:val="auto"/>
          <w:sz w:val="24"/>
          <w:lang w:val="zh-CN"/>
        </w:rPr>
        <w:t>1、本工程材料价格按《镇江工程造价信息》镇江市2</w:t>
      </w:r>
      <w:r>
        <w:rPr>
          <w:rFonts w:hint="eastAsia" w:ascii="宋体" w:hAnsi="宋体" w:cs="宋体"/>
          <w:color w:val="auto"/>
          <w:sz w:val="24"/>
        </w:rPr>
        <w:t>02</w:t>
      </w:r>
      <w:r>
        <w:rPr>
          <w:rFonts w:hint="eastAsia" w:ascii="宋体" w:hAnsi="宋体" w:cs="宋体"/>
          <w:color w:val="auto"/>
          <w:sz w:val="24"/>
          <w:lang w:val="en-US" w:eastAsia="zh-CN"/>
        </w:rPr>
        <w:t>4</w:t>
      </w:r>
      <w:r>
        <w:rPr>
          <w:rFonts w:hint="eastAsia" w:ascii="宋体" w:hAnsi="宋体" w:cs="宋体"/>
          <w:color w:val="auto"/>
          <w:sz w:val="24"/>
          <w:lang w:val="zh-CN"/>
        </w:rPr>
        <w:t>年第</w:t>
      </w:r>
      <w:r>
        <w:rPr>
          <w:rFonts w:hint="eastAsia" w:ascii="宋体" w:hAnsi="宋体" w:cs="宋体"/>
          <w:color w:val="auto"/>
          <w:sz w:val="24"/>
          <w:lang w:val="en-US" w:eastAsia="zh-CN"/>
        </w:rPr>
        <w:t>2</w:t>
      </w:r>
      <w:r>
        <w:rPr>
          <w:rFonts w:hint="eastAsia" w:ascii="宋体" w:hAnsi="宋体" w:cs="宋体"/>
          <w:color w:val="auto"/>
          <w:sz w:val="24"/>
          <w:lang w:val="zh-CN"/>
        </w:rPr>
        <w:t>期并结合市场价与市场波动等因素综合考虑。人工单价执行苏建函价[20</w:t>
      </w:r>
      <w:r>
        <w:rPr>
          <w:rFonts w:hint="eastAsia" w:ascii="宋体" w:hAnsi="宋体" w:cs="宋体"/>
          <w:color w:val="auto"/>
          <w:sz w:val="24"/>
        </w:rPr>
        <w:t>2</w:t>
      </w:r>
      <w:r>
        <w:rPr>
          <w:rFonts w:hint="eastAsia" w:ascii="宋体" w:hAnsi="宋体" w:cs="宋体"/>
          <w:color w:val="auto"/>
          <w:sz w:val="24"/>
          <w:lang w:val="en-US" w:eastAsia="zh-CN"/>
        </w:rPr>
        <w:t>3</w:t>
      </w:r>
      <w:r>
        <w:rPr>
          <w:rFonts w:hint="eastAsia" w:ascii="宋体" w:hAnsi="宋体" w:cs="宋体"/>
          <w:color w:val="auto"/>
          <w:sz w:val="24"/>
          <w:lang w:val="zh-CN"/>
        </w:rPr>
        <w:t>]</w:t>
      </w:r>
      <w:r>
        <w:rPr>
          <w:rFonts w:hint="eastAsia" w:ascii="宋体" w:hAnsi="宋体" w:cs="宋体"/>
          <w:color w:val="auto"/>
          <w:sz w:val="24"/>
          <w:lang w:val="en-US" w:eastAsia="zh-CN"/>
        </w:rPr>
        <w:t>391</w:t>
      </w:r>
      <w:r>
        <w:rPr>
          <w:rFonts w:hint="eastAsia" w:ascii="宋体" w:hAnsi="宋体" w:cs="宋体"/>
          <w:color w:val="auto"/>
          <w:sz w:val="24"/>
          <w:lang w:val="zh-CN"/>
        </w:rPr>
        <w:t>号文件。</w:t>
      </w:r>
    </w:p>
    <w:p>
      <w:pPr>
        <w:spacing w:line="360" w:lineRule="auto"/>
        <w:ind w:firstLine="480"/>
        <w:jc w:val="left"/>
        <w:rPr>
          <w:rFonts w:ascii="宋体" w:hAnsi="宋体" w:cs="宋体"/>
          <w:color w:val="auto"/>
          <w:sz w:val="24"/>
          <w:lang w:val="zh-CN"/>
        </w:rPr>
      </w:pPr>
      <w:r>
        <w:rPr>
          <w:rFonts w:hint="eastAsia" w:ascii="宋体" w:hAnsi="宋体" w:cs="宋体"/>
          <w:color w:val="auto"/>
          <w:sz w:val="24"/>
          <w:lang w:val="zh-CN"/>
        </w:rPr>
        <w:t>2、各投标人根据招标文件要求和工程实际情况（自行踏勘现场），充分考虑市场风险，结合市场行情、自身实力和管理水平等因素自主报价。</w:t>
      </w:r>
    </w:p>
    <w:p>
      <w:pPr>
        <w:spacing w:line="360" w:lineRule="auto"/>
        <w:ind w:firstLine="120" w:firstLineChars="50"/>
        <w:rPr>
          <w:rFonts w:ascii="仿宋_GB2312" w:hAnsi="宋体" w:eastAsia="仿宋_GB2312" w:cs="宋体"/>
          <w:color w:val="auto"/>
          <w:kern w:val="0"/>
          <w:sz w:val="24"/>
        </w:rPr>
      </w:pPr>
      <w:r>
        <w:rPr>
          <w:rFonts w:hint="eastAsia" w:ascii="宋体" w:hAnsi="宋体" w:cs="宋体"/>
          <w:b/>
          <w:bCs/>
          <w:color w:val="auto"/>
          <w:sz w:val="24"/>
        </w:rPr>
        <w:t>六、其他说明：</w:t>
      </w:r>
    </w:p>
    <w:p>
      <w:pPr>
        <w:spacing w:line="360" w:lineRule="auto"/>
        <w:ind w:firstLine="480"/>
        <w:jc w:val="left"/>
        <w:rPr>
          <w:rFonts w:ascii="宋体" w:hAnsi="宋体" w:cs="宋体"/>
          <w:color w:val="auto"/>
          <w:sz w:val="24"/>
          <w:lang w:val="zh-CN"/>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严格控制原材料</w:t>
      </w:r>
      <w:r>
        <w:rPr>
          <w:rFonts w:hint="eastAsia" w:asciiTheme="minorEastAsia" w:hAnsiTheme="minorEastAsia" w:eastAsiaTheme="minorEastAsia" w:cstheme="minorEastAsia"/>
          <w:color w:val="auto"/>
          <w:sz w:val="24"/>
          <w:lang w:val="en-US" w:eastAsia="zh-CN"/>
        </w:rPr>
        <w:t>及设备</w:t>
      </w:r>
      <w:r>
        <w:rPr>
          <w:rFonts w:hint="eastAsia" w:asciiTheme="minorEastAsia" w:hAnsiTheme="minorEastAsia" w:eastAsiaTheme="minorEastAsia" w:cstheme="minorEastAsia"/>
          <w:color w:val="auto"/>
          <w:sz w:val="24"/>
          <w:lang w:val="zh-CN"/>
        </w:rPr>
        <w:t>质量，所有主材</w:t>
      </w:r>
      <w:r>
        <w:rPr>
          <w:rFonts w:hint="eastAsia" w:asciiTheme="minorEastAsia" w:hAnsiTheme="minorEastAsia" w:eastAsiaTheme="minorEastAsia" w:cstheme="minorEastAsia"/>
          <w:color w:val="auto"/>
          <w:sz w:val="24"/>
          <w:lang w:val="en-US" w:eastAsia="zh-CN"/>
        </w:rPr>
        <w:t>及设备</w:t>
      </w:r>
      <w:r>
        <w:rPr>
          <w:rFonts w:hint="eastAsia" w:asciiTheme="minorEastAsia" w:hAnsiTheme="minorEastAsia" w:eastAsiaTheme="minorEastAsia" w:cstheme="minorEastAsia"/>
          <w:color w:val="auto"/>
          <w:sz w:val="24"/>
          <w:lang w:val="zh-CN"/>
        </w:rPr>
        <w:t>必须统一，经招标人及监理单位确认封样后方可进场。</w:t>
      </w:r>
    </w:p>
    <w:p>
      <w:pPr>
        <w:spacing w:line="360" w:lineRule="auto"/>
        <w:ind w:firstLine="48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lang w:val="zh-CN"/>
        </w:rPr>
        <w:t>混凝土采用预拌混凝土，砂浆均采用预拌砂浆；</w:t>
      </w:r>
    </w:p>
    <w:p>
      <w:pPr>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lang w:val="zh-CN"/>
        </w:rPr>
        <w:t>工程量清单项目特征描述不清的参照图纸，综合单价一律视为包括工程量清单计价规范及完成本工程量清单项目所规定的工程内容的全部价格的体现；</w:t>
      </w:r>
    </w:p>
    <w:p>
      <w:pPr>
        <w:spacing w:line="360" w:lineRule="auto"/>
        <w:ind w:firstLine="480"/>
        <w:jc w:val="left"/>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lang w:val="zh-CN"/>
        </w:rPr>
        <w:t>各类成品保护自行考虑，包含在报价中，结算不予调整；</w:t>
      </w:r>
    </w:p>
    <w:p>
      <w:pPr>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lang w:val="zh-CN"/>
        </w:rPr>
        <w:t>工程量清单应与招标文件、招标项目图纸等文件结合起来查阅与理解,工程量清单中所描述的项目特征仅为招标人对该分部分项工程特征的概述,而非是工程特征的全面描述,工程量清单特征描述不全时，应结合设计图纸、招标文件，并应当综合考虑专业技术要求、施工规范、地方规章等要求，所产生的费用计入投标报价中；清单特征中未描述的，但13计价规范中注明的工程内容，承包人在报价中应充分考虑“工程内容”而产生的费用，列入相应报价中；</w:t>
      </w:r>
    </w:p>
    <w:p>
      <w:pPr>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lang w:val="zh-CN"/>
        </w:rPr>
        <w:t>对招标人所列的措施项目，投标人可根据工程实际与施工组织设计进行增补，但不应更改招标人已列措施项目。结算时，除工程变更引起施工方案改变外，承包人不得以招标工程措施项目清单缺项为由要求新增措施项目。措施费投标人须全面考虑，除招标文件中另有规定外，如有漏项，按投标人让利考虑。措施费未实施的，结算时予以扣除；</w:t>
      </w:r>
    </w:p>
    <w:p>
      <w:pPr>
        <w:spacing w:line="360" w:lineRule="auto"/>
        <w:ind w:firstLine="480"/>
        <w:jc w:val="left"/>
        <w:rPr>
          <w:rFonts w:ascii="宋体" w:hAnsi="宋体" w:cs="宋体"/>
          <w:color w:val="auto"/>
          <w:sz w:val="24"/>
          <w:lang w:val="zh-CN"/>
        </w:rPr>
      </w:pPr>
    </w:p>
    <w:p>
      <w:pPr>
        <w:spacing w:line="360" w:lineRule="auto"/>
        <w:ind w:firstLine="480"/>
        <w:jc w:val="right"/>
        <w:rPr>
          <w:rFonts w:hint="default" w:ascii="宋体" w:hAnsi="宋体" w:eastAsia="宋体" w:cs="宋体"/>
          <w:color w:val="auto"/>
          <w:sz w:val="24"/>
          <w:lang w:val="en-US" w:eastAsia="zh-CN"/>
        </w:rPr>
      </w:pPr>
      <w:r>
        <w:rPr>
          <w:rFonts w:hint="eastAsia" w:ascii="宋体" w:hAnsi="宋体" w:cs="宋体"/>
          <w:color w:val="auto"/>
          <w:sz w:val="24"/>
          <w:lang w:val="zh-CN"/>
        </w:rPr>
        <w:t>20</w:t>
      </w: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lang w:val="zh-CN"/>
        </w:rPr>
        <w:t>.</w:t>
      </w:r>
      <w:r>
        <w:rPr>
          <w:rFonts w:hint="eastAsia" w:ascii="宋体" w:hAnsi="宋体" w:cs="宋体"/>
          <w:color w:val="auto"/>
          <w:sz w:val="24"/>
          <w:lang w:val="en-US" w:eastAsia="zh-CN"/>
        </w:rPr>
        <w:t>03</w:t>
      </w:r>
      <w:r>
        <w:rPr>
          <w:rFonts w:hint="eastAsia" w:ascii="宋体" w:hAnsi="宋体" w:cs="宋体"/>
          <w:color w:val="auto"/>
          <w:sz w:val="24"/>
          <w:lang w:val="zh-CN"/>
        </w:rPr>
        <w:t>.</w:t>
      </w:r>
      <w:r>
        <w:rPr>
          <w:rFonts w:hint="eastAsia" w:ascii="宋体" w:hAnsi="宋体" w:cs="宋体"/>
          <w:color w:val="auto"/>
          <w:sz w:val="24"/>
          <w:lang w:val="en-US" w:eastAsia="zh-CN"/>
        </w:rPr>
        <w:t>20</w:t>
      </w:r>
      <w:bookmarkStart w:id="0" w:name="_GoBack"/>
      <w:bookmarkEnd w:id="0"/>
    </w:p>
    <w:sectPr>
      <w:footerReference r:id="rId3" w:type="default"/>
      <w:footerReference r:id="rId4" w:type="even"/>
      <w:pgSz w:w="11906" w:h="16838"/>
      <w:pgMar w:top="1440" w:right="1418" w:bottom="1135" w:left="153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Y2I3YjUzY2E0NTE5MDQ4MDg1MWFiZWU4MzAwNjQifQ=="/>
    <w:docVar w:name="KSO_WPS_MARK_KEY" w:val="b6b36e9a-3fd1-4c21-8f65-00c0f6b3c6c1"/>
  </w:docVars>
  <w:rsids>
    <w:rsidRoot w:val="00172A27"/>
    <w:rsid w:val="000079F0"/>
    <w:rsid w:val="0001221F"/>
    <w:rsid w:val="00014642"/>
    <w:rsid w:val="00017BC9"/>
    <w:rsid w:val="000217E5"/>
    <w:rsid w:val="0002236C"/>
    <w:rsid w:val="00025033"/>
    <w:rsid w:val="00025D8C"/>
    <w:rsid w:val="00026845"/>
    <w:rsid w:val="00032E67"/>
    <w:rsid w:val="00044C1F"/>
    <w:rsid w:val="000472D6"/>
    <w:rsid w:val="000720E3"/>
    <w:rsid w:val="00076F7D"/>
    <w:rsid w:val="00082ADA"/>
    <w:rsid w:val="00096E94"/>
    <w:rsid w:val="000B1569"/>
    <w:rsid w:val="000C05A0"/>
    <w:rsid w:val="000C18A8"/>
    <w:rsid w:val="000C6A53"/>
    <w:rsid w:val="000D3B6F"/>
    <w:rsid w:val="000E0E16"/>
    <w:rsid w:val="000F416F"/>
    <w:rsid w:val="000F5732"/>
    <w:rsid w:val="000F6F96"/>
    <w:rsid w:val="00103D11"/>
    <w:rsid w:val="00104BF7"/>
    <w:rsid w:val="001201FC"/>
    <w:rsid w:val="00151623"/>
    <w:rsid w:val="00161A4A"/>
    <w:rsid w:val="001635D2"/>
    <w:rsid w:val="00163CFA"/>
    <w:rsid w:val="00170E16"/>
    <w:rsid w:val="00172A27"/>
    <w:rsid w:val="00173122"/>
    <w:rsid w:val="00196796"/>
    <w:rsid w:val="001B0D52"/>
    <w:rsid w:val="001D3373"/>
    <w:rsid w:val="001D5DC2"/>
    <w:rsid w:val="001E20DB"/>
    <w:rsid w:val="001F0499"/>
    <w:rsid w:val="00203B84"/>
    <w:rsid w:val="00203BC1"/>
    <w:rsid w:val="00204ACA"/>
    <w:rsid w:val="00206B1A"/>
    <w:rsid w:val="00245425"/>
    <w:rsid w:val="00245F2B"/>
    <w:rsid w:val="00246F62"/>
    <w:rsid w:val="0025149F"/>
    <w:rsid w:val="002526BF"/>
    <w:rsid w:val="00255605"/>
    <w:rsid w:val="00256BE2"/>
    <w:rsid w:val="00257020"/>
    <w:rsid w:val="00257B5E"/>
    <w:rsid w:val="00262B54"/>
    <w:rsid w:val="0027492F"/>
    <w:rsid w:val="00296D9D"/>
    <w:rsid w:val="002A176F"/>
    <w:rsid w:val="002B4216"/>
    <w:rsid w:val="002B77F0"/>
    <w:rsid w:val="002C21C4"/>
    <w:rsid w:val="002C779B"/>
    <w:rsid w:val="002E6F3D"/>
    <w:rsid w:val="002F06D4"/>
    <w:rsid w:val="002F5AE0"/>
    <w:rsid w:val="002F7E19"/>
    <w:rsid w:val="00307F27"/>
    <w:rsid w:val="003226C5"/>
    <w:rsid w:val="00324D9E"/>
    <w:rsid w:val="0033085D"/>
    <w:rsid w:val="00333075"/>
    <w:rsid w:val="003429B5"/>
    <w:rsid w:val="00346ECB"/>
    <w:rsid w:val="00352018"/>
    <w:rsid w:val="00353346"/>
    <w:rsid w:val="00353D9D"/>
    <w:rsid w:val="00377F83"/>
    <w:rsid w:val="00395E5F"/>
    <w:rsid w:val="003A2A96"/>
    <w:rsid w:val="003A53F8"/>
    <w:rsid w:val="003B2E4D"/>
    <w:rsid w:val="003B4254"/>
    <w:rsid w:val="003B57A8"/>
    <w:rsid w:val="003C2941"/>
    <w:rsid w:val="003D25DF"/>
    <w:rsid w:val="003E212E"/>
    <w:rsid w:val="003E4943"/>
    <w:rsid w:val="003F06F5"/>
    <w:rsid w:val="003F2441"/>
    <w:rsid w:val="003F362C"/>
    <w:rsid w:val="003F367B"/>
    <w:rsid w:val="003F423C"/>
    <w:rsid w:val="003F4820"/>
    <w:rsid w:val="00404502"/>
    <w:rsid w:val="00423E24"/>
    <w:rsid w:val="0042522B"/>
    <w:rsid w:val="00426400"/>
    <w:rsid w:val="0042760C"/>
    <w:rsid w:val="00430ECB"/>
    <w:rsid w:val="00435AED"/>
    <w:rsid w:val="00437FF4"/>
    <w:rsid w:val="00442B0A"/>
    <w:rsid w:val="00453412"/>
    <w:rsid w:val="004648F6"/>
    <w:rsid w:val="00470C42"/>
    <w:rsid w:val="00473BFE"/>
    <w:rsid w:val="00473D35"/>
    <w:rsid w:val="0048467D"/>
    <w:rsid w:val="004877F4"/>
    <w:rsid w:val="00487B2E"/>
    <w:rsid w:val="004A4DC9"/>
    <w:rsid w:val="004A6B82"/>
    <w:rsid w:val="004B4645"/>
    <w:rsid w:val="004B6F9F"/>
    <w:rsid w:val="004E7E09"/>
    <w:rsid w:val="004F28B8"/>
    <w:rsid w:val="004F3FC5"/>
    <w:rsid w:val="00503FFA"/>
    <w:rsid w:val="00507069"/>
    <w:rsid w:val="00543BEE"/>
    <w:rsid w:val="00561B1C"/>
    <w:rsid w:val="00563AB8"/>
    <w:rsid w:val="0056487F"/>
    <w:rsid w:val="00565547"/>
    <w:rsid w:val="005800BE"/>
    <w:rsid w:val="00585547"/>
    <w:rsid w:val="005855AA"/>
    <w:rsid w:val="00593BC7"/>
    <w:rsid w:val="005A7244"/>
    <w:rsid w:val="005A7381"/>
    <w:rsid w:val="005B35D3"/>
    <w:rsid w:val="005B7E8B"/>
    <w:rsid w:val="005C7ED3"/>
    <w:rsid w:val="005D1FA2"/>
    <w:rsid w:val="005D229A"/>
    <w:rsid w:val="005D5B29"/>
    <w:rsid w:val="005D5B62"/>
    <w:rsid w:val="005E576C"/>
    <w:rsid w:val="005E79E1"/>
    <w:rsid w:val="00605161"/>
    <w:rsid w:val="00607DA9"/>
    <w:rsid w:val="006138F3"/>
    <w:rsid w:val="00615B54"/>
    <w:rsid w:val="00642C30"/>
    <w:rsid w:val="006434E7"/>
    <w:rsid w:val="0064657F"/>
    <w:rsid w:val="006556E5"/>
    <w:rsid w:val="0065791E"/>
    <w:rsid w:val="00676763"/>
    <w:rsid w:val="00677BC4"/>
    <w:rsid w:val="00683B9F"/>
    <w:rsid w:val="006946D5"/>
    <w:rsid w:val="00696C0C"/>
    <w:rsid w:val="006A2244"/>
    <w:rsid w:val="006A680D"/>
    <w:rsid w:val="006B621A"/>
    <w:rsid w:val="006D055A"/>
    <w:rsid w:val="006D662B"/>
    <w:rsid w:val="006E72FA"/>
    <w:rsid w:val="006F0534"/>
    <w:rsid w:val="006F23FF"/>
    <w:rsid w:val="006F3BBE"/>
    <w:rsid w:val="00701C87"/>
    <w:rsid w:val="0070437B"/>
    <w:rsid w:val="007415DF"/>
    <w:rsid w:val="0074444B"/>
    <w:rsid w:val="00756F7B"/>
    <w:rsid w:val="0075731C"/>
    <w:rsid w:val="007678BA"/>
    <w:rsid w:val="00773021"/>
    <w:rsid w:val="00784AFC"/>
    <w:rsid w:val="00786A1C"/>
    <w:rsid w:val="007870CD"/>
    <w:rsid w:val="007957A8"/>
    <w:rsid w:val="007A3EE1"/>
    <w:rsid w:val="007A65EE"/>
    <w:rsid w:val="007C0413"/>
    <w:rsid w:val="007C0B8E"/>
    <w:rsid w:val="007E1688"/>
    <w:rsid w:val="007E3B5F"/>
    <w:rsid w:val="007F030E"/>
    <w:rsid w:val="00800C08"/>
    <w:rsid w:val="0080603E"/>
    <w:rsid w:val="0081566F"/>
    <w:rsid w:val="0085701A"/>
    <w:rsid w:val="00880782"/>
    <w:rsid w:val="00896CCB"/>
    <w:rsid w:val="00897557"/>
    <w:rsid w:val="008E20F5"/>
    <w:rsid w:val="008E39D4"/>
    <w:rsid w:val="008E3D37"/>
    <w:rsid w:val="008E746E"/>
    <w:rsid w:val="008F4522"/>
    <w:rsid w:val="0091563C"/>
    <w:rsid w:val="00923BD8"/>
    <w:rsid w:val="009250D3"/>
    <w:rsid w:val="0092582F"/>
    <w:rsid w:val="009368F2"/>
    <w:rsid w:val="00960C2D"/>
    <w:rsid w:val="009655DD"/>
    <w:rsid w:val="009737F1"/>
    <w:rsid w:val="00980234"/>
    <w:rsid w:val="00983630"/>
    <w:rsid w:val="00995EA1"/>
    <w:rsid w:val="009C3393"/>
    <w:rsid w:val="009D3707"/>
    <w:rsid w:val="009E18D8"/>
    <w:rsid w:val="009F67AD"/>
    <w:rsid w:val="00A23A3B"/>
    <w:rsid w:val="00A24777"/>
    <w:rsid w:val="00A30B5C"/>
    <w:rsid w:val="00A33F6A"/>
    <w:rsid w:val="00A4020F"/>
    <w:rsid w:val="00A40284"/>
    <w:rsid w:val="00A4459B"/>
    <w:rsid w:val="00A44E83"/>
    <w:rsid w:val="00A51BD1"/>
    <w:rsid w:val="00A521B2"/>
    <w:rsid w:val="00A5263C"/>
    <w:rsid w:val="00A6217B"/>
    <w:rsid w:val="00A67F0E"/>
    <w:rsid w:val="00A74634"/>
    <w:rsid w:val="00A74EB6"/>
    <w:rsid w:val="00A91090"/>
    <w:rsid w:val="00A95A3D"/>
    <w:rsid w:val="00AA6BDB"/>
    <w:rsid w:val="00AB56BE"/>
    <w:rsid w:val="00AF2407"/>
    <w:rsid w:val="00B053C2"/>
    <w:rsid w:val="00B1363F"/>
    <w:rsid w:val="00B16DC9"/>
    <w:rsid w:val="00B244A9"/>
    <w:rsid w:val="00B27072"/>
    <w:rsid w:val="00B2712D"/>
    <w:rsid w:val="00B27533"/>
    <w:rsid w:val="00B321BC"/>
    <w:rsid w:val="00B34053"/>
    <w:rsid w:val="00B3436F"/>
    <w:rsid w:val="00B4743A"/>
    <w:rsid w:val="00B6774D"/>
    <w:rsid w:val="00B71909"/>
    <w:rsid w:val="00B866BC"/>
    <w:rsid w:val="00BB3E54"/>
    <w:rsid w:val="00BC4231"/>
    <w:rsid w:val="00BC462E"/>
    <w:rsid w:val="00BC49D8"/>
    <w:rsid w:val="00BC4F26"/>
    <w:rsid w:val="00BC567D"/>
    <w:rsid w:val="00BD54CD"/>
    <w:rsid w:val="00BD577A"/>
    <w:rsid w:val="00BD7E30"/>
    <w:rsid w:val="00BE17E3"/>
    <w:rsid w:val="00BE3C6E"/>
    <w:rsid w:val="00C11791"/>
    <w:rsid w:val="00C14A7F"/>
    <w:rsid w:val="00C162CB"/>
    <w:rsid w:val="00C30BA0"/>
    <w:rsid w:val="00C33234"/>
    <w:rsid w:val="00C45C6E"/>
    <w:rsid w:val="00C47B05"/>
    <w:rsid w:val="00C93AF5"/>
    <w:rsid w:val="00CA03D5"/>
    <w:rsid w:val="00CA5A3E"/>
    <w:rsid w:val="00CA65C6"/>
    <w:rsid w:val="00CB59E2"/>
    <w:rsid w:val="00CC1606"/>
    <w:rsid w:val="00CD659F"/>
    <w:rsid w:val="00CE18EA"/>
    <w:rsid w:val="00CE6E8D"/>
    <w:rsid w:val="00CF2232"/>
    <w:rsid w:val="00D00095"/>
    <w:rsid w:val="00D000A1"/>
    <w:rsid w:val="00D12B19"/>
    <w:rsid w:val="00D24615"/>
    <w:rsid w:val="00D32994"/>
    <w:rsid w:val="00D54559"/>
    <w:rsid w:val="00D57E3B"/>
    <w:rsid w:val="00D60458"/>
    <w:rsid w:val="00D70999"/>
    <w:rsid w:val="00D7372B"/>
    <w:rsid w:val="00D812CC"/>
    <w:rsid w:val="00D81358"/>
    <w:rsid w:val="00D84136"/>
    <w:rsid w:val="00D8671C"/>
    <w:rsid w:val="00DA4A77"/>
    <w:rsid w:val="00DB00FF"/>
    <w:rsid w:val="00DB10B7"/>
    <w:rsid w:val="00DB3600"/>
    <w:rsid w:val="00DB425A"/>
    <w:rsid w:val="00DC0796"/>
    <w:rsid w:val="00DC2F6C"/>
    <w:rsid w:val="00DC50DB"/>
    <w:rsid w:val="00DC6A68"/>
    <w:rsid w:val="00DE66E8"/>
    <w:rsid w:val="00DF07EC"/>
    <w:rsid w:val="00DF2FBF"/>
    <w:rsid w:val="00DF35A2"/>
    <w:rsid w:val="00E00E91"/>
    <w:rsid w:val="00E15F86"/>
    <w:rsid w:val="00E321BD"/>
    <w:rsid w:val="00E512BD"/>
    <w:rsid w:val="00E51573"/>
    <w:rsid w:val="00E6331B"/>
    <w:rsid w:val="00E6371C"/>
    <w:rsid w:val="00E73095"/>
    <w:rsid w:val="00E7758A"/>
    <w:rsid w:val="00E82391"/>
    <w:rsid w:val="00E838D5"/>
    <w:rsid w:val="00E944BE"/>
    <w:rsid w:val="00EA62C6"/>
    <w:rsid w:val="00EB2A19"/>
    <w:rsid w:val="00EC037E"/>
    <w:rsid w:val="00ED0F90"/>
    <w:rsid w:val="00EE292B"/>
    <w:rsid w:val="00EE7DF1"/>
    <w:rsid w:val="00EF1088"/>
    <w:rsid w:val="00EF1CFB"/>
    <w:rsid w:val="00F0177C"/>
    <w:rsid w:val="00F25932"/>
    <w:rsid w:val="00F3043A"/>
    <w:rsid w:val="00F60BA4"/>
    <w:rsid w:val="00F65FED"/>
    <w:rsid w:val="00F701C0"/>
    <w:rsid w:val="00F74631"/>
    <w:rsid w:val="00F83546"/>
    <w:rsid w:val="00F85114"/>
    <w:rsid w:val="00FA6C3E"/>
    <w:rsid w:val="00FB005C"/>
    <w:rsid w:val="00FB0836"/>
    <w:rsid w:val="00FB4180"/>
    <w:rsid w:val="00FB4FEB"/>
    <w:rsid w:val="00FB5E25"/>
    <w:rsid w:val="00FB6AE9"/>
    <w:rsid w:val="00FB7A63"/>
    <w:rsid w:val="00FC29B6"/>
    <w:rsid w:val="00FC4329"/>
    <w:rsid w:val="00FC511C"/>
    <w:rsid w:val="00FD2399"/>
    <w:rsid w:val="00FD6AE1"/>
    <w:rsid w:val="00FE42A1"/>
    <w:rsid w:val="00FF0631"/>
    <w:rsid w:val="00FF19F4"/>
    <w:rsid w:val="00FF34FE"/>
    <w:rsid w:val="00FF3601"/>
    <w:rsid w:val="00FF7D00"/>
    <w:rsid w:val="01224E28"/>
    <w:rsid w:val="01B53567"/>
    <w:rsid w:val="027E7A65"/>
    <w:rsid w:val="029D6E3C"/>
    <w:rsid w:val="03E23F5C"/>
    <w:rsid w:val="04D06312"/>
    <w:rsid w:val="053D2D5C"/>
    <w:rsid w:val="05A43049"/>
    <w:rsid w:val="07A562CE"/>
    <w:rsid w:val="086A5B90"/>
    <w:rsid w:val="096F6DDF"/>
    <w:rsid w:val="0A0776D0"/>
    <w:rsid w:val="0A90546B"/>
    <w:rsid w:val="0B03449C"/>
    <w:rsid w:val="0DA66EA2"/>
    <w:rsid w:val="0F7C2B6B"/>
    <w:rsid w:val="0FBF690C"/>
    <w:rsid w:val="11604F73"/>
    <w:rsid w:val="12541A50"/>
    <w:rsid w:val="15B07F95"/>
    <w:rsid w:val="15CB4F8E"/>
    <w:rsid w:val="190F1F86"/>
    <w:rsid w:val="1A3F1A70"/>
    <w:rsid w:val="2172684A"/>
    <w:rsid w:val="232D7D45"/>
    <w:rsid w:val="24C7206C"/>
    <w:rsid w:val="25322012"/>
    <w:rsid w:val="25E72614"/>
    <w:rsid w:val="25FE3127"/>
    <w:rsid w:val="26402EE4"/>
    <w:rsid w:val="27AF5F9D"/>
    <w:rsid w:val="2A06628E"/>
    <w:rsid w:val="2BA73DE8"/>
    <w:rsid w:val="2BFD5896"/>
    <w:rsid w:val="2C517CAF"/>
    <w:rsid w:val="2C567119"/>
    <w:rsid w:val="2D384FB2"/>
    <w:rsid w:val="2DA7478F"/>
    <w:rsid w:val="316F12E6"/>
    <w:rsid w:val="31A3122B"/>
    <w:rsid w:val="31B11E6E"/>
    <w:rsid w:val="32581295"/>
    <w:rsid w:val="334E41AD"/>
    <w:rsid w:val="33874C9E"/>
    <w:rsid w:val="358F5E20"/>
    <w:rsid w:val="368E362C"/>
    <w:rsid w:val="39B46411"/>
    <w:rsid w:val="3A4A31B5"/>
    <w:rsid w:val="3AC06FE6"/>
    <w:rsid w:val="3AFB04ED"/>
    <w:rsid w:val="3B2B3EA5"/>
    <w:rsid w:val="3E957F2A"/>
    <w:rsid w:val="46111B8D"/>
    <w:rsid w:val="4A374CA7"/>
    <w:rsid w:val="4AD132EC"/>
    <w:rsid w:val="4B35496B"/>
    <w:rsid w:val="4F755294"/>
    <w:rsid w:val="527A0844"/>
    <w:rsid w:val="5354511D"/>
    <w:rsid w:val="59BD0E36"/>
    <w:rsid w:val="5A2A4ABE"/>
    <w:rsid w:val="5BB2517E"/>
    <w:rsid w:val="5BFD5627"/>
    <w:rsid w:val="5C4D51EC"/>
    <w:rsid w:val="5E291044"/>
    <w:rsid w:val="5EBC3F40"/>
    <w:rsid w:val="5FC33055"/>
    <w:rsid w:val="64AB71A1"/>
    <w:rsid w:val="65E21059"/>
    <w:rsid w:val="66FA3F28"/>
    <w:rsid w:val="682E23B1"/>
    <w:rsid w:val="6B0C6A60"/>
    <w:rsid w:val="6F613CDC"/>
    <w:rsid w:val="6FE02A06"/>
    <w:rsid w:val="70626C14"/>
    <w:rsid w:val="71427F14"/>
    <w:rsid w:val="722046DA"/>
    <w:rsid w:val="78213518"/>
    <w:rsid w:val="7B0A73ED"/>
    <w:rsid w:val="7D3171D6"/>
    <w:rsid w:val="7FD763D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qFormat/>
    <w:uiPriority w:val="0"/>
    <w:rPr>
      <w:color w:val="0000FF"/>
      <w:u w:val="single"/>
    </w:rPr>
  </w:style>
  <w:style w:type="paragraph" w:customStyle="1" w:styleId="10">
    <w:name w:val="Char Char Char Char"/>
    <w:basedOn w:val="1"/>
    <w:qFormat/>
    <w:uiPriority w:val="0"/>
    <w:pPr>
      <w:spacing w:beforeLines="100"/>
    </w:pPr>
  </w:style>
  <w:style w:type="character" w:customStyle="1" w:styleId="11">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F1078-A68F-4D9D-9335-29A23579299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1536</Words>
  <Characters>1629</Characters>
  <Lines>9</Lines>
  <Paragraphs>2</Paragraphs>
  <TotalTime>4</TotalTime>
  <ScaleCrop>false</ScaleCrop>
  <LinksUpToDate>false</LinksUpToDate>
  <CharactersWithSpaces>1629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2018-04-15T07:46:00Z</dcterms:created>
  <dc:creator>微软用户</dc:creator>
  <cp:lastModifiedBy>穆晨</cp:lastModifiedBy>
  <cp:lastPrinted>2016-08-01T09:18:00Z</cp:lastPrinted>
  <dcterms:modified xsi:type="dcterms:W3CDTF">2024-03-22T02:59:48Z</dcterms:modified>
  <dc:title>镇江新区平昌新城A10地块安置房小区1#~18#房</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18E249D0523341CFB66AC59DB684935D_13</vt:lpwstr>
  </property>
</Properties>
</file>